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AC4BA" w14:textId="094C4B27" w:rsidR="003F3A41" w:rsidRPr="00500C4E" w:rsidRDefault="008A7BE7" w:rsidP="00A57D36">
      <w:pPr>
        <w:pStyle w:val="WPnumber"/>
      </w:pPr>
      <w:bookmarkStart w:id="0" w:name="_Toc153189647"/>
      <w:bookmarkStart w:id="1" w:name="_Toc214003082"/>
      <w:r>
        <w:t>Workp</w:t>
      </w:r>
      <w:r w:rsidR="00A57D36" w:rsidRPr="00500C4E">
        <w:t xml:space="preserve">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872EA">
            <w:t>WPSCGCC</w:t>
          </w:r>
          <w:r w:rsidR="00CE76B1">
            <w:t>WH180504</w:t>
          </w:r>
          <w:r w:rsidR="00F52A30">
            <w:t>A</w:t>
          </w:r>
        </w:sdtContent>
      </w:sdt>
    </w:p>
    <w:bookmarkEnd w:id="0"/>
    <w:p w14:paraId="42D9D1FC" w14:textId="536CE234" w:rsidR="00DA690B" w:rsidRPr="00500C4E" w:rsidRDefault="00F52A3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AB1803">
            <w:rPr>
              <w:rStyle w:val="CaptionChar"/>
              <w:rFonts w:asciiTheme="minorHAnsi" w:hAnsiTheme="minorHAnsi" w:cstheme="minorHAnsi"/>
              <w:b/>
              <w:bCs w:val="0"/>
              <w:sz w:val="48"/>
              <w:szCs w:val="48"/>
            </w:rPr>
            <w:t>0</w:t>
          </w:r>
          <w:r w:rsidR="00385321">
            <w:rPr>
              <w:rStyle w:val="CaptionChar"/>
              <w:rFonts w:asciiTheme="minorHAnsi" w:hAnsiTheme="minorHAnsi" w:cstheme="minorHAnsi"/>
              <w:b/>
              <w:bCs w:val="0"/>
              <w:sz w:val="48"/>
              <w:szCs w:val="48"/>
            </w:rPr>
            <w:t>0</w:t>
          </w:r>
        </w:sdtContent>
      </w:sdt>
    </w:p>
    <w:p w14:paraId="39599626" w14:textId="77777777" w:rsidR="00285A0D" w:rsidRPr="00500C4E" w:rsidRDefault="00285A0D" w:rsidP="00DE5758">
      <w:pPr>
        <w:jc w:val="right"/>
        <w:rPr>
          <w:rFonts w:cstheme="minorHAnsi"/>
          <w:b/>
          <w:sz w:val="48"/>
          <w:szCs w:val="48"/>
        </w:rPr>
      </w:pPr>
    </w:p>
    <w:p w14:paraId="3CE21555" w14:textId="77777777" w:rsidR="00DA690B" w:rsidRPr="00500C4E" w:rsidRDefault="00AB1803" w:rsidP="00DA690B">
      <w:pPr>
        <w:pBdr>
          <w:bottom w:val="single" w:sz="4" w:space="1" w:color="auto"/>
        </w:pBdr>
        <w:rPr>
          <w:rFonts w:cstheme="minorHAnsi"/>
          <w:b/>
          <w:sz w:val="36"/>
          <w:szCs w:val="36"/>
        </w:rPr>
      </w:pPr>
      <w:r>
        <w:rPr>
          <w:rFonts w:cstheme="minorHAnsi"/>
          <w:b/>
          <w:sz w:val="36"/>
          <w:szCs w:val="36"/>
        </w:rPr>
        <w:t>SoCalGas</w:t>
      </w:r>
    </w:p>
    <w:p w14:paraId="48593C70" w14:textId="77777777" w:rsidR="00DA690B" w:rsidRPr="00500C4E" w:rsidRDefault="00DA690B" w:rsidP="00DA690B">
      <w:pPr>
        <w:rPr>
          <w:rFonts w:cstheme="minorHAnsi"/>
        </w:rPr>
      </w:pPr>
    </w:p>
    <w:p w14:paraId="2270775F" w14:textId="77777777" w:rsidR="00DA690B" w:rsidRPr="00500C4E" w:rsidRDefault="00DA690B" w:rsidP="00DA690B">
      <w:pPr>
        <w:rPr>
          <w:rFonts w:cstheme="minorHAnsi"/>
        </w:rPr>
      </w:pPr>
    </w:p>
    <w:p w14:paraId="4FA03374" w14:textId="77777777" w:rsidR="00DA690B" w:rsidRPr="00500C4E" w:rsidRDefault="009D0753" w:rsidP="009D0753">
      <w:pPr>
        <w:tabs>
          <w:tab w:val="left" w:pos="8190"/>
        </w:tabs>
        <w:rPr>
          <w:rFonts w:cstheme="minorHAnsi"/>
        </w:rPr>
      </w:pPr>
      <w:r w:rsidRPr="00500C4E">
        <w:rPr>
          <w:rFonts w:cstheme="minorHAnsi"/>
        </w:rPr>
        <w:tab/>
      </w:r>
    </w:p>
    <w:p w14:paraId="4FE2CEF8" w14:textId="77777777" w:rsidR="00DA690B" w:rsidRPr="00500C4E" w:rsidRDefault="00DA690B" w:rsidP="00DA690B">
      <w:pPr>
        <w:rPr>
          <w:rFonts w:cstheme="minorHAnsi"/>
        </w:rPr>
      </w:pPr>
    </w:p>
    <w:p w14:paraId="4B2AD42A" w14:textId="77777777" w:rsidR="00DA690B" w:rsidRPr="00500C4E" w:rsidRDefault="00DA690B" w:rsidP="00DA690B">
      <w:pPr>
        <w:rPr>
          <w:rFonts w:cstheme="minorHAnsi"/>
        </w:rPr>
      </w:pPr>
    </w:p>
    <w:p w14:paraId="451A2174" w14:textId="77777777" w:rsidR="00DA690B" w:rsidRPr="00500C4E" w:rsidRDefault="00DA690B" w:rsidP="00DA690B">
      <w:pPr>
        <w:rPr>
          <w:rFonts w:cstheme="minorHAnsi"/>
        </w:rPr>
      </w:pPr>
    </w:p>
    <w:p w14:paraId="168242F3" w14:textId="77777777" w:rsidR="00DA690B" w:rsidRPr="00500C4E" w:rsidRDefault="00DA690B" w:rsidP="00DA690B">
      <w:pPr>
        <w:rPr>
          <w:rFonts w:cstheme="minorHAnsi"/>
        </w:rPr>
      </w:pPr>
    </w:p>
    <w:p w14:paraId="1E4F15A8" w14:textId="77777777" w:rsidR="00DA690B" w:rsidRPr="00500C4E" w:rsidRDefault="00DA690B" w:rsidP="00DA690B">
      <w:pPr>
        <w:rPr>
          <w:rFonts w:cstheme="minorHAnsi"/>
        </w:rPr>
      </w:pPr>
    </w:p>
    <w:p w14:paraId="5AFE9C68" w14:textId="77777777" w:rsidR="00DA690B" w:rsidRPr="00500C4E" w:rsidRDefault="00AB1803" w:rsidP="00DA690B">
      <w:pPr>
        <w:rPr>
          <w:rFonts w:cstheme="minorHAnsi"/>
          <w:b/>
          <w:sz w:val="72"/>
          <w:szCs w:val="72"/>
        </w:rPr>
      </w:pPr>
      <w:r>
        <w:rPr>
          <w:rFonts w:cstheme="minorHAnsi"/>
          <w:b/>
          <w:sz w:val="72"/>
          <w:szCs w:val="72"/>
        </w:rPr>
        <w:t xml:space="preserve">Commercial/Residential Flow Control Valves for Faucets and Showerheads </w:t>
      </w:r>
      <w:r w:rsidR="00DA690B" w:rsidRPr="00500C4E">
        <w:rPr>
          <w:rFonts w:cstheme="minorHAnsi"/>
          <w:b/>
          <w:sz w:val="72"/>
          <w:szCs w:val="72"/>
        </w:rPr>
        <w:t xml:space="preserve"> </w:t>
      </w:r>
    </w:p>
    <w:p w14:paraId="74C31B78" w14:textId="77777777" w:rsidR="00E76B31" w:rsidRPr="00500C4E" w:rsidRDefault="00E76B31" w:rsidP="00E76B31">
      <w:pPr>
        <w:pStyle w:val="Reminders"/>
        <w:rPr>
          <w:rFonts w:asciiTheme="minorHAnsi" w:hAnsiTheme="minorHAnsi" w:cstheme="minorHAnsi"/>
          <w:i w:val="0"/>
          <w:szCs w:val="22"/>
        </w:rPr>
      </w:pPr>
    </w:p>
    <w:p w14:paraId="7C01B4B0" w14:textId="77777777" w:rsidR="00523736" w:rsidRPr="00500C4E" w:rsidRDefault="00523736" w:rsidP="00E76B31">
      <w:pPr>
        <w:pStyle w:val="Reminders"/>
        <w:rPr>
          <w:rFonts w:asciiTheme="minorHAnsi" w:hAnsiTheme="minorHAnsi" w:cstheme="minorHAnsi"/>
          <w:b/>
          <w:i w:val="0"/>
          <w:sz w:val="32"/>
          <w:szCs w:val="22"/>
        </w:rPr>
      </w:pPr>
      <w:bookmarkStart w:id="2" w:name="_GoBack"/>
      <w:bookmarkEnd w:id="2"/>
    </w:p>
    <w:p w14:paraId="687DCBEE" w14:textId="77777777" w:rsidR="00EF4E6B" w:rsidRPr="00500C4E" w:rsidRDefault="00EF4E6B" w:rsidP="00E76B31">
      <w:pPr>
        <w:pStyle w:val="Reminders"/>
        <w:rPr>
          <w:rFonts w:asciiTheme="minorHAnsi" w:hAnsiTheme="minorHAnsi" w:cstheme="minorHAnsi"/>
          <w:b/>
          <w:i w:val="0"/>
          <w:sz w:val="32"/>
          <w:szCs w:val="22"/>
        </w:rPr>
      </w:pPr>
    </w:p>
    <w:p w14:paraId="3D055D60"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1DC05A4"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515621119"/>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5A78FFF8" w14:textId="77777777" w:rsidTr="00920905">
        <w:trPr>
          <w:trHeight w:val="465"/>
        </w:trPr>
        <w:tc>
          <w:tcPr>
            <w:tcW w:w="1875" w:type="pct"/>
          </w:tcPr>
          <w:p w14:paraId="40D12F48"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340FBAAB" w14:textId="2DA4B710" w:rsidR="00AC5309" w:rsidRPr="00500C4E" w:rsidRDefault="004E0817">
            <w:pPr>
              <w:rPr>
                <w:rFonts w:cs="Arial"/>
                <w:bCs/>
                <w:color w:val="FF0000"/>
                <w:szCs w:val="20"/>
              </w:rPr>
            </w:pPr>
            <w:r>
              <w:rPr>
                <w:rFonts w:cs="Arial"/>
                <w:color w:val="FF0000"/>
                <w:szCs w:val="20"/>
              </w:rPr>
              <w:t>TBD</w:t>
            </w:r>
            <w:r w:rsidR="003E63B9">
              <w:rPr>
                <w:rFonts w:cs="Arial"/>
                <w:color w:val="FF0000"/>
                <w:szCs w:val="20"/>
              </w:rPr>
              <w:t xml:space="preserve"> (See EAD tables for the measure codes)</w:t>
            </w:r>
            <w:r w:rsidR="00AC5309" w:rsidRPr="00500C4E">
              <w:rPr>
                <w:rFonts w:cs="Arial"/>
                <w:color w:val="FF0000"/>
                <w:szCs w:val="20"/>
              </w:rPr>
              <w:t xml:space="preserve"> </w:t>
            </w:r>
          </w:p>
        </w:tc>
      </w:tr>
      <w:tr w:rsidR="00AC5309" w:rsidRPr="00500C4E" w14:paraId="7FF28709" w14:textId="77777777" w:rsidTr="00920905">
        <w:trPr>
          <w:trHeight w:val="465"/>
        </w:trPr>
        <w:tc>
          <w:tcPr>
            <w:tcW w:w="1875" w:type="pct"/>
          </w:tcPr>
          <w:p w14:paraId="6F00C2B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B3B6085" w14:textId="77F515B1" w:rsidR="00290ED8" w:rsidRPr="00500C4E" w:rsidRDefault="004E0817">
            <w:pPr>
              <w:rPr>
                <w:rFonts w:cs="Arial"/>
                <w:color w:val="FF0000"/>
                <w:szCs w:val="20"/>
              </w:rPr>
            </w:pPr>
            <w:r w:rsidRPr="004E0817">
              <w:rPr>
                <w:rFonts w:cs="Arial"/>
                <w:szCs w:val="20"/>
              </w:rPr>
              <w:t>Flow control valves reduce the flowrate at both hot and cold-water lines in faucets and at the fixture in showerheads.</w:t>
            </w:r>
          </w:p>
        </w:tc>
      </w:tr>
      <w:tr w:rsidR="00AC5309" w:rsidRPr="00500C4E" w14:paraId="307F4AC3" w14:textId="77777777" w:rsidTr="00920905">
        <w:trPr>
          <w:trHeight w:val="465"/>
        </w:trPr>
        <w:tc>
          <w:tcPr>
            <w:tcW w:w="1875" w:type="pct"/>
          </w:tcPr>
          <w:p w14:paraId="1633515E"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9C5489B" w14:textId="05DB6CD4" w:rsidR="00290ED8" w:rsidRPr="00500C4E" w:rsidRDefault="004E0817">
            <w:pPr>
              <w:rPr>
                <w:rFonts w:cs="Arial"/>
                <w:color w:val="FF0000"/>
                <w:szCs w:val="20"/>
              </w:rPr>
            </w:pPr>
            <w:r w:rsidRPr="004E0817">
              <w:rPr>
                <w:rFonts w:cs="Arial"/>
                <w:szCs w:val="20"/>
              </w:rPr>
              <w:t xml:space="preserve">Faucets and showerhead without any flow restriction devices. </w:t>
            </w:r>
          </w:p>
        </w:tc>
      </w:tr>
      <w:tr w:rsidR="00D36798" w:rsidRPr="00500C4E" w14:paraId="0E1A2FE3" w14:textId="77777777" w:rsidTr="00920905">
        <w:trPr>
          <w:trHeight w:val="465"/>
        </w:trPr>
        <w:tc>
          <w:tcPr>
            <w:tcW w:w="1875" w:type="pct"/>
          </w:tcPr>
          <w:p w14:paraId="1E63D64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71F7D63" w14:textId="60480BCB" w:rsidR="00D36798" w:rsidRPr="00500C4E" w:rsidRDefault="00932DD9">
            <w:pPr>
              <w:rPr>
                <w:rFonts w:cs="Arial"/>
                <w:color w:val="FF0000"/>
                <w:szCs w:val="20"/>
              </w:rPr>
            </w:pPr>
            <w:r w:rsidRPr="00932DD9">
              <w:rPr>
                <w:rFonts w:cs="Arial"/>
                <w:szCs w:val="20"/>
              </w:rPr>
              <w:t>Fixture</w:t>
            </w:r>
          </w:p>
        </w:tc>
      </w:tr>
      <w:tr w:rsidR="00290ED8" w:rsidRPr="00500C4E" w14:paraId="712CDEBA" w14:textId="77777777" w:rsidTr="00920905">
        <w:trPr>
          <w:trHeight w:val="465"/>
        </w:trPr>
        <w:tc>
          <w:tcPr>
            <w:tcW w:w="1875" w:type="pct"/>
          </w:tcPr>
          <w:p w14:paraId="1DABC0C1"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610E62CF" w14:textId="2F33A785" w:rsidR="00AC2F5B" w:rsidRPr="00920905" w:rsidRDefault="00AC2F5B">
            <w:pPr>
              <w:rPr>
                <w:rFonts w:cs="Arial"/>
                <w:color w:val="FF0000"/>
                <w:szCs w:val="20"/>
              </w:rPr>
            </w:pPr>
          </w:p>
          <w:p w14:paraId="7FF18FF6" w14:textId="4C6822B3" w:rsidR="00290ED8" w:rsidRPr="00500C4E" w:rsidRDefault="00D36798">
            <w:pPr>
              <w:rPr>
                <w:rFonts w:cs="Arial"/>
                <w:szCs w:val="20"/>
              </w:rPr>
            </w:pPr>
            <w:r w:rsidRPr="00500C4E">
              <w:rPr>
                <w:rFonts w:cs="Arial"/>
                <w:szCs w:val="20"/>
              </w:rPr>
              <w:t>Refer to Excel Calculation Attachment</w:t>
            </w:r>
            <w:r w:rsidR="00F51EEF">
              <w:rPr>
                <w:rFonts w:cs="Arial"/>
                <w:szCs w:val="20"/>
              </w:rPr>
              <w:t xml:space="preserve"> (Attachment H</w:t>
            </w:r>
            <w:r w:rsidR="006A57EC">
              <w:rPr>
                <w:rFonts w:cs="Arial"/>
                <w:szCs w:val="20"/>
              </w:rPr>
              <w:t>)</w:t>
            </w:r>
          </w:p>
        </w:tc>
      </w:tr>
      <w:tr w:rsidR="00290ED8" w:rsidRPr="00500C4E" w14:paraId="6C1ABE86" w14:textId="77777777" w:rsidTr="00920905">
        <w:trPr>
          <w:trHeight w:val="465"/>
        </w:trPr>
        <w:tc>
          <w:tcPr>
            <w:tcW w:w="1875" w:type="pct"/>
          </w:tcPr>
          <w:p w14:paraId="61698A44"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213EC5F7" w14:textId="77777777" w:rsidR="00457691" w:rsidRDefault="00457691" w:rsidP="00457691">
            <w:pPr>
              <w:rPr>
                <w:rFonts w:cs="Arial"/>
                <w:color w:val="FF0000"/>
                <w:szCs w:val="20"/>
              </w:rPr>
            </w:pPr>
            <w:r w:rsidRPr="00A44FEF">
              <w:rPr>
                <w:rFonts w:cs="Arial"/>
                <w:szCs w:val="20"/>
              </w:rPr>
              <w:t xml:space="preserve">FCV showerheads: </w:t>
            </w:r>
            <w:r>
              <w:rPr>
                <w:rFonts w:cstheme="minorHAnsi"/>
                <w:szCs w:val="20"/>
              </w:rPr>
              <w:t>$41.74</w:t>
            </w:r>
          </w:p>
          <w:p w14:paraId="3EAF74A5" w14:textId="3D6E98E1" w:rsidR="00290ED8" w:rsidRPr="00500C4E" w:rsidRDefault="00457691" w:rsidP="00457691">
            <w:pPr>
              <w:rPr>
                <w:rFonts w:cs="Arial"/>
                <w:szCs w:val="20"/>
              </w:rPr>
            </w:pPr>
            <w:r w:rsidRPr="00A44FEF">
              <w:rPr>
                <w:rFonts w:cs="Arial"/>
                <w:szCs w:val="20"/>
              </w:rPr>
              <w:t xml:space="preserve">FCV faucets: </w:t>
            </w:r>
            <w:r w:rsidR="00FF173C">
              <w:rPr>
                <w:rFonts w:cstheme="minorHAnsi"/>
                <w:szCs w:val="20"/>
              </w:rPr>
              <w:t>$58.48</w:t>
            </w:r>
          </w:p>
        </w:tc>
      </w:tr>
      <w:tr w:rsidR="00AC5309" w:rsidRPr="00500C4E" w14:paraId="13A18831" w14:textId="77777777" w:rsidTr="00920905">
        <w:trPr>
          <w:trHeight w:val="465"/>
        </w:trPr>
        <w:tc>
          <w:tcPr>
            <w:tcW w:w="1875" w:type="pct"/>
          </w:tcPr>
          <w:p w14:paraId="590BF9B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114B1E3B" w14:textId="0EC4DB95" w:rsidR="00290ED8" w:rsidRDefault="00AE4890" w:rsidP="00AC2F5B">
            <w:pPr>
              <w:rPr>
                <w:rFonts w:cs="Arial"/>
                <w:color w:val="FF0000"/>
                <w:szCs w:val="20"/>
              </w:rPr>
            </w:pPr>
            <w:r w:rsidRPr="00A44FEF">
              <w:rPr>
                <w:rFonts w:cs="Arial"/>
                <w:szCs w:val="20"/>
              </w:rPr>
              <w:t>FCV showerheads:</w:t>
            </w:r>
            <w:r w:rsidR="00A44FEF" w:rsidRPr="00A44FEF">
              <w:rPr>
                <w:rFonts w:cs="Arial"/>
                <w:szCs w:val="20"/>
              </w:rPr>
              <w:t xml:space="preserve"> </w:t>
            </w:r>
            <w:r w:rsidR="00A44FEF">
              <w:rPr>
                <w:rFonts w:cstheme="minorHAnsi"/>
                <w:szCs w:val="20"/>
              </w:rPr>
              <w:t>$41.74</w:t>
            </w:r>
          </w:p>
          <w:p w14:paraId="54F344C1" w14:textId="3CCFDFC9" w:rsidR="00AE4890" w:rsidRPr="00500C4E" w:rsidRDefault="00AE4890" w:rsidP="00AC2F5B">
            <w:pPr>
              <w:rPr>
                <w:rFonts w:cs="Arial"/>
                <w:szCs w:val="20"/>
              </w:rPr>
            </w:pPr>
            <w:r w:rsidRPr="00A44FEF">
              <w:rPr>
                <w:rFonts w:cs="Arial"/>
                <w:szCs w:val="20"/>
              </w:rPr>
              <w:t>FCV faucets:</w:t>
            </w:r>
            <w:r w:rsidR="00A44FEF" w:rsidRPr="00A44FEF">
              <w:rPr>
                <w:rFonts w:cs="Arial"/>
                <w:szCs w:val="20"/>
              </w:rPr>
              <w:t xml:space="preserve"> </w:t>
            </w:r>
            <w:r w:rsidR="00FF173C">
              <w:rPr>
                <w:rFonts w:cstheme="minorHAnsi"/>
                <w:szCs w:val="20"/>
              </w:rPr>
              <w:t>$58.48</w:t>
            </w:r>
          </w:p>
        </w:tc>
      </w:tr>
      <w:tr w:rsidR="00290ED8" w:rsidRPr="00500C4E" w14:paraId="2319E303" w14:textId="77777777" w:rsidTr="00920905">
        <w:trPr>
          <w:trHeight w:val="465"/>
        </w:trPr>
        <w:tc>
          <w:tcPr>
            <w:tcW w:w="1875" w:type="pct"/>
          </w:tcPr>
          <w:p w14:paraId="36F27EBE"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A079215" w14:textId="77777777" w:rsidR="00290ED8" w:rsidRDefault="00DC4DF6">
            <w:pPr>
              <w:rPr>
                <w:szCs w:val="20"/>
              </w:rPr>
            </w:pPr>
            <w:r>
              <w:rPr>
                <w:szCs w:val="20"/>
              </w:rPr>
              <w:t xml:space="preserve">FCVs applied to showerheads-EUL ID: </w:t>
            </w:r>
            <w:r w:rsidRPr="002E5766">
              <w:rPr>
                <w:szCs w:val="20"/>
              </w:rPr>
              <w:t>WtrHt-WH-Shrhd</w:t>
            </w:r>
          </w:p>
          <w:p w14:paraId="465AC3E4" w14:textId="254C0D0E" w:rsidR="00DC4DF6" w:rsidRPr="00500C4E" w:rsidRDefault="00DC4DF6">
            <w:pPr>
              <w:rPr>
                <w:rFonts w:cs="Arial"/>
                <w:color w:val="FF0000"/>
                <w:szCs w:val="20"/>
              </w:rPr>
            </w:pPr>
            <w:r w:rsidRPr="00DC4DF6">
              <w:rPr>
                <w:rFonts w:cs="Arial"/>
                <w:szCs w:val="20"/>
              </w:rPr>
              <w:t xml:space="preserve">FCVs applied to faucets – EUL ID: </w:t>
            </w:r>
            <w:r w:rsidRPr="006D3D4C">
              <w:rPr>
                <w:szCs w:val="20"/>
              </w:rPr>
              <w:t>WtrHt-WH-Faucet</w:t>
            </w:r>
          </w:p>
        </w:tc>
      </w:tr>
      <w:tr w:rsidR="00AC5309" w:rsidRPr="00500C4E" w14:paraId="0E73D1D1" w14:textId="77777777" w:rsidTr="00920905">
        <w:trPr>
          <w:trHeight w:val="465"/>
        </w:trPr>
        <w:tc>
          <w:tcPr>
            <w:tcW w:w="1875" w:type="pct"/>
          </w:tcPr>
          <w:p w14:paraId="3326B41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6ED8CE6B" w14:textId="6B7EF2BE" w:rsidR="00290ED8" w:rsidRPr="00FF4E21" w:rsidRDefault="001C1338">
            <w:pPr>
              <w:rPr>
                <w:rFonts w:cs="Arial"/>
                <w:szCs w:val="20"/>
              </w:rPr>
            </w:pPr>
            <w:r w:rsidRPr="00FF4E21">
              <w:rPr>
                <w:szCs w:val="20"/>
              </w:rPr>
              <w:t>Retrofit Add-on (REA)</w:t>
            </w:r>
          </w:p>
        </w:tc>
      </w:tr>
      <w:tr w:rsidR="00290ED8" w:rsidRPr="00500C4E" w14:paraId="30F1CA4E" w14:textId="77777777" w:rsidTr="00920905">
        <w:trPr>
          <w:trHeight w:val="465"/>
        </w:trPr>
        <w:tc>
          <w:tcPr>
            <w:tcW w:w="1875" w:type="pct"/>
          </w:tcPr>
          <w:p w14:paraId="0C44E49E"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1A8460" w14:textId="1C89519F" w:rsidR="00290ED8" w:rsidRPr="004463DD" w:rsidRDefault="00AF7AB9">
            <w:pPr>
              <w:rPr>
                <w:lang w:eastAsia="ko-KR"/>
              </w:rPr>
            </w:pPr>
            <w:r>
              <w:rPr>
                <w:rFonts w:cs="Arial"/>
                <w:szCs w:val="20"/>
              </w:rPr>
              <w:t>FCVs in Residential faucets:</w:t>
            </w:r>
            <w:r w:rsidR="008A3FD3" w:rsidRPr="004463DD">
              <w:rPr>
                <w:rFonts w:cs="Arial"/>
                <w:szCs w:val="20"/>
              </w:rPr>
              <w:t xml:space="preserve"> </w:t>
            </w:r>
            <w:r w:rsidR="008A3FD3" w:rsidRPr="004463DD">
              <w:rPr>
                <w:lang w:eastAsia="ko-KR"/>
              </w:rPr>
              <w:t>Res-mDHWaerator</w:t>
            </w:r>
          </w:p>
          <w:p w14:paraId="6D44E86D" w14:textId="205162C3" w:rsidR="008A3FD3" w:rsidRPr="004463DD" w:rsidRDefault="00AF7AB9">
            <w:pPr>
              <w:rPr>
                <w:szCs w:val="20"/>
              </w:rPr>
            </w:pPr>
            <w:r>
              <w:rPr>
                <w:lang w:eastAsia="ko-KR"/>
              </w:rPr>
              <w:t>FCVs in commercial faucets</w:t>
            </w:r>
            <w:r w:rsidR="008A3FD3" w:rsidRPr="004463DD">
              <w:rPr>
                <w:lang w:eastAsia="ko-KR"/>
              </w:rPr>
              <w:t xml:space="preserve">: </w:t>
            </w:r>
            <w:r w:rsidR="008A3FD3" w:rsidRPr="004463DD">
              <w:rPr>
                <w:szCs w:val="20"/>
              </w:rPr>
              <w:t>All-Default&lt;=2yrs</w:t>
            </w:r>
          </w:p>
          <w:p w14:paraId="393DDAA7" w14:textId="26EE64A5" w:rsidR="008A3FD3" w:rsidRPr="004463DD" w:rsidRDefault="00AF7AB9">
            <w:pPr>
              <w:rPr>
                <w:rFonts w:cstheme="minorHAnsi"/>
                <w:sz w:val="22"/>
                <w:szCs w:val="22"/>
              </w:rPr>
            </w:pPr>
            <w:r>
              <w:rPr>
                <w:szCs w:val="20"/>
              </w:rPr>
              <w:t>FCVs in r</w:t>
            </w:r>
            <w:r w:rsidR="008A3FD3" w:rsidRPr="004463DD">
              <w:rPr>
                <w:szCs w:val="20"/>
              </w:rPr>
              <w:t>es</w:t>
            </w:r>
            <w:r>
              <w:rPr>
                <w:szCs w:val="20"/>
              </w:rPr>
              <w:t>idential s</w:t>
            </w:r>
            <w:r w:rsidR="008A3FD3" w:rsidRPr="004463DD">
              <w:rPr>
                <w:szCs w:val="20"/>
              </w:rPr>
              <w:t xml:space="preserve">howerhead: </w:t>
            </w:r>
            <w:r w:rsidR="008A3FD3" w:rsidRPr="004463DD">
              <w:rPr>
                <w:rFonts w:cstheme="minorHAnsi"/>
                <w:sz w:val="22"/>
                <w:szCs w:val="22"/>
              </w:rPr>
              <w:t>Res-LowF-SH-All</w:t>
            </w:r>
          </w:p>
          <w:p w14:paraId="7A29CEDC" w14:textId="12B69F46" w:rsidR="008A3FD3" w:rsidRPr="008A3FD3" w:rsidRDefault="00AF7AB9">
            <w:pPr>
              <w:rPr>
                <w:rFonts w:cs="Arial"/>
                <w:color w:val="00B050"/>
                <w:szCs w:val="20"/>
              </w:rPr>
            </w:pPr>
            <w:r>
              <w:rPr>
                <w:rFonts w:cstheme="minorHAnsi"/>
                <w:sz w:val="22"/>
                <w:szCs w:val="22"/>
              </w:rPr>
              <w:t xml:space="preserve">FCVs in commercial </w:t>
            </w:r>
            <w:r w:rsidR="008A3FD3" w:rsidRPr="004463DD">
              <w:rPr>
                <w:rFonts w:cstheme="minorHAnsi"/>
                <w:sz w:val="22"/>
                <w:szCs w:val="22"/>
              </w:rPr>
              <w:t xml:space="preserve">Showerhead: </w:t>
            </w:r>
            <w:r w:rsidR="008A3FD3" w:rsidRPr="004463DD">
              <w:rPr>
                <w:szCs w:val="20"/>
              </w:rPr>
              <w:t>ALL-Default&lt;=2yrs</w:t>
            </w:r>
          </w:p>
        </w:tc>
      </w:tr>
      <w:tr w:rsidR="00290ED8" w:rsidRPr="00500C4E" w14:paraId="701B47E2" w14:textId="77777777" w:rsidTr="00920905">
        <w:trPr>
          <w:trHeight w:val="465"/>
        </w:trPr>
        <w:tc>
          <w:tcPr>
            <w:tcW w:w="1875" w:type="pct"/>
          </w:tcPr>
          <w:p w14:paraId="46EAD9E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AB5EB93"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1A18F01" w14:textId="77777777" w:rsidR="00AC5309" w:rsidRPr="00500C4E" w:rsidRDefault="00AC5309">
      <w:pPr>
        <w:spacing w:after="200" w:line="276" w:lineRule="auto"/>
        <w:rPr>
          <w:rFonts w:cstheme="minorHAnsi"/>
          <w:b/>
          <w:bCs/>
          <w:smallCaps/>
          <w:kern w:val="32"/>
          <w:sz w:val="36"/>
          <w:szCs w:val="32"/>
        </w:rPr>
      </w:pPr>
    </w:p>
    <w:p w14:paraId="0DF7F468"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7C67E17D" w14:textId="77777777" w:rsidR="0088361D" w:rsidRPr="00500C4E" w:rsidRDefault="00EB34FC" w:rsidP="00C959CA">
      <w:pPr>
        <w:pStyle w:val="Heading1"/>
      </w:pPr>
      <w:bookmarkStart w:id="8" w:name="_Toc515621120"/>
      <w:r w:rsidRPr="00500C4E">
        <w:lastRenderedPageBreak/>
        <w:t>Revision History</w:t>
      </w:r>
      <w:bookmarkEnd w:id="8"/>
    </w:p>
    <w:tbl>
      <w:tblPr>
        <w:tblStyle w:val="TableGrid1"/>
        <w:tblW w:w="5000" w:type="pct"/>
        <w:tblLook w:val="01E0" w:firstRow="1" w:lastRow="1" w:firstColumn="1" w:lastColumn="1" w:noHBand="0" w:noVBand="0"/>
      </w:tblPr>
      <w:tblGrid>
        <w:gridCol w:w="524"/>
        <w:gridCol w:w="980"/>
        <w:gridCol w:w="1821"/>
        <w:gridCol w:w="6025"/>
      </w:tblGrid>
      <w:tr w:rsidR="003845E5" w:rsidRPr="00500C4E" w14:paraId="7D405AFF" w14:textId="77777777" w:rsidTr="00322681">
        <w:trPr>
          <w:trHeight w:val="20"/>
        </w:trPr>
        <w:tc>
          <w:tcPr>
            <w:tcW w:w="280" w:type="pct"/>
            <w:shd w:val="clear" w:color="auto" w:fill="D9D9D9" w:themeFill="background1" w:themeFillShade="D9"/>
          </w:tcPr>
          <w:p w14:paraId="384282F4" w14:textId="77777777"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6AA69EEF" w14:textId="77777777" w:rsidR="00933188" w:rsidRPr="00500C4E" w:rsidRDefault="00933188" w:rsidP="005729C8">
            <w:pPr>
              <w:rPr>
                <w:rFonts w:cstheme="minorHAnsi"/>
                <w:b/>
                <w:bCs/>
                <w:szCs w:val="20"/>
              </w:rPr>
            </w:pPr>
            <w:r w:rsidRPr="00920905">
              <w:rPr>
                <w:rFonts w:cstheme="minorHAnsi"/>
                <w:b/>
                <w:szCs w:val="20"/>
              </w:rPr>
              <w:t>Date</w:t>
            </w:r>
          </w:p>
        </w:tc>
        <w:tc>
          <w:tcPr>
            <w:tcW w:w="974" w:type="pct"/>
            <w:shd w:val="clear" w:color="auto" w:fill="D9D9D9" w:themeFill="background1" w:themeFillShade="D9"/>
          </w:tcPr>
          <w:p w14:paraId="152C1DEE" w14:textId="77777777" w:rsidR="00933188" w:rsidRPr="00500C4E" w:rsidRDefault="003845E5" w:rsidP="003845E5">
            <w:pPr>
              <w:rPr>
                <w:rFonts w:cstheme="minorHAnsi"/>
                <w:b/>
                <w:bCs/>
                <w:szCs w:val="20"/>
              </w:rPr>
            </w:pPr>
            <w:r>
              <w:rPr>
                <w:rFonts w:cstheme="minorHAnsi"/>
                <w:b/>
                <w:szCs w:val="20"/>
              </w:rPr>
              <w:t>Author</w:t>
            </w:r>
          </w:p>
        </w:tc>
        <w:tc>
          <w:tcPr>
            <w:tcW w:w="3222" w:type="pct"/>
            <w:shd w:val="clear" w:color="auto" w:fill="D9D9D9" w:themeFill="background1" w:themeFillShade="D9"/>
          </w:tcPr>
          <w:p w14:paraId="5884E48A"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D8144B2" w14:textId="77777777" w:rsidTr="00322681">
        <w:trPr>
          <w:trHeight w:val="20"/>
        </w:trPr>
        <w:tc>
          <w:tcPr>
            <w:tcW w:w="280" w:type="pct"/>
          </w:tcPr>
          <w:p w14:paraId="28EFD2D0" w14:textId="77777777" w:rsidR="00933188" w:rsidRPr="00920905" w:rsidRDefault="00933188" w:rsidP="005729C8">
            <w:pPr>
              <w:rPr>
                <w:rFonts w:cstheme="minorHAnsi"/>
                <w:color w:val="FF0000"/>
                <w:szCs w:val="20"/>
              </w:rPr>
            </w:pPr>
            <w:r w:rsidRPr="00060993">
              <w:rPr>
                <w:rFonts w:cstheme="minorHAnsi"/>
                <w:szCs w:val="20"/>
              </w:rPr>
              <w:t>0</w:t>
            </w:r>
          </w:p>
        </w:tc>
        <w:tc>
          <w:tcPr>
            <w:tcW w:w="524" w:type="pct"/>
          </w:tcPr>
          <w:p w14:paraId="137737E1" w14:textId="2CC54524" w:rsidR="00933188" w:rsidRPr="00920905" w:rsidRDefault="00DC0391" w:rsidP="005729C8">
            <w:pPr>
              <w:rPr>
                <w:rFonts w:cstheme="minorHAnsi"/>
                <w:color w:val="FF0000"/>
                <w:szCs w:val="20"/>
              </w:rPr>
            </w:pPr>
            <w:r>
              <w:rPr>
                <w:rFonts w:cstheme="minorHAnsi"/>
                <w:szCs w:val="20"/>
              </w:rPr>
              <w:t>5/4</w:t>
            </w:r>
            <w:r w:rsidR="00060993" w:rsidRPr="00060993">
              <w:rPr>
                <w:rFonts w:cstheme="minorHAnsi"/>
                <w:szCs w:val="20"/>
              </w:rPr>
              <w:t>/2018</w:t>
            </w:r>
          </w:p>
        </w:tc>
        <w:tc>
          <w:tcPr>
            <w:tcW w:w="974" w:type="pct"/>
          </w:tcPr>
          <w:p w14:paraId="5FA75CB2" w14:textId="2E146C3D" w:rsidR="00933188" w:rsidRPr="00920905" w:rsidRDefault="00060993" w:rsidP="001B2301">
            <w:pPr>
              <w:rPr>
                <w:rFonts w:cstheme="minorHAnsi"/>
                <w:color w:val="FF0000"/>
                <w:szCs w:val="20"/>
              </w:rPr>
            </w:pPr>
            <w:r w:rsidRPr="00060993">
              <w:rPr>
                <w:rFonts w:cstheme="minorHAnsi"/>
                <w:szCs w:val="20"/>
              </w:rPr>
              <w:t>Carlos Pineda(SCG)</w:t>
            </w:r>
          </w:p>
        </w:tc>
        <w:tc>
          <w:tcPr>
            <w:tcW w:w="3222" w:type="pct"/>
          </w:tcPr>
          <w:p w14:paraId="4A1E7527" w14:textId="6F20C358" w:rsidR="0036726C" w:rsidRPr="00500C4E" w:rsidRDefault="00322681" w:rsidP="006B0511">
            <w:pPr>
              <w:pStyle w:val="ListParagraph"/>
              <w:numPr>
                <w:ilvl w:val="0"/>
                <w:numId w:val="2"/>
              </w:numPr>
            </w:pPr>
            <w:r>
              <w:t>Initial</w:t>
            </w:r>
            <w:r w:rsidR="00060993">
              <w:t xml:space="preserve"> Release</w:t>
            </w:r>
          </w:p>
        </w:tc>
      </w:tr>
      <w:tr w:rsidR="003845E5" w:rsidRPr="00500C4E" w14:paraId="2B0F53C7" w14:textId="77777777" w:rsidTr="00322681">
        <w:trPr>
          <w:trHeight w:val="20"/>
        </w:trPr>
        <w:tc>
          <w:tcPr>
            <w:tcW w:w="280" w:type="pct"/>
          </w:tcPr>
          <w:p w14:paraId="333506E1" w14:textId="77777777" w:rsidR="0036726C" w:rsidRPr="00500C4E" w:rsidRDefault="0036726C" w:rsidP="005729C8">
            <w:pPr>
              <w:rPr>
                <w:rFonts w:cstheme="minorHAnsi"/>
                <w:szCs w:val="20"/>
              </w:rPr>
            </w:pPr>
          </w:p>
        </w:tc>
        <w:tc>
          <w:tcPr>
            <w:tcW w:w="524" w:type="pct"/>
          </w:tcPr>
          <w:p w14:paraId="1455B1A5" w14:textId="77777777" w:rsidR="0036726C" w:rsidRPr="00500C4E" w:rsidRDefault="0036726C" w:rsidP="005729C8">
            <w:pPr>
              <w:rPr>
                <w:rFonts w:cstheme="minorHAnsi"/>
                <w:szCs w:val="20"/>
              </w:rPr>
            </w:pPr>
          </w:p>
        </w:tc>
        <w:tc>
          <w:tcPr>
            <w:tcW w:w="974" w:type="pct"/>
          </w:tcPr>
          <w:p w14:paraId="368CBA7E" w14:textId="77777777" w:rsidR="0036726C" w:rsidRPr="00500C4E" w:rsidRDefault="0036726C" w:rsidP="005729C8">
            <w:pPr>
              <w:rPr>
                <w:rFonts w:cstheme="minorHAnsi"/>
                <w:szCs w:val="20"/>
              </w:rPr>
            </w:pPr>
          </w:p>
        </w:tc>
        <w:tc>
          <w:tcPr>
            <w:tcW w:w="3222" w:type="pct"/>
          </w:tcPr>
          <w:p w14:paraId="4FDB4C6A" w14:textId="77777777" w:rsidR="0036726C" w:rsidRPr="00500C4E" w:rsidRDefault="0036726C" w:rsidP="005729C8">
            <w:pPr>
              <w:rPr>
                <w:rFonts w:cstheme="minorHAnsi"/>
                <w:bCs/>
                <w:szCs w:val="20"/>
              </w:rPr>
            </w:pPr>
          </w:p>
        </w:tc>
      </w:tr>
    </w:tbl>
    <w:p w14:paraId="69807600" w14:textId="77777777" w:rsidR="006B0511" w:rsidRDefault="006B0511" w:rsidP="00BA5FE4">
      <w:pPr>
        <w:spacing w:line="276" w:lineRule="auto"/>
        <w:rPr>
          <w:szCs w:val="20"/>
        </w:rPr>
      </w:pPr>
    </w:p>
    <w:p w14:paraId="72F8B83A" w14:textId="77777777" w:rsidR="006B0511" w:rsidRDefault="006B0511" w:rsidP="00BA5FE4">
      <w:pPr>
        <w:spacing w:line="276" w:lineRule="auto"/>
        <w:rPr>
          <w:szCs w:val="20"/>
        </w:rPr>
      </w:pPr>
    </w:p>
    <w:p w14:paraId="386B8571" w14:textId="77777777" w:rsidR="006B0511" w:rsidRDefault="006B0511">
      <w:pPr>
        <w:spacing w:after="200" w:line="276" w:lineRule="auto"/>
        <w:rPr>
          <w:szCs w:val="20"/>
        </w:rPr>
      </w:pPr>
      <w:r>
        <w:rPr>
          <w:szCs w:val="20"/>
        </w:rPr>
        <w:br w:type="page"/>
      </w:r>
    </w:p>
    <w:sdt>
      <w:sdtPr>
        <w:rPr>
          <w:rFonts w:asciiTheme="minorHAnsi" w:eastAsia="Times New Roman" w:hAnsiTheme="minorHAnsi" w:cs="Times New Roman"/>
          <w:color w:val="auto"/>
          <w:sz w:val="22"/>
          <w:szCs w:val="24"/>
        </w:rPr>
        <w:id w:val="-2112888625"/>
        <w:docPartObj>
          <w:docPartGallery w:val="Table of Contents"/>
          <w:docPartUnique/>
        </w:docPartObj>
      </w:sdtPr>
      <w:sdtEndPr>
        <w:rPr>
          <w:b/>
          <w:bCs/>
          <w:noProof/>
        </w:rPr>
      </w:sdtEndPr>
      <w:sdtContent>
        <w:p w14:paraId="22D25743" w14:textId="798366B5" w:rsidR="006B0511" w:rsidRDefault="006B0511">
          <w:pPr>
            <w:pStyle w:val="TOCHeading"/>
          </w:pPr>
          <w:r>
            <w:t>Table of Contents</w:t>
          </w:r>
        </w:p>
        <w:p w14:paraId="1F65DE79" w14:textId="2507D54D" w:rsidR="00BA2538" w:rsidRDefault="006B0511">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15621119" w:history="1">
            <w:r w:rsidR="00BA2538" w:rsidRPr="006D4B26">
              <w:rPr>
                <w:rStyle w:val="Hyperlink"/>
                <w:noProof/>
              </w:rPr>
              <w:t>At-a-Glance Summary</w:t>
            </w:r>
            <w:r w:rsidR="00BA2538">
              <w:rPr>
                <w:noProof/>
                <w:webHidden/>
              </w:rPr>
              <w:tab/>
            </w:r>
            <w:r w:rsidR="00BA2538">
              <w:rPr>
                <w:noProof/>
                <w:webHidden/>
              </w:rPr>
              <w:fldChar w:fldCharType="begin"/>
            </w:r>
            <w:r w:rsidR="00BA2538">
              <w:rPr>
                <w:noProof/>
                <w:webHidden/>
              </w:rPr>
              <w:instrText xml:space="preserve"> PAGEREF _Toc515621119 \h </w:instrText>
            </w:r>
            <w:r w:rsidR="00BA2538">
              <w:rPr>
                <w:noProof/>
                <w:webHidden/>
              </w:rPr>
            </w:r>
            <w:r w:rsidR="00BA2538">
              <w:rPr>
                <w:noProof/>
                <w:webHidden/>
              </w:rPr>
              <w:fldChar w:fldCharType="separate"/>
            </w:r>
            <w:r w:rsidR="00BA2538">
              <w:rPr>
                <w:noProof/>
                <w:webHidden/>
              </w:rPr>
              <w:t>2</w:t>
            </w:r>
            <w:r w:rsidR="00BA2538">
              <w:rPr>
                <w:noProof/>
                <w:webHidden/>
              </w:rPr>
              <w:fldChar w:fldCharType="end"/>
            </w:r>
          </w:hyperlink>
        </w:p>
        <w:p w14:paraId="2214906A" w14:textId="118E586B" w:rsidR="00BA2538" w:rsidRDefault="00F52A30">
          <w:pPr>
            <w:pStyle w:val="TOC1"/>
            <w:tabs>
              <w:tab w:val="right" w:leader="dot" w:pos="9350"/>
            </w:tabs>
            <w:rPr>
              <w:rFonts w:eastAsiaTheme="minorEastAsia" w:cstheme="minorBidi"/>
              <w:noProof/>
              <w:szCs w:val="22"/>
            </w:rPr>
          </w:pPr>
          <w:hyperlink w:anchor="_Toc515621120" w:history="1">
            <w:r w:rsidR="00BA2538" w:rsidRPr="006D4B26">
              <w:rPr>
                <w:rStyle w:val="Hyperlink"/>
                <w:noProof/>
              </w:rPr>
              <w:t>Revision History</w:t>
            </w:r>
            <w:r w:rsidR="00BA2538">
              <w:rPr>
                <w:noProof/>
                <w:webHidden/>
              </w:rPr>
              <w:tab/>
            </w:r>
            <w:r w:rsidR="00BA2538">
              <w:rPr>
                <w:noProof/>
                <w:webHidden/>
              </w:rPr>
              <w:fldChar w:fldCharType="begin"/>
            </w:r>
            <w:r w:rsidR="00BA2538">
              <w:rPr>
                <w:noProof/>
                <w:webHidden/>
              </w:rPr>
              <w:instrText xml:space="preserve"> PAGEREF _Toc515621120 \h </w:instrText>
            </w:r>
            <w:r w:rsidR="00BA2538">
              <w:rPr>
                <w:noProof/>
                <w:webHidden/>
              </w:rPr>
            </w:r>
            <w:r w:rsidR="00BA2538">
              <w:rPr>
                <w:noProof/>
                <w:webHidden/>
              </w:rPr>
              <w:fldChar w:fldCharType="separate"/>
            </w:r>
            <w:r w:rsidR="00BA2538">
              <w:rPr>
                <w:noProof/>
                <w:webHidden/>
              </w:rPr>
              <w:t>3</w:t>
            </w:r>
            <w:r w:rsidR="00BA2538">
              <w:rPr>
                <w:noProof/>
                <w:webHidden/>
              </w:rPr>
              <w:fldChar w:fldCharType="end"/>
            </w:r>
          </w:hyperlink>
        </w:p>
        <w:p w14:paraId="09F4FECA" w14:textId="2FBE7E82" w:rsidR="00BA2538" w:rsidRDefault="00F52A30">
          <w:pPr>
            <w:pStyle w:val="TOC1"/>
            <w:tabs>
              <w:tab w:val="right" w:leader="dot" w:pos="9350"/>
            </w:tabs>
            <w:rPr>
              <w:rFonts w:eastAsiaTheme="minorEastAsia" w:cstheme="minorBidi"/>
              <w:noProof/>
              <w:szCs w:val="22"/>
            </w:rPr>
          </w:pPr>
          <w:hyperlink w:anchor="_Toc515621121" w:history="1">
            <w:r w:rsidR="00BA2538" w:rsidRPr="006D4B26">
              <w:rPr>
                <w:rStyle w:val="Hyperlink"/>
                <w:rFonts w:cstheme="minorHAnsi"/>
                <w:noProof/>
              </w:rPr>
              <w:t>Section 1. General Measure &amp; Baseline Data</w:t>
            </w:r>
            <w:r w:rsidR="00BA2538">
              <w:rPr>
                <w:noProof/>
                <w:webHidden/>
              </w:rPr>
              <w:tab/>
            </w:r>
            <w:r w:rsidR="00BA2538">
              <w:rPr>
                <w:noProof/>
                <w:webHidden/>
              </w:rPr>
              <w:fldChar w:fldCharType="begin"/>
            </w:r>
            <w:r w:rsidR="00BA2538">
              <w:rPr>
                <w:noProof/>
                <w:webHidden/>
              </w:rPr>
              <w:instrText xml:space="preserve"> PAGEREF _Toc515621121 \h </w:instrText>
            </w:r>
            <w:r w:rsidR="00BA2538">
              <w:rPr>
                <w:noProof/>
                <w:webHidden/>
              </w:rPr>
            </w:r>
            <w:r w:rsidR="00BA2538">
              <w:rPr>
                <w:noProof/>
                <w:webHidden/>
              </w:rPr>
              <w:fldChar w:fldCharType="separate"/>
            </w:r>
            <w:r w:rsidR="00BA2538">
              <w:rPr>
                <w:noProof/>
                <w:webHidden/>
              </w:rPr>
              <w:t>6</w:t>
            </w:r>
            <w:r w:rsidR="00BA2538">
              <w:rPr>
                <w:noProof/>
                <w:webHidden/>
              </w:rPr>
              <w:fldChar w:fldCharType="end"/>
            </w:r>
          </w:hyperlink>
        </w:p>
        <w:p w14:paraId="16DF3B6A" w14:textId="1D5ED029" w:rsidR="00BA2538" w:rsidRDefault="00F52A30">
          <w:pPr>
            <w:pStyle w:val="TOC2"/>
            <w:tabs>
              <w:tab w:val="right" w:leader="dot" w:pos="9350"/>
            </w:tabs>
            <w:rPr>
              <w:rFonts w:eastAsiaTheme="minorEastAsia" w:cstheme="minorBidi"/>
              <w:noProof/>
              <w:szCs w:val="22"/>
            </w:rPr>
          </w:pPr>
          <w:hyperlink w:anchor="_Toc515621122" w:history="1">
            <w:r w:rsidR="00BA2538" w:rsidRPr="006D4B26">
              <w:rPr>
                <w:rStyle w:val="Hyperlink"/>
                <w:noProof/>
              </w:rPr>
              <w:t>1.1 Measure Description &amp; Background</w:t>
            </w:r>
            <w:r w:rsidR="00BA2538">
              <w:rPr>
                <w:noProof/>
                <w:webHidden/>
              </w:rPr>
              <w:tab/>
            </w:r>
            <w:r w:rsidR="00BA2538">
              <w:rPr>
                <w:noProof/>
                <w:webHidden/>
              </w:rPr>
              <w:fldChar w:fldCharType="begin"/>
            </w:r>
            <w:r w:rsidR="00BA2538">
              <w:rPr>
                <w:noProof/>
                <w:webHidden/>
              </w:rPr>
              <w:instrText xml:space="preserve"> PAGEREF _Toc515621122 \h </w:instrText>
            </w:r>
            <w:r w:rsidR="00BA2538">
              <w:rPr>
                <w:noProof/>
                <w:webHidden/>
              </w:rPr>
            </w:r>
            <w:r w:rsidR="00BA2538">
              <w:rPr>
                <w:noProof/>
                <w:webHidden/>
              </w:rPr>
              <w:fldChar w:fldCharType="separate"/>
            </w:r>
            <w:r w:rsidR="00BA2538">
              <w:rPr>
                <w:noProof/>
                <w:webHidden/>
              </w:rPr>
              <w:t>6</w:t>
            </w:r>
            <w:r w:rsidR="00BA2538">
              <w:rPr>
                <w:noProof/>
                <w:webHidden/>
              </w:rPr>
              <w:fldChar w:fldCharType="end"/>
            </w:r>
          </w:hyperlink>
        </w:p>
        <w:p w14:paraId="0CF7158C" w14:textId="5D14DE67" w:rsidR="00BA2538" w:rsidRDefault="00F52A30">
          <w:pPr>
            <w:pStyle w:val="TOC2"/>
            <w:tabs>
              <w:tab w:val="right" w:leader="dot" w:pos="9350"/>
            </w:tabs>
            <w:rPr>
              <w:rFonts w:eastAsiaTheme="minorEastAsia" w:cstheme="minorBidi"/>
              <w:noProof/>
              <w:szCs w:val="22"/>
            </w:rPr>
          </w:pPr>
          <w:hyperlink w:anchor="_Toc515621123" w:history="1">
            <w:r w:rsidR="00BA2538" w:rsidRPr="006D4B26">
              <w:rPr>
                <w:rStyle w:val="Hyperlink"/>
                <w:noProof/>
              </w:rPr>
              <w:t>1.2 Technical Description</w:t>
            </w:r>
            <w:r w:rsidR="00BA2538">
              <w:rPr>
                <w:noProof/>
                <w:webHidden/>
              </w:rPr>
              <w:tab/>
            </w:r>
            <w:r w:rsidR="00BA2538">
              <w:rPr>
                <w:noProof/>
                <w:webHidden/>
              </w:rPr>
              <w:fldChar w:fldCharType="begin"/>
            </w:r>
            <w:r w:rsidR="00BA2538">
              <w:rPr>
                <w:noProof/>
                <w:webHidden/>
              </w:rPr>
              <w:instrText xml:space="preserve"> PAGEREF _Toc515621123 \h </w:instrText>
            </w:r>
            <w:r w:rsidR="00BA2538">
              <w:rPr>
                <w:noProof/>
                <w:webHidden/>
              </w:rPr>
            </w:r>
            <w:r w:rsidR="00BA2538">
              <w:rPr>
                <w:noProof/>
                <w:webHidden/>
              </w:rPr>
              <w:fldChar w:fldCharType="separate"/>
            </w:r>
            <w:r w:rsidR="00BA2538">
              <w:rPr>
                <w:noProof/>
                <w:webHidden/>
              </w:rPr>
              <w:t>8</w:t>
            </w:r>
            <w:r w:rsidR="00BA2538">
              <w:rPr>
                <w:noProof/>
                <w:webHidden/>
              </w:rPr>
              <w:fldChar w:fldCharType="end"/>
            </w:r>
          </w:hyperlink>
        </w:p>
        <w:p w14:paraId="7E024CA2" w14:textId="3165E48E" w:rsidR="00BA2538" w:rsidRDefault="00F52A30">
          <w:pPr>
            <w:pStyle w:val="TOC2"/>
            <w:tabs>
              <w:tab w:val="right" w:leader="dot" w:pos="9350"/>
            </w:tabs>
            <w:rPr>
              <w:rFonts w:eastAsiaTheme="minorEastAsia" w:cstheme="minorBidi"/>
              <w:noProof/>
              <w:szCs w:val="22"/>
            </w:rPr>
          </w:pPr>
          <w:hyperlink w:anchor="_Toc515621124" w:history="1">
            <w:r w:rsidR="00BA2538" w:rsidRPr="006D4B26">
              <w:rPr>
                <w:rStyle w:val="Hyperlink"/>
                <w:noProof/>
              </w:rPr>
              <w:t>1.3 Installation Types and Delivery Mechanisms</w:t>
            </w:r>
            <w:r w:rsidR="00BA2538">
              <w:rPr>
                <w:noProof/>
                <w:webHidden/>
              </w:rPr>
              <w:tab/>
            </w:r>
            <w:r w:rsidR="00BA2538">
              <w:rPr>
                <w:noProof/>
                <w:webHidden/>
              </w:rPr>
              <w:fldChar w:fldCharType="begin"/>
            </w:r>
            <w:r w:rsidR="00BA2538">
              <w:rPr>
                <w:noProof/>
                <w:webHidden/>
              </w:rPr>
              <w:instrText xml:space="preserve"> PAGEREF _Toc515621124 \h </w:instrText>
            </w:r>
            <w:r w:rsidR="00BA2538">
              <w:rPr>
                <w:noProof/>
                <w:webHidden/>
              </w:rPr>
            </w:r>
            <w:r w:rsidR="00BA2538">
              <w:rPr>
                <w:noProof/>
                <w:webHidden/>
              </w:rPr>
              <w:fldChar w:fldCharType="separate"/>
            </w:r>
            <w:r w:rsidR="00BA2538">
              <w:rPr>
                <w:noProof/>
                <w:webHidden/>
              </w:rPr>
              <w:t>8</w:t>
            </w:r>
            <w:r w:rsidR="00BA2538">
              <w:rPr>
                <w:noProof/>
                <w:webHidden/>
              </w:rPr>
              <w:fldChar w:fldCharType="end"/>
            </w:r>
          </w:hyperlink>
        </w:p>
        <w:p w14:paraId="3942EC92" w14:textId="3D8B15C6" w:rsidR="00BA2538" w:rsidRDefault="00F52A30">
          <w:pPr>
            <w:pStyle w:val="TOC2"/>
            <w:tabs>
              <w:tab w:val="right" w:leader="dot" w:pos="9350"/>
            </w:tabs>
            <w:rPr>
              <w:rFonts w:eastAsiaTheme="minorEastAsia" w:cstheme="minorBidi"/>
              <w:noProof/>
              <w:szCs w:val="22"/>
            </w:rPr>
          </w:pPr>
          <w:hyperlink w:anchor="_Toc515621125" w:history="1">
            <w:r w:rsidR="00BA2538" w:rsidRPr="006D4B26">
              <w:rPr>
                <w:rStyle w:val="Hyperlink"/>
                <w:rFonts w:cstheme="minorHAnsi"/>
                <w:noProof/>
              </w:rPr>
              <w:t>1.4 Measure Parameters</w:t>
            </w:r>
            <w:r w:rsidR="00BA2538">
              <w:rPr>
                <w:noProof/>
                <w:webHidden/>
              </w:rPr>
              <w:tab/>
            </w:r>
            <w:r w:rsidR="00BA2538">
              <w:rPr>
                <w:noProof/>
                <w:webHidden/>
              </w:rPr>
              <w:fldChar w:fldCharType="begin"/>
            </w:r>
            <w:r w:rsidR="00BA2538">
              <w:rPr>
                <w:noProof/>
                <w:webHidden/>
              </w:rPr>
              <w:instrText xml:space="preserve"> PAGEREF _Toc515621125 \h </w:instrText>
            </w:r>
            <w:r w:rsidR="00BA2538">
              <w:rPr>
                <w:noProof/>
                <w:webHidden/>
              </w:rPr>
            </w:r>
            <w:r w:rsidR="00BA2538">
              <w:rPr>
                <w:noProof/>
                <w:webHidden/>
              </w:rPr>
              <w:fldChar w:fldCharType="separate"/>
            </w:r>
            <w:r w:rsidR="00BA2538">
              <w:rPr>
                <w:noProof/>
                <w:webHidden/>
              </w:rPr>
              <w:t>9</w:t>
            </w:r>
            <w:r w:rsidR="00BA2538">
              <w:rPr>
                <w:noProof/>
                <w:webHidden/>
              </w:rPr>
              <w:fldChar w:fldCharType="end"/>
            </w:r>
          </w:hyperlink>
        </w:p>
        <w:p w14:paraId="577A717B" w14:textId="6B3CCE21" w:rsidR="00BA2538" w:rsidRDefault="00F52A30">
          <w:pPr>
            <w:pStyle w:val="TOC3"/>
            <w:tabs>
              <w:tab w:val="right" w:leader="dot" w:pos="9350"/>
            </w:tabs>
            <w:rPr>
              <w:rFonts w:eastAsiaTheme="minorEastAsia" w:cstheme="minorBidi"/>
              <w:noProof/>
              <w:szCs w:val="22"/>
            </w:rPr>
          </w:pPr>
          <w:hyperlink w:anchor="_Toc515621126" w:history="1">
            <w:r w:rsidR="00BA2538" w:rsidRPr="006D4B26">
              <w:rPr>
                <w:rStyle w:val="Hyperlink"/>
                <w:noProof/>
              </w:rPr>
              <w:t>1.4.1 DEER Data</w:t>
            </w:r>
            <w:r w:rsidR="00BA2538">
              <w:rPr>
                <w:noProof/>
                <w:webHidden/>
              </w:rPr>
              <w:tab/>
            </w:r>
            <w:r w:rsidR="00BA2538">
              <w:rPr>
                <w:noProof/>
                <w:webHidden/>
              </w:rPr>
              <w:fldChar w:fldCharType="begin"/>
            </w:r>
            <w:r w:rsidR="00BA2538">
              <w:rPr>
                <w:noProof/>
                <w:webHidden/>
              </w:rPr>
              <w:instrText xml:space="preserve"> PAGEREF _Toc515621126 \h </w:instrText>
            </w:r>
            <w:r w:rsidR="00BA2538">
              <w:rPr>
                <w:noProof/>
                <w:webHidden/>
              </w:rPr>
            </w:r>
            <w:r w:rsidR="00BA2538">
              <w:rPr>
                <w:noProof/>
                <w:webHidden/>
              </w:rPr>
              <w:fldChar w:fldCharType="separate"/>
            </w:r>
            <w:r w:rsidR="00BA2538">
              <w:rPr>
                <w:noProof/>
                <w:webHidden/>
              </w:rPr>
              <w:t>9</w:t>
            </w:r>
            <w:r w:rsidR="00BA2538">
              <w:rPr>
                <w:noProof/>
                <w:webHidden/>
              </w:rPr>
              <w:fldChar w:fldCharType="end"/>
            </w:r>
          </w:hyperlink>
        </w:p>
        <w:p w14:paraId="0F6070BA" w14:textId="039B424F" w:rsidR="00BA2538" w:rsidRDefault="00F52A30">
          <w:pPr>
            <w:pStyle w:val="TOC3"/>
            <w:tabs>
              <w:tab w:val="right" w:leader="dot" w:pos="9350"/>
            </w:tabs>
            <w:rPr>
              <w:rFonts w:eastAsiaTheme="minorEastAsia" w:cstheme="minorBidi"/>
              <w:noProof/>
              <w:szCs w:val="22"/>
            </w:rPr>
          </w:pPr>
          <w:hyperlink w:anchor="_Toc515621127" w:history="1">
            <w:r w:rsidR="00BA2538" w:rsidRPr="006D4B26">
              <w:rPr>
                <w:rStyle w:val="Hyperlink"/>
                <w:noProof/>
              </w:rPr>
              <w:t>1.4.2 Codes and Standards Analysis</w:t>
            </w:r>
            <w:r w:rsidR="00BA2538">
              <w:rPr>
                <w:noProof/>
                <w:webHidden/>
              </w:rPr>
              <w:tab/>
            </w:r>
            <w:r w:rsidR="00BA2538">
              <w:rPr>
                <w:noProof/>
                <w:webHidden/>
              </w:rPr>
              <w:fldChar w:fldCharType="begin"/>
            </w:r>
            <w:r w:rsidR="00BA2538">
              <w:rPr>
                <w:noProof/>
                <w:webHidden/>
              </w:rPr>
              <w:instrText xml:space="preserve"> PAGEREF _Toc515621127 \h </w:instrText>
            </w:r>
            <w:r w:rsidR="00BA2538">
              <w:rPr>
                <w:noProof/>
                <w:webHidden/>
              </w:rPr>
            </w:r>
            <w:r w:rsidR="00BA2538">
              <w:rPr>
                <w:noProof/>
                <w:webHidden/>
              </w:rPr>
              <w:fldChar w:fldCharType="separate"/>
            </w:r>
            <w:r w:rsidR="00BA2538">
              <w:rPr>
                <w:noProof/>
                <w:webHidden/>
              </w:rPr>
              <w:t>10</w:t>
            </w:r>
            <w:r w:rsidR="00BA2538">
              <w:rPr>
                <w:noProof/>
                <w:webHidden/>
              </w:rPr>
              <w:fldChar w:fldCharType="end"/>
            </w:r>
          </w:hyperlink>
        </w:p>
        <w:p w14:paraId="01D13869" w14:textId="747E6804" w:rsidR="00BA2538" w:rsidRDefault="00F52A30">
          <w:pPr>
            <w:pStyle w:val="TOC2"/>
            <w:tabs>
              <w:tab w:val="right" w:leader="dot" w:pos="9350"/>
            </w:tabs>
            <w:rPr>
              <w:rFonts w:eastAsiaTheme="minorEastAsia" w:cstheme="minorBidi"/>
              <w:noProof/>
              <w:szCs w:val="22"/>
            </w:rPr>
          </w:pPr>
          <w:hyperlink w:anchor="_Toc515621128" w:history="1">
            <w:r w:rsidR="00BA2538" w:rsidRPr="006D4B26">
              <w:rPr>
                <w:rStyle w:val="Hyperlink"/>
                <w:rFonts w:cstheme="minorHAnsi"/>
                <w:noProof/>
              </w:rPr>
              <w:t>1.5 EM&amp;V, Market Potential, and Other Studies – Base Case and Measure Case Information</w:t>
            </w:r>
            <w:r w:rsidR="00BA2538">
              <w:rPr>
                <w:noProof/>
                <w:webHidden/>
              </w:rPr>
              <w:tab/>
            </w:r>
            <w:r w:rsidR="00BA2538">
              <w:rPr>
                <w:noProof/>
                <w:webHidden/>
              </w:rPr>
              <w:fldChar w:fldCharType="begin"/>
            </w:r>
            <w:r w:rsidR="00BA2538">
              <w:rPr>
                <w:noProof/>
                <w:webHidden/>
              </w:rPr>
              <w:instrText xml:space="preserve"> PAGEREF _Toc515621128 \h </w:instrText>
            </w:r>
            <w:r w:rsidR="00BA2538">
              <w:rPr>
                <w:noProof/>
                <w:webHidden/>
              </w:rPr>
            </w:r>
            <w:r w:rsidR="00BA2538">
              <w:rPr>
                <w:noProof/>
                <w:webHidden/>
              </w:rPr>
              <w:fldChar w:fldCharType="separate"/>
            </w:r>
            <w:r w:rsidR="00BA2538">
              <w:rPr>
                <w:noProof/>
                <w:webHidden/>
              </w:rPr>
              <w:t>11</w:t>
            </w:r>
            <w:r w:rsidR="00BA2538">
              <w:rPr>
                <w:noProof/>
                <w:webHidden/>
              </w:rPr>
              <w:fldChar w:fldCharType="end"/>
            </w:r>
          </w:hyperlink>
        </w:p>
        <w:p w14:paraId="526DC765" w14:textId="35FEAF94" w:rsidR="00BA2538" w:rsidRDefault="00F52A30">
          <w:pPr>
            <w:pStyle w:val="TOC1"/>
            <w:tabs>
              <w:tab w:val="right" w:leader="dot" w:pos="9350"/>
            </w:tabs>
            <w:rPr>
              <w:rFonts w:eastAsiaTheme="minorEastAsia" w:cstheme="minorBidi"/>
              <w:noProof/>
              <w:szCs w:val="22"/>
            </w:rPr>
          </w:pPr>
          <w:hyperlink w:anchor="_Toc515621129" w:history="1">
            <w:r w:rsidR="00BA2538" w:rsidRPr="006D4B26">
              <w:rPr>
                <w:rStyle w:val="Hyperlink"/>
                <w:rFonts w:cstheme="minorHAnsi"/>
                <w:noProof/>
              </w:rPr>
              <w:t>Section 2. Calculation Methodology</w:t>
            </w:r>
            <w:r w:rsidR="00BA2538">
              <w:rPr>
                <w:noProof/>
                <w:webHidden/>
              </w:rPr>
              <w:tab/>
            </w:r>
            <w:r w:rsidR="00BA2538">
              <w:rPr>
                <w:noProof/>
                <w:webHidden/>
              </w:rPr>
              <w:fldChar w:fldCharType="begin"/>
            </w:r>
            <w:r w:rsidR="00BA2538">
              <w:rPr>
                <w:noProof/>
                <w:webHidden/>
              </w:rPr>
              <w:instrText xml:space="preserve"> PAGEREF _Toc515621129 \h </w:instrText>
            </w:r>
            <w:r w:rsidR="00BA2538">
              <w:rPr>
                <w:noProof/>
                <w:webHidden/>
              </w:rPr>
            </w:r>
            <w:r w:rsidR="00BA2538">
              <w:rPr>
                <w:noProof/>
                <w:webHidden/>
              </w:rPr>
              <w:fldChar w:fldCharType="separate"/>
            </w:r>
            <w:r w:rsidR="00BA2538">
              <w:rPr>
                <w:noProof/>
                <w:webHidden/>
              </w:rPr>
              <w:t>13</w:t>
            </w:r>
            <w:r w:rsidR="00BA2538">
              <w:rPr>
                <w:noProof/>
                <w:webHidden/>
              </w:rPr>
              <w:fldChar w:fldCharType="end"/>
            </w:r>
          </w:hyperlink>
        </w:p>
        <w:p w14:paraId="588750D3" w14:textId="771175D2" w:rsidR="00BA2538" w:rsidRDefault="00F52A30">
          <w:pPr>
            <w:pStyle w:val="TOC1"/>
            <w:tabs>
              <w:tab w:val="right" w:leader="dot" w:pos="9350"/>
            </w:tabs>
            <w:rPr>
              <w:rFonts w:eastAsiaTheme="minorEastAsia" w:cstheme="minorBidi"/>
              <w:noProof/>
              <w:szCs w:val="22"/>
            </w:rPr>
          </w:pPr>
          <w:hyperlink w:anchor="_Toc515621130" w:history="1">
            <w:r w:rsidR="00BA2538" w:rsidRPr="006D4B26">
              <w:rPr>
                <w:rStyle w:val="Hyperlink"/>
                <w:rFonts w:cstheme="minorHAnsi"/>
                <w:noProof/>
              </w:rPr>
              <w:t>Section 3. Load Shapes</w:t>
            </w:r>
            <w:r w:rsidR="00BA2538">
              <w:rPr>
                <w:noProof/>
                <w:webHidden/>
              </w:rPr>
              <w:tab/>
            </w:r>
            <w:r w:rsidR="00BA2538">
              <w:rPr>
                <w:noProof/>
                <w:webHidden/>
              </w:rPr>
              <w:fldChar w:fldCharType="begin"/>
            </w:r>
            <w:r w:rsidR="00BA2538">
              <w:rPr>
                <w:noProof/>
                <w:webHidden/>
              </w:rPr>
              <w:instrText xml:space="preserve"> PAGEREF _Toc515621130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5A34850B" w14:textId="518C1F3B" w:rsidR="00BA2538" w:rsidRDefault="00F52A30">
          <w:pPr>
            <w:pStyle w:val="TOC1"/>
            <w:tabs>
              <w:tab w:val="right" w:leader="dot" w:pos="9350"/>
            </w:tabs>
            <w:rPr>
              <w:rFonts w:eastAsiaTheme="minorEastAsia" w:cstheme="minorBidi"/>
              <w:noProof/>
              <w:szCs w:val="22"/>
            </w:rPr>
          </w:pPr>
          <w:hyperlink w:anchor="_Toc515621131" w:history="1">
            <w:r w:rsidR="00BA2538" w:rsidRPr="006D4B26">
              <w:rPr>
                <w:rStyle w:val="Hyperlink"/>
                <w:noProof/>
              </w:rPr>
              <w:t>Section 4. Costs</w:t>
            </w:r>
            <w:r w:rsidR="00BA2538">
              <w:rPr>
                <w:noProof/>
                <w:webHidden/>
              </w:rPr>
              <w:tab/>
            </w:r>
            <w:r w:rsidR="00BA2538">
              <w:rPr>
                <w:noProof/>
                <w:webHidden/>
              </w:rPr>
              <w:fldChar w:fldCharType="begin"/>
            </w:r>
            <w:r w:rsidR="00BA2538">
              <w:rPr>
                <w:noProof/>
                <w:webHidden/>
              </w:rPr>
              <w:instrText xml:space="preserve"> PAGEREF _Toc515621131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2BE0E165" w14:textId="7E7233AF" w:rsidR="00BA2538" w:rsidRDefault="00F52A30">
          <w:pPr>
            <w:pStyle w:val="TOC2"/>
            <w:tabs>
              <w:tab w:val="right" w:leader="dot" w:pos="9350"/>
            </w:tabs>
            <w:rPr>
              <w:rFonts w:eastAsiaTheme="minorEastAsia" w:cstheme="minorBidi"/>
              <w:noProof/>
              <w:szCs w:val="22"/>
            </w:rPr>
          </w:pPr>
          <w:hyperlink w:anchor="_Toc515621132" w:history="1">
            <w:r w:rsidR="00BA2538" w:rsidRPr="006D4B26">
              <w:rPr>
                <w:rStyle w:val="Hyperlink"/>
                <w:rFonts w:cstheme="minorHAnsi"/>
                <w:noProof/>
              </w:rPr>
              <w:t>4.1 Base Case Cost</w:t>
            </w:r>
            <w:r w:rsidR="00BA2538">
              <w:rPr>
                <w:noProof/>
                <w:webHidden/>
              </w:rPr>
              <w:tab/>
            </w:r>
            <w:r w:rsidR="00BA2538">
              <w:rPr>
                <w:noProof/>
                <w:webHidden/>
              </w:rPr>
              <w:fldChar w:fldCharType="begin"/>
            </w:r>
            <w:r w:rsidR="00BA2538">
              <w:rPr>
                <w:noProof/>
                <w:webHidden/>
              </w:rPr>
              <w:instrText xml:space="preserve"> PAGEREF _Toc515621132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6D33B6D5" w14:textId="126E8FEA" w:rsidR="00BA2538" w:rsidRDefault="00F52A30">
          <w:pPr>
            <w:pStyle w:val="TOC2"/>
            <w:tabs>
              <w:tab w:val="right" w:leader="dot" w:pos="9350"/>
            </w:tabs>
            <w:rPr>
              <w:rFonts w:eastAsiaTheme="minorEastAsia" w:cstheme="minorBidi"/>
              <w:noProof/>
              <w:szCs w:val="22"/>
            </w:rPr>
          </w:pPr>
          <w:hyperlink w:anchor="_Toc515621133" w:history="1">
            <w:r w:rsidR="00BA2538" w:rsidRPr="006D4B26">
              <w:rPr>
                <w:rStyle w:val="Hyperlink"/>
                <w:rFonts w:cstheme="minorHAnsi"/>
                <w:noProof/>
              </w:rPr>
              <w:t>4.2 Measure Case Cost</w:t>
            </w:r>
            <w:r w:rsidR="00BA2538">
              <w:rPr>
                <w:noProof/>
                <w:webHidden/>
              </w:rPr>
              <w:tab/>
            </w:r>
            <w:r w:rsidR="00BA2538">
              <w:rPr>
                <w:noProof/>
                <w:webHidden/>
              </w:rPr>
              <w:fldChar w:fldCharType="begin"/>
            </w:r>
            <w:r w:rsidR="00BA2538">
              <w:rPr>
                <w:noProof/>
                <w:webHidden/>
              </w:rPr>
              <w:instrText xml:space="preserve"> PAGEREF _Toc515621133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73F9ECBB" w14:textId="64C31C95" w:rsidR="00BA2538" w:rsidRDefault="00F52A30">
          <w:pPr>
            <w:pStyle w:val="TOC2"/>
            <w:tabs>
              <w:tab w:val="right" w:leader="dot" w:pos="9350"/>
            </w:tabs>
            <w:rPr>
              <w:rFonts w:eastAsiaTheme="minorEastAsia" w:cstheme="minorBidi"/>
              <w:noProof/>
              <w:szCs w:val="22"/>
            </w:rPr>
          </w:pPr>
          <w:hyperlink w:anchor="_Toc515621134" w:history="1">
            <w:r w:rsidR="00BA2538" w:rsidRPr="006D4B26">
              <w:rPr>
                <w:rStyle w:val="Hyperlink"/>
                <w:rFonts w:cstheme="minorHAnsi"/>
                <w:noProof/>
              </w:rPr>
              <w:t>4.3 Full and Incremental Measure Cost</w:t>
            </w:r>
            <w:r w:rsidR="00BA2538">
              <w:rPr>
                <w:noProof/>
                <w:webHidden/>
              </w:rPr>
              <w:tab/>
            </w:r>
            <w:r w:rsidR="00BA2538">
              <w:rPr>
                <w:noProof/>
                <w:webHidden/>
              </w:rPr>
              <w:fldChar w:fldCharType="begin"/>
            </w:r>
            <w:r w:rsidR="00BA2538">
              <w:rPr>
                <w:noProof/>
                <w:webHidden/>
              </w:rPr>
              <w:instrText xml:space="preserve"> PAGEREF _Toc515621134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55FBBCBD" w14:textId="48F68EA6" w:rsidR="00BA2538" w:rsidRDefault="00F52A30">
          <w:pPr>
            <w:pStyle w:val="TOC1"/>
            <w:tabs>
              <w:tab w:val="right" w:leader="dot" w:pos="9350"/>
            </w:tabs>
            <w:rPr>
              <w:rFonts w:eastAsiaTheme="minorEastAsia" w:cstheme="minorBidi"/>
              <w:noProof/>
              <w:szCs w:val="22"/>
            </w:rPr>
          </w:pPr>
          <w:hyperlink w:anchor="_Toc515621135" w:history="1">
            <w:r w:rsidR="00BA2538" w:rsidRPr="006D4B26">
              <w:rPr>
                <w:rStyle w:val="Hyperlink"/>
                <w:rFonts w:cstheme="minorHAnsi"/>
                <w:noProof/>
              </w:rPr>
              <w:t>Attachments</w:t>
            </w:r>
            <w:r w:rsidR="00BA2538">
              <w:rPr>
                <w:noProof/>
                <w:webHidden/>
              </w:rPr>
              <w:tab/>
            </w:r>
            <w:r w:rsidR="00BA2538">
              <w:rPr>
                <w:noProof/>
                <w:webHidden/>
              </w:rPr>
              <w:fldChar w:fldCharType="begin"/>
            </w:r>
            <w:r w:rsidR="00BA2538">
              <w:rPr>
                <w:noProof/>
                <w:webHidden/>
              </w:rPr>
              <w:instrText xml:space="preserve"> PAGEREF _Toc515621135 \h </w:instrText>
            </w:r>
            <w:r w:rsidR="00BA2538">
              <w:rPr>
                <w:noProof/>
                <w:webHidden/>
              </w:rPr>
            </w:r>
            <w:r w:rsidR="00BA2538">
              <w:rPr>
                <w:noProof/>
                <w:webHidden/>
              </w:rPr>
              <w:fldChar w:fldCharType="separate"/>
            </w:r>
            <w:r w:rsidR="00BA2538">
              <w:rPr>
                <w:noProof/>
                <w:webHidden/>
              </w:rPr>
              <w:t>15</w:t>
            </w:r>
            <w:r w:rsidR="00BA2538">
              <w:rPr>
                <w:noProof/>
                <w:webHidden/>
              </w:rPr>
              <w:fldChar w:fldCharType="end"/>
            </w:r>
          </w:hyperlink>
        </w:p>
        <w:p w14:paraId="7A6A65B3" w14:textId="356C8638" w:rsidR="006B0511" w:rsidRDefault="006B0511">
          <w:r>
            <w:rPr>
              <w:b/>
              <w:bCs/>
              <w:noProof/>
            </w:rPr>
            <w:fldChar w:fldCharType="end"/>
          </w:r>
        </w:p>
      </w:sdtContent>
    </w:sdt>
    <w:p w14:paraId="55ED56A5" w14:textId="77777777" w:rsidR="005F798B" w:rsidRDefault="005F798B">
      <w:pPr>
        <w:spacing w:after="200" w:line="276" w:lineRule="auto"/>
        <w:rPr>
          <w:szCs w:val="20"/>
        </w:rPr>
      </w:pPr>
      <w:r>
        <w:rPr>
          <w:szCs w:val="20"/>
        </w:rPr>
        <w:br w:type="page"/>
      </w:r>
    </w:p>
    <w:p w14:paraId="44E695C4" w14:textId="7EDE175C" w:rsidR="005F798B" w:rsidRPr="005F798B" w:rsidRDefault="005F798B">
      <w:pPr>
        <w:pStyle w:val="TableofFigures"/>
        <w:tabs>
          <w:tab w:val="right" w:leader="dot" w:pos="9350"/>
        </w:tabs>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lastRenderedPageBreak/>
        <w:t>List of Tables</w:t>
      </w:r>
    </w:p>
    <w:p w14:paraId="1BAE7D28" w14:textId="4D3ABDBC" w:rsidR="00BA2538" w:rsidRDefault="005F798B">
      <w:pPr>
        <w:pStyle w:val="TableofFigures"/>
        <w:tabs>
          <w:tab w:val="right" w:leader="dot" w:pos="9350"/>
        </w:tabs>
        <w:rPr>
          <w:rFonts w:eastAsiaTheme="minorEastAsia" w:cstheme="minorBidi"/>
          <w:noProof/>
          <w:szCs w:val="22"/>
        </w:rPr>
      </w:pPr>
      <w:r>
        <w:rPr>
          <w:szCs w:val="20"/>
        </w:rPr>
        <w:fldChar w:fldCharType="begin"/>
      </w:r>
      <w:r>
        <w:rPr>
          <w:szCs w:val="20"/>
        </w:rPr>
        <w:instrText xml:space="preserve"> TOC \h \z \c "Table" </w:instrText>
      </w:r>
      <w:r>
        <w:rPr>
          <w:szCs w:val="20"/>
        </w:rPr>
        <w:fldChar w:fldCharType="separate"/>
      </w:r>
      <w:hyperlink w:anchor="_Toc515621147" w:history="1">
        <w:r w:rsidR="00BA2538" w:rsidRPr="009F2AF4">
          <w:rPr>
            <w:rStyle w:val="Hyperlink"/>
            <w:noProof/>
          </w:rPr>
          <w:t>Table I: Base, Standard, and Measure Cases</w:t>
        </w:r>
        <w:r w:rsidR="00BA2538">
          <w:rPr>
            <w:noProof/>
            <w:webHidden/>
          </w:rPr>
          <w:tab/>
        </w:r>
        <w:r w:rsidR="00BA2538">
          <w:rPr>
            <w:noProof/>
            <w:webHidden/>
          </w:rPr>
          <w:fldChar w:fldCharType="begin"/>
        </w:r>
        <w:r w:rsidR="00BA2538">
          <w:rPr>
            <w:noProof/>
            <w:webHidden/>
          </w:rPr>
          <w:instrText xml:space="preserve"> PAGEREF _Toc515621147 \h </w:instrText>
        </w:r>
        <w:r w:rsidR="00BA2538">
          <w:rPr>
            <w:noProof/>
            <w:webHidden/>
          </w:rPr>
        </w:r>
        <w:r w:rsidR="00BA2538">
          <w:rPr>
            <w:noProof/>
            <w:webHidden/>
          </w:rPr>
          <w:fldChar w:fldCharType="separate"/>
        </w:r>
        <w:r w:rsidR="00BA2538">
          <w:rPr>
            <w:noProof/>
            <w:webHidden/>
          </w:rPr>
          <w:t>6</w:t>
        </w:r>
        <w:r w:rsidR="00BA2538">
          <w:rPr>
            <w:noProof/>
            <w:webHidden/>
          </w:rPr>
          <w:fldChar w:fldCharType="end"/>
        </w:r>
      </w:hyperlink>
    </w:p>
    <w:p w14:paraId="1004225A" w14:textId="3B92133C" w:rsidR="00BA2538" w:rsidRDefault="00F52A30">
      <w:pPr>
        <w:pStyle w:val="TableofFigures"/>
        <w:tabs>
          <w:tab w:val="right" w:leader="dot" w:pos="9350"/>
        </w:tabs>
        <w:rPr>
          <w:rFonts w:eastAsiaTheme="minorEastAsia" w:cstheme="minorBidi"/>
          <w:noProof/>
          <w:szCs w:val="22"/>
        </w:rPr>
      </w:pPr>
      <w:hyperlink w:anchor="_Toc515621148" w:history="1">
        <w:r w:rsidR="00BA2538" w:rsidRPr="009F2AF4">
          <w:rPr>
            <w:rStyle w:val="Hyperlink"/>
            <w:noProof/>
          </w:rPr>
          <w:t>Table II: Measures and Codes</w:t>
        </w:r>
        <w:r w:rsidR="00BA2538">
          <w:rPr>
            <w:noProof/>
            <w:webHidden/>
          </w:rPr>
          <w:tab/>
        </w:r>
        <w:r w:rsidR="00BA2538">
          <w:rPr>
            <w:noProof/>
            <w:webHidden/>
          </w:rPr>
          <w:fldChar w:fldCharType="begin"/>
        </w:r>
        <w:r w:rsidR="00BA2538">
          <w:rPr>
            <w:noProof/>
            <w:webHidden/>
          </w:rPr>
          <w:instrText xml:space="preserve"> PAGEREF _Toc515621148 \h </w:instrText>
        </w:r>
        <w:r w:rsidR="00BA2538">
          <w:rPr>
            <w:noProof/>
            <w:webHidden/>
          </w:rPr>
        </w:r>
        <w:r w:rsidR="00BA2538">
          <w:rPr>
            <w:noProof/>
            <w:webHidden/>
          </w:rPr>
          <w:fldChar w:fldCharType="separate"/>
        </w:r>
        <w:r w:rsidR="00BA2538">
          <w:rPr>
            <w:noProof/>
            <w:webHidden/>
          </w:rPr>
          <w:t>6</w:t>
        </w:r>
        <w:r w:rsidR="00BA2538">
          <w:rPr>
            <w:noProof/>
            <w:webHidden/>
          </w:rPr>
          <w:fldChar w:fldCharType="end"/>
        </w:r>
      </w:hyperlink>
    </w:p>
    <w:p w14:paraId="09A6A0BA" w14:textId="482FF033" w:rsidR="00BA2538" w:rsidRDefault="00F52A30">
      <w:pPr>
        <w:pStyle w:val="TableofFigures"/>
        <w:tabs>
          <w:tab w:val="right" w:leader="dot" w:pos="9350"/>
        </w:tabs>
        <w:rPr>
          <w:rFonts w:eastAsiaTheme="minorEastAsia" w:cstheme="minorBidi"/>
          <w:noProof/>
          <w:szCs w:val="22"/>
        </w:rPr>
      </w:pPr>
      <w:hyperlink w:anchor="_Toc515621149" w:history="1">
        <w:r w:rsidR="00BA2538" w:rsidRPr="009F2AF4">
          <w:rPr>
            <w:rStyle w:val="Hyperlink"/>
            <w:noProof/>
          </w:rPr>
          <w:t>Table III: Installation Type Descriptions</w:t>
        </w:r>
        <w:r w:rsidR="00BA2538">
          <w:rPr>
            <w:noProof/>
            <w:webHidden/>
          </w:rPr>
          <w:tab/>
        </w:r>
        <w:r w:rsidR="00BA2538">
          <w:rPr>
            <w:noProof/>
            <w:webHidden/>
          </w:rPr>
          <w:fldChar w:fldCharType="begin"/>
        </w:r>
        <w:r w:rsidR="00BA2538">
          <w:rPr>
            <w:noProof/>
            <w:webHidden/>
          </w:rPr>
          <w:instrText xml:space="preserve"> PAGEREF _Toc515621149 \h </w:instrText>
        </w:r>
        <w:r w:rsidR="00BA2538">
          <w:rPr>
            <w:noProof/>
            <w:webHidden/>
          </w:rPr>
        </w:r>
        <w:r w:rsidR="00BA2538">
          <w:rPr>
            <w:noProof/>
            <w:webHidden/>
          </w:rPr>
          <w:fldChar w:fldCharType="separate"/>
        </w:r>
        <w:r w:rsidR="00BA2538">
          <w:rPr>
            <w:noProof/>
            <w:webHidden/>
          </w:rPr>
          <w:t>8</w:t>
        </w:r>
        <w:r w:rsidR="00BA2538">
          <w:rPr>
            <w:noProof/>
            <w:webHidden/>
          </w:rPr>
          <w:fldChar w:fldCharType="end"/>
        </w:r>
      </w:hyperlink>
    </w:p>
    <w:p w14:paraId="5870C4BA" w14:textId="3090E522" w:rsidR="00BA2538" w:rsidRDefault="00F52A30">
      <w:pPr>
        <w:pStyle w:val="TableofFigures"/>
        <w:tabs>
          <w:tab w:val="right" w:leader="dot" w:pos="9350"/>
        </w:tabs>
        <w:rPr>
          <w:rFonts w:eastAsiaTheme="minorEastAsia" w:cstheme="minorBidi"/>
          <w:noProof/>
          <w:szCs w:val="22"/>
        </w:rPr>
      </w:pPr>
      <w:hyperlink w:anchor="_Toc515621150" w:history="1">
        <w:r w:rsidR="00BA2538" w:rsidRPr="009F2AF4">
          <w:rPr>
            <w:rStyle w:val="Hyperlink"/>
            <w:noProof/>
          </w:rPr>
          <w:t>Table IV: Delivery Method Descriptions</w:t>
        </w:r>
        <w:r w:rsidR="00BA2538">
          <w:rPr>
            <w:noProof/>
            <w:webHidden/>
          </w:rPr>
          <w:tab/>
        </w:r>
        <w:r w:rsidR="00BA2538">
          <w:rPr>
            <w:noProof/>
            <w:webHidden/>
          </w:rPr>
          <w:fldChar w:fldCharType="begin"/>
        </w:r>
        <w:r w:rsidR="00BA2538">
          <w:rPr>
            <w:noProof/>
            <w:webHidden/>
          </w:rPr>
          <w:instrText xml:space="preserve"> PAGEREF _Toc515621150 \h </w:instrText>
        </w:r>
        <w:r w:rsidR="00BA2538">
          <w:rPr>
            <w:noProof/>
            <w:webHidden/>
          </w:rPr>
        </w:r>
        <w:r w:rsidR="00BA2538">
          <w:rPr>
            <w:noProof/>
            <w:webHidden/>
          </w:rPr>
          <w:fldChar w:fldCharType="separate"/>
        </w:r>
        <w:r w:rsidR="00BA2538">
          <w:rPr>
            <w:noProof/>
            <w:webHidden/>
          </w:rPr>
          <w:t>8</w:t>
        </w:r>
        <w:r w:rsidR="00BA2538">
          <w:rPr>
            <w:noProof/>
            <w:webHidden/>
          </w:rPr>
          <w:fldChar w:fldCharType="end"/>
        </w:r>
      </w:hyperlink>
    </w:p>
    <w:p w14:paraId="79380682" w14:textId="37C14554" w:rsidR="00BA2538" w:rsidRDefault="00F52A30">
      <w:pPr>
        <w:pStyle w:val="TableofFigures"/>
        <w:tabs>
          <w:tab w:val="right" w:leader="dot" w:pos="9350"/>
        </w:tabs>
        <w:rPr>
          <w:rFonts w:eastAsiaTheme="minorEastAsia" w:cstheme="minorBidi"/>
          <w:noProof/>
          <w:szCs w:val="22"/>
        </w:rPr>
      </w:pPr>
      <w:hyperlink w:anchor="_Toc515621151" w:history="1">
        <w:r w:rsidR="00BA2538" w:rsidRPr="009F2AF4">
          <w:rPr>
            <w:rStyle w:val="Hyperlink"/>
            <w:noProof/>
          </w:rPr>
          <w:t>Table V: DEER Difference Summary</w:t>
        </w:r>
        <w:r w:rsidR="00BA2538">
          <w:rPr>
            <w:noProof/>
            <w:webHidden/>
          </w:rPr>
          <w:tab/>
        </w:r>
        <w:r w:rsidR="00BA2538">
          <w:rPr>
            <w:noProof/>
            <w:webHidden/>
          </w:rPr>
          <w:fldChar w:fldCharType="begin"/>
        </w:r>
        <w:r w:rsidR="00BA2538">
          <w:rPr>
            <w:noProof/>
            <w:webHidden/>
          </w:rPr>
          <w:instrText xml:space="preserve"> PAGEREF _Toc515621151 \h </w:instrText>
        </w:r>
        <w:r w:rsidR="00BA2538">
          <w:rPr>
            <w:noProof/>
            <w:webHidden/>
          </w:rPr>
        </w:r>
        <w:r w:rsidR="00BA2538">
          <w:rPr>
            <w:noProof/>
            <w:webHidden/>
          </w:rPr>
          <w:fldChar w:fldCharType="separate"/>
        </w:r>
        <w:r w:rsidR="00BA2538">
          <w:rPr>
            <w:noProof/>
            <w:webHidden/>
          </w:rPr>
          <w:t>9</w:t>
        </w:r>
        <w:r w:rsidR="00BA2538">
          <w:rPr>
            <w:noProof/>
            <w:webHidden/>
          </w:rPr>
          <w:fldChar w:fldCharType="end"/>
        </w:r>
      </w:hyperlink>
    </w:p>
    <w:p w14:paraId="755E9B7D" w14:textId="695E1553" w:rsidR="00BA2538" w:rsidRDefault="00F52A30">
      <w:pPr>
        <w:pStyle w:val="TableofFigures"/>
        <w:tabs>
          <w:tab w:val="right" w:leader="dot" w:pos="9350"/>
        </w:tabs>
        <w:rPr>
          <w:rFonts w:eastAsiaTheme="minorEastAsia" w:cstheme="minorBidi"/>
          <w:noProof/>
          <w:szCs w:val="22"/>
        </w:rPr>
      </w:pPr>
      <w:hyperlink w:anchor="_Toc515621152" w:history="1">
        <w:r w:rsidR="00BA2538" w:rsidRPr="009F2AF4">
          <w:rPr>
            <w:rStyle w:val="Hyperlink"/>
            <w:noProof/>
          </w:rPr>
          <w:t>Table VI: NTGR</w:t>
        </w:r>
        <w:r w:rsidR="00BA2538">
          <w:rPr>
            <w:noProof/>
            <w:webHidden/>
          </w:rPr>
          <w:tab/>
        </w:r>
        <w:r w:rsidR="00BA2538">
          <w:rPr>
            <w:noProof/>
            <w:webHidden/>
          </w:rPr>
          <w:fldChar w:fldCharType="begin"/>
        </w:r>
        <w:r w:rsidR="00BA2538">
          <w:rPr>
            <w:noProof/>
            <w:webHidden/>
          </w:rPr>
          <w:instrText xml:space="preserve"> PAGEREF _Toc515621152 \h </w:instrText>
        </w:r>
        <w:r w:rsidR="00BA2538">
          <w:rPr>
            <w:noProof/>
            <w:webHidden/>
          </w:rPr>
        </w:r>
        <w:r w:rsidR="00BA2538">
          <w:rPr>
            <w:noProof/>
            <w:webHidden/>
          </w:rPr>
          <w:fldChar w:fldCharType="separate"/>
        </w:r>
        <w:r w:rsidR="00BA2538">
          <w:rPr>
            <w:noProof/>
            <w:webHidden/>
          </w:rPr>
          <w:t>9</w:t>
        </w:r>
        <w:r w:rsidR="00BA2538">
          <w:rPr>
            <w:noProof/>
            <w:webHidden/>
          </w:rPr>
          <w:fldChar w:fldCharType="end"/>
        </w:r>
      </w:hyperlink>
    </w:p>
    <w:p w14:paraId="49800AC3" w14:textId="091A29B5" w:rsidR="00BA2538" w:rsidRDefault="00F52A30">
      <w:pPr>
        <w:pStyle w:val="TableofFigures"/>
        <w:tabs>
          <w:tab w:val="right" w:leader="dot" w:pos="9350"/>
        </w:tabs>
        <w:rPr>
          <w:rFonts w:eastAsiaTheme="minorEastAsia" w:cstheme="minorBidi"/>
          <w:noProof/>
          <w:szCs w:val="22"/>
        </w:rPr>
      </w:pPr>
      <w:hyperlink w:anchor="_Toc515621153" w:history="1">
        <w:r w:rsidR="00BA2538" w:rsidRPr="009F2AF4">
          <w:rPr>
            <w:rStyle w:val="Hyperlink"/>
            <w:noProof/>
          </w:rPr>
          <w:t>Table VII: GSIA</w:t>
        </w:r>
        <w:r w:rsidR="00BA2538">
          <w:rPr>
            <w:noProof/>
            <w:webHidden/>
          </w:rPr>
          <w:tab/>
        </w:r>
        <w:r w:rsidR="00BA2538">
          <w:rPr>
            <w:noProof/>
            <w:webHidden/>
          </w:rPr>
          <w:fldChar w:fldCharType="begin"/>
        </w:r>
        <w:r w:rsidR="00BA2538">
          <w:rPr>
            <w:noProof/>
            <w:webHidden/>
          </w:rPr>
          <w:instrText xml:space="preserve"> PAGEREF _Toc515621153 \h </w:instrText>
        </w:r>
        <w:r w:rsidR="00BA2538">
          <w:rPr>
            <w:noProof/>
            <w:webHidden/>
          </w:rPr>
        </w:r>
        <w:r w:rsidR="00BA2538">
          <w:rPr>
            <w:noProof/>
            <w:webHidden/>
          </w:rPr>
          <w:fldChar w:fldCharType="separate"/>
        </w:r>
        <w:r w:rsidR="00BA2538">
          <w:rPr>
            <w:noProof/>
            <w:webHidden/>
          </w:rPr>
          <w:t>10</w:t>
        </w:r>
        <w:r w:rsidR="00BA2538">
          <w:rPr>
            <w:noProof/>
            <w:webHidden/>
          </w:rPr>
          <w:fldChar w:fldCharType="end"/>
        </w:r>
      </w:hyperlink>
    </w:p>
    <w:p w14:paraId="5029BA86" w14:textId="6EEF1AEE" w:rsidR="00BA2538" w:rsidRDefault="00F52A30">
      <w:pPr>
        <w:pStyle w:val="TableofFigures"/>
        <w:tabs>
          <w:tab w:val="right" w:leader="dot" w:pos="9350"/>
        </w:tabs>
        <w:rPr>
          <w:rFonts w:eastAsiaTheme="minorEastAsia" w:cstheme="minorBidi"/>
          <w:noProof/>
          <w:szCs w:val="22"/>
        </w:rPr>
      </w:pPr>
      <w:hyperlink w:anchor="_Toc515621154" w:history="1">
        <w:r w:rsidR="00BA2538" w:rsidRPr="009F2AF4">
          <w:rPr>
            <w:rStyle w:val="Hyperlink"/>
            <w:noProof/>
          </w:rPr>
          <w:t>Table VIII: EUL ID</w:t>
        </w:r>
        <w:r w:rsidR="00BA2538">
          <w:rPr>
            <w:noProof/>
            <w:webHidden/>
          </w:rPr>
          <w:tab/>
        </w:r>
        <w:r w:rsidR="00BA2538">
          <w:rPr>
            <w:noProof/>
            <w:webHidden/>
          </w:rPr>
          <w:fldChar w:fldCharType="begin"/>
        </w:r>
        <w:r w:rsidR="00BA2538">
          <w:rPr>
            <w:noProof/>
            <w:webHidden/>
          </w:rPr>
          <w:instrText xml:space="preserve"> PAGEREF _Toc515621154 \h </w:instrText>
        </w:r>
        <w:r w:rsidR="00BA2538">
          <w:rPr>
            <w:noProof/>
            <w:webHidden/>
          </w:rPr>
        </w:r>
        <w:r w:rsidR="00BA2538">
          <w:rPr>
            <w:noProof/>
            <w:webHidden/>
          </w:rPr>
          <w:fldChar w:fldCharType="separate"/>
        </w:r>
        <w:r w:rsidR="00BA2538">
          <w:rPr>
            <w:noProof/>
            <w:webHidden/>
          </w:rPr>
          <w:t>10</w:t>
        </w:r>
        <w:r w:rsidR="00BA2538">
          <w:rPr>
            <w:noProof/>
            <w:webHidden/>
          </w:rPr>
          <w:fldChar w:fldCharType="end"/>
        </w:r>
      </w:hyperlink>
    </w:p>
    <w:p w14:paraId="6BE57ECB" w14:textId="26BCE915" w:rsidR="00BA2538" w:rsidRDefault="00F52A30">
      <w:pPr>
        <w:pStyle w:val="TableofFigures"/>
        <w:tabs>
          <w:tab w:val="right" w:leader="dot" w:pos="9350"/>
        </w:tabs>
        <w:rPr>
          <w:rFonts w:eastAsiaTheme="minorEastAsia" w:cstheme="minorBidi"/>
          <w:noProof/>
          <w:szCs w:val="22"/>
        </w:rPr>
      </w:pPr>
      <w:hyperlink w:anchor="_Toc515621155" w:history="1">
        <w:r w:rsidR="00BA2538" w:rsidRPr="009F2AF4">
          <w:rPr>
            <w:rStyle w:val="Hyperlink"/>
            <w:noProof/>
          </w:rPr>
          <w:t>Table IX: Code Summary</w:t>
        </w:r>
        <w:r w:rsidR="00BA2538">
          <w:rPr>
            <w:noProof/>
            <w:webHidden/>
          </w:rPr>
          <w:tab/>
        </w:r>
        <w:r w:rsidR="00BA2538">
          <w:rPr>
            <w:noProof/>
            <w:webHidden/>
          </w:rPr>
          <w:fldChar w:fldCharType="begin"/>
        </w:r>
        <w:r w:rsidR="00BA2538">
          <w:rPr>
            <w:noProof/>
            <w:webHidden/>
          </w:rPr>
          <w:instrText xml:space="preserve"> PAGEREF _Toc515621155 \h </w:instrText>
        </w:r>
        <w:r w:rsidR="00BA2538">
          <w:rPr>
            <w:noProof/>
            <w:webHidden/>
          </w:rPr>
        </w:r>
        <w:r w:rsidR="00BA2538">
          <w:rPr>
            <w:noProof/>
            <w:webHidden/>
          </w:rPr>
          <w:fldChar w:fldCharType="separate"/>
        </w:r>
        <w:r w:rsidR="00BA2538">
          <w:rPr>
            <w:noProof/>
            <w:webHidden/>
          </w:rPr>
          <w:t>11</w:t>
        </w:r>
        <w:r w:rsidR="00BA2538">
          <w:rPr>
            <w:noProof/>
            <w:webHidden/>
          </w:rPr>
          <w:fldChar w:fldCharType="end"/>
        </w:r>
      </w:hyperlink>
    </w:p>
    <w:p w14:paraId="5E3E22F6" w14:textId="4C0EF31F" w:rsidR="00BA2538" w:rsidRDefault="00F52A30">
      <w:pPr>
        <w:pStyle w:val="TableofFigures"/>
        <w:tabs>
          <w:tab w:val="right" w:leader="dot" w:pos="9350"/>
        </w:tabs>
        <w:rPr>
          <w:rFonts w:eastAsiaTheme="minorEastAsia" w:cstheme="minorBidi"/>
          <w:noProof/>
          <w:szCs w:val="22"/>
        </w:rPr>
      </w:pPr>
      <w:hyperlink w:anchor="_Toc515621156" w:history="1">
        <w:r w:rsidR="00BA2538" w:rsidRPr="009F2AF4">
          <w:rPr>
            <w:rStyle w:val="Hyperlink"/>
            <w:noProof/>
          </w:rPr>
          <w:t>Table X: Building Types and Load Shapes</w:t>
        </w:r>
        <w:r w:rsidR="00BA2538">
          <w:rPr>
            <w:noProof/>
            <w:webHidden/>
          </w:rPr>
          <w:tab/>
        </w:r>
        <w:r w:rsidR="00BA2538">
          <w:rPr>
            <w:noProof/>
            <w:webHidden/>
          </w:rPr>
          <w:fldChar w:fldCharType="begin"/>
        </w:r>
        <w:r w:rsidR="00BA2538">
          <w:rPr>
            <w:noProof/>
            <w:webHidden/>
          </w:rPr>
          <w:instrText xml:space="preserve"> PAGEREF _Toc515621156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10D022E4" w14:textId="362C9485" w:rsidR="00BA2538" w:rsidRDefault="00F52A30">
      <w:pPr>
        <w:pStyle w:val="TableofFigures"/>
        <w:tabs>
          <w:tab w:val="right" w:leader="dot" w:pos="9350"/>
        </w:tabs>
        <w:rPr>
          <w:rFonts w:eastAsiaTheme="minorEastAsia" w:cstheme="minorBidi"/>
          <w:noProof/>
          <w:szCs w:val="22"/>
        </w:rPr>
      </w:pPr>
      <w:hyperlink w:anchor="_Toc515621157" w:history="1">
        <w:r w:rsidR="00BA2538" w:rsidRPr="009F2AF4">
          <w:rPr>
            <w:rStyle w:val="Hyperlink"/>
            <w:noProof/>
          </w:rPr>
          <w:t>Table XI: Full and Incremental Measure Cost</w:t>
        </w:r>
        <w:r w:rsidR="00BA2538">
          <w:rPr>
            <w:noProof/>
            <w:webHidden/>
          </w:rPr>
          <w:tab/>
        </w:r>
        <w:r w:rsidR="00BA2538">
          <w:rPr>
            <w:noProof/>
            <w:webHidden/>
          </w:rPr>
          <w:fldChar w:fldCharType="begin"/>
        </w:r>
        <w:r w:rsidR="00BA2538">
          <w:rPr>
            <w:noProof/>
            <w:webHidden/>
          </w:rPr>
          <w:instrText xml:space="preserve"> PAGEREF _Toc515621157 \h </w:instrText>
        </w:r>
        <w:r w:rsidR="00BA2538">
          <w:rPr>
            <w:noProof/>
            <w:webHidden/>
          </w:rPr>
        </w:r>
        <w:r w:rsidR="00BA2538">
          <w:rPr>
            <w:noProof/>
            <w:webHidden/>
          </w:rPr>
          <w:fldChar w:fldCharType="separate"/>
        </w:r>
        <w:r w:rsidR="00BA2538">
          <w:rPr>
            <w:noProof/>
            <w:webHidden/>
          </w:rPr>
          <w:t>14</w:t>
        </w:r>
        <w:r w:rsidR="00BA2538">
          <w:rPr>
            <w:noProof/>
            <w:webHidden/>
          </w:rPr>
          <w:fldChar w:fldCharType="end"/>
        </w:r>
      </w:hyperlink>
    </w:p>
    <w:p w14:paraId="2376FAF9" w14:textId="0CE72CCD" w:rsidR="005F798B" w:rsidRDefault="005F798B" w:rsidP="00BA5FE4">
      <w:pPr>
        <w:spacing w:line="276" w:lineRule="auto"/>
        <w:rPr>
          <w:szCs w:val="20"/>
        </w:rPr>
      </w:pPr>
      <w:r>
        <w:rPr>
          <w:szCs w:val="20"/>
        </w:rPr>
        <w:fldChar w:fldCharType="end"/>
      </w:r>
    </w:p>
    <w:p w14:paraId="3B1FE3A8" w14:textId="74A653F1" w:rsidR="005F798B" w:rsidRPr="005F798B" w:rsidRDefault="005F798B" w:rsidP="00BA5FE4">
      <w:pPr>
        <w:spacing w:line="276" w:lineRule="auto"/>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t>List of Figures</w:t>
      </w:r>
    </w:p>
    <w:p w14:paraId="79A379E9" w14:textId="555F86F0" w:rsidR="00BA2538" w:rsidRDefault="005F798B">
      <w:pPr>
        <w:pStyle w:val="TableofFigures"/>
        <w:tabs>
          <w:tab w:val="right" w:leader="dot" w:pos="9350"/>
        </w:tabs>
        <w:rPr>
          <w:rFonts w:eastAsiaTheme="minorEastAsia" w:cstheme="minorBidi"/>
          <w:noProof/>
          <w:szCs w:val="22"/>
        </w:rPr>
      </w:pPr>
      <w:r>
        <w:rPr>
          <w:szCs w:val="20"/>
        </w:rPr>
        <w:fldChar w:fldCharType="begin"/>
      </w:r>
      <w:r>
        <w:rPr>
          <w:szCs w:val="20"/>
        </w:rPr>
        <w:instrText xml:space="preserve"> TOC \h \z \c "Figure" </w:instrText>
      </w:r>
      <w:r>
        <w:rPr>
          <w:szCs w:val="20"/>
        </w:rPr>
        <w:fldChar w:fldCharType="separate"/>
      </w:r>
      <w:hyperlink w:anchor="_Toc515621158" w:history="1">
        <w:r w:rsidR="00BA2538" w:rsidRPr="00AA5632">
          <w:rPr>
            <w:rStyle w:val="Hyperlink"/>
            <w:noProof/>
          </w:rPr>
          <w:t>Figure I: Lavatory faucets and aerator Title 20 requirements</w:t>
        </w:r>
        <w:r w:rsidR="00BA2538">
          <w:rPr>
            <w:noProof/>
            <w:webHidden/>
          </w:rPr>
          <w:tab/>
        </w:r>
        <w:r w:rsidR="00BA2538">
          <w:rPr>
            <w:noProof/>
            <w:webHidden/>
          </w:rPr>
          <w:fldChar w:fldCharType="begin"/>
        </w:r>
        <w:r w:rsidR="00BA2538">
          <w:rPr>
            <w:noProof/>
            <w:webHidden/>
          </w:rPr>
          <w:instrText xml:space="preserve"> PAGEREF _Toc515621158 \h </w:instrText>
        </w:r>
        <w:r w:rsidR="00BA2538">
          <w:rPr>
            <w:noProof/>
            <w:webHidden/>
          </w:rPr>
        </w:r>
        <w:r w:rsidR="00BA2538">
          <w:rPr>
            <w:noProof/>
            <w:webHidden/>
          </w:rPr>
          <w:fldChar w:fldCharType="separate"/>
        </w:r>
        <w:r w:rsidR="00BA2538">
          <w:rPr>
            <w:noProof/>
            <w:webHidden/>
          </w:rPr>
          <w:t>11</w:t>
        </w:r>
        <w:r w:rsidR="00BA2538">
          <w:rPr>
            <w:noProof/>
            <w:webHidden/>
          </w:rPr>
          <w:fldChar w:fldCharType="end"/>
        </w:r>
      </w:hyperlink>
    </w:p>
    <w:p w14:paraId="0F88D8F5" w14:textId="2D34DCA4" w:rsidR="00BA2538" w:rsidRDefault="00F52A30">
      <w:pPr>
        <w:pStyle w:val="TableofFigures"/>
        <w:tabs>
          <w:tab w:val="right" w:leader="dot" w:pos="9350"/>
        </w:tabs>
        <w:rPr>
          <w:rFonts w:eastAsiaTheme="minorEastAsia" w:cstheme="minorBidi"/>
          <w:noProof/>
          <w:szCs w:val="22"/>
        </w:rPr>
      </w:pPr>
      <w:hyperlink w:anchor="_Toc515621159" w:history="1">
        <w:r w:rsidR="00BA2538" w:rsidRPr="00AA5632">
          <w:rPr>
            <w:rStyle w:val="Hyperlink"/>
            <w:noProof/>
          </w:rPr>
          <w:t>Figure II: Kitchen faucets and aerator Title 20 requirements</w:t>
        </w:r>
        <w:r w:rsidR="00BA2538">
          <w:rPr>
            <w:noProof/>
            <w:webHidden/>
          </w:rPr>
          <w:tab/>
        </w:r>
        <w:r w:rsidR="00BA2538">
          <w:rPr>
            <w:noProof/>
            <w:webHidden/>
          </w:rPr>
          <w:fldChar w:fldCharType="begin"/>
        </w:r>
        <w:r w:rsidR="00BA2538">
          <w:rPr>
            <w:noProof/>
            <w:webHidden/>
          </w:rPr>
          <w:instrText xml:space="preserve"> PAGEREF _Toc515621159 \h </w:instrText>
        </w:r>
        <w:r w:rsidR="00BA2538">
          <w:rPr>
            <w:noProof/>
            <w:webHidden/>
          </w:rPr>
        </w:r>
        <w:r w:rsidR="00BA2538">
          <w:rPr>
            <w:noProof/>
            <w:webHidden/>
          </w:rPr>
          <w:fldChar w:fldCharType="separate"/>
        </w:r>
        <w:r w:rsidR="00BA2538">
          <w:rPr>
            <w:noProof/>
            <w:webHidden/>
          </w:rPr>
          <w:t>11</w:t>
        </w:r>
        <w:r w:rsidR="00BA2538">
          <w:rPr>
            <w:noProof/>
            <w:webHidden/>
          </w:rPr>
          <w:fldChar w:fldCharType="end"/>
        </w:r>
      </w:hyperlink>
    </w:p>
    <w:p w14:paraId="0FF7E57B" w14:textId="01747AFC" w:rsidR="00BA2538" w:rsidRDefault="00F52A30">
      <w:pPr>
        <w:pStyle w:val="TableofFigures"/>
        <w:tabs>
          <w:tab w:val="right" w:leader="dot" w:pos="9350"/>
        </w:tabs>
        <w:rPr>
          <w:rFonts w:eastAsiaTheme="minorEastAsia" w:cstheme="minorBidi"/>
          <w:noProof/>
          <w:szCs w:val="22"/>
        </w:rPr>
      </w:pPr>
      <w:hyperlink w:anchor="_Toc515621160" w:history="1">
        <w:r w:rsidR="00BA2538" w:rsidRPr="00AA5632">
          <w:rPr>
            <w:rStyle w:val="Hyperlink"/>
            <w:noProof/>
          </w:rPr>
          <w:t>Figure III: Showerheads Title 20 requirements</w:t>
        </w:r>
        <w:r w:rsidR="00BA2538">
          <w:rPr>
            <w:noProof/>
            <w:webHidden/>
          </w:rPr>
          <w:tab/>
        </w:r>
        <w:r w:rsidR="00BA2538">
          <w:rPr>
            <w:noProof/>
            <w:webHidden/>
          </w:rPr>
          <w:fldChar w:fldCharType="begin"/>
        </w:r>
        <w:r w:rsidR="00BA2538">
          <w:rPr>
            <w:noProof/>
            <w:webHidden/>
          </w:rPr>
          <w:instrText xml:space="preserve"> PAGEREF _Toc515621160 \h </w:instrText>
        </w:r>
        <w:r w:rsidR="00BA2538">
          <w:rPr>
            <w:noProof/>
            <w:webHidden/>
          </w:rPr>
        </w:r>
        <w:r w:rsidR="00BA2538">
          <w:rPr>
            <w:noProof/>
            <w:webHidden/>
          </w:rPr>
          <w:fldChar w:fldCharType="separate"/>
        </w:r>
        <w:r w:rsidR="00BA2538">
          <w:rPr>
            <w:noProof/>
            <w:webHidden/>
          </w:rPr>
          <w:t>11</w:t>
        </w:r>
        <w:r w:rsidR="00BA2538">
          <w:rPr>
            <w:noProof/>
            <w:webHidden/>
          </w:rPr>
          <w:fldChar w:fldCharType="end"/>
        </w:r>
      </w:hyperlink>
    </w:p>
    <w:p w14:paraId="1EC1FEBD" w14:textId="777FB72F" w:rsidR="00DA2822" w:rsidRDefault="005F798B" w:rsidP="00BA5FE4">
      <w:pPr>
        <w:spacing w:line="276" w:lineRule="auto"/>
        <w:rPr>
          <w:rFonts w:cs="Arial"/>
          <w:b/>
          <w:bCs/>
          <w:smallCaps/>
          <w:kern w:val="32"/>
          <w:sz w:val="36"/>
          <w:szCs w:val="20"/>
        </w:rPr>
      </w:pPr>
      <w:r>
        <w:rPr>
          <w:szCs w:val="20"/>
        </w:rPr>
        <w:fldChar w:fldCharType="end"/>
      </w:r>
      <w:r w:rsidR="00DA2822">
        <w:rPr>
          <w:szCs w:val="20"/>
        </w:rPr>
        <w:br w:type="page"/>
      </w:r>
    </w:p>
    <w:p w14:paraId="13566970" w14:textId="77777777" w:rsidR="00E16609" w:rsidRPr="00500C4E" w:rsidRDefault="00E16609" w:rsidP="00E16609">
      <w:pPr>
        <w:pStyle w:val="Heading1"/>
        <w:rPr>
          <w:rFonts w:cstheme="minorHAnsi"/>
        </w:rPr>
      </w:pPr>
      <w:bookmarkStart w:id="9" w:name="_Toc515621121"/>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9"/>
    </w:p>
    <w:p w14:paraId="751799D1" w14:textId="77777777" w:rsidR="00E16609" w:rsidRPr="00500C4E" w:rsidRDefault="00824F1C" w:rsidP="00697868">
      <w:pPr>
        <w:pStyle w:val="Heading2"/>
        <w:rPr>
          <w:rFonts w:asciiTheme="minorHAnsi" w:hAnsiTheme="minorHAnsi"/>
        </w:rPr>
      </w:pPr>
      <w:bookmarkStart w:id="10" w:name="_Toc515621122"/>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0"/>
      <w:r w:rsidR="00E16609" w:rsidRPr="00500C4E">
        <w:rPr>
          <w:rFonts w:asciiTheme="minorHAnsi" w:hAnsiTheme="minorHAnsi"/>
        </w:rPr>
        <w:t xml:space="preserve"> </w:t>
      </w:r>
      <w:bookmarkEnd w:id="11"/>
    </w:p>
    <w:p w14:paraId="2574E69B" w14:textId="549D46FF" w:rsidR="001D3223" w:rsidRPr="006B0511" w:rsidRDefault="008C0101" w:rsidP="006B0511">
      <w:pPr>
        <w:rPr>
          <w:rFonts w:cstheme="minorHAnsi"/>
          <w:szCs w:val="22"/>
        </w:rPr>
      </w:pPr>
      <w:r w:rsidRPr="006B0511">
        <w:rPr>
          <w:rFonts w:cstheme="minorHAnsi"/>
          <w:szCs w:val="22"/>
        </w:rPr>
        <w:t xml:space="preserve">This </w:t>
      </w:r>
      <w:r w:rsidR="00F71FBE">
        <w:rPr>
          <w:rFonts w:cstheme="minorHAnsi"/>
          <w:szCs w:val="22"/>
        </w:rPr>
        <w:t>w</w:t>
      </w:r>
      <w:r w:rsidRPr="006B0511">
        <w:rPr>
          <w:rFonts w:cstheme="minorHAnsi"/>
          <w:szCs w:val="22"/>
        </w:rPr>
        <w:t xml:space="preserve">orkpaper </w:t>
      </w:r>
      <w:r w:rsidR="007E3936" w:rsidRPr="006B0511">
        <w:rPr>
          <w:rFonts w:cstheme="minorHAnsi"/>
          <w:szCs w:val="22"/>
        </w:rPr>
        <w:t>measure allows for energy to be saved from the installation of Flow Control Valves(FCV) at</w:t>
      </w:r>
      <w:r w:rsidR="007E5925">
        <w:rPr>
          <w:rFonts w:cstheme="minorHAnsi"/>
          <w:szCs w:val="22"/>
        </w:rPr>
        <w:t xml:space="preserve"> faucets or showerheads. These control valves act</w:t>
      </w:r>
      <w:r w:rsidR="007E3936" w:rsidRPr="006B0511">
        <w:rPr>
          <w:rFonts w:cstheme="minorHAnsi"/>
          <w:szCs w:val="22"/>
        </w:rPr>
        <w:t xml:space="preserve"> as</w:t>
      </w:r>
      <w:r w:rsidR="003E63B9">
        <w:rPr>
          <w:rFonts w:cstheme="minorHAnsi"/>
          <w:szCs w:val="22"/>
        </w:rPr>
        <w:t xml:space="preserve"> a converging-</w:t>
      </w:r>
      <w:r w:rsidR="007E5925">
        <w:rPr>
          <w:rFonts w:cstheme="minorHAnsi"/>
          <w:szCs w:val="22"/>
        </w:rPr>
        <w:t>diverging</w:t>
      </w:r>
      <w:r w:rsidR="003E63B9">
        <w:rPr>
          <w:rFonts w:cstheme="minorHAnsi"/>
          <w:szCs w:val="22"/>
        </w:rPr>
        <w:t xml:space="preserve"> section with a</w:t>
      </w:r>
      <w:r w:rsidR="007E3936" w:rsidRPr="006B0511">
        <w:rPr>
          <w:rFonts w:cstheme="minorHAnsi"/>
          <w:szCs w:val="22"/>
        </w:rPr>
        <w:t xml:space="preserve"> throat in which the </w:t>
      </w:r>
      <w:r w:rsidR="003E63B9">
        <w:rPr>
          <w:rFonts w:cstheme="minorHAnsi"/>
          <w:szCs w:val="22"/>
        </w:rPr>
        <w:t xml:space="preserve">flow </w:t>
      </w:r>
      <w:r w:rsidR="007E3936" w:rsidRPr="006B0511">
        <w:rPr>
          <w:rFonts w:cstheme="minorHAnsi"/>
          <w:szCs w:val="22"/>
        </w:rPr>
        <w:t>area is reduced to impede full flow</w:t>
      </w:r>
      <w:r w:rsidR="007E5925">
        <w:rPr>
          <w:rFonts w:cstheme="minorHAnsi"/>
          <w:szCs w:val="22"/>
        </w:rPr>
        <w:t xml:space="preserve"> while retaining pressure</w:t>
      </w:r>
      <w:r w:rsidR="007E3936" w:rsidRPr="006B0511">
        <w:rPr>
          <w:rFonts w:cstheme="minorHAnsi"/>
          <w:szCs w:val="22"/>
        </w:rPr>
        <w:t xml:space="preserve">. The reduction in flow rate offsets the amount of hot water used, in effect the energy demand by the water heating source is reduced. </w:t>
      </w:r>
      <w:r w:rsidR="00331304" w:rsidRPr="006B0511">
        <w:rPr>
          <w:rFonts w:cstheme="minorHAnsi"/>
          <w:szCs w:val="22"/>
        </w:rPr>
        <w:t>This workpaper will use the energy savings values used in other SocalGas workpapers</w:t>
      </w:r>
      <w:r w:rsidR="002B3835">
        <w:rPr>
          <w:rFonts w:cstheme="minorHAnsi"/>
          <w:szCs w:val="22"/>
        </w:rPr>
        <w:t xml:space="preserve"> (See sections 2)</w:t>
      </w:r>
      <w:r w:rsidR="00331304" w:rsidRPr="006B0511">
        <w:rPr>
          <w:rFonts w:cstheme="minorHAnsi"/>
          <w:szCs w:val="22"/>
        </w:rPr>
        <w:t xml:space="preserve"> as these flow control valves operate and conserve energy in the same manner</w:t>
      </w:r>
      <w:r w:rsidR="002B3835">
        <w:rPr>
          <w:rFonts w:cstheme="minorHAnsi"/>
          <w:szCs w:val="22"/>
        </w:rPr>
        <w:t xml:space="preserve"> as the referenced measure technology</w:t>
      </w:r>
      <w:r w:rsidR="00331304" w:rsidRPr="006B0511">
        <w:rPr>
          <w:rFonts w:cstheme="minorHAnsi"/>
          <w:szCs w:val="22"/>
        </w:rPr>
        <w:t>, but applied</w:t>
      </w:r>
      <w:r w:rsidR="007E5925">
        <w:rPr>
          <w:rFonts w:cstheme="minorHAnsi"/>
          <w:szCs w:val="22"/>
        </w:rPr>
        <w:t xml:space="preserve"> </w:t>
      </w:r>
      <w:r w:rsidR="005B57AE">
        <w:rPr>
          <w:rFonts w:cstheme="minorHAnsi"/>
          <w:szCs w:val="22"/>
        </w:rPr>
        <w:t>upstream from</w:t>
      </w:r>
      <w:r w:rsidR="007E5925">
        <w:rPr>
          <w:rFonts w:cstheme="minorHAnsi"/>
          <w:szCs w:val="22"/>
        </w:rPr>
        <w:t xml:space="preserve"> fi</w:t>
      </w:r>
      <w:r w:rsidR="005B57AE">
        <w:rPr>
          <w:rFonts w:cstheme="minorHAnsi"/>
          <w:szCs w:val="22"/>
        </w:rPr>
        <w:t xml:space="preserve">xture </w:t>
      </w:r>
      <w:r w:rsidR="00263473" w:rsidRPr="006B0511">
        <w:rPr>
          <w:rFonts w:cstheme="minorHAnsi"/>
          <w:szCs w:val="22"/>
        </w:rPr>
        <w:t xml:space="preserve">point. </w:t>
      </w:r>
    </w:p>
    <w:p w14:paraId="10BF8F92" w14:textId="445CA765" w:rsidR="00F171E1" w:rsidRPr="00920905" w:rsidRDefault="00F171E1" w:rsidP="00920905">
      <w:pPr>
        <w:rPr>
          <w:b/>
          <w:szCs w:val="22"/>
        </w:rPr>
      </w:pPr>
    </w:p>
    <w:p w14:paraId="527BD697" w14:textId="6A9C8D35" w:rsidR="00F62B74" w:rsidRDefault="00F62B74" w:rsidP="00F62B74">
      <w:pPr>
        <w:pStyle w:val="Caption"/>
        <w:keepNext/>
      </w:pPr>
      <w:bookmarkStart w:id="12" w:name="_Toc515621147"/>
      <w:r>
        <w:t xml:space="preserve">Table </w:t>
      </w:r>
      <w:fldSimple w:instr=" SEQ Table \* ROMAN ">
        <w:r w:rsidR="00F82FD8">
          <w:rPr>
            <w:noProof/>
          </w:rPr>
          <w:t>I</w:t>
        </w:r>
      </w:fldSimple>
      <w:r>
        <w:t xml:space="preserve">: </w:t>
      </w:r>
      <w:r w:rsidRPr="00A02915">
        <w:t>Base, Standard, and Measure Cases</w:t>
      </w:r>
      <w:bookmarkEnd w:id="12"/>
    </w:p>
    <w:tbl>
      <w:tblPr>
        <w:tblStyle w:val="TableGrid1"/>
        <w:tblW w:w="5000" w:type="pct"/>
        <w:tblLook w:val="04A0" w:firstRow="1" w:lastRow="0" w:firstColumn="1" w:lastColumn="0" w:noHBand="0" w:noVBand="1"/>
      </w:tblPr>
      <w:tblGrid>
        <w:gridCol w:w="2809"/>
        <w:gridCol w:w="6541"/>
      </w:tblGrid>
      <w:tr w:rsidR="005720F2" w:rsidRPr="00800706" w14:paraId="1BFD640F" w14:textId="77777777" w:rsidTr="00920905">
        <w:trPr>
          <w:trHeight w:val="20"/>
        </w:trPr>
        <w:tc>
          <w:tcPr>
            <w:tcW w:w="1502" w:type="pct"/>
            <w:shd w:val="clear" w:color="auto" w:fill="D9D9D9" w:themeFill="background1" w:themeFillShade="D9"/>
          </w:tcPr>
          <w:p w14:paraId="1FF37D8D"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5B2455D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4BEC97A7" w14:textId="77777777" w:rsidTr="00920905">
        <w:trPr>
          <w:trHeight w:val="20"/>
        </w:trPr>
        <w:tc>
          <w:tcPr>
            <w:tcW w:w="1502" w:type="pct"/>
          </w:tcPr>
          <w:p w14:paraId="62F45635"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29C2963" w14:textId="234F9B18" w:rsidR="00D85F09" w:rsidRPr="00872535" w:rsidRDefault="00935A26" w:rsidP="00920905">
            <w:pPr>
              <w:rPr>
                <w:szCs w:val="20"/>
              </w:rPr>
            </w:pPr>
            <w:r w:rsidRPr="00872535">
              <w:rPr>
                <w:szCs w:val="20"/>
              </w:rPr>
              <w:t>Fixtures with a flow control valve for a reduce flow rate.</w:t>
            </w:r>
          </w:p>
        </w:tc>
      </w:tr>
      <w:tr w:rsidR="00D85F09" w:rsidRPr="00800706" w14:paraId="712AFB53" w14:textId="77777777" w:rsidTr="00920905">
        <w:trPr>
          <w:trHeight w:val="20"/>
        </w:trPr>
        <w:tc>
          <w:tcPr>
            <w:tcW w:w="1502" w:type="pct"/>
          </w:tcPr>
          <w:p w14:paraId="4E82AF98"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06973077" w14:textId="27FC6433" w:rsidR="00D85F09" w:rsidRPr="00872535" w:rsidRDefault="00935A26" w:rsidP="00920905">
            <w:pPr>
              <w:rPr>
                <w:i/>
                <w:szCs w:val="20"/>
              </w:rPr>
            </w:pPr>
            <w:r w:rsidRPr="00872535">
              <w:rPr>
                <w:szCs w:val="20"/>
              </w:rPr>
              <w:t xml:space="preserve">Fixture without any type of flow rate reducer. </w:t>
            </w:r>
          </w:p>
        </w:tc>
      </w:tr>
      <w:tr w:rsidR="002344FB" w:rsidRPr="00800706" w14:paraId="0AF2561B" w14:textId="77777777" w:rsidTr="006F21E8">
        <w:trPr>
          <w:trHeight w:val="20"/>
        </w:trPr>
        <w:tc>
          <w:tcPr>
            <w:tcW w:w="1502" w:type="pct"/>
          </w:tcPr>
          <w:p w14:paraId="18F8A4E7"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6CBA006B" w14:textId="1A546719" w:rsidR="002344FB" w:rsidRPr="00543664" w:rsidRDefault="00935A26" w:rsidP="006B0511">
            <w:pPr>
              <w:pStyle w:val="ListParagraph"/>
              <w:numPr>
                <w:ilvl w:val="0"/>
                <w:numId w:val="4"/>
              </w:numPr>
              <w:rPr>
                <w:szCs w:val="20"/>
              </w:rPr>
            </w:pPr>
            <w:r w:rsidRPr="00543664">
              <w:rPr>
                <w:szCs w:val="20"/>
              </w:rPr>
              <w:t>Showerhead: 1.8 GPM at 80 PSI</w:t>
            </w:r>
          </w:p>
          <w:p w14:paraId="48F279EC" w14:textId="4C75CAB9" w:rsidR="00935A26" w:rsidRPr="00543664" w:rsidRDefault="00935A26" w:rsidP="006B0511">
            <w:pPr>
              <w:pStyle w:val="ListParagraph"/>
              <w:numPr>
                <w:ilvl w:val="0"/>
                <w:numId w:val="4"/>
              </w:numPr>
              <w:rPr>
                <w:szCs w:val="20"/>
              </w:rPr>
            </w:pPr>
            <w:r w:rsidRPr="00543664">
              <w:rPr>
                <w:szCs w:val="20"/>
              </w:rPr>
              <w:t>Lavatory Faucet: 1.2 GPM at 60 PSI</w:t>
            </w:r>
          </w:p>
          <w:p w14:paraId="1BD49820" w14:textId="77777777" w:rsidR="00543664" w:rsidRDefault="00543664" w:rsidP="006B0511">
            <w:pPr>
              <w:pStyle w:val="ListParagraph"/>
              <w:numPr>
                <w:ilvl w:val="0"/>
                <w:numId w:val="4"/>
              </w:numPr>
              <w:rPr>
                <w:szCs w:val="20"/>
              </w:rPr>
            </w:pPr>
            <w:r w:rsidRPr="00543664">
              <w:rPr>
                <w:szCs w:val="20"/>
              </w:rPr>
              <w:t>Kitchen: 2.2 GPM at 60 PSI</w:t>
            </w:r>
          </w:p>
          <w:p w14:paraId="15DAEE3D" w14:textId="1CB1AB76" w:rsidR="00E947BC" w:rsidRPr="00543664" w:rsidRDefault="00E947BC" w:rsidP="006B0511">
            <w:pPr>
              <w:pStyle w:val="ListParagraph"/>
              <w:numPr>
                <w:ilvl w:val="0"/>
                <w:numId w:val="4"/>
              </w:numPr>
              <w:rPr>
                <w:szCs w:val="20"/>
              </w:rPr>
            </w:pPr>
            <w:r>
              <w:rPr>
                <w:szCs w:val="20"/>
              </w:rPr>
              <w:t>Public lavatory faucet: 0.5 GPM at 60 PSI</w:t>
            </w:r>
          </w:p>
        </w:tc>
      </w:tr>
      <w:tr w:rsidR="00D85F09" w:rsidRPr="00800706" w14:paraId="6F987EB2" w14:textId="77777777" w:rsidTr="00920905">
        <w:trPr>
          <w:trHeight w:val="20"/>
        </w:trPr>
        <w:tc>
          <w:tcPr>
            <w:tcW w:w="1502" w:type="pct"/>
          </w:tcPr>
          <w:p w14:paraId="0DDE094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A169680" w14:textId="1329DA53" w:rsidR="00D85F09" w:rsidRPr="00872535" w:rsidRDefault="00872535" w:rsidP="00920905">
            <w:pPr>
              <w:rPr>
                <w:i/>
                <w:szCs w:val="20"/>
              </w:rPr>
            </w:pPr>
            <w:r w:rsidRPr="00872535">
              <w:rPr>
                <w:szCs w:val="20"/>
              </w:rPr>
              <w:t>N/A</w:t>
            </w:r>
          </w:p>
        </w:tc>
      </w:tr>
    </w:tbl>
    <w:p w14:paraId="3EB68D29" w14:textId="77777777" w:rsidR="00F62B74" w:rsidRDefault="00F62B74" w:rsidP="00920905">
      <w:pPr>
        <w:pStyle w:val="Caption"/>
        <w:rPr>
          <w:rFonts w:cstheme="minorHAnsi"/>
          <w:szCs w:val="22"/>
        </w:rPr>
      </w:pPr>
    </w:p>
    <w:p w14:paraId="5CC3C6F0" w14:textId="53F7E04F" w:rsidR="00543664" w:rsidRDefault="00543664" w:rsidP="00543664">
      <w:pPr>
        <w:pStyle w:val="Caption"/>
        <w:keepNext/>
      </w:pPr>
      <w:bookmarkStart w:id="13" w:name="_Toc515621148"/>
      <w:r>
        <w:t xml:space="preserve">Table </w:t>
      </w:r>
      <w:fldSimple w:instr=" SEQ Table \* ROMAN ">
        <w:r w:rsidR="00F82FD8">
          <w:rPr>
            <w:noProof/>
          </w:rPr>
          <w:t>II</w:t>
        </w:r>
      </w:fldSimple>
      <w:r>
        <w:t xml:space="preserve">: </w:t>
      </w:r>
      <w:r w:rsidRPr="0070766E">
        <w:t>Measures and Codes</w:t>
      </w:r>
      <w:bookmarkEnd w:id="13"/>
    </w:p>
    <w:tbl>
      <w:tblPr>
        <w:tblStyle w:val="TableGrid1"/>
        <w:tblW w:w="5000" w:type="pct"/>
        <w:tblLook w:val="04A0" w:firstRow="1" w:lastRow="0" w:firstColumn="1" w:lastColumn="0" w:noHBand="0" w:noVBand="1"/>
      </w:tblPr>
      <w:tblGrid>
        <w:gridCol w:w="546"/>
        <w:gridCol w:w="792"/>
        <w:gridCol w:w="614"/>
        <w:gridCol w:w="790"/>
        <w:gridCol w:w="6608"/>
      </w:tblGrid>
      <w:tr w:rsidR="003A3170" w:rsidRPr="00800706" w14:paraId="13CD46FD" w14:textId="77777777" w:rsidTr="00FA33C4">
        <w:tc>
          <w:tcPr>
            <w:tcW w:w="1466" w:type="pct"/>
            <w:gridSpan w:val="4"/>
            <w:shd w:val="clear" w:color="auto" w:fill="D9D9D9" w:themeFill="background1" w:themeFillShade="D9"/>
          </w:tcPr>
          <w:p w14:paraId="14312D17" w14:textId="77777777" w:rsidR="003A3170" w:rsidRPr="00920905" w:rsidRDefault="003A3170" w:rsidP="005729C8">
            <w:pPr>
              <w:rPr>
                <w:rFonts w:cstheme="minorHAnsi"/>
                <w:b/>
                <w:szCs w:val="20"/>
              </w:rPr>
            </w:pPr>
            <w:r w:rsidRPr="00920905">
              <w:rPr>
                <w:rFonts w:cstheme="minorHAnsi"/>
                <w:b/>
                <w:szCs w:val="20"/>
              </w:rPr>
              <w:t>Measure Codes</w:t>
            </w:r>
          </w:p>
        </w:tc>
        <w:tc>
          <w:tcPr>
            <w:tcW w:w="3534" w:type="pct"/>
            <w:vMerge w:val="restart"/>
            <w:shd w:val="clear" w:color="auto" w:fill="D9D9D9" w:themeFill="background1" w:themeFillShade="D9"/>
          </w:tcPr>
          <w:p w14:paraId="3D9B8F17"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9EE432" w14:textId="77777777" w:rsidTr="00FA33C4">
        <w:tc>
          <w:tcPr>
            <w:tcW w:w="291" w:type="pct"/>
            <w:shd w:val="clear" w:color="auto" w:fill="F2F2F2" w:themeFill="background1" w:themeFillShade="F2"/>
          </w:tcPr>
          <w:p w14:paraId="45292563" w14:textId="77777777" w:rsidR="003A3170" w:rsidRPr="00800706" w:rsidRDefault="003A3170" w:rsidP="00397406">
            <w:pPr>
              <w:rPr>
                <w:rFonts w:cstheme="minorHAnsi"/>
                <w:szCs w:val="20"/>
              </w:rPr>
            </w:pPr>
            <w:r w:rsidRPr="00800706">
              <w:rPr>
                <w:rFonts w:cstheme="minorHAnsi"/>
                <w:szCs w:val="20"/>
              </w:rPr>
              <w:t>SCG</w:t>
            </w:r>
          </w:p>
        </w:tc>
        <w:tc>
          <w:tcPr>
            <w:tcW w:w="423" w:type="pct"/>
            <w:shd w:val="clear" w:color="auto" w:fill="F2F2F2" w:themeFill="background1" w:themeFillShade="F2"/>
          </w:tcPr>
          <w:p w14:paraId="568C19C2" w14:textId="77777777" w:rsidR="003A3170" w:rsidRPr="00800706" w:rsidRDefault="003A3170" w:rsidP="00397406">
            <w:pPr>
              <w:rPr>
                <w:rFonts w:cstheme="minorHAnsi"/>
                <w:szCs w:val="20"/>
              </w:rPr>
            </w:pPr>
            <w:r w:rsidRPr="00800706">
              <w:rPr>
                <w:rFonts w:cstheme="minorHAnsi"/>
                <w:szCs w:val="20"/>
              </w:rPr>
              <w:t>SDG&amp;E</w:t>
            </w:r>
          </w:p>
        </w:tc>
        <w:tc>
          <w:tcPr>
            <w:tcW w:w="329" w:type="pct"/>
            <w:shd w:val="clear" w:color="auto" w:fill="F2F2F2" w:themeFill="background1" w:themeFillShade="F2"/>
          </w:tcPr>
          <w:p w14:paraId="57C51CAA" w14:textId="77777777" w:rsidR="003A3170" w:rsidRPr="00800706" w:rsidRDefault="003A3170" w:rsidP="00C959CA">
            <w:pPr>
              <w:rPr>
                <w:rFonts w:cstheme="minorHAnsi"/>
                <w:szCs w:val="20"/>
              </w:rPr>
            </w:pPr>
            <w:r w:rsidRPr="00800706">
              <w:rPr>
                <w:rFonts w:cstheme="minorHAnsi"/>
                <w:szCs w:val="20"/>
              </w:rPr>
              <w:t>SCE</w:t>
            </w:r>
          </w:p>
        </w:tc>
        <w:tc>
          <w:tcPr>
            <w:tcW w:w="423" w:type="pct"/>
            <w:shd w:val="clear" w:color="auto" w:fill="F2F2F2" w:themeFill="background1" w:themeFillShade="F2"/>
          </w:tcPr>
          <w:p w14:paraId="3FE982E5" w14:textId="77777777" w:rsidR="003A3170" w:rsidRPr="00800706" w:rsidRDefault="003A3170" w:rsidP="00D835EF">
            <w:pPr>
              <w:rPr>
                <w:rFonts w:cstheme="minorHAnsi"/>
                <w:szCs w:val="20"/>
              </w:rPr>
            </w:pPr>
            <w:r w:rsidRPr="00800706">
              <w:rPr>
                <w:rFonts w:cstheme="minorHAnsi"/>
                <w:szCs w:val="20"/>
              </w:rPr>
              <w:t>PG&amp;E</w:t>
            </w:r>
          </w:p>
        </w:tc>
        <w:tc>
          <w:tcPr>
            <w:tcW w:w="3534" w:type="pct"/>
            <w:vMerge/>
          </w:tcPr>
          <w:p w14:paraId="7C4F5C8F" w14:textId="77777777" w:rsidR="003A3170" w:rsidRPr="00800706" w:rsidRDefault="003A3170" w:rsidP="005729C8">
            <w:pPr>
              <w:rPr>
                <w:rFonts w:cstheme="minorHAnsi"/>
                <w:szCs w:val="20"/>
              </w:rPr>
            </w:pPr>
          </w:p>
        </w:tc>
      </w:tr>
      <w:tr w:rsidR="00572D2F" w:rsidRPr="00800706" w14:paraId="6D65276B" w14:textId="77777777" w:rsidTr="00FA33C4">
        <w:trPr>
          <w:trHeight w:val="243"/>
        </w:trPr>
        <w:tc>
          <w:tcPr>
            <w:tcW w:w="291" w:type="pct"/>
          </w:tcPr>
          <w:p w14:paraId="69A50A95" w14:textId="3CD8BB5A" w:rsidR="00572D2F" w:rsidRPr="00920905" w:rsidRDefault="00543664" w:rsidP="00397406">
            <w:pPr>
              <w:rPr>
                <w:rFonts w:cstheme="minorHAnsi"/>
                <w:color w:val="FF0000"/>
                <w:szCs w:val="20"/>
              </w:rPr>
            </w:pPr>
            <w:r w:rsidRPr="00647EC9">
              <w:rPr>
                <w:rFonts w:cstheme="minorHAnsi"/>
                <w:szCs w:val="20"/>
              </w:rPr>
              <w:t>TBD</w:t>
            </w:r>
          </w:p>
        </w:tc>
        <w:tc>
          <w:tcPr>
            <w:tcW w:w="423" w:type="pct"/>
          </w:tcPr>
          <w:p w14:paraId="7B93EDB6" w14:textId="77777777" w:rsidR="00572D2F" w:rsidRPr="00920905" w:rsidRDefault="00572D2F" w:rsidP="00397406">
            <w:pPr>
              <w:rPr>
                <w:rFonts w:cstheme="minorHAnsi"/>
                <w:color w:val="FF0000"/>
                <w:szCs w:val="20"/>
              </w:rPr>
            </w:pPr>
          </w:p>
        </w:tc>
        <w:tc>
          <w:tcPr>
            <w:tcW w:w="329" w:type="pct"/>
          </w:tcPr>
          <w:p w14:paraId="75135B6C" w14:textId="74619FD2" w:rsidR="00572D2F" w:rsidRPr="00920905" w:rsidRDefault="00572D2F" w:rsidP="00397406">
            <w:pPr>
              <w:rPr>
                <w:rFonts w:cstheme="minorHAnsi"/>
                <w:color w:val="FF0000"/>
                <w:szCs w:val="20"/>
              </w:rPr>
            </w:pPr>
          </w:p>
        </w:tc>
        <w:tc>
          <w:tcPr>
            <w:tcW w:w="423" w:type="pct"/>
          </w:tcPr>
          <w:p w14:paraId="02A72544" w14:textId="0CB16FF6" w:rsidR="00572D2F" w:rsidRPr="00920905" w:rsidRDefault="00572D2F" w:rsidP="005729C8">
            <w:pPr>
              <w:rPr>
                <w:rFonts w:cstheme="minorHAnsi"/>
                <w:color w:val="FF0000"/>
                <w:szCs w:val="20"/>
              </w:rPr>
            </w:pPr>
          </w:p>
        </w:tc>
        <w:tc>
          <w:tcPr>
            <w:tcW w:w="3534" w:type="pct"/>
          </w:tcPr>
          <w:p w14:paraId="614D4BE3" w14:textId="26144235" w:rsidR="00572D2F" w:rsidRPr="00920905" w:rsidRDefault="00543664">
            <w:pPr>
              <w:rPr>
                <w:color w:val="FF0000"/>
              </w:rPr>
            </w:pPr>
            <w:r w:rsidRPr="00647EC9">
              <w:t>Lavatory Fauce</w:t>
            </w:r>
            <w:r w:rsidR="00DB618D">
              <w:t>t</w:t>
            </w:r>
            <w:r w:rsidR="00F82827">
              <w:t xml:space="preserve"> FCV</w:t>
            </w:r>
            <w:r w:rsidR="00BA485D">
              <w:t>:</w:t>
            </w:r>
            <w:r w:rsidR="00DB618D">
              <w:t xml:space="preserve"> 1.00</w:t>
            </w:r>
            <w:r w:rsidRPr="00647EC9">
              <w:t xml:space="preserve"> GPM </w:t>
            </w:r>
          </w:p>
        </w:tc>
      </w:tr>
      <w:tr w:rsidR="00647EC9" w:rsidRPr="00800706" w14:paraId="0F154D84" w14:textId="77777777" w:rsidTr="00FA33C4">
        <w:trPr>
          <w:trHeight w:val="243"/>
        </w:trPr>
        <w:tc>
          <w:tcPr>
            <w:tcW w:w="291" w:type="pct"/>
          </w:tcPr>
          <w:p w14:paraId="530FC5E7" w14:textId="407494D1" w:rsidR="00647EC9" w:rsidRPr="00350BF1" w:rsidRDefault="00647EC9" w:rsidP="00647EC9">
            <w:pPr>
              <w:rPr>
                <w:rFonts w:cstheme="minorHAnsi"/>
                <w:szCs w:val="20"/>
              </w:rPr>
            </w:pPr>
            <w:r w:rsidRPr="0030600D">
              <w:rPr>
                <w:rFonts w:cstheme="minorHAnsi"/>
                <w:szCs w:val="20"/>
              </w:rPr>
              <w:t>TBD</w:t>
            </w:r>
          </w:p>
        </w:tc>
        <w:tc>
          <w:tcPr>
            <w:tcW w:w="423" w:type="pct"/>
          </w:tcPr>
          <w:p w14:paraId="1F28172F" w14:textId="77777777" w:rsidR="00647EC9" w:rsidRPr="00350BF1" w:rsidRDefault="00647EC9" w:rsidP="00647EC9">
            <w:pPr>
              <w:rPr>
                <w:rFonts w:cstheme="minorHAnsi"/>
                <w:szCs w:val="20"/>
              </w:rPr>
            </w:pPr>
          </w:p>
        </w:tc>
        <w:tc>
          <w:tcPr>
            <w:tcW w:w="329" w:type="pct"/>
          </w:tcPr>
          <w:p w14:paraId="600E2337" w14:textId="77777777" w:rsidR="00647EC9" w:rsidRPr="00350BF1" w:rsidRDefault="00647EC9" w:rsidP="00647EC9">
            <w:pPr>
              <w:rPr>
                <w:rFonts w:cstheme="minorHAnsi"/>
                <w:szCs w:val="20"/>
              </w:rPr>
            </w:pPr>
          </w:p>
        </w:tc>
        <w:tc>
          <w:tcPr>
            <w:tcW w:w="423" w:type="pct"/>
          </w:tcPr>
          <w:p w14:paraId="1969D737" w14:textId="77777777" w:rsidR="00647EC9" w:rsidRPr="00350BF1" w:rsidRDefault="00647EC9" w:rsidP="00647EC9">
            <w:pPr>
              <w:rPr>
                <w:rFonts w:cstheme="minorHAnsi"/>
                <w:szCs w:val="20"/>
              </w:rPr>
            </w:pPr>
          </w:p>
        </w:tc>
        <w:tc>
          <w:tcPr>
            <w:tcW w:w="3534" w:type="pct"/>
          </w:tcPr>
          <w:p w14:paraId="0C72117B" w14:textId="065EEADB" w:rsidR="00647EC9" w:rsidRDefault="00F82827" w:rsidP="00647EC9">
            <w:r>
              <w:t>Res s</w:t>
            </w:r>
            <w:r w:rsidR="00647EC9">
              <w:t>howerhead</w:t>
            </w:r>
            <w:r>
              <w:t xml:space="preserve"> FCV</w:t>
            </w:r>
            <w:r w:rsidR="00647EC9">
              <w:t>: 1.00</w:t>
            </w:r>
            <w:r w:rsidR="00E60A9F">
              <w:t xml:space="preserve"> GPM </w:t>
            </w:r>
          </w:p>
        </w:tc>
      </w:tr>
      <w:tr w:rsidR="00FA33C4" w:rsidRPr="00800706" w14:paraId="5D7E2C5C" w14:textId="77777777" w:rsidTr="00FA33C4">
        <w:trPr>
          <w:trHeight w:val="243"/>
        </w:trPr>
        <w:tc>
          <w:tcPr>
            <w:tcW w:w="291" w:type="pct"/>
          </w:tcPr>
          <w:p w14:paraId="581B11C2" w14:textId="199EB64F" w:rsidR="00FA33C4" w:rsidRPr="0030600D" w:rsidRDefault="00FA33C4" w:rsidP="00FA33C4">
            <w:pPr>
              <w:rPr>
                <w:rFonts w:cstheme="minorHAnsi"/>
                <w:szCs w:val="20"/>
              </w:rPr>
            </w:pPr>
            <w:r>
              <w:rPr>
                <w:rFonts w:cstheme="minorHAnsi"/>
                <w:szCs w:val="20"/>
              </w:rPr>
              <w:t>TBD</w:t>
            </w:r>
          </w:p>
        </w:tc>
        <w:tc>
          <w:tcPr>
            <w:tcW w:w="423" w:type="pct"/>
          </w:tcPr>
          <w:p w14:paraId="21852EBF" w14:textId="77777777" w:rsidR="00FA33C4" w:rsidRPr="00350BF1" w:rsidRDefault="00FA33C4" w:rsidP="00FA33C4">
            <w:pPr>
              <w:rPr>
                <w:rFonts w:cstheme="minorHAnsi"/>
                <w:szCs w:val="20"/>
              </w:rPr>
            </w:pPr>
          </w:p>
        </w:tc>
        <w:tc>
          <w:tcPr>
            <w:tcW w:w="329" w:type="pct"/>
          </w:tcPr>
          <w:p w14:paraId="0D5F251D" w14:textId="77777777" w:rsidR="00FA33C4" w:rsidRPr="00350BF1" w:rsidRDefault="00FA33C4" w:rsidP="00FA33C4">
            <w:pPr>
              <w:rPr>
                <w:rFonts w:cstheme="minorHAnsi"/>
                <w:szCs w:val="20"/>
              </w:rPr>
            </w:pPr>
          </w:p>
        </w:tc>
        <w:tc>
          <w:tcPr>
            <w:tcW w:w="423" w:type="pct"/>
          </w:tcPr>
          <w:p w14:paraId="161F8734" w14:textId="77777777" w:rsidR="00FA33C4" w:rsidRPr="00350BF1" w:rsidRDefault="00FA33C4" w:rsidP="00FA33C4">
            <w:pPr>
              <w:rPr>
                <w:rFonts w:cstheme="minorHAnsi"/>
                <w:szCs w:val="20"/>
              </w:rPr>
            </w:pPr>
          </w:p>
        </w:tc>
        <w:tc>
          <w:tcPr>
            <w:tcW w:w="3534" w:type="pct"/>
          </w:tcPr>
          <w:p w14:paraId="52929C2C" w14:textId="347BBC84" w:rsidR="00FA33C4" w:rsidRDefault="00FA33C4" w:rsidP="00FA33C4">
            <w:r w:rsidRPr="00FA33C4">
              <w:t>Pub</w:t>
            </w:r>
            <w:r w:rsidR="00516284">
              <w:t>lic Lavatory Faucet</w:t>
            </w:r>
            <w:r w:rsidR="006E6537">
              <w:t xml:space="preserve"> FCV</w:t>
            </w:r>
            <w:r w:rsidR="00516284">
              <w:t xml:space="preserve"> </w:t>
            </w:r>
            <w:r w:rsidR="00BA485D">
              <w:t xml:space="preserve">Commercial Buildings: </w:t>
            </w:r>
            <w:r w:rsidRPr="00FA33C4">
              <w:t>1.0 GPM</w:t>
            </w:r>
            <w:r w:rsidR="00BA485D">
              <w:t xml:space="preserve"> </w:t>
            </w:r>
          </w:p>
        </w:tc>
      </w:tr>
      <w:tr w:rsidR="006F1FA1" w:rsidRPr="00800706" w14:paraId="6F31D602" w14:textId="77777777" w:rsidTr="00FA33C4">
        <w:trPr>
          <w:trHeight w:val="243"/>
        </w:trPr>
        <w:tc>
          <w:tcPr>
            <w:tcW w:w="291" w:type="pct"/>
          </w:tcPr>
          <w:p w14:paraId="70FE8247" w14:textId="66677444" w:rsidR="006F1FA1" w:rsidRDefault="006F1FA1" w:rsidP="006F1FA1">
            <w:pPr>
              <w:rPr>
                <w:rFonts w:cstheme="minorHAnsi"/>
                <w:szCs w:val="20"/>
              </w:rPr>
            </w:pPr>
            <w:r>
              <w:rPr>
                <w:rFonts w:cstheme="minorHAnsi"/>
                <w:szCs w:val="20"/>
              </w:rPr>
              <w:t>TBD</w:t>
            </w:r>
          </w:p>
        </w:tc>
        <w:tc>
          <w:tcPr>
            <w:tcW w:w="423" w:type="pct"/>
          </w:tcPr>
          <w:p w14:paraId="6ED8CDF5" w14:textId="77777777" w:rsidR="006F1FA1" w:rsidRPr="00350BF1" w:rsidRDefault="006F1FA1" w:rsidP="006F1FA1">
            <w:pPr>
              <w:rPr>
                <w:rFonts w:cstheme="minorHAnsi"/>
                <w:szCs w:val="20"/>
              </w:rPr>
            </w:pPr>
          </w:p>
        </w:tc>
        <w:tc>
          <w:tcPr>
            <w:tcW w:w="329" w:type="pct"/>
          </w:tcPr>
          <w:p w14:paraId="0E622D10" w14:textId="77777777" w:rsidR="006F1FA1" w:rsidRPr="00350BF1" w:rsidRDefault="006F1FA1" w:rsidP="006F1FA1">
            <w:pPr>
              <w:rPr>
                <w:rFonts w:cstheme="minorHAnsi"/>
                <w:szCs w:val="20"/>
              </w:rPr>
            </w:pPr>
          </w:p>
        </w:tc>
        <w:tc>
          <w:tcPr>
            <w:tcW w:w="423" w:type="pct"/>
          </w:tcPr>
          <w:p w14:paraId="6767786E" w14:textId="77777777" w:rsidR="006F1FA1" w:rsidRPr="00350BF1" w:rsidRDefault="006F1FA1" w:rsidP="006F1FA1">
            <w:pPr>
              <w:rPr>
                <w:rFonts w:cstheme="minorHAnsi"/>
                <w:szCs w:val="20"/>
              </w:rPr>
            </w:pPr>
          </w:p>
        </w:tc>
        <w:tc>
          <w:tcPr>
            <w:tcW w:w="3534" w:type="pct"/>
          </w:tcPr>
          <w:p w14:paraId="078407F4" w14:textId="55A5C4C0" w:rsidR="006F1FA1" w:rsidRPr="00FA33C4" w:rsidRDefault="006F1FA1" w:rsidP="006F1FA1">
            <w:r w:rsidRPr="006F1FA1">
              <w:t>Private Lavatory Fa</w:t>
            </w:r>
            <w:r w:rsidR="00516284">
              <w:t>ucet</w:t>
            </w:r>
            <w:r w:rsidR="006E6537">
              <w:t xml:space="preserve"> FCV</w:t>
            </w:r>
            <w:r w:rsidR="00516284">
              <w:t xml:space="preserve"> </w:t>
            </w:r>
            <w:r w:rsidR="00A93231">
              <w:t>Commercial Buildings</w:t>
            </w:r>
            <w:r w:rsidR="00BA485D">
              <w:t xml:space="preserve">: 1.0 GPM </w:t>
            </w:r>
          </w:p>
        </w:tc>
      </w:tr>
      <w:tr w:rsidR="006F1FA1" w:rsidRPr="00800706" w14:paraId="51B180BC" w14:textId="77777777" w:rsidTr="00FA33C4">
        <w:trPr>
          <w:trHeight w:val="243"/>
        </w:trPr>
        <w:tc>
          <w:tcPr>
            <w:tcW w:w="291" w:type="pct"/>
          </w:tcPr>
          <w:p w14:paraId="1E2F0437" w14:textId="537DE7D2" w:rsidR="006F1FA1" w:rsidRPr="00350BF1" w:rsidRDefault="006F1FA1" w:rsidP="006F1FA1">
            <w:pPr>
              <w:rPr>
                <w:rFonts w:cstheme="minorHAnsi"/>
                <w:szCs w:val="20"/>
              </w:rPr>
            </w:pPr>
            <w:r w:rsidRPr="0030600D">
              <w:rPr>
                <w:rFonts w:cstheme="minorHAnsi"/>
                <w:szCs w:val="20"/>
              </w:rPr>
              <w:t>TBD</w:t>
            </w:r>
          </w:p>
        </w:tc>
        <w:tc>
          <w:tcPr>
            <w:tcW w:w="423" w:type="pct"/>
          </w:tcPr>
          <w:p w14:paraId="0CC17FC2" w14:textId="77777777" w:rsidR="006F1FA1" w:rsidRPr="00350BF1" w:rsidRDefault="006F1FA1" w:rsidP="006F1FA1">
            <w:pPr>
              <w:rPr>
                <w:rFonts w:cstheme="minorHAnsi"/>
                <w:szCs w:val="20"/>
              </w:rPr>
            </w:pPr>
          </w:p>
        </w:tc>
        <w:tc>
          <w:tcPr>
            <w:tcW w:w="329" w:type="pct"/>
          </w:tcPr>
          <w:p w14:paraId="764EFDC8" w14:textId="77777777" w:rsidR="006F1FA1" w:rsidRPr="00350BF1" w:rsidRDefault="006F1FA1" w:rsidP="006F1FA1">
            <w:pPr>
              <w:rPr>
                <w:rFonts w:cstheme="minorHAnsi"/>
                <w:szCs w:val="20"/>
              </w:rPr>
            </w:pPr>
          </w:p>
        </w:tc>
        <w:tc>
          <w:tcPr>
            <w:tcW w:w="423" w:type="pct"/>
          </w:tcPr>
          <w:p w14:paraId="4F6AC65C" w14:textId="77777777" w:rsidR="006F1FA1" w:rsidRPr="00350BF1" w:rsidRDefault="006F1FA1" w:rsidP="006F1FA1">
            <w:pPr>
              <w:rPr>
                <w:rFonts w:cstheme="minorHAnsi"/>
                <w:szCs w:val="20"/>
              </w:rPr>
            </w:pPr>
          </w:p>
        </w:tc>
        <w:tc>
          <w:tcPr>
            <w:tcW w:w="3534" w:type="pct"/>
          </w:tcPr>
          <w:p w14:paraId="4E48960E" w14:textId="78D1389F" w:rsidR="006F1FA1" w:rsidRDefault="00F82827" w:rsidP="006F1FA1">
            <w:r>
              <w:t xml:space="preserve">Res </w:t>
            </w:r>
            <w:r w:rsidR="006F1FA1">
              <w:t>Showerhead</w:t>
            </w:r>
            <w:r w:rsidR="006E6537">
              <w:t xml:space="preserve"> FCV</w:t>
            </w:r>
            <w:r w:rsidR="006F1FA1">
              <w:t>: 1.25 GPM</w:t>
            </w:r>
          </w:p>
        </w:tc>
      </w:tr>
      <w:tr w:rsidR="006F1FA1" w:rsidRPr="00800706" w14:paraId="5AB55148" w14:textId="77777777" w:rsidTr="00FA33C4">
        <w:trPr>
          <w:trHeight w:val="243"/>
        </w:trPr>
        <w:tc>
          <w:tcPr>
            <w:tcW w:w="291" w:type="pct"/>
          </w:tcPr>
          <w:p w14:paraId="24BB6200" w14:textId="20335196" w:rsidR="006F1FA1" w:rsidRPr="00350BF1" w:rsidRDefault="006F1FA1" w:rsidP="006F1FA1">
            <w:pPr>
              <w:rPr>
                <w:rFonts w:cstheme="minorHAnsi"/>
                <w:szCs w:val="20"/>
              </w:rPr>
            </w:pPr>
            <w:r w:rsidRPr="0030600D">
              <w:rPr>
                <w:rFonts w:cstheme="minorHAnsi"/>
                <w:szCs w:val="20"/>
              </w:rPr>
              <w:t>TBD</w:t>
            </w:r>
          </w:p>
        </w:tc>
        <w:tc>
          <w:tcPr>
            <w:tcW w:w="423" w:type="pct"/>
          </w:tcPr>
          <w:p w14:paraId="43AB66A7" w14:textId="77777777" w:rsidR="006F1FA1" w:rsidRPr="00350BF1" w:rsidRDefault="006F1FA1" w:rsidP="006F1FA1">
            <w:pPr>
              <w:rPr>
                <w:rFonts w:cstheme="minorHAnsi"/>
                <w:szCs w:val="20"/>
              </w:rPr>
            </w:pPr>
          </w:p>
        </w:tc>
        <w:tc>
          <w:tcPr>
            <w:tcW w:w="329" w:type="pct"/>
          </w:tcPr>
          <w:p w14:paraId="218DE78A" w14:textId="77777777" w:rsidR="006F1FA1" w:rsidRPr="00350BF1" w:rsidRDefault="006F1FA1" w:rsidP="006F1FA1">
            <w:pPr>
              <w:rPr>
                <w:rFonts w:cstheme="minorHAnsi"/>
                <w:szCs w:val="20"/>
              </w:rPr>
            </w:pPr>
          </w:p>
        </w:tc>
        <w:tc>
          <w:tcPr>
            <w:tcW w:w="423" w:type="pct"/>
          </w:tcPr>
          <w:p w14:paraId="5BF86EED" w14:textId="77777777" w:rsidR="006F1FA1" w:rsidRPr="00350BF1" w:rsidRDefault="006F1FA1" w:rsidP="006F1FA1">
            <w:pPr>
              <w:rPr>
                <w:rFonts w:cstheme="minorHAnsi"/>
                <w:szCs w:val="20"/>
              </w:rPr>
            </w:pPr>
          </w:p>
        </w:tc>
        <w:tc>
          <w:tcPr>
            <w:tcW w:w="3534" w:type="pct"/>
          </w:tcPr>
          <w:p w14:paraId="64C4531C" w14:textId="6F76A605" w:rsidR="006F1FA1" w:rsidRDefault="00F82827" w:rsidP="006F1FA1">
            <w:r>
              <w:t xml:space="preserve">Res </w:t>
            </w:r>
            <w:r w:rsidR="006F1FA1">
              <w:t>Showerhead</w:t>
            </w:r>
            <w:r w:rsidR="006E6537">
              <w:t xml:space="preserve"> FCV</w:t>
            </w:r>
            <w:r w:rsidR="006F1FA1">
              <w:t xml:space="preserve">: 1.50 GPM </w:t>
            </w:r>
          </w:p>
        </w:tc>
      </w:tr>
      <w:tr w:rsidR="00F82827" w:rsidRPr="00800706" w14:paraId="7E9F960D" w14:textId="77777777" w:rsidTr="00FA33C4">
        <w:trPr>
          <w:trHeight w:val="243"/>
        </w:trPr>
        <w:tc>
          <w:tcPr>
            <w:tcW w:w="291" w:type="pct"/>
          </w:tcPr>
          <w:p w14:paraId="340BAECF" w14:textId="63D2E8D8" w:rsidR="00F82827" w:rsidRPr="0030600D" w:rsidRDefault="00A56D57" w:rsidP="00F82827">
            <w:pPr>
              <w:rPr>
                <w:rFonts w:cstheme="minorHAnsi"/>
                <w:szCs w:val="20"/>
              </w:rPr>
            </w:pPr>
            <w:r>
              <w:rPr>
                <w:rFonts w:cstheme="minorHAnsi"/>
                <w:szCs w:val="20"/>
              </w:rPr>
              <w:t>TBD</w:t>
            </w:r>
          </w:p>
        </w:tc>
        <w:tc>
          <w:tcPr>
            <w:tcW w:w="423" w:type="pct"/>
          </w:tcPr>
          <w:p w14:paraId="3F3E12A4" w14:textId="77777777" w:rsidR="00F82827" w:rsidRPr="00350BF1" w:rsidRDefault="00F82827" w:rsidP="00F82827">
            <w:pPr>
              <w:rPr>
                <w:rFonts w:cstheme="minorHAnsi"/>
                <w:szCs w:val="20"/>
              </w:rPr>
            </w:pPr>
          </w:p>
        </w:tc>
        <w:tc>
          <w:tcPr>
            <w:tcW w:w="329" w:type="pct"/>
          </w:tcPr>
          <w:p w14:paraId="4B5DF671" w14:textId="77777777" w:rsidR="00F82827" w:rsidRPr="00350BF1" w:rsidRDefault="00F82827" w:rsidP="00F82827">
            <w:pPr>
              <w:rPr>
                <w:rFonts w:cstheme="minorHAnsi"/>
                <w:szCs w:val="20"/>
              </w:rPr>
            </w:pPr>
          </w:p>
        </w:tc>
        <w:tc>
          <w:tcPr>
            <w:tcW w:w="423" w:type="pct"/>
          </w:tcPr>
          <w:p w14:paraId="6EC43739" w14:textId="77777777" w:rsidR="00F82827" w:rsidRPr="00350BF1" w:rsidRDefault="00F82827" w:rsidP="00F82827">
            <w:pPr>
              <w:rPr>
                <w:rFonts w:cstheme="minorHAnsi"/>
                <w:szCs w:val="20"/>
              </w:rPr>
            </w:pPr>
          </w:p>
        </w:tc>
        <w:tc>
          <w:tcPr>
            <w:tcW w:w="3534" w:type="pct"/>
          </w:tcPr>
          <w:p w14:paraId="78876E4E" w14:textId="4BD8BF92" w:rsidR="00F82827" w:rsidRDefault="00F82827" w:rsidP="00F82827">
            <w:r>
              <w:t>Com Showerhead</w:t>
            </w:r>
            <w:r w:rsidR="006E6537">
              <w:t xml:space="preserve"> FCV</w:t>
            </w:r>
            <w:r>
              <w:t xml:space="preserve">: 1.50 GPM </w:t>
            </w:r>
          </w:p>
        </w:tc>
      </w:tr>
      <w:tr w:rsidR="00F82827" w:rsidRPr="00800706" w14:paraId="08293F1C" w14:textId="77777777" w:rsidTr="00FA33C4">
        <w:trPr>
          <w:trHeight w:val="243"/>
        </w:trPr>
        <w:tc>
          <w:tcPr>
            <w:tcW w:w="291" w:type="pct"/>
          </w:tcPr>
          <w:p w14:paraId="66CE12ED" w14:textId="6BCDA95A" w:rsidR="00F82827" w:rsidRPr="00350BF1" w:rsidRDefault="00F82827" w:rsidP="00F82827">
            <w:pPr>
              <w:rPr>
                <w:rFonts w:cstheme="minorHAnsi"/>
                <w:szCs w:val="20"/>
              </w:rPr>
            </w:pPr>
            <w:r w:rsidRPr="0030600D">
              <w:rPr>
                <w:rFonts w:cstheme="minorHAnsi"/>
                <w:szCs w:val="20"/>
              </w:rPr>
              <w:t>TBD</w:t>
            </w:r>
          </w:p>
        </w:tc>
        <w:tc>
          <w:tcPr>
            <w:tcW w:w="423" w:type="pct"/>
          </w:tcPr>
          <w:p w14:paraId="0AB902D7" w14:textId="77777777" w:rsidR="00F82827" w:rsidRPr="00350BF1" w:rsidRDefault="00F82827" w:rsidP="00F82827">
            <w:pPr>
              <w:rPr>
                <w:rFonts w:cstheme="minorHAnsi"/>
                <w:szCs w:val="20"/>
              </w:rPr>
            </w:pPr>
          </w:p>
        </w:tc>
        <w:tc>
          <w:tcPr>
            <w:tcW w:w="329" w:type="pct"/>
          </w:tcPr>
          <w:p w14:paraId="76AEA56E" w14:textId="77777777" w:rsidR="00F82827" w:rsidRPr="00350BF1" w:rsidRDefault="00F82827" w:rsidP="00F82827">
            <w:pPr>
              <w:rPr>
                <w:rFonts w:cstheme="minorHAnsi"/>
                <w:szCs w:val="20"/>
              </w:rPr>
            </w:pPr>
          </w:p>
        </w:tc>
        <w:tc>
          <w:tcPr>
            <w:tcW w:w="423" w:type="pct"/>
          </w:tcPr>
          <w:p w14:paraId="250D5710" w14:textId="77777777" w:rsidR="00F82827" w:rsidRPr="00350BF1" w:rsidRDefault="00F82827" w:rsidP="00F82827">
            <w:pPr>
              <w:rPr>
                <w:rFonts w:cstheme="minorHAnsi"/>
                <w:szCs w:val="20"/>
              </w:rPr>
            </w:pPr>
          </w:p>
        </w:tc>
        <w:tc>
          <w:tcPr>
            <w:tcW w:w="3534" w:type="pct"/>
          </w:tcPr>
          <w:p w14:paraId="0BD1BC16" w14:textId="683014A0" w:rsidR="00F82827" w:rsidRDefault="00F82827" w:rsidP="00F82827">
            <w:r>
              <w:t>Kitchen Faucet</w:t>
            </w:r>
            <w:r w:rsidR="006E6537">
              <w:t xml:space="preserve"> FCV</w:t>
            </w:r>
            <w:r>
              <w:t>: 1.5 GPM</w:t>
            </w:r>
          </w:p>
        </w:tc>
      </w:tr>
    </w:tbl>
    <w:p w14:paraId="08E74540" w14:textId="1479045E" w:rsidR="00DB618D" w:rsidRPr="00FC3485" w:rsidRDefault="006A57EC" w:rsidP="00697868">
      <w:pPr>
        <w:pStyle w:val="Reminders"/>
        <w:rPr>
          <w:rFonts w:asciiTheme="minorHAnsi" w:hAnsiTheme="minorHAnsi" w:cstheme="minorHAnsi"/>
          <w:i w:val="0"/>
          <w:color w:val="auto"/>
          <w:szCs w:val="22"/>
        </w:rPr>
      </w:pPr>
      <w:r>
        <w:rPr>
          <w:rFonts w:asciiTheme="minorHAnsi" w:hAnsiTheme="minorHAnsi" w:cstheme="minorHAnsi"/>
          <w:i w:val="0"/>
          <w:color w:val="auto"/>
          <w:szCs w:val="22"/>
        </w:rPr>
        <w:t>M</w:t>
      </w:r>
      <w:r w:rsidR="00DB618D" w:rsidRPr="00FC3485">
        <w:rPr>
          <w:rFonts w:asciiTheme="minorHAnsi" w:hAnsiTheme="minorHAnsi" w:cstheme="minorHAnsi"/>
          <w:i w:val="0"/>
          <w:color w:val="auto"/>
          <w:szCs w:val="22"/>
        </w:rPr>
        <w:t xml:space="preserve">easures </w:t>
      </w:r>
      <w:r>
        <w:rPr>
          <w:rFonts w:asciiTheme="minorHAnsi" w:hAnsiTheme="minorHAnsi" w:cstheme="minorHAnsi"/>
          <w:i w:val="0"/>
          <w:color w:val="auto"/>
          <w:szCs w:val="22"/>
        </w:rPr>
        <w:t>are</w:t>
      </w:r>
      <w:r w:rsidR="00DB618D" w:rsidRPr="00FC3485">
        <w:rPr>
          <w:rFonts w:asciiTheme="minorHAnsi" w:hAnsiTheme="minorHAnsi" w:cstheme="minorHAnsi"/>
          <w:i w:val="0"/>
          <w:color w:val="auto"/>
          <w:szCs w:val="22"/>
        </w:rPr>
        <w:t xml:space="preserve"> available for both the residential and commercial </w:t>
      </w:r>
      <w:r w:rsidR="00540848" w:rsidRPr="00FC3485">
        <w:rPr>
          <w:rFonts w:asciiTheme="minorHAnsi" w:hAnsiTheme="minorHAnsi" w:cstheme="minorHAnsi"/>
          <w:i w:val="0"/>
          <w:color w:val="auto"/>
          <w:szCs w:val="22"/>
        </w:rPr>
        <w:t>sectors;</w:t>
      </w:r>
      <w:r w:rsidR="00DB618D" w:rsidRPr="00FC3485">
        <w:rPr>
          <w:rFonts w:asciiTheme="minorHAnsi" w:hAnsiTheme="minorHAnsi" w:cstheme="minorHAnsi"/>
          <w:i w:val="0"/>
          <w:color w:val="auto"/>
          <w:szCs w:val="22"/>
        </w:rPr>
        <w:t xml:space="preserve"> the application will be identical to </w:t>
      </w:r>
      <w:r w:rsidR="001D1B39">
        <w:rPr>
          <w:rFonts w:asciiTheme="minorHAnsi" w:hAnsiTheme="minorHAnsi" w:cstheme="minorHAnsi"/>
          <w:i w:val="0"/>
          <w:color w:val="auto"/>
          <w:szCs w:val="22"/>
        </w:rPr>
        <w:t xml:space="preserve">current SoCalGas </w:t>
      </w:r>
      <w:r w:rsidR="00DB618D" w:rsidRPr="00FC3485">
        <w:rPr>
          <w:rFonts w:asciiTheme="minorHAnsi" w:hAnsiTheme="minorHAnsi" w:cstheme="minorHAnsi"/>
          <w:i w:val="0"/>
          <w:color w:val="auto"/>
          <w:szCs w:val="22"/>
        </w:rPr>
        <w:t>workpapers</w:t>
      </w:r>
      <w:r w:rsidR="00FC3485">
        <w:rPr>
          <w:rFonts w:asciiTheme="minorHAnsi" w:hAnsiTheme="minorHAnsi" w:cstheme="minorHAnsi"/>
          <w:i w:val="0"/>
          <w:color w:val="auto"/>
          <w:szCs w:val="22"/>
        </w:rPr>
        <w:t xml:space="preserve"> for re</w:t>
      </w:r>
      <w:r w:rsidR="007E5925">
        <w:rPr>
          <w:rFonts w:asciiTheme="minorHAnsi" w:hAnsiTheme="minorHAnsi" w:cstheme="minorHAnsi"/>
          <w:i w:val="0"/>
          <w:color w:val="auto"/>
          <w:szCs w:val="22"/>
        </w:rPr>
        <w:t>sid</w:t>
      </w:r>
      <w:r w:rsidR="005B57AE">
        <w:rPr>
          <w:rFonts w:asciiTheme="minorHAnsi" w:hAnsiTheme="minorHAnsi" w:cstheme="minorHAnsi"/>
          <w:i w:val="0"/>
          <w:color w:val="auto"/>
          <w:szCs w:val="22"/>
        </w:rPr>
        <w:t>ential and commercial faucet aer</w:t>
      </w:r>
      <w:r w:rsidR="007E5925">
        <w:rPr>
          <w:rFonts w:asciiTheme="minorHAnsi" w:hAnsiTheme="minorHAnsi" w:cstheme="minorHAnsi"/>
          <w:i w:val="0"/>
          <w:color w:val="auto"/>
          <w:szCs w:val="22"/>
        </w:rPr>
        <w:t>at</w:t>
      </w:r>
      <w:r w:rsidR="005B57AE">
        <w:rPr>
          <w:rFonts w:asciiTheme="minorHAnsi" w:hAnsiTheme="minorHAnsi" w:cstheme="minorHAnsi"/>
          <w:i w:val="0"/>
          <w:color w:val="auto"/>
          <w:szCs w:val="22"/>
        </w:rPr>
        <w:t>ors</w:t>
      </w:r>
      <w:r w:rsidR="00FC3485">
        <w:rPr>
          <w:rFonts w:asciiTheme="minorHAnsi" w:hAnsiTheme="minorHAnsi" w:cstheme="minorHAnsi"/>
          <w:i w:val="0"/>
          <w:color w:val="auto"/>
          <w:szCs w:val="22"/>
        </w:rPr>
        <w:t xml:space="preserve"> and low flow showerheads</w:t>
      </w:r>
      <w:r w:rsidR="00DB618D" w:rsidRPr="00FC3485">
        <w:rPr>
          <w:rFonts w:asciiTheme="minorHAnsi" w:hAnsiTheme="minorHAnsi" w:cstheme="minorHAnsi"/>
          <w:i w:val="0"/>
          <w:color w:val="auto"/>
          <w:szCs w:val="22"/>
        </w:rPr>
        <w:t xml:space="preserve">. </w:t>
      </w:r>
    </w:p>
    <w:p w14:paraId="3092669A" w14:textId="77777777" w:rsidR="00DB618D" w:rsidRPr="00FC3485" w:rsidRDefault="00DB618D" w:rsidP="00697868">
      <w:pPr>
        <w:pStyle w:val="Reminders"/>
        <w:rPr>
          <w:rFonts w:asciiTheme="minorHAnsi" w:hAnsiTheme="minorHAnsi" w:cstheme="minorHAnsi"/>
          <w:i w:val="0"/>
          <w:color w:val="auto"/>
          <w:szCs w:val="22"/>
        </w:rPr>
      </w:pPr>
    </w:p>
    <w:p w14:paraId="68D0E3CC" w14:textId="345E78BE" w:rsidR="00522234" w:rsidRPr="00522234" w:rsidRDefault="008E25B1" w:rsidP="00100D77">
      <w:pPr>
        <w:pStyle w:val="NoSpacing"/>
        <w:numPr>
          <w:ilvl w:val="0"/>
          <w:numId w:val="14"/>
        </w:numPr>
        <w:contextualSpacing/>
        <w:rPr>
          <w:rFonts w:eastAsia="Times New Roman" w:cstheme="minorHAnsi"/>
          <w:b/>
        </w:rPr>
      </w:pPr>
      <w:r w:rsidRPr="00522234">
        <w:rPr>
          <w:rFonts w:eastAsia="Times New Roman" w:cstheme="minorHAnsi"/>
          <w:b/>
        </w:rPr>
        <w:t>Eligibility r</w:t>
      </w:r>
      <w:r w:rsidR="00697868" w:rsidRPr="00522234">
        <w:rPr>
          <w:rFonts w:eastAsia="Times New Roman" w:cstheme="minorHAnsi"/>
          <w:b/>
        </w:rPr>
        <w:t>equirements</w:t>
      </w:r>
      <w:r w:rsidR="001D33EF" w:rsidRPr="00522234">
        <w:rPr>
          <w:rFonts w:eastAsia="Times New Roman" w:cstheme="minorHAnsi"/>
          <w:b/>
        </w:rPr>
        <w:t>:</w:t>
      </w:r>
    </w:p>
    <w:p w14:paraId="5EBE7CFC" w14:textId="3ADE8E32" w:rsidR="00522234" w:rsidRPr="00522234" w:rsidRDefault="009579CC" w:rsidP="00522234">
      <w:pPr>
        <w:pStyle w:val="Reminders"/>
        <w:ind w:firstLine="360"/>
        <w:rPr>
          <w:rFonts w:asciiTheme="minorHAnsi" w:hAnsiTheme="minorHAnsi" w:cstheme="minorHAnsi"/>
          <w:i w:val="0"/>
          <w:color w:val="auto"/>
          <w:szCs w:val="22"/>
        </w:rPr>
      </w:pPr>
      <w:r>
        <w:rPr>
          <w:rFonts w:asciiTheme="minorHAnsi" w:hAnsiTheme="minorHAnsi" w:cstheme="minorHAnsi"/>
          <w:i w:val="0"/>
          <w:color w:val="auto"/>
          <w:szCs w:val="22"/>
        </w:rPr>
        <w:t xml:space="preserve">Residential </w:t>
      </w:r>
      <w:r w:rsidR="00522234" w:rsidRPr="00FC3485">
        <w:rPr>
          <w:rFonts w:asciiTheme="minorHAnsi" w:hAnsiTheme="minorHAnsi" w:cstheme="minorHAnsi"/>
          <w:i w:val="0"/>
          <w:color w:val="auto"/>
          <w:szCs w:val="22"/>
        </w:rPr>
        <w:t>Faucets</w:t>
      </w:r>
      <w:r w:rsidR="00522234">
        <w:rPr>
          <w:rFonts w:asciiTheme="minorHAnsi" w:hAnsiTheme="minorHAnsi" w:cstheme="minorHAnsi"/>
          <w:i w:val="0"/>
          <w:color w:val="auto"/>
          <w:szCs w:val="22"/>
        </w:rPr>
        <w:t xml:space="preserve"> and Showerhead</w:t>
      </w:r>
      <w:r w:rsidR="00522234" w:rsidRPr="00FC3485">
        <w:rPr>
          <w:rFonts w:asciiTheme="minorHAnsi" w:hAnsiTheme="minorHAnsi" w:cstheme="minorHAnsi"/>
          <w:i w:val="0"/>
          <w:color w:val="auto"/>
          <w:szCs w:val="22"/>
        </w:rPr>
        <w:t xml:space="preserve"> Flow Control Valves:</w:t>
      </w:r>
    </w:p>
    <w:p w14:paraId="4C92511C" w14:textId="77777777" w:rsidR="006B0511" w:rsidRDefault="00DB618D" w:rsidP="006B0511">
      <w:pPr>
        <w:pStyle w:val="ListParagraph"/>
        <w:numPr>
          <w:ilvl w:val="0"/>
          <w:numId w:val="13"/>
        </w:numPr>
      </w:pPr>
      <w:r w:rsidRPr="00D7741D">
        <w:t xml:space="preserve">This workpaper addresses the savings associated with the installation of </w:t>
      </w:r>
      <w:r w:rsidR="00D7741D">
        <w:t>flow control valves</w:t>
      </w:r>
      <w:r w:rsidRPr="00D7741D">
        <w:t xml:space="preserve"> on bathroom or kitchen sinks for </w:t>
      </w:r>
      <w:r w:rsidRPr="00D7741D">
        <w:rPr>
          <w:rFonts w:hint="eastAsia"/>
        </w:rPr>
        <w:t>single</w:t>
      </w:r>
      <w:r w:rsidRPr="00D7741D">
        <w:t xml:space="preserve">, </w:t>
      </w:r>
      <w:r w:rsidRPr="00D7741D">
        <w:rPr>
          <w:rFonts w:hint="eastAsia"/>
        </w:rPr>
        <w:t>multi-</w:t>
      </w:r>
      <w:r w:rsidRPr="00D7741D">
        <w:t xml:space="preserve">family and mobile </w:t>
      </w:r>
      <w:r w:rsidRPr="00D7741D">
        <w:rPr>
          <w:rFonts w:hint="eastAsia"/>
        </w:rPr>
        <w:t>homes</w:t>
      </w:r>
      <w:r w:rsidRPr="00D7741D">
        <w:t xml:space="preserve">. </w:t>
      </w:r>
    </w:p>
    <w:p w14:paraId="415ED545" w14:textId="77777777" w:rsidR="006B0511" w:rsidRDefault="00DB618D" w:rsidP="006B0511">
      <w:pPr>
        <w:pStyle w:val="ListParagraph"/>
        <w:numPr>
          <w:ilvl w:val="0"/>
          <w:numId w:val="13"/>
        </w:numPr>
      </w:pPr>
      <w:r w:rsidRPr="00D7741D">
        <w:t>Mobile hom</w:t>
      </w:r>
      <w:r w:rsidR="009579CC">
        <w:t>e</w:t>
      </w:r>
      <w:r w:rsidR="002C39D1">
        <w:t xml:space="preserve"> faucet FCV</w:t>
      </w:r>
      <w:r w:rsidR="009579CC">
        <w:t xml:space="preserve"> savings are the same as single family</w:t>
      </w:r>
      <w:r w:rsidRPr="00D7741D">
        <w:t xml:space="preserve"> home savings. Mobile homes will not have separate defined measures. </w:t>
      </w:r>
    </w:p>
    <w:p w14:paraId="5FD39A54" w14:textId="2D8BC3BC" w:rsidR="006B0511" w:rsidRDefault="00DB618D" w:rsidP="006B0511">
      <w:pPr>
        <w:pStyle w:val="ListParagraph"/>
        <w:numPr>
          <w:ilvl w:val="0"/>
          <w:numId w:val="13"/>
        </w:numPr>
      </w:pPr>
      <w:r w:rsidRPr="00D7741D">
        <w:t>Measures in this workpaper</w:t>
      </w:r>
      <w:r w:rsidR="00D7741D">
        <w:t xml:space="preserve"> include a </w:t>
      </w:r>
      <w:r w:rsidR="004E63BA">
        <w:t xml:space="preserve">combined/mix water </w:t>
      </w:r>
      <w:r w:rsidR="00D7741D">
        <w:t xml:space="preserve">flow rate at the faucet of 1.0 GPM </w:t>
      </w:r>
      <w:r w:rsidRPr="00D7741D">
        <w:t xml:space="preserve">for bathroom sinks and </w:t>
      </w:r>
      <w:r w:rsidR="009067FA">
        <w:t xml:space="preserve">a mix/combine water flow rate of </w:t>
      </w:r>
      <w:r w:rsidRPr="009067FA">
        <w:t xml:space="preserve">1.5 </w:t>
      </w:r>
      <w:r w:rsidRPr="00D7741D">
        <w:t>GPM</w:t>
      </w:r>
      <w:r w:rsidR="00D7741D">
        <w:t xml:space="preserve"> at the faucet </w:t>
      </w:r>
      <w:r w:rsidRPr="00D7741D">
        <w:t>for kitchen sinks, eac</w:t>
      </w:r>
      <w:r w:rsidR="003A054E">
        <w:t>h measure has single and m</w:t>
      </w:r>
      <w:r w:rsidRPr="00D7741D">
        <w:t xml:space="preserve">ultifamily option. </w:t>
      </w:r>
    </w:p>
    <w:p w14:paraId="5578C0D2" w14:textId="31E71B68" w:rsidR="001D59A3" w:rsidRPr="003A054E" w:rsidRDefault="00BA2538" w:rsidP="003A054E">
      <w:pPr>
        <w:pStyle w:val="ListParagraph"/>
        <w:numPr>
          <w:ilvl w:val="0"/>
          <w:numId w:val="13"/>
        </w:numPr>
      </w:pPr>
      <w:r>
        <w:lastRenderedPageBreak/>
        <w:t xml:space="preserve">Flow control valves for </w:t>
      </w:r>
      <w:r w:rsidR="008078EB">
        <w:t>faucet water line inlets must be installed in pair</w:t>
      </w:r>
      <w:r w:rsidR="009579CC">
        <w:t>s</w:t>
      </w:r>
      <w:r w:rsidR="008078EB">
        <w:t>, one in the cold and one in the hot line.</w:t>
      </w:r>
    </w:p>
    <w:p w14:paraId="66BF3907" w14:textId="605485A8" w:rsidR="005A4DE2" w:rsidRPr="009579CC" w:rsidRDefault="008078EB" w:rsidP="00ED4495">
      <w:pPr>
        <w:pStyle w:val="ListParagraph"/>
        <w:numPr>
          <w:ilvl w:val="0"/>
          <w:numId w:val="13"/>
        </w:numPr>
        <w:rPr>
          <w:rFonts w:ascii="Times New Roman" w:hAnsi="Times New Roman"/>
          <w:sz w:val="24"/>
        </w:rPr>
      </w:pPr>
      <w:r w:rsidRPr="009579CC">
        <w:rPr>
          <w:rFonts w:cstheme="minorHAnsi"/>
          <w:szCs w:val="22"/>
        </w:rPr>
        <w:t>Flow control valves for showerhead</w:t>
      </w:r>
      <w:r w:rsidR="005A4DE2" w:rsidRPr="009579CC">
        <w:rPr>
          <w:rFonts w:cstheme="minorHAnsi"/>
          <w:szCs w:val="22"/>
        </w:rPr>
        <w:t xml:space="preserve"> measures presented in this workpaper</w:t>
      </w:r>
      <w:r w:rsidRPr="009579CC">
        <w:rPr>
          <w:rFonts w:cstheme="minorHAnsi"/>
          <w:szCs w:val="22"/>
        </w:rPr>
        <w:t xml:space="preserve"> for residential applications</w:t>
      </w:r>
      <w:r w:rsidR="005A4DE2" w:rsidRPr="009579CC">
        <w:rPr>
          <w:rFonts w:cstheme="minorHAnsi"/>
          <w:szCs w:val="22"/>
        </w:rPr>
        <w:t xml:space="preserve"> apply to single-family and multi-family residential households</w:t>
      </w:r>
      <w:r w:rsidR="005A4DE2" w:rsidRPr="009579CC">
        <w:rPr>
          <w:rFonts w:ascii="Times New Roman" w:hAnsi="Times New Roman"/>
          <w:sz w:val="24"/>
        </w:rPr>
        <w:t>.</w:t>
      </w:r>
    </w:p>
    <w:p w14:paraId="2598655C" w14:textId="063DFE45" w:rsidR="009579CC" w:rsidRDefault="009579CC" w:rsidP="00ED4495">
      <w:pPr>
        <w:pStyle w:val="ListParagraph"/>
        <w:numPr>
          <w:ilvl w:val="0"/>
          <w:numId w:val="13"/>
        </w:numPr>
        <w:rPr>
          <w:rFonts w:cstheme="minorHAnsi"/>
          <w:szCs w:val="22"/>
        </w:rPr>
      </w:pPr>
      <w:r w:rsidRPr="00421887">
        <w:rPr>
          <w:rFonts w:cstheme="minorHAnsi"/>
          <w:szCs w:val="22"/>
        </w:rPr>
        <w:t>Residential showerhead flow control valve measure will include (1.0, 1.25, 1.5) GPM.</w:t>
      </w:r>
    </w:p>
    <w:p w14:paraId="135051D2" w14:textId="37CD8B7F" w:rsidR="00C11D90" w:rsidRDefault="00C11D90" w:rsidP="00C11D90">
      <w:pPr>
        <w:pStyle w:val="Reminders"/>
        <w:numPr>
          <w:ilvl w:val="0"/>
          <w:numId w:val="13"/>
        </w:numPr>
        <w:rPr>
          <w:rFonts w:asciiTheme="minorHAnsi" w:hAnsiTheme="minorHAnsi" w:cstheme="minorHAnsi"/>
          <w:i w:val="0"/>
          <w:color w:val="auto"/>
          <w:szCs w:val="22"/>
        </w:rPr>
      </w:pPr>
      <w:r>
        <w:rPr>
          <w:rFonts w:asciiTheme="minorHAnsi" w:hAnsiTheme="minorHAnsi" w:cstheme="minorHAnsi"/>
          <w:i w:val="0"/>
          <w:color w:val="auto"/>
          <w:szCs w:val="22"/>
        </w:rPr>
        <w:t xml:space="preserve">FCV make, </w:t>
      </w:r>
      <w:r w:rsidRPr="009943D1">
        <w:rPr>
          <w:rFonts w:asciiTheme="minorHAnsi" w:hAnsiTheme="minorHAnsi" w:cstheme="minorHAnsi"/>
          <w:i w:val="0"/>
          <w:color w:val="auto"/>
          <w:szCs w:val="22"/>
        </w:rPr>
        <w:t>model</w:t>
      </w:r>
      <w:r>
        <w:rPr>
          <w:rFonts w:asciiTheme="minorHAnsi" w:hAnsiTheme="minorHAnsi" w:cstheme="minorHAnsi"/>
          <w:i w:val="0"/>
          <w:color w:val="auto"/>
          <w:szCs w:val="22"/>
        </w:rPr>
        <w:t xml:space="preserve"> number and flow rate </w:t>
      </w:r>
      <w:r w:rsidRPr="009943D1">
        <w:rPr>
          <w:rFonts w:asciiTheme="minorHAnsi" w:hAnsiTheme="minorHAnsi" w:cstheme="minorHAnsi"/>
          <w:i w:val="0"/>
          <w:color w:val="auto"/>
          <w:szCs w:val="22"/>
        </w:rPr>
        <w:t>must be included with a copy of the invoice.</w:t>
      </w:r>
    </w:p>
    <w:p w14:paraId="636D55F6" w14:textId="24AB7848" w:rsidR="00BA2538" w:rsidRPr="00BA2538" w:rsidRDefault="00BA2538" w:rsidP="00BA2538">
      <w:pPr>
        <w:pStyle w:val="PR2"/>
        <w:numPr>
          <w:ilvl w:val="0"/>
          <w:numId w:val="13"/>
        </w:numPr>
        <w:rPr>
          <w:rFonts w:asciiTheme="minorHAnsi" w:eastAsia="Times New Roman" w:hAnsiTheme="minorHAnsi" w:cstheme="minorHAnsi"/>
        </w:rPr>
      </w:pPr>
      <w:r>
        <w:rPr>
          <w:rFonts w:asciiTheme="minorHAnsi" w:eastAsia="Times New Roman" w:hAnsiTheme="minorHAnsi" w:cstheme="minorHAnsi"/>
        </w:rPr>
        <w:t>Flow control valves are applicable to</w:t>
      </w:r>
      <w:r w:rsidRPr="00B37696">
        <w:rPr>
          <w:rFonts w:asciiTheme="minorHAnsi" w:eastAsia="Times New Roman" w:hAnsiTheme="minorHAnsi" w:cstheme="minorHAnsi"/>
        </w:rPr>
        <w:t xml:space="preserve"> existing faucets without an aerator and a flow rate of 2.2 GPM</w:t>
      </w:r>
      <w:r>
        <w:rPr>
          <w:rFonts w:asciiTheme="minorHAnsi" w:eastAsia="Times New Roman" w:hAnsiTheme="minorHAnsi" w:cstheme="minorHAnsi"/>
        </w:rPr>
        <w:t xml:space="preserve"> or greater</w:t>
      </w:r>
      <w:r w:rsidRPr="00B37696">
        <w:rPr>
          <w:rFonts w:asciiTheme="minorHAnsi" w:eastAsia="Times New Roman" w:hAnsiTheme="minorHAnsi" w:cstheme="minorHAnsi"/>
        </w:rPr>
        <w:t xml:space="preserve">. </w:t>
      </w:r>
    </w:p>
    <w:p w14:paraId="2870C5FF" w14:textId="77777777" w:rsidR="001D59A3" w:rsidRPr="005A4DE2" w:rsidRDefault="001D59A3" w:rsidP="001D59A3">
      <w:pPr>
        <w:pStyle w:val="ListParagraph"/>
        <w:ind w:left="1440"/>
        <w:rPr>
          <w:rFonts w:ascii="Times New Roman" w:hAnsi="Times New Roman"/>
          <w:color w:val="FF0000"/>
          <w:sz w:val="24"/>
        </w:rPr>
      </w:pPr>
    </w:p>
    <w:p w14:paraId="407EAA0A" w14:textId="09B1E33A" w:rsidR="00430F1A" w:rsidRPr="00BA2538" w:rsidRDefault="00110DC4" w:rsidP="00BA2538">
      <w:pPr>
        <w:pStyle w:val="Reminders"/>
        <w:rPr>
          <w:rFonts w:asciiTheme="minorHAnsi" w:hAnsiTheme="minorHAnsi" w:cstheme="minorHAnsi"/>
          <w:i w:val="0"/>
          <w:color w:val="auto"/>
          <w:szCs w:val="22"/>
        </w:rPr>
      </w:pPr>
      <w:r>
        <w:rPr>
          <w:rFonts w:asciiTheme="minorHAnsi" w:hAnsiTheme="minorHAnsi" w:cstheme="minorHAnsi"/>
          <w:i w:val="0"/>
          <w:color w:val="auto"/>
          <w:szCs w:val="22"/>
        </w:rPr>
        <w:t>Commercial</w:t>
      </w:r>
      <w:r w:rsidR="00AB3C4A" w:rsidRPr="00FC3485">
        <w:rPr>
          <w:rFonts w:asciiTheme="minorHAnsi" w:hAnsiTheme="minorHAnsi" w:cstheme="minorHAnsi"/>
          <w:i w:val="0"/>
          <w:color w:val="auto"/>
          <w:szCs w:val="22"/>
        </w:rPr>
        <w:t xml:space="preserve"> Faucets</w:t>
      </w:r>
      <w:r w:rsidR="00AB3C4A">
        <w:rPr>
          <w:rFonts w:asciiTheme="minorHAnsi" w:hAnsiTheme="minorHAnsi" w:cstheme="minorHAnsi"/>
          <w:i w:val="0"/>
          <w:color w:val="auto"/>
          <w:szCs w:val="22"/>
        </w:rPr>
        <w:t xml:space="preserve"> and Showerhead</w:t>
      </w:r>
      <w:r w:rsidR="00AB3C4A" w:rsidRPr="00FC3485">
        <w:rPr>
          <w:rFonts w:asciiTheme="minorHAnsi" w:hAnsiTheme="minorHAnsi" w:cstheme="minorHAnsi"/>
          <w:i w:val="0"/>
          <w:color w:val="auto"/>
          <w:szCs w:val="22"/>
        </w:rPr>
        <w:t xml:space="preserve"> Flow Control Valves:</w:t>
      </w:r>
    </w:p>
    <w:p w14:paraId="3E2DA8E2" w14:textId="77777777" w:rsidR="003426E5" w:rsidRDefault="00F1422F" w:rsidP="003426E5">
      <w:pPr>
        <w:pStyle w:val="Reminders"/>
        <w:numPr>
          <w:ilvl w:val="0"/>
          <w:numId w:val="6"/>
        </w:numPr>
        <w:ind w:left="1440"/>
        <w:rPr>
          <w:rFonts w:asciiTheme="minorHAnsi" w:hAnsiTheme="minorHAnsi" w:cstheme="minorHAnsi"/>
          <w:i w:val="0"/>
          <w:color w:val="auto"/>
          <w:szCs w:val="22"/>
        </w:rPr>
      </w:pPr>
      <w:r w:rsidRPr="004E63BA">
        <w:rPr>
          <w:rFonts w:asciiTheme="minorHAnsi" w:hAnsiTheme="minorHAnsi" w:cstheme="minorHAnsi"/>
          <w:i w:val="0"/>
          <w:color w:val="auto"/>
          <w:szCs w:val="22"/>
        </w:rPr>
        <w:t>The</w:t>
      </w:r>
      <w:r w:rsidR="00430F1A" w:rsidRPr="004E63BA">
        <w:rPr>
          <w:rFonts w:asciiTheme="minorHAnsi" w:hAnsiTheme="minorHAnsi" w:cstheme="minorHAnsi"/>
          <w:i w:val="0"/>
          <w:color w:val="auto"/>
          <w:szCs w:val="22"/>
        </w:rPr>
        <w:t xml:space="preserve"> </w:t>
      </w:r>
      <w:r w:rsidR="00D37A69" w:rsidRPr="004E63BA">
        <w:rPr>
          <w:rFonts w:asciiTheme="minorHAnsi" w:hAnsiTheme="minorHAnsi" w:cstheme="minorHAnsi"/>
          <w:i w:val="0"/>
          <w:color w:val="auto"/>
          <w:szCs w:val="22"/>
        </w:rPr>
        <w:t xml:space="preserve">FCV </w:t>
      </w:r>
      <w:r w:rsidRPr="004E63BA">
        <w:rPr>
          <w:rFonts w:asciiTheme="minorHAnsi" w:hAnsiTheme="minorHAnsi" w:cstheme="minorHAnsi"/>
          <w:i w:val="0"/>
          <w:color w:val="auto"/>
          <w:szCs w:val="22"/>
        </w:rPr>
        <w:t xml:space="preserve">measure for faucets is </w:t>
      </w:r>
      <w:r w:rsidR="00430F1A" w:rsidRPr="004E63BA">
        <w:rPr>
          <w:rFonts w:asciiTheme="minorHAnsi" w:hAnsiTheme="minorHAnsi" w:cstheme="minorHAnsi"/>
          <w:i w:val="0"/>
          <w:color w:val="auto"/>
          <w:szCs w:val="22"/>
        </w:rPr>
        <w:t xml:space="preserve">applicable to existing faucets in commercial buildings that </w:t>
      </w:r>
      <w:r w:rsidR="004E63BA" w:rsidRPr="004E63BA">
        <w:rPr>
          <w:rFonts w:asciiTheme="minorHAnsi" w:hAnsiTheme="minorHAnsi" w:cstheme="minorHAnsi"/>
          <w:i w:val="0"/>
          <w:color w:val="auto"/>
          <w:szCs w:val="22"/>
        </w:rPr>
        <w:t xml:space="preserve">have a </w:t>
      </w:r>
      <w:r w:rsidR="00430F1A" w:rsidRPr="004E63BA">
        <w:rPr>
          <w:rFonts w:asciiTheme="minorHAnsi" w:hAnsiTheme="minorHAnsi" w:cstheme="minorHAnsi"/>
          <w:i w:val="0"/>
          <w:color w:val="auto"/>
          <w:szCs w:val="22"/>
        </w:rPr>
        <w:t xml:space="preserve">flow rate of 2.2 GPM or greater. </w:t>
      </w:r>
    </w:p>
    <w:p w14:paraId="51D9B2D3" w14:textId="7683A9D0" w:rsidR="003426E5" w:rsidRPr="003426E5" w:rsidRDefault="003426E5" w:rsidP="003426E5">
      <w:pPr>
        <w:pStyle w:val="Reminders"/>
        <w:numPr>
          <w:ilvl w:val="0"/>
          <w:numId w:val="6"/>
        </w:numPr>
        <w:ind w:left="1440"/>
        <w:rPr>
          <w:rFonts w:asciiTheme="minorHAnsi" w:hAnsiTheme="minorHAnsi" w:cstheme="minorHAnsi"/>
          <w:i w:val="0"/>
          <w:color w:val="auto"/>
          <w:szCs w:val="22"/>
        </w:rPr>
      </w:pPr>
      <w:r w:rsidRPr="003426E5">
        <w:rPr>
          <w:rFonts w:asciiTheme="minorHAnsi" w:hAnsiTheme="minorHAnsi" w:cstheme="minorHAnsi"/>
          <w:i w:val="0"/>
          <w:color w:val="auto"/>
          <w:szCs w:val="22"/>
        </w:rPr>
        <w:t>Measures in this workpaper include a combined/mix water flow rate at the faucet of 1.0 GPM</w:t>
      </w:r>
      <w:r>
        <w:rPr>
          <w:rFonts w:asciiTheme="minorHAnsi" w:hAnsiTheme="minorHAnsi" w:cstheme="minorHAnsi"/>
          <w:i w:val="0"/>
          <w:color w:val="auto"/>
          <w:szCs w:val="22"/>
        </w:rPr>
        <w:t>.</w:t>
      </w:r>
      <w:r w:rsidRPr="003426E5">
        <w:rPr>
          <w:rFonts w:asciiTheme="minorHAnsi" w:hAnsiTheme="minorHAnsi" w:cstheme="minorHAnsi"/>
          <w:i w:val="0"/>
          <w:color w:val="auto"/>
          <w:szCs w:val="22"/>
        </w:rPr>
        <w:t xml:space="preserve"> </w:t>
      </w:r>
    </w:p>
    <w:p w14:paraId="41ACD320" w14:textId="550F95FB" w:rsidR="009943D1" w:rsidRPr="009943D1" w:rsidRDefault="009943D1" w:rsidP="006B0511">
      <w:pPr>
        <w:pStyle w:val="Reminders"/>
        <w:numPr>
          <w:ilvl w:val="0"/>
          <w:numId w:val="6"/>
        </w:numPr>
        <w:ind w:left="1440"/>
        <w:rPr>
          <w:rFonts w:asciiTheme="minorHAnsi" w:hAnsiTheme="minorHAnsi" w:cstheme="minorHAnsi"/>
          <w:i w:val="0"/>
          <w:color w:val="auto"/>
          <w:szCs w:val="22"/>
        </w:rPr>
      </w:pPr>
      <w:r>
        <w:rPr>
          <w:rFonts w:asciiTheme="minorHAnsi" w:hAnsiTheme="minorHAnsi" w:cstheme="minorHAnsi"/>
          <w:i w:val="0"/>
          <w:color w:val="auto"/>
          <w:szCs w:val="22"/>
        </w:rPr>
        <w:t xml:space="preserve">This </w:t>
      </w:r>
      <w:r w:rsidRPr="009943D1">
        <w:rPr>
          <w:rFonts w:asciiTheme="minorHAnsi" w:hAnsiTheme="minorHAnsi" w:cstheme="minorHAnsi"/>
          <w:i w:val="0"/>
          <w:color w:val="auto"/>
          <w:szCs w:val="22"/>
        </w:rPr>
        <w:t>workpaper includes only a Direct Install delivery method</w:t>
      </w:r>
      <w:r>
        <w:rPr>
          <w:rFonts w:asciiTheme="minorHAnsi" w:hAnsiTheme="minorHAnsi" w:cstheme="minorHAnsi"/>
          <w:i w:val="0"/>
          <w:color w:val="auto"/>
          <w:szCs w:val="22"/>
        </w:rPr>
        <w:t xml:space="preserve"> for flow control valves applied to commercial showerheads</w:t>
      </w:r>
      <w:r w:rsidRPr="009943D1">
        <w:rPr>
          <w:rFonts w:asciiTheme="minorHAnsi" w:hAnsiTheme="minorHAnsi" w:cstheme="minorHAnsi"/>
          <w:i w:val="0"/>
          <w:color w:val="auto"/>
          <w:szCs w:val="22"/>
        </w:rPr>
        <w:t>. All implementers of this measure will market and identify commercial facilities utilizing h</w:t>
      </w:r>
      <w:r>
        <w:rPr>
          <w:rFonts w:asciiTheme="minorHAnsi" w:hAnsiTheme="minorHAnsi" w:cstheme="minorHAnsi"/>
          <w:i w:val="0"/>
          <w:color w:val="auto"/>
          <w:szCs w:val="22"/>
        </w:rPr>
        <w:t>igher flow showerheads (&gt;2.5 GPM</w:t>
      </w:r>
      <w:r w:rsidRPr="009943D1">
        <w:rPr>
          <w:rFonts w:asciiTheme="minorHAnsi" w:hAnsiTheme="minorHAnsi" w:cstheme="minorHAnsi"/>
          <w:i w:val="0"/>
          <w:color w:val="auto"/>
          <w:szCs w:val="22"/>
        </w:rPr>
        <w:t>) and offer to</w:t>
      </w:r>
      <w:r>
        <w:rPr>
          <w:rFonts w:asciiTheme="minorHAnsi" w:hAnsiTheme="minorHAnsi" w:cstheme="minorHAnsi"/>
          <w:i w:val="0"/>
          <w:color w:val="auto"/>
          <w:szCs w:val="22"/>
        </w:rPr>
        <w:t xml:space="preserve"> install the retrofit add on FCV</w:t>
      </w:r>
      <w:r w:rsidRPr="009943D1">
        <w:rPr>
          <w:rFonts w:asciiTheme="minorHAnsi" w:hAnsiTheme="minorHAnsi" w:cstheme="minorHAnsi"/>
          <w:i w:val="0"/>
          <w:color w:val="auto"/>
          <w:szCs w:val="22"/>
        </w:rPr>
        <w:t xml:space="preserve"> (&lt;1.8</w:t>
      </w:r>
      <w:r>
        <w:rPr>
          <w:rFonts w:asciiTheme="minorHAnsi" w:hAnsiTheme="minorHAnsi" w:cstheme="minorHAnsi"/>
          <w:i w:val="0"/>
          <w:color w:val="auto"/>
          <w:szCs w:val="22"/>
        </w:rPr>
        <w:t xml:space="preserve"> GPM</w:t>
      </w:r>
      <w:r w:rsidRPr="009943D1">
        <w:rPr>
          <w:rFonts w:asciiTheme="minorHAnsi" w:hAnsiTheme="minorHAnsi" w:cstheme="minorHAnsi"/>
          <w:i w:val="0"/>
          <w:color w:val="auto"/>
          <w:szCs w:val="22"/>
        </w:rPr>
        <w:t>).</w:t>
      </w:r>
    </w:p>
    <w:p w14:paraId="716778FE" w14:textId="55EB2C11" w:rsidR="009943D1" w:rsidRDefault="003A054E" w:rsidP="006B0511">
      <w:pPr>
        <w:pStyle w:val="Reminders"/>
        <w:numPr>
          <w:ilvl w:val="0"/>
          <w:numId w:val="6"/>
        </w:numPr>
        <w:ind w:left="1440"/>
        <w:rPr>
          <w:rFonts w:asciiTheme="minorHAnsi" w:hAnsiTheme="minorHAnsi" w:cstheme="minorHAnsi"/>
          <w:i w:val="0"/>
          <w:color w:val="auto"/>
          <w:szCs w:val="22"/>
        </w:rPr>
      </w:pPr>
      <w:r>
        <w:rPr>
          <w:rFonts w:asciiTheme="minorHAnsi" w:hAnsiTheme="minorHAnsi" w:cstheme="minorHAnsi"/>
          <w:i w:val="0"/>
          <w:color w:val="auto"/>
          <w:szCs w:val="22"/>
        </w:rPr>
        <w:t xml:space="preserve">FCV make, </w:t>
      </w:r>
      <w:r w:rsidR="009943D1" w:rsidRPr="009943D1">
        <w:rPr>
          <w:rFonts w:asciiTheme="minorHAnsi" w:hAnsiTheme="minorHAnsi" w:cstheme="minorHAnsi"/>
          <w:i w:val="0"/>
          <w:color w:val="auto"/>
          <w:szCs w:val="22"/>
        </w:rPr>
        <w:t>model</w:t>
      </w:r>
      <w:r>
        <w:rPr>
          <w:rFonts w:asciiTheme="minorHAnsi" w:hAnsiTheme="minorHAnsi" w:cstheme="minorHAnsi"/>
          <w:i w:val="0"/>
          <w:color w:val="auto"/>
          <w:szCs w:val="22"/>
        </w:rPr>
        <w:t xml:space="preserve"> number and flow rate </w:t>
      </w:r>
      <w:r w:rsidR="009943D1" w:rsidRPr="009943D1">
        <w:rPr>
          <w:rFonts w:asciiTheme="minorHAnsi" w:hAnsiTheme="minorHAnsi" w:cstheme="minorHAnsi"/>
          <w:i w:val="0"/>
          <w:color w:val="auto"/>
          <w:szCs w:val="22"/>
        </w:rPr>
        <w:t>must be included with a copy of the invoice.</w:t>
      </w:r>
    </w:p>
    <w:p w14:paraId="6A4997F6" w14:textId="26074E8B" w:rsidR="005A4DE2" w:rsidRPr="00522234" w:rsidRDefault="00167E85" w:rsidP="006B0511">
      <w:pPr>
        <w:pStyle w:val="Reminders"/>
        <w:numPr>
          <w:ilvl w:val="0"/>
          <w:numId w:val="6"/>
        </w:numPr>
        <w:ind w:left="1440"/>
        <w:rPr>
          <w:rFonts w:asciiTheme="minorHAnsi" w:hAnsiTheme="minorHAnsi" w:cstheme="minorHAnsi"/>
          <w:i w:val="0"/>
          <w:color w:val="auto"/>
          <w:szCs w:val="22"/>
        </w:rPr>
      </w:pPr>
      <w:r>
        <w:rPr>
          <w:rFonts w:asciiTheme="minorHAnsi" w:hAnsiTheme="minorHAnsi" w:cstheme="minorHAnsi"/>
          <w:i w:val="0"/>
          <w:color w:val="auto"/>
          <w:szCs w:val="22"/>
        </w:rPr>
        <w:t>The commercial showerhead FCV will only be available in 1.5 GPM.</w:t>
      </w:r>
    </w:p>
    <w:p w14:paraId="0110FFEC" w14:textId="276869D2" w:rsidR="00697868" w:rsidRPr="002C39D1" w:rsidRDefault="00697868" w:rsidP="006B0511">
      <w:pPr>
        <w:pStyle w:val="NoSpacing"/>
        <w:numPr>
          <w:ilvl w:val="0"/>
          <w:numId w:val="3"/>
        </w:numPr>
      </w:pPr>
      <w:r w:rsidRPr="00522234">
        <w:rPr>
          <w:b/>
        </w:rPr>
        <w:t>Implementation</w:t>
      </w:r>
      <w:r w:rsidR="009844A1" w:rsidRPr="00522234">
        <w:rPr>
          <w:b/>
        </w:rPr>
        <w:t xml:space="preserve"> and installation</w:t>
      </w:r>
      <w:r w:rsidRPr="00522234">
        <w:rPr>
          <w:b/>
        </w:rPr>
        <w:t xml:space="preserve"> </w:t>
      </w:r>
      <w:r w:rsidR="008E25B1" w:rsidRPr="00522234">
        <w:rPr>
          <w:b/>
        </w:rPr>
        <w:t>r</w:t>
      </w:r>
      <w:r w:rsidRPr="00522234">
        <w:rPr>
          <w:b/>
        </w:rPr>
        <w:t>equirements</w:t>
      </w:r>
      <w:r w:rsidR="001D33EF" w:rsidRPr="00522234">
        <w:t>:</w:t>
      </w:r>
      <w:r w:rsidR="001D33EF" w:rsidRPr="00920905">
        <w:rPr>
          <w:color w:val="FF0000"/>
        </w:rPr>
        <w:t xml:space="preserve"> </w:t>
      </w:r>
    </w:p>
    <w:p w14:paraId="262AF272" w14:textId="7257A09E" w:rsidR="00B37696" w:rsidRPr="00BA2538" w:rsidRDefault="002C39D1" w:rsidP="00BA2538">
      <w:pPr>
        <w:pStyle w:val="Reminders"/>
        <w:ind w:left="720"/>
        <w:rPr>
          <w:rFonts w:asciiTheme="minorHAnsi" w:hAnsiTheme="minorHAnsi" w:cstheme="minorHAnsi"/>
          <w:i w:val="0"/>
          <w:color w:val="auto"/>
          <w:szCs w:val="22"/>
        </w:rPr>
      </w:pPr>
      <w:r w:rsidRPr="00B37696">
        <w:rPr>
          <w:rFonts w:asciiTheme="minorHAnsi" w:hAnsiTheme="minorHAnsi" w:cstheme="minorHAnsi"/>
          <w:i w:val="0"/>
          <w:color w:val="auto"/>
          <w:szCs w:val="22"/>
        </w:rPr>
        <w:t>Residential Faucets and Showerhead Flow Control Valves:</w:t>
      </w:r>
      <w:r w:rsidR="00B37696" w:rsidRPr="00B37696">
        <w:rPr>
          <w:rFonts w:asciiTheme="minorHAnsi" w:hAnsiTheme="minorHAnsi" w:cstheme="minorHAnsi"/>
        </w:rPr>
        <w:t xml:space="preserve"> </w:t>
      </w:r>
    </w:p>
    <w:p w14:paraId="6BB0770D" w14:textId="70732E78" w:rsidR="002C39D1" w:rsidRDefault="00B37696" w:rsidP="004E63BA">
      <w:pPr>
        <w:pStyle w:val="Reminders"/>
        <w:numPr>
          <w:ilvl w:val="0"/>
          <w:numId w:val="18"/>
        </w:numPr>
        <w:rPr>
          <w:rFonts w:asciiTheme="minorHAnsi" w:hAnsiTheme="minorHAnsi" w:cstheme="minorHAnsi"/>
          <w:i w:val="0"/>
          <w:color w:val="auto"/>
          <w:szCs w:val="22"/>
        </w:rPr>
      </w:pPr>
      <w:r>
        <w:rPr>
          <w:rFonts w:asciiTheme="minorHAnsi" w:hAnsiTheme="minorHAnsi" w:cstheme="minorHAnsi"/>
          <w:i w:val="0"/>
          <w:color w:val="auto"/>
          <w:szCs w:val="22"/>
        </w:rPr>
        <w:t>Flow control valves must have</w:t>
      </w:r>
      <w:r w:rsidR="009067FA">
        <w:rPr>
          <w:rFonts w:asciiTheme="minorHAnsi" w:hAnsiTheme="minorHAnsi" w:cstheme="minorHAnsi"/>
          <w:i w:val="0"/>
          <w:color w:val="auto"/>
          <w:szCs w:val="22"/>
        </w:rPr>
        <w:t xml:space="preserve"> a rated GPM of</w:t>
      </w:r>
    </w:p>
    <w:p w14:paraId="0DCAA6B6" w14:textId="1EA6D960" w:rsidR="009067FA" w:rsidRDefault="009067FA" w:rsidP="009067FA">
      <w:pPr>
        <w:pStyle w:val="Reminders"/>
        <w:numPr>
          <w:ilvl w:val="1"/>
          <w:numId w:val="18"/>
        </w:numPr>
        <w:rPr>
          <w:rFonts w:asciiTheme="minorHAnsi" w:hAnsiTheme="minorHAnsi" w:cstheme="minorHAnsi"/>
          <w:i w:val="0"/>
          <w:color w:val="auto"/>
          <w:szCs w:val="22"/>
        </w:rPr>
      </w:pPr>
      <w:r>
        <w:rPr>
          <w:rFonts w:asciiTheme="minorHAnsi" w:hAnsiTheme="minorHAnsi" w:cstheme="minorHAnsi"/>
          <w:i w:val="0"/>
          <w:color w:val="auto"/>
          <w:szCs w:val="22"/>
        </w:rPr>
        <w:t>0.50 GPM for bathroom sinks for a combined/mix</w:t>
      </w:r>
      <w:r w:rsidR="003426E5">
        <w:rPr>
          <w:rFonts w:asciiTheme="minorHAnsi" w:hAnsiTheme="minorHAnsi" w:cstheme="minorHAnsi"/>
          <w:i w:val="0"/>
          <w:color w:val="auto"/>
          <w:szCs w:val="22"/>
        </w:rPr>
        <w:t xml:space="preserve"> flow rate</w:t>
      </w:r>
      <w:r>
        <w:rPr>
          <w:rFonts w:asciiTheme="minorHAnsi" w:hAnsiTheme="minorHAnsi" w:cstheme="minorHAnsi"/>
          <w:i w:val="0"/>
          <w:color w:val="auto"/>
          <w:szCs w:val="22"/>
        </w:rPr>
        <w:t xml:space="preserve"> of 1.0 GPM.</w:t>
      </w:r>
    </w:p>
    <w:p w14:paraId="76C24130" w14:textId="37ED75D9" w:rsidR="009067FA" w:rsidRDefault="009067FA" w:rsidP="009067FA">
      <w:pPr>
        <w:pStyle w:val="Reminders"/>
        <w:numPr>
          <w:ilvl w:val="1"/>
          <w:numId w:val="18"/>
        </w:numPr>
        <w:rPr>
          <w:rFonts w:asciiTheme="minorHAnsi" w:hAnsiTheme="minorHAnsi" w:cstheme="minorHAnsi"/>
          <w:i w:val="0"/>
          <w:color w:val="auto"/>
          <w:szCs w:val="22"/>
        </w:rPr>
      </w:pPr>
      <w:r>
        <w:rPr>
          <w:rFonts w:asciiTheme="minorHAnsi" w:hAnsiTheme="minorHAnsi" w:cstheme="minorHAnsi"/>
          <w:i w:val="0"/>
          <w:color w:val="auto"/>
          <w:szCs w:val="22"/>
        </w:rPr>
        <w:t xml:space="preserve">0.75 GPM for kitchen sinks for a combined/mix </w:t>
      </w:r>
      <w:r w:rsidR="003426E5">
        <w:rPr>
          <w:rFonts w:asciiTheme="minorHAnsi" w:hAnsiTheme="minorHAnsi" w:cstheme="minorHAnsi"/>
          <w:i w:val="0"/>
          <w:color w:val="auto"/>
          <w:szCs w:val="22"/>
        </w:rPr>
        <w:t xml:space="preserve">flow rate </w:t>
      </w:r>
      <w:r>
        <w:rPr>
          <w:rFonts w:asciiTheme="minorHAnsi" w:hAnsiTheme="minorHAnsi" w:cstheme="minorHAnsi"/>
          <w:i w:val="0"/>
          <w:color w:val="auto"/>
          <w:szCs w:val="22"/>
        </w:rPr>
        <w:t>of 1.5 GPM.</w:t>
      </w:r>
    </w:p>
    <w:p w14:paraId="2DCF8167" w14:textId="77777777" w:rsidR="00B37696" w:rsidRPr="00B37696" w:rsidRDefault="00B37696" w:rsidP="003A054E">
      <w:pPr>
        <w:pStyle w:val="Reminders"/>
        <w:ind w:left="1080"/>
        <w:rPr>
          <w:rFonts w:asciiTheme="minorHAnsi" w:hAnsiTheme="minorHAnsi" w:cstheme="minorHAnsi"/>
          <w:i w:val="0"/>
          <w:color w:val="auto"/>
          <w:szCs w:val="22"/>
        </w:rPr>
      </w:pPr>
    </w:p>
    <w:p w14:paraId="69F342FF" w14:textId="7C763178" w:rsidR="00B37696" w:rsidRDefault="002C39D1" w:rsidP="00BA2538">
      <w:pPr>
        <w:pStyle w:val="Reminders"/>
        <w:ind w:firstLine="720"/>
        <w:rPr>
          <w:rFonts w:asciiTheme="minorHAnsi" w:hAnsiTheme="minorHAnsi" w:cstheme="minorHAnsi"/>
          <w:i w:val="0"/>
          <w:color w:val="auto"/>
          <w:szCs w:val="22"/>
        </w:rPr>
      </w:pPr>
      <w:r>
        <w:rPr>
          <w:rFonts w:asciiTheme="minorHAnsi" w:hAnsiTheme="minorHAnsi" w:cstheme="minorHAnsi"/>
          <w:i w:val="0"/>
          <w:color w:val="auto"/>
          <w:szCs w:val="22"/>
        </w:rPr>
        <w:t>Commercial</w:t>
      </w:r>
      <w:r w:rsidRPr="00FC3485">
        <w:rPr>
          <w:rFonts w:asciiTheme="minorHAnsi" w:hAnsiTheme="minorHAnsi" w:cstheme="minorHAnsi"/>
          <w:i w:val="0"/>
          <w:color w:val="auto"/>
          <w:szCs w:val="22"/>
        </w:rPr>
        <w:t xml:space="preserve"> Faucets</w:t>
      </w:r>
      <w:r>
        <w:rPr>
          <w:rFonts w:asciiTheme="minorHAnsi" w:hAnsiTheme="minorHAnsi" w:cstheme="minorHAnsi"/>
          <w:i w:val="0"/>
          <w:color w:val="auto"/>
          <w:szCs w:val="22"/>
        </w:rPr>
        <w:t xml:space="preserve"> and Showerhead</w:t>
      </w:r>
      <w:r w:rsidRPr="00FC3485">
        <w:rPr>
          <w:rFonts w:asciiTheme="minorHAnsi" w:hAnsiTheme="minorHAnsi" w:cstheme="minorHAnsi"/>
          <w:i w:val="0"/>
          <w:color w:val="auto"/>
          <w:szCs w:val="22"/>
        </w:rPr>
        <w:t xml:space="preserve"> Flow Control Valves:</w:t>
      </w:r>
    </w:p>
    <w:p w14:paraId="2350F461" w14:textId="2E9ADAA7" w:rsidR="002C39D1" w:rsidRPr="002C39D1" w:rsidRDefault="004E63BA" w:rsidP="006B0511">
      <w:pPr>
        <w:pStyle w:val="ListParagraph"/>
        <w:numPr>
          <w:ilvl w:val="0"/>
          <w:numId w:val="7"/>
        </w:numPr>
        <w:tabs>
          <w:tab w:val="left" w:pos="1170"/>
        </w:tabs>
        <w:ind w:left="1350" w:hanging="270"/>
        <w:rPr>
          <w:rFonts w:cstheme="minorHAnsi"/>
          <w:szCs w:val="22"/>
        </w:rPr>
      </w:pPr>
      <w:r>
        <w:rPr>
          <w:rFonts w:cstheme="minorHAnsi"/>
          <w:szCs w:val="22"/>
        </w:rPr>
        <w:t xml:space="preserve">    </w:t>
      </w:r>
      <w:r w:rsidR="002C39D1" w:rsidRPr="002C39D1">
        <w:rPr>
          <w:rFonts w:cstheme="minorHAnsi"/>
          <w:szCs w:val="22"/>
        </w:rPr>
        <w:t xml:space="preserve">The </w:t>
      </w:r>
      <w:r w:rsidR="000C2DE7">
        <w:rPr>
          <w:rFonts w:cstheme="minorHAnsi"/>
          <w:szCs w:val="22"/>
        </w:rPr>
        <w:t xml:space="preserve">FCV showerhead </w:t>
      </w:r>
      <w:r w:rsidR="002C39D1" w:rsidRPr="002C39D1">
        <w:rPr>
          <w:rFonts w:cstheme="minorHAnsi"/>
          <w:szCs w:val="22"/>
        </w:rPr>
        <w:t xml:space="preserve">measures </w:t>
      </w:r>
      <w:r w:rsidR="000C2DE7" w:rsidRPr="002C39D1">
        <w:rPr>
          <w:rFonts w:cstheme="minorHAnsi"/>
          <w:szCs w:val="22"/>
        </w:rPr>
        <w:t>defined</w:t>
      </w:r>
      <w:r w:rsidR="000C2DE7">
        <w:rPr>
          <w:rFonts w:cstheme="minorHAnsi"/>
          <w:szCs w:val="22"/>
        </w:rPr>
        <w:t xml:space="preserve"> </w:t>
      </w:r>
      <w:r w:rsidR="000C2DE7" w:rsidRPr="002C39D1">
        <w:rPr>
          <w:rFonts w:cstheme="minorHAnsi"/>
          <w:szCs w:val="22"/>
        </w:rPr>
        <w:t>in</w:t>
      </w:r>
      <w:r w:rsidR="002C39D1" w:rsidRPr="002C39D1">
        <w:rPr>
          <w:rFonts w:cstheme="minorHAnsi"/>
          <w:szCs w:val="22"/>
        </w:rPr>
        <w:t xml:space="preserve"> this workpaper are applicable to existing buildings only. Newly constructed buildings, additions to existing buildings, and alterations to existing buildings are excluded.</w:t>
      </w:r>
    </w:p>
    <w:p w14:paraId="17B2B82C" w14:textId="77777777" w:rsidR="00F1422F" w:rsidRDefault="002C39D1" w:rsidP="006B0511">
      <w:pPr>
        <w:pStyle w:val="ListParagraph"/>
        <w:numPr>
          <w:ilvl w:val="0"/>
          <w:numId w:val="7"/>
        </w:numPr>
        <w:ind w:left="1350" w:hanging="270"/>
        <w:rPr>
          <w:rFonts w:cstheme="minorHAnsi"/>
          <w:szCs w:val="22"/>
        </w:rPr>
      </w:pPr>
      <w:r w:rsidRPr="002C39D1">
        <w:rPr>
          <w:rFonts w:cstheme="minorHAnsi"/>
          <w:szCs w:val="22"/>
        </w:rPr>
        <w:t xml:space="preserve">Gas savings from </w:t>
      </w:r>
      <w:r w:rsidR="000C2DE7">
        <w:rPr>
          <w:rFonts w:cstheme="minorHAnsi"/>
          <w:szCs w:val="22"/>
        </w:rPr>
        <w:t xml:space="preserve">showerhead FCVs </w:t>
      </w:r>
      <w:r w:rsidRPr="002C39D1">
        <w:rPr>
          <w:rFonts w:cstheme="minorHAnsi"/>
          <w:szCs w:val="22"/>
        </w:rPr>
        <w:t>will apply</w:t>
      </w:r>
      <w:r>
        <w:rPr>
          <w:rFonts w:cstheme="minorHAnsi"/>
          <w:szCs w:val="22"/>
        </w:rPr>
        <w:t xml:space="preserve"> to both lodging building types</w:t>
      </w:r>
      <w:r w:rsidRPr="000C2DE7">
        <w:rPr>
          <w:rFonts w:cstheme="minorHAnsi"/>
          <w:szCs w:val="22"/>
        </w:rPr>
        <w:t xml:space="preserve">(Hotel/Motel), as well as all other commercial building types. The COM building type designation will include, but is not limited to, educational facilities (University, Public/Private Schools), healthcare facilities, small/large office buildings, fitness centers, and municipal facilities (Recreation centers, parks). </w:t>
      </w:r>
    </w:p>
    <w:p w14:paraId="4D3908CE" w14:textId="632504C1" w:rsidR="00F1422F" w:rsidRPr="00F1422F" w:rsidRDefault="00F1422F" w:rsidP="006B0511">
      <w:pPr>
        <w:pStyle w:val="ListParagraph"/>
        <w:numPr>
          <w:ilvl w:val="0"/>
          <w:numId w:val="7"/>
        </w:numPr>
        <w:ind w:left="1350" w:hanging="270"/>
        <w:rPr>
          <w:rFonts w:cstheme="minorHAnsi"/>
          <w:szCs w:val="22"/>
        </w:rPr>
      </w:pPr>
      <w:r w:rsidRPr="00F1422F">
        <w:rPr>
          <w:rFonts w:cstheme="minorHAnsi"/>
          <w:szCs w:val="22"/>
        </w:rPr>
        <w:t xml:space="preserve">Faucet FCVs </w:t>
      </w:r>
      <w:r>
        <w:rPr>
          <w:rFonts w:cstheme="minorHAnsi"/>
          <w:szCs w:val="22"/>
        </w:rPr>
        <w:t xml:space="preserve">shall </w:t>
      </w:r>
      <w:r w:rsidRPr="00F1422F">
        <w:rPr>
          <w:rFonts w:cstheme="minorHAnsi"/>
          <w:szCs w:val="22"/>
        </w:rPr>
        <w:t>be implemented at private or public lavatory faucets in commercial buildings as a Retrofit Ad</w:t>
      </w:r>
      <w:r w:rsidR="004E63BA">
        <w:rPr>
          <w:rFonts w:cstheme="minorHAnsi"/>
          <w:szCs w:val="22"/>
        </w:rPr>
        <w:t>d-on (REA)</w:t>
      </w:r>
      <w:r w:rsidRPr="00F1422F">
        <w:rPr>
          <w:rFonts w:cstheme="minorHAnsi"/>
          <w:szCs w:val="22"/>
        </w:rPr>
        <w:t xml:space="preserve">. </w:t>
      </w:r>
      <w:r w:rsidRPr="00F1422F">
        <w:rPr>
          <w:rFonts w:cstheme="minorHAnsi"/>
          <w:color w:val="000000" w:themeColor="text1"/>
          <w:szCs w:val="22"/>
        </w:rPr>
        <w:t xml:space="preserve">These building types include, but are not limited to, restaurants, hotels/motels, schools, universities, university campus housing, retail and offices. </w:t>
      </w:r>
    </w:p>
    <w:p w14:paraId="251EAA10" w14:textId="77777777" w:rsidR="00F1422F" w:rsidRPr="00F1422F" w:rsidRDefault="00F1422F" w:rsidP="006B0511">
      <w:pPr>
        <w:pStyle w:val="ListParagraph"/>
        <w:numPr>
          <w:ilvl w:val="0"/>
          <w:numId w:val="7"/>
        </w:numPr>
        <w:ind w:left="1350" w:hanging="270"/>
        <w:rPr>
          <w:rFonts w:cstheme="minorHAnsi"/>
          <w:szCs w:val="22"/>
        </w:rPr>
      </w:pPr>
      <w:r w:rsidRPr="00F1422F">
        <w:rPr>
          <w:rFonts w:cstheme="minorHAnsi"/>
          <w:color w:val="000000" w:themeColor="text1"/>
          <w:szCs w:val="22"/>
        </w:rPr>
        <w:t>Private lavatory faucets are defined as those that are found in individual dwelling units such as a hotel/motel guest room, dorm room, or nursing home room. Public lavatory faucets are defined as those found in bathrooms shared by a communal area such as a school, restaurant, hotel lobby, or office building.</w:t>
      </w:r>
    </w:p>
    <w:p w14:paraId="7F0DCB27" w14:textId="18CD2E68" w:rsidR="002C39D1" w:rsidRDefault="00F1422F" w:rsidP="006B0511">
      <w:pPr>
        <w:pStyle w:val="ListParagraph"/>
        <w:numPr>
          <w:ilvl w:val="0"/>
          <w:numId w:val="7"/>
        </w:numPr>
        <w:ind w:left="1350" w:hanging="270"/>
        <w:rPr>
          <w:rFonts w:cstheme="minorHAnsi"/>
          <w:szCs w:val="22"/>
        </w:rPr>
      </w:pPr>
      <w:r w:rsidRPr="00F1422F">
        <w:rPr>
          <w:rFonts w:cstheme="minorHAnsi"/>
          <w:szCs w:val="22"/>
        </w:rPr>
        <w:lastRenderedPageBreak/>
        <w:t xml:space="preserve">Faucets at health care facilities that are subject to the Office of Statewide Health Planning and Development (OSHPD) code and regulation (e.g. hospitals, clinics, skilled nursing facilities) are not applicable for this measure. </w:t>
      </w:r>
    </w:p>
    <w:p w14:paraId="1279FEA9" w14:textId="66108F20" w:rsidR="00ED700F" w:rsidRPr="00C635B6" w:rsidRDefault="003426E5" w:rsidP="006B0511">
      <w:pPr>
        <w:pStyle w:val="ListParagraph"/>
        <w:numPr>
          <w:ilvl w:val="0"/>
          <w:numId w:val="7"/>
        </w:numPr>
        <w:ind w:left="1350" w:hanging="270"/>
        <w:rPr>
          <w:rFonts w:cstheme="minorHAnsi"/>
          <w:szCs w:val="22"/>
        </w:rPr>
      </w:pPr>
      <w:r>
        <w:rPr>
          <w:rFonts w:cstheme="minorHAnsi"/>
          <w:szCs w:val="22"/>
        </w:rPr>
        <w:t xml:space="preserve">FCVs installed in </w:t>
      </w:r>
      <w:r w:rsidR="00ED700F">
        <w:rPr>
          <w:rFonts w:cstheme="minorHAnsi"/>
          <w:szCs w:val="22"/>
        </w:rPr>
        <w:t>commercial faucets must be rated at</w:t>
      </w:r>
      <w:r w:rsidR="002034DA">
        <w:rPr>
          <w:rFonts w:cstheme="minorHAnsi"/>
          <w:szCs w:val="22"/>
        </w:rPr>
        <w:t xml:space="preserve"> 0.5 GPM for a mix/combined flow rate of</w:t>
      </w:r>
      <w:r w:rsidR="00ED700F">
        <w:rPr>
          <w:rFonts w:cstheme="minorHAnsi"/>
          <w:szCs w:val="22"/>
        </w:rPr>
        <w:t xml:space="preserve"> 1.00 GPM.</w:t>
      </w:r>
    </w:p>
    <w:p w14:paraId="020773E4" w14:textId="77777777" w:rsidR="002C39D1" w:rsidRPr="00920905" w:rsidRDefault="002C39D1" w:rsidP="002C39D1">
      <w:pPr>
        <w:pStyle w:val="NoSpacing"/>
        <w:ind w:left="720"/>
      </w:pPr>
    </w:p>
    <w:p w14:paraId="0436B244" w14:textId="07CDD94C" w:rsidR="00760CDC" w:rsidRDefault="008E25B1" w:rsidP="006B0511">
      <w:pPr>
        <w:pStyle w:val="NoSpacing"/>
        <w:numPr>
          <w:ilvl w:val="0"/>
          <w:numId w:val="3"/>
        </w:numPr>
        <w:rPr>
          <w:b/>
        </w:rPr>
      </w:pPr>
      <w:r w:rsidRPr="00C635B6">
        <w:rPr>
          <w:b/>
        </w:rPr>
        <w:t>Other p</w:t>
      </w:r>
      <w:r w:rsidR="00760CDC" w:rsidRPr="00C635B6">
        <w:rPr>
          <w:b/>
        </w:rPr>
        <w:t xml:space="preserve">rogram </w:t>
      </w:r>
      <w:r w:rsidRPr="00C635B6">
        <w:rPr>
          <w:b/>
        </w:rPr>
        <w:t>restrictions and g</w:t>
      </w:r>
      <w:r w:rsidR="00760CDC" w:rsidRPr="00C635B6">
        <w:rPr>
          <w:b/>
        </w:rPr>
        <w:t>uidelines</w:t>
      </w:r>
    </w:p>
    <w:p w14:paraId="7F15FBF7" w14:textId="127F2CD0" w:rsidR="00C635B6" w:rsidRDefault="00C635B6" w:rsidP="006B0511">
      <w:pPr>
        <w:pStyle w:val="Reminders"/>
        <w:numPr>
          <w:ilvl w:val="1"/>
          <w:numId w:val="3"/>
        </w:numPr>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Pr>
          <w:rFonts w:asciiTheme="minorHAnsi" w:hAnsiTheme="minorHAnsi" w:cstheme="minorHAnsi"/>
          <w:i w:val="0"/>
          <w:color w:val="auto"/>
          <w:szCs w:val="22"/>
        </w:rPr>
        <w:t>e zones.</w:t>
      </w:r>
    </w:p>
    <w:p w14:paraId="33E6ED8C" w14:textId="4F067DEC" w:rsidR="00C635B6" w:rsidRPr="00C635B6" w:rsidRDefault="005C1D4E" w:rsidP="006B0511">
      <w:pPr>
        <w:pStyle w:val="Reminders"/>
        <w:numPr>
          <w:ilvl w:val="1"/>
          <w:numId w:val="3"/>
        </w:numPr>
        <w:rPr>
          <w:rFonts w:asciiTheme="minorHAnsi" w:hAnsiTheme="minorHAnsi" w:cstheme="minorHAnsi"/>
          <w:i w:val="0"/>
          <w:color w:val="auto"/>
          <w:szCs w:val="22"/>
        </w:rPr>
      </w:pPr>
      <w:r>
        <w:rPr>
          <w:rFonts w:asciiTheme="minorHAnsi" w:hAnsiTheme="minorHAnsi" w:cstheme="minorHAnsi"/>
          <w:i w:val="0"/>
          <w:color w:val="auto"/>
          <w:szCs w:val="22"/>
        </w:rPr>
        <w:t>Measures in this w</w:t>
      </w:r>
      <w:r w:rsidR="00C635B6">
        <w:rPr>
          <w:rFonts w:asciiTheme="minorHAnsi" w:hAnsiTheme="minorHAnsi" w:cstheme="minorHAnsi"/>
          <w:i w:val="0"/>
          <w:color w:val="auto"/>
          <w:szCs w:val="22"/>
        </w:rPr>
        <w:t>orkpaper only apply to cust</w:t>
      </w:r>
      <w:r w:rsidR="0086622C">
        <w:rPr>
          <w:rFonts w:asciiTheme="minorHAnsi" w:hAnsiTheme="minorHAnsi" w:cstheme="minorHAnsi"/>
          <w:i w:val="0"/>
          <w:color w:val="auto"/>
          <w:szCs w:val="22"/>
        </w:rPr>
        <w:t>omers who</w:t>
      </w:r>
      <w:r>
        <w:rPr>
          <w:rFonts w:asciiTheme="minorHAnsi" w:hAnsiTheme="minorHAnsi" w:cstheme="minorHAnsi"/>
          <w:i w:val="0"/>
          <w:color w:val="auto"/>
          <w:szCs w:val="22"/>
        </w:rPr>
        <w:t xml:space="preserve"> have</w:t>
      </w:r>
      <w:r w:rsidR="0086622C">
        <w:rPr>
          <w:rFonts w:asciiTheme="minorHAnsi" w:hAnsiTheme="minorHAnsi" w:cstheme="minorHAnsi"/>
          <w:i w:val="0"/>
          <w:color w:val="auto"/>
          <w:szCs w:val="22"/>
        </w:rPr>
        <w:t xml:space="preserve"> natural gas service from</w:t>
      </w:r>
      <w:r w:rsidR="00C635B6">
        <w:rPr>
          <w:rFonts w:asciiTheme="minorHAnsi" w:hAnsiTheme="minorHAnsi" w:cstheme="minorHAnsi"/>
          <w:i w:val="0"/>
          <w:color w:val="auto"/>
          <w:szCs w:val="22"/>
        </w:rPr>
        <w:t xml:space="preserve"> a California IOU.</w:t>
      </w:r>
    </w:p>
    <w:p w14:paraId="416190A7" w14:textId="77777777" w:rsidR="00E16609" w:rsidRPr="00500C4E" w:rsidRDefault="00E16609" w:rsidP="00697868">
      <w:pPr>
        <w:pStyle w:val="Heading2"/>
        <w:rPr>
          <w:rFonts w:asciiTheme="minorHAnsi" w:hAnsiTheme="minorHAnsi"/>
        </w:rPr>
      </w:pPr>
      <w:bookmarkStart w:id="14" w:name="_Toc515621123"/>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4"/>
    </w:p>
    <w:p w14:paraId="56F7339C" w14:textId="409CA003" w:rsidR="00E16609" w:rsidRPr="000A7C5E" w:rsidRDefault="000A7C5E"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Flow Control Valves(FCVs) reduce the incoming flow rate to the units specified GPM. This is accomplished </w:t>
      </w:r>
      <w:r w:rsidR="00BF430F">
        <w:rPr>
          <w:rFonts w:asciiTheme="minorHAnsi" w:hAnsiTheme="minorHAnsi" w:cstheme="minorHAnsi"/>
          <w:i w:val="0"/>
          <w:color w:val="auto"/>
          <w:szCs w:val="22"/>
        </w:rPr>
        <w:t xml:space="preserve">by reducing the water flow while maintaining </w:t>
      </w:r>
      <w:r w:rsidR="007B7215">
        <w:rPr>
          <w:rFonts w:asciiTheme="minorHAnsi" w:hAnsiTheme="minorHAnsi" w:cstheme="minorHAnsi"/>
          <w:i w:val="0"/>
          <w:color w:val="auto"/>
          <w:szCs w:val="22"/>
        </w:rPr>
        <w:t>pressure through its converging-</w:t>
      </w:r>
      <w:r w:rsidR="00BF430F">
        <w:rPr>
          <w:rFonts w:asciiTheme="minorHAnsi" w:hAnsiTheme="minorHAnsi" w:cstheme="minorHAnsi"/>
          <w:i w:val="0"/>
          <w:color w:val="auto"/>
          <w:szCs w:val="22"/>
        </w:rPr>
        <w:t>diverging structu</w:t>
      </w:r>
      <w:r w:rsidR="007B7215">
        <w:rPr>
          <w:rFonts w:asciiTheme="minorHAnsi" w:hAnsiTheme="minorHAnsi" w:cstheme="minorHAnsi"/>
          <w:i w:val="0"/>
          <w:color w:val="auto"/>
          <w:szCs w:val="22"/>
        </w:rPr>
        <w:t>re</w:t>
      </w:r>
      <w:r w:rsidR="00BF430F">
        <w:rPr>
          <w:rFonts w:asciiTheme="minorHAnsi" w:hAnsiTheme="minorHAnsi" w:cstheme="minorHAnsi"/>
          <w:i w:val="0"/>
          <w:color w:val="auto"/>
          <w:szCs w:val="22"/>
        </w:rPr>
        <w:t xml:space="preserve"> in which the area is reduced at the throat to lower the flow rate. </w:t>
      </w:r>
      <w:r w:rsidR="009D6CE3">
        <w:rPr>
          <w:rFonts w:asciiTheme="minorHAnsi" w:hAnsiTheme="minorHAnsi" w:cstheme="minorHAnsi"/>
          <w:i w:val="0"/>
          <w:color w:val="auto"/>
          <w:szCs w:val="22"/>
        </w:rPr>
        <w:t>In showerhead applications the FCV is installed between the showerhead arm and the showerhead. In faucets, two FCVs shall be use</w:t>
      </w:r>
      <w:r w:rsidR="001D4663">
        <w:rPr>
          <w:rFonts w:asciiTheme="minorHAnsi" w:hAnsiTheme="minorHAnsi" w:cstheme="minorHAnsi"/>
          <w:i w:val="0"/>
          <w:color w:val="auto"/>
          <w:szCs w:val="22"/>
        </w:rPr>
        <w:t>d, one at the hot and cold line</w:t>
      </w:r>
      <w:r w:rsidR="00E81835">
        <w:rPr>
          <w:rFonts w:asciiTheme="minorHAnsi" w:hAnsiTheme="minorHAnsi" w:cstheme="minorHAnsi"/>
          <w:i w:val="0"/>
          <w:color w:val="auto"/>
          <w:szCs w:val="22"/>
        </w:rPr>
        <w:t xml:space="preserve"> stop </w:t>
      </w:r>
      <w:r w:rsidR="003E396E">
        <w:rPr>
          <w:rFonts w:asciiTheme="minorHAnsi" w:hAnsiTheme="minorHAnsi" w:cstheme="minorHAnsi"/>
          <w:i w:val="0"/>
          <w:color w:val="auto"/>
          <w:szCs w:val="22"/>
        </w:rPr>
        <w:t>angles</w:t>
      </w:r>
      <w:r w:rsidR="009D6CE3">
        <w:rPr>
          <w:rFonts w:asciiTheme="minorHAnsi" w:hAnsiTheme="minorHAnsi" w:cstheme="minorHAnsi"/>
          <w:i w:val="0"/>
          <w:color w:val="auto"/>
          <w:szCs w:val="22"/>
        </w:rPr>
        <w:t xml:space="preserve">. </w:t>
      </w:r>
    </w:p>
    <w:p w14:paraId="6483D990" w14:textId="77777777" w:rsidR="00697868" w:rsidRPr="00500C4E" w:rsidRDefault="00697868" w:rsidP="00697868">
      <w:pPr>
        <w:pStyle w:val="Heading2"/>
        <w:rPr>
          <w:rFonts w:asciiTheme="minorHAnsi" w:hAnsiTheme="minorHAnsi"/>
        </w:rPr>
      </w:pPr>
      <w:bookmarkStart w:id="15" w:name="_Toc515621124"/>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5"/>
    </w:p>
    <w:p w14:paraId="3D2CFAA2" w14:textId="01106925" w:rsidR="001B2301" w:rsidRPr="00920905" w:rsidRDefault="001B2301" w:rsidP="00920905">
      <w:pPr>
        <w:pStyle w:val="NoSpacing"/>
        <w:rPr>
          <w:rFonts w:cstheme="minorHAnsi"/>
          <w:b/>
          <w:i/>
        </w:rPr>
      </w:pPr>
    </w:p>
    <w:p w14:paraId="48BCE052" w14:textId="287A5226" w:rsidR="0079294C" w:rsidRDefault="0079294C" w:rsidP="0079294C">
      <w:pPr>
        <w:pStyle w:val="Caption"/>
        <w:keepNext/>
      </w:pPr>
      <w:bookmarkStart w:id="16" w:name="_Toc515621149"/>
      <w:r>
        <w:t xml:space="preserve">Table </w:t>
      </w:r>
      <w:fldSimple w:instr=" SEQ Table \* ROMAN ">
        <w:r w:rsidR="00F82FD8">
          <w:rPr>
            <w:noProof/>
          </w:rPr>
          <w:t>III</w:t>
        </w:r>
      </w:fldSimple>
      <w:r>
        <w:t xml:space="preserve">: </w:t>
      </w:r>
      <w:r w:rsidRPr="00785B0D">
        <w:t>Installation Type Descriptions</w:t>
      </w:r>
      <w:bookmarkEnd w:id="16"/>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4BFF5B15" w14:textId="77777777" w:rsidTr="00920905">
        <w:trPr>
          <w:trHeight w:val="20"/>
        </w:trPr>
        <w:tc>
          <w:tcPr>
            <w:tcW w:w="1778" w:type="pct"/>
            <w:vMerge w:val="restart"/>
            <w:shd w:val="clear" w:color="auto" w:fill="D9D9D9" w:themeFill="background1" w:themeFillShade="D9"/>
          </w:tcPr>
          <w:p w14:paraId="0197EC40"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3C4F0D18"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3FB63440" w14:textId="77777777" w:rsidR="006F1B21" w:rsidRPr="00920905" w:rsidRDefault="006F1B21" w:rsidP="001B2301">
            <w:pPr>
              <w:rPr>
                <w:b/>
                <w:sz w:val="18"/>
                <w:szCs w:val="18"/>
              </w:rPr>
            </w:pPr>
            <w:r w:rsidRPr="00920905">
              <w:rPr>
                <w:b/>
                <w:sz w:val="18"/>
                <w:szCs w:val="18"/>
              </w:rPr>
              <w:t>Life</w:t>
            </w:r>
          </w:p>
        </w:tc>
      </w:tr>
      <w:tr w:rsidR="006F1B21" w:rsidRPr="00500C4E" w14:paraId="0C5413DA" w14:textId="77777777" w:rsidTr="006F1B21">
        <w:trPr>
          <w:trHeight w:val="20"/>
        </w:trPr>
        <w:tc>
          <w:tcPr>
            <w:tcW w:w="1778" w:type="pct"/>
            <w:vMerge/>
            <w:shd w:val="clear" w:color="auto" w:fill="D9D9D9" w:themeFill="background1" w:themeFillShade="D9"/>
          </w:tcPr>
          <w:p w14:paraId="1E561AAF" w14:textId="77777777" w:rsidR="006F1B21" w:rsidRPr="00500C4E" w:rsidRDefault="006F1B21" w:rsidP="001B2301">
            <w:pPr>
              <w:rPr>
                <w:sz w:val="18"/>
                <w:szCs w:val="18"/>
              </w:rPr>
            </w:pPr>
          </w:p>
        </w:tc>
        <w:tc>
          <w:tcPr>
            <w:tcW w:w="1107" w:type="pct"/>
            <w:shd w:val="clear" w:color="auto" w:fill="F2F2F2" w:themeFill="background1" w:themeFillShade="F2"/>
          </w:tcPr>
          <w:p w14:paraId="684A6E2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0A71ED46"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FA854F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07D187D1"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6EAE6F91" w14:textId="77777777" w:rsidTr="006F1B21">
        <w:trPr>
          <w:trHeight w:val="20"/>
        </w:trPr>
        <w:tc>
          <w:tcPr>
            <w:tcW w:w="1778" w:type="pct"/>
          </w:tcPr>
          <w:p w14:paraId="18C38418" w14:textId="77777777" w:rsidR="006F1B21" w:rsidRPr="00500C4E" w:rsidRDefault="006F1B21" w:rsidP="00E5625D">
            <w:pPr>
              <w:rPr>
                <w:sz w:val="18"/>
                <w:szCs w:val="18"/>
              </w:rPr>
            </w:pPr>
            <w:r w:rsidRPr="000274B9">
              <w:rPr>
                <w:sz w:val="18"/>
                <w:szCs w:val="18"/>
              </w:rPr>
              <w:t>Retrofit Add-on (REA)</w:t>
            </w:r>
          </w:p>
        </w:tc>
        <w:tc>
          <w:tcPr>
            <w:tcW w:w="1107" w:type="pct"/>
          </w:tcPr>
          <w:p w14:paraId="1FAF394E" w14:textId="77777777" w:rsidR="006F1B21" w:rsidRPr="00500C4E" w:rsidRDefault="006F1B21" w:rsidP="00E5625D">
            <w:r w:rsidRPr="00500C4E">
              <w:rPr>
                <w:sz w:val="18"/>
                <w:szCs w:val="18"/>
              </w:rPr>
              <w:t>Above Customer Existing</w:t>
            </w:r>
          </w:p>
        </w:tc>
        <w:tc>
          <w:tcPr>
            <w:tcW w:w="1108" w:type="pct"/>
          </w:tcPr>
          <w:p w14:paraId="20361BBC" w14:textId="77777777" w:rsidR="006F1B21" w:rsidRPr="00500C4E" w:rsidRDefault="006F1B21" w:rsidP="00E5625D">
            <w:pPr>
              <w:rPr>
                <w:sz w:val="18"/>
                <w:szCs w:val="18"/>
              </w:rPr>
            </w:pPr>
            <w:r w:rsidRPr="00500C4E">
              <w:rPr>
                <w:sz w:val="18"/>
                <w:szCs w:val="18"/>
              </w:rPr>
              <w:t>N/A</w:t>
            </w:r>
          </w:p>
        </w:tc>
        <w:tc>
          <w:tcPr>
            <w:tcW w:w="481" w:type="pct"/>
          </w:tcPr>
          <w:p w14:paraId="56D2D031" w14:textId="77777777" w:rsidR="006F1B21" w:rsidRPr="00500C4E" w:rsidRDefault="006F1B21" w:rsidP="00E5625D">
            <w:pPr>
              <w:rPr>
                <w:sz w:val="18"/>
                <w:szCs w:val="18"/>
              </w:rPr>
            </w:pPr>
            <w:r w:rsidRPr="00500C4E">
              <w:rPr>
                <w:sz w:val="18"/>
                <w:szCs w:val="18"/>
              </w:rPr>
              <w:t>EUL</w:t>
            </w:r>
          </w:p>
        </w:tc>
        <w:tc>
          <w:tcPr>
            <w:tcW w:w="526" w:type="pct"/>
          </w:tcPr>
          <w:p w14:paraId="7089B9EB" w14:textId="77777777" w:rsidR="006F1B21" w:rsidRPr="00500C4E" w:rsidRDefault="006F1B21" w:rsidP="00E5625D">
            <w:pPr>
              <w:rPr>
                <w:sz w:val="18"/>
                <w:szCs w:val="18"/>
              </w:rPr>
            </w:pPr>
            <w:r w:rsidRPr="00500C4E">
              <w:rPr>
                <w:sz w:val="18"/>
                <w:szCs w:val="18"/>
              </w:rPr>
              <w:t>N/A</w:t>
            </w:r>
          </w:p>
        </w:tc>
      </w:tr>
    </w:tbl>
    <w:p w14:paraId="34FB0FFA" w14:textId="2F65207B" w:rsidR="001B2301" w:rsidRDefault="001B2301" w:rsidP="00697868">
      <w:pPr>
        <w:pStyle w:val="Reminders"/>
        <w:tabs>
          <w:tab w:val="num" w:pos="360"/>
        </w:tabs>
        <w:rPr>
          <w:rFonts w:asciiTheme="minorHAnsi" w:hAnsiTheme="minorHAnsi" w:cstheme="minorHAnsi"/>
          <w:i w:val="0"/>
          <w:szCs w:val="22"/>
        </w:rPr>
      </w:pPr>
    </w:p>
    <w:p w14:paraId="559BD052" w14:textId="28E9AA53" w:rsidR="00531112" w:rsidRPr="00531112" w:rsidRDefault="00531112"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FCV measures will be of the Retrofit Add</w:t>
      </w:r>
      <w:r w:rsidR="006C0B9C">
        <w:rPr>
          <w:rFonts w:asciiTheme="minorHAnsi" w:hAnsiTheme="minorHAnsi" w:cstheme="minorHAnsi"/>
          <w:i w:val="0"/>
          <w:color w:val="auto"/>
          <w:szCs w:val="22"/>
        </w:rPr>
        <w:t>-on installation type.</w:t>
      </w:r>
    </w:p>
    <w:p w14:paraId="52D4713A" w14:textId="6488C988" w:rsidR="001F5403" w:rsidRDefault="001F5403" w:rsidP="001F5403">
      <w:pPr>
        <w:pStyle w:val="Caption"/>
        <w:keepNext/>
      </w:pPr>
    </w:p>
    <w:p w14:paraId="6D7B3978" w14:textId="7681D435" w:rsidR="00F82FD8" w:rsidRDefault="00F82FD8" w:rsidP="00F82FD8">
      <w:pPr>
        <w:pStyle w:val="Caption"/>
        <w:keepNext/>
      </w:pPr>
      <w:bookmarkStart w:id="17" w:name="_Toc515621150"/>
      <w:r>
        <w:t xml:space="preserve">Table </w:t>
      </w:r>
      <w:fldSimple w:instr=" SEQ Table \* ROMAN ">
        <w:r>
          <w:rPr>
            <w:noProof/>
          </w:rPr>
          <w:t>IV</w:t>
        </w:r>
      </w:fldSimple>
      <w:r>
        <w:t xml:space="preserve">: </w:t>
      </w:r>
      <w:r w:rsidRPr="00FF27FD">
        <w:t>Delivery Method Descriptions</w:t>
      </w:r>
      <w:bookmarkEnd w:id="17"/>
    </w:p>
    <w:tbl>
      <w:tblPr>
        <w:tblStyle w:val="TableGrid1"/>
        <w:tblW w:w="5000" w:type="pct"/>
        <w:tblLook w:val="04A0" w:firstRow="1" w:lastRow="0" w:firstColumn="1" w:lastColumn="0" w:noHBand="0" w:noVBand="1"/>
      </w:tblPr>
      <w:tblGrid>
        <w:gridCol w:w="2425"/>
        <w:gridCol w:w="6925"/>
      </w:tblGrid>
      <w:tr w:rsidR="001B2301" w:rsidRPr="00A3164A" w14:paraId="52E7725F" w14:textId="77777777" w:rsidTr="00920905">
        <w:tc>
          <w:tcPr>
            <w:tcW w:w="1297" w:type="pct"/>
            <w:shd w:val="clear" w:color="auto" w:fill="D9D9D9" w:themeFill="background1" w:themeFillShade="D9"/>
          </w:tcPr>
          <w:p w14:paraId="3F47E68B"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4643238" w14:textId="77777777" w:rsidR="001B2301" w:rsidRPr="00920905" w:rsidRDefault="001B2301" w:rsidP="001B2301">
            <w:pPr>
              <w:rPr>
                <w:b/>
                <w:sz w:val="18"/>
                <w:szCs w:val="18"/>
              </w:rPr>
            </w:pPr>
            <w:r w:rsidRPr="00920905">
              <w:rPr>
                <w:b/>
                <w:sz w:val="18"/>
                <w:szCs w:val="18"/>
              </w:rPr>
              <w:t>Description</w:t>
            </w:r>
          </w:p>
        </w:tc>
      </w:tr>
      <w:tr w:rsidR="001B2301" w:rsidRPr="00A3164A" w14:paraId="115E9819" w14:textId="77777777" w:rsidTr="00920905">
        <w:tc>
          <w:tcPr>
            <w:tcW w:w="1297" w:type="pct"/>
          </w:tcPr>
          <w:p w14:paraId="141B9329"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Direct Install</w:t>
            </w:r>
          </w:p>
        </w:tc>
        <w:tc>
          <w:tcPr>
            <w:tcW w:w="3703" w:type="pct"/>
          </w:tcPr>
          <w:p w14:paraId="00E94DE9"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423CB607" w14:textId="77777777" w:rsidTr="00920905">
        <w:tc>
          <w:tcPr>
            <w:tcW w:w="1297" w:type="pct"/>
          </w:tcPr>
          <w:p w14:paraId="74FDB040"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Down-Stream Incentive</w:t>
            </w:r>
          </w:p>
        </w:tc>
        <w:tc>
          <w:tcPr>
            <w:tcW w:w="3703" w:type="pct"/>
          </w:tcPr>
          <w:p w14:paraId="435F834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094F2E51" w14:textId="2FD51321" w:rsidR="001B2301" w:rsidRDefault="001B2301"/>
    <w:p w14:paraId="2412DB4B" w14:textId="6C6032A0" w:rsidR="00F0470E" w:rsidRDefault="00F0470E">
      <w:r>
        <w:t xml:space="preserve">The incentive method for the application sectors for these measures are summarized below. </w:t>
      </w:r>
    </w:p>
    <w:p w14:paraId="41830B00" w14:textId="77777777" w:rsidR="00F0470E" w:rsidRDefault="00F0470E"/>
    <w:p w14:paraId="1C4BA677" w14:textId="7B561BDA" w:rsidR="000274B9" w:rsidRDefault="000274B9" w:rsidP="006B0511">
      <w:pPr>
        <w:pStyle w:val="ListParagraph"/>
        <w:numPr>
          <w:ilvl w:val="0"/>
          <w:numId w:val="8"/>
        </w:numPr>
      </w:pPr>
      <w:r>
        <w:t xml:space="preserve">FCVs applied in commercial showerheads: Direct install </w:t>
      </w:r>
      <w:r w:rsidR="00D2155E">
        <w:t>prescriptive rebate(</w:t>
      </w:r>
      <w:r w:rsidR="00D2155E" w:rsidRPr="00D2155E">
        <w:t>PreRebDI</w:t>
      </w:r>
      <w:r w:rsidR="00D2155E">
        <w:t>).</w:t>
      </w:r>
    </w:p>
    <w:p w14:paraId="19CD91D1" w14:textId="5B70D0FC" w:rsidR="00D2155E" w:rsidRDefault="00D2155E" w:rsidP="006B0511">
      <w:pPr>
        <w:pStyle w:val="ListParagraph"/>
        <w:numPr>
          <w:ilvl w:val="0"/>
          <w:numId w:val="8"/>
        </w:numPr>
      </w:pPr>
      <w:r>
        <w:t xml:space="preserve">FCVs applied in residential showerheads: Direct Install(DirInstall), </w:t>
      </w:r>
      <w:r w:rsidRPr="00D2155E">
        <w:t>Prescriptive Rebate</w:t>
      </w:r>
      <w:r>
        <w:t>(</w:t>
      </w:r>
      <w:r w:rsidRPr="00D2155E">
        <w:t>PreReb</w:t>
      </w:r>
      <w:r>
        <w:t>).</w:t>
      </w:r>
    </w:p>
    <w:p w14:paraId="16993B6E" w14:textId="4718F0BD" w:rsidR="00D2155E" w:rsidRDefault="00D2155E" w:rsidP="006B0511">
      <w:pPr>
        <w:pStyle w:val="ListParagraph"/>
        <w:numPr>
          <w:ilvl w:val="0"/>
          <w:numId w:val="8"/>
        </w:numPr>
      </w:pPr>
      <w:r>
        <w:t xml:space="preserve">FCVs applied in commercial faucets: </w:t>
      </w:r>
      <w:r w:rsidR="00302CCC">
        <w:t>Direct Install(DirInstall).</w:t>
      </w:r>
    </w:p>
    <w:p w14:paraId="3318FF9C" w14:textId="70781369" w:rsidR="00302CCC" w:rsidRDefault="00302CCC" w:rsidP="006B0511">
      <w:pPr>
        <w:pStyle w:val="ListParagraph"/>
        <w:numPr>
          <w:ilvl w:val="0"/>
          <w:numId w:val="8"/>
        </w:numPr>
      </w:pPr>
      <w:r>
        <w:t>FCVs applied in residential faucets: Direct Install(DirInstall).</w:t>
      </w:r>
    </w:p>
    <w:p w14:paraId="1620373C" w14:textId="76B0A5DA" w:rsidR="00302CCC" w:rsidRDefault="00302CCC" w:rsidP="00D2155E"/>
    <w:p w14:paraId="71D790A2" w14:textId="77777777" w:rsidR="00F82FD8" w:rsidRDefault="00F82FD8" w:rsidP="00D2155E"/>
    <w:p w14:paraId="3DB09631" w14:textId="77777777" w:rsidR="00E16609" w:rsidRPr="00500C4E" w:rsidRDefault="00824F1C" w:rsidP="00824F1C">
      <w:pPr>
        <w:pStyle w:val="Heading2"/>
        <w:rPr>
          <w:rFonts w:asciiTheme="minorHAnsi" w:hAnsiTheme="minorHAnsi" w:cstheme="minorHAnsi"/>
        </w:rPr>
      </w:pPr>
      <w:bookmarkStart w:id="18" w:name="_Toc214003084"/>
      <w:bookmarkStart w:id="19" w:name="_Toc515621125"/>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8"/>
      <w:r w:rsidR="00F810DD">
        <w:rPr>
          <w:rFonts w:asciiTheme="minorHAnsi" w:hAnsiTheme="minorHAnsi" w:cstheme="minorHAnsi"/>
        </w:rPr>
        <w:t>Parameters</w:t>
      </w:r>
      <w:bookmarkEnd w:id="19"/>
    </w:p>
    <w:p w14:paraId="3A7EBB8E" w14:textId="77777777" w:rsidR="00F06CCF" w:rsidRPr="00500C4E" w:rsidRDefault="00F06CCF" w:rsidP="00F06CCF">
      <w:pPr>
        <w:pStyle w:val="Heading3"/>
        <w:rPr>
          <w:rFonts w:asciiTheme="minorHAnsi" w:hAnsiTheme="minorHAnsi"/>
        </w:rPr>
      </w:pPr>
      <w:bookmarkStart w:id="20" w:name="_Toc515621126"/>
      <w:r w:rsidRPr="00500C4E">
        <w:rPr>
          <w:rFonts w:asciiTheme="minorHAnsi" w:hAnsiTheme="minorHAnsi"/>
        </w:rPr>
        <w:t xml:space="preserve">1.4.1 DEER </w:t>
      </w:r>
      <w:r w:rsidR="00D86A9D">
        <w:rPr>
          <w:rFonts w:asciiTheme="minorHAnsi" w:hAnsiTheme="minorHAnsi"/>
        </w:rPr>
        <w:t>Data</w:t>
      </w:r>
      <w:bookmarkEnd w:id="20"/>
    </w:p>
    <w:p w14:paraId="2AEE03B0" w14:textId="7926C5AA" w:rsidR="002469DD" w:rsidRPr="007B3C16" w:rsidRDefault="007B3C16" w:rsidP="00920905">
      <w:pPr>
        <w:pStyle w:val="Reminder"/>
        <w:rPr>
          <w:rFonts w:cstheme="minorHAnsi"/>
          <w:color w:val="auto"/>
          <w:szCs w:val="22"/>
        </w:rPr>
      </w:pPr>
      <w:r w:rsidRPr="007B3C16">
        <w:rPr>
          <w:rFonts w:asciiTheme="minorHAnsi" w:hAnsiTheme="minorHAnsi" w:cstheme="minorHAnsi"/>
          <w:i w:val="0"/>
          <w:color w:val="auto"/>
          <w:szCs w:val="22"/>
        </w:rPr>
        <w:t>DEER does not have this type of measure.</w:t>
      </w:r>
    </w:p>
    <w:p w14:paraId="33D063AF" w14:textId="77777777" w:rsidR="001F5403" w:rsidRDefault="001F5403" w:rsidP="001F5403">
      <w:pPr>
        <w:pStyle w:val="Caption"/>
        <w:keepNext/>
        <w:rPr>
          <w:rFonts w:cs="Arial"/>
          <w:szCs w:val="22"/>
        </w:rPr>
      </w:pPr>
      <w:bookmarkStart w:id="21" w:name="_Toc214003087"/>
    </w:p>
    <w:p w14:paraId="32A7B1F1" w14:textId="4FB79878" w:rsidR="001F5403" w:rsidRDefault="001F5403" w:rsidP="001F5403">
      <w:pPr>
        <w:pStyle w:val="Caption"/>
        <w:keepNext/>
      </w:pPr>
      <w:bookmarkStart w:id="22" w:name="_Toc515621151"/>
      <w:r>
        <w:t xml:space="preserve">Table </w:t>
      </w:r>
      <w:fldSimple w:instr=" SEQ Table \* ROMAN ">
        <w:r w:rsidR="00F82FD8">
          <w:rPr>
            <w:noProof/>
          </w:rPr>
          <w:t>V</w:t>
        </w:r>
      </w:fldSimple>
      <w:r>
        <w:t xml:space="preserve">: </w:t>
      </w:r>
      <w:r w:rsidRPr="00DC4A6F">
        <w:t>DEER Difference Summary</w:t>
      </w:r>
      <w:bookmarkEnd w:id="22"/>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0A9C8E1C" w14:textId="77777777" w:rsidTr="00920905">
        <w:trPr>
          <w:trHeight w:val="20"/>
        </w:trPr>
        <w:tc>
          <w:tcPr>
            <w:tcW w:w="1548" w:type="pct"/>
            <w:shd w:val="clear" w:color="auto" w:fill="D9D9D9" w:themeFill="background1" w:themeFillShade="D9"/>
          </w:tcPr>
          <w:p w14:paraId="74709A0A"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ED27343"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3038F4D4" w14:textId="77777777" w:rsidTr="00920905">
        <w:trPr>
          <w:trHeight w:val="20"/>
        </w:trPr>
        <w:tc>
          <w:tcPr>
            <w:tcW w:w="1548" w:type="pct"/>
          </w:tcPr>
          <w:p w14:paraId="33048790"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FD16C6A" w14:textId="174454FF" w:rsidR="00E326BA" w:rsidRPr="007B3C16" w:rsidRDefault="00E326BA" w:rsidP="00920905">
            <w:pPr>
              <w:rPr>
                <w:rFonts w:cs="Arial"/>
                <w:b/>
                <w:szCs w:val="20"/>
              </w:rPr>
            </w:pPr>
            <w:r w:rsidRPr="007B3C16">
              <w:rPr>
                <w:rFonts w:cs="Arial"/>
                <w:szCs w:val="20"/>
              </w:rPr>
              <w:t>No</w:t>
            </w:r>
          </w:p>
        </w:tc>
      </w:tr>
      <w:tr w:rsidR="00726AD5" w:rsidRPr="00500C4E" w14:paraId="0BA7E3D0" w14:textId="77777777" w:rsidTr="00920905">
        <w:trPr>
          <w:trHeight w:val="20"/>
        </w:trPr>
        <w:tc>
          <w:tcPr>
            <w:tcW w:w="1548" w:type="pct"/>
          </w:tcPr>
          <w:p w14:paraId="1415261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0A62CEE5" w14:textId="0E959407" w:rsidR="00E326BA" w:rsidRPr="007B3C16" w:rsidRDefault="00E326BA" w:rsidP="00920905">
            <w:pPr>
              <w:rPr>
                <w:rFonts w:cs="Arial"/>
                <w:szCs w:val="20"/>
              </w:rPr>
            </w:pPr>
            <w:r w:rsidRPr="007B3C16">
              <w:rPr>
                <w:rFonts w:cs="Arial"/>
                <w:szCs w:val="20"/>
              </w:rPr>
              <w:t>No</w:t>
            </w:r>
          </w:p>
        </w:tc>
      </w:tr>
      <w:tr w:rsidR="00726AD5" w:rsidRPr="00500C4E" w14:paraId="049951AE" w14:textId="77777777" w:rsidTr="00920905">
        <w:trPr>
          <w:trHeight w:val="20"/>
        </w:trPr>
        <w:tc>
          <w:tcPr>
            <w:tcW w:w="1548" w:type="pct"/>
          </w:tcPr>
          <w:p w14:paraId="42DB540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7332F2CB" w14:textId="24E6BDC7" w:rsidR="00E326BA" w:rsidRPr="007B3C16" w:rsidRDefault="00E326BA" w:rsidP="00920905">
            <w:pPr>
              <w:rPr>
                <w:rFonts w:cs="Arial"/>
                <w:szCs w:val="20"/>
              </w:rPr>
            </w:pPr>
            <w:r w:rsidRPr="007B3C16">
              <w:rPr>
                <w:rFonts w:cs="Arial"/>
                <w:szCs w:val="20"/>
              </w:rPr>
              <w:t>No</w:t>
            </w:r>
          </w:p>
        </w:tc>
      </w:tr>
      <w:tr w:rsidR="00726AD5" w:rsidRPr="00500C4E" w14:paraId="1429B993" w14:textId="77777777" w:rsidTr="00920905">
        <w:trPr>
          <w:trHeight w:val="20"/>
        </w:trPr>
        <w:tc>
          <w:tcPr>
            <w:tcW w:w="1548" w:type="pct"/>
          </w:tcPr>
          <w:p w14:paraId="08DF447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78529BA3" w14:textId="59D42B17" w:rsidR="00E326BA" w:rsidRPr="007B3C16" w:rsidRDefault="00E326BA" w:rsidP="00920905">
            <w:pPr>
              <w:rPr>
                <w:rFonts w:cs="Arial"/>
                <w:szCs w:val="20"/>
              </w:rPr>
            </w:pPr>
            <w:r w:rsidRPr="007B3C16">
              <w:rPr>
                <w:rFonts w:cs="Arial"/>
                <w:szCs w:val="20"/>
              </w:rPr>
              <w:t>No</w:t>
            </w:r>
          </w:p>
        </w:tc>
      </w:tr>
      <w:tr w:rsidR="00726AD5" w:rsidRPr="00500C4E" w14:paraId="175503E1" w14:textId="77777777" w:rsidTr="00920905">
        <w:trPr>
          <w:trHeight w:val="20"/>
        </w:trPr>
        <w:tc>
          <w:tcPr>
            <w:tcW w:w="1548" w:type="pct"/>
          </w:tcPr>
          <w:p w14:paraId="1FC0EB8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4718A3E9" w14:textId="09C12F2E" w:rsidR="00E326BA" w:rsidRPr="007B3C16" w:rsidRDefault="00E326BA" w:rsidP="00920905">
            <w:pPr>
              <w:rPr>
                <w:rFonts w:cs="Arial"/>
                <w:szCs w:val="20"/>
              </w:rPr>
            </w:pPr>
            <w:r w:rsidRPr="007B3C16">
              <w:rPr>
                <w:rFonts w:cs="Arial"/>
                <w:szCs w:val="20"/>
              </w:rPr>
              <w:t>No</w:t>
            </w:r>
          </w:p>
        </w:tc>
      </w:tr>
      <w:tr w:rsidR="00726AD5" w:rsidRPr="00500C4E" w14:paraId="37E61BBC" w14:textId="77777777" w:rsidTr="00920905">
        <w:trPr>
          <w:trHeight w:val="20"/>
        </w:trPr>
        <w:tc>
          <w:tcPr>
            <w:tcW w:w="1548" w:type="pct"/>
          </w:tcPr>
          <w:p w14:paraId="3382873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318AE0FD" w14:textId="4EB51C03" w:rsidR="00E326BA" w:rsidRPr="007B3C16" w:rsidRDefault="00254671" w:rsidP="00920905">
            <w:pPr>
              <w:rPr>
                <w:rFonts w:cs="Arial"/>
                <w:szCs w:val="20"/>
              </w:rPr>
            </w:pPr>
            <w:r w:rsidRPr="007B3C16">
              <w:rPr>
                <w:rFonts w:cs="Arial"/>
                <w:szCs w:val="20"/>
              </w:rPr>
              <w:t>No</w:t>
            </w:r>
          </w:p>
        </w:tc>
      </w:tr>
      <w:tr w:rsidR="00726AD5" w:rsidRPr="00500C4E" w14:paraId="4FF468A7" w14:textId="77777777" w:rsidTr="00920905">
        <w:trPr>
          <w:trHeight w:val="20"/>
        </w:trPr>
        <w:tc>
          <w:tcPr>
            <w:tcW w:w="1548" w:type="pct"/>
          </w:tcPr>
          <w:p w14:paraId="11C2BC43"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76BD1C52" w14:textId="7E51619C" w:rsidR="00505CEC" w:rsidRPr="007B3C16" w:rsidDel="00505CEC" w:rsidRDefault="00505CEC" w:rsidP="00920905">
            <w:pPr>
              <w:rPr>
                <w:rFonts w:cs="Arial"/>
                <w:szCs w:val="20"/>
              </w:rPr>
            </w:pPr>
            <w:r w:rsidRPr="007B3C16">
              <w:rPr>
                <w:rFonts w:cs="Arial"/>
                <w:szCs w:val="20"/>
              </w:rPr>
              <w:t>No</w:t>
            </w:r>
          </w:p>
        </w:tc>
      </w:tr>
      <w:tr w:rsidR="00D86A9D" w:rsidRPr="00500C4E" w14:paraId="2DB29F5C" w14:textId="77777777" w:rsidTr="00920905">
        <w:trPr>
          <w:trHeight w:val="20"/>
        </w:trPr>
        <w:tc>
          <w:tcPr>
            <w:tcW w:w="1548" w:type="pct"/>
          </w:tcPr>
          <w:p w14:paraId="6E5FBA0A" w14:textId="77777777" w:rsidR="00D86A9D" w:rsidRPr="00500C4E" w:rsidRDefault="00D86A9D" w:rsidP="00175D14">
            <w:pPr>
              <w:rPr>
                <w:rFonts w:cs="Arial"/>
                <w:szCs w:val="20"/>
              </w:rPr>
            </w:pPr>
            <w:r w:rsidRPr="00500C4E">
              <w:rPr>
                <w:rFonts w:cs="Arial"/>
                <w:szCs w:val="20"/>
              </w:rPr>
              <w:t>DEER Version</w:t>
            </w:r>
          </w:p>
        </w:tc>
        <w:tc>
          <w:tcPr>
            <w:tcW w:w="3452" w:type="pct"/>
          </w:tcPr>
          <w:p w14:paraId="6970F6A2" w14:textId="46B32A29" w:rsidR="00D86A9D" w:rsidRPr="007B3C16" w:rsidRDefault="007B3C16" w:rsidP="00175D14">
            <w:pPr>
              <w:rPr>
                <w:rFonts w:cs="Arial"/>
                <w:szCs w:val="20"/>
              </w:rPr>
            </w:pPr>
            <w:r w:rsidRPr="007B3C16">
              <w:rPr>
                <w:rFonts w:cs="Arial"/>
                <w:szCs w:val="20"/>
              </w:rPr>
              <w:t>No</w:t>
            </w:r>
          </w:p>
        </w:tc>
      </w:tr>
      <w:tr w:rsidR="00726AD5" w:rsidRPr="00500C4E" w14:paraId="037F9578" w14:textId="77777777" w:rsidTr="00920905">
        <w:trPr>
          <w:trHeight w:val="20"/>
        </w:trPr>
        <w:tc>
          <w:tcPr>
            <w:tcW w:w="1548" w:type="pct"/>
          </w:tcPr>
          <w:p w14:paraId="38986596"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497E0B2D" w14:textId="731D4BD3" w:rsidR="00E326BA" w:rsidRPr="007B3C16" w:rsidRDefault="00E326BA" w:rsidP="00920905">
            <w:pPr>
              <w:rPr>
                <w:rFonts w:cs="Arial"/>
                <w:szCs w:val="20"/>
              </w:rPr>
            </w:pPr>
            <w:r w:rsidRPr="007B3C16">
              <w:rPr>
                <w:rFonts w:cs="Arial"/>
                <w:szCs w:val="20"/>
              </w:rPr>
              <w:t>DEER does not contain this type of measure.</w:t>
            </w:r>
          </w:p>
        </w:tc>
      </w:tr>
      <w:tr w:rsidR="00726AD5" w:rsidRPr="00500C4E" w14:paraId="267D7AE0" w14:textId="77777777" w:rsidTr="00920905">
        <w:trPr>
          <w:trHeight w:val="20"/>
        </w:trPr>
        <w:tc>
          <w:tcPr>
            <w:tcW w:w="1548" w:type="pct"/>
          </w:tcPr>
          <w:p w14:paraId="5095C115"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1C1D2E14" w14:textId="5AAEA5A7" w:rsidR="00E326BA" w:rsidRPr="007B3C16" w:rsidRDefault="007B3C16" w:rsidP="00920905">
            <w:pPr>
              <w:rPr>
                <w:rFonts w:cs="Arial"/>
                <w:szCs w:val="20"/>
              </w:rPr>
            </w:pPr>
            <w:r w:rsidRPr="007B3C16">
              <w:rPr>
                <w:rFonts w:cs="Arial"/>
                <w:szCs w:val="20"/>
              </w:rPr>
              <w:t>N/A</w:t>
            </w:r>
          </w:p>
        </w:tc>
      </w:tr>
    </w:tbl>
    <w:p w14:paraId="36DFB366" w14:textId="77777777" w:rsidR="00472250" w:rsidRPr="00500C4E" w:rsidRDefault="00472250" w:rsidP="00920905">
      <w:pPr>
        <w:pStyle w:val="Caption"/>
        <w:keepNext/>
        <w:rPr>
          <w:rFonts w:cstheme="minorHAnsi"/>
          <w:b w:val="0"/>
          <w:i/>
          <w:szCs w:val="22"/>
        </w:rPr>
      </w:pPr>
    </w:p>
    <w:p w14:paraId="3EF22998"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C1EC1B1" w14:textId="77777777" w:rsidR="006C54E3" w:rsidRDefault="006C54E3" w:rsidP="00920905">
      <w:pPr>
        <w:pStyle w:val="NoSpacing"/>
      </w:pPr>
    </w:p>
    <w:p w14:paraId="0CA6DB1E" w14:textId="2BA9CDCA"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r w:rsidR="006C54E3">
        <w:t xml:space="preserve"> Measures will be separated by application and building, sector type.</w:t>
      </w:r>
    </w:p>
    <w:p w14:paraId="2C488617" w14:textId="77777777" w:rsidR="006C54E3" w:rsidRPr="00920905" w:rsidRDefault="006C54E3" w:rsidP="00920905">
      <w:pPr>
        <w:pStyle w:val="NoSpacing"/>
      </w:pPr>
    </w:p>
    <w:p w14:paraId="5EB11CE5" w14:textId="78B1BD4A" w:rsidR="00F75D8F" w:rsidRDefault="00F75D8F" w:rsidP="00F75D8F">
      <w:pPr>
        <w:pStyle w:val="Caption"/>
        <w:keepNext/>
      </w:pPr>
      <w:bookmarkStart w:id="23" w:name="_Toc515621152"/>
      <w:r>
        <w:t xml:space="preserve">Table </w:t>
      </w:r>
      <w:fldSimple w:instr=" SEQ Table \* ROMAN ">
        <w:r w:rsidR="00F82FD8">
          <w:rPr>
            <w:noProof/>
          </w:rPr>
          <w:t>VI</w:t>
        </w:r>
      </w:fldSimple>
      <w:r w:rsidR="00BA1647">
        <w:t>: NTGR</w:t>
      </w:r>
      <w:bookmarkEnd w:id="23"/>
    </w:p>
    <w:tbl>
      <w:tblPr>
        <w:tblStyle w:val="TableGrid1"/>
        <w:tblW w:w="5000" w:type="pct"/>
        <w:tblLayout w:type="fixed"/>
        <w:tblLook w:val="01E0" w:firstRow="1" w:lastRow="1" w:firstColumn="1" w:lastColumn="1" w:noHBand="0" w:noVBand="0"/>
      </w:tblPr>
      <w:tblGrid>
        <w:gridCol w:w="1618"/>
        <w:gridCol w:w="1614"/>
        <w:gridCol w:w="2551"/>
        <w:gridCol w:w="830"/>
        <w:gridCol w:w="660"/>
        <w:gridCol w:w="1273"/>
        <w:gridCol w:w="804"/>
      </w:tblGrid>
      <w:tr w:rsidR="00756075" w:rsidRPr="00500C4E" w14:paraId="57C59FF2" w14:textId="77777777" w:rsidTr="00787518">
        <w:tc>
          <w:tcPr>
            <w:tcW w:w="865" w:type="pct"/>
            <w:shd w:val="clear" w:color="auto" w:fill="D9D9D9" w:themeFill="background1" w:themeFillShade="D9"/>
          </w:tcPr>
          <w:p w14:paraId="7EF6C2D8" w14:textId="614F4EB3" w:rsidR="00756075" w:rsidRPr="00920905" w:rsidRDefault="007D5FE9" w:rsidP="005729C8">
            <w:pPr>
              <w:rPr>
                <w:rFonts w:cstheme="minorHAnsi"/>
                <w:b/>
                <w:szCs w:val="20"/>
              </w:rPr>
            </w:pPr>
            <w:r>
              <w:rPr>
                <w:rFonts w:cstheme="minorHAnsi"/>
                <w:b/>
                <w:szCs w:val="20"/>
              </w:rPr>
              <w:t>Measure</w:t>
            </w:r>
          </w:p>
        </w:tc>
        <w:tc>
          <w:tcPr>
            <w:tcW w:w="863" w:type="pct"/>
            <w:shd w:val="clear" w:color="auto" w:fill="D9D9D9" w:themeFill="background1" w:themeFillShade="D9"/>
          </w:tcPr>
          <w:p w14:paraId="7830B455" w14:textId="631A31D6" w:rsidR="00756075" w:rsidRPr="00920905" w:rsidRDefault="00756075" w:rsidP="005729C8">
            <w:pPr>
              <w:rPr>
                <w:rFonts w:cstheme="minorHAnsi"/>
                <w:b/>
                <w:szCs w:val="20"/>
              </w:rPr>
            </w:pPr>
            <w:r w:rsidRPr="00920905">
              <w:rPr>
                <w:rFonts w:cstheme="minorHAnsi"/>
                <w:b/>
                <w:szCs w:val="20"/>
              </w:rPr>
              <w:t>NTG</w:t>
            </w:r>
            <w:r>
              <w:rPr>
                <w:rFonts w:cstheme="minorHAnsi"/>
                <w:b/>
                <w:szCs w:val="20"/>
              </w:rPr>
              <w:t>R ID</w:t>
            </w:r>
          </w:p>
        </w:tc>
        <w:tc>
          <w:tcPr>
            <w:tcW w:w="1364" w:type="pct"/>
            <w:shd w:val="clear" w:color="auto" w:fill="D9D9D9" w:themeFill="background1" w:themeFillShade="D9"/>
          </w:tcPr>
          <w:p w14:paraId="7F83280C" w14:textId="77777777" w:rsidR="00756075" w:rsidRPr="00920905" w:rsidRDefault="00756075">
            <w:pPr>
              <w:rPr>
                <w:rFonts w:cstheme="minorHAnsi"/>
                <w:b/>
                <w:szCs w:val="20"/>
              </w:rPr>
            </w:pPr>
            <w:r>
              <w:rPr>
                <w:rFonts w:cstheme="minorHAnsi"/>
                <w:b/>
                <w:szCs w:val="20"/>
              </w:rPr>
              <w:t>Description</w:t>
            </w:r>
          </w:p>
        </w:tc>
        <w:tc>
          <w:tcPr>
            <w:tcW w:w="444" w:type="pct"/>
            <w:shd w:val="clear" w:color="auto" w:fill="D9D9D9" w:themeFill="background1" w:themeFillShade="D9"/>
          </w:tcPr>
          <w:p w14:paraId="65A44845" w14:textId="77777777" w:rsidR="00756075" w:rsidRPr="00920905" w:rsidRDefault="00756075" w:rsidP="005729C8">
            <w:pPr>
              <w:rPr>
                <w:rFonts w:cstheme="minorHAnsi"/>
                <w:b/>
                <w:szCs w:val="20"/>
              </w:rPr>
            </w:pPr>
            <w:r w:rsidRPr="00920905">
              <w:rPr>
                <w:rFonts w:cstheme="minorHAnsi"/>
                <w:b/>
                <w:szCs w:val="20"/>
              </w:rPr>
              <w:t>Sector</w:t>
            </w:r>
          </w:p>
        </w:tc>
        <w:tc>
          <w:tcPr>
            <w:tcW w:w="353" w:type="pct"/>
            <w:shd w:val="clear" w:color="auto" w:fill="D9D9D9" w:themeFill="background1" w:themeFillShade="D9"/>
          </w:tcPr>
          <w:p w14:paraId="6A757F44" w14:textId="77777777" w:rsidR="00756075" w:rsidRPr="00920905" w:rsidRDefault="00756075" w:rsidP="005729C8">
            <w:pPr>
              <w:rPr>
                <w:rFonts w:cstheme="minorHAnsi"/>
                <w:b/>
                <w:szCs w:val="20"/>
              </w:rPr>
            </w:pPr>
            <w:r w:rsidRPr="00920905">
              <w:rPr>
                <w:rFonts w:cstheme="minorHAnsi"/>
                <w:b/>
                <w:szCs w:val="20"/>
              </w:rPr>
              <w:t>BldgType</w:t>
            </w:r>
          </w:p>
        </w:tc>
        <w:tc>
          <w:tcPr>
            <w:tcW w:w="681" w:type="pct"/>
            <w:shd w:val="clear" w:color="auto" w:fill="D9D9D9" w:themeFill="background1" w:themeFillShade="D9"/>
          </w:tcPr>
          <w:p w14:paraId="38A04BBD" w14:textId="77777777" w:rsidR="00756075" w:rsidRPr="00920905" w:rsidRDefault="00756075">
            <w:pPr>
              <w:rPr>
                <w:rFonts w:cstheme="minorHAnsi"/>
                <w:b/>
                <w:szCs w:val="20"/>
              </w:rPr>
            </w:pPr>
            <w:r>
              <w:rPr>
                <w:rFonts w:cstheme="minorHAnsi"/>
                <w:b/>
                <w:szCs w:val="20"/>
              </w:rPr>
              <w:t>Measure Delivery</w:t>
            </w:r>
          </w:p>
        </w:tc>
        <w:tc>
          <w:tcPr>
            <w:tcW w:w="431" w:type="pct"/>
            <w:shd w:val="clear" w:color="auto" w:fill="D9D9D9" w:themeFill="background1" w:themeFillShade="D9"/>
          </w:tcPr>
          <w:p w14:paraId="78866B0C" w14:textId="77777777" w:rsidR="00756075" w:rsidRPr="00920905" w:rsidRDefault="00756075" w:rsidP="005729C8">
            <w:pPr>
              <w:rPr>
                <w:rFonts w:cstheme="minorHAnsi"/>
                <w:b/>
                <w:szCs w:val="20"/>
              </w:rPr>
            </w:pPr>
            <w:r w:rsidRPr="00920905">
              <w:rPr>
                <w:rFonts w:cstheme="minorHAnsi"/>
                <w:b/>
                <w:szCs w:val="20"/>
              </w:rPr>
              <w:t>NTG</w:t>
            </w:r>
            <w:r>
              <w:rPr>
                <w:rFonts w:cstheme="minorHAnsi"/>
                <w:b/>
                <w:szCs w:val="20"/>
              </w:rPr>
              <w:t>R</w:t>
            </w:r>
          </w:p>
        </w:tc>
      </w:tr>
      <w:tr w:rsidR="00756075" w:rsidRPr="00500C4E" w14:paraId="1F7395A2" w14:textId="77777777" w:rsidTr="00787518">
        <w:tc>
          <w:tcPr>
            <w:tcW w:w="865" w:type="pct"/>
          </w:tcPr>
          <w:p w14:paraId="4DE1713E" w14:textId="227AC4EC" w:rsidR="00756075" w:rsidRPr="00F75D8F" w:rsidRDefault="00C7375C" w:rsidP="005729C8">
            <w:pPr>
              <w:rPr>
                <w:szCs w:val="20"/>
              </w:rPr>
            </w:pPr>
            <w:r>
              <w:rPr>
                <w:szCs w:val="20"/>
              </w:rPr>
              <w:t>FCV: Com Showerhead</w:t>
            </w:r>
            <w:r w:rsidR="001D566F">
              <w:rPr>
                <w:szCs w:val="20"/>
              </w:rPr>
              <w:t>, Com Faucet</w:t>
            </w:r>
          </w:p>
        </w:tc>
        <w:tc>
          <w:tcPr>
            <w:tcW w:w="863" w:type="pct"/>
          </w:tcPr>
          <w:p w14:paraId="39661000" w14:textId="6DB5D5E9" w:rsidR="00756075" w:rsidRPr="00F75D8F" w:rsidRDefault="00C7375C" w:rsidP="005729C8">
            <w:pPr>
              <w:rPr>
                <w:szCs w:val="20"/>
              </w:rPr>
            </w:pPr>
            <w:r>
              <w:rPr>
                <w:szCs w:val="20"/>
              </w:rPr>
              <w:t>All-Default&lt;=2yrs</w:t>
            </w:r>
          </w:p>
        </w:tc>
        <w:tc>
          <w:tcPr>
            <w:tcW w:w="1364" w:type="pct"/>
          </w:tcPr>
          <w:p w14:paraId="1B80995B" w14:textId="07180603" w:rsidR="00756075" w:rsidRPr="00F75D8F" w:rsidRDefault="00C7375C" w:rsidP="005729C8">
            <w:pPr>
              <w:rPr>
                <w:szCs w:val="20"/>
              </w:rPr>
            </w:pPr>
            <w:r>
              <w:rPr>
                <w:szCs w:val="20"/>
              </w:rPr>
              <w:t>All other EEM with no evaluated NTGR; new technology in program for 2 or fewer years</w:t>
            </w:r>
          </w:p>
        </w:tc>
        <w:tc>
          <w:tcPr>
            <w:tcW w:w="444" w:type="pct"/>
          </w:tcPr>
          <w:p w14:paraId="2F880B3B" w14:textId="4E732A84" w:rsidR="00756075" w:rsidRPr="00F75D8F" w:rsidRDefault="00C7375C" w:rsidP="005729C8">
            <w:pPr>
              <w:rPr>
                <w:szCs w:val="20"/>
              </w:rPr>
            </w:pPr>
            <w:r>
              <w:rPr>
                <w:szCs w:val="20"/>
              </w:rPr>
              <w:t>Any</w:t>
            </w:r>
          </w:p>
        </w:tc>
        <w:tc>
          <w:tcPr>
            <w:tcW w:w="353" w:type="pct"/>
          </w:tcPr>
          <w:p w14:paraId="1123A1BD" w14:textId="44148099" w:rsidR="00756075" w:rsidRPr="00F75D8F" w:rsidRDefault="00C7375C" w:rsidP="005729C8">
            <w:pPr>
              <w:rPr>
                <w:szCs w:val="20"/>
              </w:rPr>
            </w:pPr>
            <w:r>
              <w:rPr>
                <w:szCs w:val="20"/>
              </w:rPr>
              <w:t>Any</w:t>
            </w:r>
          </w:p>
        </w:tc>
        <w:tc>
          <w:tcPr>
            <w:tcW w:w="681" w:type="pct"/>
          </w:tcPr>
          <w:p w14:paraId="1F009831" w14:textId="26A91A31" w:rsidR="00756075" w:rsidRPr="00F75D8F" w:rsidRDefault="00C7375C" w:rsidP="005729C8">
            <w:pPr>
              <w:rPr>
                <w:szCs w:val="20"/>
              </w:rPr>
            </w:pPr>
            <w:r>
              <w:rPr>
                <w:szCs w:val="20"/>
              </w:rPr>
              <w:t>Any</w:t>
            </w:r>
          </w:p>
        </w:tc>
        <w:tc>
          <w:tcPr>
            <w:tcW w:w="431" w:type="pct"/>
          </w:tcPr>
          <w:p w14:paraId="74DB630B" w14:textId="7718E3B5" w:rsidR="00756075" w:rsidRPr="00F75D8F" w:rsidRDefault="00C7375C" w:rsidP="005729C8">
            <w:pPr>
              <w:rPr>
                <w:szCs w:val="20"/>
              </w:rPr>
            </w:pPr>
            <w:r>
              <w:rPr>
                <w:szCs w:val="20"/>
              </w:rPr>
              <w:t>0.70</w:t>
            </w:r>
          </w:p>
        </w:tc>
      </w:tr>
      <w:tr w:rsidR="00756075" w:rsidRPr="00500C4E" w14:paraId="09431C6D" w14:textId="77777777" w:rsidTr="00787518">
        <w:tc>
          <w:tcPr>
            <w:tcW w:w="865" w:type="pct"/>
          </w:tcPr>
          <w:p w14:paraId="08FFC3C9" w14:textId="5B2114C0" w:rsidR="00756075" w:rsidRDefault="007D5FE9" w:rsidP="005729C8">
            <w:pPr>
              <w:rPr>
                <w:szCs w:val="20"/>
              </w:rPr>
            </w:pPr>
            <w:r>
              <w:rPr>
                <w:szCs w:val="20"/>
              </w:rPr>
              <w:t>FCV: Res Showerhead</w:t>
            </w:r>
          </w:p>
        </w:tc>
        <w:tc>
          <w:tcPr>
            <w:tcW w:w="863" w:type="pct"/>
          </w:tcPr>
          <w:p w14:paraId="2E9D042E" w14:textId="0E3E5998" w:rsidR="00756075" w:rsidRPr="00F75D8F" w:rsidRDefault="00756075" w:rsidP="005729C8">
            <w:pPr>
              <w:rPr>
                <w:szCs w:val="20"/>
              </w:rPr>
            </w:pPr>
            <w:r>
              <w:rPr>
                <w:szCs w:val="20"/>
              </w:rPr>
              <w:t xml:space="preserve">Res-sAll </w:t>
            </w:r>
            <w:r w:rsidRPr="00F75D8F">
              <w:rPr>
                <w:szCs w:val="20"/>
              </w:rPr>
              <w:t>mDHWshwr</w:t>
            </w:r>
          </w:p>
        </w:tc>
        <w:tc>
          <w:tcPr>
            <w:tcW w:w="1364" w:type="pct"/>
          </w:tcPr>
          <w:p w14:paraId="58B62908" w14:textId="04FAA65E" w:rsidR="00756075" w:rsidRPr="00F75D8F" w:rsidRDefault="00756075" w:rsidP="005729C8">
            <w:pPr>
              <w:rPr>
                <w:szCs w:val="20"/>
              </w:rPr>
            </w:pPr>
            <w:r w:rsidRPr="00F75D8F">
              <w:rPr>
                <w:szCs w:val="20"/>
              </w:rPr>
              <w:t>Low flow showerheads</w:t>
            </w:r>
          </w:p>
        </w:tc>
        <w:tc>
          <w:tcPr>
            <w:tcW w:w="444" w:type="pct"/>
          </w:tcPr>
          <w:p w14:paraId="5F510D51" w14:textId="58CCEC98" w:rsidR="00756075" w:rsidRPr="00F75D8F" w:rsidRDefault="00756075" w:rsidP="005729C8">
            <w:pPr>
              <w:rPr>
                <w:szCs w:val="20"/>
              </w:rPr>
            </w:pPr>
            <w:r w:rsidRPr="00F75D8F">
              <w:rPr>
                <w:szCs w:val="20"/>
              </w:rPr>
              <w:t>Res</w:t>
            </w:r>
          </w:p>
        </w:tc>
        <w:tc>
          <w:tcPr>
            <w:tcW w:w="353" w:type="pct"/>
          </w:tcPr>
          <w:p w14:paraId="4378CE77" w14:textId="5CB7C10A" w:rsidR="00756075" w:rsidRPr="00F75D8F" w:rsidRDefault="00756075" w:rsidP="005729C8">
            <w:pPr>
              <w:rPr>
                <w:szCs w:val="20"/>
              </w:rPr>
            </w:pPr>
            <w:r w:rsidRPr="00F75D8F">
              <w:rPr>
                <w:szCs w:val="20"/>
              </w:rPr>
              <w:t>Any</w:t>
            </w:r>
          </w:p>
        </w:tc>
        <w:tc>
          <w:tcPr>
            <w:tcW w:w="681" w:type="pct"/>
          </w:tcPr>
          <w:p w14:paraId="0C95969B" w14:textId="230CBD54" w:rsidR="00756075" w:rsidRPr="00F75D8F" w:rsidRDefault="00756075" w:rsidP="005729C8">
            <w:pPr>
              <w:rPr>
                <w:szCs w:val="20"/>
              </w:rPr>
            </w:pPr>
            <w:r w:rsidRPr="00F75D8F">
              <w:rPr>
                <w:szCs w:val="20"/>
              </w:rPr>
              <w:t>DirInstall</w:t>
            </w:r>
          </w:p>
        </w:tc>
        <w:tc>
          <w:tcPr>
            <w:tcW w:w="431" w:type="pct"/>
          </w:tcPr>
          <w:p w14:paraId="61BF76F2" w14:textId="5C0BC4EE" w:rsidR="00756075" w:rsidRPr="00F75D8F" w:rsidRDefault="00756075" w:rsidP="005729C8">
            <w:pPr>
              <w:rPr>
                <w:szCs w:val="20"/>
              </w:rPr>
            </w:pPr>
            <w:r w:rsidRPr="00C25C58">
              <w:rPr>
                <w:szCs w:val="20"/>
              </w:rPr>
              <w:t>0.7</w:t>
            </w:r>
            <w:r w:rsidR="00BA1647">
              <w:rPr>
                <w:szCs w:val="20"/>
              </w:rPr>
              <w:t>0</w:t>
            </w:r>
          </w:p>
        </w:tc>
      </w:tr>
      <w:tr w:rsidR="00756075" w:rsidRPr="00500C4E" w14:paraId="0940A85A" w14:textId="77777777" w:rsidTr="00787518">
        <w:tc>
          <w:tcPr>
            <w:tcW w:w="865" w:type="pct"/>
          </w:tcPr>
          <w:p w14:paraId="4717B959" w14:textId="7531CDFB" w:rsidR="00756075" w:rsidRPr="00C25C58" w:rsidRDefault="007D5FE9" w:rsidP="005729C8">
            <w:pPr>
              <w:rPr>
                <w:szCs w:val="20"/>
              </w:rPr>
            </w:pPr>
            <w:r>
              <w:rPr>
                <w:szCs w:val="20"/>
              </w:rPr>
              <w:t>FCV: Res Showerhead</w:t>
            </w:r>
          </w:p>
        </w:tc>
        <w:tc>
          <w:tcPr>
            <w:tcW w:w="863" w:type="pct"/>
          </w:tcPr>
          <w:p w14:paraId="20EE7B70" w14:textId="58BF89D6" w:rsidR="00756075" w:rsidRPr="00F75D8F" w:rsidRDefault="00756075" w:rsidP="005729C8">
            <w:pPr>
              <w:rPr>
                <w:szCs w:val="20"/>
              </w:rPr>
            </w:pPr>
            <w:r w:rsidRPr="00C25C58">
              <w:rPr>
                <w:szCs w:val="20"/>
              </w:rPr>
              <w:t>Res-Default&gt;2</w:t>
            </w:r>
          </w:p>
        </w:tc>
        <w:tc>
          <w:tcPr>
            <w:tcW w:w="1364" w:type="pct"/>
          </w:tcPr>
          <w:p w14:paraId="780240BD" w14:textId="562DA370" w:rsidR="00756075" w:rsidRPr="00F75D8F" w:rsidRDefault="00756075" w:rsidP="005729C8">
            <w:pPr>
              <w:rPr>
                <w:szCs w:val="20"/>
              </w:rPr>
            </w:pPr>
            <w:r w:rsidRPr="00C25C58">
              <w:rPr>
                <w:szCs w:val="20"/>
              </w:rPr>
              <w:t>All other EEM with no evaluated NTGR; existing EEM with same delivery mechanism for more than 2 years</w:t>
            </w:r>
          </w:p>
        </w:tc>
        <w:tc>
          <w:tcPr>
            <w:tcW w:w="444" w:type="pct"/>
          </w:tcPr>
          <w:p w14:paraId="097A96B0" w14:textId="743006A4" w:rsidR="00756075" w:rsidRPr="00F75D8F" w:rsidRDefault="00756075" w:rsidP="005729C8">
            <w:pPr>
              <w:rPr>
                <w:szCs w:val="20"/>
              </w:rPr>
            </w:pPr>
            <w:r w:rsidRPr="00C25C58">
              <w:rPr>
                <w:szCs w:val="20"/>
              </w:rPr>
              <w:t>Res</w:t>
            </w:r>
          </w:p>
        </w:tc>
        <w:tc>
          <w:tcPr>
            <w:tcW w:w="353" w:type="pct"/>
          </w:tcPr>
          <w:p w14:paraId="3EF39383" w14:textId="06D6F7FE" w:rsidR="00756075" w:rsidRPr="00F75D8F" w:rsidRDefault="00756075" w:rsidP="005729C8">
            <w:pPr>
              <w:rPr>
                <w:szCs w:val="20"/>
              </w:rPr>
            </w:pPr>
            <w:r w:rsidRPr="00C25C58">
              <w:rPr>
                <w:szCs w:val="20"/>
              </w:rPr>
              <w:t>Any</w:t>
            </w:r>
          </w:p>
        </w:tc>
        <w:tc>
          <w:tcPr>
            <w:tcW w:w="681" w:type="pct"/>
          </w:tcPr>
          <w:p w14:paraId="216EDD90" w14:textId="7E1E8CA9" w:rsidR="00756075" w:rsidRPr="00F75D8F" w:rsidRDefault="00756075" w:rsidP="005729C8">
            <w:pPr>
              <w:rPr>
                <w:szCs w:val="20"/>
              </w:rPr>
            </w:pPr>
            <w:r w:rsidRPr="00C25C58">
              <w:rPr>
                <w:szCs w:val="20"/>
              </w:rPr>
              <w:t>Any</w:t>
            </w:r>
          </w:p>
        </w:tc>
        <w:tc>
          <w:tcPr>
            <w:tcW w:w="431" w:type="pct"/>
          </w:tcPr>
          <w:p w14:paraId="3536900A" w14:textId="44BBB9B5" w:rsidR="00756075" w:rsidRPr="00F75D8F" w:rsidRDefault="00756075" w:rsidP="005729C8">
            <w:pPr>
              <w:rPr>
                <w:szCs w:val="20"/>
              </w:rPr>
            </w:pPr>
            <w:r w:rsidRPr="00C25C58">
              <w:rPr>
                <w:szCs w:val="20"/>
              </w:rPr>
              <w:t>0.55</w:t>
            </w:r>
          </w:p>
        </w:tc>
      </w:tr>
      <w:tr w:rsidR="00C66C7A" w:rsidRPr="00500C4E" w14:paraId="590D7E21" w14:textId="77777777" w:rsidTr="00787518">
        <w:tc>
          <w:tcPr>
            <w:tcW w:w="865" w:type="pct"/>
          </w:tcPr>
          <w:p w14:paraId="2341D0F1" w14:textId="7EC04292" w:rsidR="00C66C7A" w:rsidRDefault="00C66C7A" w:rsidP="005729C8">
            <w:pPr>
              <w:rPr>
                <w:szCs w:val="20"/>
              </w:rPr>
            </w:pPr>
            <w:r>
              <w:rPr>
                <w:szCs w:val="20"/>
              </w:rPr>
              <w:t xml:space="preserve">FCV: Res </w:t>
            </w:r>
            <w:r w:rsidR="004A102F">
              <w:rPr>
                <w:szCs w:val="20"/>
              </w:rPr>
              <w:t>Faucets</w:t>
            </w:r>
          </w:p>
        </w:tc>
        <w:tc>
          <w:tcPr>
            <w:tcW w:w="863" w:type="pct"/>
          </w:tcPr>
          <w:p w14:paraId="2EF966F2" w14:textId="3CB467F6" w:rsidR="00C66C7A" w:rsidRPr="00C25C58" w:rsidRDefault="00C66C7A" w:rsidP="005729C8">
            <w:pPr>
              <w:rPr>
                <w:szCs w:val="20"/>
              </w:rPr>
            </w:pPr>
            <w:r w:rsidRPr="00C66C7A">
              <w:rPr>
                <w:szCs w:val="20"/>
              </w:rPr>
              <w:t>Res-mDHWaerator</w:t>
            </w:r>
          </w:p>
        </w:tc>
        <w:tc>
          <w:tcPr>
            <w:tcW w:w="1364" w:type="pct"/>
          </w:tcPr>
          <w:p w14:paraId="30EF3100" w14:textId="03A66DDA" w:rsidR="00C66C7A" w:rsidRPr="00C25C58" w:rsidRDefault="00C66C7A" w:rsidP="005729C8">
            <w:pPr>
              <w:rPr>
                <w:szCs w:val="20"/>
              </w:rPr>
            </w:pPr>
            <w:r w:rsidRPr="00C66C7A">
              <w:rPr>
                <w:szCs w:val="20"/>
              </w:rPr>
              <w:t>Faucet aerators</w:t>
            </w:r>
          </w:p>
        </w:tc>
        <w:tc>
          <w:tcPr>
            <w:tcW w:w="444" w:type="pct"/>
          </w:tcPr>
          <w:p w14:paraId="633793BB" w14:textId="7D1522BF" w:rsidR="00C66C7A" w:rsidRPr="00C25C58" w:rsidRDefault="00C66C7A" w:rsidP="005729C8">
            <w:pPr>
              <w:rPr>
                <w:szCs w:val="20"/>
              </w:rPr>
            </w:pPr>
            <w:r w:rsidRPr="00C66C7A">
              <w:rPr>
                <w:szCs w:val="20"/>
              </w:rPr>
              <w:t>Res</w:t>
            </w:r>
          </w:p>
        </w:tc>
        <w:tc>
          <w:tcPr>
            <w:tcW w:w="353" w:type="pct"/>
          </w:tcPr>
          <w:p w14:paraId="662B58C1" w14:textId="3A904D4C" w:rsidR="00C66C7A" w:rsidRPr="00C25C58" w:rsidRDefault="00C66C7A" w:rsidP="005729C8">
            <w:pPr>
              <w:rPr>
                <w:szCs w:val="20"/>
              </w:rPr>
            </w:pPr>
            <w:r w:rsidRPr="00C66C7A">
              <w:rPr>
                <w:szCs w:val="20"/>
              </w:rPr>
              <w:t>Any</w:t>
            </w:r>
          </w:p>
        </w:tc>
        <w:tc>
          <w:tcPr>
            <w:tcW w:w="681" w:type="pct"/>
          </w:tcPr>
          <w:p w14:paraId="27F8CC91" w14:textId="16C5DF3B" w:rsidR="00C66C7A" w:rsidRPr="00C25C58" w:rsidRDefault="00C66C7A" w:rsidP="005729C8">
            <w:pPr>
              <w:rPr>
                <w:szCs w:val="20"/>
              </w:rPr>
            </w:pPr>
            <w:r w:rsidRPr="00C66C7A">
              <w:rPr>
                <w:szCs w:val="20"/>
              </w:rPr>
              <w:t>DirInstall</w:t>
            </w:r>
          </w:p>
        </w:tc>
        <w:tc>
          <w:tcPr>
            <w:tcW w:w="431" w:type="pct"/>
          </w:tcPr>
          <w:p w14:paraId="0ECC9219" w14:textId="6FC57816" w:rsidR="00C66C7A" w:rsidRPr="00C25C58" w:rsidRDefault="00C66C7A" w:rsidP="005729C8">
            <w:pPr>
              <w:rPr>
                <w:szCs w:val="20"/>
              </w:rPr>
            </w:pPr>
            <w:r w:rsidRPr="00C66C7A">
              <w:rPr>
                <w:szCs w:val="20"/>
              </w:rPr>
              <w:t>0.59</w:t>
            </w:r>
          </w:p>
        </w:tc>
      </w:tr>
    </w:tbl>
    <w:p w14:paraId="6358AD29" w14:textId="77777777" w:rsidR="00C018E0" w:rsidRPr="00920905" w:rsidRDefault="00C018E0" w:rsidP="000968C6">
      <w:pPr>
        <w:pStyle w:val="Reminders"/>
        <w:rPr>
          <w:rFonts w:asciiTheme="minorHAnsi" w:hAnsiTheme="minorHAnsi" w:cstheme="minorHAnsi"/>
          <w:i w:val="0"/>
          <w:szCs w:val="22"/>
        </w:rPr>
      </w:pPr>
    </w:p>
    <w:p w14:paraId="5BF7E79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07D7D8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466C4D" w14:textId="4A0362E4" w:rsidR="003003EC" w:rsidRDefault="003003EC" w:rsidP="000968C6">
      <w:pPr>
        <w:pStyle w:val="Reminders"/>
        <w:rPr>
          <w:rFonts w:asciiTheme="minorHAnsi" w:hAnsiTheme="minorHAnsi" w:cstheme="minorHAnsi"/>
          <w:i w:val="0"/>
          <w:color w:val="auto"/>
          <w:szCs w:val="22"/>
        </w:rPr>
      </w:pPr>
    </w:p>
    <w:p w14:paraId="7EF59646" w14:textId="77777777" w:rsidR="00D826B4" w:rsidRPr="00500C4E" w:rsidRDefault="00D826B4" w:rsidP="000968C6">
      <w:pPr>
        <w:pStyle w:val="Reminders"/>
        <w:rPr>
          <w:rFonts w:asciiTheme="minorHAnsi" w:hAnsiTheme="minorHAnsi" w:cstheme="minorHAnsi"/>
          <w:i w:val="0"/>
          <w:color w:val="auto"/>
          <w:szCs w:val="22"/>
        </w:rPr>
      </w:pPr>
    </w:p>
    <w:p w14:paraId="1DB5BD43"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Installation Rate</w:t>
      </w:r>
    </w:p>
    <w:p w14:paraId="56B42637" w14:textId="4C9E458F"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6EDF599C" w14:textId="77777777" w:rsidR="00984A8A" w:rsidRPr="00920905" w:rsidRDefault="00984A8A" w:rsidP="00920905">
      <w:pPr>
        <w:pStyle w:val="NoSpacing"/>
      </w:pPr>
    </w:p>
    <w:p w14:paraId="0EF48478" w14:textId="230CEA33" w:rsidR="00F43F10" w:rsidRDefault="00F43F10" w:rsidP="00F43F10">
      <w:pPr>
        <w:pStyle w:val="Caption"/>
        <w:keepNext/>
      </w:pPr>
      <w:bookmarkStart w:id="24" w:name="_Toc515621153"/>
      <w:r>
        <w:t xml:space="preserve">Table </w:t>
      </w:r>
      <w:fldSimple w:instr=" SEQ Table \* ROMAN ">
        <w:r w:rsidR="00F82FD8">
          <w:rPr>
            <w:noProof/>
          </w:rPr>
          <w:t>VII</w:t>
        </w:r>
      </w:fldSimple>
      <w:r w:rsidR="00BA1647">
        <w:t>: GSIA</w:t>
      </w:r>
      <w:bookmarkEnd w:id="24"/>
      <w:r w:rsidR="00BA1647">
        <w:t xml:space="preserve"> </w:t>
      </w:r>
    </w:p>
    <w:tbl>
      <w:tblPr>
        <w:tblStyle w:val="TableGrid1"/>
        <w:tblW w:w="5000" w:type="pct"/>
        <w:tblLook w:val="01E0" w:firstRow="1" w:lastRow="1" w:firstColumn="1" w:lastColumn="1" w:noHBand="0" w:noVBand="0"/>
      </w:tblPr>
      <w:tblGrid>
        <w:gridCol w:w="1287"/>
        <w:gridCol w:w="1121"/>
        <w:gridCol w:w="2239"/>
        <w:gridCol w:w="1071"/>
        <w:gridCol w:w="1350"/>
        <w:gridCol w:w="1195"/>
        <w:gridCol w:w="1087"/>
      </w:tblGrid>
      <w:tr w:rsidR="00E5431A" w:rsidRPr="0087393E" w14:paraId="1D0DC414" w14:textId="77777777" w:rsidTr="00C66C7A">
        <w:tc>
          <w:tcPr>
            <w:tcW w:w="672" w:type="pct"/>
            <w:shd w:val="clear" w:color="auto" w:fill="D9D9D9" w:themeFill="background1" w:themeFillShade="D9"/>
          </w:tcPr>
          <w:p w14:paraId="555F5B21" w14:textId="2CA291CB" w:rsidR="00E5431A" w:rsidRPr="00920905" w:rsidRDefault="00E5431A" w:rsidP="005729C8">
            <w:pPr>
              <w:rPr>
                <w:rFonts w:cstheme="minorHAnsi"/>
                <w:b/>
                <w:szCs w:val="20"/>
              </w:rPr>
            </w:pPr>
            <w:r>
              <w:rPr>
                <w:rFonts w:cstheme="minorHAnsi"/>
                <w:b/>
                <w:szCs w:val="20"/>
              </w:rPr>
              <w:t>Measure</w:t>
            </w:r>
          </w:p>
        </w:tc>
        <w:tc>
          <w:tcPr>
            <w:tcW w:w="611" w:type="pct"/>
            <w:shd w:val="clear" w:color="auto" w:fill="D9D9D9" w:themeFill="background1" w:themeFillShade="D9"/>
          </w:tcPr>
          <w:p w14:paraId="582AFA59" w14:textId="2771D75A" w:rsidR="00E5431A" w:rsidRPr="00920905" w:rsidRDefault="00E5431A" w:rsidP="005729C8">
            <w:pPr>
              <w:rPr>
                <w:rFonts w:cstheme="minorHAnsi"/>
                <w:b/>
                <w:szCs w:val="20"/>
              </w:rPr>
            </w:pPr>
            <w:r w:rsidRPr="00920905">
              <w:rPr>
                <w:rFonts w:cstheme="minorHAnsi"/>
                <w:b/>
                <w:szCs w:val="20"/>
              </w:rPr>
              <w:t>GSIA ID</w:t>
            </w:r>
          </w:p>
        </w:tc>
        <w:tc>
          <w:tcPr>
            <w:tcW w:w="1209" w:type="pct"/>
            <w:shd w:val="clear" w:color="auto" w:fill="D9D9D9" w:themeFill="background1" w:themeFillShade="D9"/>
          </w:tcPr>
          <w:p w14:paraId="03D31788" w14:textId="77777777" w:rsidR="00E5431A" w:rsidRPr="00920905" w:rsidRDefault="00E5431A" w:rsidP="005729C8">
            <w:pPr>
              <w:rPr>
                <w:rFonts w:cstheme="minorHAnsi"/>
                <w:b/>
                <w:szCs w:val="20"/>
              </w:rPr>
            </w:pPr>
            <w:r w:rsidRPr="00920905">
              <w:rPr>
                <w:rFonts w:cstheme="minorHAnsi"/>
                <w:b/>
                <w:szCs w:val="20"/>
              </w:rPr>
              <w:t>Description</w:t>
            </w:r>
          </w:p>
        </w:tc>
        <w:tc>
          <w:tcPr>
            <w:tcW w:w="584" w:type="pct"/>
            <w:shd w:val="clear" w:color="auto" w:fill="D9D9D9" w:themeFill="background1" w:themeFillShade="D9"/>
          </w:tcPr>
          <w:p w14:paraId="543A5ECC" w14:textId="77777777" w:rsidR="00E5431A" w:rsidRPr="00920905" w:rsidRDefault="00E5431A" w:rsidP="005729C8">
            <w:pPr>
              <w:rPr>
                <w:rFonts w:cstheme="minorHAnsi"/>
                <w:b/>
                <w:szCs w:val="20"/>
              </w:rPr>
            </w:pPr>
            <w:r w:rsidRPr="00920905">
              <w:rPr>
                <w:rFonts w:cstheme="minorHAnsi"/>
                <w:b/>
                <w:szCs w:val="20"/>
              </w:rPr>
              <w:t>Sector</w:t>
            </w:r>
          </w:p>
        </w:tc>
        <w:tc>
          <w:tcPr>
            <w:tcW w:w="733" w:type="pct"/>
            <w:shd w:val="clear" w:color="auto" w:fill="D9D9D9" w:themeFill="background1" w:themeFillShade="D9"/>
          </w:tcPr>
          <w:p w14:paraId="5E53A042" w14:textId="77777777" w:rsidR="00E5431A" w:rsidRPr="00920905" w:rsidRDefault="00E5431A" w:rsidP="005729C8">
            <w:pPr>
              <w:rPr>
                <w:rFonts w:cstheme="minorHAnsi"/>
                <w:b/>
                <w:szCs w:val="20"/>
              </w:rPr>
            </w:pPr>
            <w:r w:rsidRPr="00920905">
              <w:rPr>
                <w:rFonts w:cstheme="minorHAnsi"/>
                <w:b/>
                <w:szCs w:val="20"/>
              </w:rPr>
              <w:t>BldgType</w:t>
            </w:r>
          </w:p>
        </w:tc>
        <w:tc>
          <w:tcPr>
            <w:tcW w:w="624" w:type="pct"/>
            <w:shd w:val="clear" w:color="auto" w:fill="D9D9D9" w:themeFill="background1" w:themeFillShade="D9"/>
          </w:tcPr>
          <w:p w14:paraId="4937F03F" w14:textId="77777777" w:rsidR="00E5431A" w:rsidRPr="00920905" w:rsidRDefault="00E5431A" w:rsidP="005729C8">
            <w:pPr>
              <w:rPr>
                <w:rFonts w:cstheme="minorHAnsi"/>
                <w:b/>
                <w:szCs w:val="20"/>
              </w:rPr>
            </w:pPr>
            <w:r w:rsidRPr="00920905">
              <w:rPr>
                <w:rFonts w:cstheme="minorHAnsi"/>
                <w:b/>
                <w:szCs w:val="20"/>
              </w:rPr>
              <w:t>ProgDelivID</w:t>
            </w:r>
          </w:p>
        </w:tc>
        <w:tc>
          <w:tcPr>
            <w:tcW w:w="568" w:type="pct"/>
            <w:shd w:val="clear" w:color="auto" w:fill="D9D9D9" w:themeFill="background1" w:themeFillShade="D9"/>
          </w:tcPr>
          <w:p w14:paraId="02088CCA" w14:textId="77777777" w:rsidR="00E5431A" w:rsidRPr="00920905" w:rsidRDefault="00E5431A" w:rsidP="005729C8">
            <w:pPr>
              <w:rPr>
                <w:rFonts w:cstheme="minorHAnsi"/>
                <w:b/>
                <w:szCs w:val="20"/>
              </w:rPr>
            </w:pPr>
            <w:r w:rsidRPr="00920905">
              <w:rPr>
                <w:rFonts w:cstheme="minorHAnsi"/>
                <w:b/>
                <w:szCs w:val="20"/>
              </w:rPr>
              <w:t>GSIAValue</w:t>
            </w:r>
          </w:p>
        </w:tc>
      </w:tr>
      <w:tr w:rsidR="00E5431A" w:rsidRPr="00500C4E" w14:paraId="52F9C528" w14:textId="77777777" w:rsidTr="00C66C7A">
        <w:tc>
          <w:tcPr>
            <w:tcW w:w="672" w:type="pct"/>
          </w:tcPr>
          <w:p w14:paraId="49B29337" w14:textId="59D140EB" w:rsidR="00E5431A" w:rsidRPr="00D51992" w:rsidRDefault="00C66C7A" w:rsidP="00E5431A">
            <w:pPr>
              <w:rPr>
                <w:szCs w:val="20"/>
              </w:rPr>
            </w:pPr>
            <w:r w:rsidRPr="00D51992">
              <w:rPr>
                <w:szCs w:val="20"/>
              </w:rPr>
              <w:t>FCV: Com Showerhead, Com Faucet</w:t>
            </w:r>
          </w:p>
        </w:tc>
        <w:tc>
          <w:tcPr>
            <w:tcW w:w="611" w:type="pct"/>
          </w:tcPr>
          <w:p w14:paraId="3427EA91" w14:textId="3786CEA6" w:rsidR="00E5431A" w:rsidRPr="00D51992" w:rsidRDefault="00E5431A" w:rsidP="00E5431A">
            <w:pPr>
              <w:rPr>
                <w:szCs w:val="20"/>
              </w:rPr>
            </w:pPr>
            <w:r w:rsidRPr="00D51992">
              <w:rPr>
                <w:szCs w:val="20"/>
              </w:rPr>
              <w:t>Def-GSIA</w:t>
            </w:r>
          </w:p>
        </w:tc>
        <w:tc>
          <w:tcPr>
            <w:tcW w:w="1209" w:type="pct"/>
          </w:tcPr>
          <w:p w14:paraId="7A5E8919" w14:textId="77777777" w:rsidR="00E5431A" w:rsidRPr="00D51992" w:rsidRDefault="00E5431A" w:rsidP="00E5431A">
            <w:pPr>
              <w:rPr>
                <w:szCs w:val="20"/>
              </w:rPr>
            </w:pPr>
            <w:r w:rsidRPr="00D51992">
              <w:rPr>
                <w:szCs w:val="20"/>
              </w:rPr>
              <w:t>Default GSIA values</w:t>
            </w:r>
          </w:p>
        </w:tc>
        <w:tc>
          <w:tcPr>
            <w:tcW w:w="584" w:type="pct"/>
          </w:tcPr>
          <w:p w14:paraId="17BE8EC7" w14:textId="77777777" w:rsidR="00E5431A" w:rsidRPr="00D51992" w:rsidRDefault="00E5431A" w:rsidP="00E5431A">
            <w:pPr>
              <w:rPr>
                <w:szCs w:val="20"/>
              </w:rPr>
            </w:pPr>
            <w:r w:rsidRPr="00D51992">
              <w:rPr>
                <w:szCs w:val="20"/>
              </w:rPr>
              <w:t>Any</w:t>
            </w:r>
          </w:p>
        </w:tc>
        <w:tc>
          <w:tcPr>
            <w:tcW w:w="733" w:type="pct"/>
          </w:tcPr>
          <w:p w14:paraId="0478242A" w14:textId="77777777" w:rsidR="00E5431A" w:rsidRPr="00D51992" w:rsidRDefault="00E5431A" w:rsidP="00E5431A">
            <w:pPr>
              <w:rPr>
                <w:szCs w:val="20"/>
              </w:rPr>
            </w:pPr>
            <w:r w:rsidRPr="00D51992">
              <w:rPr>
                <w:szCs w:val="20"/>
              </w:rPr>
              <w:t>Any</w:t>
            </w:r>
          </w:p>
        </w:tc>
        <w:tc>
          <w:tcPr>
            <w:tcW w:w="624" w:type="pct"/>
          </w:tcPr>
          <w:p w14:paraId="101017C2" w14:textId="77777777" w:rsidR="00E5431A" w:rsidRPr="00D51992" w:rsidRDefault="00E5431A" w:rsidP="00E5431A">
            <w:pPr>
              <w:rPr>
                <w:szCs w:val="20"/>
              </w:rPr>
            </w:pPr>
            <w:r w:rsidRPr="00D51992">
              <w:rPr>
                <w:szCs w:val="20"/>
              </w:rPr>
              <w:t>Any</w:t>
            </w:r>
          </w:p>
        </w:tc>
        <w:tc>
          <w:tcPr>
            <w:tcW w:w="568" w:type="pct"/>
          </w:tcPr>
          <w:p w14:paraId="546C1F4E" w14:textId="77777777" w:rsidR="00E5431A" w:rsidRPr="00D51992" w:rsidRDefault="00E5431A" w:rsidP="00E5431A">
            <w:pPr>
              <w:rPr>
                <w:szCs w:val="20"/>
              </w:rPr>
            </w:pPr>
            <w:r w:rsidRPr="00D51992">
              <w:rPr>
                <w:szCs w:val="20"/>
              </w:rPr>
              <w:t>1</w:t>
            </w:r>
          </w:p>
        </w:tc>
      </w:tr>
      <w:tr w:rsidR="00E5431A" w:rsidRPr="00500C4E" w14:paraId="56385E80" w14:textId="77777777" w:rsidTr="00C66C7A">
        <w:tc>
          <w:tcPr>
            <w:tcW w:w="672" w:type="pct"/>
          </w:tcPr>
          <w:p w14:paraId="7C7AA5ED" w14:textId="4B8E287F" w:rsidR="00E5431A" w:rsidRPr="00D51992" w:rsidRDefault="00E5431A" w:rsidP="00E5431A">
            <w:pPr>
              <w:rPr>
                <w:szCs w:val="20"/>
              </w:rPr>
            </w:pPr>
            <w:r w:rsidRPr="00D51992">
              <w:rPr>
                <w:szCs w:val="20"/>
              </w:rPr>
              <w:t>FCV: Res Showerhead</w:t>
            </w:r>
          </w:p>
        </w:tc>
        <w:tc>
          <w:tcPr>
            <w:tcW w:w="611" w:type="pct"/>
          </w:tcPr>
          <w:p w14:paraId="083C7C7F" w14:textId="048E14F0" w:rsidR="00E5431A" w:rsidRPr="00D51992" w:rsidRDefault="00DF30A5" w:rsidP="00E5431A">
            <w:pPr>
              <w:rPr>
                <w:szCs w:val="20"/>
              </w:rPr>
            </w:pPr>
            <w:r w:rsidRPr="00DF30A5">
              <w:rPr>
                <w:szCs w:val="20"/>
              </w:rPr>
              <w:t>Res-LowF-SH-All</w:t>
            </w:r>
          </w:p>
        </w:tc>
        <w:tc>
          <w:tcPr>
            <w:tcW w:w="1209" w:type="pct"/>
          </w:tcPr>
          <w:p w14:paraId="1380D04F" w14:textId="37C4FEA6" w:rsidR="00E5431A" w:rsidRPr="00D51992" w:rsidRDefault="00DF30A5" w:rsidP="00E5431A">
            <w:pPr>
              <w:rPr>
                <w:szCs w:val="20"/>
              </w:rPr>
            </w:pPr>
            <w:r w:rsidRPr="00DF30A5">
              <w:rPr>
                <w:szCs w:val="20"/>
              </w:rPr>
              <w:t>Residential low-flow Showerhead; Annual Installation Rate</w:t>
            </w:r>
          </w:p>
        </w:tc>
        <w:tc>
          <w:tcPr>
            <w:tcW w:w="584" w:type="pct"/>
          </w:tcPr>
          <w:p w14:paraId="4FC414B4" w14:textId="361A24DD" w:rsidR="00E5431A" w:rsidRPr="00D51992" w:rsidRDefault="00DF30A5" w:rsidP="00E5431A">
            <w:pPr>
              <w:rPr>
                <w:szCs w:val="20"/>
              </w:rPr>
            </w:pPr>
            <w:r>
              <w:rPr>
                <w:szCs w:val="20"/>
              </w:rPr>
              <w:t>Res</w:t>
            </w:r>
          </w:p>
        </w:tc>
        <w:tc>
          <w:tcPr>
            <w:tcW w:w="733" w:type="pct"/>
          </w:tcPr>
          <w:p w14:paraId="305B2B76" w14:textId="33F26682" w:rsidR="00E5431A" w:rsidRPr="00D51992" w:rsidRDefault="00DF30A5" w:rsidP="00E5431A">
            <w:pPr>
              <w:rPr>
                <w:szCs w:val="20"/>
              </w:rPr>
            </w:pPr>
            <w:r>
              <w:rPr>
                <w:szCs w:val="20"/>
              </w:rPr>
              <w:t>Any</w:t>
            </w:r>
          </w:p>
        </w:tc>
        <w:tc>
          <w:tcPr>
            <w:tcW w:w="624" w:type="pct"/>
          </w:tcPr>
          <w:p w14:paraId="349F2130" w14:textId="60B34AED" w:rsidR="00E5431A" w:rsidRPr="00D51992" w:rsidRDefault="00DF30A5" w:rsidP="00E5431A">
            <w:pPr>
              <w:rPr>
                <w:szCs w:val="20"/>
              </w:rPr>
            </w:pPr>
            <w:r w:rsidRPr="00DF30A5">
              <w:rPr>
                <w:szCs w:val="20"/>
              </w:rPr>
              <w:t>NonUpStrm</w:t>
            </w:r>
          </w:p>
        </w:tc>
        <w:tc>
          <w:tcPr>
            <w:tcW w:w="568" w:type="pct"/>
          </w:tcPr>
          <w:p w14:paraId="57C907AD" w14:textId="5A7DE780" w:rsidR="00E5431A" w:rsidRPr="00D51992" w:rsidRDefault="00DF30A5" w:rsidP="00E5431A">
            <w:pPr>
              <w:rPr>
                <w:szCs w:val="20"/>
              </w:rPr>
            </w:pPr>
            <w:r>
              <w:rPr>
                <w:szCs w:val="20"/>
              </w:rPr>
              <w:t>0.737</w:t>
            </w:r>
          </w:p>
        </w:tc>
      </w:tr>
      <w:tr w:rsidR="00F41130" w:rsidRPr="00500C4E" w14:paraId="480D4443" w14:textId="77777777" w:rsidTr="00C66C7A">
        <w:tc>
          <w:tcPr>
            <w:tcW w:w="672" w:type="pct"/>
          </w:tcPr>
          <w:p w14:paraId="5D5777F9" w14:textId="6B04615E" w:rsidR="00F41130" w:rsidRPr="00D51992" w:rsidRDefault="00F41130" w:rsidP="00E5431A">
            <w:pPr>
              <w:rPr>
                <w:szCs w:val="20"/>
              </w:rPr>
            </w:pPr>
            <w:r w:rsidRPr="00D51992">
              <w:rPr>
                <w:szCs w:val="20"/>
              </w:rPr>
              <w:t>FCV: Res Faucets</w:t>
            </w:r>
          </w:p>
        </w:tc>
        <w:tc>
          <w:tcPr>
            <w:tcW w:w="611" w:type="pct"/>
          </w:tcPr>
          <w:p w14:paraId="7FA274F4" w14:textId="326E826D" w:rsidR="00F41130" w:rsidRPr="00D51992" w:rsidRDefault="00F41130" w:rsidP="00E5431A">
            <w:pPr>
              <w:rPr>
                <w:szCs w:val="20"/>
              </w:rPr>
            </w:pPr>
            <w:r w:rsidRPr="00D51992">
              <w:rPr>
                <w:rFonts w:cstheme="minorHAnsi"/>
                <w:sz w:val="22"/>
                <w:szCs w:val="22"/>
              </w:rPr>
              <w:t>Res-LowF-FA-All</w:t>
            </w:r>
          </w:p>
        </w:tc>
        <w:tc>
          <w:tcPr>
            <w:tcW w:w="1209" w:type="pct"/>
          </w:tcPr>
          <w:p w14:paraId="166DAB41" w14:textId="721B89A6" w:rsidR="00F41130" w:rsidRPr="00D51992" w:rsidRDefault="00F41130" w:rsidP="00E5431A">
            <w:pPr>
              <w:rPr>
                <w:szCs w:val="20"/>
              </w:rPr>
            </w:pPr>
            <w:r w:rsidRPr="00D51992">
              <w:rPr>
                <w:szCs w:val="20"/>
              </w:rPr>
              <w:t>Residential low-flow Faucet Aerator; Annual Installation Rate</w:t>
            </w:r>
          </w:p>
        </w:tc>
        <w:tc>
          <w:tcPr>
            <w:tcW w:w="584" w:type="pct"/>
          </w:tcPr>
          <w:p w14:paraId="084FA4C6" w14:textId="26E809E0" w:rsidR="00F41130" w:rsidRPr="00D51992" w:rsidRDefault="00D51992" w:rsidP="00E5431A">
            <w:pPr>
              <w:rPr>
                <w:szCs w:val="20"/>
              </w:rPr>
            </w:pPr>
            <w:r w:rsidRPr="00D51992">
              <w:rPr>
                <w:szCs w:val="20"/>
              </w:rPr>
              <w:t>Res</w:t>
            </w:r>
          </w:p>
        </w:tc>
        <w:tc>
          <w:tcPr>
            <w:tcW w:w="733" w:type="pct"/>
          </w:tcPr>
          <w:p w14:paraId="7270F055" w14:textId="52B4A401" w:rsidR="00F41130" w:rsidRPr="00D51992" w:rsidRDefault="00D51992" w:rsidP="00E5431A">
            <w:pPr>
              <w:rPr>
                <w:szCs w:val="20"/>
              </w:rPr>
            </w:pPr>
            <w:r w:rsidRPr="00D51992">
              <w:rPr>
                <w:szCs w:val="20"/>
              </w:rPr>
              <w:t>Any</w:t>
            </w:r>
          </w:p>
        </w:tc>
        <w:tc>
          <w:tcPr>
            <w:tcW w:w="624" w:type="pct"/>
          </w:tcPr>
          <w:p w14:paraId="71C0D3C1" w14:textId="422638AF" w:rsidR="00F41130" w:rsidRPr="00D51992" w:rsidRDefault="00D51992" w:rsidP="00E5431A">
            <w:pPr>
              <w:rPr>
                <w:szCs w:val="20"/>
              </w:rPr>
            </w:pPr>
            <w:r w:rsidRPr="00D51992">
              <w:rPr>
                <w:szCs w:val="20"/>
              </w:rPr>
              <w:t>NonUpStrm</w:t>
            </w:r>
          </w:p>
        </w:tc>
        <w:tc>
          <w:tcPr>
            <w:tcW w:w="568" w:type="pct"/>
          </w:tcPr>
          <w:p w14:paraId="0D887C17" w14:textId="6E68F50D" w:rsidR="00F41130" w:rsidRPr="00D51992" w:rsidRDefault="003342AA" w:rsidP="00E5431A">
            <w:pPr>
              <w:rPr>
                <w:szCs w:val="20"/>
              </w:rPr>
            </w:pPr>
            <w:r w:rsidRPr="00D51992">
              <w:rPr>
                <w:szCs w:val="20"/>
              </w:rPr>
              <w:t>0.665</w:t>
            </w:r>
          </w:p>
        </w:tc>
      </w:tr>
    </w:tbl>
    <w:p w14:paraId="530D76DB" w14:textId="77777777" w:rsidR="006B4A48" w:rsidRPr="00B05647" w:rsidRDefault="006B4A48" w:rsidP="000968C6">
      <w:pPr>
        <w:pStyle w:val="Reminders"/>
        <w:rPr>
          <w:rFonts w:asciiTheme="minorHAnsi" w:hAnsiTheme="minorHAnsi" w:cstheme="minorHAnsi"/>
          <w:b/>
          <w:i w:val="0"/>
          <w:color w:val="auto"/>
          <w:szCs w:val="22"/>
        </w:rPr>
      </w:pPr>
    </w:p>
    <w:p w14:paraId="1D1444F7" w14:textId="77777777" w:rsidR="00984A8A" w:rsidRDefault="00984A8A" w:rsidP="008B1357">
      <w:pPr>
        <w:rPr>
          <w:rFonts w:cstheme="minorHAnsi"/>
          <w:b/>
          <w:szCs w:val="22"/>
        </w:rPr>
      </w:pPr>
    </w:p>
    <w:p w14:paraId="46959BE8" w14:textId="27A91841"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EB7E6F5" w14:textId="05D8D72B"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6AC33F92" w14:textId="77777777" w:rsidR="00EC13FE" w:rsidRDefault="00EC13FE" w:rsidP="00920905">
      <w:pPr>
        <w:pStyle w:val="NoSpacing"/>
      </w:pPr>
    </w:p>
    <w:p w14:paraId="3CEDEAE1" w14:textId="38640134" w:rsidR="004D669F" w:rsidRDefault="004D669F" w:rsidP="00920905">
      <w:pPr>
        <w:pStyle w:val="NoSpacing"/>
      </w:pPr>
      <w:r>
        <w:t>EUL values for FCV’s applied to showerheads will assume the same EUL as a showerhead. FCV’s apply to incoming hot water and cold lines will assume the aerators EUL. It is expected that the fl</w:t>
      </w:r>
      <w:r w:rsidR="007C5EBF">
        <w:t xml:space="preserve">ow control valves will have a life of 10 or more years therefore the assigned values are appropriate. </w:t>
      </w:r>
    </w:p>
    <w:p w14:paraId="6F8F0B05" w14:textId="77777777" w:rsidR="007C5EBF" w:rsidRPr="00920905" w:rsidRDefault="007C5EBF" w:rsidP="00920905">
      <w:pPr>
        <w:pStyle w:val="NoSpacing"/>
      </w:pPr>
    </w:p>
    <w:p w14:paraId="02E3C6DA" w14:textId="747E05AC" w:rsidR="00984A8A" w:rsidRDefault="00984A8A" w:rsidP="00984A8A">
      <w:pPr>
        <w:pStyle w:val="Caption"/>
        <w:keepNext/>
      </w:pPr>
      <w:bookmarkStart w:id="25" w:name="_Toc515621154"/>
      <w:r>
        <w:t xml:space="preserve">Table </w:t>
      </w:r>
      <w:fldSimple w:instr=" SEQ Table \* ROMAN ">
        <w:r w:rsidR="00F82FD8">
          <w:rPr>
            <w:noProof/>
          </w:rPr>
          <w:t>VIII</w:t>
        </w:r>
      </w:fldSimple>
      <w:r>
        <w:t>: EUL ID</w:t>
      </w:r>
      <w:bookmarkEnd w:id="25"/>
    </w:p>
    <w:tbl>
      <w:tblPr>
        <w:tblStyle w:val="TableGrid1"/>
        <w:tblW w:w="5000" w:type="pct"/>
        <w:tblLayout w:type="fixed"/>
        <w:tblLook w:val="04A0" w:firstRow="1" w:lastRow="0" w:firstColumn="1" w:lastColumn="0" w:noHBand="0" w:noVBand="1"/>
      </w:tblPr>
      <w:tblGrid>
        <w:gridCol w:w="1295"/>
        <w:gridCol w:w="1684"/>
        <w:gridCol w:w="1520"/>
        <w:gridCol w:w="1088"/>
        <w:gridCol w:w="1242"/>
        <w:gridCol w:w="1283"/>
        <w:gridCol w:w="1238"/>
      </w:tblGrid>
      <w:tr w:rsidR="00BA1647" w:rsidRPr="00500C4E" w14:paraId="31AE24C7" w14:textId="77777777" w:rsidTr="00EF56B6">
        <w:tc>
          <w:tcPr>
            <w:tcW w:w="692" w:type="pct"/>
            <w:shd w:val="clear" w:color="auto" w:fill="D9D9D9" w:themeFill="background1" w:themeFillShade="D9"/>
          </w:tcPr>
          <w:p w14:paraId="73385BCD" w14:textId="3C9E5C68" w:rsidR="00975325" w:rsidRPr="00920905" w:rsidRDefault="00975325" w:rsidP="00975325">
            <w:pPr>
              <w:tabs>
                <w:tab w:val="left" w:pos="1127"/>
              </w:tabs>
              <w:rPr>
                <w:rFonts w:cstheme="minorHAnsi"/>
                <w:b/>
                <w:szCs w:val="20"/>
              </w:rPr>
            </w:pPr>
            <w:r>
              <w:rPr>
                <w:rFonts w:cstheme="minorHAnsi"/>
                <w:b/>
                <w:szCs w:val="20"/>
              </w:rPr>
              <w:t>Measure</w:t>
            </w:r>
          </w:p>
        </w:tc>
        <w:tc>
          <w:tcPr>
            <w:tcW w:w="900" w:type="pct"/>
            <w:shd w:val="clear" w:color="auto" w:fill="D9D9D9" w:themeFill="background1" w:themeFillShade="D9"/>
          </w:tcPr>
          <w:p w14:paraId="4023FCAD" w14:textId="7B0B152D" w:rsidR="00975325" w:rsidRPr="00920905" w:rsidRDefault="00975325" w:rsidP="00975325">
            <w:pPr>
              <w:tabs>
                <w:tab w:val="left" w:pos="1127"/>
              </w:tabs>
              <w:rPr>
                <w:rFonts w:cstheme="minorHAnsi"/>
                <w:b/>
                <w:szCs w:val="20"/>
              </w:rPr>
            </w:pPr>
            <w:r w:rsidRPr="00920905">
              <w:rPr>
                <w:rFonts w:cstheme="minorHAnsi"/>
                <w:b/>
                <w:szCs w:val="20"/>
              </w:rPr>
              <w:t>EUL ID</w:t>
            </w:r>
            <w:r>
              <w:rPr>
                <w:rFonts w:cstheme="minorHAnsi"/>
                <w:b/>
                <w:szCs w:val="20"/>
              </w:rPr>
              <w:tab/>
            </w:r>
          </w:p>
        </w:tc>
        <w:tc>
          <w:tcPr>
            <w:tcW w:w="813" w:type="pct"/>
            <w:shd w:val="clear" w:color="auto" w:fill="D9D9D9" w:themeFill="background1" w:themeFillShade="D9"/>
          </w:tcPr>
          <w:p w14:paraId="3FA1511D" w14:textId="77777777" w:rsidR="00975325" w:rsidRPr="00920905" w:rsidRDefault="00975325" w:rsidP="00975325">
            <w:pPr>
              <w:rPr>
                <w:rFonts w:cstheme="minorHAnsi"/>
                <w:b/>
                <w:szCs w:val="20"/>
              </w:rPr>
            </w:pPr>
            <w:r w:rsidRPr="00920905">
              <w:rPr>
                <w:rFonts w:cstheme="minorHAnsi"/>
                <w:b/>
                <w:szCs w:val="20"/>
              </w:rPr>
              <w:t>Description</w:t>
            </w:r>
          </w:p>
        </w:tc>
        <w:tc>
          <w:tcPr>
            <w:tcW w:w="582" w:type="pct"/>
            <w:shd w:val="clear" w:color="auto" w:fill="D9D9D9" w:themeFill="background1" w:themeFillShade="D9"/>
          </w:tcPr>
          <w:p w14:paraId="2AB19E54" w14:textId="77777777" w:rsidR="00975325" w:rsidRPr="00920905" w:rsidRDefault="00975325" w:rsidP="00975325">
            <w:pPr>
              <w:rPr>
                <w:rFonts w:cstheme="minorHAnsi"/>
                <w:b/>
                <w:szCs w:val="20"/>
              </w:rPr>
            </w:pPr>
            <w:r w:rsidRPr="00920905">
              <w:rPr>
                <w:rFonts w:cstheme="minorHAnsi"/>
                <w:b/>
                <w:szCs w:val="20"/>
              </w:rPr>
              <w:t>Sector</w:t>
            </w:r>
          </w:p>
        </w:tc>
        <w:tc>
          <w:tcPr>
            <w:tcW w:w="664" w:type="pct"/>
            <w:shd w:val="clear" w:color="auto" w:fill="D9D9D9" w:themeFill="background1" w:themeFillShade="D9"/>
          </w:tcPr>
          <w:p w14:paraId="7B13B95B" w14:textId="77777777" w:rsidR="00975325" w:rsidRPr="00920905" w:rsidRDefault="00975325" w:rsidP="00975325">
            <w:pPr>
              <w:rPr>
                <w:rFonts w:cstheme="minorHAnsi"/>
                <w:b/>
                <w:szCs w:val="20"/>
              </w:rPr>
            </w:pPr>
            <w:r w:rsidRPr="00920905">
              <w:rPr>
                <w:rFonts w:cstheme="minorHAnsi"/>
                <w:b/>
                <w:szCs w:val="20"/>
              </w:rPr>
              <w:t>UseCategory</w:t>
            </w:r>
          </w:p>
        </w:tc>
        <w:tc>
          <w:tcPr>
            <w:tcW w:w="686" w:type="pct"/>
            <w:shd w:val="clear" w:color="auto" w:fill="D9D9D9" w:themeFill="background1" w:themeFillShade="D9"/>
          </w:tcPr>
          <w:p w14:paraId="3EBAC4C8" w14:textId="77777777" w:rsidR="00975325" w:rsidRPr="00920905" w:rsidRDefault="00975325" w:rsidP="00975325">
            <w:pPr>
              <w:rPr>
                <w:rFonts w:cstheme="minorHAnsi"/>
                <w:b/>
                <w:szCs w:val="20"/>
              </w:rPr>
            </w:pPr>
            <w:r w:rsidRPr="00920905">
              <w:rPr>
                <w:rFonts w:cstheme="minorHAnsi"/>
                <w:b/>
                <w:szCs w:val="20"/>
              </w:rPr>
              <w:t>EUL (Years)</w:t>
            </w:r>
          </w:p>
        </w:tc>
        <w:tc>
          <w:tcPr>
            <w:tcW w:w="662" w:type="pct"/>
            <w:shd w:val="clear" w:color="auto" w:fill="D9D9D9" w:themeFill="background1" w:themeFillShade="D9"/>
          </w:tcPr>
          <w:p w14:paraId="1E1BF5B7" w14:textId="77777777" w:rsidR="00975325" w:rsidRPr="00920905" w:rsidRDefault="00975325" w:rsidP="00975325">
            <w:pPr>
              <w:rPr>
                <w:rFonts w:cstheme="minorHAnsi"/>
                <w:b/>
                <w:szCs w:val="20"/>
              </w:rPr>
            </w:pPr>
            <w:r w:rsidRPr="00920905">
              <w:rPr>
                <w:rFonts w:cstheme="minorHAnsi"/>
                <w:b/>
                <w:szCs w:val="20"/>
              </w:rPr>
              <w:t>RUL (Years)</w:t>
            </w:r>
          </w:p>
        </w:tc>
      </w:tr>
      <w:tr w:rsidR="00BA1647" w:rsidRPr="00500C4E" w14:paraId="4D9FDE9B" w14:textId="77777777" w:rsidTr="00EF56B6">
        <w:trPr>
          <w:trHeight w:val="243"/>
        </w:trPr>
        <w:tc>
          <w:tcPr>
            <w:tcW w:w="692" w:type="pct"/>
          </w:tcPr>
          <w:p w14:paraId="7614B574" w14:textId="3063CBA1" w:rsidR="00BA1647" w:rsidRPr="00500C4E" w:rsidRDefault="00BA1647" w:rsidP="00BA1647">
            <w:pPr>
              <w:rPr>
                <w:color w:val="FF0000"/>
                <w:szCs w:val="20"/>
              </w:rPr>
            </w:pPr>
            <w:r>
              <w:rPr>
                <w:szCs w:val="20"/>
              </w:rPr>
              <w:t xml:space="preserve">FCV: </w:t>
            </w:r>
            <w:r w:rsidRPr="00D51992">
              <w:rPr>
                <w:szCs w:val="20"/>
              </w:rPr>
              <w:t xml:space="preserve"> Showerhead</w:t>
            </w:r>
          </w:p>
        </w:tc>
        <w:tc>
          <w:tcPr>
            <w:tcW w:w="900" w:type="pct"/>
          </w:tcPr>
          <w:p w14:paraId="00C5C216" w14:textId="2F8CA99F" w:rsidR="00BA1647" w:rsidRPr="00500C4E" w:rsidRDefault="00BA1647" w:rsidP="00BA1647">
            <w:pPr>
              <w:rPr>
                <w:color w:val="FF0000"/>
                <w:szCs w:val="20"/>
              </w:rPr>
            </w:pPr>
            <w:r w:rsidRPr="002E5766">
              <w:rPr>
                <w:szCs w:val="20"/>
              </w:rPr>
              <w:t>WtrHt-WH-Shrhd</w:t>
            </w:r>
          </w:p>
        </w:tc>
        <w:tc>
          <w:tcPr>
            <w:tcW w:w="813" w:type="pct"/>
          </w:tcPr>
          <w:p w14:paraId="3DB366A9" w14:textId="1CB5D37E" w:rsidR="00BA1647" w:rsidRPr="00500C4E" w:rsidRDefault="00BA1647" w:rsidP="00BA1647">
            <w:pPr>
              <w:rPr>
                <w:color w:val="FF0000"/>
                <w:szCs w:val="20"/>
              </w:rPr>
            </w:pPr>
            <w:r w:rsidRPr="002E5766">
              <w:rPr>
                <w:szCs w:val="20"/>
              </w:rPr>
              <w:t>Low-Flow Showerhead</w:t>
            </w:r>
          </w:p>
        </w:tc>
        <w:tc>
          <w:tcPr>
            <w:tcW w:w="582" w:type="pct"/>
          </w:tcPr>
          <w:p w14:paraId="267642BB" w14:textId="3637179B" w:rsidR="00BA1647" w:rsidRPr="00500C4E" w:rsidRDefault="00BA1647" w:rsidP="00BA1647">
            <w:pPr>
              <w:rPr>
                <w:color w:val="FF0000"/>
                <w:szCs w:val="20"/>
              </w:rPr>
            </w:pPr>
            <w:r w:rsidRPr="002E5766">
              <w:rPr>
                <w:szCs w:val="20"/>
              </w:rPr>
              <w:t>Com</w:t>
            </w:r>
            <w:r w:rsidR="00EF56B6">
              <w:rPr>
                <w:szCs w:val="20"/>
              </w:rPr>
              <w:t xml:space="preserve"> /Res</w:t>
            </w:r>
          </w:p>
        </w:tc>
        <w:tc>
          <w:tcPr>
            <w:tcW w:w="664" w:type="pct"/>
          </w:tcPr>
          <w:p w14:paraId="21EABD01" w14:textId="1B1481DA" w:rsidR="00BA1647" w:rsidRPr="00500C4E" w:rsidRDefault="00BA1647" w:rsidP="00BA1647">
            <w:pPr>
              <w:rPr>
                <w:color w:val="FF0000"/>
                <w:szCs w:val="20"/>
              </w:rPr>
            </w:pPr>
            <w:r w:rsidRPr="002E5766">
              <w:rPr>
                <w:szCs w:val="20"/>
              </w:rPr>
              <w:t>SHW</w:t>
            </w:r>
          </w:p>
        </w:tc>
        <w:tc>
          <w:tcPr>
            <w:tcW w:w="686" w:type="pct"/>
          </w:tcPr>
          <w:p w14:paraId="45618443" w14:textId="7761D52E" w:rsidR="00BA1647" w:rsidRPr="00500C4E" w:rsidRDefault="00BA1647" w:rsidP="00BA1647">
            <w:pPr>
              <w:rPr>
                <w:color w:val="FF0000"/>
                <w:szCs w:val="20"/>
              </w:rPr>
            </w:pPr>
            <w:r w:rsidRPr="002E5766">
              <w:rPr>
                <w:szCs w:val="20"/>
              </w:rPr>
              <w:t>10</w:t>
            </w:r>
          </w:p>
        </w:tc>
        <w:tc>
          <w:tcPr>
            <w:tcW w:w="662" w:type="pct"/>
          </w:tcPr>
          <w:p w14:paraId="491BE152" w14:textId="7F3C2B3C" w:rsidR="00BA1647" w:rsidRPr="00500C4E" w:rsidRDefault="00BA1647" w:rsidP="00BA1647">
            <w:pPr>
              <w:rPr>
                <w:color w:val="FF0000"/>
                <w:szCs w:val="20"/>
              </w:rPr>
            </w:pPr>
            <w:r w:rsidRPr="002E5766">
              <w:rPr>
                <w:szCs w:val="20"/>
              </w:rPr>
              <w:t>3.3</w:t>
            </w:r>
          </w:p>
        </w:tc>
      </w:tr>
      <w:tr w:rsidR="00EF56B6" w:rsidRPr="00500C4E" w14:paraId="6FB45225" w14:textId="77777777" w:rsidTr="00EF56B6">
        <w:trPr>
          <w:trHeight w:val="243"/>
        </w:trPr>
        <w:tc>
          <w:tcPr>
            <w:tcW w:w="692" w:type="pct"/>
          </w:tcPr>
          <w:p w14:paraId="109C02E7" w14:textId="7AE5D01D" w:rsidR="00BA1647" w:rsidRPr="00D51992" w:rsidRDefault="00BA1647" w:rsidP="00BA1647">
            <w:pPr>
              <w:rPr>
                <w:szCs w:val="20"/>
              </w:rPr>
            </w:pPr>
            <w:r>
              <w:rPr>
                <w:szCs w:val="20"/>
              </w:rPr>
              <w:t xml:space="preserve">FCV: </w:t>
            </w:r>
            <w:r w:rsidRPr="00D51992">
              <w:rPr>
                <w:szCs w:val="20"/>
              </w:rPr>
              <w:t>Faucets</w:t>
            </w:r>
          </w:p>
        </w:tc>
        <w:tc>
          <w:tcPr>
            <w:tcW w:w="900" w:type="pct"/>
          </w:tcPr>
          <w:p w14:paraId="4C28197B" w14:textId="2CBA72FC" w:rsidR="00BA1647" w:rsidRPr="00500C4E" w:rsidRDefault="00CB141B" w:rsidP="00BA1647">
            <w:pPr>
              <w:rPr>
                <w:color w:val="FF0000"/>
                <w:szCs w:val="20"/>
              </w:rPr>
            </w:pPr>
            <w:r w:rsidRPr="006D3D4C">
              <w:rPr>
                <w:szCs w:val="20"/>
              </w:rPr>
              <w:t>WtrHt-WH-Faucet</w:t>
            </w:r>
          </w:p>
        </w:tc>
        <w:tc>
          <w:tcPr>
            <w:tcW w:w="813" w:type="pct"/>
          </w:tcPr>
          <w:p w14:paraId="39665B0D" w14:textId="39998D8C" w:rsidR="00BA1647" w:rsidRPr="00500C4E" w:rsidRDefault="00EF56B6" w:rsidP="00BA1647">
            <w:pPr>
              <w:rPr>
                <w:color w:val="FF0000"/>
                <w:szCs w:val="20"/>
              </w:rPr>
            </w:pPr>
            <w:r w:rsidRPr="006D3D4C">
              <w:rPr>
                <w:szCs w:val="20"/>
              </w:rPr>
              <w:t>Faucet Effective Useful Life</w:t>
            </w:r>
          </w:p>
        </w:tc>
        <w:tc>
          <w:tcPr>
            <w:tcW w:w="582" w:type="pct"/>
          </w:tcPr>
          <w:p w14:paraId="26BFD39F" w14:textId="43CD40FC" w:rsidR="00BA1647" w:rsidRPr="00500C4E" w:rsidRDefault="00EF56B6" w:rsidP="00BA1647">
            <w:pPr>
              <w:rPr>
                <w:color w:val="FF0000"/>
                <w:szCs w:val="20"/>
              </w:rPr>
            </w:pPr>
            <w:r w:rsidRPr="006D3D4C">
              <w:rPr>
                <w:szCs w:val="20"/>
              </w:rPr>
              <w:t>Com</w:t>
            </w:r>
            <w:r>
              <w:rPr>
                <w:szCs w:val="20"/>
              </w:rPr>
              <w:t>/Res</w:t>
            </w:r>
          </w:p>
        </w:tc>
        <w:tc>
          <w:tcPr>
            <w:tcW w:w="664" w:type="pct"/>
          </w:tcPr>
          <w:p w14:paraId="282642B2" w14:textId="507CEA3A" w:rsidR="00BA1647" w:rsidRPr="00500C4E" w:rsidRDefault="00EF56B6" w:rsidP="00BA1647">
            <w:pPr>
              <w:rPr>
                <w:color w:val="FF0000"/>
                <w:szCs w:val="20"/>
              </w:rPr>
            </w:pPr>
            <w:r w:rsidRPr="002E5766">
              <w:rPr>
                <w:szCs w:val="20"/>
              </w:rPr>
              <w:t>SHW</w:t>
            </w:r>
          </w:p>
        </w:tc>
        <w:tc>
          <w:tcPr>
            <w:tcW w:w="686" w:type="pct"/>
          </w:tcPr>
          <w:p w14:paraId="5ED96886" w14:textId="0B0CBC84" w:rsidR="00BA1647" w:rsidRPr="00EF56B6" w:rsidRDefault="00EF56B6" w:rsidP="00BA1647">
            <w:pPr>
              <w:rPr>
                <w:szCs w:val="20"/>
              </w:rPr>
            </w:pPr>
            <w:r w:rsidRPr="00EF56B6">
              <w:rPr>
                <w:szCs w:val="20"/>
              </w:rPr>
              <w:t>20</w:t>
            </w:r>
          </w:p>
        </w:tc>
        <w:tc>
          <w:tcPr>
            <w:tcW w:w="662" w:type="pct"/>
          </w:tcPr>
          <w:p w14:paraId="558BCFEB" w14:textId="2652D408" w:rsidR="00BA1647" w:rsidRPr="00EF56B6" w:rsidRDefault="00EF56B6" w:rsidP="00BA1647">
            <w:pPr>
              <w:rPr>
                <w:szCs w:val="20"/>
              </w:rPr>
            </w:pPr>
            <w:r w:rsidRPr="00EF56B6">
              <w:rPr>
                <w:szCs w:val="20"/>
              </w:rPr>
              <w:t>6.67</w:t>
            </w:r>
          </w:p>
        </w:tc>
      </w:tr>
    </w:tbl>
    <w:p w14:paraId="092BB5A8" w14:textId="77777777" w:rsidR="00E16609" w:rsidRPr="00500C4E" w:rsidRDefault="00F06CCF" w:rsidP="00F06CCF">
      <w:pPr>
        <w:pStyle w:val="Heading3"/>
        <w:rPr>
          <w:rFonts w:asciiTheme="minorHAnsi" w:hAnsiTheme="minorHAnsi"/>
        </w:rPr>
      </w:pPr>
      <w:bookmarkStart w:id="26" w:name="_Toc515621127"/>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26"/>
      <w:r w:rsidR="00E16609" w:rsidRPr="00500C4E">
        <w:rPr>
          <w:rFonts w:asciiTheme="minorHAnsi" w:hAnsiTheme="minorHAnsi"/>
        </w:rPr>
        <w:t xml:space="preserve"> </w:t>
      </w:r>
      <w:bookmarkEnd w:id="21"/>
    </w:p>
    <w:p w14:paraId="4F846B4E" w14:textId="0ED6D4B6" w:rsidR="006327E4" w:rsidRDefault="006327E4" w:rsidP="00617DFE">
      <w:pPr>
        <w:pStyle w:val="Reminders"/>
        <w:rPr>
          <w:rFonts w:asciiTheme="minorHAnsi" w:hAnsiTheme="minorHAnsi" w:cstheme="minorHAnsi"/>
          <w:i w:val="0"/>
          <w:color w:val="auto"/>
          <w:szCs w:val="22"/>
        </w:rPr>
      </w:pPr>
      <w:r w:rsidRPr="005220DD">
        <w:rPr>
          <w:rFonts w:asciiTheme="minorHAnsi" w:hAnsiTheme="minorHAnsi" w:cstheme="minorHAnsi"/>
          <w:i w:val="0"/>
          <w:color w:val="auto"/>
          <w:szCs w:val="22"/>
        </w:rPr>
        <w:t xml:space="preserve">Standards for plumbing fittings and fixtures are outlined in California’s Title 20 Appliance Efficiency Program Codes. </w:t>
      </w:r>
      <w:r w:rsidRPr="00617DFE">
        <w:rPr>
          <w:rFonts w:asciiTheme="minorHAnsi" w:hAnsiTheme="minorHAnsi" w:cstheme="minorHAnsi"/>
          <w:i w:val="0"/>
          <w:color w:val="auto"/>
          <w:szCs w:val="22"/>
        </w:rPr>
        <w:t>Applicable codes for this measure are stipulated in Title 20 of the California Code of Regulations Table H-3, H-4</w:t>
      </w:r>
      <w:r w:rsidR="00617DFE">
        <w:rPr>
          <w:rFonts w:asciiTheme="minorHAnsi" w:hAnsiTheme="minorHAnsi" w:cstheme="minorHAnsi"/>
          <w:i w:val="0"/>
          <w:color w:val="auto"/>
          <w:szCs w:val="22"/>
        </w:rPr>
        <w:t xml:space="preserve"> and H-5 displayed below.</w:t>
      </w:r>
    </w:p>
    <w:p w14:paraId="62AB0BAD" w14:textId="4B10B4F5" w:rsidR="00617DFE" w:rsidRDefault="00617DFE" w:rsidP="00617DFE">
      <w:pPr>
        <w:pStyle w:val="Reminders"/>
        <w:rPr>
          <w:rFonts w:asciiTheme="minorHAnsi" w:hAnsiTheme="minorHAnsi" w:cstheme="minorHAnsi"/>
          <w:i w:val="0"/>
          <w:color w:val="auto"/>
          <w:szCs w:val="22"/>
        </w:rPr>
      </w:pPr>
    </w:p>
    <w:p w14:paraId="2C0453FE" w14:textId="5C634A47" w:rsidR="00617DFE" w:rsidRDefault="00617DFE" w:rsidP="00617DFE">
      <w:pPr>
        <w:pStyle w:val="Caption"/>
        <w:keepNext/>
      </w:pPr>
      <w:bookmarkStart w:id="27" w:name="_Toc515621158"/>
      <w:r>
        <w:lastRenderedPageBreak/>
        <w:t xml:space="preserve">Figure </w:t>
      </w:r>
      <w:fldSimple w:instr=" SEQ Figure \* ROMAN ">
        <w:r w:rsidR="000B13E1">
          <w:rPr>
            <w:noProof/>
          </w:rPr>
          <w:t>I</w:t>
        </w:r>
      </w:fldSimple>
      <w:r>
        <w:t xml:space="preserve">: </w:t>
      </w:r>
      <w:r w:rsidRPr="00795512">
        <w:t xml:space="preserve">Lavatory faucets and aerator </w:t>
      </w:r>
      <w:r w:rsidR="003D4633">
        <w:t>Title</w:t>
      </w:r>
      <w:r w:rsidRPr="00795512">
        <w:t xml:space="preserve"> 20 requirements</w:t>
      </w:r>
      <w:bookmarkEnd w:id="27"/>
    </w:p>
    <w:p w14:paraId="0387E4DE" w14:textId="77777777" w:rsidR="00617DFE" w:rsidRDefault="00617DFE" w:rsidP="00617DFE">
      <w:pPr>
        <w:pStyle w:val="Reminders"/>
        <w:keepNext/>
      </w:pPr>
      <w:r>
        <w:rPr>
          <w:rFonts w:asciiTheme="minorHAnsi" w:hAnsiTheme="minorHAnsi" w:cstheme="minorHAnsi"/>
          <w:i w:val="0"/>
          <w:noProof/>
          <w:color w:val="auto"/>
          <w:szCs w:val="22"/>
        </w:rPr>
        <w:drawing>
          <wp:inline distT="0" distB="0" distL="0" distR="0" wp14:anchorId="54D88883" wp14:editId="5CA07DCA">
            <wp:extent cx="4312920" cy="2026920"/>
            <wp:effectExtent l="19050" t="19050" r="11430" b="1143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0C614.tmp"/>
                    <pic:cNvPicPr/>
                  </pic:nvPicPr>
                  <pic:blipFill rotWithShape="1">
                    <a:blip r:embed="rId10">
                      <a:extLst>
                        <a:ext uri="{28A0092B-C50C-407E-A947-70E740481C1C}">
                          <a14:useLocalDpi xmlns:a14="http://schemas.microsoft.com/office/drawing/2010/main" val="0"/>
                        </a:ext>
                      </a:extLst>
                    </a:blip>
                    <a:srcRect l="3031" r="1683"/>
                    <a:stretch/>
                  </pic:blipFill>
                  <pic:spPr bwMode="auto">
                    <a:xfrm>
                      <a:off x="0" y="0"/>
                      <a:ext cx="4313294" cy="2027096"/>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AFAF823" w14:textId="0644C7EF" w:rsidR="00617DFE" w:rsidRDefault="00617DFE" w:rsidP="00617DFE">
      <w:pPr>
        <w:pStyle w:val="Caption"/>
        <w:rPr>
          <w:rFonts w:cstheme="minorHAnsi"/>
          <w:i/>
          <w:szCs w:val="22"/>
        </w:rPr>
      </w:pPr>
    </w:p>
    <w:p w14:paraId="3F5972A0" w14:textId="7F96028D" w:rsidR="000B13E1" w:rsidRDefault="000B13E1" w:rsidP="000B13E1">
      <w:pPr>
        <w:pStyle w:val="Caption"/>
        <w:keepNext/>
      </w:pPr>
      <w:bookmarkStart w:id="28" w:name="_Toc515621159"/>
      <w:r>
        <w:t xml:space="preserve">Figure </w:t>
      </w:r>
      <w:fldSimple w:instr=" SEQ Figure \* ROMAN ">
        <w:r>
          <w:rPr>
            <w:noProof/>
          </w:rPr>
          <w:t>II</w:t>
        </w:r>
      </w:fldSimple>
      <w:r>
        <w:t>: Kitchen</w:t>
      </w:r>
      <w:r w:rsidRPr="002853EC">
        <w:t xml:space="preserve"> faucets and aerator </w:t>
      </w:r>
      <w:r w:rsidR="003D4633">
        <w:t>Title</w:t>
      </w:r>
      <w:r w:rsidRPr="002853EC">
        <w:t xml:space="preserve"> 20 requirements</w:t>
      </w:r>
      <w:bookmarkEnd w:id="28"/>
    </w:p>
    <w:p w14:paraId="3463D32D" w14:textId="7F182523" w:rsidR="00617DFE" w:rsidRPr="00617DFE" w:rsidRDefault="000B13E1" w:rsidP="00617DFE">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5C55AC9E" wp14:editId="71DE7658">
            <wp:extent cx="4160520" cy="1333300"/>
            <wp:effectExtent l="19050" t="19050" r="11430" b="19685"/>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0A0BC.tmp"/>
                    <pic:cNvPicPr/>
                  </pic:nvPicPr>
                  <pic:blipFill rotWithShape="1">
                    <a:blip r:embed="rId11">
                      <a:extLst>
                        <a:ext uri="{28A0092B-C50C-407E-A947-70E740481C1C}">
                          <a14:useLocalDpi xmlns:a14="http://schemas.microsoft.com/office/drawing/2010/main" val="0"/>
                        </a:ext>
                      </a:extLst>
                    </a:blip>
                    <a:srcRect l="3986" t="12060" r="1372"/>
                    <a:stretch/>
                  </pic:blipFill>
                  <pic:spPr bwMode="auto">
                    <a:xfrm>
                      <a:off x="0" y="0"/>
                      <a:ext cx="4161507" cy="1333616"/>
                    </a:xfrm>
                    <a:prstGeom prst="rect">
                      <a:avLst/>
                    </a:prstGeom>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619F88B3" w14:textId="77777777" w:rsidR="006327E4" w:rsidRDefault="006327E4" w:rsidP="006327E4">
      <w:pPr>
        <w:pStyle w:val="Caption"/>
        <w:keepNext/>
        <w:rPr>
          <w:b w:val="0"/>
        </w:rPr>
      </w:pPr>
    </w:p>
    <w:p w14:paraId="799AE202" w14:textId="4CDE8659" w:rsidR="000B13E1" w:rsidRDefault="000B13E1" w:rsidP="000B13E1">
      <w:pPr>
        <w:pStyle w:val="Caption"/>
        <w:keepNext/>
      </w:pPr>
      <w:bookmarkStart w:id="29" w:name="_Toc515621160"/>
      <w:r>
        <w:t xml:space="preserve">Figure </w:t>
      </w:r>
      <w:fldSimple w:instr=" SEQ Figure \* ROMAN ">
        <w:r>
          <w:rPr>
            <w:noProof/>
          </w:rPr>
          <w:t>III</w:t>
        </w:r>
      </w:fldSimple>
      <w:r>
        <w:t>: Showerheads</w:t>
      </w:r>
      <w:r w:rsidRPr="004E62EF">
        <w:t xml:space="preserve"> </w:t>
      </w:r>
      <w:r w:rsidR="003D4633">
        <w:t>Title</w:t>
      </w:r>
      <w:r w:rsidRPr="004E62EF">
        <w:t xml:space="preserve"> 20 requirements</w:t>
      </w:r>
      <w:bookmarkEnd w:id="29"/>
    </w:p>
    <w:p w14:paraId="516588B0" w14:textId="6DD84977" w:rsidR="006327E4" w:rsidRDefault="000B13E1" w:rsidP="006327E4">
      <w:pPr>
        <w:pStyle w:val="Caption"/>
        <w:keepNext/>
        <w:rPr>
          <w:b w:val="0"/>
        </w:rPr>
      </w:pPr>
      <w:r>
        <w:rPr>
          <w:b w:val="0"/>
          <w:noProof/>
        </w:rPr>
        <w:drawing>
          <wp:inline distT="0" distB="0" distL="0" distR="0" wp14:anchorId="1D8742FC" wp14:editId="57C8FACC">
            <wp:extent cx="3741420" cy="1203960"/>
            <wp:effectExtent l="19050" t="19050" r="11430" b="1524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09162.tmp"/>
                    <pic:cNvPicPr/>
                  </pic:nvPicPr>
                  <pic:blipFill rotWithShape="1">
                    <a:blip r:embed="rId12">
                      <a:extLst>
                        <a:ext uri="{28A0092B-C50C-407E-A947-70E740481C1C}">
                          <a14:useLocalDpi xmlns:a14="http://schemas.microsoft.com/office/drawing/2010/main" val="0"/>
                        </a:ext>
                      </a:extLst>
                    </a:blip>
                    <a:srcRect l="4348" r="2835" b="4819"/>
                    <a:stretch/>
                  </pic:blipFill>
                  <pic:spPr bwMode="auto">
                    <a:xfrm>
                      <a:off x="0" y="0"/>
                      <a:ext cx="3741746" cy="1204065"/>
                    </a:xfrm>
                    <a:prstGeom prst="rect">
                      <a:avLst/>
                    </a:prstGeom>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4B19CDC" w14:textId="4DA97FBE" w:rsidR="00B07EE5" w:rsidRPr="00500C4E" w:rsidRDefault="00B07EE5" w:rsidP="00920905">
      <w:pPr>
        <w:pStyle w:val="Caption"/>
        <w:keepNext/>
        <w:rPr>
          <w:rFonts w:cstheme="minorHAnsi"/>
          <w:szCs w:val="22"/>
        </w:rPr>
      </w:pPr>
    </w:p>
    <w:p w14:paraId="79C4FD8E" w14:textId="4B55F56A" w:rsidR="00CB0079" w:rsidRDefault="00CB0079" w:rsidP="00CB0079">
      <w:pPr>
        <w:pStyle w:val="Caption"/>
        <w:keepNext/>
      </w:pPr>
      <w:bookmarkStart w:id="30" w:name="_Toc515621155"/>
      <w:r>
        <w:t xml:space="preserve">Table </w:t>
      </w:r>
      <w:fldSimple w:instr=" SEQ Table \* ROMAN ">
        <w:r w:rsidR="00F82FD8">
          <w:rPr>
            <w:noProof/>
          </w:rPr>
          <w:t>IX</w:t>
        </w:r>
      </w:fldSimple>
      <w:r>
        <w:t xml:space="preserve">: </w:t>
      </w:r>
      <w:r w:rsidRPr="001E7323">
        <w:t>Code Summary</w:t>
      </w:r>
      <w:bookmarkEnd w:id="30"/>
    </w:p>
    <w:tbl>
      <w:tblPr>
        <w:tblStyle w:val="TableGrid1"/>
        <w:tblW w:w="4803" w:type="pct"/>
        <w:tblLook w:val="04A0" w:firstRow="1" w:lastRow="0" w:firstColumn="1" w:lastColumn="0" w:noHBand="0" w:noVBand="1"/>
      </w:tblPr>
      <w:tblGrid>
        <w:gridCol w:w="1423"/>
        <w:gridCol w:w="3169"/>
        <w:gridCol w:w="4390"/>
      </w:tblGrid>
      <w:tr w:rsidR="00881A42" w:rsidRPr="00500C4E" w14:paraId="556CA14B" w14:textId="77777777" w:rsidTr="00DE6662">
        <w:tc>
          <w:tcPr>
            <w:tcW w:w="792" w:type="pct"/>
            <w:shd w:val="clear" w:color="auto" w:fill="D9D9D9" w:themeFill="background1" w:themeFillShade="D9"/>
          </w:tcPr>
          <w:p w14:paraId="6CDB870D" w14:textId="77777777" w:rsidR="00881A42" w:rsidRPr="00920905" w:rsidRDefault="00881A42" w:rsidP="00DF0D19">
            <w:pPr>
              <w:rPr>
                <w:rFonts w:cstheme="minorHAnsi"/>
                <w:b/>
                <w:szCs w:val="20"/>
              </w:rPr>
            </w:pPr>
            <w:r w:rsidRPr="00920905">
              <w:rPr>
                <w:rFonts w:cstheme="minorHAnsi"/>
                <w:b/>
                <w:szCs w:val="20"/>
              </w:rPr>
              <w:t>Code</w:t>
            </w:r>
          </w:p>
        </w:tc>
        <w:tc>
          <w:tcPr>
            <w:tcW w:w="1764" w:type="pct"/>
            <w:shd w:val="clear" w:color="auto" w:fill="D9D9D9" w:themeFill="background1" w:themeFillShade="D9"/>
          </w:tcPr>
          <w:p w14:paraId="3CD8E37A"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2444" w:type="pct"/>
            <w:shd w:val="clear" w:color="auto" w:fill="D9D9D9" w:themeFill="background1" w:themeFillShade="D9"/>
          </w:tcPr>
          <w:p w14:paraId="679B8C92"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1E2FA1" w:rsidRPr="00500C4E" w14:paraId="0CA4F3AF" w14:textId="77777777" w:rsidTr="00DE6662">
        <w:trPr>
          <w:trHeight w:val="243"/>
        </w:trPr>
        <w:tc>
          <w:tcPr>
            <w:tcW w:w="792" w:type="pct"/>
          </w:tcPr>
          <w:p w14:paraId="4374956F" w14:textId="3BCDBEFD" w:rsidR="001E2FA1" w:rsidRPr="00500C4E" w:rsidRDefault="00926698" w:rsidP="001E2FA1">
            <w:pPr>
              <w:rPr>
                <w:rFonts w:cstheme="minorHAnsi"/>
                <w:szCs w:val="20"/>
              </w:rPr>
            </w:pPr>
            <w:r>
              <w:rPr>
                <w:rFonts w:cstheme="minorHAnsi"/>
                <w:szCs w:val="20"/>
              </w:rPr>
              <w:t>Title 20 (2017</w:t>
            </w:r>
            <w:r w:rsidR="001E2FA1" w:rsidRPr="005220DD">
              <w:rPr>
                <w:rFonts w:cstheme="minorHAnsi"/>
                <w:szCs w:val="20"/>
              </w:rPr>
              <w:t>)</w:t>
            </w:r>
          </w:p>
        </w:tc>
        <w:tc>
          <w:tcPr>
            <w:tcW w:w="1764" w:type="pct"/>
          </w:tcPr>
          <w:p w14:paraId="6A959F55" w14:textId="0187F6AF" w:rsidR="001E2FA1" w:rsidRPr="00500C4E" w:rsidRDefault="001E2FA1" w:rsidP="001E2FA1">
            <w:pPr>
              <w:rPr>
                <w:rFonts w:cstheme="minorHAnsi"/>
                <w:color w:val="FF0000"/>
                <w:szCs w:val="20"/>
              </w:rPr>
            </w:pPr>
            <w:r w:rsidRPr="005220DD">
              <w:rPr>
                <w:rFonts w:cstheme="minorHAnsi"/>
                <w:szCs w:val="20"/>
              </w:rPr>
              <w:t>Section 1605.1(h). Plumbing Fittings</w:t>
            </w:r>
          </w:p>
        </w:tc>
        <w:tc>
          <w:tcPr>
            <w:tcW w:w="2444" w:type="pct"/>
          </w:tcPr>
          <w:p w14:paraId="3105830B" w14:textId="77777777" w:rsidR="001E2FA1" w:rsidRPr="00DE6662" w:rsidRDefault="00DE6662" w:rsidP="006B0511">
            <w:pPr>
              <w:pStyle w:val="ListParagraph"/>
              <w:numPr>
                <w:ilvl w:val="0"/>
                <w:numId w:val="9"/>
              </w:numPr>
              <w:ind w:left="250" w:hanging="180"/>
              <w:rPr>
                <w:rFonts w:cstheme="minorHAnsi"/>
                <w:color w:val="FF0000"/>
                <w:szCs w:val="20"/>
              </w:rPr>
            </w:pPr>
            <w:r>
              <w:rPr>
                <w:rFonts w:cstheme="minorHAnsi"/>
                <w:szCs w:val="20"/>
              </w:rPr>
              <w:t xml:space="preserve">Lavatory faucet and aerators: </w:t>
            </w:r>
            <w:r w:rsidR="001E2FA1" w:rsidRPr="00E2733F">
              <w:rPr>
                <w:rFonts w:cstheme="minorHAnsi"/>
                <w:szCs w:val="20"/>
              </w:rPr>
              <w:t>July 1, 2016</w:t>
            </w:r>
          </w:p>
          <w:p w14:paraId="6CAB6229" w14:textId="77777777" w:rsidR="00DE6662" w:rsidRPr="00DE6662" w:rsidRDefault="00DE6662" w:rsidP="006B0511">
            <w:pPr>
              <w:pStyle w:val="ListParagraph"/>
              <w:numPr>
                <w:ilvl w:val="0"/>
                <w:numId w:val="9"/>
              </w:numPr>
              <w:ind w:left="250" w:hanging="180"/>
              <w:rPr>
                <w:rFonts w:cstheme="minorHAnsi"/>
                <w:color w:val="FF0000"/>
                <w:szCs w:val="20"/>
              </w:rPr>
            </w:pPr>
            <w:r>
              <w:rPr>
                <w:rFonts w:cstheme="minorHAnsi"/>
                <w:szCs w:val="20"/>
              </w:rPr>
              <w:t>Kitchen faucets and aerators: January 1, 2016</w:t>
            </w:r>
          </w:p>
          <w:p w14:paraId="090E822F" w14:textId="00B8C40B" w:rsidR="00DE6662" w:rsidRPr="00E2733F" w:rsidRDefault="00DE6662" w:rsidP="006B0511">
            <w:pPr>
              <w:pStyle w:val="ListParagraph"/>
              <w:numPr>
                <w:ilvl w:val="0"/>
                <w:numId w:val="9"/>
              </w:numPr>
              <w:ind w:left="250" w:hanging="180"/>
              <w:rPr>
                <w:rFonts w:cstheme="minorHAnsi"/>
                <w:color w:val="FF0000"/>
                <w:szCs w:val="20"/>
              </w:rPr>
            </w:pPr>
            <w:r>
              <w:rPr>
                <w:rFonts w:cstheme="minorHAnsi"/>
                <w:szCs w:val="20"/>
              </w:rPr>
              <w:t>Showerheads: July 1, 2018</w:t>
            </w:r>
          </w:p>
        </w:tc>
      </w:tr>
    </w:tbl>
    <w:p w14:paraId="303F7EA0" w14:textId="77777777" w:rsidR="00572D2F" w:rsidRPr="00920905" w:rsidRDefault="00572D2F" w:rsidP="00920905">
      <w:pPr>
        <w:pStyle w:val="Heading2"/>
        <w:rPr>
          <w:rFonts w:cstheme="minorHAnsi"/>
          <w:b w:val="0"/>
          <w:bCs w:val="0"/>
          <w:iCs w:val="0"/>
          <w:smallCaps w:val="0"/>
        </w:rPr>
      </w:pPr>
      <w:bookmarkStart w:id="31" w:name="_Toc304800207"/>
      <w:bookmarkStart w:id="32" w:name="_Toc324318343"/>
      <w:bookmarkStart w:id="33" w:name="_Toc324340487"/>
      <w:bookmarkStart w:id="34" w:name="_Toc383441992"/>
      <w:bookmarkStart w:id="35" w:name="_Toc515621128"/>
      <w:bookmarkStart w:id="3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1"/>
      <w:bookmarkEnd w:id="32"/>
      <w:bookmarkEnd w:id="33"/>
      <w:bookmarkEnd w:id="34"/>
      <w:bookmarkEnd w:id="35"/>
    </w:p>
    <w:p w14:paraId="751BF234" w14:textId="2606AA45" w:rsidR="00AA520A" w:rsidRDefault="00D66A93" w:rsidP="00D66A93">
      <w:pPr>
        <w:rPr>
          <w:rFonts w:cs="Arial"/>
          <w:szCs w:val="22"/>
        </w:rPr>
      </w:pPr>
      <w:r w:rsidRPr="00D66A93">
        <w:rPr>
          <w:rFonts w:cs="Arial"/>
          <w:szCs w:val="22"/>
        </w:rPr>
        <w:t>This workpaper will adopt all savings values from current</w:t>
      </w:r>
      <w:r w:rsidR="004B417A">
        <w:rPr>
          <w:rFonts w:cs="Arial"/>
          <w:szCs w:val="22"/>
        </w:rPr>
        <w:t>ly in use</w:t>
      </w:r>
      <w:r w:rsidRPr="00D66A93">
        <w:rPr>
          <w:rFonts w:cs="Arial"/>
          <w:szCs w:val="22"/>
        </w:rPr>
        <w:t xml:space="preserve"> SoCalGas</w:t>
      </w:r>
      <w:r w:rsidR="004B417A">
        <w:rPr>
          <w:rFonts w:cs="Arial"/>
          <w:szCs w:val="22"/>
        </w:rPr>
        <w:t xml:space="preserve"> workpaper</w:t>
      </w:r>
      <w:r w:rsidR="003C6A55">
        <w:rPr>
          <w:rFonts w:cs="Arial"/>
          <w:szCs w:val="22"/>
        </w:rPr>
        <w:t>s</w:t>
      </w:r>
      <w:r w:rsidR="004B417A">
        <w:rPr>
          <w:rFonts w:cs="Arial"/>
          <w:szCs w:val="22"/>
        </w:rPr>
        <w:t>. The studies below can also be found in their respective workpapers.</w:t>
      </w:r>
    </w:p>
    <w:p w14:paraId="6CAC871A" w14:textId="5850F1CC" w:rsidR="00AA520A" w:rsidRDefault="00AA520A" w:rsidP="00D66A93">
      <w:pPr>
        <w:rPr>
          <w:rFonts w:cs="Arial"/>
          <w:szCs w:val="22"/>
        </w:rPr>
      </w:pPr>
    </w:p>
    <w:p w14:paraId="345905C3" w14:textId="77777777" w:rsidR="000F523A" w:rsidRDefault="000F523A" w:rsidP="00D66A93">
      <w:pPr>
        <w:rPr>
          <w:rFonts w:cs="Arial"/>
          <w:szCs w:val="22"/>
        </w:rPr>
      </w:pPr>
    </w:p>
    <w:p w14:paraId="64DA905E" w14:textId="77777777" w:rsidR="00166771" w:rsidRDefault="00166771" w:rsidP="00166771">
      <w:pPr>
        <w:pStyle w:val="ListParagraph"/>
        <w:numPr>
          <w:ilvl w:val="0"/>
          <w:numId w:val="19"/>
        </w:numPr>
        <w:rPr>
          <w:rFonts w:cs="Arial"/>
          <w:szCs w:val="22"/>
        </w:rPr>
      </w:pPr>
      <w:r w:rsidRPr="001F508E">
        <w:rPr>
          <w:rFonts w:cs="Arial"/>
          <w:szCs w:val="22"/>
        </w:rPr>
        <w:lastRenderedPageBreak/>
        <w:t>Workpaper WPSCGNRWH120618A Revision 03: Faucet Aerators for Bathroom/Kitchen Sinks in Residential Buildings</w:t>
      </w:r>
      <w:r>
        <w:rPr>
          <w:rFonts w:cs="Arial"/>
          <w:szCs w:val="22"/>
        </w:rPr>
        <w:t>: Climate Zone Factors</w:t>
      </w:r>
    </w:p>
    <w:p w14:paraId="2FE152F2" w14:textId="77777777" w:rsidR="00166771" w:rsidRPr="00BE1329" w:rsidRDefault="00166771" w:rsidP="00166771">
      <w:pPr>
        <w:pStyle w:val="ListParagraph"/>
        <w:numPr>
          <w:ilvl w:val="1"/>
          <w:numId w:val="10"/>
        </w:numPr>
        <w:rPr>
          <w:rFonts w:cs="Arial"/>
          <w:szCs w:val="22"/>
        </w:rPr>
      </w:pPr>
      <w:r>
        <w:t>(</w:t>
      </w:r>
      <w:hyperlink w:anchor="_Attachments" w:history="1">
        <w:r w:rsidRPr="001F508E">
          <w:rPr>
            <w:rStyle w:val="Hyperlink"/>
          </w:rPr>
          <w:t>Attachment F</w:t>
        </w:r>
      </w:hyperlink>
      <w:r>
        <w:t xml:space="preserve">) The savings calculations for this paper are defined in the </w:t>
      </w:r>
      <w:r w:rsidRPr="00F72BF2">
        <w:rPr>
          <w:lang w:eastAsia="ko-KR"/>
        </w:rPr>
        <w:t>Workpaper Disposition for Water Fixtures from the California Public Utilities Commission (CPUC), Energy Division (ED) February 22, 2013</w:t>
      </w:r>
      <w:r>
        <w:rPr>
          <w:lang w:eastAsia="ko-KR"/>
        </w:rPr>
        <w:t xml:space="preserve">. The stated Climate zone factors in </w:t>
      </w:r>
      <w:r w:rsidRPr="00F72BF2">
        <w:rPr>
          <w:lang w:eastAsia="ko-KR"/>
        </w:rPr>
        <w:t>Workpaper Disposition for Water Fixtures from the California Public Utilities Commission (CPUC), Energy Division (ED) February 22, 2013</w:t>
      </w:r>
      <w:r>
        <w:rPr>
          <w:lang w:eastAsia="ko-KR"/>
        </w:rPr>
        <w:t xml:space="preserve"> are out of date and should be replaced by the Climate Zone</w:t>
      </w:r>
      <w:r>
        <w:rPr>
          <w:rStyle w:val="EndnoteReference"/>
          <w:lang w:eastAsia="ko-KR"/>
        </w:rPr>
        <w:endnoteReference w:id="1"/>
      </w:r>
      <w:r>
        <w:rPr>
          <w:lang w:eastAsia="ko-KR"/>
        </w:rPr>
        <w:t xml:space="preserve"> calculated factors. </w:t>
      </w:r>
    </w:p>
    <w:p w14:paraId="7237DDDC" w14:textId="4689C878" w:rsidR="00166771" w:rsidRPr="00166771" w:rsidRDefault="00166771" w:rsidP="00166771">
      <w:pPr>
        <w:pStyle w:val="ListParagraph"/>
        <w:numPr>
          <w:ilvl w:val="1"/>
          <w:numId w:val="10"/>
        </w:numPr>
        <w:rPr>
          <w:rFonts w:cs="Arial"/>
          <w:szCs w:val="22"/>
        </w:rPr>
      </w:pPr>
      <w:r>
        <w:rPr>
          <w:lang w:eastAsia="ko-KR"/>
        </w:rPr>
        <w:t>(</w:t>
      </w:r>
      <w:hyperlink w:anchor="_Attachments" w:history="1">
        <w:r w:rsidRPr="00BE1329">
          <w:rPr>
            <w:rStyle w:val="Hyperlink"/>
            <w:lang w:eastAsia="ko-KR"/>
          </w:rPr>
          <w:t>Attachment G</w:t>
        </w:r>
      </w:hyperlink>
      <w:r>
        <w:rPr>
          <w:lang w:eastAsia="ko-KR"/>
        </w:rPr>
        <w:t xml:space="preserve">) </w:t>
      </w:r>
      <w:r w:rsidRPr="00BE1329">
        <w:rPr>
          <w:lang w:eastAsia="ko-KR"/>
        </w:rPr>
        <w:t>Workpaper Disposition for Water Fixtures from the California Public Utilities Commission (CPUC), Energy Division (ED) February 22, 2013</w:t>
      </w:r>
      <w:r>
        <w:rPr>
          <w:lang w:eastAsia="ko-KR"/>
        </w:rPr>
        <w:t>.</w:t>
      </w:r>
    </w:p>
    <w:p w14:paraId="06F8BA0E" w14:textId="77777777" w:rsidR="00166771" w:rsidRDefault="00166771" w:rsidP="00166771">
      <w:pPr>
        <w:pStyle w:val="ListParagraph"/>
        <w:numPr>
          <w:ilvl w:val="0"/>
          <w:numId w:val="19"/>
        </w:numPr>
      </w:pPr>
      <w:r w:rsidRPr="00BA48FD">
        <w:t>Workpaper SCGWP100303A</w:t>
      </w:r>
      <w:r>
        <w:t xml:space="preserve"> Revision 05: Low-Flow Showerheads</w:t>
      </w:r>
    </w:p>
    <w:p w14:paraId="0F065DF7" w14:textId="77777777" w:rsidR="00166771" w:rsidRDefault="00166771" w:rsidP="00166771">
      <w:pPr>
        <w:pStyle w:val="ListParagraph"/>
        <w:numPr>
          <w:ilvl w:val="0"/>
          <w:numId w:val="20"/>
        </w:numPr>
      </w:pPr>
      <w:r w:rsidRPr="00F96042">
        <w:t>SEU Survey conducted by ASW (2009) while servicing SEU customers (February ~ May, 2009), including data from various residential water measurements and household questionnaire response</w:t>
      </w:r>
      <w:r>
        <w:t>.</w:t>
      </w:r>
    </w:p>
    <w:p w14:paraId="024F8D06" w14:textId="77777777" w:rsidR="00166771" w:rsidRDefault="00166771" w:rsidP="00166771">
      <w:pPr>
        <w:pStyle w:val="ListParagraph"/>
        <w:numPr>
          <w:ilvl w:val="0"/>
          <w:numId w:val="20"/>
        </w:numPr>
        <w:rPr>
          <w:rStyle w:val="Hyperlink"/>
          <w:color w:val="auto"/>
          <w:u w:val="none"/>
        </w:rPr>
      </w:pPr>
      <w:r w:rsidRPr="00F96042">
        <w:t>Hendron, Robert and Engebrecht, Cheryn</w:t>
      </w:r>
      <w:r>
        <w:t>.</w:t>
      </w:r>
      <w:r w:rsidRPr="00F96042">
        <w:t xml:space="preserve"> </w:t>
      </w:r>
      <w:r w:rsidRPr="00F96042">
        <w:rPr>
          <w:i/>
        </w:rPr>
        <w:t>Building America Research Benchmark Definition</w:t>
      </w:r>
      <w:r w:rsidRPr="00F96042">
        <w:t xml:space="preserve">, Updated December 2009, National Renewable Energy Laboratory. Retrieved from </w:t>
      </w:r>
      <w:hyperlink r:id="rId13" w:history="1">
        <w:r w:rsidRPr="00F96042">
          <w:rPr>
            <w:rStyle w:val="Hyperlink"/>
          </w:rPr>
          <w:t>http://www.nrel.gov/docs/fy10osti/47246.pdf</w:t>
        </w:r>
      </w:hyperlink>
    </w:p>
    <w:p w14:paraId="40E1CCD0" w14:textId="5F938577" w:rsidR="00166771" w:rsidRPr="00166771" w:rsidRDefault="00166771" w:rsidP="00166771">
      <w:pPr>
        <w:pStyle w:val="ListParagraph"/>
        <w:numPr>
          <w:ilvl w:val="0"/>
          <w:numId w:val="20"/>
        </w:numPr>
        <w:rPr>
          <w:rStyle w:val="Hyperlink"/>
          <w:color w:val="auto"/>
          <w:u w:val="none"/>
        </w:rPr>
      </w:pPr>
      <w:r w:rsidRPr="00F96042">
        <w:rPr>
          <w:bCs/>
          <w:i/>
        </w:rPr>
        <w:t>California Statewide Residential Appliance Saturation Study</w:t>
      </w:r>
      <w:r w:rsidRPr="00F96042">
        <w:rPr>
          <w:bCs/>
        </w:rPr>
        <w:t xml:space="preserve"> </w:t>
      </w:r>
      <w:r w:rsidRPr="00F96042">
        <w:t xml:space="preserve">(RASS - 2004).  Contract No. 400-04-009.  Prepared for the California Energy Commission by KEMA-XENERGY, Itron, Roper, and ASW.  PG&amp;E Banner Subset, Pages 100 </w:t>
      </w:r>
      <w:r>
        <w:t xml:space="preserve">and 102.  Retrieved from </w:t>
      </w:r>
      <w:hyperlink r:id="rId14" w:history="1">
        <w:r w:rsidRPr="00B53A90">
          <w:rPr>
            <w:rStyle w:val="Hyperlink"/>
          </w:rPr>
          <w:t>www.energy.ca.gov/reports/400-04-009/2004-08-17_400-04-009_PG+E.PDF</w:t>
        </w:r>
      </w:hyperlink>
    </w:p>
    <w:p w14:paraId="4EEFDA0A" w14:textId="77777777" w:rsidR="00166771" w:rsidRDefault="00166771" w:rsidP="00166771">
      <w:pPr>
        <w:pStyle w:val="ListParagraph"/>
        <w:numPr>
          <w:ilvl w:val="0"/>
          <w:numId w:val="19"/>
        </w:numPr>
      </w:pPr>
      <w:r w:rsidRPr="001D41ED">
        <w:t>Work Paper WPSCGNRWH16122A</w:t>
      </w:r>
      <w:r>
        <w:t xml:space="preserve"> Revision 0: </w:t>
      </w:r>
      <w:r w:rsidRPr="001D41ED">
        <w:t>Aerators for Faucets in Commercial Buildings</w:t>
      </w:r>
    </w:p>
    <w:p w14:paraId="628C9A15" w14:textId="77777777" w:rsidR="00166771" w:rsidRPr="00431C83" w:rsidRDefault="00166771" w:rsidP="00166771">
      <w:pPr>
        <w:pStyle w:val="ListParagraph"/>
        <w:numPr>
          <w:ilvl w:val="0"/>
          <w:numId w:val="21"/>
        </w:numPr>
        <w:rPr>
          <w:rFonts w:cs="Arial"/>
          <w:color w:val="000000" w:themeColor="text1"/>
          <w:szCs w:val="22"/>
        </w:rPr>
      </w:pPr>
      <w:r>
        <w:rPr>
          <w:i/>
        </w:rPr>
        <w:t>(</w:t>
      </w:r>
      <w:hyperlink w:anchor="_Attachments" w:history="1">
        <w:r w:rsidRPr="001D41ED">
          <w:rPr>
            <w:rStyle w:val="Hyperlink"/>
          </w:rPr>
          <w:t>Attachment C</w:t>
        </w:r>
      </w:hyperlink>
      <w:r w:rsidRPr="006434E4">
        <w:rPr>
          <w:i/>
        </w:rPr>
        <w:t>)</w:t>
      </w:r>
      <w:r>
        <w:rPr>
          <w:i/>
        </w:rPr>
        <w:t xml:space="preserve"> </w:t>
      </w:r>
      <w:r w:rsidRPr="001D41ED">
        <w:t>Savings Calculations for Commercial Faucet Aerator: Baseline Water and Gas Consumption Estimates for Commercial Hot Water Applications</w:t>
      </w:r>
      <w:r>
        <w:t xml:space="preserve">: </w:t>
      </w:r>
    </w:p>
    <w:p w14:paraId="46FFF969" w14:textId="77777777" w:rsidR="00166771" w:rsidRPr="00431C83" w:rsidRDefault="00166771" w:rsidP="00166771">
      <w:pPr>
        <w:pStyle w:val="ListParagraph"/>
        <w:ind w:left="1170"/>
        <w:rPr>
          <w:rFonts w:cs="Arial"/>
          <w:color w:val="000000" w:themeColor="text1"/>
          <w:szCs w:val="22"/>
        </w:rPr>
      </w:pPr>
      <w:r w:rsidRPr="00431C83">
        <w:t>Overview:</w:t>
      </w:r>
      <w:r>
        <w:rPr>
          <w:i/>
        </w:rPr>
        <w:t xml:space="preserve"> </w:t>
      </w:r>
      <w:r w:rsidRPr="00431C83">
        <w:rPr>
          <w:rFonts w:cs="Arial"/>
          <w:color w:val="000000" w:themeColor="text1"/>
          <w:szCs w:val="22"/>
        </w:rPr>
        <w:t xml:space="preserve">Baseline water and gas consumption for lavatory faucets were estimated for 8 commercial facilities (5 hotels, 2 schools, 1 restaurant). These estimates were prepared by CLEAResult in March 2016 and were determined by reviewing multiple studies on water consumption in commercial buildings. The purpose of this study was to establish baseline consumption values and estimate the savings that occur from the installation of low-flow faucet aerators. </w:t>
      </w:r>
    </w:p>
    <w:p w14:paraId="65100C8E" w14:textId="77777777" w:rsidR="00166771" w:rsidRDefault="00166771" w:rsidP="00166771">
      <w:pPr>
        <w:pStyle w:val="ListParagraph"/>
        <w:numPr>
          <w:ilvl w:val="0"/>
          <w:numId w:val="21"/>
        </w:numPr>
      </w:pPr>
      <w:r>
        <w:rPr>
          <w:i/>
        </w:rPr>
        <w:t>(</w:t>
      </w:r>
      <w:hyperlink w:anchor="_Attachments" w:history="1">
        <w:r w:rsidRPr="00C27867">
          <w:rPr>
            <w:rStyle w:val="Hyperlink"/>
          </w:rPr>
          <w:t>Attachment D)</w:t>
        </w:r>
      </w:hyperlink>
      <w:r>
        <w:t xml:space="preserve"> </w:t>
      </w:r>
      <w:r w:rsidRPr="00C27867">
        <w:t>Water Consumption Patterns in Hospitals</w:t>
      </w:r>
    </w:p>
    <w:p w14:paraId="33BE9481" w14:textId="77777777" w:rsidR="00166771" w:rsidRDefault="00166771" w:rsidP="00166771">
      <w:pPr>
        <w:pStyle w:val="ListParagraph"/>
        <w:ind w:left="1170"/>
        <w:rPr>
          <w:rFonts w:cs="Arial"/>
          <w:color w:val="000000" w:themeColor="text1"/>
          <w:szCs w:val="22"/>
        </w:rPr>
      </w:pPr>
      <w:r w:rsidRPr="00C27867">
        <w:rPr>
          <w:rFonts w:cs="Arial"/>
          <w:color w:val="000000" w:themeColor="text1"/>
          <w:szCs w:val="22"/>
        </w:rPr>
        <w:t>Overview: Water consumption patterns were measured and analyzed for 19 faucets at 3 hospitals over two 10-day periods by Water Saver Solutions, Inc. in 2016. The first 10-day period measured baseline water consumption patterns before the installation of flow control devices. The second 10-day period measured the post-installation consumption patterns. The purpose of this study was to investigate existing water consumption patterns (e.g. time usage per day, gallons of water consumed per day, length of average usage instance, existing faucet flow rates) at various faucet types and determine the impacts of installing faucet flow control devices.</w:t>
      </w:r>
    </w:p>
    <w:p w14:paraId="3153E870" w14:textId="77777777" w:rsidR="00166771" w:rsidRPr="00587D02" w:rsidRDefault="00166771" w:rsidP="00166771">
      <w:pPr>
        <w:pStyle w:val="ListParagraph"/>
        <w:numPr>
          <w:ilvl w:val="0"/>
          <w:numId w:val="21"/>
        </w:numPr>
        <w:rPr>
          <w:rFonts w:cs="Arial"/>
          <w:color w:val="000000" w:themeColor="text1"/>
          <w:szCs w:val="22"/>
        </w:rPr>
      </w:pPr>
      <w:r>
        <w:rPr>
          <w:i/>
        </w:rPr>
        <w:t>(</w:t>
      </w:r>
      <w:hyperlink w:anchor="_Attachments" w:history="1">
        <w:r w:rsidRPr="00C27867">
          <w:rPr>
            <w:rStyle w:val="Hyperlink"/>
          </w:rPr>
          <w:t>Attachment</w:t>
        </w:r>
        <w:r>
          <w:rPr>
            <w:rStyle w:val="Hyperlink"/>
          </w:rPr>
          <w:t xml:space="preserve"> E</w:t>
        </w:r>
        <w:r w:rsidRPr="00C27867">
          <w:rPr>
            <w:rStyle w:val="Hyperlink"/>
          </w:rPr>
          <w:t>)</w:t>
        </w:r>
      </w:hyperlink>
      <w:r>
        <w:t xml:space="preserve"> </w:t>
      </w:r>
      <w:r w:rsidRPr="00587D02">
        <w:t xml:space="preserve">Existing Fixtures and Water Consumption Patterns in Hotels   </w:t>
      </w:r>
    </w:p>
    <w:p w14:paraId="4944407D" w14:textId="77777777" w:rsidR="00166771" w:rsidRDefault="00166771" w:rsidP="00166771">
      <w:pPr>
        <w:ind w:left="1170"/>
        <w:rPr>
          <w:rFonts w:cs="Arial"/>
          <w:szCs w:val="22"/>
        </w:rPr>
      </w:pPr>
      <w:r w:rsidRPr="00587D02">
        <w:t xml:space="preserve">Overview: </w:t>
      </w:r>
      <w:r w:rsidRPr="00EE0B68">
        <w:rPr>
          <w:rFonts w:cs="Arial"/>
          <w:szCs w:val="22"/>
        </w:rPr>
        <w:t xml:space="preserve">Surveys were conducted by Blackstone Research Solutions, Inc. in 2016 at five hotels to obtain information on the condition of the existing water fixtures at these sites. Faucets at three of the five sites were also metered to gather data on water consumption patterns for these building types. </w:t>
      </w:r>
    </w:p>
    <w:p w14:paraId="6133FB22" w14:textId="5AAA7A79" w:rsidR="000F523A" w:rsidRPr="00166771" w:rsidRDefault="00AA520A" w:rsidP="00166771">
      <w:pPr>
        <w:pStyle w:val="ListParagraph"/>
        <w:numPr>
          <w:ilvl w:val="0"/>
          <w:numId w:val="19"/>
        </w:numPr>
        <w:rPr>
          <w:rFonts w:cs="Arial"/>
          <w:szCs w:val="22"/>
        </w:rPr>
      </w:pPr>
      <w:r w:rsidRPr="00166771">
        <w:rPr>
          <w:rFonts w:cs="Arial"/>
          <w:szCs w:val="22"/>
        </w:rPr>
        <w:t>Work Paper WPSCGNRWH170412A</w:t>
      </w:r>
      <w:r w:rsidR="00BA48FD" w:rsidRPr="00166771">
        <w:rPr>
          <w:rFonts w:cs="Arial"/>
          <w:szCs w:val="22"/>
        </w:rPr>
        <w:t xml:space="preserve"> Revision 01</w:t>
      </w:r>
      <w:r w:rsidRPr="00166771">
        <w:rPr>
          <w:rFonts w:cs="Arial"/>
          <w:szCs w:val="22"/>
        </w:rPr>
        <w:t>: Low Flow Showerheads for Commercial Facilities</w:t>
      </w:r>
      <w:r w:rsidRPr="00166771">
        <w:rPr>
          <w:rFonts w:cstheme="minorHAnsi"/>
          <w:b/>
          <w:sz w:val="56"/>
          <w:szCs w:val="72"/>
        </w:rPr>
        <w:t xml:space="preserve"> </w:t>
      </w:r>
    </w:p>
    <w:p w14:paraId="2FFBB4FC" w14:textId="77777777" w:rsidR="000F523A" w:rsidRDefault="000F523A" w:rsidP="00166771">
      <w:pPr>
        <w:pStyle w:val="ListParagraph"/>
        <w:numPr>
          <w:ilvl w:val="0"/>
          <w:numId w:val="22"/>
        </w:numPr>
        <w:rPr>
          <w:szCs w:val="22"/>
        </w:rPr>
      </w:pPr>
      <w:r w:rsidRPr="000F523A">
        <w:rPr>
          <w:szCs w:val="22"/>
        </w:rPr>
        <w:t>Study Title: Savings Calculations for Commercial Showerheads</w:t>
      </w:r>
      <w:r>
        <w:rPr>
          <w:szCs w:val="22"/>
        </w:rPr>
        <w:t xml:space="preserve"> </w:t>
      </w:r>
    </w:p>
    <w:p w14:paraId="2E465865" w14:textId="638E9D17" w:rsidR="000F523A" w:rsidRDefault="000F523A" w:rsidP="000F523A">
      <w:pPr>
        <w:pStyle w:val="ListParagraph"/>
        <w:ind w:left="1170"/>
        <w:rPr>
          <w:i/>
        </w:rPr>
      </w:pPr>
      <w:r>
        <w:lastRenderedPageBreak/>
        <w:t xml:space="preserve">A study prepared by CLEAResult in March 2016 </w:t>
      </w:r>
      <w:r w:rsidRPr="000F523A">
        <w:rPr>
          <w:i/>
        </w:rPr>
        <w:t>(</w:t>
      </w:r>
      <w:hyperlink w:anchor="_Attachments" w:history="1">
        <w:r w:rsidRPr="008A7BE7">
          <w:rPr>
            <w:rStyle w:val="Hyperlink"/>
          </w:rPr>
          <w:t>Attachment A</w:t>
        </w:r>
      </w:hyperlink>
      <w:r w:rsidRPr="000F523A">
        <w:rPr>
          <w:i/>
        </w:rPr>
        <w:t>)</w:t>
      </w:r>
    </w:p>
    <w:p w14:paraId="4C3BDDAF" w14:textId="0753E2CA" w:rsidR="000F523A" w:rsidRDefault="000F523A" w:rsidP="000F523A">
      <w:pPr>
        <w:pStyle w:val="ListParagraph"/>
        <w:ind w:left="1170"/>
      </w:pPr>
      <w:r>
        <w:t>M</w:t>
      </w:r>
      <w:r w:rsidRPr="00F45582">
        <w:t>ultiple studies were reviewed to find data that was utilized to determine baseline consumption of water and natural gas in</w:t>
      </w:r>
      <w:r>
        <w:t xml:space="preserve"> applications using hot water for</w:t>
      </w:r>
      <w:r w:rsidRPr="00F45582">
        <w:t xml:space="preserve"> showers</w:t>
      </w:r>
      <w:r>
        <w:t xml:space="preserve"> in commercial buildings, Lodging and schools from the commercial sector were selected in this study.</w:t>
      </w:r>
    </w:p>
    <w:p w14:paraId="38300D9D" w14:textId="767822EC" w:rsidR="006434E4" w:rsidRDefault="006434E4" w:rsidP="00166771">
      <w:pPr>
        <w:pStyle w:val="ListParagraph"/>
        <w:numPr>
          <w:ilvl w:val="0"/>
          <w:numId w:val="22"/>
        </w:numPr>
      </w:pPr>
      <w:r>
        <w:t>Field Study: Hot Water Survey</w:t>
      </w:r>
      <w:r w:rsidRPr="009E6BAB">
        <w:t xml:space="preserve"> in </w:t>
      </w:r>
      <w:r>
        <w:t>Hotels</w:t>
      </w:r>
      <w:r w:rsidRPr="009E6BAB">
        <w:t xml:space="preserve"> </w:t>
      </w:r>
      <w:r>
        <w:t>and Motels in SoCal</w:t>
      </w:r>
    </w:p>
    <w:p w14:paraId="1E803259" w14:textId="6AEFCF18" w:rsidR="006434E4" w:rsidRPr="006809D6" w:rsidRDefault="006434E4" w:rsidP="006434E4">
      <w:pPr>
        <w:pStyle w:val="ListParagraph"/>
        <w:ind w:left="1260" w:hanging="90"/>
      </w:pPr>
      <w:r>
        <w:t>An a</w:t>
      </w:r>
      <w:r w:rsidRPr="00007B10">
        <w:t>udit</w:t>
      </w:r>
      <w:r>
        <w:t xml:space="preserve"> performed by Blackstone Research Corp., Inc. in 2016 </w:t>
      </w:r>
      <w:bookmarkStart w:id="37" w:name="_Hlk501367715"/>
      <w:r>
        <w:rPr>
          <w:i/>
        </w:rPr>
        <w:t>(</w:t>
      </w:r>
      <w:hyperlink w:anchor="_Attachments" w:history="1">
        <w:r w:rsidRPr="006434E4">
          <w:rPr>
            <w:rStyle w:val="Hyperlink"/>
          </w:rPr>
          <w:t>Attachment B</w:t>
        </w:r>
      </w:hyperlink>
      <w:r w:rsidRPr="006434E4">
        <w:rPr>
          <w:i/>
        </w:rPr>
        <w:t>)</w:t>
      </w:r>
      <w:bookmarkEnd w:id="37"/>
    </w:p>
    <w:p w14:paraId="37184258" w14:textId="77777777" w:rsidR="006434E4" w:rsidRDefault="006434E4" w:rsidP="006434E4">
      <w:pPr>
        <w:pStyle w:val="ListParagraph"/>
        <w:ind w:left="1170"/>
      </w:pPr>
      <w:r>
        <w:t>This study audited 5 hotels to collect data related to hot water such as water heater efficiencies and input rates, HW set points, faucet flowrates in guestrooms and public</w:t>
      </w:r>
    </w:p>
    <w:p w14:paraId="79E09BE9" w14:textId="5A4C3EEC" w:rsidR="006434E4" w:rsidRDefault="006434E4" w:rsidP="006434E4">
      <w:pPr>
        <w:pStyle w:val="ListParagraph"/>
        <w:ind w:left="1170"/>
      </w:pPr>
      <w:r>
        <w:t>restrooms, showerhead flowrates, hot and cold-water temperatures, monitoring of hot and cold flows, etc.</w:t>
      </w:r>
      <w:r w:rsidRPr="00403079">
        <w:rPr>
          <w:szCs w:val="22"/>
        </w:rPr>
        <w:t xml:space="preserve"> </w:t>
      </w:r>
      <w:r>
        <w:rPr>
          <w:szCs w:val="22"/>
        </w:rPr>
        <w:t>The analysis of the data resulted in an average flowrate for guestroom showerheads at 2.48 GPM. This workpaper adopted the lower flowrate (2.25 GPM) as the pre-existing baseline</w:t>
      </w:r>
      <w:r w:rsidRPr="00007B10">
        <w:t>.</w:t>
      </w:r>
      <w:r>
        <w:t xml:space="preserve"> The same baseline estimate was used in the water and gas savings calculation for schools.</w:t>
      </w:r>
    </w:p>
    <w:p w14:paraId="699D0C72" w14:textId="76909B15" w:rsidR="0084211F" w:rsidRPr="0084211F" w:rsidRDefault="0084211F" w:rsidP="0084211F"/>
    <w:p w14:paraId="087E8DB5" w14:textId="4F3173A2" w:rsidR="008131A5" w:rsidRPr="008131A5" w:rsidRDefault="00E16609" w:rsidP="00E16609">
      <w:pPr>
        <w:pStyle w:val="Heading1"/>
        <w:keepNext w:val="0"/>
        <w:rPr>
          <w:rFonts w:cstheme="minorHAnsi"/>
          <w:b w:val="0"/>
        </w:rPr>
      </w:pPr>
      <w:bookmarkStart w:id="38" w:name="_Toc515621129"/>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36"/>
      <w:r w:rsidR="00755A45" w:rsidRPr="00500C4E">
        <w:rPr>
          <w:rFonts w:cstheme="minorHAnsi"/>
        </w:rPr>
        <w:t xml:space="preserve"> Methodology</w:t>
      </w:r>
      <w:bookmarkStart w:id="39" w:name="_Toc214003093"/>
      <w:bookmarkEnd w:id="38"/>
    </w:p>
    <w:p w14:paraId="4FA4F3E8" w14:textId="4075971B" w:rsidR="008131A5" w:rsidRDefault="008131A5" w:rsidP="00100D77">
      <w:r w:rsidRPr="008131A5">
        <w:t>The sa</w:t>
      </w:r>
      <w:r>
        <w:t xml:space="preserve">vings for these measures will be directly </w:t>
      </w:r>
      <w:r w:rsidR="00E677DD">
        <w:t xml:space="preserve">adopted from the workpapers mentioned in section 1.5. The adoption will occur as described below. </w:t>
      </w:r>
    </w:p>
    <w:p w14:paraId="7A32B136" w14:textId="77777777" w:rsidR="0002630C" w:rsidRDefault="0002630C" w:rsidP="00100D77"/>
    <w:p w14:paraId="143B9ECA" w14:textId="26A70694" w:rsidR="00E677DD" w:rsidRPr="00686049" w:rsidRDefault="00E677DD" w:rsidP="006B0511">
      <w:pPr>
        <w:pStyle w:val="ListParagraph"/>
        <w:numPr>
          <w:ilvl w:val="0"/>
          <w:numId w:val="11"/>
        </w:numPr>
      </w:pPr>
      <w:r>
        <w:rPr>
          <w:szCs w:val="20"/>
        </w:rPr>
        <w:t xml:space="preserve">FCVs in commercial showerheads will adopt savings from </w:t>
      </w:r>
      <w:r w:rsidRPr="000F523A">
        <w:rPr>
          <w:rFonts w:cs="Arial"/>
          <w:szCs w:val="22"/>
        </w:rPr>
        <w:t>WPSCGNRWH170412A</w:t>
      </w:r>
      <w:r>
        <w:rPr>
          <w:rFonts w:cs="Arial"/>
          <w:szCs w:val="22"/>
        </w:rPr>
        <w:t xml:space="preserve"> Revision 01</w:t>
      </w:r>
      <w:r w:rsidRPr="000F523A">
        <w:rPr>
          <w:rFonts w:cs="Arial"/>
          <w:szCs w:val="22"/>
        </w:rPr>
        <w:t>: Low Flow Showerheads for Commercial Facilities</w:t>
      </w:r>
      <w:r>
        <w:rPr>
          <w:rFonts w:cs="Arial"/>
          <w:szCs w:val="22"/>
        </w:rPr>
        <w:t>.</w:t>
      </w:r>
    </w:p>
    <w:p w14:paraId="70B434C7" w14:textId="7B8038DE" w:rsidR="00686049" w:rsidRDefault="00686049" w:rsidP="006B0511">
      <w:pPr>
        <w:pStyle w:val="ListParagraph"/>
        <w:numPr>
          <w:ilvl w:val="0"/>
          <w:numId w:val="11"/>
        </w:numPr>
      </w:pPr>
      <w:r>
        <w:rPr>
          <w:szCs w:val="20"/>
        </w:rPr>
        <w:t>FCVs in c</w:t>
      </w:r>
      <w:r w:rsidRPr="00D51992">
        <w:rPr>
          <w:szCs w:val="20"/>
        </w:rPr>
        <w:t>om</w:t>
      </w:r>
      <w:r>
        <w:rPr>
          <w:szCs w:val="20"/>
        </w:rPr>
        <w:t>mercial</w:t>
      </w:r>
      <w:r w:rsidR="004E08D1">
        <w:rPr>
          <w:szCs w:val="20"/>
        </w:rPr>
        <w:t xml:space="preserve"> f</w:t>
      </w:r>
      <w:r w:rsidRPr="00D51992">
        <w:rPr>
          <w:szCs w:val="20"/>
        </w:rPr>
        <w:t>aucet</w:t>
      </w:r>
      <w:r>
        <w:rPr>
          <w:szCs w:val="20"/>
        </w:rPr>
        <w:t xml:space="preserve">s will adopt savings from </w:t>
      </w:r>
      <w:r w:rsidRPr="001D41ED">
        <w:t>WPSCGNRWH16122A</w:t>
      </w:r>
      <w:r>
        <w:t xml:space="preserve"> Revision 0: </w:t>
      </w:r>
      <w:r w:rsidR="004E08D1">
        <w:t>Aerators for faucets in commercial b</w:t>
      </w:r>
      <w:r w:rsidRPr="001D41ED">
        <w:t>uildings</w:t>
      </w:r>
      <w:r>
        <w:t>.</w:t>
      </w:r>
    </w:p>
    <w:p w14:paraId="572A875E" w14:textId="77777777" w:rsidR="004E08D1" w:rsidRDefault="004E08D1" w:rsidP="006B0511">
      <w:pPr>
        <w:pStyle w:val="ListParagraph"/>
        <w:numPr>
          <w:ilvl w:val="0"/>
          <w:numId w:val="11"/>
        </w:numPr>
      </w:pPr>
      <w:r w:rsidRPr="00D51992">
        <w:rPr>
          <w:szCs w:val="20"/>
        </w:rPr>
        <w:t>FCV</w:t>
      </w:r>
      <w:r>
        <w:rPr>
          <w:szCs w:val="20"/>
        </w:rPr>
        <w:t>s in r</w:t>
      </w:r>
      <w:r w:rsidRPr="00D51992">
        <w:rPr>
          <w:szCs w:val="20"/>
        </w:rPr>
        <w:t>es</w:t>
      </w:r>
      <w:r>
        <w:rPr>
          <w:szCs w:val="20"/>
        </w:rPr>
        <w:t>idential s</w:t>
      </w:r>
      <w:r w:rsidRPr="00D51992">
        <w:rPr>
          <w:szCs w:val="20"/>
        </w:rPr>
        <w:t>howerhead</w:t>
      </w:r>
      <w:r>
        <w:rPr>
          <w:szCs w:val="20"/>
        </w:rPr>
        <w:t xml:space="preserve">s will adopt savings from </w:t>
      </w:r>
      <w:r w:rsidRPr="00BA48FD">
        <w:t>SCGWP100303A</w:t>
      </w:r>
      <w:r>
        <w:t xml:space="preserve"> Revision 05: Low-Flow Showerheads.</w:t>
      </w:r>
    </w:p>
    <w:p w14:paraId="4076C31F" w14:textId="6F4ACE6F" w:rsidR="00540848" w:rsidRPr="00540848" w:rsidRDefault="004E08D1" w:rsidP="00540848">
      <w:pPr>
        <w:pStyle w:val="ListParagraph"/>
        <w:numPr>
          <w:ilvl w:val="0"/>
          <w:numId w:val="11"/>
        </w:numPr>
      </w:pPr>
      <w:r>
        <w:rPr>
          <w:szCs w:val="20"/>
        </w:rPr>
        <w:t>FCVs in residential f</w:t>
      </w:r>
      <w:r w:rsidRPr="00D51992">
        <w:rPr>
          <w:szCs w:val="20"/>
        </w:rPr>
        <w:t>aucet</w:t>
      </w:r>
      <w:r>
        <w:rPr>
          <w:szCs w:val="20"/>
        </w:rPr>
        <w:t xml:space="preserve">s will adopt savings from </w:t>
      </w:r>
      <w:r w:rsidRPr="001F508E">
        <w:rPr>
          <w:rFonts w:cs="Arial"/>
          <w:szCs w:val="22"/>
        </w:rPr>
        <w:t>WPSCGNRWH120618A Revision 03: Faucet Aerators for Bathroom/Kitchen Sinks in Residential Buildings</w:t>
      </w:r>
      <w:r>
        <w:rPr>
          <w:rFonts w:cs="Arial"/>
          <w:szCs w:val="22"/>
        </w:rPr>
        <w:t>.</w:t>
      </w:r>
    </w:p>
    <w:p w14:paraId="631D098F" w14:textId="77777777" w:rsidR="00540848" w:rsidRDefault="00540848" w:rsidP="00D90BBF"/>
    <w:p w14:paraId="082E1160" w14:textId="0210771E" w:rsidR="00540848" w:rsidRPr="00934DDB" w:rsidRDefault="00540848" w:rsidP="00D90BBF">
      <w:r>
        <w:t xml:space="preserve">The adaptation of savings from the respective </w:t>
      </w:r>
      <w:r w:rsidR="00D90BBF">
        <w:t xml:space="preserve">workpapers is </w:t>
      </w:r>
      <w:r>
        <w:t xml:space="preserve">adequate due to flow control valves restricting the flow as aerators and low flow showerheads do. </w:t>
      </w:r>
      <w:r w:rsidR="00D90BBF">
        <w:t>This measure</w:t>
      </w:r>
      <w:r>
        <w:t xml:space="preserve"> as aerators and low flow showerheads provide savings by reducing the flow to a </w:t>
      </w:r>
      <w:r w:rsidR="00D90BBF">
        <w:t>finite</w:t>
      </w:r>
      <w:r>
        <w:t xml:space="preserve"> value</w:t>
      </w:r>
      <w:r w:rsidR="00D90BBF">
        <w:t xml:space="preserve"> and in effect offsetting the hot water demand. The hot water demand offset reduces the energy consumed at the heating source thus energy savings occur. Flow control valves, low flow showerheads and aerators are flow restrictors and due to this nature, the energy effects are uniform. </w:t>
      </w:r>
    </w:p>
    <w:p w14:paraId="01E2A4BC" w14:textId="72E4A429" w:rsidR="00934DDB" w:rsidRDefault="00934DDB" w:rsidP="00934DDB"/>
    <w:p w14:paraId="487AAA1C" w14:textId="1CDDADB2" w:rsidR="00934DDB" w:rsidRPr="006D561C" w:rsidRDefault="00934DDB" w:rsidP="006D561C">
      <w:pPr>
        <w:rPr>
          <w:rFonts w:cstheme="minorHAnsi"/>
        </w:rPr>
      </w:pPr>
      <w:r>
        <w:t>For flow control valves in faucets, two units will be required, one in</w:t>
      </w:r>
      <w:r w:rsidR="00274DEF">
        <w:t xml:space="preserve"> each line, cold and hot</w:t>
      </w:r>
      <w:r>
        <w:t>. The addition of two controlling valves will allow for the proper mixture of hot</w:t>
      </w:r>
      <w:r w:rsidR="00E339EE">
        <w:t xml:space="preserve"> and cold</w:t>
      </w:r>
      <w:r>
        <w:t xml:space="preserve"> water to the temperature</w:t>
      </w:r>
      <w:r w:rsidR="00990DEF">
        <w:t xml:space="preserve"> specified</w:t>
      </w:r>
      <w:r w:rsidR="00B07699">
        <w:t xml:space="preserve"> </w:t>
      </w:r>
      <w:r w:rsidR="00990DEF">
        <w:t>for savings purposes</w:t>
      </w:r>
      <w:r>
        <w:t>.</w:t>
      </w:r>
      <w:r w:rsidR="00990DEF">
        <w:t xml:space="preserve"> </w:t>
      </w:r>
    </w:p>
    <w:p w14:paraId="77642C01" w14:textId="13C563B4" w:rsidR="00934DDB" w:rsidRDefault="00934DDB" w:rsidP="00934DDB"/>
    <w:p w14:paraId="168EBDB8" w14:textId="0BD74AC4" w:rsidR="0017092E" w:rsidRDefault="0017092E" w:rsidP="00934DDB"/>
    <w:p w14:paraId="5D5BEC96" w14:textId="424A714E" w:rsidR="0017092E" w:rsidRDefault="0017092E" w:rsidP="00934DDB"/>
    <w:p w14:paraId="3CE99168" w14:textId="603D37D5" w:rsidR="0017092E" w:rsidRDefault="0017092E" w:rsidP="00934DDB"/>
    <w:p w14:paraId="2793C6BD" w14:textId="77777777" w:rsidR="0017092E" w:rsidRPr="004E08D1" w:rsidRDefault="0017092E" w:rsidP="00934DDB"/>
    <w:p w14:paraId="548F644F" w14:textId="292CB201" w:rsidR="00E16609" w:rsidRPr="00500C4E" w:rsidRDefault="00E16609" w:rsidP="00E16609">
      <w:pPr>
        <w:pStyle w:val="Heading1"/>
        <w:keepNext w:val="0"/>
        <w:rPr>
          <w:rFonts w:cstheme="minorHAnsi"/>
        </w:rPr>
      </w:pPr>
      <w:bookmarkStart w:id="40" w:name="_Toc515621130"/>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39"/>
      <w:r w:rsidRPr="00500C4E">
        <w:rPr>
          <w:rFonts w:cstheme="minorHAnsi"/>
        </w:rPr>
        <w:t>s</w:t>
      </w:r>
      <w:bookmarkEnd w:id="40"/>
    </w:p>
    <w:p w14:paraId="3A75F574" w14:textId="7C4E0F6C" w:rsidR="00FA2CFB" w:rsidRDefault="00FA2CFB" w:rsidP="00FA2CFB">
      <w:pPr>
        <w:pStyle w:val="Caption"/>
        <w:keepNext/>
      </w:pPr>
      <w:bookmarkStart w:id="41" w:name="_Toc515621156"/>
      <w:r>
        <w:t xml:space="preserve">Table </w:t>
      </w:r>
      <w:fldSimple w:instr=" SEQ Table \* ROMAN ">
        <w:r w:rsidR="00F82FD8">
          <w:rPr>
            <w:noProof/>
          </w:rPr>
          <w:t>X</w:t>
        </w:r>
      </w:fldSimple>
      <w:r>
        <w:t xml:space="preserve">: </w:t>
      </w:r>
      <w:r w:rsidRPr="003D71C0">
        <w:t>Building Types and Load Shapes</w:t>
      </w:r>
      <w:bookmarkEnd w:id="41"/>
    </w:p>
    <w:tbl>
      <w:tblPr>
        <w:tblStyle w:val="TableGrid1"/>
        <w:tblW w:w="5000" w:type="pct"/>
        <w:tblLook w:val="01E0" w:firstRow="1" w:lastRow="1" w:firstColumn="1" w:lastColumn="1" w:noHBand="0" w:noVBand="0"/>
      </w:tblPr>
      <w:tblGrid>
        <w:gridCol w:w="3153"/>
        <w:gridCol w:w="3327"/>
        <w:gridCol w:w="2870"/>
      </w:tblGrid>
      <w:tr w:rsidR="00263C1C" w:rsidRPr="00500C4E" w14:paraId="3755B153" w14:textId="77777777" w:rsidTr="00920905">
        <w:tc>
          <w:tcPr>
            <w:tcW w:w="1686" w:type="pct"/>
            <w:shd w:val="clear" w:color="auto" w:fill="D9D9D9" w:themeFill="background1" w:themeFillShade="D9"/>
          </w:tcPr>
          <w:p w14:paraId="3AE37BA0"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40A8609"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2C4EA19"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6FE848C6" w14:textId="77777777" w:rsidTr="00920905">
        <w:tc>
          <w:tcPr>
            <w:tcW w:w="1686" w:type="pct"/>
          </w:tcPr>
          <w:p w14:paraId="6D809ABC" w14:textId="32B55495" w:rsidR="00263C1C" w:rsidRPr="00920905" w:rsidRDefault="00C3128C" w:rsidP="00BA2E7E">
            <w:pPr>
              <w:rPr>
                <w:rFonts w:cstheme="minorHAnsi"/>
                <w:color w:val="FF0000"/>
                <w:szCs w:val="20"/>
              </w:rPr>
            </w:pPr>
            <w:r>
              <w:rPr>
                <w:rFonts w:cstheme="minorHAnsi"/>
                <w:szCs w:val="20"/>
              </w:rPr>
              <w:t>Com</w:t>
            </w:r>
            <w:r w:rsidR="00D80AAD">
              <w:rPr>
                <w:rFonts w:cstheme="minorHAnsi"/>
                <w:szCs w:val="20"/>
              </w:rPr>
              <w:t>mercial</w:t>
            </w:r>
          </w:p>
        </w:tc>
        <w:tc>
          <w:tcPr>
            <w:tcW w:w="1779" w:type="pct"/>
          </w:tcPr>
          <w:p w14:paraId="79BD197A" w14:textId="7ACC3758" w:rsidR="00263C1C" w:rsidRPr="00920905" w:rsidRDefault="00D80AAD" w:rsidP="00BA2E7E">
            <w:pPr>
              <w:rPr>
                <w:rFonts w:cstheme="minorHAnsi"/>
                <w:color w:val="FF0000"/>
                <w:szCs w:val="20"/>
              </w:rPr>
            </w:pPr>
            <w:r>
              <w:rPr>
                <w:rFonts w:cstheme="minorHAnsi"/>
                <w:szCs w:val="20"/>
              </w:rPr>
              <w:t>Misc. Commercial</w:t>
            </w:r>
          </w:p>
        </w:tc>
        <w:tc>
          <w:tcPr>
            <w:tcW w:w="1535" w:type="pct"/>
          </w:tcPr>
          <w:p w14:paraId="66874ED6" w14:textId="2AAEBB9F" w:rsidR="00263C1C" w:rsidRPr="00920905" w:rsidRDefault="00D80AAD" w:rsidP="00BA2E7E">
            <w:pPr>
              <w:rPr>
                <w:rFonts w:cstheme="minorHAnsi"/>
                <w:color w:val="FF0000"/>
                <w:szCs w:val="20"/>
              </w:rPr>
            </w:pPr>
            <w:r w:rsidRPr="00D80AAD">
              <w:rPr>
                <w:rFonts w:cstheme="minorHAnsi"/>
                <w:szCs w:val="20"/>
              </w:rPr>
              <w:t>DHW HtPmp</w:t>
            </w:r>
          </w:p>
        </w:tc>
      </w:tr>
      <w:tr w:rsidR="001601C9" w:rsidRPr="00500C4E" w14:paraId="3D52638C" w14:textId="77777777" w:rsidTr="00920905">
        <w:tc>
          <w:tcPr>
            <w:tcW w:w="1686" w:type="pct"/>
          </w:tcPr>
          <w:p w14:paraId="3D3CB663" w14:textId="0616E8FA" w:rsidR="001601C9" w:rsidRPr="00920905" w:rsidRDefault="001601C9" w:rsidP="001601C9">
            <w:pPr>
              <w:rPr>
                <w:rFonts w:cstheme="minorHAnsi"/>
                <w:color w:val="FF0000"/>
                <w:szCs w:val="20"/>
              </w:rPr>
            </w:pPr>
            <w:r>
              <w:rPr>
                <w:rFonts w:cstheme="minorHAnsi"/>
                <w:szCs w:val="20"/>
              </w:rPr>
              <w:t>Residential</w:t>
            </w:r>
          </w:p>
        </w:tc>
        <w:tc>
          <w:tcPr>
            <w:tcW w:w="1779" w:type="pct"/>
          </w:tcPr>
          <w:p w14:paraId="5D2DC184" w14:textId="36C5043A" w:rsidR="001601C9" w:rsidRPr="00920905" w:rsidRDefault="001601C9" w:rsidP="001601C9">
            <w:pPr>
              <w:rPr>
                <w:rFonts w:cstheme="minorHAnsi"/>
                <w:color w:val="FF0000"/>
                <w:szCs w:val="20"/>
              </w:rPr>
            </w:pPr>
            <w:r>
              <w:rPr>
                <w:rFonts w:cstheme="minorHAnsi"/>
                <w:szCs w:val="20"/>
              </w:rPr>
              <w:t>Residential</w:t>
            </w:r>
          </w:p>
        </w:tc>
        <w:tc>
          <w:tcPr>
            <w:tcW w:w="1535" w:type="pct"/>
          </w:tcPr>
          <w:p w14:paraId="3F65BEB8" w14:textId="3F3FF4F2" w:rsidR="001601C9" w:rsidRPr="00920905" w:rsidRDefault="001601C9" w:rsidP="001601C9">
            <w:pPr>
              <w:rPr>
                <w:rFonts w:cstheme="minorHAnsi"/>
                <w:color w:val="FF0000"/>
                <w:szCs w:val="20"/>
              </w:rPr>
            </w:pPr>
            <w:r>
              <w:rPr>
                <w:rFonts w:cstheme="minorHAnsi"/>
                <w:szCs w:val="20"/>
              </w:rPr>
              <w:t>HeatPump_WtrHt-RC</w:t>
            </w:r>
          </w:p>
        </w:tc>
      </w:tr>
    </w:tbl>
    <w:p w14:paraId="1CC1CF5F" w14:textId="77777777" w:rsidR="005552C3" w:rsidRDefault="00F95E2F" w:rsidP="00920905">
      <w:pPr>
        <w:pStyle w:val="Heading1"/>
      </w:pPr>
      <w:bookmarkStart w:id="42" w:name="_Toc515621131"/>
      <w:r>
        <w:t>Section 4. Costs</w:t>
      </w:r>
      <w:bookmarkEnd w:id="42"/>
    </w:p>
    <w:p w14:paraId="523D3D5D" w14:textId="6282A671" w:rsidR="00BD5F58" w:rsidRPr="00920905" w:rsidRDefault="00EC4D8E" w:rsidP="00920905">
      <w:pPr>
        <w:rPr>
          <w:color w:val="FF0000"/>
        </w:rPr>
      </w:pPr>
      <w:r>
        <w:t>There are currently only a few manufacturers of flow control valves and the cost was only available for one. The cost found will be used as the material</w:t>
      </w:r>
      <w:r w:rsidR="006D1714">
        <w:t xml:space="preserve"> cost</w:t>
      </w:r>
      <w:r>
        <w:t>.</w:t>
      </w:r>
      <w:r w:rsidR="004641B5">
        <w:t xml:space="preserve"> </w:t>
      </w:r>
      <w:r>
        <w:t>Labor cost is expected to be th</w:t>
      </w:r>
      <w:r w:rsidR="00191D98">
        <w:t xml:space="preserve">e same as the </w:t>
      </w:r>
      <w:r>
        <w:t>workpaper</w:t>
      </w:r>
      <w:r w:rsidR="00191D98">
        <w:t>s</w:t>
      </w:r>
      <w:r>
        <w:t xml:space="preserve"> for showerheads and aerators</w:t>
      </w:r>
      <w:r w:rsidR="00191D98">
        <w:t xml:space="preserve"> at each respective sector</w:t>
      </w:r>
      <w:r w:rsidR="004641B5">
        <w:t xml:space="preserve"> from which the savings are adopted</w:t>
      </w:r>
      <w:r w:rsidR="00191D98">
        <w:t xml:space="preserve">. </w:t>
      </w:r>
      <w:r>
        <w:t xml:space="preserve"> </w:t>
      </w:r>
    </w:p>
    <w:p w14:paraId="0C064652" w14:textId="77777777" w:rsidR="00E16609" w:rsidRDefault="00E16609" w:rsidP="00824F1C">
      <w:pPr>
        <w:pStyle w:val="Heading2"/>
        <w:rPr>
          <w:rFonts w:asciiTheme="minorHAnsi" w:hAnsiTheme="minorHAnsi" w:cstheme="minorHAnsi"/>
        </w:rPr>
      </w:pPr>
      <w:bookmarkStart w:id="43" w:name="_MON_1399297811"/>
      <w:bookmarkStart w:id="44" w:name="_Toc214003097"/>
      <w:bookmarkStart w:id="45" w:name="_Toc515621132"/>
      <w:bookmarkEnd w:id="43"/>
      <w:r w:rsidRPr="00500C4E">
        <w:rPr>
          <w:rFonts w:asciiTheme="minorHAnsi" w:hAnsiTheme="minorHAnsi" w:cstheme="minorHAnsi"/>
        </w:rPr>
        <w:t>4.1 Base Case Cost</w:t>
      </w:r>
      <w:bookmarkEnd w:id="44"/>
      <w:bookmarkEnd w:id="45"/>
    </w:p>
    <w:p w14:paraId="67C474B4" w14:textId="4111736B" w:rsidR="00FE5FAF" w:rsidRPr="00920905" w:rsidRDefault="006D1714" w:rsidP="00920905">
      <w:pPr>
        <w:rPr>
          <w:color w:val="FF0000"/>
        </w:rPr>
      </w:pPr>
      <w:r w:rsidRPr="006D1714">
        <w:t xml:space="preserve">The base case cost is zero as this will be not applying any measure. </w:t>
      </w:r>
    </w:p>
    <w:p w14:paraId="76BE1114" w14:textId="77777777" w:rsidR="005A0E53" w:rsidRPr="00500C4E" w:rsidRDefault="005A0E53" w:rsidP="005A0E53">
      <w:pPr>
        <w:pStyle w:val="Heading2"/>
        <w:rPr>
          <w:rFonts w:asciiTheme="minorHAnsi" w:hAnsiTheme="minorHAnsi" w:cstheme="minorHAnsi"/>
        </w:rPr>
      </w:pPr>
      <w:bookmarkStart w:id="46" w:name="_Toc515621133"/>
      <w:bookmarkStart w:id="47" w:name="_Toc214003098"/>
      <w:r w:rsidRPr="00500C4E">
        <w:rPr>
          <w:rFonts w:asciiTheme="minorHAnsi" w:hAnsiTheme="minorHAnsi" w:cstheme="minorHAnsi"/>
        </w:rPr>
        <w:t>4.2 Measure Case Cost</w:t>
      </w:r>
      <w:bookmarkEnd w:id="46"/>
    </w:p>
    <w:p w14:paraId="19F8B71C" w14:textId="2BC0B77A" w:rsidR="004641B5" w:rsidRDefault="006D1714" w:rsidP="00FE5FAF">
      <w:r w:rsidRPr="006D1714">
        <w:t>The measure cost will be the same as the IMC.</w:t>
      </w:r>
      <w:r w:rsidR="00444692">
        <w:t xml:space="preserve"> For shower</w:t>
      </w:r>
      <w:r w:rsidR="00A03BF4">
        <w:t>head FCVs</w:t>
      </w:r>
      <w:r w:rsidR="00444692">
        <w:t xml:space="preserve"> the material cost found is $25.00 per unit. Faucet FCVs are sold in pairs for a price of $25.00, this price will be used for material cost for faucet applications as the measure must be installed in pairs. </w:t>
      </w:r>
      <w:r w:rsidR="00DF26BB">
        <w:t>The labor cost</w:t>
      </w:r>
      <w:r w:rsidR="004641B5">
        <w:t xml:space="preserve"> will be adopted from the workpaper from which the savings are adopted, the installation of FCVs are of the same nat</w:t>
      </w:r>
      <w:r w:rsidR="00A03BF4">
        <w:t xml:space="preserve">ure as installing an aerator on </w:t>
      </w:r>
      <w:r w:rsidR="004641B5">
        <w:t>faucets</w:t>
      </w:r>
      <w:r w:rsidR="00A03BF4">
        <w:t>, or a low flow showerhead</w:t>
      </w:r>
      <w:r w:rsidR="004641B5">
        <w:t xml:space="preserve">. Labor for each application is described below. </w:t>
      </w:r>
    </w:p>
    <w:p w14:paraId="74A2177C" w14:textId="7B8F7B3C" w:rsidR="00FE5FAF" w:rsidRDefault="004641B5" w:rsidP="006B0511">
      <w:pPr>
        <w:pStyle w:val="ListParagraph"/>
        <w:numPr>
          <w:ilvl w:val="0"/>
          <w:numId w:val="12"/>
        </w:numPr>
      </w:pPr>
      <w:r>
        <w:t>FCVs</w:t>
      </w:r>
      <w:r w:rsidR="00A03BF4">
        <w:t xml:space="preserve"> in commercial </w:t>
      </w:r>
      <w:r w:rsidR="006641D3">
        <w:t xml:space="preserve">and residential </w:t>
      </w:r>
      <w:r w:rsidR="00A03BF4">
        <w:t xml:space="preserve">faucets will adopt labor cost from </w:t>
      </w:r>
      <w:r>
        <w:t>workpa</w:t>
      </w:r>
      <w:r w:rsidR="00A03BF4">
        <w:t xml:space="preserve">per </w:t>
      </w:r>
      <w:r w:rsidR="0017092E" w:rsidRPr="00BA48FD">
        <w:t>SCGWP100303A</w:t>
      </w:r>
      <w:r w:rsidR="0017092E">
        <w:t xml:space="preserve"> Revision 05: Low-Flow Showerheads, at $16.74 per fixture, however the installer will have to work on the cold and hot water fixture therefore the </w:t>
      </w:r>
      <w:r w:rsidR="00D826B4">
        <w:t>labor cost will be multiplied by</w:t>
      </w:r>
      <w:r w:rsidR="0017092E">
        <w:t xml:space="preserve"> a factor of 2, for total labor cost of ($16.74 * 2 = $33.48).</w:t>
      </w:r>
    </w:p>
    <w:p w14:paraId="0CBB9D9E" w14:textId="7B194ABC" w:rsidR="00CC59BC" w:rsidRDefault="00CC59BC" w:rsidP="006B0511">
      <w:pPr>
        <w:pStyle w:val="ListParagraph"/>
        <w:numPr>
          <w:ilvl w:val="0"/>
          <w:numId w:val="12"/>
        </w:numPr>
      </w:pPr>
      <w:r>
        <w:t>FCVs in commercial</w:t>
      </w:r>
      <w:r w:rsidR="00D83A21">
        <w:t xml:space="preserve"> and residential </w:t>
      </w:r>
      <w:r>
        <w:t xml:space="preserve">showerheads will adopt labor cost from workpaper </w:t>
      </w:r>
      <w:r w:rsidR="00D83A21" w:rsidRPr="00BA48FD">
        <w:t>SCGWP100303A</w:t>
      </w:r>
      <w:r w:rsidR="00D83A21">
        <w:t xml:space="preserve"> Revision 05: Low-Flow Showerheads, at $16.74 per fixture.</w:t>
      </w:r>
    </w:p>
    <w:p w14:paraId="096BED8E" w14:textId="77777777" w:rsidR="00E16609" w:rsidRDefault="005A0E53" w:rsidP="00E16609">
      <w:pPr>
        <w:pStyle w:val="Heading2"/>
        <w:keepNext w:val="0"/>
        <w:rPr>
          <w:rFonts w:asciiTheme="minorHAnsi" w:hAnsiTheme="minorHAnsi" w:cstheme="minorHAnsi"/>
        </w:rPr>
      </w:pPr>
      <w:bookmarkStart w:id="48" w:name="_Toc515621134"/>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7"/>
      <w:bookmarkEnd w:id="48"/>
    </w:p>
    <w:p w14:paraId="7C5088A8" w14:textId="4359927D" w:rsidR="00FA2CFB" w:rsidRDefault="00FA2CFB" w:rsidP="00FA2CFB">
      <w:pPr>
        <w:pStyle w:val="Caption"/>
        <w:keepNext/>
      </w:pPr>
      <w:bookmarkStart w:id="49" w:name="_Toc515621157"/>
      <w:r>
        <w:t xml:space="preserve">Table </w:t>
      </w:r>
      <w:fldSimple w:instr=" SEQ Table \* ROMAN ">
        <w:r w:rsidR="00F82FD8">
          <w:rPr>
            <w:noProof/>
          </w:rPr>
          <w:t>XI</w:t>
        </w:r>
      </w:fldSimple>
      <w:r>
        <w:t xml:space="preserve">: </w:t>
      </w:r>
      <w:r w:rsidRPr="00D112B1">
        <w:t>Full and In</w:t>
      </w:r>
      <w:r>
        <w:t>cremental Measure Cost</w:t>
      </w:r>
      <w:bookmarkEnd w:id="49"/>
      <w:r>
        <w:t xml:space="preserve"> </w:t>
      </w:r>
    </w:p>
    <w:tbl>
      <w:tblPr>
        <w:tblStyle w:val="TableGrid1"/>
        <w:tblW w:w="5000" w:type="pct"/>
        <w:tblLayout w:type="fixed"/>
        <w:tblLook w:val="01E0" w:firstRow="1" w:lastRow="1" w:firstColumn="1" w:lastColumn="1" w:noHBand="0" w:noVBand="0"/>
      </w:tblPr>
      <w:tblGrid>
        <w:gridCol w:w="1689"/>
        <w:gridCol w:w="1230"/>
        <w:gridCol w:w="2725"/>
        <w:gridCol w:w="2283"/>
        <w:gridCol w:w="1423"/>
      </w:tblGrid>
      <w:tr w:rsidR="0012718B" w:rsidRPr="00500C4E" w14:paraId="3E77CEFE" w14:textId="77777777" w:rsidTr="0012718B">
        <w:tc>
          <w:tcPr>
            <w:tcW w:w="903" w:type="pct"/>
            <w:vMerge w:val="restart"/>
            <w:shd w:val="clear" w:color="auto" w:fill="D9D9D9" w:themeFill="background1" w:themeFillShade="D9"/>
          </w:tcPr>
          <w:p w14:paraId="4E093CF5" w14:textId="48ED2B6B" w:rsidR="0012718B" w:rsidRDefault="0012718B" w:rsidP="00175D14">
            <w:pPr>
              <w:rPr>
                <w:rFonts w:cstheme="minorHAnsi"/>
                <w:b/>
                <w:szCs w:val="20"/>
              </w:rPr>
            </w:pPr>
            <w:r>
              <w:rPr>
                <w:rFonts w:cstheme="minorHAnsi"/>
                <w:b/>
                <w:szCs w:val="20"/>
              </w:rPr>
              <w:t>Application</w:t>
            </w:r>
          </w:p>
        </w:tc>
        <w:tc>
          <w:tcPr>
            <w:tcW w:w="658" w:type="pct"/>
            <w:vMerge w:val="restart"/>
            <w:shd w:val="clear" w:color="auto" w:fill="D9D9D9" w:themeFill="background1" w:themeFillShade="D9"/>
          </w:tcPr>
          <w:p w14:paraId="69CF6AEE" w14:textId="10F2CF59" w:rsidR="0012718B" w:rsidRPr="00DE77D0" w:rsidRDefault="0012718B" w:rsidP="00175D14">
            <w:pPr>
              <w:rPr>
                <w:rFonts w:cstheme="minorHAnsi"/>
                <w:b/>
                <w:szCs w:val="20"/>
                <w:highlight w:val="yellow"/>
              </w:rPr>
            </w:pPr>
            <w:r>
              <w:rPr>
                <w:rFonts w:cstheme="minorHAnsi"/>
                <w:b/>
                <w:szCs w:val="20"/>
              </w:rPr>
              <w:t>Installation Type</w:t>
            </w:r>
          </w:p>
        </w:tc>
        <w:tc>
          <w:tcPr>
            <w:tcW w:w="1457" w:type="pct"/>
            <w:vMerge w:val="restart"/>
            <w:shd w:val="clear" w:color="auto" w:fill="D9D9D9" w:themeFill="background1" w:themeFillShade="D9"/>
          </w:tcPr>
          <w:p w14:paraId="55460F71" w14:textId="77777777" w:rsidR="0012718B" w:rsidRPr="00DE77D0" w:rsidRDefault="0012718B" w:rsidP="00175D14">
            <w:pPr>
              <w:rPr>
                <w:rFonts w:cstheme="minorHAnsi"/>
                <w:b/>
                <w:szCs w:val="20"/>
              </w:rPr>
            </w:pPr>
            <w:r>
              <w:rPr>
                <w:rFonts w:cstheme="minorHAnsi"/>
                <w:b/>
                <w:szCs w:val="20"/>
              </w:rPr>
              <w:t>Incremental Measure Cost</w:t>
            </w:r>
          </w:p>
        </w:tc>
        <w:tc>
          <w:tcPr>
            <w:tcW w:w="1982" w:type="pct"/>
            <w:gridSpan w:val="2"/>
            <w:shd w:val="clear" w:color="auto" w:fill="D9D9D9" w:themeFill="background1" w:themeFillShade="D9"/>
          </w:tcPr>
          <w:p w14:paraId="7BCB39DD" w14:textId="77777777" w:rsidR="0012718B" w:rsidRPr="00DE77D0" w:rsidRDefault="0012718B" w:rsidP="00175D14">
            <w:pPr>
              <w:rPr>
                <w:rFonts w:cstheme="minorHAnsi"/>
                <w:b/>
                <w:szCs w:val="20"/>
                <w:highlight w:val="yellow"/>
              </w:rPr>
            </w:pPr>
            <w:r>
              <w:rPr>
                <w:rFonts w:cstheme="minorHAnsi"/>
                <w:b/>
                <w:szCs w:val="20"/>
              </w:rPr>
              <w:t>Full Measure Cost</w:t>
            </w:r>
          </w:p>
        </w:tc>
      </w:tr>
      <w:tr w:rsidR="0012718B" w:rsidRPr="00500C4E" w14:paraId="3C39B4B6" w14:textId="77777777" w:rsidTr="0012718B">
        <w:tc>
          <w:tcPr>
            <w:tcW w:w="903" w:type="pct"/>
            <w:vMerge/>
            <w:shd w:val="clear" w:color="auto" w:fill="D9D9D9" w:themeFill="background1" w:themeFillShade="D9"/>
          </w:tcPr>
          <w:p w14:paraId="03F7EB70" w14:textId="77777777" w:rsidR="0012718B" w:rsidRPr="00DE77D0" w:rsidRDefault="0012718B" w:rsidP="00175D14">
            <w:pPr>
              <w:rPr>
                <w:rFonts w:cstheme="minorHAnsi"/>
                <w:b/>
                <w:szCs w:val="20"/>
              </w:rPr>
            </w:pPr>
          </w:p>
        </w:tc>
        <w:tc>
          <w:tcPr>
            <w:tcW w:w="658" w:type="pct"/>
            <w:vMerge/>
            <w:shd w:val="clear" w:color="auto" w:fill="D9D9D9" w:themeFill="background1" w:themeFillShade="D9"/>
          </w:tcPr>
          <w:p w14:paraId="154CBBEB" w14:textId="6D12C40C" w:rsidR="0012718B" w:rsidRPr="00DE77D0" w:rsidRDefault="0012718B" w:rsidP="00175D14">
            <w:pPr>
              <w:rPr>
                <w:rFonts w:cstheme="minorHAnsi"/>
                <w:b/>
                <w:szCs w:val="20"/>
              </w:rPr>
            </w:pPr>
          </w:p>
        </w:tc>
        <w:tc>
          <w:tcPr>
            <w:tcW w:w="1457" w:type="pct"/>
            <w:vMerge/>
            <w:shd w:val="clear" w:color="auto" w:fill="D9D9D9" w:themeFill="background1" w:themeFillShade="D9"/>
          </w:tcPr>
          <w:p w14:paraId="3BD1F173" w14:textId="77777777" w:rsidR="0012718B" w:rsidRPr="00DE77D0" w:rsidRDefault="0012718B" w:rsidP="00175D14">
            <w:pPr>
              <w:rPr>
                <w:rFonts w:cstheme="minorHAnsi"/>
                <w:b/>
                <w:szCs w:val="20"/>
              </w:rPr>
            </w:pPr>
          </w:p>
        </w:tc>
        <w:tc>
          <w:tcPr>
            <w:tcW w:w="1221" w:type="pct"/>
            <w:shd w:val="clear" w:color="auto" w:fill="F2F2F2" w:themeFill="background1" w:themeFillShade="F2"/>
          </w:tcPr>
          <w:p w14:paraId="0028A2C5" w14:textId="77777777" w:rsidR="0012718B" w:rsidRPr="00DE77D0" w:rsidRDefault="0012718B"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761" w:type="pct"/>
            <w:shd w:val="clear" w:color="auto" w:fill="F2F2F2" w:themeFill="background1" w:themeFillShade="F2"/>
          </w:tcPr>
          <w:p w14:paraId="31F918D0" w14:textId="77777777" w:rsidR="0012718B" w:rsidRPr="00DE77D0" w:rsidRDefault="0012718B"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12718B" w:rsidRPr="00500C4E" w14:paraId="0839CE14" w14:textId="77777777" w:rsidTr="0012718B">
        <w:tc>
          <w:tcPr>
            <w:tcW w:w="903" w:type="pct"/>
          </w:tcPr>
          <w:p w14:paraId="3625C668" w14:textId="408CE711" w:rsidR="0012718B" w:rsidRDefault="0012718B" w:rsidP="00175D14">
            <w:pPr>
              <w:rPr>
                <w:rFonts w:cstheme="minorHAnsi"/>
                <w:szCs w:val="20"/>
              </w:rPr>
            </w:pPr>
            <w:r>
              <w:rPr>
                <w:rFonts w:cstheme="minorHAnsi"/>
                <w:szCs w:val="20"/>
              </w:rPr>
              <w:t>Faucet FCVs</w:t>
            </w:r>
          </w:p>
        </w:tc>
        <w:tc>
          <w:tcPr>
            <w:tcW w:w="658" w:type="pct"/>
          </w:tcPr>
          <w:p w14:paraId="526F03B7" w14:textId="2D5BCF20" w:rsidR="0012718B" w:rsidRPr="00920905" w:rsidRDefault="0012718B" w:rsidP="00175D14">
            <w:pPr>
              <w:rPr>
                <w:rFonts w:cstheme="minorHAnsi"/>
                <w:szCs w:val="20"/>
              </w:rPr>
            </w:pPr>
            <w:r>
              <w:rPr>
                <w:rFonts w:cstheme="minorHAnsi"/>
                <w:szCs w:val="20"/>
              </w:rPr>
              <w:t>REA</w:t>
            </w:r>
          </w:p>
        </w:tc>
        <w:tc>
          <w:tcPr>
            <w:tcW w:w="1457" w:type="pct"/>
          </w:tcPr>
          <w:p w14:paraId="7405F92B" w14:textId="77777777" w:rsidR="0012718B" w:rsidRDefault="0012718B" w:rsidP="00175D14">
            <w:pPr>
              <w:rPr>
                <w:rFonts w:cstheme="minorHAnsi"/>
                <w:szCs w:val="20"/>
              </w:rPr>
            </w:pPr>
            <w:r>
              <w:rPr>
                <w:rFonts w:cstheme="minorHAnsi"/>
                <w:szCs w:val="20"/>
              </w:rPr>
              <w:t>MEC + MLC</w:t>
            </w:r>
          </w:p>
          <w:p w14:paraId="07EE74ED" w14:textId="24334736" w:rsidR="0012718B" w:rsidRPr="00920905" w:rsidRDefault="00BD7B2F" w:rsidP="00175D14">
            <w:pPr>
              <w:rPr>
                <w:rFonts w:cstheme="minorHAnsi"/>
                <w:szCs w:val="20"/>
              </w:rPr>
            </w:pPr>
            <w:r>
              <w:rPr>
                <w:rFonts w:cstheme="minorHAnsi"/>
                <w:szCs w:val="20"/>
              </w:rPr>
              <w:t>$25.00 + $33.4</w:t>
            </w:r>
            <w:r w:rsidR="0017092E">
              <w:rPr>
                <w:rFonts w:cstheme="minorHAnsi"/>
                <w:szCs w:val="20"/>
              </w:rPr>
              <w:t>8</w:t>
            </w:r>
            <w:r>
              <w:rPr>
                <w:rFonts w:cstheme="minorHAnsi"/>
                <w:szCs w:val="20"/>
              </w:rPr>
              <w:t xml:space="preserve"> = $58.48</w:t>
            </w:r>
          </w:p>
        </w:tc>
        <w:tc>
          <w:tcPr>
            <w:tcW w:w="1221" w:type="pct"/>
          </w:tcPr>
          <w:p w14:paraId="22844AB1" w14:textId="77777777" w:rsidR="0012718B" w:rsidRDefault="0012718B" w:rsidP="0012718B">
            <w:pPr>
              <w:rPr>
                <w:rFonts w:cstheme="minorHAnsi"/>
                <w:szCs w:val="20"/>
              </w:rPr>
            </w:pPr>
            <w:r>
              <w:rPr>
                <w:rFonts w:cstheme="minorHAnsi"/>
                <w:szCs w:val="20"/>
              </w:rPr>
              <w:t>MEC + MLC</w:t>
            </w:r>
          </w:p>
          <w:p w14:paraId="62085BB9" w14:textId="1C382ACB" w:rsidR="0012718B" w:rsidRPr="00920905" w:rsidRDefault="00BD7B2F" w:rsidP="0012718B">
            <w:pPr>
              <w:rPr>
                <w:rFonts w:cstheme="minorHAnsi"/>
                <w:szCs w:val="20"/>
              </w:rPr>
            </w:pPr>
            <w:r>
              <w:rPr>
                <w:rFonts w:cstheme="minorHAnsi"/>
                <w:szCs w:val="20"/>
              </w:rPr>
              <w:t>$25.00 + $33.4</w:t>
            </w:r>
            <w:r w:rsidR="0017092E">
              <w:rPr>
                <w:rFonts w:cstheme="minorHAnsi"/>
                <w:szCs w:val="20"/>
              </w:rPr>
              <w:t>8 = $58.48</w:t>
            </w:r>
          </w:p>
        </w:tc>
        <w:tc>
          <w:tcPr>
            <w:tcW w:w="761" w:type="pct"/>
          </w:tcPr>
          <w:p w14:paraId="75B3A7D0" w14:textId="77777777" w:rsidR="0012718B" w:rsidRPr="00920905" w:rsidRDefault="0012718B" w:rsidP="00175D14">
            <w:pPr>
              <w:rPr>
                <w:rFonts w:cstheme="minorHAnsi"/>
                <w:szCs w:val="20"/>
              </w:rPr>
            </w:pPr>
            <w:r>
              <w:rPr>
                <w:rFonts w:cstheme="minorHAnsi"/>
                <w:szCs w:val="20"/>
              </w:rPr>
              <w:t>N/A</w:t>
            </w:r>
          </w:p>
        </w:tc>
      </w:tr>
      <w:tr w:rsidR="0012718B" w:rsidRPr="00500C4E" w14:paraId="19AB742C" w14:textId="77777777" w:rsidTr="0012718B">
        <w:tc>
          <w:tcPr>
            <w:tcW w:w="903" w:type="pct"/>
          </w:tcPr>
          <w:p w14:paraId="6A6AFA73" w14:textId="2DDA5EEF" w:rsidR="0012718B" w:rsidRDefault="0012718B" w:rsidP="0012718B">
            <w:pPr>
              <w:rPr>
                <w:rFonts w:cstheme="minorHAnsi"/>
                <w:szCs w:val="20"/>
              </w:rPr>
            </w:pPr>
            <w:r>
              <w:rPr>
                <w:rFonts w:cstheme="minorHAnsi"/>
                <w:szCs w:val="20"/>
              </w:rPr>
              <w:t>Showerhead FCVs</w:t>
            </w:r>
          </w:p>
        </w:tc>
        <w:tc>
          <w:tcPr>
            <w:tcW w:w="658" w:type="pct"/>
          </w:tcPr>
          <w:p w14:paraId="2516FD0C" w14:textId="634B33FE" w:rsidR="0012718B" w:rsidRDefault="0012718B" w:rsidP="0012718B">
            <w:pPr>
              <w:rPr>
                <w:rFonts w:cstheme="minorHAnsi"/>
                <w:szCs w:val="20"/>
              </w:rPr>
            </w:pPr>
            <w:r>
              <w:rPr>
                <w:rFonts w:cstheme="minorHAnsi"/>
                <w:szCs w:val="20"/>
              </w:rPr>
              <w:t>REA</w:t>
            </w:r>
          </w:p>
        </w:tc>
        <w:tc>
          <w:tcPr>
            <w:tcW w:w="1457" w:type="pct"/>
          </w:tcPr>
          <w:p w14:paraId="77E9D4D5" w14:textId="77777777" w:rsidR="0012718B" w:rsidRDefault="0012718B" w:rsidP="0012718B">
            <w:pPr>
              <w:rPr>
                <w:rFonts w:cstheme="minorHAnsi"/>
                <w:szCs w:val="20"/>
              </w:rPr>
            </w:pPr>
            <w:r>
              <w:rPr>
                <w:rFonts w:cstheme="minorHAnsi"/>
                <w:szCs w:val="20"/>
              </w:rPr>
              <w:t>MEC + MLC</w:t>
            </w:r>
          </w:p>
          <w:p w14:paraId="7DF68514" w14:textId="558D473A" w:rsidR="0012718B" w:rsidRDefault="0012718B" w:rsidP="0012718B">
            <w:pPr>
              <w:rPr>
                <w:rFonts w:cstheme="minorHAnsi"/>
                <w:szCs w:val="20"/>
              </w:rPr>
            </w:pPr>
            <w:r>
              <w:rPr>
                <w:rFonts w:cstheme="minorHAnsi"/>
                <w:szCs w:val="20"/>
              </w:rPr>
              <w:t>$25.00 + $16.74 = $41.74</w:t>
            </w:r>
          </w:p>
        </w:tc>
        <w:tc>
          <w:tcPr>
            <w:tcW w:w="1221" w:type="pct"/>
          </w:tcPr>
          <w:p w14:paraId="6BC1A661" w14:textId="77777777" w:rsidR="0012718B" w:rsidRPr="0012718B" w:rsidRDefault="0012718B" w:rsidP="0012718B">
            <w:pPr>
              <w:rPr>
                <w:rFonts w:cstheme="minorHAnsi"/>
                <w:szCs w:val="20"/>
              </w:rPr>
            </w:pPr>
            <w:r w:rsidRPr="0012718B">
              <w:rPr>
                <w:rFonts w:cstheme="minorHAnsi"/>
                <w:szCs w:val="20"/>
              </w:rPr>
              <w:t>MEC + MLC</w:t>
            </w:r>
          </w:p>
          <w:p w14:paraId="755C5AA8" w14:textId="7F18BCD6" w:rsidR="0012718B" w:rsidRDefault="0012718B" w:rsidP="0012718B">
            <w:pPr>
              <w:rPr>
                <w:rFonts w:cstheme="minorHAnsi"/>
                <w:szCs w:val="20"/>
              </w:rPr>
            </w:pPr>
            <w:r w:rsidRPr="0012718B">
              <w:rPr>
                <w:rFonts w:cstheme="minorHAnsi"/>
                <w:szCs w:val="20"/>
              </w:rPr>
              <w:t>$25.00 + $16.74 = $41.74</w:t>
            </w:r>
          </w:p>
        </w:tc>
        <w:tc>
          <w:tcPr>
            <w:tcW w:w="761" w:type="pct"/>
          </w:tcPr>
          <w:p w14:paraId="730ECBC0" w14:textId="75250D08" w:rsidR="0012718B" w:rsidRDefault="0012718B" w:rsidP="0012718B">
            <w:pPr>
              <w:rPr>
                <w:rFonts w:cstheme="minorHAnsi"/>
                <w:szCs w:val="20"/>
              </w:rPr>
            </w:pPr>
            <w:r>
              <w:rPr>
                <w:rFonts w:cstheme="minorHAnsi"/>
                <w:szCs w:val="20"/>
              </w:rPr>
              <w:t>N/A</w:t>
            </w:r>
          </w:p>
        </w:tc>
      </w:tr>
    </w:tbl>
    <w:p w14:paraId="2CA37DF4"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723C552"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559FCC" w14:textId="77777777" w:rsidR="00FF73B4" w:rsidRDefault="00FF73B4">
      <w:pPr>
        <w:rPr>
          <w:rFonts w:cs="Arial"/>
          <w:color w:val="FF0000"/>
          <w:szCs w:val="22"/>
        </w:rPr>
      </w:pPr>
    </w:p>
    <w:p w14:paraId="6EAAF306" w14:textId="77777777" w:rsidR="00E16609" w:rsidRPr="00920905" w:rsidRDefault="00E16609">
      <w:pPr>
        <w:rPr>
          <w:rFonts w:cstheme="minorHAnsi"/>
          <w:sz w:val="20"/>
          <w:szCs w:val="20"/>
        </w:rPr>
      </w:pPr>
      <w:bookmarkStart w:id="50" w:name="_Toc214003099"/>
      <w:r w:rsidRPr="00920905">
        <w:rPr>
          <w:rFonts w:cstheme="minorHAnsi"/>
          <w:sz w:val="20"/>
          <w:szCs w:val="20"/>
        </w:rPr>
        <w:br w:type="page"/>
      </w:r>
    </w:p>
    <w:p w14:paraId="2F3A2BBC" w14:textId="77777777" w:rsidR="00E16609" w:rsidRPr="00500C4E" w:rsidRDefault="00E16609" w:rsidP="00E16609">
      <w:pPr>
        <w:pStyle w:val="Heading1"/>
        <w:rPr>
          <w:rFonts w:cstheme="minorHAnsi"/>
        </w:rPr>
      </w:pPr>
      <w:bookmarkStart w:id="51" w:name="_Attachments"/>
      <w:bookmarkStart w:id="52" w:name="_Toc515621135"/>
      <w:bookmarkEnd w:id="50"/>
      <w:bookmarkEnd w:id="51"/>
      <w:r w:rsidRPr="00500C4E">
        <w:rPr>
          <w:rFonts w:cstheme="minorHAnsi"/>
        </w:rPr>
        <w:lastRenderedPageBreak/>
        <w:t>Attachments</w:t>
      </w:r>
      <w:bookmarkEnd w:id="52"/>
    </w:p>
    <w:p w14:paraId="2A174F19" w14:textId="594A37A3" w:rsidR="00A500D6" w:rsidRDefault="000F523A" w:rsidP="00E16609">
      <w:pPr>
        <w:rPr>
          <w:rFonts w:cstheme="minorHAnsi"/>
        </w:rPr>
      </w:pPr>
      <w:r>
        <w:rPr>
          <w:rFonts w:cstheme="minorHAnsi"/>
        </w:rPr>
        <w:t xml:space="preserve">A: </w:t>
      </w:r>
      <w:r w:rsidR="008A7BE7" w:rsidRPr="008A7BE7">
        <w:rPr>
          <w:rFonts w:cstheme="minorHAnsi"/>
        </w:rPr>
        <w:t>Savings Calculations for Commercial Showerhead</w:t>
      </w:r>
    </w:p>
    <w:p w14:paraId="792420CD" w14:textId="348071D3" w:rsidR="006434E4" w:rsidRDefault="006434E4" w:rsidP="00E16609">
      <w:r>
        <w:rPr>
          <w:rFonts w:cstheme="minorHAnsi"/>
        </w:rPr>
        <w:t xml:space="preserve">B: </w:t>
      </w:r>
      <w:r>
        <w:t>Hot Water Survey</w:t>
      </w:r>
      <w:r w:rsidRPr="009E6BAB">
        <w:t xml:space="preserve"> in </w:t>
      </w:r>
      <w:r>
        <w:t>Hotels</w:t>
      </w:r>
      <w:r w:rsidRPr="009E6BAB">
        <w:t xml:space="preserve"> </w:t>
      </w:r>
      <w:r>
        <w:t>and Motels in SoCal</w:t>
      </w:r>
    </w:p>
    <w:p w14:paraId="2E32FEFB" w14:textId="79A8B126" w:rsidR="001D41ED" w:rsidRDefault="001D41ED" w:rsidP="00E16609">
      <w:r>
        <w:t xml:space="preserve">C: </w:t>
      </w:r>
      <w:r w:rsidRPr="001D41ED">
        <w:t>CLEAResult Commercial Faucet Aerator Study</w:t>
      </w:r>
    </w:p>
    <w:p w14:paraId="4D61A1EC" w14:textId="44E5FF83" w:rsidR="00C27867" w:rsidRDefault="00C27867" w:rsidP="00C27867">
      <w:r>
        <w:t xml:space="preserve">D: </w:t>
      </w:r>
      <w:r w:rsidRPr="00C27867">
        <w:t>Water Consumption Patterns in Hospitals</w:t>
      </w:r>
    </w:p>
    <w:p w14:paraId="76525548" w14:textId="7016EF00" w:rsidR="00587D02" w:rsidRDefault="00587D02" w:rsidP="00C27867">
      <w:r>
        <w:t xml:space="preserve">E: </w:t>
      </w:r>
      <w:r w:rsidRPr="00587D02">
        <w:t>Com Faucet Aerator Sample Hotel Data</w:t>
      </w:r>
    </w:p>
    <w:p w14:paraId="421455B1" w14:textId="74F5DF86" w:rsidR="001F508E" w:rsidRDefault="001F508E" w:rsidP="00C27867">
      <w:r>
        <w:t>F: Climate Zone Factors</w:t>
      </w:r>
    </w:p>
    <w:p w14:paraId="606D77C7" w14:textId="42699A4E" w:rsidR="00BE1329" w:rsidRDefault="00BE1329" w:rsidP="00BE1329">
      <w:r>
        <w:t>G: Water Fixture Disposition 2013</w:t>
      </w:r>
    </w:p>
    <w:p w14:paraId="3BC9D481" w14:textId="5C305B74" w:rsidR="002F4482" w:rsidRDefault="00D90BBF" w:rsidP="002F4482">
      <w:r>
        <w:t>H</w:t>
      </w:r>
      <w:r w:rsidR="006A57EC">
        <w:t>: Savings Summary</w:t>
      </w:r>
    </w:p>
    <w:p w14:paraId="00CBB4BD" w14:textId="507191C3" w:rsidR="00D90BBF" w:rsidRDefault="00D90BBF" w:rsidP="002F4482">
      <w:r>
        <w:t>I: Cost Summary</w:t>
      </w:r>
    </w:p>
    <w:p w14:paraId="6AE0E14E" w14:textId="77777777" w:rsidR="002F4482" w:rsidRDefault="002F4482" w:rsidP="00BE1329"/>
    <w:p w14:paraId="5A7EF8E8" w14:textId="77777777" w:rsidR="002F4482" w:rsidRDefault="002F4482" w:rsidP="00BE1329"/>
    <w:p w14:paraId="18F3A9BD" w14:textId="77777777" w:rsidR="00BE1329" w:rsidRDefault="00BE1329" w:rsidP="00C27867"/>
    <w:p w14:paraId="6D58AADC" w14:textId="77777777" w:rsidR="001F508E" w:rsidRDefault="001F508E" w:rsidP="00C27867"/>
    <w:p w14:paraId="214AD2BD" w14:textId="77777777" w:rsidR="00C27867" w:rsidRPr="00500C4E" w:rsidRDefault="00C27867" w:rsidP="00E16609">
      <w:pPr>
        <w:rPr>
          <w:rFonts w:cstheme="minorHAnsi"/>
        </w:rPr>
      </w:pPr>
    </w:p>
    <w:p w14:paraId="5B4233F1" w14:textId="77777777" w:rsidR="00612041" w:rsidRPr="00500C4E" w:rsidRDefault="00612041" w:rsidP="00E16609">
      <w:pPr>
        <w:rPr>
          <w:rFonts w:cstheme="minorHAnsi"/>
        </w:rPr>
      </w:pPr>
    </w:p>
    <w:p w14:paraId="15CF97CB" w14:textId="77777777" w:rsidR="00C54EFF" w:rsidRPr="00500C4E" w:rsidRDefault="00C54EFF" w:rsidP="00E16609">
      <w:pPr>
        <w:rPr>
          <w:rFonts w:cstheme="minorHAnsi"/>
        </w:rPr>
      </w:pPr>
    </w:p>
    <w:p w14:paraId="57FF0828" w14:textId="5A671043" w:rsidR="00CE76B1" w:rsidRDefault="00CE76B1">
      <w:pPr>
        <w:spacing w:after="200" w:line="276" w:lineRule="auto"/>
        <w:rPr>
          <w:rFonts w:cstheme="minorHAnsi"/>
        </w:rPr>
      </w:pPr>
    </w:p>
    <w:p w14:paraId="3EE7CB55" w14:textId="5239F1EB" w:rsidR="00CE76B1" w:rsidRDefault="00CE76B1" w:rsidP="00CE76B1">
      <w:pPr>
        <w:rPr>
          <w:rFonts w:cstheme="minorHAnsi"/>
        </w:rPr>
      </w:pPr>
    </w:p>
    <w:p w14:paraId="1402B01F" w14:textId="241D1510" w:rsidR="001D4663" w:rsidRDefault="001D4663" w:rsidP="00CE76B1">
      <w:pPr>
        <w:rPr>
          <w:rFonts w:cstheme="minorHAnsi"/>
        </w:rPr>
      </w:pPr>
    </w:p>
    <w:p w14:paraId="0ABDCC33" w14:textId="7C6448DF" w:rsidR="001D4663" w:rsidRDefault="001D4663" w:rsidP="00CE76B1">
      <w:pPr>
        <w:rPr>
          <w:rFonts w:cstheme="minorHAnsi"/>
        </w:rPr>
      </w:pPr>
    </w:p>
    <w:p w14:paraId="2E4C80EF" w14:textId="750CC524" w:rsidR="001D4663" w:rsidRDefault="001D4663" w:rsidP="00CE76B1">
      <w:pPr>
        <w:rPr>
          <w:rFonts w:cstheme="minorHAnsi"/>
        </w:rPr>
      </w:pPr>
    </w:p>
    <w:p w14:paraId="05F3DBE9" w14:textId="4CF598AE" w:rsidR="001D4663" w:rsidRDefault="001D4663" w:rsidP="00CE76B1">
      <w:pPr>
        <w:rPr>
          <w:rFonts w:cstheme="minorHAnsi"/>
        </w:rPr>
      </w:pPr>
    </w:p>
    <w:p w14:paraId="04EF2AAC" w14:textId="748354B0" w:rsidR="001D4663" w:rsidRDefault="001D4663" w:rsidP="00CE76B1">
      <w:pPr>
        <w:rPr>
          <w:rFonts w:cstheme="minorHAnsi"/>
        </w:rPr>
      </w:pPr>
    </w:p>
    <w:p w14:paraId="6D54CE1C" w14:textId="690E7AC2" w:rsidR="001D4663" w:rsidRDefault="001D4663" w:rsidP="00CE76B1">
      <w:pPr>
        <w:rPr>
          <w:rFonts w:cstheme="minorHAnsi"/>
        </w:rPr>
      </w:pPr>
    </w:p>
    <w:p w14:paraId="6B88449B" w14:textId="7DA40FA8" w:rsidR="001D4663" w:rsidRDefault="001D4663" w:rsidP="00CE76B1">
      <w:pPr>
        <w:rPr>
          <w:rFonts w:cstheme="minorHAnsi"/>
        </w:rPr>
      </w:pPr>
    </w:p>
    <w:p w14:paraId="19F99599" w14:textId="23746DFB" w:rsidR="001D4663" w:rsidRDefault="001D4663" w:rsidP="00CE76B1">
      <w:pPr>
        <w:rPr>
          <w:rFonts w:cstheme="minorHAnsi"/>
        </w:rPr>
      </w:pPr>
    </w:p>
    <w:p w14:paraId="44ABE9E2" w14:textId="542B47BA" w:rsidR="001D4663" w:rsidRDefault="001D4663" w:rsidP="00CE76B1">
      <w:pPr>
        <w:rPr>
          <w:rFonts w:cstheme="minorHAnsi"/>
        </w:rPr>
      </w:pPr>
    </w:p>
    <w:p w14:paraId="1B6B951F" w14:textId="0495C748" w:rsidR="001D4663" w:rsidRDefault="001D4663" w:rsidP="00CE76B1">
      <w:pPr>
        <w:rPr>
          <w:rFonts w:cstheme="minorHAnsi"/>
        </w:rPr>
      </w:pPr>
    </w:p>
    <w:p w14:paraId="010AC856" w14:textId="1909B735" w:rsidR="001D4663" w:rsidRDefault="001D4663" w:rsidP="00CE76B1">
      <w:pPr>
        <w:rPr>
          <w:rFonts w:cstheme="minorHAnsi"/>
        </w:rPr>
      </w:pPr>
    </w:p>
    <w:p w14:paraId="24C6243A" w14:textId="7F1180C8" w:rsidR="001D4663" w:rsidRDefault="001D4663" w:rsidP="00CE76B1">
      <w:pPr>
        <w:rPr>
          <w:rFonts w:cstheme="minorHAnsi"/>
        </w:rPr>
      </w:pPr>
    </w:p>
    <w:p w14:paraId="5D8664DA" w14:textId="3CC94CF7" w:rsidR="001D4663" w:rsidRDefault="001D4663" w:rsidP="00CE76B1">
      <w:pPr>
        <w:rPr>
          <w:rFonts w:cstheme="minorHAnsi"/>
        </w:rPr>
      </w:pPr>
    </w:p>
    <w:p w14:paraId="119A6ABD" w14:textId="1DCD496E" w:rsidR="001D4663" w:rsidRDefault="001D4663" w:rsidP="00CE76B1">
      <w:pPr>
        <w:rPr>
          <w:rFonts w:cstheme="minorHAnsi"/>
        </w:rPr>
      </w:pPr>
    </w:p>
    <w:p w14:paraId="6786D3AE" w14:textId="7D4394B5" w:rsidR="001D4663" w:rsidRDefault="001D4663" w:rsidP="00CE76B1">
      <w:pPr>
        <w:rPr>
          <w:rFonts w:cstheme="minorHAnsi"/>
        </w:rPr>
      </w:pPr>
    </w:p>
    <w:p w14:paraId="24ACCF47" w14:textId="37159F68" w:rsidR="001D4663" w:rsidRDefault="001D4663" w:rsidP="00CE76B1">
      <w:pPr>
        <w:rPr>
          <w:rFonts w:cstheme="minorHAnsi"/>
        </w:rPr>
      </w:pPr>
    </w:p>
    <w:p w14:paraId="5391237C" w14:textId="487DC052" w:rsidR="001D4663" w:rsidRDefault="001D4663" w:rsidP="00CE76B1">
      <w:pPr>
        <w:rPr>
          <w:rFonts w:cstheme="minorHAnsi"/>
        </w:rPr>
      </w:pPr>
    </w:p>
    <w:p w14:paraId="1B47EF8B" w14:textId="3EA5C8DA" w:rsidR="001D4663" w:rsidRDefault="001D4663" w:rsidP="00CE76B1">
      <w:pPr>
        <w:rPr>
          <w:rFonts w:cstheme="minorHAnsi"/>
        </w:rPr>
      </w:pPr>
    </w:p>
    <w:p w14:paraId="79171F8B" w14:textId="6E1DF97C" w:rsidR="001D4663" w:rsidRDefault="001D4663" w:rsidP="00CE76B1">
      <w:pPr>
        <w:rPr>
          <w:rFonts w:cstheme="minorHAnsi"/>
        </w:rPr>
      </w:pPr>
    </w:p>
    <w:p w14:paraId="0EF8FCB1" w14:textId="37355B6C" w:rsidR="001D4663" w:rsidRDefault="001D4663" w:rsidP="00CE76B1">
      <w:pPr>
        <w:rPr>
          <w:rFonts w:cstheme="minorHAnsi"/>
        </w:rPr>
      </w:pPr>
    </w:p>
    <w:sectPr w:rsidR="001D4663"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12F07" w14:textId="77777777" w:rsidR="00ED4495" w:rsidRDefault="00ED4495" w:rsidP="00447D6E">
      <w:r>
        <w:separator/>
      </w:r>
    </w:p>
    <w:p w14:paraId="15F5EEBF" w14:textId="77777777" w:rsidR="00ED4495" w:rsidRDefault="00ED4495"/>
  </w:endnote>
  <w:endnote w:type="continuationSeparator" w:id="0">
    <w:p w14:paraId="7C21F857" w14:textId="77777777" w:rsidR="00ED4495" w:rsidRDefault="00ED4495" w:rsidP="00447D6E">
      <w:r>
        <w:continuationSeparator/>
      </w:r>
    </w:p>
    <w:p w14:paraId="3E412DB9" w14:textId="77777777" w:rsidR="00ED4495" w:rsidRDefault="00ED4495"/>
  </w:endnote>
  <w:endnote w:id="1">
    <w:p w14:paraId="644739DB" w14:textId="77777777" w:rsidR="00166771" w:rsidRPr="00CE76B1" w:rsidRDefault="00166771" w:rsidP="0016677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DFF26" w14:textId="2D321BE0" w:rsidR="00ED4495" w:rsidRDefault="00F52A30"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5-04T00:00:00Z">
          <w:dateFormat w:val="MMMM d, yyyy"/>
          <w:lid w:val="en-US"/>
          <w:storeMappedDataAs w:val="dateTime"/>
          <w:calendar w:val="gregorian"/>
        </w:date>
      </w:sdtPr>
      <w:sdtEndPr/>
      <w:sdtContent>
        <w:r w:rsidR="00ED4495">
          <w:rPr>
            <w:rFonts w:cstheme="minorHAnsi"/>
            <w:b/>
            <w:sz w:val="36"/>
            <w:szCs w:val="36"/>
          </w:rPr>
          <w:t>May 4, 2018</w:t>
        </w:r>
      </w:sdtContent>
    </w:sdt>
  </w:p>
  <w:p w14:paraId="7752578D" w14:textId="77777777" w:rsidR="00ED4495" w:rsidRPr="009500DC" w:rsidRDefault="00ED4495"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6B5AC" w14:textId="237E8C5D" w:rsidR="00ED4495" w:rsidRPr="009500DC" w:rsidRDefault="00F52A3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Pr>
            <w:rFonts w:cstheme="minorHAnsi"/>
            <w:b/>
            <w:sz w:val="20"/>
            <w:szCs w:val="20"/>
          </w:rPr>
          <w:t>WPSCGCCWH180504A</w:t>
        </w:r>
      </w:sdtContent>
    </w:sdt>
    <w:r w:rsidR="00ED449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85321">
          <w:rPr>
            <w:rFonts w:cstheme="minorHAnsi"/>
            <w:b/>
            <w:sz w:val="20"/>
            <w:szCs w:val="20"/>
          </w:rPr>
          <w:t>Revision 00</w:t>
        </w:r>
      </w:sdtContent>
    </w:sdt>
    <w:r w:rsidR="00ED4495" w:rsidRPr="009500DC">
      <w:rPr>
        <w:rFonts w:cstheme="minorHAnsi"/>
        <w:b/>
        <w:sz w:val="20"/>
        <w:szCs w:val="20"/>
      </w:rPr>
      <w:tab/>
    </w:r>
    <w:r w:rsidR="00ED4495" w:rsidRPr="009500DC">
      <w:rPr>
        <w:rFonts w:cstheme="minorHAnsi"/>
        <w:b/>
        <w:sz w:val="20"/>
        <w:szCs w:val="20"/>
      </w:rPr>
      <w:fldChar w:fldCharType="begin"/>
    </w:r>
    <w:r w:rsidR="00ED4495" w:rsidRPr="009500DC">
      <w:rPr>
        <w:rFonts w:cstheme="minorHAnsi"/>
        <w:b/>
        <w:sz w:val="20"/>
        <w:szCs w:val="20"/>
      </w:rPr>
      <w:instrText xml:space="preserve"> PAGE   \* MERGEFORMAT </w:instrText>
    </w:r>
    <w:r w:rsidR="00ED4495" w:rsidRPr="009500DC">
      <w:rPr>
        <w:rFonts w:cstheme="minorHAnsi"/>
        <w:b/>
        <w:sz w:val="20"/>
        <w:szCs w:val="20"/>
      </w:rPr>
      <w:fldChar w:fldCharType="separate"/>
    </w:r>
    <w:r>
      <w:rPr>
        <w:rFonts w:cstheme="minorHAnsi"/>
        <w:b/>
        <w:noProof/>
        <w:sz w:val="20"/>
        <w:szCs w:val="20"/>
      </w:rPr>
      <w:t>10</w:t>
    </w:r>
    <w:r w:rsidR="00ED4495" w:rsidRPr="009500DC">
      <w:rPr>
        <w:rFonts w:cstheme="minorHAnsi"/>
        <w:b/>
        <w:noProof/>
        <w:sz w:val="20"/>
        <w:szCs w:val="20"/>
      </w:rPr>
      <w:fldChar w:fldCharType="end"/>
    </w:r>
    <w:r w:rsidR="00ED449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04T00:00:00Z">
          <w:dateFormat w:val="MMMM d, yyyy"/>
          <w:lid w:val="en-US"/>
          <w:storeMappedDataAs w:val="dateTime"/>
          <w:calendar w:val="gregorian"/>
        </w:date>
      </w:sdtPr>
      <w:sdtEndPr/>
      <w:sdtContent>
        <w:r w:rsidR="00ED4495">
          <w:rPr>
            <w:rFonts w:cstheme="minorHAnsi"/>
            <w:b/>
            <w:sz w:val="20"/>
            <w:szCs w:val="20"/>
          </w:rPr>
          <w:t>May 4, 2018</w:t>
        </w:r>
      </w:sdtContent>
    </w:sdt>
  </w:p>
  <w:p w14:paraId="0444654C" w14:textId="3FE8720F" w:rsidR="00ED4495" w:rsidRPr="009500DC" w:rsidRDefault="00F52A3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D4495">
          <w:rPr>
            <w:rFonts w:cstheme="minorHAnsi"/>
            <w:b/>
            <w:sz w:val="20"/>
            <w:szCs w:val="20"/>
          </w:rPr>
          <w:t>SocalGas</w:t>
        </w:r>
      </w:sdtContent>
    </w:sdt>
  </w:p>
  <w:p w14:paraId="4EEED7F8" w14:textId="77777777" w:rsidR="00ED4495" w:rsidRDefault="00ED4495"/>
  <w:p w14:paraId="3BE02A3F" w14:textId="77777777" w:rsidR="00ED4495" w:rsidRDefault="00ED44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2147" w14:textId="77777777" w:rsidR="00ED4495" w:rsidRDefault="00ED4495" w:rsidP="00447D6E">
      <w:r>
        <w:separator/>
      </w:r>
    </w:p>
    <w:p w14:paraId="080F7730" w14:textId="77777777" w:rsidR="00ED4495" w:rsidRDefault="00ED4495"/>
  </w:footnote>
  <w:footnote w:type="continuationSeparator" w:id="0">
    <w:p w14:paraId="6FBC6919" w14:textId="77777777" w:rsidR="00ED4495" w:rsidRDefault="00ED4495" w:rsidP="00447D6E">
      <w:r>
        <w:continuationSeparator/>
      </w:r>
    </w:p>
    <w:p w14:paraId="2A18C770" w14:textId="77777777" w:rsidR="00ED4495" w:rsidRDefault="00ED44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55F9"/>
    <w:multiLevelType w:val="hybridMultilevel"/>
    <w:tmpl w:val="9A9CEC4C"/>
    <w:lvl w:ilvl="0" w:tplc="0409001B">
      <w:start w:val="1"/>
      <w:numFmt w:val="lowerRoman"/>
      <w:lvlText w:val="%1."/>
      <w:lvlJc w:val="right"/>
      <w:pPr>
        <w:ind w:left="1440" w:hanging="360"/>
      </w:pPr>
      <w:rPr>
        <w:rFonts w:hint="default"/>
        <w:color w:val="auto"/>
      </w:rPr>
    </w:lvl>
    <w:lvl w:ilvl="1" w:tplc="0409001B">
      <w:start w:val="1"/>
      <w:numFmt w:val="lowerRoman"/>
      <w:lvlText w:val="%2."/>
      <w:lvlJc w:val="righ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E239D0"/>
    <w:multiLevelType w:val="hybridMultilevel"/>
    <w:tmpl w:val="00D40F74"/>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52D5086"/>
    <w:multiLevelType w:val="hybridMultilevel"/>
    <w:tmpl w:val="6F069248"/>
    <w:lvl w:ilvl="0" w:tplc="D8FA86FC">
      <w:start w:val="1"/>
      <w:numFmt w:val="lowerLetter"/>
      <w:lvlText w:val="%1."/>
      <w:lvlJc w:val="left"/>
      <w:pPr>
        <w:ind w:left="1170" w:hanging="360"/>
      </w:pPr>
      <w:rPr>
        <w:rFonts w:asciiTheme="minorHAnsi" w:eastAsia="Times New Roman" w:hAnsiTheme="minorHAnsi" w:cs="Times New Roman"/>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E668C6"/>
    <w:multiLevelType w:val="hybridMultilevel"/>
    <w:tmpl w:val="6F069248"/>
    <w:lvl w:ilvl="0" w:tplc="D8FA86FC">
      <w:start w:val="1"/>
      <w:numFmt w:val="lowerLetter"/>
      <w:lvlText w:val="%1."/>
      <w:lvlJc w:val="left"/>
      <w:pPr>
        <w:ind w:left="1170" w:hanging="360"/>
      </w:pPr>
      <w:rPr>
        <w:rFonts w:asciiTheme="minorHAnsi" w:eastAsia="Times New Roman" w:hAnsiTheme="minorHAnsi" w:cs="Times New Roman"/>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DA1931"/>
    <w:multiLevelType w:val="hybridMultilevel"/>
    <w:tmpl w:val="DCECC536"/>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7" w15:restartNumberingAfterBreak="0">
    <w:nsid w:val="244359AD"/>
    <w:multiLevelType w:val="hybridMultilevel"/>
    <w:tmpl w:val="D37E483C"/>
    <w:lvl w:ilvl="0" w:tplc="A9BC16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775065"/>
    <w:multiLevelType w:val="hybridMultilevel"/>
    <w:tmpl w:val="DC6E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03369C"/>
    <w:multiLevelType w:val="hybridMultilevel"/>
    <w:tmpl w:val="AA283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4326C4"/>
    <w:multiLevelType w:val="hybridMultilevel"/>
    <w:tmpl w:val="3706362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B07C3B"/>
    <w:multiLevelType w:val="hybridMultilevel"/>
    <w:tmpl w:val="B8A6281A"/>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D4D3B14"/>
    <w:multiLevelType w:val="hybridMultilevel"/>
    <w:tmpl w:val="6F069248"/>
    <w:lvl w:ilvl="0" w:tplc="D8FA86FC">
      <w:start w:val="1"/>
      <w:numFmt w:val="lowerLetter"/>
      <w:lvlText w:val="%1."/>
      <w:lvlJc w:val="left"/>
      <w:pPr>
        <w:ind w:left="1170" w:hanging="360"/>
      </w:pPr>
      <w:rPr>
        <w:rFonts w:asciiTheme="minorHAnsi" w:eastAsia="Times New Roman" w:hAnsiTheme="minorHAnsi" w:cs="Times New Roman"/>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DC0CF3"/>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2542F74"/>
    <w:multiLevelType w:val="hybridMultilevel"/>
    <w:tmpl w:val="3706362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081C3C"/>
    <w:multiLevelType w:val="hybridMultilevel"/>
    <w:tmpl w:val="CFC2EC5C"/>
    <w:lvl w:ilvl="0" w:tplc="5EE277A0">
      <w:start w:val="1"/>
      <w:numFmt w:val="bullet"/>
      <w:lvlText w:val=""/>
      <w:lvlJc w:val="left"/>
      <w:pPr>
        <w:ind w:left="720" w:hanging="360"/>
      </w:pPr>
      <w:rPr>
        <w:rFonts w:ascii="Symbol" w:hAnsi="Symbol" w:hint="default"/>
        <w:color w:val="auto"/>
      </w:rPr>
    </w:lvl>
    <w:lvl w:ilvl="1" w:tplc="0409001B">
      <w:start w:val="1"/>
      <w:numFmt w:val="lowerRoman"/>
      <w:lvlText w:val="%2."/>
      <w:lvlJc w:val="right"/>
      <w:pPr>
        <w:ind w:left="1440" w:hanging="360"/>
      </w:pPr>
      <w:rPr>
        <w:rFonts w:hint="default"/>
        <w:color w:val="auto"/>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9A0088"/>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1071D58"/>
    <w:multiLevelType w:val="hybridMultilevel"/>
    <w:tmpl w:val="C6A8B40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2732C04"/>
    <w:multiLevelType w:val="hybridMultilevel"/>
    <w:tmpl w:val="670E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C25DEF"/>
    <w:multiLevelType w:val="hybridMultilevel"/>
    <w:tmpl w:val="112283C0"/>
    <w:lvl w:ilvl="0" w:tplc="D9A87F3C">
      <w:start w:val="1"/>
      <w:numFmt w:val="decimal"/>
      <w:lvlText w:val="%1."/>
      <w:lvlJc w:val="left"/>
      <w:pPr>
        <w:ind w:left="810" w:hanging="720"/>
      </w:pPr>
      <w:rPr>
        <w:rFonts w:cs="Arial" w:hint="default"/>
        <w:b w:val="0"/>
        <w:sz w:val="22"/>
      </w:rPr>
    </w:lvl>
    <w:lvl w:ilvl="1" w:tplc="D8FA86FC">
      <w:start w:val="1"/>
      <w:numFmt w:val="lowerLetter"/>
      <w:lvlText w:val="%2."/>
      <w:lvlJc w:val="left"/>
      <w:pPr>
        <w:ind w:left="1170" w:hanging="360"/>
      </w:pPr>
      <w:rPr>
        <w:rFonts w:asciiTheme="minorHAnsi" w:eastAsia="Times New Roman" w:hAnsiTheme="minorHAnsi" w:cs="Times New Roman"/>
        <w:b w:val="0"/>
        <w:sz w:val="22"/>
        <w:szCs w:val="22"/>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67126B5A"/>
    <w:multiLevelType w:val="hybridMultilevel"/>
    <w:tmpl w:val="4CBA0AC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D7F3F8B"/>
    <w:multiLevelType w:val="hybridMultilevel"/>
    <w:tmpl w:val="30CC8758"/>
    <w:lvl w:ilvl="0" w:tplc="0409001B">
      <w:start w:val="1"/>
      <w:numFmt w:val="lowerRoman"/>
      <w:lvlText w:val="%1."/>
      <w:lvlJc w:val="right"/>
      <w:pPr>
        <w:ind w:left="1440" w:hanging="360"/>
      </w:pPr>
      <w:rPr>
        <w:rFont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5"/>
  </w:num>
  <w:num w:numId="4">
    <w:abstractNumId w:val="9"/>
  </w:num>
  <w:num w:numId="5">
    <w:abstractNumId w:val="6"/>
  </w:num>
  <w:num w:numId="6">
    <w:abstractNumId w:val="2"/>
  </w:num>
  <w:num w:numId="7">
    <w:abstractNumId w:val="11"/>
  </w:num>
  <w:num w:numId="8">
    <w:abstractNumId w:val="8"/>
  </w:num>
  <w:num w:numId="9">
    <w:abstractNumId w:val="14"/>
  </w:num>
  <w:num w:numId="10">
    <w:abstractNumId w:val="19"/>
  </w:num>
  <w:num w:numId="11">
    <w:abstractNumId w:val="13"/>
  </w:num>
  <w:num w:numId="12">
    <w:abstractNumId w:val="16"/>
  </w:num>
  <w:num w:numId="13">
    <w:abstractNumId w:val="5"/>
  </w:num>
  <w:num w:numId="14">
    <w:abstractNumId w:val="18"/>
  </w:num>
  <w:num w:numId="15">
    <w:abstractNumId w:val="21"/>
  </w:num>
  <w:num w:numId="16">
    <w:abstractNumId w:val="20"/>
  </w:num>
  <w:num w:numId="17">
    <w:abstractNumId w:val="17"/>
  </w:num>
  <w:num w:numId="18">
    <w:abstractNumId w:val="1"/>
  </w:num>
  <w:num w:numId="19">
    <w:abstractNumId w:val="10"/>
  </w:num>
  <w:num w:numId="20">
    <w:abstractNumId w:val="12"/>
  </w:num>
  <w:num w:numId="21">
    <w:abstractNumId w:val="3"/>
  </w:num>
  <w:num w:numId="2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630C"/>
    <w:rsid w:val="00027183"/>
    <w:rsid w:val="000274B9"/>
    <w:rsid w:val="00027FD3"/>
    <w:rsid w:val="00031152"/>
    <w:rsid w:val="00033EA1"/>
    <w:rsid w:val="0003746D"/>
    <w:rsid w:val="0004020F"/>
    <w:rsid w:val="000436CB"/>
    <w:rsid w:val="00051F6B"/>
    <w:rsid w:val="00052E17"/>
    <w:rsid w:val="00056947"/>
    <w:rsid w:val="00060993"/>
    <w:rsid w:val="00061A8E"/>
    <w:rsid w:val="00064CB3"/>
    <w:rsid w:val="00070BEE"/>
    <w:rsid w:val="00072040"/>
    <w:rsid w:val="00076DF4"/>
    <w:rsid w:val="00076F51"/>
    <w:rsid w:val="00086F7F"/>
    <w:rsid w:val="0009074D"/>
    <w:rsid w:val="0009592B"/>
    <w:rsid w:val="000968C6"/>
    <w:rsid w:val="000A63C9"/>
    <w:rsid w:val="000A7C5E"/>
    <w:rsid w:val="000B13E1"/>
    <w:rsid w:val="000B3765"/>
    <w:rsid w:val="000B655B"/>
    <w:rsid w:val="000C0000"/>
    <w:rsid w:val="000C18CC"/>
    <w:rsid w:val="000C2DE7"/>
    <w:rsid w:val="000C687D"/>
    <w:rsid w:val="000C7ED1"/>
    <w:rsid w:val="000D789A"/>
    <w:rsid w:val="000E4B5F"/>
    <w:rsid w:val="000E706D"/>
    <w:rsid w:val="000F130A"/>
    <w:rsid w:val="000F1517"/>
    <w:rsid w:val="000F4FD8"/>
    <w:rsid w:val="000F523A"/>
    <w:rsid w:val="00100D77"/>
    <w:rsid w:val="00105B9B"/>
    <w:rsid w:val="00107242"/>
    <w:rsid w:val="00110DC4"/>
    <w:rsid w:val="00111CC5"/>
    <w:rsid w:val="001206F7"/>
    <w:rsid w:val="001236C1"/>
    <w:rsid w:val="001238EE"/>
    <w:rsid w:val="0012718B"/>
    <w:rsid w:val="00133EE8"/>
    <w:rsid w:val="00140B30"/>
    <w:rsid w:val="00143D34"/>
    <w:rsid w:val="00147155"/>
    <w:rsid w:val="00153CB3"/>
    <w:rsid w:val="00154C3B"/>
    <w:rsid w:val="00160158"/>
    <w:rsid w:val="001601C9"/>
    <w:rsid w:val="00165357"/>
    <w:rsid w:val="00166771"/>
    <w:rsid w:val="00167E85"/>
    <w:rsid w:val="0017092E"/>
    <w:rsid w:val="001722B7"/>
    <w:rsid w:val="001727D9"/>
    <w:rsid w:val="00174BB4"/>
    <w:rsid w:val="00175D14"/>
    <w:rsid w:val="001811EE"/>
    <w:rsid w:val="00185AD4"/>
    <w:rsid w:val="00191D98"/>
    <w:rsid w:val="001979AF"/>
    <w:rsid w:val="001A0EB4"/>
    <w:rsid w:val="001A1A86"/>
    <w:rsid w:val="001A5F62"/>
    <w:rsid w:val="001B015E"/>
    <w:rsid w:val="001B2301"/>
    <w:rsid w:val="001B618B"/>
    <w:rsid w:val="001C1338"/>
    <w:rsid w:val="001C4140"/>
    <w:rsid w:val="001C5A94"/>
    <w:rsid w:val="001D1B39"/>
    <w:rsid w:val="001D2317"/>
    <w:rsid w:val="001D3223"/>
    <w:rsid w:val="001D33EF"/>
    <w:rsid w:val="001D41ED"/>
    <w:rsid w:val="001D4663"/>
    <w:rsid w:val="001D566F"/>
    <w:rsid w:val="001D59A3"/>
    <w:rsid w:val="001D5AB3"/>
    <w:rsid w:val="001E0519"/>
    <w:rsid w:val="001E0829"/>
    <w:rsid w:val="001E1320"/>
    <w:rsid w:val="001E2FA1"/>
    <w:rsid w:val="001E556A"/>
    <w:rsid w:val="001F05CE"/>
    <w:rsid w:val="001F1905"/>
    <w:rsid w:val="001F4A65"/>
    <w:rsid w:val="001F4F2B"/>
    <w:rsid w:val="001F508E"/>
    <w:rsid w:val="001F5403"/>
    <w:rsid w:val="002034DA"/>
    <w:rsid w:val="00205C45"/>
    <w:rsid w:val="0021035B"/>
    <w:rsid w:val="00211153"/>
    <w:rsid w:val="00214E6D"/>
    <w:rsid w:val="0023254A"/>
    <w:rsid w:val="002344FB"/>
    <w:rsid w:val="00236216"/>
    <w:rsid w:val="002405CD"/>
    <w:rsid w:val="00240B74"/>
    <w:rsid w:val="00243B62"/>
    <w:rsid w:val="0024675B"/>
    <w:rsid w:val="002469DD"/>
    <w:rsid w:val="00247180"/>
    <w:rsid w:val="00254671"/>
    <w:rsid w:val="00257D36"/>
    <w:rsid w:val="0026046E"/>
    <w:rsid w:val="0026149B"/>
    <w:rsid w:val="00263473"/>
    <w:rsid w:val="00263C1C"/>
    <w:rsid w:val="00271415"/>
    <w:rsid w:val="00274DEF"/>
    <w:rsid w:val="00274FBE"/>
    <w:rsid w:val="002762E1"/>
    <w:rsid w:val="002811BC"/>
    <w:rsid w:val="00283DE8"/>
    <w:rsid w:val="00285552"/>
    <w:rsid w:val="00285966"/>
    <w:rsid w:val="00285A0D"/>
    <w:rsid w:val="00290ED8"/>
    <w:rsid w:val="00296B49"/>
    <w:rsid w:val="002A03FC"/>
    <w:rsid w:val="002A0F60"/>
    <w:rsid w:val="002A1843"/>
    <w:rsid w:val="002A3D26"/>
    <w:rsid w:val="002A523E"/>
    <w:rsid w:val="002B1ADF"/>
    <w:rsid w:val="002B3835"/>
    <w:rsid w:val="002B502E"/>
    <w:rsid w:val="002B5A2F"/>
    <w:rsid w:val="002B657B"/>
    <w:rsid w:val="002C2853"/>
    <w:rsid w:val="002C39D1"/>
    <w:rsid w:val="002C444C"/>
    <w:rsid w:val="002C458F"/>
    <w:rsid w:val="002C6C20"/>
    <w:rsid w:val="002C6C7A"/>
    <w:rsid w:val="002C7F78"/>
    <w:rsid w:val="002D5277"/>
    <w:rsid w:val="002D54B0"/>
    <w:rsid w:val="002D71FA"/>
    <w:rsid w:val="002D73AF"/>
    <w:rsid w:val="002D7CB7"/>
    <w:rsid w:val="002E4FD9"/>
    <w:rsid w:val="002E5B58"/>
    <w:rsid w:val="002F1437"/>
    <w:rsid w:val="002F3943"/>
    <w:rsid w:val="002F4482"/>
    <w:rsid w:val="002F4E34"/>
    <w:rsid w:val="002F6A42"/>
    <w:rsid w:val="002F79E7"/>
    <w:rsid w:val="003003EC"/>
    <w:rsid w:val="00302CCC"/>
    <w:rsid w:val="003035E3"/>
    <w:rsid w:val="0030363A"/>
    <w:rsid w:val="00315930"/>
    <w:rsid w:val="00317970"/>
    <w:rsid w:val="00317EB0"/>
    <w:rsid w:val="00322681"/>
    <w:rsid w:val="00331304"/>
    <w:rsid w:val="00332700"/>
    <w:rsid w:val="003342AA"/>
    <w:rsid w:val="003358BD"/>
    <w:rsid w:val="003426E5"/>
    <w:rsid w:val="00344E88"/>
    <w:rsid w:val="00345D80"/>
    <w:rsid w:val="003471D4"/>
    <w:rsid w:val="00350BF1"/>
    <w:rsid w:val="00353C49"/>
    <w:rsid w:val="003540B1"/>
    <w:rsid w:val="00354CC4"/>
    <w:rsid w:val="003557E9"/>
    <w:rsid w:val="003560BA"/>
    <w:rsid w:val="00364CC6"/>
    <w:rsid w:val="003650F6"/>
    <w:rsid w:val="0036726C"/>
    <w:rsid w:val="003832D2"/>
    <w:rsid w:val="003845E5"/>
    <w:rsid w:val="00385321"/>
    <w:rsid w:val="00393137"/>
    <w:rsid w:val="00397406"/>
    <w:rsid w:val="003A054E"/>
    <w:rsid w:val="003A3170"/>
    <w:rsid w:val="003A360E"/>
    <w:rsid w:val="003C6A55"/>
    <w:rsid w:val="003D17FF"/>
    <w:rsid w:val="003D2871"/>
    <w:rsid w:val="003D4633"/>
    <w:rsid w:val="003D5B83"/>
    <w:rsid w:val="003E396E"/>
    <w:rsid w:val="003E63B9"/>
    <w:rsid w:val="003E6E47"/>
    <w:rsid w:val="003F0623"/>
    <w:rsid w:val="003F33DE"/>
    <w:rsid w:val="003F3A41"/>
    <w:rsid w:val="003F5BE4"/>
    <w:rsid w:val="003F67E9"/>
    <w:rsid w:val="00401031"/>
    <w:rsid w:val="004023B7"/>
    <w:rsid w:val="004045A0"/>
    <w:rsid w:val="00413CDB"/>
    <w:rsid w:val="004200FE"/>
    <w:rsid w:val="00421183"/>
    <w:rsid w:val="00421887"/>
    <w:rsid w:val="00421BA6"/>
    <w:rsid w:val="00421C17"/>
    <w:rsid w:val="00426CDE"/>
    <w:rsid w:val="00426F72"/>
    <w:rsid w:val="00430F1A"/>
    <w:rsid w:val="00431C83"/>
    <w:rsid w:val="00433EA1"/>
    <w:rsid w:val="00441957"/>
    <w:rsid w:val="00443D32"/>
    <w:rsid w:val="00444692"/>
    <w:rsid w:val="004463DD"/>
    <w:rsid w:val="004469DD"/>
    <w:rsid w:val="004476B2"/>
    <w:rsid w:val="00447CE5"/>
    <w:rsid w:val="00447D6E"/>
    <w:rsid w:val="0045048F"/>
    <w:rsid w:val="0045181B"/>
    <w:rsid w:val="00452133"/>
    <w:rsid w:val="00452C7A"/>
    <w:rsid w:val="00456B53"/>
    <w:rsid w:val="00457691"/>
    <w:rsid w:val="0046286E"/>
    <w:rsid w:val="004641B5"/>
    <w:rsid w:val="004673A2"/>
    <w:rsid w:val="00471234"/>
    <w:rsid w:val="00472250"/>
    <w:rsid w:val="0047437C"/>
    <w:rsid w:val="00477522"/>
    <w:rsid w:val="00480E7B"/>
    <w:rsid w:val="004831F3"/>
    <w:rsid w:val="004843E5"/>
    <w:rsid w:val="00484BF6"/>
    <w:rsid w:val="0049052C"/>
    <w:rsid w:val="00493457"/>
    <w:rsid w:val="00494628"/>
    <w:rsid w:val="0049566B"/>
    <w:rsid w:val="00497338"/>
    <w:rsid w:val="004A102F"/>
    <w:rsid w:val="004A1650"/>
    <w:rsid w:val="004B1184"/>
    <w:rsid w:val="004B417A"/>
    <w:rsid w:val="004B4A3A"/>
    <w:rsid w:val="004B5CE5"/>
    <w:rsid w:val="004B750E"/>
    <w:rsid w:val="004C2244"/>
    <w:rsid w:val="004C23F1"/>
    <w:rsid w:val="004C6F6E"/>
    <w:rsid w:val="004D069A"/>
    <w:rsid w:val="004D669F"/>
    <w:rsid w:val="004E01F5"/>
    <w:rsid w:val="004E0817"/>
    <w:rsid w:val="004E08D1"/>
    <w:rsid w:val="004E297E"/>
    <w:rsid w:val="004E63BA"/>
    <w:rsid w:val="004E76CA"/>
    <w:rsid w:val="004F1698"/>
    <w:rsid w:val="004F1E7E"/>
    <w:rsid w:val="004F3A49"/>
    <w:rsid w:val="00500C4E"/>
    <w:rsid w:val="00505CEC"/>
    <w:rsid w:val="0051020F"/>
    <w:rsid w:val="00513CAB"/>
    <w:rsid w:val="00516284"/>
    <w:rsid w:val="00516CF5"/>
    <w:rsid w:val="00522234"/>
    <w:rsid w:val="00523597"/>
    <w:rsid w:val="00523736"/>
    <w:rsid w:val="00531112"/>
    <w:rsid w:val="00532530"/>
    <w:rsid w:val="00535CA4"/>
    <w:rsid w:val="00540848"/>
    <w:rsid w:val="00543664"/>
    <w:rsid w:val="005476F6"/>
    <w:rsid w:val="00551D72"/>
    <w:rsid w:val="005540B6"/>
    <w:rsid w:val="005552C3"/>
    <w:rsid w:val="00560934"/>
    <w:rsid w:val="00563E58"/>
    <w:rsid w:val="00564960"/>
    <w:rsid w:val="00570654"/>
    <w:rsid w:val="00570F38"/>
    <w:rsid w:val="005720F2"/>
    <w:rsid w:val="005729C8"/>
    <w:rsid w:val="00572D2F"/>
    <w:rsid w:val="005734A4"/>
    <w:rsid w:val="00587D02"/>
    <w:rsid w:val="00591B76"/>
    <w:rsid w:val="00592115"/>
    <w:rsid w:val="00594EF5"/>
    <w:rsid w:val="005A0E53"/>
    <w:rsid w:val="005A1078"/>
    <w:rsid w:val="005A4658"/>
    <w:rsid w:val="005A496B"/>
    <w:rsid w:val="005A4DE2"/>
    <w:rsid w:val="005B28C1"/>
    <w:rsid w:val="005B57AE"/>
    <w:rsid w:val="005B6344"/>
    <w:rsid w:val="005C1C74"/>
    <w:rsid w:val="005C1D4E"/>
    <w:rsid w:val="005C2E48"/>
    <w:rsid w:val="005C3F23"/>
    <w:rsid w:val="005D4DD7"/>
    <w:rsid w:val="005E12A9"/>
    <w:rsid w:val="005F139E"/>
    <w:rsid w:val="005F69D5"/>
    <w:rsid w:val="005F798B"/>
    <w:rsid w:val="00602799"/>
    <w:rsid w:val="00602F18"/>
    <w:rsid w:val="00607C30"/>
    <w:rsid w:val="006110F3"/>
    <w:rsid w:val="00612041"/>
    <w:rsid w:val="00614AFF"/>
    <w:rsid w:val="00617DFE"/>
    <w:rsid w:val="00621ABA"/>
    <w:rsid w:val="0062322A"/>
    <w:rsid w:val="00631157"/>
    <w:rsid w:val="006327E4"/>
    <w:rsid w:val="006404E6"/>
    <w:rsid w:val="006434E4"/>
    <w:rsid w:val="0064680F"/>
    <w:rsid w:val="0064729D"/>
    <w:rsid w:val="00647ABE"/>
    <w:rsid w:val="00647EC9"/>
    <w:rsid w:val="006516BA"/>
    <w:rsid w:val="006641D3"/>
    <w:rsid w:val="00664B05"/>
    <w:rsid w:val="00665C04"/>
    <w:rsid w:val="0066682D"/>
    <w:rsid w:val="006746FE"/>
    <w:rsid w:val="00676E9F"/>
    <w:rsid w:val="00680934"/>
    <w:rsid w:val="00685D5C"/>
    <w:rsid w:val="00686049"/>
    <w:rsid w:val="006872EA"/>
    <w:rsid w:val="00687E1D"/>
    <w:rsid w:val="0069264D"/>
    <w:rsid w:val="0069578B"/>
    <w:rsid w:val="00697868"/>
    <w:rsid w:val="006A055F"/>
    <w:rsid w:val="006A126F"/>
    <w:rsid w:val="006A14E9"/>
    <w:rsid w:val="006A2A65"/>
    <w:rsid w:val="006A5293"/>
    <w:rsid w:val="006A57EC"/>
    <w:rsid w:val="006A67E4"/>
    <w:rsid w:val="006A6D15"/>
    <w:rsid w:val="006B0511"/>
    <w:rsid w:val="006B0DF3"/>
    <w:rsid w:val="006B0F11"/>
    <w:rsid w:val="006B27FA"/>
    <w:rsid w:val="006B4A48"/>
    <w:rsid w:val="006C0B9C"/>
    <w:rsid w:val="006C2C55"/>
    <w:rsid w:val="006C430A"/>
    <w:rsid w:val="006C48BD"/>
    <w:rsid w:val="006C54E3"/>
    <w:rsid w:val="006D1714"/>
    <w:rsid w:val="006D2809"/>
    <w:rsid w:val="006D561C"/>
    <w:rsid w:val="006E27A3"/>
    <w:rsid w:val="006E3342"/>
    <w:rsid w:val="006E4B12"/>
    <w:rsid w:val="006E6537"/>
    <w:rsid w:val="006E65D0"/>
    <w:rsid w:val="006F1B21"/>
    <w:rsid w:val="006F1FA1"/>
    <w:rsid w:val="006F21E8"/>
    <w:rsid w:val="006F78D5"/>
    <w:rsid w:val="0070091B"/>
    <w:rsid w:val="007048AC"/>
    <w:rsid w:val="007239C0"/>
    <w:rsid w:val="00726338"/>
    <w:rsid w:val="00726AD5"/>
    <w:rsid w:val="00733C7D"/>
    <w:rsid w:val="00740761"/>
    <w:rsid w:val="00745F77"/>
    <w:rsid w:val="007464DE"/>
    <w:rsid w:val="007529EA"/>
    <w:rsid w:val="00755A45"/>
    <w:rsid w:val="00756075"/>
    <w:rsid w:val="00760CDC"/>
    <w:rsid w:val="00764D0D"/>
    <w:rsid w:val="00777C53"/>
    <w:rsid w:val="00781FCA"/>
    <w:rsid w:val="00786E92"/>
    <w:rsid w:val="00787518"/>
    <w:rsid w:val="0079294C"/>
    <w:rsid w:val="007933F1"/>
    <w:rsid w:val="007A5F52"/>
    <w:rsid w:val="007A78D2"/>
    <w:rsid w:val="007B090A"/>
    <w:rsid w:val="007B3C16"/>
    <w:rsid w:val="007B7215"/>
    <w:rsid w:val="007C5EBF"/>
    <w:rsid w:val="007D5FE9"/>
    <w:rsid w:val="007E3936"/>
    <w:rsid w:val="007E43F8"/>
    <w:rsid w:val="007E5076"/>
    <w:rsid w:val="007E5925"/>
    <w:rsid w:val="007E656B"/>
    <w:rsid w:val="007F2997"/>
    <w:rsid w:val="007F50E8"/>
    <w:rsid w:val="007F54E2"/>
    <w:rsid w:val="007F7FBA"/>
    <w:rsid w:val="00800319"/>
    <w:rsid w:val="0080044E"/>
    <w:rsid w:val="00800706"/>
    <w:rsid w:val="0080189A"/>
    <w:rsid w:val="00801F7F"/>
    <w:rsid w:val="00803C2B"/>
    <w:rsid w:val="0080568D"/>
    <w:rsid w:val="008078EB"/>
    <w:rsid w:val="00811945"/>
    <w:rsid w:val="008131A5"/>
    <w:rsid w:val="00824F1C"/>
    <w:rsid w:val="00826688"/>
    <w:rsid w:val="00830FCD"/>
    <w:rsid w:val="0083369B"/>
    <w:rsid w:val="00835D38"/>
    <w:rsid w:val="0084211F"/>
    <w:rsid w:val="00847A4E"/>
    <w:rsid w:val="0086622C"/>
    <w:rsid w:val="00871D79"/>
    <w:rsid w:val="00872535"/>
    <w:rsid w:val="0087393E"/>
    <w:rsid w:val="00881A42"/>
    <w:rsid w:val="00882386"/>
    <w:rsid w:val="00882E17"/>
    <w:rsid w:val="0088361D"/>
    <w:rsid w:val="00885E0A"/>
    <w:rsid w:val="0088603B"/>
    <w:rsid w:val="008877AF"/>
    <w:rsid w:val="00893FC3"/>
    <w:rsid w:val="0089577B"/>
    <w:rsid w:val="008A3FD3"/>
    <w:rsid w:val="008A7BE7"/>
    <w:rsid w:val="008B1024"/>
    <w:rsid w:val="008B1357"/>
    <w:rsid w:val="008B2DF3"/>
    <w:rsid w:val="008C0101"/>
    <w:rsid w:val="008C2E0E"/>
    <w:rsid w:val="008C4DE0"/>
    <w:rsid w:val="008D3930"/>
    <w:rsid w:val="008D67F9"/>
    <w:rsid w:val="008D6D37"/>
    <w:rsid w:val="008E17CC"/>
    <w:rsid w:val="008E25B1"/>
    <w:rsid w:val="008E56FB"/>
    <w:rsid w:val="008F2167"/>
    <w:rsid w:val="008F33B4"/>
    <w:rsid w:val="008F6298"/>
    <w:rsid w:val="0090077A"/>
    <w:rsid w:val="00900F47"/>
    <w:rsid w:val="00904ADA"/>
    <w:rsid w:val="009067FA"/>
    <w:rsid w:val="00907697"/>
    <w:rsid w:val="00910A69"/>
    <w:rsid w:val="009138A0"/>
    <w:rsid w:val="0091424C"/>
    <w:rsid w:val="00917DE4"/>
    <w:rsid w:val="00920905"/>
    <w:rsid w:val="00922B85"/>
    <w:rsid w:val="00926698"/>
    <w:rsid w:val="00930CDC"/>
    <w:rsid w:val="0093118A"/>
    <w:rsid w:val="00931E45"/>
    <w:rsid w:val="00932DD9"/>
    <w:rsid w:val="00933188"/>
    <w:rsid w:val="00934DDB"/>
    <w:rsid w:val="00935A26"/>
    <w:rsid w:val="00935AF9"/>
    <w:rsid w:val="009403A5"/>
    <w:rsid w:val="009500DC"/>
    <w:rsid w:val="00951923"/>
    <w:rsid w:val="009579CC"/>
    <w:rsid w:val="00962E76"/>
    <w:rsid w:val="00972C81"/>
    <w:rsid w:val="00975325"/>
    <w:rsid w:val="009824E9"/>
    <w:rsid w:val="009826E5"/>
    <w:rsid w:val="009844A1"/>
    <w:rsid w:val="00984A8A"/>
    <w:rsid w:val="00986E20"/>
    <w:rsid w:val="00990DEF"/>
    <w:rsid w:val="00991266"/>
    <w:rsid w:val="009943D1"/>
    <w:rsid w:val="00995479"/>
    <w:rsid w:val="00995CB0"/>
    <w:rsid w:val="00997E77"/>
    <w:rsid w:val="009A2734"/>
    <w:rsid w:val="009A6BFD"/>
    <w:rsid w:val="009B2A02"/>
    <w:rsid w:val="009B2B61"/>
    <w:rsid w:val="009B5B7B"/>
    <w:rsid w:val="009C1777"/>
    <w:rsid w:val="009C2C86"/>
    <w:rsid w:val="009C6FE0"/>
    <w:rsid w:val="009D0753"/>
    <w:rsid w:val="009D10A4"/>
    <w:rsid w:val="009D5131"/>
    <w:rsid w:val="009D6CE3"/>
    <w:rsid w:val="009D6F71"/>
    <w:rsid w:val="009E1802"/>
    <w:rsid w:val="009E1CDE"/>
    <w:rsid w:val="009E2B06"/>
    <w:rsid w:val="009E3829"/>
    <w:rsid w:val="009E51E2"/>
    <w:rsid w:val="009F7A61"/>
    <w:rsid w:val="00A03BF4"/>
    <w:rsid w:val="00A11800"/>
    <w:rsid w:val="00A11C16"/>
    <w:rsid w:val="00A1423E"/>
    <w:rsid w:val="00A17664"/>
    <w:rsid w:val="00A20FAF"/>
    <w:rsid w:val="00A24520"/>
    <w:rsid w:val="00A3164A"/>
    <w:rsid w:val="00A34910"/>
    <w:rsid w:val="00A37F42"/>
    <w:rsid w:val="00A4411F"/>
    <w:rsid w:val="00A44FEF"/>
    <w:rsid w:val="00A500D6"/>
    <w:rsid w:val="00A523FF"/>
    <w:rsid w:val="00A54756"/>
    <w:rsid w:val="00A54C66"/>
    <w:rsid w:val="00A56D57"/>
    <w:rsid w:val="00A57D36"/>
    <w:rsid w:val="00A61BB6"/>
    <w:rsid w:val="00A65734"/>
    <w:rsid w:val="00A6687F"/>
    <w:rsid w:val="00A67907"/>
    <w:rsid w:val="00A73CC1"/>
    <w:rsid w:val="00A80270"/>
    <w:rsid w:val="00A82DB1"/>
    <w:rsid w:val="00A84127"/>
    <w:rsid w:val="00A86DA2"/>
    <w:rsid w:val="00A90DFC"/>
    <w:rsid w:val="00A91BF3"/>
    <w:rsid w:val="00A93231"/>
    <w:rsid w:val="00AA0A9C"/>
    <w:rsid w:val="00AA16C0"/>
    <w:rsid w:val="00AA4CDC"/>
    <w:rsid w:val="00AA520A"/>
    <w:rsid w:val="00AB1803"/>
    <w:rsid w:val="00AB21D4"/>
    <w:rsid w:val="00AB21F5"/>
    <w:rsid w:val="00AB3386"/>
    <w:rsid w:val="00AB36DB"/>
    <w:rsid w:val="00AB3C4A"/>
    <w:rsid w:val="00AC0B1D"/>
    <w:rsid w:val="00AC2F5B"/>
    <w:rsid w:val="00AC3DAD"/>
    <w:rsid w:val="00AC5309"/>
    <w:rsid w:val="00AC5B97"/>
    <w:rsid w:val="00AD4DD0"/>
    <w:rsid w:val="00AE0A8D"/>
    <w:rsid w:val="00AE4890"/>
    <w:rsid w:val="00AF6342"/>
    <w:rsid w:val="00AF7AB9"/>
    <w:rsid w:val="00B053FB"/>
    <w:rsid w:val="00B05647"/>
    <w:rsid w:val="00B07699"/>
    <w:rsid w:val="00B07EE5"/>
    <w:rsid w:val="00B13A04"/>
    <w:rsid w:val="00B21CC5"/>
    <w:rsid w:val="00B26778"/>
    <w:rsid w:val="00B26B83"/>
    <w:rsid w:val="00B32479"/>
    <w:rsid w:val="00B33FE2"/>
    <w:rsid w:val="00B37696"/>
    <w:rsid w:val="00B403ED"/>
    <w:rsid w:val="00B4065F"/>
    <w:rsid w:val="00B412D0"/>
    <w:rsid w:val="00B45091"/>
    <w:rsid w:val="00B45447"/>
    <w:rsid w:val="00B614F1"/>
    <w:rsid w:val="00B866B4"/>
    <w:rsid w:val="00B94226"/>
    <w:rsid w:val="00B94762"/>
    <w:rsid w:val="00BA0A8C"/>
    <w:rsid w:val="00BA0CEB"/>
    <w:rsid w:val="00BA1647"/>
    <w:rsid w:val="00BA2383"/>
    <w:rsid w:val="00BA2538"/>
    <w:rsid w:val="00BA2E7E"/>
    <w:rsid w:val="00BA485D"/>
    <w:rsid w:val="00BA48FD"/>
    <w:rsid w:val="00BA590A"/>
    <w:rsid w:val="00BA5FE4"/>
    <w:rsid w:val="00BB0B39"/>
    <w:rsid w:val="00BB30D1"/>
    <w:rsid w:val="00BB39D8"/>
    <w:rsid w:val="00BB3A62"/>
    <w:rsid w:val="00BB5992"/>
    <w:rsid w:val="00BB5F75"/>
    <w:rsid w:val="00BC6524"/>
    <w:rsid w:val="00BD3931"/>
    <w:rsid w:val="00BD5B88"/>
    <w:rsid w:val="00BD5F58"/>
    <w:rsid w:val="00BD7B2F"/>
    <w:rsid w:val="00BE0AEB"/>
    <w:rsid w:val="00BE1329"/>
    <w:rsid w:val="00BE5D96"/>
    <w:rsid w:val="00BF430F"/>
    <w:rsid w:val="00C018E0"/>
    <w:rsid w:val="00C05AAF"/>
    <w:rsid w:val="00C06A6A"/>
    <w:rsid w:val="00C118C7"/>
    <w:rsid w:val="00C11D90"/>
    <w:rsid w:val="00C20877"/>
    <w:rsid w:val="00C20E7B"/>
    <w:rsid w:val="00C21456"/>
    <w:rsid w:val="00C21C72"/>
    <w:rsid w:val="00C24D03"/>
    <w:rsid w:val="00C25C58"/>
    <w:rsid w:val="00C25E61"/>
    <w:rsid w:val="00C27867"/>
    <w:rsid w:val="00C3128C"/>
    <w:rsid w:val="00C35A1B"/>
    <w:rsid w:val="00C413F3"/>
    <w:rsid w:val="00C4403A"/>
    <w:rsid w:val="00C531C7"/>
    <w:rsid w:val="00C54EFF"/>
    <w:rsid w:val="00C55D03"/>
    <w:rsid w:val="00C63548"/>
    <w:rsid w:val="00C635B6"/>
    <w:rsid w:val="00C63F96"/>
    <w:rsid w:val="00C65450"/>
    <w:rsid w:val="00C666E8"/>
    <w:rsid w:val="00C66C7A"/>
    <w:rsid w:val="00C677AF"/>
    <w:rsid w:val="00C67E59"/>
    <w:rsid w:val="00C72B8B"/>
    <w:rsid w:val="00C72CB5"/>
    <w:rsid w:val="00C7375C"/>
    <w:rsid w:val="00C76D4F"/>
    <w:rsid w:val="00C805BC"/>
    <w:rsid w:val="00C959CA"/>
    <w:rsid w:val="00C95D16"/>
    <w:rsid w:val="00CA2AB4"/>
    <w:rsid w:val="00CB0079"/>
    <w:rsid w:val="00CB0100"/>
    <w:rsid w:val="00CB04D2"/>
    <w:rsid w:val="00CB141B"/>
    <w:rsid w:val="00CB50EF"/>
    <w:rsid w:val="00CC59BC"/>
    <w:rsid w:val="00CD7EFE"/>
    <w:rsid w:val="00CE0C66"/>
    <w:rsid w:val="00CE28CF"/>
    <w:rsid w:val="00CE4386"/>
    <w:rsid w:val="00CE4CDC"/>
    <w:rsid w:val="00CE5BEB"/>
    <w:rsid w:val="00CE69E9"/>
    <w:rsid w:val="00CE71F2"/>
    <w:rsid w:val="00CE76B1"/>
    <w:rsid w:val="00CF3F65"/>
    <w:rsid w:val="00CF464D"/>
    <w:rsid w:val="00D17EF4"/>
    <w:rsid w:val="00D2155E"/>
    <w:rsid w:val="00D23770"/>
    <w:rsid w:val="00D25074"/>
    <w:rsid w:val="00D34517"/>
    <w:rsid w:val="00D36798"/>
    <w:rsid w:val="00D37A69"/>
    <w:rsid w:val="00D47E80"/>
    <w:rsid w:val="00D51992"/>
    <w:rsid w:val="00D60AAE"/>
    <w:rsid w:val="00D64D61"/>
    <w:rsid w:val="00D66A93"/>
    <w:rsid w:val="00D70563"/>
    <w:rsid w:val="00D70D89"/>
    <w:rsid w:val="00D72051"/>
    <w:rsid w:val="00D7380B"/>
    <w:rsid w:val="00D75D77"/>
    <w:rsid w:val="00D7639E"/>
    <w:rsid w:val="00D7741D"/>
    <w:rsid w:val="00D80AAD"/>
    <w:rsid w:val="00D826B4"/>
    <w:rsid w:val="00D835EF"/>
    <w:rsid w:val="00D83A21"/>
    <w:rsid w:val="00D85F09"/>
    <w:rsid w:val="00D86A9D"/>
    <w:rsid w:val="00D90BBF"/>
    <w:rsid w:val="00DA089A"/>
    <w:rsid w:val="00DA11A0"/>
    <w:rsid w:val="00DA2822"/>
    <w:rsid w:val="00DA690B"/>
    <w:rsid w:val="00DA7225"/>
    <w:rsid w:val="00DB44E9"/>
    <w:rsid w:val="00DB618D"/>
    <w:rsid w:val="00DC0391"/>
    <w:rsid w:val="00DC1966"/>
    <w:rsid w:val="00DC3259"/>
    <w:rsid w:val="00DC4DF6"/>
    <w:rsid w:val="00DD0523"/>
    <w:rsid w:val="00DE5758"/>
    <w:rsid w:val="00DE5FCF"/>
    <w:rsid w:val="00DE6662"/>
    <w:rsid w:val="00DF0D19"/>
    <w:rsid w:val="00DF26BB"/>
    <w:rsid w:val="00DF2EE9"/>
    <w:rsid w:val="00DF30A5"/>
    <w:rsid w:val="00DF6FD8"/>
    <w:rsid w:val="00E05A80"/>
    <w:rsid w:val="00E06A37"/>
    <w:rsid w:val="00E071A5"/>
    <w:rsid w:val="00E07752"/>
    <w:rsid w:val="00E16609"/>
    <w:rsid w:val="00E16F08"/>
    <w:rsid w:val="00E2333F"/>
    <w:rsid w:val="00E233F3"/>
    <w:rsid w:val="00E26B34"/>
    <w:rsid w:val="00E2733F"/>
    <w:rsid w:val="00E314BA"/>
    <w:rsid w:val="00E325BE"/>
    <w:rsid w:val="00E326BA"/>
    <w:rsid w:val="00E339EE"/>
    <w:rsid w:val="00E34202"/>
    <w:rsid w:val="00E37F72"/>
    <w:rsid w:val="00E40BE5"/>
    <w:rsid w:val="00E40CF9"/>
    <w:rsid w:val="00E42A30"/>
    <w:rsid w:val="00E5431A"/>
    <w:rsid w:val="00E5625D"/>
    <w:rsid w:val="00E60A9F"/>
    <w:rsid w:val="00E648BB"/>
    <w:rsid w:val="00E677DD"/>
    <w:rsid w:val="00E67ACA"/>
    <w:rsid w:val="00E76B31"/>
    <w:rsid w:val="00E81835"/>
    <w:rsid w:val="00E81989"/>
    <w:rsid w:val="00E81DC4"/>
    <w:rsid w:val="00E81F3E"/>
    <w:rsid w:val="00E844BB"/>
    <w:rsid w:val="00E84C48"/>
    <w:rsid w:val="00E859BD"/>
    <w:rsid w:val="00E86B70"/>
    <w:rsid w:val="00E87385"/>
    <w:rsid w:val="00E87C8F"/>
    <w:rsid w:val="00E924C3"/>
    <w:rsid w:val="00E947BC"/>
    <w:rsid w:val="00E954EE"/>
    <w:rsid w:val="00E96759"/>
    <w:rsid w:val="00EA4437"/>
    <w:rsid w:val="00EA4D87"/>
    <w:rsid w:val="00EB34FC"/>
    <w:rsid w:val="00EB76E1"/>
    <w:rsid w:val="00EC13FE"/>
    <w:rsid w:val="00EC2499"/>
    <w:rsid w:val="00EC4D8E"/>
    <w:rsid w:val="00ED4495"/>
    <w:rsid w:val="00ED700F"/>
    <w:rsid w:val="00EE4120"/>
    <w:rsid w:val="00EF2E8A"/>
    <w:rsid w:val="00EF4E6B"/>
    <w:rsid w:val="00EF5416"/>
    <w:rsid w:val="00EF56B6"/>
    <w:rsid w:val="00F0470E"/>
    <w:rsid w:val="00F04771"/>
    <w:rsid w:val="00F06CCF"/>
    <w:rsid w:val="00F1053D"/>
    <w:rsid w:val="00F110D5"/>
    <w:rsid w:val="00F11E63"/>
    <w:rsid w:val="00F12733"/>
    <w:rsid w:val="00F1422F"/>
    <w:rsid w:val="00F171E1"/>
    <w:rsid w:val="00F20DCF"/>
    <w:rsid w:val="00F2112F"/>
    <w:rsid w:val="00F25B36"/>
    <w:rsid w:val="00F3052A"/>
    <w:rsid w:val="00F31066"/>
    <w:rsid w:val="00F341E3"/>
    <w:rsid w:val="00F35D09"/>
    <w:rsid w:val="00F41130"/>
    <w:rsid w:val="00F4304D"/>
    <w:rsid w:val="00F43F10"/>
    <w:rsid w:val="00F46612"/>
    <w:rsid w:val="00F4752B"/>
    <w:rsid w:val="00F476E8"/>
    <w:rsid w:val="00F51EEF"/>
    <w:rsid w:val="00F52A30"/>
    <w:rsid w:val="00F541AE"/>
    <w:rsid w:val="00F56792"/>
    <w:rsid w:val="00F571A6"/>
    <w:rsid w:val="00F6018B"/>
    <w:rsid w:val="00F60265"/>
    <w:rsid w:val="00F60E32"/>
    <w:rsid w:val="00F62B74"/>
    <w:rsid w:val="00F644FF"/>
    <w:rsid w:val="00F65ABA"/>
    <w:rsid w:val="00F65E15"/>
    <w:rsid w:val="00F71FBE"/>
    <w:rsid w:val="00F7242E"/>
    <w:rsid w:val="00F74B33"/>
    <w:rsid w:val="00F75D8F"/>
    <w:rsid w:val="00F810DD"/>
    <w:rsid w:val="00F82827"/>
    <w:rsid w:val="00F82FD8"/>
    <w:rsid w:val="00F95E2F"/>
    <w:rsid w:val="00F96DEB"/>
    <w:rsid w:val="00FA1872"/>
    <w:rsid w:val="00FA2CFB"/>
    <w:rsid w:val="00FA33C4"/>
    <w:rsid w:val="00FA4F34"/>
    <w:rsid w:val="00FB2590"/>
    <w:rsid w:val="00FC1708"/>
    <w:rsid w:val="00FC3485"/>
    <w:rsid w:val="00FD27D8"/>
    <w:rsid w:val="00FD5A8C"/>
    <w:rsid w:val="00FE1E00"/>
    <w:rsid w:val="00FE286E"/>
    <w:rsid w:val="00FE3233"/>
    <w:rsid w:val="00FE4C68"/>
    <w:rsid w:val="00FE5FAF"/>
    <w:rsid w:val="00FE6D74"/>
    <w:rsid w:val="00FE7049"/>
    <w:rsid w:val="00FF173C"/>
    <w:rsid w:val="00FF4E21"/>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FEC189"/>
  <w15:docId w15:val="{E945932C-C172-44F6-A338-70A2B311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DB618D"/>
    <w:pPr>
      <w:numPr>
        <w:ilvl w:val="1"/>
        <w:numId w:val="5"/>
      </w:numPr>
      <w:suppressAutoHyphens/>
      <w:spacing w:before="240"/>
      <w:outlineLvl w:val="1"/>
    </w:pPr>
    <w:rPr>
      <w:rFonts w:ascii="Arial" w:eastAsiaTheme="minorEastAsia" w:hAnsi="Arial"/>
      <w:b/>
      <w:caps/>
      <w:szCs w:val="22"/>
    </w:rPr>
  </w:style>
  <w:style w:type="paragraph" w:customStyle="1" w:styleId="PR1">
    <w:name w:val="PR1"/>
    <w:basedOn w:val="ART"/>
    <w:rsid w:val="00DB618D"/>
    <w:pPr>
      <w:numPr>
        <w:ilvl w:val="2"/>
      </w:numPr>
      <w:outlineLvl w:val="2"/>
    </w:pPr>
    <w:rPr>
      <w:b w:val="0"/>
      <w:caps w:val="0"/>
    </w:rPr>
  </w:style>
  <w:style w:type="paragraph" w:customStyle="1" w:styleId="PR2">
    <w:name w:val="PR2"/>
    <w:basedOn w:val="PR1"/>
    <w:rsid w:val="00DB618D"/>
    <w:pPr>
      <w:numPr>
        <w:ilvl w:val="3"/>
      </w:numPr>
      <w:spacing w:before="0"/>
      <w:outlineLvl w:val="3"/>
    </w:pPr>
  </w:style>
  <w:style w:type="paragraph" w:customStyle="1" w:styleId="PR3">
    <w:name w:val="PR3"/>
    <w:basedOn w:val="PR1"/>
    <w:rsid w:val="00DB618D"/>
    <w:pPr>
      <w:numPr>
        <w:ilvl w:val="4"/>
      </w:numPr>
      <w:spacing w:before="0"/>
      <w:outlineLvl w:val="4"/>
    </w:pPr>
  </w:style>
  <w:style w:type="paragraph" w:customStyle="1" w:styleId="PR4">
    <w:name w:val="PR4"/>
    <w:basedOn w:val="PR1"/>
    <w:rsid w:val="00DB618D"/>
    <w:pPr>
      <w:numPr>
        <w:ilvl w:val="5"/>
      </w:numPr>
      <w:tabs>
        <w:tab w:val="left" w:pos="2448"/>
      </w:tabs>
      <w:spacing w:before="0"/>
      <w:outlineLvl w:val="5"/>
    </w:pPr>
  </w:style>
  <w:style w:type="paragraph" w:customStyle="1" w:styleId="PR5">
    <w:name w:val="PR5"/>
    <w:basedOn w:val="PR1"/>
    <w:rsid w:val="00DB618D"/>
    <w:pPr>
      <w:numPr>
        <w:ilvl w:val="6"/>
      </w:numPr>
      <w:spacing w:before="0"/>
      <w:outlineLvl w:val="6"/>
    </w:pPr>
  </w:style>
  <w:style w:type="paragraph" w:customStyle="1" w:styleId="PR6">
    <w:name w:val="PR6"/>
    <w:basedOn w:val="PR1"/>
    <w:rsid w:val="00DB618D"/>
    <w:pPr>
      <w:numPr>
        <w:ilvl w:val="7"/>
      </w:numPr>
      <w:tabs>
        <w:tab w:val="left" w:pos="3744"/>
      </w:tabs>
      <w:spacing w:before="0"/>
      <w:outlineLvl w:val="7"/>
    </w:pPr>
  </w:style>
  <w:style w:type="paragraph" w:customStyle="1" w:styleId="PR7">
    <w:name w:val="PR7"/>
    <w:basedOn w:val="PR6"/>
    <w:rsid w:val="00DB618D"/>
    <w:pPr>
      <w:numPr>
        <w:ilvl w:val="8"/>
      </w:numPr>
      <w:tabs>
        <w:tab w:val="left" w:pos="4464"/>
      </w:tabs>
    </w:pPr>
  </w:style>
  <w:style w:type="paragraph" w:customStyle="1" w:styleId="OmniPage2052">
    <w:name w:val="OmniPage #2052"/>
    <w:basedOn w:val="Normal"/>
    <w:rsid w:val="00DB618D"/>
    <w:pPr>
      <w:tabs>
        <w:tab w:val="left" w:pos="110"/>
        <w:tab w:val="right" w:pos="2932"/>
      </w:tabs>
      <w:ind w:left="1155"/>
    </w:pPr>
    <w:rPr>
      <w:rFonts w:ascii="Times New Roman" w:eastAsiaTheme="minorEastAsia" w:hAnsi="Times New Roman"/>
      <w:sz w:val="24"/>
    </w:rPr>
  </w:style>
  <w:style w:type="paragraph" w:customStyle="1" w:styleId="WPSCT">
    <w:name w:val="WPSCT"/>
    <w:basedOn w:val="Normal"/>
    <w:next w:val="ART"/>
    <w:qFormat/>
    <w:rsid w:val="00DB618D"/>
    <w:pPr>
      <w:numPr>
        <w:numId w:val="5"/>
      </w:numPr>
      <w:suppressAutoHyphens/>
      <w:spacing w:before="240"/>
      <w:outlineLvl w:val="0"/>
    </w:pPr>
    <w:rPr>
      <w:rFonts w:ascii="Arial" w:eastAsiaTheme="minorEastAsia" w:hAnsi="Arial"/>
      <w:b/>
      <w:caps/>
      <w:szCs w:val="22"/>
    </w:rPr>
  </w:style>
  <w:style w:type="paragraph" w:customStyle="1" w:styleId="WPPR1">
    <w:name w:val="WPPR1"/>
    <w:basedOn w:val="PR1"/>
    <w:rsid w:val="00DB618D"/>
  </w:style>
  <w:style w:type="character" w:styleId="UnresolvedMention">
    <w:name w:val="Unresolved Mention"/>
    <w:basedOn w:val="DefaultParagraphFont"/>
    <w:uiPriority w:val="99"/>
    <w:semiHidden/>
    <w:unhideWhenUsed/>
    <w:rsid w:val="008A7BE7"/>
    <w:rPr>
      <w:color w:val="808080"/>
      <w:shd w:val="clear" w:color="auto" w:fill="E6E6E6"/>
    </w:rPr>
  </w:style>
  <w:style w:type="character" w:styleId="FollowedHyperlink">
    <w:name w:val="FollowedHyperlink"/>
    <w:basedOn w:val="DefaultParagraphFont"/>
    <w:uiPriority w:val="99"/>
    <w:semiHidden/>
    <w:unhideWhenUsed/>
    <w:rsid w:val="008A7BE7"/>
    <w:rPr>
      <w:color w:val="800080" w:themeColor="followedHyperlink"/>
      <w:u w:val="single"/>
    </w:rPr>
  </w:style>
  <w:style w:type="paragraph" w:styleId="TOCHeading">
    <w:name w:val="TOC Heading"/>
    <w:basedOn w:val="Heading1"/>
    <w:next w:val="Normal"/>
    <w:uiPriority w:val="39"/>
    <w:unhideWhenUsed/>
    <w:qFormat/>
    <w:rsid w:val="006B0511"/>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6B0511"/>
    <w:pPr>
      <w:spacing w:after="100"/>
    </w:pPr>
  </w:style>
  <w:style w:type="paragraph" w:styleId="TOC2">
    <w:name w:val="toc 2"/>
    <w:basedOn w:val="Normal"/>
    <w:next w:val="Normal"/>
    <w:autoRedefine/>
    <w:uiPriority w:val="39"/>
    <w:unhideWhenUsed/>
    <w:rsid w:val="006B0511"/>
    <w:pPr>
      <w:spacing w:after="100"/>
      <w:ind w:left="220"/>
    </w:pPr>
  </w:style>
  <w:style w:type="paragraph" w:styleId="TOC3">
    <w:name w:val="toc 3"/>
    <w:basedOn w:val="Normal"/>
    <w:next w:val="Normal"/>
    <w:autoRedefine/>
    <w:uiPriority w:val="39"/>
    <w:unhideWhenUsed/>
    <w:rsid w:val="006B0511"/>
    <w:pPr>
      <w:spacing w:after="100"/>
      <w:ind w:left="440"/>
    </w:pPr>
  </w:style>
  <w:style w:type="paragraph" w:styleId="TableofFigures">
    <w:name w:val="table of figures"/>
    <w:basedOn w:val="Normal"/>
    <w:next w:val="Normal"/>
    <w:uiPriority w:val="99"/>
    <w:unhideWhenUsed/>
    <w:rsid w:val="005F7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31021">
      <w:bodyDiv w:val="1"/>
      <w:marLeft w:val="0"/>
      <w:marRight w:val="0"/>
      <w:marTop w:val="0"/>
      <w:marBottom w:val="0"/>
      <w:divBdr>
        <w:top w:val="none" w:sz="0" w:space="0" w:color="auto"/>
        <w:left w:val="none" w:sz="0" w:space="0" w:color="auto"/>
        <w:bottom w:val="none" w:sz="0" w:space="0" w:color="auto"/>
        <w:right w:val="none" w:sz="0" w:space="0" w:color="auto"/>
      </w:divBdr>
    </w:div>
    <w:div w:id="3135335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rel.gov/docs/fy10osti/47246.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tmp"/><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nergy.ca.gov/reports/400-04-009/2004-08-17_400-04-009_PG+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27AF"/>
    <w:rsid w:val="00146151"/>
    <w:rsid w:val="001910AA"/>
    <w:rsid w:val="00204A7F"/>
    <w:rsid w:val="002A3BB6"/>
    <w:rsid w:val="002B514B"/>
    <w:rsid w:val="002C0C03"/>
    <w:rsid w:val="002C2B92"/>
    <w:rsid w:val="00306518"/>
    <w:rsid w:val="00311B0D"/>
    <w:rsid w:val="003A131F"/>
    <w:rsid w:val="004152DB"/>
    <w:rsid w:val="00443F83"/>
    <w:rsid w:val="004D4D3B"/>
    <w:rsid w:val="00517607"/>
    <w:rsid w:val="00560392"/>
    <w:rsid w:val="006761F2"/>
    <w:rsid w:val="006B7FA8"/>
    <w:rsid w:val="008211B5"/>
    <w:rsid w:val="00874653"/>
    <w:rsid w:val="008955A7"/>
    <w:rsid w:val="009B77EE"/>
    <w:rsid w:val="00A5022A"/>
    <w:rsid w:val="00AE4C28"/>
    <w:rsid w:val="00B73964"/>
    <w:rsid w:val="00B74704"/>
    <w:rsid w:val="00C947B8"/>
    <w:rsid w:val="00D0496D"/>
    <w:rsid w:val="00D051F5"/>
    <w:rsid w:val="00D40610"/>
    <w:rsid w:val="00DA1D68"/>
    <w:rsid w:val="00E12EE4"/>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3BB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A3C697DBC564A03AEDB66A676A109BA">
    <w:name w:val="4A3C697DBC564A03AEDB66A676A109BA"/>
    <w:rsid w:val="002A3BB6"/>
    <w:pPr>
      <w:spacing w:after="160" w:line="259" w:lineRule="auto"/>
    </w:pPr>
  </w:style>
  <w:style w:type="paragraph" w:customStyle="1" w:styleId="1CBC0C1B536348B68857D8BD560E61BD">
    <w:name w:val="1CBC0C1B536348B68857D8BD560E61BD"/>
    <w:rsid w:val="002A3BB6"/>
    <w:pPr>
      <w:spacing w:after="160" w:line="259" w:lineRule="auto"/>
    </w:pPr>
  </w:style>
  <w:style w:type="paragraph" w:customStyle="1" w:styleId="87F6569B1B5E4B428EDDCF6C7A706184">
    <w:name w:val="87F6569B1B5E4B428EDDCF6C7A706184"/>
    <w:rsid w:val="002A3BB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DACB98-99BE-4AA3-A61B-115EB2878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15</Pages>
  <Words>3711</Words>
  <Characters>21157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WPSCGCCWH180504</vt:lpstr>
    </vt:vector>
  </TitlesOfParts>
  <Company>SocalGas</Company>
  <LinksUpToDate>false</LinksUpToDate>
  <CharactersWithSpaces>24819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WPSCGCCWH180504A</dc:title>
  <dc:creator>Jim Wyatt (PG&amp;E);Jason Wang (SCE)</dc:creator>
  <cp:lastModifiedBy>Pineda, Carlos A</cp:lastModifiedBy>
  <cp:revision>24</cp:revision>
  <dcterms:created xsi:type="dcterms:W3CDTF">2018-05-15T15:51:00Z</dcterms:created>
  <dcterms:modified xsi:type="dcterms:W3CDTF">2018-06-01T20:53:00Z</dcterms:modified>
  <cp:contentStatus>Revision 00</cp:contentStatus>
</cp:coreProperties>
</file>