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6C2438FA" w:rsidR="00BD221D" w:rsidRPr="00C10F19" w:rsidRDefault="0064769E" w:rsidP="00BD221D">
            <w:pPr>
              <w:pStyle w:val="eTRMHeading1"/>
              <w:jc w:val="center"/>
              <w:rPr>
                <w:sz w:val="28"/>
              </w:rPr>
            </w:pPr>
            <w:r w:rsidRPr="00C10F19">
              <w:rPr>
                <w:sz w:val="28"/>
              </w:rPr>
              <w:t>Agriculture</w:t>
            </w:r>
          </w:p>
          <w:p w14:paraId="09E382DE" w14:textId="77777777" w:rsidR="00BD221D" w:rsidRPr="00C10F19" w:rsidRDefault="0064769E" w:rsidP="00B561EE">
            <w:pPr>
              <w:pStyle w:val="eTRMHeading2"/>
              <w:rPr>
                <w:color w:val="FFFFFF" w:themeColor="background1"/>
                <w:spacing w:val="60"/>
                <w:sz w:val="32"/>
              </w:rPr>
            </w:pPr>
            <w:r w:rsidRPr="00C10F19">
              <w:rPr>
                <w:color w:val="FFFFFF" w:themeColor="background1"/>
                <w:spacing w:val="60"/>
                <w:sz w:val="32"/>
              </w:rPr>
              <w:t xml:space="preserve">Enhanced vfd on </w:t>
            </w:r>
            <w:r w:rsidR="00C10F19" w:rsidRPr="00C10F19">
              <w:rPr>
                <w:color w:val="FFFFFF" w:themeColor="background1"/>
                <w:spacing w:val="60"/>
                <w:sz w:val="32"/>
              </w:rPr>
              <w:t>Irrigation</w:t>
            </w:r>
            <w:r w:rsidRPr="00C10F19">
              <w:rPr>
                <w:color w:val="FFFFFF" w:themeColor="background1"/>
                <w:spacing w:val="60"/>
                <w:sz w:val="32"/>
              </w:rPr>
              <w:t xml:space="preserve"> pump</w:t>
            </w:r>
          </w:p>
          <w:p w14:paraId="10BE1877" w14:textId="4C38502C" w:rsidR="00C10F19" w:rsidRPr="00C10F19" w:rsidRDefault="00C10F19" w:rsidP="00B561EE">
            <w:pPr>
              <w:pStyle w:val="eTRMHeading2"/>
              <w:rPr>
                <w:color w:val="FFFFFF" w:themeColor="background1"/>
                <w:spacing w:val="0"/>
                <w:sz w:val="28"/>
              </w:rPr>
            </w:pPr>
            <w:r w:rsidRPr="00C10F19">
              <w:rPr>
                <w:color w:val="FFFFFF" w:themeColor="background1"/>
                <w:spacing w:val="0"/>
                <w:sz w:val="28"/>
              </w:rPr>
              <w:t>SWWP00</w:t>
            </w:r>
            <w:r w:rsidR="008A593F">
              <w:rPr>
                <w:color w:val="FFFFFF" w:themeColor="background1"/>
                <w:spacing w:val="0"/>
                <w:sz w:val="28"/>
              </w:rPr>
              <w:t>5</w:t>
            </w:r>
            <w:r w:rsidRPr="00C10F19">
              <w:rPr>
                <w:color w:val="FFFFFF" w:themeColor="background1"/>
                <w:spacing w:val="0"/>
                <w:sz w:val="28"/>
              </w:rPr>
              <w:t>-0</w:t>
            </w:r>
            <w:r w:rsidR="00301970">
              <w:rPr>
                <w:color w:val="FFFFFF" w:themeColor="background1"/>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0A75A3EE" w14:textId="589BB092" w:rsidR="008179C7"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8179C7">
        <w:rPr>
          <w:noProof/>
        </w:rPr>
        <w:t>Measure Name</w:t>
      </w:r>
      <w:r w:rsidR="008179C7">
        <w:rPr>
          <w:noProof/>
        </w:rPr>
        <w:tab/>
      </w:r>
      <w:r w:rsidR="008179C7">
        <w:rPr>
          <w:noProof/>
        </w:rPr>
        <w:fldChar w:fldCharType="begin"/>
      </w:r>
      <w:r w:rsidR="008179C7">
        <w:rPr>
          <w:noProof/>
        </w:rPr>
        <w:instrText xml:space="preserve"> PAGEREF _Toc10806360 \h </w:instrText>
      </w:r>
      <w:r w:rsidR="008179C7">
        <w:rPr>
          <w:noProof/>
        </w:rPr>
      </w:r>
      <w:r w:rsidR="008179C7">
        <w:rPr>
          <w:noProof/>
        </w:rPr>
        <w:fldChar w:fldCharType="separate"/>
      </w:r>
      <w:r w:rsidR="008179C7">
        <w:rPr>
          <w:noProof/>
        </w:rPr>
        <w:t>2</w:t>
      </w:r>
      <w:r w:rsidR="008179C7">
        <w:rPr>
          <w:noProof/>
        </w:rPr>
        <w:fldChar w:fldCharType="end"/>
      </w:r>
    </w:p>
    <w:p w14:paraId="5E1EA412" w14:textId="75584015" w:rsidR="008179C7" w:rsidRDefault="008179C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_Toc10806361 \h </w:instrText>
      </w:r>
      <w:r>
        <w:rPr>
          <w:noProof/>
        </w:rPr>
      </w:r>
      <w:r>
        <w:rPr>
          <w:noProof/>
        </w:rPr>
        <w:fldChar w:fldCharType="separate"/>
      </w:r>
      <w:r>
        <w:rPr>
          <w:noProof/>
        </w:rPr>
        <w:t>2</w:t>
      </w:r>
      <w:r>
        <w:rPr>
          <w:noProof/>
        </w:rPr>
        <w:fldChar w:fldCharType="end"/>
      </w:r>
    </w:p>
    <w:p w14:paraId="588932BC" w14:textId="5F154DEB" w:rsidR="008179C7" w:rsidRDefault="008179C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_Toc10806362 \h </w:instrText>
      </w:r>
      <w:r>
        <w:rPr>
          <w:noProof/>
        </w:rPr>
      </w:r>
      <w:r>
        <w:rPr>
          <w:noProof/>
        </w:rPr>
        <w:fldChar w:fldCharType="separate"/>
      </w:r>
      <w:r>
        <w:rPr>
          <w:noProof/>
        </w:rPr>
        <w:t>2</w:t>
      </w:r>
      <w:r>
        <w:rPr>
          <w:noProof/>
        </w:rPr>
        <w:fldChar w:fldCharType="end"/>
      </w:r>
    </w:p>
    <w:p w14:paraId="226C3B3A" w14:textId="77B3F0F6" w:rsidR="008179C7" w:rsidRDefault="008179C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_Toc10806363 \h </w:instrText>
      </w:r>
      <w:r>
        <w:rPr>
          <w:noProof/>
        </w:rPr>
      </w:r>
      <w:r>
        <w:rPr>
          <w:noProof/>
        </w:rPr>
        <w:fldChar w:fldCharType="separate"/>
      </w:r>
      <w:r>
        <w:rPr>
          <w:noProof/>
        </w:rPr>
        <w:t>3</w:t>
      </w:r>
      <w:r>
        <w:rPr>
          <w:noProof/>
        </w:rPr>
        <w:fldChar w:fldCharType="end"/>
      </w:r>
    </w:p>
    <w:p w14:paraId="2D28ED3F" w14:textId="44E1EA1A" w:rsidR="008179C7" w:rsidRDefault="008179C7">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_Toc10806364 \h </w:instrText>
      </w:r>
      <w:r>
        <w:rPr>
          <w:noProof/>
        </w:rPr>
      </w:r>
      <w:r>
        <w:rPr>
          <w:noProof/>
        </w:rPr>
        <w:fldChar w:fldCharType="separate"/>
      </w:r>
      <w:r>
        <w:rPr>
          <w:noProof/>
        </w:rPr>
        <w:t>4</w:t>
      </w:r>
      <w:r>
        <w:rPr>
          <w:noProof/>
        </w:rPr>
        <w:fldChar w:fldCharType="end"/>
      </w:r>
    </w:p>
    <w:p w14:paraId="1622672D" w14:textId="62FFEFCD" w:rsidR="008179C7" w:rsidRDefault="008179C7">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_Toc10806365 \h </w:instrText>
      </w:r>
      <w:r>
        <w:rPr>
          <w:noProof/>
        </w:rPr>
      </w:r>
      <w:r>
        <w:rPr>
          <w:noProof/>
        </w:rPr>
        <w:fldChar w:fldCharType="separate"/>
      </w:r>
      <w:r>
        <w:rPr>
          <w:noProof/>
        </w:rPr>
        <w:t>4</w:t>
      </w:r>
      <w:r>
        <w:rPr>
          <w:noProof/>
        </w:rPr>
        <w:fldChar w:fldCharType="end"/>
      </w:r>
    </w:p>
    <w:p w14:paraId="40DCE24B" w14:textId="722C5227" w:rsidR="008179C7" w:rsidRDefault="008179C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_Toc10806366 \h </w:instrText>
      </w:r>
      <w:r>
        <w:rPr>
          <w:noProof/>
        </w:rPr>
      </w:r>
      <w:r>
        <w:rPr>
          <w:noProof/>
        </w:rPr>
        <w:fldChar w:fldCharType="separate"/>
      </w:r>
      <w:r>
        <w:rPr>
          <w:noProof/>
        </w:rPr>
        <w:t>5</w:t>
      </w:r>
      <w:r>
        <w:rPr>
          <w:noProof/>
        </w:rPr>
        <w:fldChar w:fldCharType="end"/>
      </w:r>
    </w:p>
    <w:p w14:paraId="74E232E1" w14:textId="46AD9B9A" w:rsidR="008179C7" w:rsidRDefault="008179C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_Toc10806367 \h </w:instrText>
      </w:r>
      <w:r>
        <w:rPr>
          <w:noProof/>
        </w:rPr>
      </w:r>
      <w:r>
        <w:rPr>
          <w:noProof/>
        </w:rPr>
        <w:fldChar w:fldCharType="separate"/>
      </w:r>
      <w:r>
        <w:rPr>
          <w:noProof/>
        </w:rPr>
        <w:t>5</w:t>
      </w:r>
      <w:r>
        <w:rPr>
          <w:noProof/>
        </w:rPr>
        <w:fldChar w:fldCharType="end"/>
      </w:r>
    </w:p>
    <w:p w14:paraId="24C6E790" w14:textId="1D31C507" w:rsidR="008179C7" w:rsidRDefault="008179C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_Toc10806368 \h </w:instrText>
      </w:r>
      <w:r>
        <w:rPr>
          <w:noProof/>
        </w:rPr>
      </w:r>
      <w:r>
        <w:rPr>
          <w:noProof/>
        </w:rPr>
        <w:fldChar w:fldCharType="separate"/>
      </w:r>
      <w:r>
        <w:rPr>
          <w:noProof/>
        </w:rPr>
        <w:t>6</w:t>
      </w:r>
      <w:r>
        <w:rPr>
          <w:noProof/>
        </w:rPr>
        <w:fldChar w:fldCharType="end"/>
      </w:r>
    </w:p>
    <w:p w14:paraId="7DAE42AB" w14:textId="20F6C8A2" w:rsidR="008179C7" w:rsidRDefault="008179C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_Toc10806369 \h </w:instrText>
      </w:r>
      <w:r>
        <w:rPr>
          <w:noProof/>
        </w:rPr>
      </w:r>
      <w:r>
        <w:rPr>
          <w:noProof/>
        </w:rPr>
        <w:fldChar w:fldCharType="separate"/>
      </w:r>
      <w:r>
        <w:rPr>
          <w:noProof/>
        </w:rPr>
        <w:t>6</w:t>
      </w:r>
      <w:r>
        <w:rPr>
          <w:noProof/>
        </w:rPr>
        <w:fldChar w:fldCharType="end"/>
      </w:r>
    </w:p>
    <w:p w14:paraId="2140A5A4" w14:textId="44DAAAF7" w:rsidR="008179C7" w:rsidRDefault="008179C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_Toc10806370 \h </w:instrText>
      </w:r>
      <w:r>
        <w:rPr>
          <w:noProof/>
        </w:rPr>
      </w:r>
      <w:r>
        <w:rPr>
          <w:noProof/>
        </w:rPr>
        <w:fldChar w:fldCharType="separate"/>
      </w:r>
      <w:r>
        <w:rPr>
          <w:noProof/>
        </w:rPr>
        <w:t>6</w:t>
      </w:r>
      <w:r>
        <w:rPr>
          <w:noProof/>
        </w:rPr>
        <w:fldChar w:fldCharType="end"/>
      </w:r>
    </w:p>
    <w:p w14:paraId="481F4072" w14:textId="38EECDD3" w:rsidR="008179C7" w:rsidRDefault="008179C7">
      <w:pPr>
        <w:pStyle w:val="TOC3"/>
        <w:rPr>
          <w:rFonts w:asciiTheme="minorHAnsi" w:hAnsiTheme="minorHAnsi"/>
          <w:noProof/>
          <w:szCs w:val="22"/>
        </w:rPr>
      </w:pPr>
      <w:r>
        <w:rPr>
          <w:noProof/>
        </w:rPr>
        <w:t>Electric Savings (</w:t>
      </w:r>
      <w:r w:rsidRPr="00D06B7D">
        <w:rPr>
          <w:noProof/>
        </w:rPr>
        <w:t>kWh</w:t>
      </w:r>
      <w:r>
        <w:rPr>
          <w:noProof/>
        </w:rPr>
        <w:t>)</w:t>
      </w:r>
      <w:r>
        <w:rPr>
          <w:noProof/>
        </w:rPr>
        <w:tab/>
      </w:r>
      <w:r>
        <w:rPr>
          <w:noProof/>
        </w:rPr>
        <w:fldChar w:fldCharType="begin"/>
      </w:r>
      <w:r>
        <w:rPr>
          <w:noProof/>
        </w:rPr>
        <w:instrText xml:space="preserve"> PAGEREF _Toc10806371 \h </w:instrText>
      </w:r>
      <w:r>
        <w:rPr>
          <w:noProof/>
        </w:rPr>
      </w:r>
      <w:r>
        <w:rPr>
          <w:noProof/>
        </w:rPr>
        <w:fldChar w:fldCharType="separate"/>
      </w:r>
      <w:r>
        <w:rPr>
          <w:noProof/>
        </w:rPr>
        <w:t>7</w:t>
      </w:r>
      <w:r>
        <w:rPr>
          <w:noProof/>
        </w:rPr>
        <w:fldChar w:fldCharType="end"/>
      </w:r>
    </w:p>
    <w:p w14:paraId="71F83445" w14:textId="04B085D3" w:rsidR="008179C7" w:rsidRDefault="008179C7">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_Toc10806372 \h </w:instrText>
      </w:r>
      <w:r>
        <w:rPr>
          <w:noProof/>
        </w:rPr>
      </w:r>
      <w:r>
        <w:rPr>
          <w:noProof/>
        </w:rPr>
        <w:fldChar w:fldCharType="separate"/>
      </w:r>
      <w:r>
        <w:rPr>
          <w:noProof/>
        </w:rPr>
        <w:t>11</w:t>
      </w:r>
      <w:r>
        <w:rPr>
          <w:noProof/>
        </w:rPr>
        <w:fldChar w:fldCharType="end"/>
      </w:r>
    </w:p>
    <w:p w14:paraId="59FA399E" w14:textId="4A51D876" w:rsidR="008179C7" w:rsidRDefault="008179C7">
      <w:pPr>
        <w:pStyle w:val="TOC3"/>
        <w:rPr>
          <w:rFonts w:asciiTheme="minorHAnsi" w:hAnsiTheme="minorHAnsi"/>
          <w:noProof/>
          <w:szCs w:val="22"/>
        </w:rPr>
      </w:pPr>
      <w:r>
        <w:rPr>
          <w:noProof/>
        </w:rPr>
        <w:t>Gas Savings (</w:t>
      </w:r>
      <w:r w:rsidRPr="00D06B7D">
        <w:rPr>
          <w:noProof/>
        </w:rPr>
        <w:t>Therms</w:t>
      </w:r>
      <w:r>
        <w:rPr>
          <w:noProof/>
        </w:rPr>
        <w:t>)</w:t>
      </w:r>
      <w:r>
        <w:rPr>
          <w:noProof/>
        </w:rPr>
        <w:tab/>
      </w:r>
      <w:r>
        <w:rPr>
          <w:noProof/>
        </w:rPr>
        <w:fldChar w:fldCharType="begin"/>
      </w:r>
      <w:r>
        <w:rPr>
          <w:noProof/>
        </w:rPr>
        <w:instrText xml:space="preserve"> PAGEREF _Toc10806373 \h </w:instrText>
      </w:r>
      <w:r>
        <w:rPr>
          <w:noProof/>
        </w:rPr>
      </w:r>
      <w:r>
        <w:rPr>
          <w:noProof/>
        </w:rPr>
        <w:fldChar w:fldCharType="separate"/>
      </w:r>
      <w:r>
        <w:rPr>
          <w:noProof/>
        </w:rPr>
        <w:t>11</w:t>
      </w:r>
      <w:r>
        <w:rPr>
          <w:noProof/>
        </w:rPr>
        <w:fldChar w:fldCharType="end"/>
      </w:r>
    </w:p>
    <w:p w14:paraId="6F815AA8" w14:textId="6D189DB1" w:rsidR="008179C7" w:rsidRDefault="008179C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_Toc10806374 \h </w:instrText>
      </w:r>
      <w:r>
        <w:rPr>
          <w:noProof/>
        </w:rPr>
      </w:r>
      <w:r>
        <w:rPr>
          <w:noProof/>
        </w:rPr>
        <w:fldChar w:fldCharType="separate"/>
      </w:r>
      <w:r>
        <w:rPr>
          <w:noProof/>
        </w:rPr>
        <w:t>11</w:t>
      </w:r>
      <w:r>
        <w:rPr>
          <w:noProof/>
        </w:rPr>
        <w:fldChar w:fldCharType="end"/>
      </w:r>
    </w:p>
    <w:p w14:paraId="507FCD53" w14:textId="4CAAA479" w:rsidR="008179C7" w:rsidRDefault="008179C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_Toc10806375 \h </w:instrText>
      </w:r>
      <w:r>
        <w:rPr>
          <w:noProof/>
        </w:rPr>
      </w:r>
      <w:r>
        <w:rPr>
          <w:noProof/>
        </w:rPr>
        <w:fldChar w:fldCharType="separate"/>
      </w:r>
      <w:r>
        <w:rPr>
          <w:noProof/>
        </w:rPr>
        <w:t>12</w:t>
      </w:r>
      <w:r>
        <w:rPr>
          <w:noProof/>
        </w:rPr>
        <w:fldChar w:fldCharType="end"/>
      </w:r>
    </w:p>
    <w:p w14:paraId="51F4D160" w14:textId="18D9E9FB" w:rsidR="008179C7" w:rsidRDefault="008179C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_Toc10806376 \h </w:instrText>
      </w:r>
      <w:r>
        <w:rPr>
          <w:noProof/>
        </w:rPr>
      </w:r>
      <w:r>
        <w:rPr>
          <w:noProof/>
        </w:rPr>
        <w:fldChar w:fldCharType="separate"/>
      </w:r>
      <w:r>
        <w:rPr>
          <w:noProof/>
        </w:rPr>
        <w:t>12</w:t>
      </w:r>
      <w:r>
        <w:rPr>
          <w:noProof/>
        </w:rPr>
        <w:fldChar w:fldCharType="end"/>
      </w:r>
    </w:p>
    <w:p w14:paraId="3811431E" w14:textId="31726EA9" w:rsidR="008179C7" w:rsidRDefault="008179C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_Toc10806377 \h </w:instrText>
      </w:r>
      <w:r>
        <w:rPr>
          <w:noProof/>
        </w:rPr>
      </w:r>
      <w:r>
        <w:rPr>
          <w:noProof/>
        </w:rPr>
        <w:fldChar w:fldCharType="separate"/>
      </w:r>
      <w:r>
        <w:rPr>
          <w:noProof/>
        </w:rPr>
        <w:t>15</w:t>
      </w:r>
      <w:r>
        <w:rPr>
          <w:noProof/>
        </w:rPr>
        <w:fldChar w:fldCharType="end"/>
      </w:r>
    </w:p>
    <w:p w14:paraId="09489751" w14:textId="0015A47A" w:rsidR="008179C7" w:rsidRDefault="008179C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_Toc10806378 \h </w:instrText>
      </w:r>
      <w:r>
        <w:rPr>
          <w:noProof/>
        </w:rPr>
      </w:r>
      <w:r>
        <w:rPr>
          <w:noProof/>
        </w:rPr>
        <w:fldChar w:fldCharType="separate"/>
      </w:r>
      <w:r>
        <w:rPr>
          <w:noProof/>
        </w:rPr>
        <w:t>15</w:t>
      </w:r>
      <w:r>
        <w:rPr>
          <w:noProof/>
        </w:rPr>
        <w:fldChar w:fldCharType="end"/>
      </w:r>
    </w:p>
    <w:p w14:paraId="40E1A17E" w14:textId="753C1CBB" w:rsidR="008179C7" w:rsidRDefault="008179C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_Toc10806379 \h </w:instrText>
      </w:r>
      <w:r>
        <w:rPr>
          <w:noProof/>
        </w:rPr>
      </w:r>
      <w:r>
        <w:rPr>
          <w:noProof/>
        </w:rPr>
        <w:fldChar w:fldCharType="separate"/>
      </w:r>
      <w:r>
        <w:rPr>
          <w:noProof/>
        </w:rPr>
        <w:t>15</w:t>
      </w:r>
      <w:r>
        <w:rPr>
          <w:noProof/>
        </w:rPr>
        <w:fldChar w:fldCharType="end"/>
      </w:r>
    </w:p>
    <w:p w14:paraId="2AFD38EA" w14:textId="5C9F29CB" w:rsidR="008179C7" w:rsidRDefault="008179C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_Toc10806380 \h </w:instrText>
      </w:r>
      <w:r>
        <w:rPr>
          <w:noProof/>
        </w:rPr>
      </w:r>
      <w:r>
        <w:rPr>
          <w:noProof/>
        </w:rPr>
        <w:fldChar w:fldCharType="separate"/>
      </w:r>
      <w:r>
        <w:rPr>
          <w:noProof/>
        </w:rPr>
        <w:t>15</w:t>
      </w:r>
      <w:r>
        <w:rPr>
          <w:noProof/>
        </w:rPr>
        <w:fldChar w:fldCharType="end"/>
      </w:r>
    </w:p>
    <w:p w14:paraId="4F7D3030" w14:textId="3A214DF6" w:rsidR="008179C7" w:rsidRDefault="008179C7">
      <w:pPr>
        <w:pStyle w:val="TOC3"/>
        <w:rPr>
          <w:rFonts w:asciiTheme="minorHAnsi" w:hAnsiTheme="minorHAnsi"/>
          <w:noProof/>
          <w:szCs w:val="22"/>
        </w:rPr>
      </w:pPr>
      <w:r>
        <w:rPr>
          <w:noProof/>
        </w:rPr>
        <w:t>Non-Energy Benefits</w:t>
      </w:r>
      <w:r>
        <w:rPr>
          <w:noProof/>
        </w:rPr>
        <w:tab/>
      </w:r>
      <w:r>
        <w:rPr>
          <w:noProof/>
        </w:rPr>
        <w:fldChar w:fldCharType="begin"/>
      </w:r>
      <w:r>
        <w:rPr>
          <w:noProof/>
        </w:rPr>
        <w:instrText xml:space="preserve"> PAGEREF _Toc10806381 \h </w:instrText>
      </w:r>
      <w:r>
        <w:rPr>
          <w:noProof/>
        </w:rPr>
      </w:r>
      <w:r>
        <w:rPr>
          <w:noProof/>
        </w:rPr>
        <w:fldChar w:fldCharType="separate"/>
      </w:r>
      <w:r>
        <w:rPr>
          <w:noProof/>
        </w:rPr>
        <w:t>16</w:t>
      </w:r>
      <w:r>
        <w:rPr>
          <w:noProof/>
        </w:rPr>
        <w:fldChar w:fldCharType="end"/>
      </w:r>
    </w:p>
    <w:p w14:paraId="10AE90B6" w14:textId="0BAE4306" w:rsidR="008179C7" w:rsidRDefault="008179C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_Toc10806382 \h </w:instrText>
      </w:r>
      <w:r>
        <w:rPr>
          <w:noProof/>
        </w:rPr>
      </w:r>
      <w:r>
        <w:rPr>
          <w:noProof/>
        </w:rPr>
        <w:fldChar w:fldCharType="separate"/>
      </w:r>
      <w:r>
        <w:rPr>
          <w:noProof/>
        </w:rPr>
        <w:t>16</w:t>
      </w:r>
      <w:r>
        <w:rPr>
          <w:noProof/>
        </w:rPr>
        <w:fldChar w:fldCharType="end"/>
      </w:r>
    </w:p>
    <w:p w14:paraId="13F23F7B" w14:textId="42CB9D93" w:rsidR="008179C7" w:rsidRDefault="008179C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_Toc10806383 \h </w:instrText>
      </w:r>
      <w:r>
        <w:rPr>
          <w:noProof/>
        </w:rPr>
      </w:r>
      <w:r>
        <w:rPr>
          <w:noProof/>
        </w:rPr>
        <w:fldChar w:fldCharType="separate"/>
      </w:r>
      <w:r>
        <w:rPr>
          <w:noProof/>
        </w:rPr>
        <w:t>17</w:t>
      </w:r>
      <w:r>
        <w:rPr>
          <w:noProof/>
        </w:rPr>
        <w:fldChar w:fldCharType="end"/>
      </w:r>
    </w:p>
    <w:p w14:paraId="4C194BAF" w14:textId="0D081761"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4F68FC27" w14:textId="77777777" w:rsidR="00C10F19" w:rsidRPr="007E1F66" w:rsidRDefault="00C10F19" w:rsidP="00462BB6">
      <w:pPr>
        <w:pStyle w:val="eTRMHeading3"/>
        <w:spacing w:before="20" w:after="20"/>
      </w:pPr>
      <w:bookmarkStart w:id="0" w:name="_Toc486490839"/>
      <w:bookmarkStart w:id="1" w:name="_Toc486580912"/>
      <w:bookmarkStart w:id="2" w:name="_Toc10806360"/>
      <w:r w:rsidRPr="007E1F66">
        <w:lastRenderedPageBreak/>
        <w:t>Measure Name</w:t>
      </w:r>
      <w:bookmarkEnd w:id="0"/>
      <w:bookmarkEnd w:id="1"/>
      <w:bookmarkEnd w:id="2"/>
    </w:p>
    <w:p w14:paraId="099E4534" w14:textId="14977D51" w:rsidR="00C10F19" w:rsidRDefault="00C10F19" w:rsidP="00462BB6">
      <w:pPr>
        <w:spacing w:before="20" w:after="20" w:line="280" w:lineRule="exact"/>
      </w:pPr>
      <w:r>
        <w:t>Enhanced</w:t>
      </w:r>
      <w:r w:rsidRPr="001A210E">
        <w:t xml:space="preserve"> VFD on </w:t>
      </w:r>
      <w:r>
        <w:t>Irrigation</w:t>
      </w:r>
      <w:r w:rsidRPr="001A210E">
        <w:t xml:space="preserve"> Pump</w:t>
      </w:r>
    </w:p>
    <w:p w14:paraId="13087FC2" w14:textId="77777777" w:rsidR="00C10F19" w:rsidRPr="00401C43" w:rsidRDefault="00C10F19" w:rsidP="00462BB6">
      <w:pPr>
        <w:spacing w:before="20" w:after="20" w:line="280" w:lineRule="exact"/>
      </w:pPr>
    </w:p>
    <w:p w14:paraId="17D197FC" w14:textId="77777777" w:rsidR="00C10F19" w:rsidRPr="00074E3E" w:rsidRDefault="00C10F19" w:rsidP="00462BB6">
      <w:pPr>
        <w:pStyle w:val="eTRMHeading3"/>
        <w:spacing w:before="20" w:after="20"/>
      </w:pPr>
      <w:bookmarkStart w:id="3" w:name="_Toc486490840"/>
      <w:bookmarkStart w:id="4" w:name="_Toc486580913"/>
      <w:bookmarkStart w:id="5" w:name="_Toc10806361"/>
      <w:r>
        <w:t>Statewide Measure ID</w:t>
      </w:r>
      <w:bookmarkEnd w:id="3"/>
      <w:bookmarkEnd w:id="4"/>
      <w:bookmarkEnd w:id="5"/>
    </w:p>
    <w:p w14:paraId="41522F5E" w14:textId="6DF05CD7" w:rsidR="00C10F19" w:rsidRDefault="00C10F19" w:rsidP="00C10F19">
      <w:pPr>
        <w:spacing w:before="20" w:after="20" w:line="280" w:lineRule="exact"/>
      </w:pPr>
      <w:bookmarkStart w:id="6" w:name="_Toc486490847"/>
      <w:bookmarkStart w:id="7" w:name="_Toc486580918"/>
      <w:r>
        <w:t>SWWP00</w:t>
      </w:r>
      <w:r w:rsidR="008A593F">
        <w:t>5</w:t>
      </w:r>
      <w:r>
        <w:t>-0</w:t>
      </w:r>
      <w:r w:rsidR="00301970">
        <w:t>2</w:t>
      </w:r>
    </w:p>
    <w:p w14:paraId="7A8A1743" w14:textId="77777777" w:rsidR="00C10F19" w:rsidRPr="00401C43" w:rsidRDefault="00C10F19" w:rsidP="00C10F19">
      <w:pPr>
        <w:spacing w:before="20" w:after="20" w:line="280" w:lineRule="exact"/>
      </w:pPr>
    </w:p>
    <w:p w14:paraId="0F7CA2E6" w14:textId="77777777" w:rsidR="00E70CBD" w:rsidRPr="00154391" w:rsidRDefault="00E70CBD" w:rsidP="00462BB6">
      <w:pPr>
        <w:pStyle w:val="eTRMHeading3"/>
      </w:pPr>
      <w:bookmarkStart w:id="8" w:name="_Toc10806362"/>
      <w:r w:rsidRPr="00154391">
        <w:t>Technology Summary</w:t>
      </w:r>
      <w:bookmarkEnd w:id="6"/>
      <w:bookmarkEnd w:id="7"/>
      <w:bookmarkEnd w:id="8"/>
      <w:r w:rsidRPr="00154391">
        <w:t xml:space="preserve"> </w:t>
      </w:r>
    </w:p>
    <w:p w14:paraId="1BF44A47" w14:textId="3729B0B1" w:rsidR="0075177C" w:rsidRDefault="0075177C" w:rsidP="005E3D47">
      <w:r w:rsidRPr="005F52FE">
        <w:t>Electrical demand from irrigated agricultural fields is expe</w:t>
      </w:r>
      <w:r>
        <w:t xml:space="preserve">cted to increase in the future. </w:t>
      </w:r>
      <w:r w:rsidRPr="005F52FE">
        <w:t>The conversion from surface to pressurized irrigation systems is ongoing in the western United States and is expected to continue. Additionally, new irrigation wells continue to be developed throughout California.</w:t>
      </w:r>
      <w:r w:rsidR="004452A3" w:rsidRPr="004452A3">
        <w:t xml:space="preserve"> </w:t>
      </w:r>
      <w:r w:rsidR="004452A3" w:rsidRPr="005F52FE">
        <w:t>Most new well and booster pumps will be driven by induction AC electric motors due to increasing regulations on internal combustion engines.</w:t>
      </w:r>
    </w:p>
    <w:p w14:paraId="05B32465" w14:textId="1ABC0ACC" w:rsidR="00FC799E" w:rsidRPr="00253A02" w:rsidRDefault="00185A7F" w:rsidP="005E3D47">
      <w:r>
        <w:t>Variations and uncertainties in irrigation systems leads designers to frequently</w:t>
      </w:r>
      <w:r w:rsidR="00FC799E" w:rsidRPr="00253A02">
        <w:t xml:space="preserve"> over-design irrigation pumps</w:t>
      </w:r>
      <w:r w:rsidR="00D47FE9">
        <w:t xml:space="preserve"> (by at least 10%)</w:t>
      </w:r>
      <w:r w:rsidR="00FC799E" w:rsidRPr="00253A02">
        <w:t xml:space="preserve"> to meet the worst-case hydraulic conditions</w:t>
      </w:r>
      <w:r>
        <w:t xml:space="preserve">, since it is favorable to have too much pressure rather than too little pressure. </w:t>
      </w:r>
      <w:r w:rsidR="00FC799E" w:rsidRPr="00253A02">
        <w:t xml:space="preserve"> considering</w:t>
      </w:r>
      <w:r w:rsidR="00BE3E3E">
        <w:t xml:space="preserve"> the following factors</w:t>
      </w:r>
      <w:r w:rsidR="00FC799E" w:rsidRPr="00253A02">
        <w:t>:</w:t>
      </w:r>
    </w:p>
    <w:p w14:paraId="4487F7A7" w14:textId="4950ABD5" w:rsidR="00FC799E" w:rsidRPr="00F2523F" w:rsidRDefault="00FC799E" w:rsidP="00DE5A47">
      <w:pPr>
        <w:pStyle w:val="eTRMBulletedText"/>
      </w:pPr>
      <w:r w:rsidRPr="00F2523F">
        <w:t xml:space="preserve">Estimated individual irrigation flow rate and pressure demands can vary at the head of each block (portions of a field irrigated when a single valve is opened). Farmers irrigate one or multiple blocks at a time. Each combination of blocks irrigating simultaneously requires a unique pump discharge pressure and flow rate. Sometimes farmers must decrease the number of blocks normally operated at one time in response to water supply constraints.      </w:t>
      </w:r>
    </w:p>
    <w:p w14:paraId="2F34AE04" w14:textId="586032EB" w:rsidR="00FC799E" w:rsidRPr="00F2523F" w:rsidRDefault="00EA375A" w:rsidP="00DE5A47">
      <w:pPr>
        <w:pStyle w:val="eTRMBulletedText"/>
      </w:pPr>
      <w:r>
        <w:t>For drip/micro-irrigation systems, d</w:t>
      </w:r>
      <w:r w:rsidR="00FC799E" w:rsidRPr="00F2523F">
        <w:t>esigners typically include a “safety factor” of at least 5 psi to the design pump discharge pressure requirement.</w:t>
      </w:r>
    </w:p>
    <w:p w14:paraId="13049BF5" w14:textId="77777777" w:rsidR="00FC799E" w:rsidRPr="00F2523F" w:rsidRDefault="00FC799E" w:rsidP="00DE5A47">
      <w:pPr>
        <w:pStyle w:val="eTRMBulletedText"/>
      </w:pPr>
      <w:r w:rsidRPr="00F2523F">
        <w:t>The pressures available from district pipeline turnouts are variable over time and depend on the instantaneous irrigation flow rate.</w:t>
      </w:r>
    </w:p>
    <w:p w14:paraId="32DFCAF0" w14:textId="77777777" w:rsidR="00FC799E" w:rsidRPr="00F2523F" w:rsidRDefault="00FC799E" w:rsidP="00DE5A47">
      <w:pPr>
        <w:pStyle w:val="eTRMBulletedText"/>
      </w:pPr>
      <w:r w:rsidRPr="00F2523F">
        <w:t>Published hydraulic performance data from pumps, pressure regulating valves, filters, and emitters are not always accurate, or even available.</w:t>
      </w:r>
    </w:p>
    <w:p w14:paraId="4E793739" w14:textId="547D9A83" w:rsidR="00FC799E" w:rsidRDefault="00FC799E" w:rsidP="00DE5A47">
      <w:pPr>
        <w:pStyle w:val="eTRMBulletedText"/>
      </w:pPr>
      <w:r w:rsidRPr="00F2523F">
        <w:t>Pumping water levels vary with changes in hydrology and well efficiency</w:t>
      </w:r>
      <w:r w:rsidR="00EA375A">
        <w:t>; water levels vary year to year and from spring to fall.</w:t>
      </w:r>
    </w:p>
    <w:p w14:paraId="719D7166" w14:textId="5DD9C2CD" w:rsidR="00EA375A" w:rsidRDefault="00EA375A" w:rsidP="00DE5A47">
      <w:pPr>
        <w:pStyle w:val="eTRMBulletedText"/>
      </w:pPr>
      <w:r>
        <w:t>Pumps may serve more than one type of irrigation system (i.e., drip and sprinkler).</w:t>
      </w:r>
    </w:p>
    <w:p w14:paraId="0613292A" w14:textId="1E6A9CB8" w:rsidR="00EA375A" w:rsidRPr="00F2523F" w:rsidRDefault="00EA375A" w:rsidP="00DE5A47">
      <w:pPr>
        <w:pStyle w:val="eTRMBulletedText"/>
      </w:pPr>
      <w:r>
        <w:t>Pumps may serve multiple fields at different elevations and/or acreage.</w:t>
      </w:r>
    </w:p>
    <w:p w14:paraId="60E1A216" w14:textId="77777777" w:rsidR="00FC799E" w:rsidRPr="00F2523F" w:rsidRDefault="00FC799E" w:rsidP="00DE5A47">
      <w:pPr>
        <w:pStyle w:val="eTRMBulletedText"/>
      </w:pPr>
      <w:r w:rsidRPr="00F2523F">
        <w:t xml:space="preserve">Automatically cleaned filters require temporary increases in pump flow rate during the cleaning cycle. </w:t>
      </w:r>
    </w:p>
    <w:p w14:paraId="4249F23F" w14:textId="3AF56DFA" w:rsidR="00FC799E" w:rsidRPr="00F2523F" w:rsidRDefault="00FC799E" w:rsidP="00DE5A47">
      <w:pPr>
        <w:pStyle w:val="eTRMBulletedText"/>
      </w:pPr>
      <w:r w:rsidRPr="00F2523F">
        <w:t>Pumps wear out over time.</w:t>
      </w:r>
    </w:p>
    <w:p w14:paraId="2C9C1D2C" w14:textId="77777777" w:rsidR="00D47FE9" w:rsidRDefault="00D47FE9" w:rsidP="00D47FE9"/>
    <w:p w14:paraId="6BF57D24" w14:textId="64DC46A1" w:rsidR="004452A3" w:rsidRDefault="004452A3" w:rsidP="005E3D47">
      <w:r w:rsidRPr="005F52FE">
        <w:t xml:space="preserve">Variable frequency drives (VFDs) are sometimes installed on irrigation pumps to enable adjustment of the pump speed. </w:t>
      </w:r>
      <w:r w:rsidR="00FC799E" w:rsidRPr="00253A02">
        <w:t xml:space="preserve">Adding a VFD system to an over-designed pump </w:t>
      </w:r>
      <w:r w:rsidR="00BE3E3E">
        <w:t>will provide</w:t>
      </w:r>
      <w:r w:rsidR="00FC799E" w:rsidRPr="00253A02">
        <w:t xml:space="preserve"> </w:t>
      </w:r>
      <w:proofErr w:type="gramStart"/>
      <w:r w:rsidR="00FC799E" w:rsidRPr="00253A02">
        <w:t>sufficient</w:t>
      </w:r>
      <w:proofErr w:type="gramEnd"/>
      <w:r w:rsidR="00FC799E" w:rsidRPr="00253A02">
        <w:t xml:space="preserve"> capacity in worst-case conditions</w:t>
      </w:r>
      <w:r w:rsidR="00BE3E3E">
        <w:t xml:space="preserve"> as well as</w:t>
      </w:r>
      <w:r w:rsidR="00FC799E" w:rsidRPr="00253A02">
        <w:t xml:space="preserve"> the capability of reducing the pump speed most of the time to avoid</w:t>
      </w:r>
      <w:r>
        <w:t xml:space="preserve"> d</w:t>
      </w:r>
      <w:r w:rsidR="00FC799E" w:rsidRPr="00253A02">
        <w:t>eveloping excess pressur</w:t>
      </w:r>
      <w:r>
        <w:t>e and c</w:t>
      </w:r>
      <w:r w:rsidR="00FC799E" w:rsidRPr="00253A02">
        <w:t>onsuming excess electricity</w:t>
      </w:r>
      <w:r>
        <w:t xml:space="preserve">.  </w:t>
      </w:r>
    </w:p>
    <w:p w14:paraId="3DAAB4C4" w14:textId="749CD38B" w:rsidR="00D47FE9" w:rsidRPr="00D47FE9" w:rsidRDefault="00D47FE9" w:rsidP="00D47FE9">
      <w:r>
        <w:t>Note, however, that o</w:t>
      </w:r>
      <w:r w:rsidRPr="00D47FE9">
        <w:t xml:space="preserve">perating the pumps at very low capacities should be avoided. If the capacity is too low, overheating of water caused by friction between water and impeller can damage the pump. Also operating at capacities less than 30% of the design capacity will significantly reduce the pump efficiency </w:t>
      </w:r>
      <w:r>
        <w:t>and</w:t>
      </w:r>
      <w:r w:rsidRPr="00D47FE9">
        <w:t xml:space="preserve"> </w:t>
      </w:r>
      <w:r>
        <w:t>can</w:t>
      </w:r>
      <w:r w:rsidRPr="00D47FE9">
        <w:t xml:space="preserve"> increase the radial load on the impeller and cause early failure of bearings. Operating at near </w:t>
      </w:r>
      <w:r w:rsidRPr="00D47FE9">
        <w:lastRenderedPageBreak/>
        <w:t>100% of design capacity will consume more energy than prior to VFD installation</w:t>
      </w:r>
      <w:r w:rsidR="00384A59">
        <w:t xml:space="preserve"> </w:t>
      </w:r>
      <w:r w:rsidR="00384A59">
        <w:rPr>
          <w:szCs w:val="22"/>
        </w:rPr>
        <w:t>due to the parasitic load of the VFD</w:t>
      </w:r>
      <w:r w:rsidRPr="00D47FE9">
        <w:t xml:space="preserve">.    </w:t>
      </w:r>
    </w:p>
    <w:p w14:paraId="6C42455E" w14:textId="5FC0D559" w:rsidR="0075177C" w:rsidRDefault="0075177C" w:rsidP="005E3D47">
      <w:r w:rsidRPr="005F52FE">
        <w:t xml:space="preserve">The use of VFDs is </w:t>
      </w:r>
      <w:r>
        <w:t xml:space="preserve">being </w:t>
      </w:r>
      <w:r w:rsidRPr="005F52FE">
        <w:t xml:space="preserve">promoted by irrigation dealers and incentivized by power utilities through rebate programs.  </w:t>
      </w:r>
      <w:r w:rsidRPr="00563A10">
        <w:t xml:space="preserve">The combination of improved product quality and utility incentives </w:t>
      </w:r>
      <w:r>
        <w:t>helps to</w:t>
      </w:r>
      <w:r w:rsidRPr="00563A10">
        <w:t xml:space="preserve"> accelerate the adoption of VFDs in the agricultural irrigation sector. </w:t>
      </w:r>
    </w:p>
    <w:p w14:paraId="718C0746" w14:textId="72CD7D89" w:rsidR="0075177C" w:rsidRDefault="006A44EE" w:rsidP="00F2523F">
      <w:r w:rsidRPr="009B1903">
        <w:t xml:space="preserve">PG&amp;E has </w:t>
      </w:r>
      <w:r>
        <w:t>incentivized</w:t>
      </w:r>
      <w:r w:rsidRPr="009B1903">
        <w:rPr>
          <w:szCs w:val="22"/>
        </w:rPr>
        <w:t xml:space="preserve"> “Tier 1 basic VFD systems.” However, the Tier 1 rebates do not have any minimum performance standards requirement.</w:t>
      </w:r>
      <w:r>
        <w:rPr>
          <w:szCs w:val="22"/>
        </w:rPr>
        <w:t xml:space="preserve"> Thus, i</w:t>
      </w:r>
      <w:r w:rsidR="0075177C" w:rsidRPr="00B92350">
        <w:t>n early 2017</w:t>
      </w:r>
      <w:r w:rsidR="0075177C">
        <w:t>,</w:t>
      </w:r>
      <w:r w:rsidR="0075177C" w:rsidRPr="00B92350">
        <w:t xml:space="preserve"> </w:t>
      </w:r>
      <w:r w:rsidR="009B1903">
        <w:t>Pacific Gas &amp; Electric Company (PG&amp;E)</w:t>
      </w:r>
      <w:r w:rsidR="0075177C" w:rsidRPr="00B92350">
        <w:t xml:space="preserve"> contracted with the Irrigation Training &amp; Research Center (ITRC) at California Polytechnic State University (Cal Poly)</w:t>
      </w:r>
      <w:r w:rsidR="0075177C">
        <w:t xml:space="preserve">, </w:t>
      </w:r>
      <w:r w:rsidR="0075177C" w:rsidRPr="00B92350">
        <w:t>San Luis Obispo to develop the technical specifications requirement</w:t>
      </w:r>
      <w:r w:rsidR="00215DC4">
        <w:t>s</w:t>
      </w:r>
      <w:r w:rsidR="0075177C" w:rsidRPr="00B92350">
        <w:t xml:space="preserve"> for a</w:t>
      </w:r>
      <w:r>
        <w:t>n</w:t>
      </w:r>
      <w:r w:rsidR="0075177C" w:rsidRPr="00B92350">
        <w:t xml:space="preserve"> enhanced VFD </w:t>
      </w:r>
      <w:r w:rsidR="008179C7">
        <w:t>measure</w:t>
      </w:r>
      <w:r w:rsidR="0075177C" w:rsidRPr="008179C7">
        <w:t xml:space="preserve"> offering.</w:t>
      </w:r>
      <w:r w:rsidR="00FD7FCF" w:rsidRPr="008179C7">
        <w:rPr>
          <w:rStyle w:val="FootnoteReference"/>
          <w:szCs w:val="22"/>
        </w:rPr>
        <w:footnoteReference w:id="1"/>
      </w:r>
      <w:r w:rsidR="00E44456" w:rsidRPr="008179C7">
        <w:t xml:space="preserve"> </w:t>
      </w:r>
      <w:r w:rsidR="0021586F" w:rsidRPr="008179C7">
        <w:rPr>
          <w:szCs w:val="22"/>
        </w:rPr>
        <w:t xml:space="preserve">The specifications requirement was </w:t>
      </w:r>
      <w:r w:rsidR="00375F46" w:rsidRPr="008179C7">
        <w:rPr>
          <w:szCs w:val="22"/>
        </w:rPr>
        <w:t>included</w:t>
      </w:r>
      <w:r w:rsidR="0021586F" w:rsidRPr="008179C7">
        <w:rPr>
          <w:szCs w:val="22"/>
        </w:rPr>
        <w:t xml:space="preserve"> in a </w:t>
      </w:r>
      <w:r w:rsidR="008179C7" w:rsidRPr="008179C7">
        <w:rPr>
          <w:szCs w:val="22"/>
        </w:rPr>
        <w:t xml:space="preserve">subsequent ITRC </w:t>
      </w:r>
      <w:r w:rsidR="0021586F" w:rsidRPr="008179C7">
        <w:rPr>
          <w:szCs w:val="22"/>
        </w:rPr>
        <w:t>report</w:t>
      </w:r>
      <w:r w:rsidR="008179C7" w:rsidRPr="008179C7">
        <w:rPr>
          <w:szCs w:val="22"/>
        </w:rPr>
        <w:t>,</w:t>
      </w:r>
      <w:r w:rsidR="0021586F" w:rsidRPr="008179C7">
        <w:rPr>
          <w:szCs w:val="22"/>
        </w:rPr>
        <w:t xml:space="preserve"> VFD (Variable Frequency Drive) Specifications for On-Farm Pumps.</w:t>
      </w:r>
      <w:r w:rsidR="008179C7" w:rsidRPr="008179C7">
        <w:rPr>
          <w:rStyle w:val="FootnoteReference"/>
          <w:szCs w:val="22"/>
        </w:rPr>
        <w:footnoteReference w:id="2"/>
      </w:r>
      <w:r w:rsidR="0021586F" w:rsidRPr="008179C7">
        <w:rPr>
          <w:szCs w:val="22"/>
        </w:rPr>
        <w:t xml:space="preserve"> </w:t>
      </w:r>
      <w:r w:rsidR="00F04AC3" w:rsidRPr="008179C7">
        <w:t>The ITRC</w:t>
      </w:r>
      <w:r w:rsidR="00E44456" w:rsidRPr="008179C7">
        <w:t xml:space="preserve"> analysis revealed </w:t>
      </w:r>
      <w:r w:rsidR="0075177C" w:rsidRPr="008179C7">
        <w:t xml:space="preserve">VFDs in pre-existing </w:t>
      </w:r>
      <w:r w:rsidR="0075177C" w:rsidRPr="00563A10">
        <w:t>operation</w:t>
      </w:r>
      <w:r w:rsidR="0075177C">
        <w:t>s</w:t>
      </w:r>
      <w:r w:rsidR="00E44456">
        <w:t xml:space="preserve"> are rare and</w:t>
      </w:r>
      <w:r w:rsidR="009B1903">
        <w:t>,</w:t>
      </w:r>
      <w:r w:rsidR="00E44456">
        <w:t xml:space="preserve"> although</w:t>
      </w:r>
      <w:r w:rsidR="0075177C" w:rsidRPr="00563A10">
        <w:t xml:space="preserve"> the number of VFD system</w:t>
      </w:r>
      <w:r w:rsidR="0075177C">
        <w:t xml:space="preserve"> installation</w:t>
      </w:r>
      <w:r w:rsidR="00E44456">
        <w:t>s</w:t>
      </w:r>
      <w:r w:rsidR="0075177C" w:rsidRPr="00563A10">
        <w:t xml:space="preserve"> is </w:t>
      </w:r>
      <w:r w:rsidR="0075177C">
        <w:t>increasing</w:t>
      </w:r>
      <w:r w:rsidR="00E44456">
        <w:t>,</w:t>
      </w:r>
      <w:r w:rsidR="0075177C">
        <w:t xml:space="preserve"> </w:t>
      </w:r>
      <w:r w:rsidR="0075177C" w:rsidRPr="00EE08C1">
        <w:t>areas for improvement</w:t>
      </w:r>
      <w:r w:rsidR="0075177C">
        <w:t xml:space="preserve"> still</w:t>
      </w:r>
      <w:r w:rsidR="0075177C" w:rsidRPr="00EE08C1">
        <w:t xml:space="preserve"> </w:t>
      </w:r>
      <w:r w:rsidR="00E44456">
        <w:t>exist</w:t>
      </w:r>
      <w:r w:rsidR="0075177C" w:rsidRPr="00EE08C1">
        <w:t xml:space="preserve">. Most importantly, a </w:t>
      </w:r>
      <w:r w:rsidR="0075177C">
        <w:t>specific</w:t>
      </w:r>
      <w:r w:rsidR="0075177C" w:rsidRPr="00EE08C1">
        <w:t xml:space="preserve"> </w:t>
      </w:r>
      <w:r w:rsidR="0075177C">
        <w:t xml:space="preserve">agricultural </w:t>
      </w:r>
      <w:r w:rsidR="0075177C" w:rsidRPr="00EE08C1">
        <w:t xml:space="preserve">VFD </w:t>
      </w:r>
      <w:r w:rsidR="0075177C">
        <w:t xml:space="preserve">system </w:t>
      </w:r>
      <w:r w:rsidR="0075177C" w:rsidRPr="00EE08C1">
        <w:t>performance standard has not been available</w:t>
      </w:r>
      <w:r w:rsidR="008179C7">
        <w:t>,</w:t>
      </w:r>
      <w:r w:rsidR="00E44456">
        <w:t xml:space="preserve"> historically</w:t>
      </w:r>
      <w:r w:rsidR="0075177C" w:rsidRPr="00EE08C1">
        <w:t xml:space="preserve">. </w:t>
      </w:r>
    </w:p>
    <w:p w14:paraId="23FFFF58" w14:textId="0601B02A" w:rsidR="0075177C" w:rsidRPr="00CF7834" w:rsidRDefault="0075177C" w:rsidP="005E3D47">
      <w:r>
        <w:t xml:space="preserve">The </w:t>
      </w:r>
      <w:r w:rsidR="00E44456">
        <w:t>ITRC analysis</w:t>
      </w:r>
      <w:r>
        <w:t xml:space="preserve"> </w:t>
      </w:r>
      <w:r w:rsidR="00E44456">
        <w:t xml:space="preserve">confirmed </w:t>
      </w:r>
      <w:r w:rsidRPr="00CF7834">
        <w:t>that without specifications requirement</w:t>
      </w:r>
      <w:r>
        <w:t>s</w:t>
      </w:r>
      <w:r w:rsidRPr="00CF7834">
        <w:t xml:space="preserve"> and special design attention, the </w:t>
      </w:r>
      <w:r w:rsidR="006A44EE">
        <w:t xml:space="preserve">Tier 1 </w:t>
      </w:r>
      <w:r w:rsidRPr="00CF7834">
        <w:t>basic VFD installations can be the source of power quality and radio interference issues.</w:t>
      </w:r>
      <w:r w:rsidR="00E44456">
        <w:t xml:space="preserve"> Notably,</w:t>
      </w:r>
      <w:r w:rsidRPr="00CF7834">
        <w:t xml:space="preserve"> </w:t>
      </w:r>
      <w:r w:rsidR="00E44456">
        <w:t>p</w:t>
      </w:r>
      <w:r w:rsidRPr="00CF7834">
        <w:t xml:space="preserve">oor VFD system design can </w:t>
      </w:r>
      <w:r w:rsidR="005A5348">
        <w:t>cause fre</w:t>
      </w:r>
      <w:r w:rsidRPr="00CF7834">
        <w:t xml:space="preserve">quent nuisance tripping (automatic resetting or shutdowns) </w:t>
      </w:r>
      <w:r w:rsidR="005A5348">
        <w:t>and may</w:t>
      </w:r>
      <w:r w:rsidRPr="00CF7834">
        <w:t xml:space="preserve"> prevent the pump motor from starting. Without standards, mitigating or avoiding these issues for new VFD installations is optional, rather than obligatory. </w:t>
      </w:r>
    </w:p>
    <w:p w14:paraId="6A788767" w14:textId="19F53875" w:rsidR="0075177C" w:rsidRDefault="0075177C" w:rsidP="005E3D47">
      <w:r w:rsidRPr="0075177C">
        <w:t>The primary goal of the specifications requirement</w:t>
      </w:r>
      <w:r w:rsidR="00185A7F">
        <w:t>s</w:t>
      </w:r>
      <w:r w:rsidRPr="0075177C">
        <w:t xml:space="preserve"> is to improve agricultural VFD </w:t>
      </w:r>
      <w:r w:rsidR="00394DEB">
        <w:t>installations</w:t>
      </w:r>
      <w:r w:rsidRPr="0075177C">
        <w:t xml:space="preserve"> for low</w:t>
      </w:r>
      <w:r w:rsidR="004054D1">
        <w:t>`</w:t>
      </w:r>
      <w:r w:rsidRPr="0075177C">
        <w:t xml:space="preserve"> voltage (≤</w:t>
      </w:r>
      <w:r w:rsidR="005E3D47">
        <w:t xml:space="preserve"> </w:t>
      </w:r>
      <w:r w:rsidRPr="0075177C">
        <w:t>480 VAC) well pumps (</w:t>
      </w:r>
      <w:r w:rsidR="00E63845">
        <w:rPr>
          <w:rFonts w:cs="Calibri Light"/>
        </w:rPr>
        <w:t>≤</w:t>
      </w:r>
      <w:r w:rsidR="00E63845">
        <w:t xml:space="preserve"> </w:t>
      </w:r>
      <w:r w:rsidRPr="0075177C">
        <w:t>600</w:t>
      </w:r>
      <w:r w:rsidR="005E3D47">
        <w:t xml:space="preserve"> hp</w:t>
      </w:r>
      <w:r w:rsidRPr="0075177C">
        <w:t>) and booster pumps (</w:t>
      </w:r>
      <w:r w:rsidR="00E63845">
        <w:rPr>
          <w:rFonts w:cs="Calibri Light"/>
        </w:rPr>
        <w:t>≤</w:t>
      </w:r>
      <w:r w:rsidR="00E63845">
        <w:t xml:space="preserve"> </w:t>
      </w:r>
      <w:r w:rsidRPr="0075177C">
        <w:t>150</w:t>
      </w:r>
      <w:r w:rsidR="005E3D47">
        <w:t xml:space="preserve"> hp</w:t>
      </w:r>
      <w:r w:rsidRPr="0075177C">
        <w:t xml:space="preserve">) by setting minimum requirements for high quality VFD installations. </w:t>
      </w:r>
      <w:r w:rsidR="00E63845">
        <w:t>D</w:t>
      </w:r>
      <w:r w:rsidRPr="0075177C">
        <w:t xml:space="preserve">etailed VFD specifications will </w:t>
      </w:r>
      <w:r w:rsidR="004F3C6E">
        <w:t>i</w:t>
      </w:r>
      <w:r w:rsidRPr="0075177C">
        <w:t>ncrease energy efficiency, VFD life expectan</w:t>
      </w:r>
      <w:r w:rsidR="00E63845">
        <w:t>cy</w:t>
      </w:r>
      <w:r w:rsidRPr="0075177C">
        <w:t xml:space="preserve"> and reliability</w:t>
      </w:r>
      <w:r w:rsidR="004F3C6E">
        <w:t xml:space="preserve">, and </w:t>
      </w:r>
      <w:r w:rsidR="00E63845">
        <w:t xml:space="preserve">will decrease </w:t>
      </w:r>
      <w:r w:rsidRPr="0075177C">
        <w:t>power quality issues</w:t>
      </w:r>
      <w:r w:rsidR="004F3C6E">
        <w:t>.</w:t>
      </w:r>
    </w:p>
    <w:p w14:paraId="1B8949F9" w14:textId="601210EA" w:rsidR="005E3D47" w:rsidRDefault="006A44EE" w:rsidP="009B1903">
      <w:pPr>
        <w:rPr>
          <w:rFonts w:cs="Verdana"/>
          <w:color w:val="000000"/>
        </w:rPr>
      </w:pPr>
      <w:r>
        <w:t>S</w:t>
      </w:r>
      <w:r w:rsidR="009B1903">
        <w:t xml:space="preserve">ince the rollout of the ITRC </w:t>
      </w:r>
      <w:r w:rsidR="009B1903" w:rsidRPr="00B92350">
        <w:t xml:space="preserve">technical specifications requirement for </w:t>
      </w:r>
      <w:r w:rsidR="009B1903">
        <w:t>the</w:t>
      </w:r>
      <w:r w:rsidR="009B1903" w:rsidRPr="00B92350">
        <w:t xml:space="preserve"> enhanced VFD </w:t>
      </w:r>
      <w:r w:rsidR="009B1903">
        <w:t xml:space="preserve">system, PG&amp;E </w:t>
      </w:r>
      <w:r>
        <w:t xml:space="preserve">has </w:t>
      </w:r>
      <w:r w:rsidR="009B1903">
        <w:t xml:space="preserve">received numerous requests from the industry to </w:t>
      </w:r>
      <w:r w:rsidR="009B1903">
        <w:rPr>
          <w:rFonts w:cs="Verdana"/>
          <w:color w:val="000000"/>
        </w:rPr>
        <w:t>offer rebates for a lower</w:t>
      </w:r>
      <w:r>
        <w:rPr>
          <w:rFonts w:cs="Verdana"/>
          <w:color w:val="000000"/>
        </w:rPr>
        <w:t>-</w:t>
      </w:r>
      <w:r w:rsidR="009B1903">
        <w:rPr>
          <w:rFonts w:cs="Verdana"/>
          <w:color w:val="000000"/>
        </w:rPr>
        <w:t xml:space="preserve">cost VFD system without sacrificing power quality. In response, </w:t>
      </w:r>
      <w:r>
        <w:rPr>
          <w:rFonts w:cs="Verdana"/>
          <w:color w:val="000000"/>
        </w:rPr>
        <w:t>a</w:t>
      </w:r>
      <w:r w:rsidR="009B1903">
        <w:rPr>
          <w:rFonts w:cs="Verdana"/>
          <w:color w:val="000000"/>
        </w:rPr>
        <w:t xml:space="preserve"> “Tier 2 mid-tier VFD system” was created</w:t>
      </w:r>
      <w:r>
        <w:rPr>
          <w:rFonts w:cs="Verdana"/>
          <w:color w:val="000000"/>
        </w:rPr>
        <w:t xml:space="preserve">, </w:t>
      </w:r>
      <w:r w:rsidR="009B1903">
        <w:rPr>
          <w:rFonts w:cs="Verdana"/>
          <w:color w:val="000000"/>
        </w:rPr>
        <w:t xml:space="preserve">is </w:t>
      </w:r>
      <w:r>
        <w:rPr>
          <w:rFonts w:cs="Verdana"/>
          <w:color w:val="000000"/>
        </w:rPr>
        <w:t xml:space="preserve">now </w:t>
      </w:r>
      <w:r w:rsidR="009B1903">
        <w:rPr>
          <w:rFonts w:cs="Verdana"/>
          <w:color w:val="000000"/>
        </w:rPr>
        <w:t xml:space="preserve">referred </w:t>
      </w:r>
      <w:r>
        <w:rPr>
          <w:rFonts w:cs="Verdana"/>
          <w:color w:val="000000"/>
        </w:rPr>
        <w:t xml:space="preserve">to </w:t>
      </w:r>
      <w:r w:rsidR="009B1903">
        <w:rPr>
          <w:rFonts w:cs="Verdana"/>
          <w:color w:val="000000"/>
        </w:rPr>
        <w:t xml:space="preserve">as the </w:t>
      </w:r>
      <w:r>
        <w:rPr>
          <w:rFonts w:cs="Verdana"/>
          <w:color w:val="000000"/>
        </w:rPr>
        <w:t>“</w:t>
      </w:r>
      <w:r w:rsidR="009B1903">
        <w:rPr>
          <w:rFonts w:cs="Verdana"/>
          <w:color w:val="000000"/>
        </w:rPr>
        <w:t>Tier 3 enhanced VFD system.</w:t>
      </w:r>
      <w:r>
        <w:rPr>
          <w:rFonts w:cs="Verdana"/>
          <w:color w:val="000000"/>
        </w:rPr>
        <w:t>”</w:t>
      </w:r>
      <w:r w:rsidR="009B1903">
        <w:rPr>
          <w:rFonts w:cs="Verdana"/>
          <w:color w:val="000000"/>
        </w:rPr>
        <w:t xml:space="preserve"> See Measure Case Description. </w:t>
      </w:r>
    </w:p>
    <w:p w14:paraId="57A49BBC" w14:textId="77777777" w:rsidR="009B1903" w:rsidRPr="0075177C" w:rsidRDefault="009B1903" w:rsidP="009B1903">
      <w:pPr>
        <w:rPr>
          <w:szCs w:val="22"/>
        </w:rPr>
      </w:pPr>
    </w:p>
    <w:p w14:paraId="5AF18021" w14:textId="23D31921" w:rsidR="007D230B" w:rsidRDefault="007D230B" w:rsidP="00462BB6">
      <w:pPr>
        <w:pStyle w:val="eTRMHeading3"/>
      </w:pPr>
      <w:bookmarkStart w:id="9" w:name="_Toc486490848"/>
      <w:bookmarkStart w:id="10" w:name="_Toc486580919"/>
      <w:bookmarkStart w:id="11" w:name="_Toc10806363"/>
      <w:r w:rsidRPr="004B06E3">
        <w:t>Measure Case Description</w:t>
      </w:r>
      <w:bookmarkEnd w:id="9"/>
      <w:bookmarkEnd w:id="10"/>
      <w:bookmarkEnd w:id="11"/>
    </w:p>
    <w:p w14:paraId="00C894E1" w14:textId="33E9C6D6" w:rsidR="00146C4C" w:rsidRDefault="00F2523F" w:rsidP="00C10F19">
      <w:r w:rsidRPr="008A736E">
        <w:t>Th</w:t>
      </w:r>
      <w:r>
        <w:t>is me</w:t>
      </w:r>
      <w:r w:rsidRPr="008A736E">
        <w:t xml:space="preserve">asure </w:t>
      </w:r>
      <w:r>
        <w:t xml:space="preserve">is defined as a </w:t>
      </w:r>
      <w:r w:rsidR="00E63845">
        <w:t>variable frequency drive (</w:t>
      </w:r>
      <w:r>
        <w:t>VFD</w:t>
      </w:r>
      <w:r w:rsidR="00E63845">
        <w:t>)</w:t>
      </w:r>
      <w:r>
        <w:t xml:space="preserve"> added to </w:t>
      </w:r>
      <w:r w:rsidRPr="008A736E">
        <w:t>a</w:t>
      </w:r>
      <w:r>
        <w:t xml:space="preserve"> clean water</w:t>
      </w:r>
      <w:r w:rsidRPr="008A736E">
        <w:t xml:space="preserve"> </w:t>
      </w:r>
      <w:r>
        <w:t xml:space="preserve">agriculture </w:t>
      </w:r>
      <w:r w:rsidRPr="008A736E">
        <w:t xml:space="preserve">pump </w:t>
      </w:r>
      <w:r>
        <w:t>to</w:t>
      </w:r>
      <w:r w:rsidRPr="008A736E">
        <w:t xml:space="preserve"> adjust the</w:t>
      </w:r>
      <w:r>
        <w:t xml:space="preserve"> water</w:t>
      </w:r>
      <w:r w:rsidRPr="008A736E">
        <w:t xml:space="preserve"> flow/pressure to</w:t>
      </w:r>
      <w:r w:rsidR="00E63845">
        <w:t xml:space="preserve"> meet</w:t>
      </w:r>
      <w:r w:rsidRPr="008A736E">
        <w:t xml:space="preserve"> the facility irrigation needs. </w:t>
      </w:r>
    </w:p>
    <w:p w14:paraId="131A0A2D" w14:textId="2A0437E8" w:rsidR="00F2523F" w:rsidRDefault="00F2523F" w:rsidP="00C10F19">
      <w:r>
        <w:t>The measure offerings are defined by pump type (well or booster) and the pump horsepower range</w:t>
      </w:r>
      <w:r w:rsidR="00C10F19">
        <w:t>, as specified below</w:t>
      </w:r>
      <w:r>
        <w:t>.</w:t>
      </w:r>
    </w:p>
    <w:p w14:paraId="0DCBEE3C" w14:textId="1F2DAD06" w:rsidR="002942B0" w:rsidRDefault="002942B0" w:rsidP="000B19DD">
      <w:pPr>
        <w:pStyle w:val="Caption"/>
      </w:pPr>
      <w:r>
        <w:lastRenderedPageBreak/>
        <w:t xml:space="preserve">Measure Case </w:t>
      </w:r>
      <w:r w:rsidRPr="001A210E">
        <w:t xml:space="preserve">Specification </w:t>
      </w:r>
      <w:r w:rsidR="00D41D2F">
        <w:t>Summary</w:t>
      </w:r>
    </w:p>
    <w:tbl>
      <w:tblPr>
        <w:tblW w:w="560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74"/>
        <w:gridCol w:w="2430"/>
      </w:tblGrid>
      <w:tr w:rsidR="00D41D2F" w14:paraId="6539616C" w14:textId="77777777" w:rsidTr="00D41D2F">
        <w:tc>
          <w:tcPr>
            <w:tcW w:w="3174" w:type="dxa"/>
            <w:shd w:val="clear" w:color="auto" w:fill="F2F2F2" w:themeFill="background1" w:themeFillShade="F2"/>
          </w:tcPr>
          <w:p w14:paraId="637F33A2" w14:textId="37EEC56C" w:rsidR="00D41D2F" w:rsidRPr="00154391" w:rsidRDefault="00D41D2F" w:rsidP="00BA3D7D">
            <w:pPr>
              <w:keepNext/>
              <w:keepLines/>
              <w:spacing w:before="20" w:after="20"/>
              <w:jc w:val="center"/>
              <w:rPr>
                <w:b/>
                <w:sz w:val="20"/>
                <w:szCs w:val="20"/>
              </w:rPr>
            </w:pPr>
            <w:r>
              <w:rPr>
                <w:b/>
                <w:sz w:val="20"/>
                <w:szCs w:val="20"/>
              </w:rPr>
              <w:t>Measure Offering</w:t>
            </w:r>
          </w:p>
        </w:tc>
        <w:tc>
          <w:tcPr>
            <w:tcW w:w="2430" w:type="dxa"/>
            <w:shd w:val="clear" w:color="auto" w:fill="F2F2F2" w:themeFill="background1" w:themeFillShade="F2"/>
          </w:tcPr>
          <w:p w14:paraId="134550CC" w14:textId="2347777F" w:rsidR="00D41D2F" w:rsidRDefault="00D41D2F" w:rsidP="00BA3D7D">
            <w:pPr>
              <w:keepNext/>
              <w:keepLines/>
              <w:spacing w:before="20" w:after="20"/>
              <w:jc w:val="center"/>
              <w:rPr>
                <w:b/>
                <w:sz w:val="20"/>
                <w:szCs w:val="20"/>
              </w:rPr>
            </w:pPr>
            <w:r>
              <w:rPr>
                <w:b/>
                <w:sz w:val="20"/>
                <w:szCs w:val="20"/>
              </w:rPr>
              <w:t>Horsepower (hp)</w:t>
            </w:r>
          </w:p>
        </w:tc>
      </w:tr>
      <w:tr w:rsidR="00D41D2F" w14:paraId="7A97749B" w14:textId="77777777" w:rsidTr="00D41D2F">
        <w:tc>
          <w:tcPr>
            <w:tcW w:w="3174" w:type="dxa"/>
            <w:vMerge w:val="restart"/>
            <w:shd w:val="clear" w:color="auto" w:fill="auto"/>
            <w:vAlign w:val="center"/>
          </w:tcPr>
          <w:p w14:paraId="655B58BB" w14:textId="3B9F2C32" w:rsidR="00D41D2F" w:rsidRPr="00FB030E" w:rsidRDefault="00D41D2F" w:rsidP="005E3D47">
            <w:pPr>
              <w:keepNext/>
              <w:keepLines/>
              <w:spacing w:before="20" w:after="20"/>
              <w:rPr>
                <w:sz w:val="20"/>
                <w:szCs w:val="20"/>
              </w:rPr>
            </w:pPr>
            <w:r>
              <w:rPr>
                <w:sz w:val="20"/>
                <w:szCs w:val="20"/>
              </w:rPr>
              <w:t>Advanced VFDs on Well Pump</w:t>
            </w:r>
          </w:p>
        </w:tc>
        <w:tc>
          <w:tcPr>
            <w:tcW w:w="2430" w:type="dxa"/>
          </w:tcPr>
          <w:p w14:paraId="36E49791" w14:textId="6CE899BC" w:rsidR="00D41D2F" w:rsidRDefault="00D41D2F" w:rsidP="005E3D47">
            <w:pPr>
              <w:keepNext/>
              <w:keepLines/>
              <w:spacing w:before="20" w:after="20"/>
              <w:jc w:val="center"/>
              <w:rPr>
                <w:sz w:val="20"/>
                <w:szCs w:val="20"/>
              </w:rPr>
            </w:pPr>
            <w:r w:rsidRPr="000130F3">
              <w:rPr>
                <w:sz w:val="20"/>
                <w:szCs w:val="20"/>
              </w:rPr>
              <w:t xml:space="preserve">≤ </w:t>
            </w:r>
            <w:r>
              <w:rPr>
                <w:sz w:val="20"/>
                <w:szCs w:val="20"/>
              </w:rPr>
              <w:t>75</w:t>
            </w:r>
          </w:p>
        </w:tc>
      </w:tr>
      <w:tr w:rsidR="00D41D2F" w:rsidRPr="00FB030E" w14:paraId="559A7E7C" w14:textId="77777777" w:rsidTr="00D41D2F">
        <w:tc>
          <w:tcPr>
            <w:tcW w:w="3174" w:type="dxa"/>
            <w:vMerge/>
            <w:shd w:val="clear" w:color="auto" w:fill="auto"/>
            <w:vAlign w:val="center"/>
          </w:tcPr>
          <w:p w14:paraId="1F6163D5" w14:textId="77777777" w:rsidR="00D41D2F" w:rsidRPr="00FB030E" w:rsidRDefault="00D41D2F" w:rsidP="005E3D47">
            <w:pPr>
              <w:keepNext/>
              <w:keepLines/>
              <w:spacing w:before="20" w:after="20"/>
              <w:rPr>
                <w:sz w:val="20"/>
                <w:szCs w:val="20"/>
              </w:rPr>
            </w:pPr>
          </w:p>
        </w:tc>
        <w:tc>
          <w:tcPr>
            <w:tcW w:w="2430" w:type="dxa"/>
          </w:tcPr>
          <w:p w14:paraId="045896B6" w14:textId="77C4E228" w:rsidR="00D41D2F" w:rsidRPr="00FB030E" w:rsidRDefault="00D41D2F" w:rsidP="005E3D47">
            <w:pPr>
              <w:keepNext/>
              <w:keepLines/>
              <w:spacing w:before="20" w:after="20"/>
              <w:jc w:val="center"/>
              <w:rPr>
                <w:sz w:val="20"/>
                <w:szCs w:val="20"/>
              </w:rPr>
            </w:pPr>
            <w:r>
              <w:rPr>
                <w:sz w:val="20"/>
                <w:szCs w:val="20"/>
              </w:rPr>
              <w:t xml:space="preserve">75 &lt; hp </w:t>
            </w:r>
            <w:r w:rsidRPr="000130F3">
              <w:rPr>
                <w:sz w:val="20"/>
                <w:szCs w:val="20"/>
              </w:rPr>
              <w:t>≤</w:t>
            </w:r>
            <w:r>
              <w:rPr>
                <w:sz w:val="20"/>
                <w:szCs w:val="20"/>
              </w:rPr>
              <w:t xml:space="preserve"> 600</w:t>
            </w:r>
          </w:p>
        </w:tc>
      </w:tr>
      <w:tr w:rsidR="00D41D2F" w:rsidRPr="00FB030E" w14:paraId="0A5B7FBE" w14:textId="77777777" w:rsidTr="00D41D2F">
        <w:tc>
          <w:tcPr>
            <w:tcW w:w="3174" w:type="dxa"/>
            <w:vMerge w:val="restart"/>
            <w:shd w:val="clear" w:color="auto" w:fill="auto"/>
            <w:vAlign w:val="center"/>
          </w:tcPr>
          <w:p w14:paraId="22F347FF" w14:textId="646F5ECA" w:rsidR="00D41D2F" w:rsidRPr="00FB030E" w:rsidRDefault="00D41D2F" w:rsidP="005E3D47">
            <w:pPr>
              <w:keepNext/>
              <w:keepLines/>
              <w:spacing w:before="20" w:after="20"/>
              <w:rPr>
                <w:sz w:val="20"/>
                <w:szCs w:val="20"/>
              </w:rPr>
            </w:pPr>
            <w:r>
              <w:rPr>
                <w:sz w:val="20"/>
                <w:szCs w:val="20"/>
              </w:rPr>
              <w:t>Advanced VFDs on Booster Pump</w:t>
            </w:r>
          </w:p>
        </w:tc>
        <w:tc>
          <w:tcPr>
            <w:tcW w:w="2430" w:type="dxa"/>
          </w:tcPr>
          <w:p w14:paraId="1155243A" w14:textId="61A2016D" w:rsidR="00D41D2F" w:rsidRPr="00FB030E" w:rsidRDefault="00D41D2F" w:rsidP="005E3D47">
            <w:pPr>
              <w:keepNext/>
              <w:keepLines/>
              <w:spacing w:before="20" w:after="20"/>
              <w:jc w:val="center"/>
              <w:rPr>
                <w:sz w:val="20"/>
                <w:szCs w:val="20"/>
              </w:rPr>
            </w:pPr>
            <w:r w:rsidRPr="000130F3">
              <w:rPr>
                <w:sz w:val="20"/>
                <w:szCs w:val="20"/>
              </w:rPr>
              <w:t xml:space="preserve">≤ </w:t>
            </w:r>
            <w:r>
              <w:rPr>
                <w:sz w:val="20"/>
                <w:szCs w:val="20"/>
              </w:rPr>
              <w:t>75</w:t>
            </w:r>
          </w:p>
        </w:tc>
      </w:tr>
      <w:tr w:rsidR="00D41D2F" w:rsidRPr="00FB030E" w14:paraId="0839DECC" w14:textId="77777777" w:rsidTr="00D41D2F">
        <w:tc>
          <w:tcPr>
            <w:tcW w:w="3174" w:type="dxa"/>
            <w:vMerge/>
            <w:shd w:val="clear" w:color="auto" w:fill="auto"/>
          </w:tcPr>
          <w:p w14:paraId="02C531DF" w14:textId="77777777" w:rsidR="00D41D2F" w:rsidRPr="00FB030E" w:rsidRDefault="00D41D2F" w:rsidP="001A210E">
            <w:pPr>
              <w:keepNext/>
              <w:keepLines/>
              <w:spacing w:before="20" w:after="20"/>
              <w:rPr>
                <w:sz w:val="20"/>
                <w:szCs w:val="20"/>
              </w:rPr>
            </w:pPr>
          </w:p>
        </w:tc>
        <w:tc>
          <w:tcPr>
            <w:tcW w:w="2430" w:type="dxa"/>
          </w:tcPr>
          <w:p w14:paraId="25B0BC70" w14:textId="502DA1FB" w:rsidR="00D41D2F" w:rsidRPr="00FB030E" w:rsidRDefault="00D41D2F" w:rsidP="005E3D47">
            <w:pPr>
              <w:keepNext/>
              <w:keepLines/>
              <w:spacing w:before="20" w:after="20"/>
              <w:jc w:val="center"/>
              <w:rPr>
                <w:sz w:val="20"/>
                <w:szCs w:val="20"/>
              </w:rPr>
            </w:pPr>
            <w:r>
              <w:rPr>
                <w:sz w:val="20"/>
                <w:szCs w:val="20"/>
              </w:rPr>
              <w:t xml:space="preserve">75 &lt; hp </w:t>
            </w:r>
            <w:r w:rsidRPr="000130F3">
              <w:rPr>
                <w:sz w:val="20"/>
                <w:szCs w:val="20"/>
              </w:rPr>
              <w:t>≤</w:t>
            </w:r>
            <w:r>
              <w:rPr>
                <w:sz w:val="20"/>
                <w:szCs w:val="20"/>
              </w:rPr>
              <w:t xml:space="preserve"> 150</w:t>
            </w:r>
          </w:p>
        </w:tc>
      </w:tr>
    </w:tbl>
    <w:p w14:paraId="027C2465" w14:textId="3AF7E1FB" w:rsidR="00994F74" w:rsidRDefault="00994F74" w:rsidP="00DE339F"/>
    <w:p w14:paraId="235A036D" w14:textId="2E11A898" w:rsidR="00D41D2F" w:rsidRDefault="00D41D2F" w:rsidP="00D41D2F">
      <w:pPr>
        <w:pStyle w:val="Caption"/>
      </w:pPr>
      <w:r>
        <w:t xml:space="preserve">Measure Case </w:t>
      </w:r>
      <w:r w:rsidRPr="001A210E">
        <w:t xml:space="preserve">Specification </w:t>
      </w:r>
      <w:r>
        <w:t>– Measure Offerings</w:t>
      </w:r>
    </w:p>
    <w:tbl>
      <w:tblPr>
        <w:tblW w:w="963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7745"/>
      </w:tblGrid>
      <w:tr w:rsidR="00D41D2F" w:rsidRPr="00D41D2F" w14:paraId="390063A7" w14:textId="1FA2FEFA" w:rsidTr="00D41D2F">
        <w:trPr>
          <w:trHeight w:val="290"/>
        </w:trPr>
        <w:tc>
          <w:tcPr>
            <w:tcW w:w="1885" w:type="dxa"/>
            <w:shd w:val="clear" w:color="auto" w:fill="F2F2F2" w:themeFill="background1" w:themeFillShade="F2"/>
            <w:noWrap/>
            <w:vAlign w:val="bottom"/>
            <w:hideMark/>
          </w:tcPr>
          <w:p w14:paraId="50431819" w14:textId="6488DABA" w:rsidR="00D41D2F" w:rsidRPr="00D41D2F" w:rsidRDefault="00D41D2F" w:rsidP="00D41D2F">
            <w:pPr>
              <w:keepNext/>
              <w:keepLines/>
              <w:spacing w:before="0" w:after="0" w:line="240" w:lineRule="auto"/>
              <w:jc w:val="center"/>
              <w:rPr>
                <w:rFonts w:eastAsia="Times New Roman" w:cs="Calibri Light"/>
                <w:b/>
                <w:bCs/>
                <w:sz w:val="20"/>
                <w:szCs w:val="20"/>
              </w:rPr>
            </w:pPr>
            <w:r w:rsidRPr="00D41D2F">
              <w:rPr>
                <w:rFonts w:eastAsia="Times New Roman" w:cs="Calibri Light"/>
                <w:b/>
                <w:bCs/>
                <w:sz w:val="20"/>
                <w:szCs w:val="20"/>
              </w:rPr>
              <w:t xml:space="preserve">Statewide Measure </w:t>
            </w:r>
            <w:r>
              <w:rPr>
                <w:rFonts w:eastAsia="Times New Roman" w:cs="Calibri Light"/>
                <w:b/>
                <w:bCs/>
                <w:sz w:val="20"/>
                <w:szCs w:val="20"/>
              </w:rPr>
              <w:t xml:space="preserve">Offering </w:t>
            </w:r>
            <w:r w:rsidRPr="00D41D2F">
              <w:rPr>
                <w:rFonts w:eastAsia="Times New Roman" w:cs="Calibri Light"/>
                <w:b/>
                <w:bCs/>
                <w:sz w:val="20"/>
                <w:szCs w:val="20"/>
              </w:rPr>
              <w:t>ID</w:t>
            </w:r>
          </w:p>
        </w:tc>
        <w:tc>
          <w:tcPr>
            <w:tcW w:w="7745" w:type="dxa"/>
            <w:shd w:val="clear" w:color="auto" w:fill="F2F2F2" w:themeFill="background1" w:themeFillShade="F2"/>
            <w:vAlign w:val="bottom"/>
          </w:tcPr>
          <w:p w14:paraId="4B1C820E" w14:textId="27BDCC6C" w:rsidR="00D41D2F" w:rsidRPr="00D41D2F" w:rsidRDefault="00D41D2F" w:rsidP="00D41D2F">
            <w:pPr>
              <w:keepNext/>
              <w:keepLines/>
              <w:spacing w:before="0" w:after="0" w:line="240" w:lineRule="auto"/>
              <w:jc w:val="center"/>
              <w:rPr>
                <w:rFonts w:eastAsia="Times New Roman" w:cs="Calibri Light"/>
                <w:b/>
                <w:bCs/>
                <w:sz w:val="20"/>
                <w:szCs w:val="20"/>
              </w:rPr>
            </w:pPr>
            <w:r w:rsidRPr="00D41D2F">
              <w:rPr>
                <w:rFonts w:eastAsia="Times New Roman" w:cs="Calibri Light"/>
                <w:b/>
                <w:bCs/>
                <w:sz w:val="20"/>
                <w:szCs w:val="20"/>
              </w:rPr>
              <w:t>Measure Offering Description</w:t>
            </w:r>
          </w:p>
        </w:tc>
      </w:tr>
      <w:tr w:rsidR="00D41D2F" w:rsidRPr="00D41D2F" w14:paraId="7FA9BAD5" w14:textId="1FB626A2" w:rsidTr="00D41D2F">
        <w:trPr>
          <w:trHeight w:val="290"/>
        </w:trPr>
        <w:tc>
          <w:tcPr>
            <w:tcW w:w="1885" w:type="dxa"/>
            <w:shd w:val="clear" w:color="auto" w:fill="auto"/>
            <w:noWrap/>
            <w:vAlign w:val="bottom"/>
            <w:hideMark/>
          </w:tcPr>
          <w:p w14:paraId="5EFBDF13" w14:textId="77777777" w:rsidR="00D41D2F" w:rsidRPr="00D41D2F" w:rsidRDefault="00D41D2F" w:rsidP="00D41D2F">
            <w:pPr>
              <w:keepNext/>
              <w:keepLines/>
              <w:spacing w:before="0" w:after="0" w:line="240" w:lineRule="auto"/>
              <w:rPr>
                <w:rFonts w:eastAsia="Times New Roman" w:cs="Calibri Light"/>
                <w:sz w:val="20"/>
                <w:szCs w:val="20"/>
              </w:rPr>
            </w:pPr>
            <w:r w:rsidRPr="00D41D2F">
              <w:rPr>
                <w:rFonts w:eastAsia="Times New Roman" w:cs="Calibri Light"/>
                <w:sz w:val="20"/>
                <w:szCs w:val="20"/>
              </w:rPr>
              <w:t>SWWP005A</w:t>
            </w:r>
          </w:p>
        </w:tc>
        <w:tc>
          <w:tcPr>
            <w:tcW w:w="7745" w:type="dxa"/>
            <w:vAlign w:val="bottom"/>
          </w:tcPr>
          <w:p w14:paraId="29F4DCA2" w14:textId="3AFDB89A" w:rsidR="00D41D2F" w:rsidRPr="00D41D2F" w:rsidRDefault="00D41D2F" w:rsidP="00D41D2F">
            <w:pPr>
              <w:keepNext/>
              <w:keepLines/>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Well Pumps &lt;=75hp</w:t>
            </w:r>
          </w:p>
        </w:tc>
      </w:tr>
      <w:tr w:rsidR="00D41D2F" w:rsidRPr="00D41D2F" w14:paraId="76B7A5C4" w14:textId="31C10D24" w:rsidTr="00D41D2F">
        <w:trPr>
          <w:trHeight w:val="290"/>
        </w:trPr>
        <w:tc>
          <w:tcPr>
            <w:tcW w:w="1885" w:type="dxa"/>
            <w:shd w:val="clear" w:color="auto" w:fill="auto"/>
            <w:noWrap/>
            <w:vAlign w:val="bottom"/>
            <w:hideMark/>
          </w:tcPr>
          <w:p w14:paraId="2D7182E7"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SWWP005B</w:t>
            </w:r>
          </w:p>
        </w:tc>
        <w:tc>
          <w:tcPr>
            <w:tcW w:w="7745" w:type="dxa"/>
            <w:vAlign w:val="bottom"/>
          </w:tcPr>
          <w:p w14:paraId="5621F332" w14:textId="329FB11B"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Well Pumps &gt;75hp to &lt;=600hp</w:t>
            </w:r>
          </w:p>
        </w:tc>
      </w:tr>
      <w:tr w:rsidR="00D41D2F" w:rsidRPr="00D41D2F" w14:paraId="280729D7" w14:textId="6F7BAC30" w:rsidTr="00D41D2F">
        <w:trPr>
          <w:trHeight w:val="290"/>
        </w:trPr>
        <w:tc>
          <w:tcPr>
            <w:tcW w:w="1885" w:type="dxa"/>
            <w:shd w:val="clear" w:color="auto" w:fill="auto"/>
            <w:noWrap/>
            <w:vAlign w:val="bottom"/>
            <w:hideMark/>
          </w:tcPr>
          <w:p w14:paraId="7E5F45D6"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SWWP005C</w:t>
            </w:r>
          </w:p>
        </w:tc>
        <w:tc>
          <w:tcPr>
            <w:tcW w:w="7745" w:type="dxa"/>
            <w:vAlign w:val="bottom"/>
          </w:tcPr>
          <w:p w14:paraId="7689A445" w14:textId="335A2563"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Booster Pumps &lt;=75hp</w:t>
            </w:r>
          </w:p>
        </w:tc>
      </w:tr>
      <w:tr w:rsidR="00D41D2F" w:rsidRPr="00D41D2F" w14:paraId="761A94B1" w14:textId="196FEE91" w:rsidTr="00D41D2F">
        <w:trPr>
          <w:trHeight w:val="290"/>
        </w:trPr>
        <w:tc>
          <w:tcPr>
            <w:tcW w:w="1885" w:type="dxa"/>
            <w:shd w:val="clear" w:color="auto" w:fill="auto"/>
            <w:noWrap/>
            <w:vAlign w:val="bottom"/>
            <w:hideMark/>
          </w:tcPr>
          <w:p w14:paraId="35DCE3C4"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SWWP005D</w:t>
            </w:r>
          </w:p>
        </w:tc>
        <w:tc>
          <w:tcPr>
            <w:tcW w:w="7745" w:type="dxa"/>
            <w:vAlign w:val="bottom"/>
          </w:tcPr>
          <w:p w14:paraId="7620021F" w14:textId="245912DF"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Booster Pumps &gt;75hp to &lt;=150hp</w:t>
            </w:r>
          </w:p>
        </w:tc>
      </w:tr>
      <w:tr w:rsidR="00D41D2F" w:rsidRPr="00D41D2F" w14:paraId="1990EA7F" w14:textId="44FE4A1C" w:rsidTr="00D41D2F">
        <w:trPr>
          <w:trHeight w:val="290"/>
        </w:trPr>
        <w:tc>
          <w:tcPr>
            <w:tcW w:w="1885" w:type="dxa"/>
            <w:shd w:val="clear" w:color="auto" w:fill="auto"/>
            <w:noWrap/>
            <w:vAlign w:val="bottom"/>
            <w:hideMark/>
          </w:tcPr>
          <w:p w14:paraId="74C736DE"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SWWP005E</w:t>
            </w:r>
          </w:p>
        </w:tc>
        <w:tc>
          <w:tcPr>
            <w:tcW w:w="7745" w:type="dxa"/>
            <w:vAlign w:val="bottom"/>
          </w:tcPr>
          <w:p w14:paraId="6A6DEEE8" w14:textId="0835A891"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Well Pumps &lt;=75hp</w:t>
            </w:r>
          </w:p>
        </w:tc>
      </w:tr>
      <w:tr w:rsidR="00D41D2F" w:rsidRPr="00D41D2F" w14:paraId="52C8ACC1" w14:textId="16733936" w:rsidTr="00D41D2F">
        <w:trPr>
          <w:trHeight w:val="290"/>
        </w:trPr>
        <w:tc>
          <w:tcPr>
            <w:tcW w:w="1885" w:type="dxa"/>
            <w:shd w:val="clear" w:color="auto" w:fill="auto"/>
            <w:noWrap/>
            <w:vAlign w:val="bottom"/>
            <w:hideMark/>
          </w:tcPr>
          <w:p w14:paraId="6780C9C0"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SWWP005F</w:t>
            </w:r>
          </w:p>
        </w:tc>
        <w:tc>
          <w:tcPr>
            <w:tcW w:w="7745" w:type="dxa"/>
            <w:vAlign w:val="bottom"/>
          </w:tcPr>
          <w:p w14:paraId="5D669AEA" w14:textId="0D9074F5"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Well Pumps &gt;75hp to &lt;=600hp</w:t>
            </w:r>
          </w:p>
        </w:tc>
      </w:tr>
      <w:tr w:rsidR="00D41D2F" w:rsidRPr="00D41D2F" w14:paraId="2A855884" w14:textId="4451FC18" w:rsidTr="00D41D2F">
        <w:trPr>
          <w:trHeight w:val="290"/>
        </w:trPr>
        <w:tc>
          <w:tcPr>
            <w:tcW w:w="1885" w:type="dxa"/>
            <w:shd w:val="clear" w:color="auto" w:fill="auto"/>
            <w:noWrap/>
            <w:vAlign w:val="bottom"/>
            <w:hideMark/>
          </w:tcPr>
          <w:p w14:paraId="7798586D"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SWWP005G</w:t>
            </w:r>
          </w:p>
        </w:tc>
        <w:tc>
          <w:tcPr>
            <w:tcW w:w="7745" w:type="dxa"/>
            <w:vAlign w:val="bottom"/>
          </w:tcPr>
          <w:p w14:paraId="1840EC94" w14:textId="79E389E8"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Booster Pumps &lt;=75hp</w:t>
            </w:r>
          </w:p>
        </w:tc>
      </w:tr>
      <w:tr w:rsidR="00D41D2F" w:rsidRPr="00D41D2F" w14:paraId="493CE1F0" w14:textId="0DC0A4AA" w:rsidTr="00D41D2F">
        <w:trPr>
          <w:trHeight w:val="290"/>
        </w:trPr>
        <w:tc>
          <w:tcPr>
            <w:tcW w:w="1885" w:type="dxa"/>
            <w:shd w:val="clear" w:color="auto" w:fill="auto"/>
            <w:noWrap/>
            <w:vAlign w:val="bottom"/>
            <w:hideMark/>
          </w:tcPr>
          <w:p w14:paraId="58A190CD"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SWWP005H</w:t>
            </w:r>
          </w:p>
        </w:tc>
        <w:tc>
          <w:tcPr>
            <w:tcW w:w="7745" w:type="dxa"/>
            <w:vAlign w:val="bottom"/>
          </w:tcPr>
          <w:p w14:paraId="3279B865" w14:textId="292E7E3F"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Booster Pumps &gt;75hp to &lt;=150hp</w:t>
            </w:r>
          </w:p>
        </w:tc>
      </w:tr>
      <w:tr w:rsidR="00D41D2F" w:rsidRPr="00D41D2F" w14:paraId="0C073C3D" w14:textId="02A3BBBC" w:rsidTr="00D41D2F">
        <w:trPr>
          <w:trHeight w:val="290"/>
        </w:trPr>
        <w:tc>
          <w:tcPr>
            <w:tcW w:w="1885" w:type="dxa"/>
            <w:shd w:val="clear" w:color="auto" w:fill="auto"/>
            <w:noWrap/>
            <w:vAlign w:val="bottom"/>
            <w:hideMark/>
          </w:tcPr>
          <w:p w14:paraId="3FB48962"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SWWP005I</w:t>
            </w:r>
          </w:p>
        </w:tc>
        <w:tc>
          <w:tcPr>
            <w:tcW w:w="7745" w:type="dxa"/>
            <w:vAlign w:val="bottom"/>
          </w:tcPr>
          <w:p w14:paraId="5E65C1E2" w14:textId="77ADFF30"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Well Pumps &lt;=75hp</w:t>
            </w:r>
          </w:p>
        </w:tc>
      </w:tr>
      <w:tr w:rsidR="00D41D2F" w:rsidRPr="00D41D2F" w14:paraId="3AF30D2A" w14:textId="00CBE9DA" w:rsidTr="00D41D2F">
        <w:trPr>
          <w:trHeight w:val="290"/>
        </w:trPr>
        <w:tc>
          <w:tcPr>
            <w:tcW w:w="1885" w:type="dxa"/>
            <w:shd w:val="clear" w:color="auto" w:fill="auto"/>
            <w:noWrap/>
            <w:vAlign w:val="bottom"/>
            <w:hideMark/>
          </w:tcPr>
          <w:p w14:paraId="0C9E9627"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SWWP005J</w:t>
            </w:r>
          </w:p>
        </w:tc>
        <w:tc>
          <w:tcPr>
            <w:tcW w:w="7745" w:type="dxa"/>
            <w:vAlign w:val="bottom"/>
          </w:tcPr>
          <w:p w14:paraId="29D70625" w14:textId="6923DF81"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Well Pumps &gt;75hp to &lt;=600hp</w:t>
            </w:r>
          </w:p>
        </w:tc>
      </w:tr>
      <w:tr w:rsidR="00D41D2F" w:rsidRPr="00D41D2F" w14:paraId="36CE6149" w14:textId="39138AE4" w:rsidTr="00D41D2F">
        <w:trPr>
          <w:trHeight w:val="290"/>
        </w:trPr>
        <w:tc>
          <w:tcPr>
            <w:tcW w:w="1885" w:type="dxa"/>
            <w:shd w:val="clear" w:color="auto" w:fill="auto"/>
            <w:noWrap/>
            <w:vAlign w:val="bottom"/>
            <w:hideMark/>
          </w:tcPr>
          <w:p w14:paraId="194CEA8A"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SWWP005K</w:t>
            </w:r>
          </w:p>
        </w:tc>
        <w:tc>
          <w:tcPr>
            <w:tcW w:w="7745" w:type="dxa"/>
            <w:vAlign w:val="bottom"/>
          </w:tcPr>
          <w:p w14:paraId="3DC41CD1" w14:textId="20423680"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Booster Pumps &lt;=75hp</w:t>
            </w:r>
          </w:p>
        </w:tc>
      </w:tr>
      <w:tr w:rsidR="00D41D2F" w:rsidRPr="00D41D2F" w14:paraId="40481BBF" w14:textId="279240C3" w:rsidTr="00D41D2F">
        <w:trPr>
          <w:trHeight w:val="290"/>
        </w:trPr>
        <w:tc>
          <w:tcPr>
            <w:tcW w:w="1885" w:type="dxa"/>
            <w:shd w:val="clear" w:color="auto" w:fill="auto"/>
            <w:noWrap/>
            <w:vAlign w:val="bottom"/>
            <w:hideMark/>
          </w:tcPr>
          <w:p w14:paraId="26770D5B"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SWWP005L</w:t>
            </w:r>
          </w:p>
        </w:tc>
        <w:tc>
          <w:tcPr>
            <w:tcW w:w="7745" w:type="dxa"/>
            <w:vAlign w:val="bottom"/>
          </w:tcPr>
          <w:p w14:paraId="30CB5394" w14:textId="27318FCA"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2 Mid-tier Specification VFD on Ag Booster Pumps &gt;75hp to &lt;=150hp</w:t>
            </w:r>
          </w:p>
        </w:tc>
      </w:tr>
      <w:tr w:rsidR="00D41D2F" w:rsidRPr="00D41D2F" w14:paraId="7CED509D" w14:textId="03522D56" w:rsidTr="00D41D2F">
        <w:trPr>
          <w:trHeight w:val="290"/>
        </w:trPr>
        <w:tc>
          <w:tcPr>
            <w:tcW w:w="1885" w:type="dxa"/>
            <w:shd w:val="clear" w:color="auto" w:fill="auto"/>
            <w:noWrap/>
            <w:vAlign w:val="bottom"/>
            <w:hideMark/>
          </w:tcPr>
          <w:p w14:paraId="295D575D"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SWWP005M</w:t>
            </w:r>
          </w:p>
        </w:tc>
        <w:tc>
          <w:tcPr>
            <w:tcW w:w="7745" w:type="dxa"/>
            <w:vAlign w:val="bottom"/>
          </w:tcPr>
          <w:p w14:paraId="02A1E42F" w14:textId="3365F035"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Well Pumps &lt;=75hp</w:t>
            </w:r>
          </w:p>
        </w:tc>
      </w:tr>
      <w:tr w:rsidR="00D41D2F" w:rsidRPr="00D41D2F" w14:paraId="5F723DC4" w14:textId="17BB8B70" w:rsidTr="00D41D2F">
        <w:trPr>
          <w:trHeight w:val="290"/>
        </w:trPr>
        <w:tc>
          <w:tcPr>
            <w:tcW w:w="1885" w:type="dxa"/>
            <w:shd w:val="clear" w:color="auto" w:fill="auto"/>
            <w:noWrap/>
            <w:vAlign w:val="bottom"/>
            <w:hideMark/>
          </w:tcPr>
          <w:p w14:paraId="373AA254"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SWWP005N</w:t>
            </w:r>
          </w:p>
        </w:tc>
        <w:tc>
          <w:tcPr>
            <w:tcW w:w="7745" w:type="dxa"/>
            <w:vAlign w:val="bottom"/>
          </w:tcPr>
          <w:p w14:paraId="10E1002F" w14:textId="68BCE117"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Well Pumps &gt;75hp to &lt;=600hp</w:t>
            </w:r>
          </w:p>
        </w:tc>
      </w:tr>
      <w:tr w:rsidR="00D41D2F" w:rsidRPr="00D41D2F" w14:paraId="0A259FB2" w14:textId="22D0B548" w:rsidTr="00D41D2F">
        <w:trPr>
          <w:trHeight w:val="290"/>
        </w:trPr>
        <w:tc>
          <w:tcPr>
            <w:tcW w:w="1885" w:type="dxa"/>
            <w:shd w:val="clear" w:color="auto" w:fill="auto"/>
            <w:noWrap/>
            <w:vAlign w:val="bottom"/>
            <w:hideMark/>
          </w:tcPr>
          <w:p w14:paraId="3CB86C75"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SWWP005O</w:t>
            </w:r>
          </w:p>
        </w:tc>
        <w:tc>
          <w:tcPr>
            <w:tcW w:w="7745" w:type="dxa"/>
            <w:vAlign w:val="bottom"/>
          </w:tcPr>
          <w:p w14:paraId="3BC740E6" w14:textId="31142645"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Booster Pumps &lt;=75hp</w:t>
            </w:r>
          </w:p>
        </w:tc>
      </w:tr>
      <w:tr w:rsidR="00D41D2F" w:rsidRPr="00D41D2F" w14:paraId="2FE04A00" w14:textId="66119297" w:rsidTr="00D41D2F">
        <w:trPr>
          <w:trHeight w:val="290"/>
        </w:trPr>
        <w:tc>
          <w:tcPr>
            <w:tcW w:w="1885" w:type="dxa"/>
            <w:shd w:val="clear" w:color="auto" w:fill="auto"/>
            <w:noWrap/>
            <w:vAlign w:val="bottom"/>
            <w:hideMark/>
          </w:tcPr>
          <w:p w14:paraId="606C2550" w14:textId="77777777" w:rsidR="00D41D2F" w:rsidRPr="00D41D2F" w:rsidRDefault="00D41D2F" w:rsidP="00D41D2F">
            <w:pPr>
              <w:spacing w:before="0" w:after="0" w:line="240" w:lineRule="auto"/>
              <w:rPr>
                <w:rFonts w:eastAsia="Times New Roman" w:cs="Calibri Light"/>
                <w:sz w:val="20"/>
                <w:szCs w:val="20"/>
              </w:rPr>
            </w:pPr>
            <w:r w:rsidRPr="00D41D2F">
              <w:rPr>
                <w:rFonts w:eastAsia="Times New Roman" w:cs="Calibri Light"/>
                <w:sz w:val="20"/>
                <w:szCs w:val="20"/>
              </w:rPr>
              <w:t>SWWP005P</w:t>
            </w:r>
          </w:p>
        </w:tc>
        <w:tc>
          <w:tcPr>
            <w:tcW w:w="7745" w:type="dxa"/>
            <w:vAlign w:val="bottom"/>
          </w:tcPr>
          <w:p w14:paraId="4B319F4B" w14:textId="6D0CE2A8" w:rsidR="00D41D2F" w:rsidRPr="00D41D2F" w:rsidRDefault="00D41D2F" w:rsidP="00D41D2F">
            <w:pPr>
              <w:spacing w:before="0" w:after="0" w:line="240" w:lineRule="auto"/>
              <w:rPr>
                <w:rFonts w:eastAsia="Times New Roman" w:cs="Calibri Light"/>
                <w:sz w:val="20"/>
                <w:szCs w:val="20"/>
              </w:rPr>
            </w:pPr>
            <w:proofErr w:type="spellStart"/>
            <w:r w:rsidRPr="00D41D2F">
              <w:rPr>
                <w:rFonts w:cs="Calibri Light"/>
                <w:sz w:val="20"/>
                <w:szCs w:val="20"/>
              </w:rPr>
              <w:t>FarmIrrig</w:t>
            </w:r>
            <w:proofErr w:type="spellEnd"/>
            <w:r w:rsidRPr="00D41D2F">
              <w:rPr>
                <w:rFonts w:cs="Calibri Light"/>
                <w:sz w:val="20"/>
                <w:szCs w:val="20"/>
              </w:rPr>
              <w:t>-</w:t>
            </w:r>
            <w:proofErr w:type="spellStart"/>
            <w:r w:rsidRPr="00D41D2F">
              <w:rPr>
                <w:rFonts w:cs="Calibri Light"/>
                <w:sz w:val="20"/>
                <w:szCs w:val="20"/>
              </w:rPr>
              <w:t>IrrifSys</w:t>
            </w:r>
            <w:proofErr w:type="spellEnd"/>
            <w:r w:rsidRPr="00D41D2F">
              <w:rPr>
                <w:rFonts w:cs="Calibri Light"/>
                <w:sz w:val="20"/>
                <w:szCs w:val="20"/>
              </w:rPr>
              <w:t>-Tier 3 Enhanced Specification VFD on Ag Booster Pumps &gt;75hp to &lt;=150hp</w:t>
            </w:r>
          </w:p>
        </w:tc>
      </w:tr>
    </w:tbl>
    <w:p w14:paraId="34D7E7A1" w14:textId="77777777" w:rsidR="00D41D2F" w:rsidRDefault="00D41D2F" w:rsidP="00DE339F"/>
    <w:p w14:paraId="54FD79D6" w14:textId="77777777" w:rsidR="00E70CBD" w:rsidRPr="00171BB8" w:rsidRDefault="00E70CBD" w:rsidP="00462BB6">
      <w:pPr>
        <w:pStyle w:val="eTRMHeading3"/>
      </w:pPr>
      <w:bookmarkStart w:id="12" w:name="_Toc486490849"/>
      <w:bookmarkStart w:id="13" w:name="_Toc486580920"/>
      <w:bookmarkStart w:id="14" w:name="_Toc10806364"/>
      <w:r w:rsidRPr="004B06E3">
        <w:t>Base Case Description</w:t>
      </w:r>
      <w:bookmarkEnd w:id="12"/>
      <w:bookmarkEnd w:id="13"/>
      <w:bookmarkEnd w:id="14"/>
      <w:r w:rsidRPr="00171BB8">
        <w:t xml:space="preserve"> </w:t>
      </w:r>
    </w:p>
    <w:p w14:paraId="7B5D702D" w14:textId="62DA9C23" w:rsidR="000F52CD" w:rsidRPr="000F52CD" w:rsidRDefault="000F52CD" w:rsidP="000F52CD">
      <w:r w:rsidRPr="008A736E">
        <w:rPr>
          <w:szCs w:val="22"/>
        </w:rPr>
        <w:t xml:space="preserve">The </w:t>
      </w:r>
      <w:r w:rsidR="00576156">
        <w:rPr>
          <w:szCs w:val="22"/>
        </w:rPr>
        <w:t>b</w:t>
      </w:r>
      <w:r w:rsidRPr="008A736E">
        <w:rPr>
          <w:szCs w:val="22"/>
        </w:rPr>
        <w:t xml:space="preserve">ase </w:t>
      </w:r>
      <w:r w:rsidR="00576156">
        <w:rPr>
          <w:szCs w:val="22"/>
        </w:rPr>
        <w:t>c</w:t>
      </w:r>
      <w:r w:rsidRPr="008A736E">
        <w:rPr>
          <w:szCs w:val="22"/>
        </w:rPr>
        <w:t xml:space="preserve">ase </w:t>
      </w:r>
      <w:r w:rsidR="00576156">
        <w:rPr>
          <w:szCs w:val="22"/>
        </w:rPr>
        <w:t>for this measure is</w:t>
      </w:r>
      <w:r w:rsidRPr="008A736E">
        <w:rPr>
          <w:szCs w:val="22"/>
        </w:rPr>
        <w:t xml:space="preserve"> a constant speed well or booster agricultural pump controlled to operate by throttling the flow based on irrigation needs.  </w:t>
      </w:r>
    </w:p>
    <w:p w14:paraId="31229FBE" w14:textId="77777777" w:rsidR="002942B0" w:rsidRPr="002942B0" w:rsidRDefault="002942B0" w:rsidP="002942B0"/>
    <w:p w14:paraId="7D9DA4A6" w14:textId="77777777" w:rsidR="007D230B" w:rsidRPr="00171BB8" w:rsidRDefault="007D230B" w:rsidP="004F705B">
      <w:pPr>
        <w:pStyle w:val="eTRMHeading3"/>
      </w:pPr>
      <w:bookmarkStart w:id="15" w:name="_Toc486490850"/>
      <w:bookmarkStart w:id="16" w:name="_Toc486580921"/>
      <w:bookmarkStart w:id="17" w:name="_Toc10806365"/>
      <w:r w:rsidRPr="004B06E3">
        <w:t>Code Requirements</w:t>
      </w:r>
      <w:bookmarkEnd w:id="15"/>
      <w:bookmarkEnd w:id="16"/>
      <w:bookmarkEnd w:id="17"/>
    </w:p>
    <w:p w14:paraId="6D65452B" w14:textId="5F83C321" w:rsidR="001414F6" w:rsidRPr="00C26AF1" w:rsidRDefault="001414F6" w:rsidP="001414F6">
      <w:pPr>
        <w:rPr>
          <w:bCs/>
        </w:rPr>
      </w:pPr>
      <w:r w:rsidRPr="00C26AF1">
        <w:t xml:space="preserve">This measure is not governed by either state or federal codes and standards.  </w:t>
      </w:r>
    </w:p>
    <w:p w14:paraId="7E96141F" w14:textId="5CE1B82E" w:rsidR="00FD2C54" w:rsidRDefault="00FD2C54" w:rsidP="000B19DD">
      <w:pPr>
        <w:pStyle w:val="Caption"/>
      </w:pPr>
      <w:r>
        <w:lastRenderedPageBreak/>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2340"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C77BB" w:rsidRPr="00FB030E" w14:paraId="782F7264" w14:textId="345CFA23" w:rsidTr="00FC77BB">
        <w:trPr>
          <w:cantSplit/>
          <w:trHeight w:val="20"/>
        </w:trPr>
        <w:tc>
          <w:tcPr>
            <w:tcW w:w="4765" w:type="dxa"/>
            <w:shd w:val="clear" w:color="auto" w:fill="auto"/>
          </w:tcPr>
          <w:p w14:paraId="67BA833F" w14:textId="0FA193AE" w:rsidR="00FC77BB" w:rsidRPr="00BD6838" w:rsidRDefault="00FC77BB" w:rsidP="004F705B">
            <w:pPr>
              <w:keepNext/>
              <w:keepLines/>
              <w:spacing w:before="20" w:after="20"/>
              <w:rPr>
                <w:sz w:val="20"/>
                <w:szCs w:val="20"/>
              </w:rPr>
            </w:pPr>
            <w:r w:rsidRPr="00BD6838">
              <w:rPr>
                <w:sz w:val="20"/>
              </w:rPr>
              <w:t xml:space="preserve">CA Appliance Efficiency Regulations – Title 20 </w:t>
            </w:r>
          </w:p>
        </w:tc>
        <w:tc>
          <w:tcPr>
            <w:tcW w:w="2340" w:type="dxa"/>
            <w:shd w:val="clear" w:color="auto" w:fill="auto"/>
          </w:tcPr>
          <w:p w14:paraId="794A0264" w14:textId="791ED4D1" w:rsidR="00FC77BB" w:rsidRPr="00FB030E" w:rsidRDefault="001414F6" w:rsidP="004F705B">
            <w:pPr>
              <w:keepNext/>
              <w:keepLines/>
              <w:spacing w:before="20" w:after="20"/>
              <w:rPr>
                <w:sz w:val="20"/>
                <w:szCs w:val="20"/>
              </w:rPr>
            </w:pPr>
            <w:r>
              <w:rPr>
                <w:sz w:val="20"/>
                <w:szCs w:val="20"/>
              </w:rPr>
              <w:t>None.</w:t>
            </w:r>
          </w:p>
        </w:tc>
        <w:tc>
          <w:tcPr>
            <w:tcW w:w="2430" w:type="dxa"/>
            <w:shd w:val="clear" w:color="auto" w:fill="auto"/>
          </w:tcPr>
          <w:p w14:paraId="274AB5DC" w14:textId="21D90F93" w:rsidR="00FC77BB" w:rsidRPr="00FB030E" w:rsidRDefault="001414F6" w:rsidP="004F705B">
            <w:pPr>
              <w:keepNext/>
              <w:keepLines/>
              <w:spacing w:before="20" w:after="20"/>
              <w:jc w:val="center"/>
              <w:rPr>
                <w:sz w:val="20"/>
                <w:szCs w:val="20"/>
              </w:rPr>
            </w:pPr>
            <w:r>
              <w:rPr>
                <w:sz w:val="20"/>
                <w:szCs w:val="20"/>
              </w:rPr>
              <w:t>n/a</w:t>
            </w:r>
          </w:p>
        </w:tc>
      </w:tr>
      <w:tr w:rsidR="00FC77BB" w:rsidRPr="00FB030E" w14:paraId="1238F946" w14:textId="64CC1E4E" w:rsidTr="00FC77BB">
        <w:trPr>
          <w:cantSplit/>
          <w:trHeight w:val="20"/>
        </w:trPr>
        <w:tc>
          <w:tcPr>
            <w:tcW w:w="4765" w:type="dxa"/>
            <w:shd w:val="clear" w:color="auto" w:fill="auto"/>
          </w:tcPr>
          <w:p w14:paraId="4F444C61" w14:textId="44AB23B9" w:rsidR="00FC77BB" w:rsidRPr="00BD6838" w:rsidRDefault="00FC77BB" w:rsidP="00FD2C54">
            <w:pPr>
              <w:keepNext/>
              <w:keepLines/>
              <w:spacing w:before="20" w:after="20"/>
              <w:rPr>
                <w:sz w:val="20"/>
                <w:szCs w:val="20"/>
              </w:rPr>
            </w:pPr>
            <w:r w:rsidRPr="00BD6838">
              <w:rPr>
                <w:sz w:val="20"/>
              </w:rPr>
              <w:t xml:space="preserve">CA Building Energy Efficiency Standards – Title 24 </w:t>
            </w:r>
          </w:p>
        </w:tc>
        <w:tc>
          <w:tcPr>
            <w:tcW w:w="2340" w:type="dxa"/>
            <w:shd w:val="clear" w:color="auto" w:fill="auto"/>
          </w:tcPr>
          <w:p w14:paraId="0A330E5E" w14:textId="41B01AAC" w:rsidR="00FC77BB" w:rsidRPr="00FB030E" w:rsidRDefault="001414F6" w:rsidP="00BA3D7D">
            <w:pPr>
              <w:keepNext/>
              <w:keepLines/>
              <w:spacing w:before="20" w:after="20"/>
              <w:rPr>
                <w:sz w:val="20"/>
                <w:szCs w:val="20"/>
              </w:rPr>
            </w:pPr>
            <w:r>
              <w:rPr>
                <w:sz w:val="20"/>
                <w:szCs w:val="20"/>
              </w:rPr>
              <w:t>None.</w:t>
            </w:r>
          </w:p>
        </w:tc>
        <w:tc>
          <w:tcPr>
            <w:tcW w:w="2430" w:type="dxa"/>
            <w:shd w:val="clear" w:color="auto" w:fill="auto"/>
          </w:tcPr>
          <w:p w14:paraId="63BAD98E" w14:textId="759AE759" w:rsidR="00FC77BB" w:rsidRPr="00FB030E" w:rsidRDefault="001414F6" w:rsidP="00BA3D7D">
            <w:pPr>
              <w:keepNext/>
              <w:keepLines/>
              <w:spacing w:before="20" w:after="20"/>
              <w:jc w:val="center"/>
              <w:rPr>
                <w:sz w:val="20"/>
                <w:szCs w:val="20"/>
              </w:rPr>
            </w:pPr>
            <w:r>
              <w:rPr>
                <w:sz w:val="20"/>
                <w:szCs w:val="20"/>
              </w:rPr>
              <w:t>n/a</w:t>
            </w:r>
          </w:p>
        </w:tc>
      </w:tr>
      <w:tr w:rsidR="00FC77BB" w:rsidRPr="00FB030E" w14:paraId="23FB50B6" w14:textId="5078B94B" w:rsidTr="00FC77BB">
        <w:trPr>
          <w:cantSplit/>
          <w:trHeight w:val="20"/>
        </w:trPr>
        <w:tc>
          <w:tcPr>
            <w:tcW w:w="4765" w:type="dxa"/>
            <w:shd w:val="clear" w:color="auto" w:fill="auto"/>
          </w:tcPr>
          <w:p w14:paraId="2EBFC05B" w14:textId="77777777" w:rsidR="00FC77BB" w:rsidRPr="00BD6838" w:rsidRDefault="00FC77BB" w:rsidP="00BA3D7D">
            <w:pPr>
              <w:keepNext/>
              <w:keepLines/>
              <w:spacing w:before="20" w:after="20"/>
              <w:rPr>
                <w:sz w:val="20"/>
                <w:szCs w:val="20"/>
              </w:rPr>
            </w:pPr>
            <w:r w:rsidRPr="00BD6838">
              <w:rPr>
                <w:sz w:val="20"/>
              </w:rPr>
              <w:t>Federal Standards</w:t>
            </w:r>
          </w:p>
        </w:tc>
        <w:tc>
          <w:tcPr>
            <w:tcW w:w="2340" w:type="dxa"/>
            <w:shd w:val="clear" w:color="auto" w:fill="auto"/>
          </w:tcPr>
          <w:p w14:paraId="0D43394E" w14:textId="6165C6BE" w:rsidR="00FC77BB" w:rsidRPr="00FB030E" w:rsidRDefault="001414F6" w:rsidP="00BA3D7D">
            <w:pPr>
              <w:keepNext/>
              <w:keepLines/>
              <w:spacing w:before="20" w:after="20"/>
              <w:rPr>
                <w:sz w:val="20"/>
                <w:szCs w:val="20"/>
              </w:rPr>
            </w:pPr>
            <w:r>
              <w:rPr>
                <w:sz w:val="20"/>
                <w:szCs w:val="20"/>
              </w:rPr>
              <w:t>None.</w:t>
            </w:r>
          </w:p>
        </w:tc>
        <w:tc>
          <w:tcPr>
            <w:tcW w:w="2430" w:type="dxa"/>
            <w:shd w:val="clear" w:color="auto" w:fill="auto"/>
          </w:tcPr>
          <w:p w14:paraId="66FA1B6F" w14:textId="742F5875" w:rsidR="00FC77BB" w:rsidRPr="00FB030E" w:rsidRDefault="001414F6" w:rsidP="00BA3D7D">
            <w:pPr>
              <w:keepNext/>
              <w:keepLines/>
              <w:spacing w:before="20" w:after="20"/>
              <w:jc w:val="center"/>
              <w:rPr>
                <w:sz w:val="20"/>
                <w:szCs w:val="20"/>
              </w:rPr>
            </w:pPr>
            <w:r>
              <w:rPr>
                <w:sz w:val="20"/>
                <w:szCs w:val="20"/>
              </w:rPr>
              <w:t>n/a</w:t>
            </w:r>
          </w:p>
        </w:tc>
      </w:tr>
    </w:tbl>
    <w:p w14:paraId="28A93655" w14:textId="77777777" w:rsidR="00FD2C54" w:rsidRDefault="00FD2C54" w:rsidP="0011498C"/>
    <w:p w14:paraId="1EE16D20" w14:textId="77777777" w:rsidR="007D230B" w:rsidRPr="00171BB8" w:rsidRDefault="007D230B" w:rsidP="00462BB6">
      <w:pPr>
        <w:pStyle w:val="eTRMHeading3"/>
      </w:pPr>
      <w:bookmarkStart w:id="18" w:name="_Toc486490851"/>
      <w:bookmarkStart w:id="19" w:name="_Toc486580922"/>
      <w:bookmarkStart w:id="20" w:name="_Toc10806366"/>
      <w:r w:rsidRPr="00A83458">
        <w:t>Normalizing</w:t>
      </w:r>
      <w:r w:rsidRPr="00171BB8">
        <w:t xml:space="preserve"> Unit</w:t>
      </w:r>
      <w:bookmarkEnd w:id="18"/>
      <w:bookmarkEnd w:id="19"/>
      <w:bookmarkEnd w:id="20"/>
    </w:p>
    <w:p w14:paraId="085E9363" w14:textId="54282C82" w:rsidR="007D230B" w:rsidRDefault="00B74A04" w:rsidP="00486585">
      <w:r>
        <w:t>Rated horsepower (hp)</w:t>
      </w:r>
    </w:p>
    <w:p w14:paraId="0115BB45" w14:textId="77777777" w:rsidR="009C31A4" w:rsidRPr="007D230B" w:rsidRDefault="009C31A4" w:rsidP="00486585"/>
    <w:p w14:paraId="2F4904E6" w14:textId="77777777" w:rsidR="007D230B" w:rsidRPr="004B06E3" w:rsidRDefault="007D230B" w:rsidP="00462BB6">
      <w:pPr>
        <w:pStyle w:val="eTRMHeading3"/>
      </w:pPr>
      <w:bookmarkStart w:id="21" w:name="_Toc486490852"/>
      <w:bookmarkStart w:id="22" w:name="_Toc486580923"/>
      <w:bookmarkStart w:id="23" w:name="_Toc10806367"/>
      <w:r w:rsidRPr="004B06E3">
        <w:t>Program Requirements</w:t>
      </w:r>
      <w:bookmarkEnd w:id="21"/>
      <w:bookmarkEnd w:id="22"/>
      <w:bookmarkEnd w:id="23"/>
      <w:r w:rsidRPr="004B06E3">
        <w:t xml:space="preserve"> </w:t>
      </w:r>
    </w:p>
    <w:p w14:paraId="51A9574C" w14:textId="77777777" w:rsidR="00C10F19" w:rsidRDefault="00C10F19" w:rsidP="00C10F19">
      <w:pPr>
        <w:pStyle w:val="eTRMHeading5"/>
        <w:keepNext/>
        <w:keepLines/>
      </w:pPr>
      <w:r>
        <w:t>Measure Implementation Eligibility</w:t>
      </w:r>
    </w:p>
    <w:p w14:paraId="6886EE96" w14:textId="77777777" w:rsidR="00C10F19" w:rsidRDefault="00C10F19" w:rsidP="00C10F19">
      <w:bookmarkStart w:id="24" w:name="_Hlk527543844"/>
      <w:bookmarkStart w:id="25"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4"/>
    </w:p>
    <w:bookmarkEnd w:id="25"/>
    <w:p w14:paraId="1B7BEF46" w14:textId="77777777" w:rsidR="00C10F19" w:rsidRPr="00CC4643" w:rsidRDefault="00C10F19" w:rsidP="00C10F19">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7C9710CA" w14:textId="4013E78C" w:rsidR="00C10F19" w:rsidRDefault="00C10F19" w:rsidP="000B19DD">
      <w:pPr>
        <w:pStyle w:val="Caption"/>
      </w:pPr>
      <w:r>
        <w:t xml:space="preserve">Implementation Eligibility </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C10F19" w14:paraId="1BCE5E5B" w14:textId="77777777" w:rsidTr="00C10F19">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4A6C16B5" w14:textId="77777777" w:rsidR="00C10F19" w:rsidRPr="00830614" w:rsidRDefault="00C10F19" w:rsidP="009B1903">
            <w:pPr>
              <w:spacing w:before="20" w:after="2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FB00B60" w14:textId="77777777" w:rsidR="00C10F19" w:rsidRPr="00830614" w:rsidRDefault="00C10F19" w:rsidP="009B1903">
            <w:pPr>
              <w:spacing w:before="20" w:after="2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FB131C0" w14:textId="77777777" w:rsidR="00C10F19" w:rsidRPr="00830614" w:rsidRDefault="00C10F19" w:rsidP="009B1903">
            <w:pPr>
              <w:spacing w:before="20" w:after="20" w:line="240" w:lineRule="exact"/>
              <w:rPr>
                <w:b/>
                <w:bCs/>
                <w:sz w:val="20"/>
                <w:szCs w:val="20"/>
              </w:rPr>
            </w:pPr>
            <w:r w:rsidRPr="00830614">
              <w:rPr>
                <w:b/>
                <w:bCs/>
                <w:sz w:val="20"/>
                <w:szCs w:val="20"/>
              </w:rPr>
              <w:t>Sector</w:t>
            </w:r>
          </w:p>
        </w:tc>
      </w:tr>
      <w:tr w:rsidR="0041526A" w14:paraId="5A5A20FD" w14:textId="77777777" w:rsidTr="0047015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CDBD0CB" w14:textId="249659F8" w:rsidR="0041526A" w:rsidRPr="00830614" w:rsidRDefault="0041526A" w:rsidP="009B1903">
            <w:pPr>
              <w:spacing w:before="20" w:after="20" w:line="240" w:lineRule="exact"/>
              <w:rPr>
                <w:color w:val="000000"/>
                <w:sz w:val="20"/>
                <w:szCs w:val="20"/>
              </w:rPr>
            </w:pPr>
            <w:r>
              <w:rPr>
                <w:color w:val="000000"/>
                <w:sz w:val="20"/>
                <w:szCs w:val="20"/>
              </w:rPr>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7E5DB6E" w14:textId="77777777" w:rsidR="0041526A" w:rsidRPr="00830614" w:rsidRDefault="0041526A" w:rsidP="009B1903">
            <w:pPr>
              <w:spacing w:before="20" w:after="20" w:line="240" w:lineRule="exact"/>
              <w:rPr>
                <w:color w:val="000000"/>
                <w:sz w:val="20"/>
                <w:szCs w:val="20"/>
              </w:rPr>
            </w:pPr>
            <w:r>
              <w:rPr>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81FE327" w14:textId="77777777" w:rsidR="0041526A" w:rsidRPr="00830614" w:rsidRDefault="0041526A" w:rsidP="009B1903">
            <w:pPr>
              <w:spacing w:before="20" w:after="20" w:line="240" w:lineRule="exact"/>
              <w:rPr>
                <w:color w:val="000000"/>
                <w:sz w:val="20"/>
                <w:szCs w:val="20"/>
              </w:rPr>
            </w:pPr>
            <w:r>
              <w:rPr>
                <w:color w:val="000000"/>
                <w:sz w:val="20"/>
                <w:szCs w:val="20"/>
              </w:rPr>
              <w:t>Ag</w:t>
            </w:r>
          </w:p>
        </w:tc>
      </w:tr>
      <w:tr w:rsidR="0041526A" w14:paraId="367592D9" w14:textId="77777777" w:rsidTr="0047015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EB0713C" w14:textId="05AC073F" w:rsidR="0041526A" w:rsidRDefault="0041526A" w:rsidP="009B1903">
            <w:pPr>
              <w:spacing w:before="20" w:after="20" w:line="240" w:lineRule="exact"/>
              <w:rPr>
                <w:color w:val="000000"/>
                <w:sz w:val="20"/>
                <w:szCs w:val="20"/>
              </w:rPr>
            </w:pPr>
            <w:r>
              <w:rPr>
                <w:color w:val="000000"/>
                <w:sz w:val="20"/>
                <w:szCs w:val="20"/>
              </w:rPr>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1F4F724" w14:textId="77777777" w:rsidR="0041526A" w:rsidRDefault="0041526A" w:rsidP="009B1903">
            <w:pPr>
              <w:spacing w:before="20" w:after="20" w:line="240" w:lineRule="exact"/>
              <w:rPr>
                <w:color w:val="000000"/>
                <w:sz w:val="20"/>
                <w:szCs w:val="20"/>
              </w:rPr>
            </w:pPr>
            <w:r>
              <w:rPr>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BA12F2" w14:textId="77777777" w:rsidR="0041526A" w:rsidRDefault="0041526A" w:rsidP="009B1903">
            <w:pPr>
              <w:spacing w:before="20" w:after="20" w:line="240" w:lineRule="exact"/>
              <w:rPr>
                <w:color w:val="000000"/>
                <w:sz w:val="20"/>
                <w:szCs w:val="20"/>
              </w:rPr>
            </w:pPr>
            <w:r>
              <w:rPr>
                <w:color w:val="000000"/>
                <w:sz w:val="20"/>
                <w:szCs w:val="20"/>
              </w:rPr>
              <w:t>Ag</w:t>
            </w:r>
          </w:p>
        </w:tc>
      </w:tr>
      <w:tr w:rsidR="0041526A" w14:paraId="24363251" w14:textId="77777777" w:rsidTr="0047015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78F6CDE" w14:textId="6AA04A1C" w:rsidR="0041526A" w:rsidRPr="00830614" w:rsidRDefault="0041526A" w:rsidP="009B1903">
            <w:pPr>
              <w:spacing w:before="20" w:after="20" w:line="240" w:lineRule="exact"/>
              <w:rPr>
                <w:color w:val="000000"/>
                <w:sz w:val="20"/>
                <w:szCs w:val="20"/>
              </w:rPr>
            </w:pPr>
            <w:r>
              <w:rPr>
                <w:color w:val="000000"/>
                <w:sz w:val="20"/>
                <w:szCs w:val="20"/>
              </w:rPr>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45058EA" w14:textId="77777777" w:rsidR="0041526A" w:rsidRPr="00830614" w:rsidRDefault="0041526A" w:rsidP="009B1903">
            <w:pPr>
              <w:spacing w:before="20" w:after="20" w:line="240" w:lineRule="exact"/>
              <w:rPr>
                <w:color w:val="000000"/>
                <w:sz w:val="20"/>
                <w:szCs w:val="20"/>
              </w:rPr>
            </w:pPr>
            <w:r>
              <w:rPr>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96FE1CD" w14:textId="77777777" w:rsidR="0041526A" w:rsidRPr="00830614" w:rsidRDefault="0041526A" w:rsidP="009B1903">
            <w:pPr>
              <w:spacing w:before="20" w:after="20" w:line="240" w:lineRule="exact"/>
              <w:rPr>
                <w:color w:val="000000"/>
                <w:sz w:val="20"/>
                <w:szCs w:val="20"/>
              </w:rPr>
            </w:pPr>
            <w:r>
              <w:rPr>
                <w:color w:val="000000"/>
                <w:sz w:val="20"/>
                <w:szCs w:val="20"/>
              </w:rPr>
              <w:t>Com</w:t>
            </w:r>
          </w:p>
        </w:tc>
      </w:tr>
      <w:tr w:rsidR="0041526A" w14:paraId="176EAB36" w14:textId="77777777" w:rsidTr="0047015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E3513C8" w14:textId="3EC760A3" w:rsidR="0041526A" w:rsidRDefault="0041526A" w:rsidP="009B1903">
            <w:pPr>
              <w:spacing w:before="20" w:after="20" w:line="240" w:lineRule="exact"/>
              <w:rPr>
                <w:color w:val="000000"/>
                <w:sz w:val="20"/>
                <w:szCs w:val="20"/>
              </w:rPr>
            </w:pPr>
            <w:r>
              <w:rPr>
                <w:color w:val="000000"/>
                <w:sz w:val="20"/>
                <w:szCs w:val="20"/>
              </w:rPr>
              <w:t>New construction</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44CEFF" w14:textId="77777777" w:rsidR="0041526A" w:rsidRDefault="0041526A" w:rsidP="009B1903">
            <w:pPr>
              <w:spacing w:before="20" w:after="20" w:line="240" w:lineRule="exact"/>
              <w:rPr>
                <w:color w:val="000000"/>
                <w:sz w:val="20"/>
                <w:szCs w:val="20"/>
              </w:rPr>
            </w:pPr>
            <w:r>
              <w:rPr>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C609B2" w14:textId="77777777" w:rsidR="0041526A" w:rsidRDefault="0041526A" w:rsidP="009B1903">
            <w:pPr>
              <w:spacing w:before="20" w:after="20" w:line="240" w:lineRule="exact"/>
              <w:rPr>
                <w:color w:val="000000"/>
                <w:sz w:val="20"/>
                <w:szCs w:val="20"/>
              </w:rPr>
            </w:pPr>
            <w:r>
              <w:rPr>
                <w:color w:val="000000"/>
                <w:sz w:val="20"/>
                <w:szCs w:val="20"/>
              </w:rPr>
              <w:t>Com</w:t>
            </w:r>
          </w:p>
        </w:tc>
      </w:tr>
      <w:tr w:rsidR="0041526A" w14:paraId="4ED8ADB7" w14:textId="77777777" w:rsidTr="0041526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4248FBC" w14:textId="6413BBB4" w:rsidR="0041526A" w:rsidRPr="00830614" w:rsidRDefault="0041526A" w:rsidP="009B1903">
            <w:pPr>
              <w:spacing w:before="20" w:after="20" w:line="240" w:lineRule="exact"/>
              <w:rPr>
                <w:color w:val="000000"/>
                <w:sz w:val="20"/>
                <w:szCs w:val="20"/>
              </w:rPr>
            </w:pPr>
            <w:r>
              <w:rPr>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9AAFF0F" w14:textId="77777777" w:rsidR="0041526A" w:rsidRPr="00830614" w:rsidRDefault="0041526A" w:rsidP="009B1903">
            <w:pPr>
              <w:spacing w:before="20" w:after="20" w:line="240" w:lineRule="exact"/>
              <w:rPr>
                <w:color w:val="000000"/>
                <w:sz w:val="20"/>
                <w:szCs w:val="20"/>
              </w:rPr>
            </w:pPr>
            <w:r>
              <w:rPr>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0079B2B" w14:textId="77777777" w:rsidR="0041526A" w:rsidRPr="00830614" w:rsidRDefault="0041526A" w:rsidP="009B1903">
            <w:pPr>
              <w:spacing w:before="20" w:after="20" w:line="240" w:lineRule="exact"/>
              <w:rPr>
                <w:color w:val="000000"/>
                <w:sz w:val="20"/>
                <w:szCs w:val="20"/>
              </w:rPr>
            </w:pPr>
            <w:r>
              <w:rPr>
                <w:color w:val="000000"/>
                <w:sz w:val="20"/>
                <w:szCs w:val="20"/>
              </w:rPr>
              <w:t>Ag</w:t>
            </w:r>
          </w:p>
        </w:tc>
      </w:tr>
      <w:tr w:rsidR="0041526A" w14:paraId="668818DD" w14:textId="77777777" w:rsidTr="0041526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8D314D" w14:textId="0F76F48D" w:rsidR="0041526A" w:rsidRDefault="0041526A" w:rsidP="009B1903">
            <w:pPr>
              <w:spacing w:before="20" w:after="20" w:line="240" w:lineRule="exact"/>
              <w:rPr>
                <w:color w:val="000000"/>
                <w:sz w:val="20"/>
                <w:szCs w:val="20"/>
              </w:rPr>
            </w:pPr>
            <w:r>
              <w:rPr>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A93F6C" w14:textId="77777777" w:rsidR="0041526A" w:rsidRDefault="0041526A" w:rsidP="009B1903">
            <w:pPr>
              <w:spacing w:before="20" w:after="20" w:line="240" w:lineRule="exact"/>
              <w:rPr>
                <w:color w:val="000000"/>
                <w:sz w:val="20"/>
                <w:szCs w:val="20"/>
              </w:rPr>
            </w:pPr>
            <w:r>
              <w:rPr>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F2F404" w14:textId="77777777" w:rsidR="0041526A" w:rsidRDefault="0041526A" w:rsidP="009B1903">
            <w:pPr>
              <w:spacing w:before="20" w:after="20" w:line="240" w:lineRule="exact"/>
              <w:rPr>
                <w:color w:val="000000"/>
                <w:sz w:val="20"/>
                <w:szCs w:val="20"/>
              </w:rPr>
            </w:pPr>
            <w:r>
              <w:rPr>
                <w:color w:val="000000"/>
                <w:sz w:val="20"/>
                <w:szCs w:val="20"/>
              </w:rPr>
              <w:t>Ag</w:t>
            </w:r>
          </w:p>
        </w:tc>
      </w:tr>
      <w:tr w:rsidR="0041526A" w14:paraId="38E02AAE" w14:textId="77777777" w:rsidTr="0041526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E2EC735" w14:textId="0044E7C1" w:rsidR="0041526A" w:rsidRPr="00830614" w:rsidRDefault="0041526A" w:rsidP="009B1903">
            <w:pPr>
              <w:spacing w:before="20" w:after="20" w:line="240" w:lineRule="exact"/>
              <w:rPr>
                <w:color w:val="000000"/>
                <w:sz w:val="20"/>
                <w:szCs w:val="20"/>
              </w:rPr>
            </w:pPr>
            <w:r>
              <w:rPr>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39CE577" w14:textId="77777777" w:rsidR="0041526A" w:rsidRPr="00830614" w:rsidRDefault="0041526A" w:rsidP="009B1903">
            <w:pPr>
              <w:spacing w:before="20" w:after="20" w:line="240" w:lineRule="exact"/>
              <w:rPr>
                <w:color w:val="000000"/>
                <w:sz w:val="20"/>
                <w:szCs w:val="20"/>
              </w:rPr>
            </w:pPr>
            <w:r>
              <w:rPr>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51BDC53" w14:textId="77777777" w:rsidR="0041526A" w:rsidRPr="00830614" w:rsidRDefault="0041526A" w:rsidP="009B1903">
            <w:pPr>
              <w:spacing w:before="20" w:after="20" w:line="240" w:lineRule="exact"/>
              <w:rPr>
                <w:color w:val="000000"/>
                <w:sz w:val="20"/>
                <w:szCs w:val="20"/>
              </w:rPr>
            </w:pPr>
            <w:r>
              <w:rPr>
                <w:color w:val="000000"/>
                <w:sz w:val="20"/>
                <w:szCs w:val="20"/>
              </w:rPr>
              <w:t>Com</w:t>
            </w:r>
          </w:p>
        </w:tc>
      </w:tr>
      <w:tr w:rsidR="0041526A" w14:paraId="6AFA8C58" w14:textId="77777777" w:rsidTr="0041526A">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AD2167A" w14:textId="121F2FF3" w:rsidR="0041526A" w:rsidRDefault="0041526A" w:rsidP="009B1903">
            <w:pPr>
              <w:spacing w:before="20" w:after="20" w:line="240" w:lineRule="exact"/>
              <w:rPr>
                <w:color w:val="000000"/>
                <w:sz w:val="20"/>
                <w:szCs w:val="20"/>
              </w:rPr>
            </w:pPr>
            <w:r>
              <w:rPr>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8B501D0" w14:textId="77777777" w:rsidR="0041526A" w:rsidRDefault="0041526A" w:rsidP="009B1903">
            <w:pPr>
              <w:spacing w:before="20" w:after="20" w:line="240" w:lineRule="exact"/>
              <w:rPr>
                <w:color w:val="000000"/>
                <w:sz w:val="20"/>
                <w:szCs w:val="20"/>
              </w:rPr>
            </w:pPr>
            <w:r>
              <w:rPr>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3136AF2" w14:textId="77777777" w:rsidR="0041526A" w:rsidRDefault="0041526A" w:rsidP="009B1903">
            <w:pPr>
              <w:spacing w:before="20" w:after="20" w:line="240" w:lineRule="exact"/>
              <w:rPr>
                <w:color w:val="000000"/>
                <w:sz w:val="20"/>
                <w:szCs w:val="20"/>
              </w:rPr>
            </w:pPr>
            <w:r>
              <w:rPr>
                <w:color w:val="000000"/>
                <w:sz w:val="20"/>
                <w:szCs w:val="20"/>
              </w:rPr>
              <w:t>Com</w:t>
            </w:r>
          </w:p>
        </w:tc>
      </w:tr>
    </w:tbl>
    <w:p w14:paraId="3CC3CC2B" w14:textId="77777777" w:rsidR="00C10F19" w:rsidRDefault="00C10F19" w:rsidP="00C10F19"/>
    <w:p w14:paraId="50711562" w14:textId="5A63ABD4" w:rsidR="00AA46AF" w:rsidRDefault="00196649" w:rsidP="00154391">
      <w:pPr>
        <w:pStyle w:val="eTRMHeading5"/>
      </w:pPr>
      <w:r>
        <w:t>Eligible Products</w:t>
      </w:r>
    </w:p>
    <w:p w14:paraId="36CEFFE5" w14:textId="06C200E0" w:rsidR="003A52F3" w:rsidRPr="009B1903" w:rsidRDefault="0086708E" w:rsidP="003A52F3">
      <w:r>
        <w:t>The c</w:t>
      </w:r>
      <w:r w:rsidR="001A210E" w:rsidRPr="001A210E">
        <w:t xml:space="preserve">ustomer must </w:t>
      </w:r>
      <w:r w:rsidR="003A52F3">
        <w:t>install a VFD system on</w:t>
      </w:r>
      <w:r w:rsidR="001A210E" w:rsidRPr="001A210E">
        <w:t xml:space="preserve"> an existing electrically operated agricultural booster or well </w:t>
      </w:r>
      <w:r w:rsidR="001A210E" w:rsidRPr="009B1903">
        <w:t>pump</w:t>
      </w:r>
      <w:r w:rsidR="003A52F3" w:rsidRPr="009B1903">
        <w:t xml:space="preserve"> motor</w:t>
      </w:r>
      <w:r w:rsidR="001A210E" w:rsidRPr="009B1903">
        <w:t xml:space="preserve"> installed on site</w:t>
      </w:r>
      <w:r w:rsidR="009B1903">
        <w:t xml:space="preserve"> </w:t>
      </w:r>
      <w:r w:rsidR="00D63771" w:rsidRPr="009B1903">
        <w:t xml:space="preserve">or </w:t>
      </w:r>
      <w:r w:rsidR="009B1903" w:rsidRPr="009B1903">
        <w:rPr>
          <w:szCs w:val="22"/>
        </w:rPr>
        <w:t xml:space="preserve">install </w:t>
      </w:r>
      <w:r w:rsidR="00D63771" w:rsidRPr="009B1903">
        <w:rPr>
          <w:szCs w:val="22"/>
        </w:rPr>
        <w:t>VFDs on new pumps or existing pumps where the horsepower of the serving motor is increased (added load).</w:t>
      </w:r>
      <w:r w:rsidR="003A52F3" w:rsidRPr="009B1903">
        <w:t xml:space="preserve"> </w:t>
      </w:r>
    </w:p>
    <w:p w14:paraId="17024593" w14:textId="39225112" w:rsidR="00B524E4" w:rsidRDefault="00B524E4" w:rsidP="003A52F3">
      <w:r>
        <w:t>The customer must install a VFD system on the pump motor.</w:t>
      </w:r>
    </w:p>
    <w:p w14:paraId="0972644D" w14:textId="3DA20EEE" w:rsidR="003A52F3" w:rsidRPr="004E2BFD" w:rsidRDefault="003A52F3" w:rsidP="00AD30E6">
      <w:r>
        <w:lastRenderedPageBreak/>
        <w:t>The p</w:t>
      </w:r>
      <w:r w:rsidRPr="001A210E">
        <w:t xml:space="preserve">umping application must </w:t>
      </w:r>
      <w:r w:rsidR="00C10F19">
        <w:t>be able to vary</w:t>
      </w:r>
      <w:r w:rsidRPr="001A210E">
        <w:t xml:space="preserve"> the </w:t>
      </w:r>
      <w:r w:rsidR="00B524E4">
        <w:t>flow/pressure</w:t>
      </w:r>
      <w:r w:rsidRPr="001A210E">
        <w:t xml:space="preserve"> </w:t>
      </w:r>
      <w:r w:rsidR="00B524E4">
        <w:t xml:space="preserve">of the pump </w:t>
      </w:r>
      <w:r w:rsidRPr="001A210E">
        <w:t>(i.e. throttle valve, control valve, etc.)</w:t>
      </w:r>
      <w:r>
        <w:t xml:space="preserve"> and the</w:t>
      </w:r>
      <w:r w:rsidRPr="003A52F3">
        <w:t xml:space="preserve"> </w:t>
      </w:r>
      <w:r w:rsidRPr="002E44EE">
        <w:t>VFD must be used to adjust operation of pump to meet flow/pressure requirements</w:t>
      </w:r>
      <w:r w:rsidR="00B524E4">
        <w:t xml:space="preserve">, </w:t>
      </w:r>
      <w:r w:rsidRPr="002E44EE">
        <w:t>not simply</w:t>
      </w:r>
      <w:r>
        <w:t xml:space="preserve"> </w:t>
      </w:r>
      <w:r w:rsidRPr="004E2BFD">
        <w:t>as a soft starter, or for cavitation control.</w:t>
      </w:r>
      <w:r>
        <w:t xml:space="preserve">  </w:t>
      </w:r>
    </w:p>
    <w:p w14:paraId="39B76D76" w14:textId="3E3BCC3C" w:rsidR="003A52F3" w:rsidRPr="005918EA" w:rsidRDefault="003A52F3" w:rsidP="003A52F3">
      <w:r>
        <w:t xml:space="preserve">The </w:t>
      </w:r>
      <w:r w:rsidRPr="005918EA">
        <w:t>VFD must be installed on a pressurized irrigation system (no flood irrigation).</w:t>
      </w:r>
    </w:p>
    <w:p w14:paraId="4E42D1D5" w14:textId="7645FF11" w:rsidR="003A52F3" w:rsidRPr="005918EA" w:rsidRDefault="00AD30E6" w:rsidP="00AD30E6">
      <w:r>
        <w:t>The pumping application must operate for a m</w:t>
      </w:r>
      <w:r w:rsidR="003A52F3" w:rsidRPr="005918EA">
        <w:t>inimum of 1,000 hours per year.</w:t>
      </w:r>
    </w:p>
    <w:p w14:paraId="1C6E6FA2" w14:textId="25C2D464" w:rsidR="001A210E" w:rsidRPr="001A210E" w:rsidRDefault="00D00405" w:rsidP="009B1903">
      <w:r w:rsidRPr="003B651F">
        <w:rPr>
          <w:iCs/>
        </w:rPr>
        <w:t xml:space="preserve">Tier 3 </w:t>
      </w:r>
      <w:r w:rsidR="001A210E" w:rsidRPr="003B651F">
        <w:rPr>
          <w:iCs/>
        </w:rPr>
        <w:t>installed VFD system</w:t>
      </w:r>
      <w:r w:rsidR="00757138" w:rsidRPr="003B651F">
        <w:rPr>
          <w:iCs/>
        </w:rPr>
        <w:t>s</w:t>
      </w:r>
      <w:r w:rsidR="001A210E" w:rsidRPr="001A210E">
        <w:t xml:space="preserve"> must conform to the specifications outlined in the</w:t>
      </w:r>
      <w:r w:rsidR="00082018">
        <w:t xml:space="preserve"> </w:t>
      </w:r>
      <w:r w:rsidR="00082018" w:rsidRPr="000571CA">
        <w:rPr>
          <w:i/>
        </w:rPr>
        <w:t>Variable Frequency Drive (</w:t>
      </w:r>
      <w:r w:rsidR="001A210E" w:rsidRPr="000571CA">
        <w:rPr>
          <w:i/>
        </w:rPr>
        <w:t>VFD</w:t>
      </w:r>
      <w:r w:rsidR="00082018" w:rsidRPr="000571CA">
        <w:rPr>
          <w:i/>
        </w:rPr>
        <w:t>)</w:t>
      </w:r>
      <w:r w:rsidR="001A210E" w:rsidRPr="000571CA">
        <w:rPr>
          <w:i/>
        </w:rPr>
        <w:t xml:space="preserve"> Specifications</w:t>
      </w:r>
      <w:r w:rsidR="00082018" w:rsidRPr="000571CA">
        <w:rPr>
          <w:i/>
        </w:rPr>
        <w:t xml:space="preserve"> for Agricultural Irrigation Pumping</w:t>
      </w:r>
      <w:r w:rsidR="00AD30E6">
        <w:t>.</w:t>
      </w:r>
      <w:r w:rsidR="00745C64" w:rsidRPr="00AD30E6">
        <w:rPr>
          <w:vertAlign w:val="superscript"/>
        </w:rPr>
        <w:footnoteReference w:id="3"/>
      </w:r>
      <w:r w:rsidR="001A210E">
        <w:t xml:space="preserve"> </w:t>
      </w:r>
    </w:p>
    <w:p w14:paraId="67D6CACA" w14:textId="4CE00446" w:rsidR="00517279" w:rsidRDefault="00517279" w:rsidP="009B1903">
      <w:r w:rsidRPr="003B651F">
        <w:rPr>
          <w:iCs/>
        </w:rPr>
        <w:t>Tier 2 installed VFD system</w:t>
      </w:r>
      <w:r w:rsidR="00757138" w:rsidRPr="003B651F">
        <w:rPr>
          <w:iCs/>
        </w:rPr>
        <w:t>s</w:t>
      </w:r>
      <w:r w:rsidRPr="003B651F">
        <w:t xml:space="preserve"> </w:t>
      </w:r>
      <w:r w:rsidR="00757138" w:rsidRPr="003B651F">
        <w:rPr>
          <w:color w:val="000000"/>
        </w:rPr>
        <w:t>must conform to the requirements outlined in the</w:t>
      </w:r>
      <w:r w:rsidR="00757138" w:rsidRPr="003B651F">
        <w:t xml:space="preserve"> </w:t>
      </w:r>
      <w:r w:rsidR="003B651F" w:rsidRPr="003B651F">
        <w:rPr>
          <w:i/>
          <w:iCs/>
        </w:rPr>
        <w:t>Variable Frequency drive (VFD) Specifications for On-Farm Pumps,</w:t>
      </w:r>
      <w:r w:rsidR="003B651F" w:rsidRPr="003B651F">
        <w:rPr>
          <w:rStyle w:val="FootnoteReference"/>
        </w:rPr>
        <w:footnoteReference w:id="4"/>
      </w:r>
      <w:r w:rsidR="00757138" w:rsidRPr="003B651F">
        <w:t xml:space="preserve"> </w:t>
      </w:r>
      <w:r w:rsidR="00757138" w:rsidRPr="003B651F">
        <w:rPr>
          <w:i/>
          <w:iCs/>
        </w:rPr>
        <w:t>except</w:t>
      </w:r>
      <w:r w:rsidR="00757138" w:rsidRPr="003B651F">
        <w:t xml:space="preserve"> for the requirement specified in item 3.E.7c in section</w:t>
      </w:r>
      <w:r w:rsidR="00757138" w:rsidRPr="009B1903">
        <w:t xml:space="preserve"> “3.E.7 Cooling” of the Design Specifications.</w:t>
      </w:r>
    </w:p>
    <w:p w14:paraId="15AF33F2" w14:textId="2A96DB07" w:rsidR="001A210E" w:rsidRPr="005E3D47" w:rsidRDefault="001A210E" w:rsidP="00AD30E6">
      <w:r w:rsidRPr="002E44EE">
        <w:t xml:space="preserve">The customer must supply an invoice or other supporting documentation that includes </w:t>
      </w:r>
      <w:r w:rsidR="005E3D47">
        <w:t xml:space="preserve">the </w:t>
      </w:r>
      <w:r w:rsidRPr="005E3D47">
        <w:t>quantity of VFDs, type (well and/or booster), horsepower rating of motor(s) and VFD(s), area map showing physical location of pumps, and the manufacturer make/models of the VFDs installed.</w:t>
      </w:r>
    </w:p>
    <w:p w14:paraId="1D62512A" w14:textId="77777777" w:rsidR="002942B0" w:rsidRDefault="002942B0"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0EE95BF6" w14:textId="2A1FDFA2" w:rsidR="0086708E" w:rsidRPr="00F219C3" w:rsidRDefault="0086708E" w:rsidP="0086708E">
      <w:r w:rsidRPr="00FF7A0E">
        <w:t xml:space="preserve">This measure is applicable to agricultural pumps that rely on electric pumping to </w:t>
      </w:r>
      <w:r>
        <w:t>irrigate</w:t>
      </w:r>
      <w:r w:rsidRPr="00FF7A0E">
        <w:t xml:space="preserve"> crops</w:t>
      </w:r>
      <w:r>
        <w:t>.</w:t>
      </w:r>
      <w:r w:rsidRPr="00FF7A0E">
        <w:t xml:space="preserve">  </w:t>
      </w:r>
    </w:p>
    <w:p w14:paraId="7AA25502" w14:textId="77777777" w:rsidR="00571D95" w:rsidRPr="00571D95" w:rsidRDefault="00571D95" w:rsidP="00571D95"/>
    <w:p w14:paraId="1A3705F3" w14:textId="4BC0985D" w:rsidR="007B6A74" w:rsidRPr="004B06E3" w:rsidRDefault="00196649" w:rsidP="00154391">
      <w:pPr>
        <w:pStyle w:val="eTRMHeading5"/>
      </w:pPr>
      <w:r>
        <w:t>Eligible Climate Zones</w:t>
      </w:r>
    </w:p>
    <w:p w14:paraId="4A9FD22A" w14:textId="17F3640D" w:rsidR="004B6780" w:rsidRDefault="004B6780" w:rsidP="004B6780">
      <w:r>
        <w:t xml:space="preserve">This measure is applicable </w:t>
      </w:r>
      <w:r w:rsidR="00C10F19">
        <w:t xml:space="preserve">in all </w:t>
      </w:r>
      <w:r>
        <w:t>California climate zones.</w:t>
      </w:r>
    </w:p>
    <w:p w14:paraId="34FF761D" w14:textId="77777777" w:rsidR="006C41AD" w:rsidRPr="004B06E3" w:rsidRDefault="006C41AD" w:rsidP="004B06E3"/>
    <w:p w14:paraId="47630D60" w14:textId="77777777" w:rsidR="007D230B" w:rsidRPr="004B06E3" w:rsidRDefault="007D230B" w:rsidP="00462BB6">
      <w:pPr>
        <w:pStyle w:val="eTRMHeading3"/>
      </w:pPr>
      <w:bookmarkStart w:id="26" w:name="_Toc486490853"/>
      <w:bookmarkStart w:id="27" w:name="_Toc486580924"/>
      <w:bookmarkStart w:id="28" w:name="_Toc10806368"/>
      <w:r w:rsidRPr="004B06E3">
        <w:t>Program Exclusions</w:t>
      </w:r>
      <w:bookmarkEnd w:id="26"/>
      <w:bookmarkEnd w:id="27"/>
      <w:bookmarkEnd w:id="28"/>
      <w:r w:rsidRPr="004B06E3">
        <w:t xml:space="preserve"> </w:t>
      </w:r>
    </w:p>
    <w:p w14:paraId="239FE67F" w14:textId="22E52E1C" w:rsidR="00B269C0" w:rsidRPr="00016998" w:rsidRDefault="00C10F19" w:rsidP="005E3D47">
      <w:r>
        <w:rPr>
          <w:color w:val="000000"/>
          <w:szCs w:val="22"/>
        </w:rPr>
        <w:t>T</w:t>
      </w:r>
      <w:r w:rsidR="00B269C0" w:rsidRPr="002E44EE">
        <w:rPr>
          <w:color w:val="000000"/>
          <w:szCs w:val="22"/>
        </w:rPr>
        <w:t xml:space="preserve">he VFD must </w:t>
      </w:r>
      <w:r w:rsidR="005E3D47" w:rsidRPr="00294B72">
        <w:rPr>
          <w:i/>
          <w:iCs/>
          <w:color w:val="000000"/>
          <w:szCs w:val="22"/>
        </w:rPr>
        <w:t>not</w:t>
      </w:r>
      <w:r w:rsidR="00B269C0" w:rsidRPr="002E44EE">
        <w:rPr>
          <w:color w:val="000000"/>
          <w:szCs w:val="22"/>
        </w:rPr>
        <w:t xml:space="preserve"> be used for the following pumping applications:</w:t>
      </w:r>
    </w:p>
    <w:p w14:paraId="485A4CD6" w14:textId="77777777" w:rsidR="00B269C0" w:rsidRPr="002E44EE" w:rsidRDefault="00B269C0" w:rsidP="00DE5A47">
      <w:pPr>
        <w:pStyle w:val="eTRMBulletedText"/>
        <w:numPr>
          <w:ilvl w:val="0"/>
          <w:numId w:val="36"/>
        </w:numPr>
      </w:pPr>
      <w:r w:rsidRPr="002E44EE">
        <w:t>A well pump used to fill a reservoir</w:t>
      </w:r>
    </w:p>
    <w:p w14:paraId="4B427825" w14:textId="77777777" w:rsidR="00B269C0" w:rsidRPr="002E44EE" w:rsidRDefault="00B269C0" w:rsidP="00DE5A47">
      <w:pPr>
        <w:pStyle w:val="eTRMBulletedText"/>
        <w:numPr>
          <w:ilvl w:val="0"/>
          <w:numId w:val="36"/>
        </w:numPr>
      </w:pPr>
      <w:r w:rsidRPr="002E44EE">
        <w:t>A well pump discharging directly into a canal</w:t>
      </w:r>
    </w:p>
    <w:p w14:paraId="50080B71" w14:textId="77777777" w:rsidR="00B269C0" w:rsidRPr="002E44EE" w:rsidRDefault="00B269C0" w:rsidP="00DE5A47">
      <w:pPr>
        <w:pStyle w:val="eTRMBulletedText"/>
        <w:numPr>
          <w:ilvl w:val="0"/>
          <w:numId w:val="36"/>
        </w:numPr>
      </w:pPr>
      <w:r w:rsidRPr="002E44EE">
        <w:t>A mixed flow pump (high volume, low head)</w:t>
      </w:r>
    </w:p>
    <w:p w14:paraId="76A9A64F" w14:textId="77777777" w:rsidR="007B6A74" w:rsidRPr="004B06E3" w:rsidRDefault="007B6A74" w:rsidP="004B06E3"/>
    <w:p w14:paraId="655E299F" w14:textId="77777777" w:rsidR="007D230B" w:rsidRPr="004B06E3" w:rsidRDefault="007D230B" w:rsidP="00462BB6">
      <w:pPr>
        <w:pStyle w:val="eTRMHeading3"/>
      </w:pPr>
      <w:bookmarkStart w:id="29" w:name="_Toc486490854"/>
      <w:bookmarkStart w:id="30" w:name="_Toc486580925"/>
      <w:bookmarkStart w:id="31" w:name="_Toc10806369"/>
      <w:r w:rsidRPr="004B06E3">
        <w:t>Data Collection Requirements</w:t>
      </w:r>
      <w:bookmarkEnd w:id="29"/>
      <w:bookmarkEnd w:id="30"/>
      <w:bookmarkEnd w:id="31"/>
      <w:r w:rsidRPr="004B06E3">
        <w:t xml:space="preserve"> </w:t>
      </w:r>
    </w:p>
    <w:p w14:paraId="49298D4E" w14:textId="42FDB9B8" w:rsidR="00750840" w:rsidRDefault="00C10F19" w:rsidP="004B06E3">
      <w:r>
        <w:t>Data collection requirements are to be determined.</w:t>
      </w:r>
    </w:p>
    <w:p w14:paraId="1ACAAD13" w14:textId="77777777" w:rsidR="00C10F19" w:rsidRPr="004B06E3" w:rsidRDefault="00C10F19" w:rsidP="004B06E3"/>
    <w:p w14:paraId="4891FCAB" w14:textId="77777777" w:rsidR="007D230B" w:rsidRPr="004B06E3" w:rsidRDefault="007D230B" w:rsidP="00462BB6">
      <w:pPr>
        <w:pStyle w:val="eTRMHeading3"/>
      </w:pPr>
      <w:bookmarkStart w:id="32" w:name="_Toc486490855"/>
      <w:bookmarkStart w:id="33" w:name="_Toc486580926"/>
      <w:bookmarkStart w:id="34" w:name="_Toc10806370"/>
      <w:r w:rsidRPr="004B06E3">
        <w:lastRenderedPageBreak/>
        <w:t>Use Category</w:t>
      </w:r>
      <w:bookmarkEnd w:id="32"/>
      <w:bookmarkEnd w:id="33"/>
      <w:bookmarkEnd w:id="34"/>
    </w:p>
    <w:p w14:paraId="13382FF9" w14:textId="5E192F0C" w:rsidR="004142EF" w:rsidRDefault="00C10F19" w:rsidP="004B06E3">
      <w:r>
        <w:t>Water pumping &amp; irrigation</w:t>
      </w:r>
    </w:p>
    <w:p w14:paraId="072ED5AD" w14:textId="77777777" w:rsidR="00C10F19" w:rsidRPr="004B06E3" w:rsidRDefault="00C10F19" w:rsidP="004B06E3"/>
    <w:p w14:paraId="4B62D367" w14:textId="370A839E" w:rsidR="007D230B" w:rsidRPr="004B06E3" w:rsidRDefault="007D230B" w:rsidP="00462BB6">
      <w:pPr>
        <w:pStyle w:val="eTRMHeading3"/>
      </w:pPr>
      <w:bookmarkStart w:id="35" w:name="_Toc486490857"/>
      <w:bookmarkStart w:id="36" w:name="_Toc486580928"/>
      <w:bookmarkStart w:id="37" w:name="_Toc10806371"/>
      <w:r w:rsidRPr="004B06E3">
        <w:t>Electric Savings</w:t>
      </w:r>
      <w:r w:rsidR="00245AFF" w:rsidRPr="004B06E3">
        <w:t xml:space="preserve"> (</w:t>
      </w:r>
      <w:r w:rsidR="00E14349" w:rsidRPr="00C10F19">
        <w:rPr>
          <w:caps w:val="0"/>
        </w:rPr>
        <w:t>k</w:t>
      </w:r>
      <w:r w:rsidR="00245AFF" w:rsidRPr="00C10F19">
        <w:rPr>
          <w:caps w:val="0"/>
        </w:rPr>
        <w:t>Wh</w:t>
      </w:r>
      <w:r w:rsidR="00245AFF" w:rsidRPr="004B06E3">
        <w:t>)</w:t>
      </w:r>
      <w:bookmarkEnd w:id="35"/>
      <w:bookmarkEnd w:id="36"/>
      <w:bookmarkEnd w:id="37"/>
    </w:p>
    <w:p w14:paraId="010E65BE" w14:textId="07D2A24F" w:rsidR="00781A6D" w:rsidRDefault="00781A6D" w:rsidP="00781A6D">
      <w:pPr>
        <w:pStyle w:val="eTRMHeading4"/>
      </w:pPr>
      <w:r>
        <w:t>Scope</w:t>
      </w:r>
    </w:p>
    <w:p w14:paraId="48AC789E" w14:textId="04CE7FED" w:rsidR="00D75ADA" w:rsidRPr="00C24D1F" w:rsidRDefault="00D75ADA" w:rsidP="00D75ADA">
      <w:r w:rsidRPr="0073676D">
        <w:rPr>
          <w:szCs w:val="22"/>
        </w:rPr>
        <w:t xml:space="preserve">The analysis focuses on potential energy savings that could be expected from a VFD system installation on a typical field with pressurized irrigation. </w:t>
      </w:r>
      <w:r w:rsidRPr="00C24D1F">
        <w:t>There are two categories of VFD system implementations</w:t>
      </w:r>
      <w:r>
        <w:t xml:space="preserve">: </w:t>
      </w:r>
      <w:r w:rsidRPr="00C24D1F">
        <w:t xml:space="preserve"> </w:t>
      </w:r>
    </w:p>
    <w:p w14:paraId="1B9C2AC7" w14:textId="77777777" w:rsidR="00D75ADA" w:rsidRDefault="00D75ADA" w:rsidP="00D75ADA">
      <w:r>
        <w:rPr>
          <w:b/>
        </w:rPr>
        <w:t xml:space="preserve">Category 1: </w:t>
      </w:r>
      <w:r w:rsidRPr="00451BED">
        <w:t>Enhanced</w:t>
      </w:r>
      <w:r w:rsidRPr="00C24D1F">
        <w:t xml:space="preserve"> VFD system, capable of </w:t>
      </w:r>
      <w:r>
        <w:t xml:space="preserve">manually </w:t>
      </w:r>
      <w:r w:rsidRPr="00C24D1F">
        <w:t xml:space="preserve">adjusting motor speed based on a target set point (in units such as percent of full speed, Hertz or RPM)  </w:t>
      </w:r>
    </w:p>
    <w:p w14:paraId="5121E4EA" w14:textId="77777777" w:rsidR="00D75ADA" w:rsidRDefault="00D75ADA" w:rsidP="00D75ADA">
      <w:r>
        <w:rPr>
          <w:b/>
        </w:rPr>
        <w:t>Category 2:</w:t>
      </w:r>
      <w:r>
        <w:t xml:space="preserve"> </w:t>
      </w:r>
      <w:r w:rsidRPr="00C24D1F">
        <w:t>More complex installations with automatic control and instrumentation</w:t>
      </w:r>
    </w:p>
    <w:p w14:paraId="1C57CFEF" w14:textId="1BE3CEA0" w:rsidR="00D75ADA" w:rsidRDefault="00D75ADA" w:rsidP="00D75ADA">
      <w:pPr>
        <w:rPr>
          <w:i/>
        </w:rPr>
      </w:pPr>
      <w:r w:rsidRPr="00C006C3">
        <w:t xml:space="preserve">Category 2 installations can </w:t>
      </w:r>
      <w:r>
        <w:t xml:space="preserve">result in higher </w:t>
      </w:r>
      <w:r w:rsidRPr="00C006C3">
        <w:t xml:space="preserve">energy savings. </w:t>
      </w:r>
      <w:r>
        <w:t>However</w:t>
      </w:r>
      <w:r w:rsidRPr="00C006C3">
        <w:t xml:space="preserve">, the additional hardware and automatic VFD control included in Category 2 installations are considered optional and not universally applicable. Moreover, the </w:t>
      </w:r>
      <w:r>
        <w:t>potential</w:t>
      </w:r>
      <w:r w:rsidRPr="00C006C3">
        <w:t xml:space="preserve"> </w:t>
      </w:r>
      <w:r>
        <w:t xml:space="preserve">additional </w:t>
      </w:r>
      <w:r w:rsidRPr="00C006C3">
        <w:t xml:space="preserve">savings </w:t>
      </w:r>
      <w:r>
        <w:t xml:space="preserve">would be </w:t>
      </w:r>
      <w:r w:rsidRPr="00C006C3">
        <w:t>difficult to quantify</w:t>
      </w:r>
      <w:r>
        <w:t>.</w:t>
      </w:r>
      <w:r w:rsidRPr="00C006C3">
        <w:t xml:space="preserve"> </w:t>
      </w:r>
      <w:r w:rsidRPr="00D75ADA">
        <w:rPr>
          <w:i/>
        </w:rPr>
        <w:t>Therefore</w:t>
      </w:r>
      <w:r w:rsidR="008179C7">
        <w:rPr>
          <w:i/>
        </w:rPr>
        <w:t>,</w:t>
      </w:r>
      <w:r w:rsidRPr="00D75ADA">
        <w:rPr>
          <w:i/>
        </w:rPr>
        <w:t xml:space="preserve"> Category 2 installation</w:t>
      </w:r>
      <w:r w:rsidR="00294B72">
        <w:rPr>
          <w:i/>
        </w:rPr>
        <w:t>s</w:t>
      </w:r>
      <w:r w:rsidRPr="00D75ADA">
        <w:rPr>
          <w:i/>
        </w:rPr>
        <w:t xml:space="preserve"> </w:t>
      </w:r>
      <w:r w:rsidR="00294B72">
        <w:rPr>
          <w:i/>
        </w:rPr>
        <w:t>are</w:t>
      </w:r>
      <w:r w:rsidRPr="00D75ADA">
        <w:rPr>
          <w:i/>
        </w:rPr>
        <w:t xml:space="preserve"> excluded from this analysis.</w:t>
      </w:r>
    </w:p>
    <w:p w14:paraId="7E8343B4" w14:textId="3EC49F31" w:rsidR="00781A6D" w:rsidRPr="00BD6A31" w:rsidRDefault="00781A6D" w:rsidP="00781A6D">
      <w:pPr>
        <w:pStyle w:val="Caption"/>
        <w:rPr>
          <w:b w:val="0"/>
          <w:sz w:val="22"/>
        </w:rPr>
      </w:pPr>
      <w:bookmarkStart w:id="38" w:name="_Toc497733201"/>
      <w:r>
        <w:t>Comparison of P</w:t>
      </w:r>
      <w:r w:rsidRPr="007475E3">
        <w:t xml:space="preserve">otential </w:t>
      </w:r>
      <w:r>
        <w:t>Energy Savings of E</w:t>
      </w:r>
      <w:r w:rsidRPr="007475E3">
        <w:t xml:space="preserve">nhanced and </w:t>
      </w:r>
      <w:r>
        <w:t>M</w:t>
      </w:r>
      <w:r w:rsidRPr="007475E3">
        <w:t xml:space="preserve">ore </w:t>
      </w:r>
      <w:r>
        <w:t>C</w:t>
      </w:r>
      <w:r w:rsidRPr="007475E3">
        <w:t xml:space="preserve">omplex VFD </w:t>
      </w:r>
      <w:r>
        <w:t>S</w:t>
      </w:r>
      <w:r w:rsidRPr="007475E3">
        <w:t xml:space="preserve">ystem </w:t>
      </w:r>
      <w:r>
        <w:t>I</w:t>
      </w:r>
      <w:r w:rsidRPr="007475E3">
        <w:t>nstallations</w:t>
      </w:r>
      <w:bookmarkEnd w:id="38"/>
    </w:p>
    <w:tbl>
      <w:tblPr>
        <w:tblStyle w:val="TableGrid"/>
        <w:tblW w:w="0" w:type="auto"/>
        <w:tblInd w:w="108" w:type="dxa"/>
        <w:tblLook w:val="04A0" w:firstRow="1" w:lastRow="0" w:firstColumn="1" w:lastColumn="0" w:noHBand="0" w:noVBand="1"/>
      </w:tblPr>
      <w:tblGrid>
        <w:gridCol w:w="3275"/>
        <w:gridCol w:w="1785"/>
        <w:gridCol w:w="2114"/>
        <w:gridCol w:w="2068"/>
      </w:tblGrid>
      <w:tr w:rsidR="00781A6D" w:rsidRPr="003E4241" w14:paraId="5B78496B" w14:textId="77777777" w:rsidTr="00A93E99">
        <w:tc>
          <w:tcPr>
            <w:tcW w:w="333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0CC93F37" w14:textId="77777777" w:rsidR="00781A6D" w:rsidRPr="00781A6D" w:rsidRDefault="00781A6D" w:rsidP="00781A6D">
            <w:pPr>
              <w:spacing w:before="0" w:after="0" w:line="240" w:lineRule="auto"/>
              <w:jc w:val="center"/>
              <w:rPr>
                <w:rFonts w:cs="Calibri Light"/>
                <w:b/>
                <w:sz w:val="20"/>
                <w:szCs w:val="20"/>
              </w:rPr>
            </w:pPr>
            <w:r w:rsidRPr="00781A6D">
              <w:rPr>
                <w:rFonts w:cs="Calibri Light"/>
                <w:b/>
                <w:sz w:val="20"/>
                <w:szCs w:val="20"/>
              </w:rPr>
              <w:t>Energy savings component</w:t>
            </w:r>
          </w:p>
        </w:tc>
        <w:tc>
          <w:tcPr>
            <w:tcW w:w="180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1F8AC6F9" w14:textId="77777777" w:rsidR="00781A6D" w:rsidRPr="00781A6D" w:rsidRDefault="00781A6D" w:rsidP="00781A6D">
            <w:pPr>
              <w:spacing w:before="0" w:after="0" w:line="240" w:lineRule="auto"/>
              <w:jc w:val="center"/>
              <w:rPr>
                <w:rFonts w:cs="Calibri Light"/>
                <w:b/>
                <w:sz w:val="20"/>
                <w:szCs w:val="20"/>
              </w:rPr>
            </w:pPr>
            <w:r w:rsidRPr="00781A6D">
              <w:rPr>
                <w:rFonts w:cs="Calibri Light"/>
                <w:b/>
                <w:sz w:val="20"/>
                <w:szCs w:val="20"/>
              </w:rPr>
              <w:t>Achievable interval for pump speed adjustments after conditions change</w:t>
            </w:r>
          </w:p>
        </w:tc>
        <w:tc>
          <w:tcPr>
            <w:tcW w:w="423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29FFF575" w14:textId="77777777" w:rsidR="00781A6D" w:rsidRPr="00781A6D" w:rsidRDefault="00781A6D" w:rsidP="00781A6D">
            <w:pPr>
              <w:spacing w:before="0" w:after="0" w:line="240" w:lineRule="auto"/>
              <w:jc w:val="center"/>
              <w:rPr>
                <w:rFonts w:cs="Calibri Light"/>
                <w:b/>
                <w:sz w:val="20"/>
                <w:szCs w:val="20"/>
              </w:rPr>
            </w:pPr>
            <w:r w:rsidRPr="00781A6D">
              <w:rPr>
                <w:rFonts w:cs="Calibri Light"/>
                <w:b/>
                <w:sz w:val="20"/>
                <w:szCs w:val="20"/>
              </w:rPr>
              <w:t>Achievable Energy Savings Component, by VFD System Installation Category</w:t>
            </w:r>
          </w:p>
        </w:tc>
      </w:tr>
      <w:tr w:rsidR="00781A6D" w:rsidRPr="003E4241" w14:paraId="785E1FD7" w14:textId="77777777" w:rsidTr="00A93E99">
        <w:tc>
          <w:tcPr>
            <w:tcW w:w="333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30A56563" w14:textId="77777777" w:rsidR="00781A6D" w:rsidRPr="00781A6D" w:rsidRDefault="00781A6D" w:rsidP="00781A6D">
            <w:pPr>
              <w:spacing w:before="0" w:after="0" w:line="240" w:lineRule="auto"/>
              <w:jc w:val="center"/>
              <w:rPr>
                <w:rFonts w:cs="Calibri Light"/>
                <w:b/>
                <w:sz w:val="20"/>
                <w:szCs w:val="20"/>
              </w:rPr>
            </w:pPr>
          </w:p>
        </w:tc>
        <w:tc>
          <w:tcPr>
            <w:tcW w:w="180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542F66CC" w14:textId="77777777" w:rsidR="00781A6D" w:rsidRPr="00781A6D" w:rsidRDefault="00781A6D" w:rsidP="00781A6D">
            <w:pPr>
              <w:spacing w:before="0" w:after="0" w:line="240" w:lineRule="auto"/>
              <w:jc w:val="center"/>
              <w:rPr>
                <w:rFonts w:cs="Calibri Light"/>
                <w:b/>
                <w:sz w:val="20"/>
                <w:szCs w:val="20"/>
              </w:rPr>
            </w:pP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3987862A" w14:textId="77777777" w:rsidR="00781A6D" w:rsidRPr="00781A6D" w:rsidRDefault="00781A6D" w:rsidP="00781A6D">
            <w:pPr>
              <w:spacing w:before="0" w:after="0" w:line="240" w:lineRule="auto"/>
              <w:jc w:val="center"/>
              <w:rPr>
                <w:rFonts w:cs="Calibri Light"/>
                <w:b/>
                <w:sz w:val="20"/>
                <w:szCs w:val="20"/>
              </w:rPr>
            </w:pPr>
            <w:r w:rsidRPr="00781A6D">
              <w:rPr>
                <w:rFonts w:cs="Calibri Light"/>
                <w:b/>
                <w:sz w:val="20"/>
                <w:szCs w:val="20"/>
              </w:rPr>
              <w:t>Category 1 (enhanced) – follows the proposed specifications</w:t>
            </w: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1F32BBDF" w14:textId="77777777" w:rsidR="00781A6D" w:rsidRPr="00781A6D" w:rsidRDefault="00781A6D" w:rsidP="00781A6D">
            <w:pPr>
              <w:spacing w:before="0" w:after="0" w:line="240" w:lineRule="auto"/>
              <w:jc w:val="center"/>
              <w:rPr>
                <w:rFonts w:cs="Calibri Light"/>
                <w:b/>
                <w:sz w:val="20"/>
                <w:szCs w:val="20"/>
              </w:rPr>
            </w:pPr>
            <w:r w:rsidRPr="00781A6D">
              <w:rPr>
                <w:rFonts w:cs="Calibri Light"/>
                <w:b/>
                <w:sz w:val="20"/>
                <w:szCs w:val="20"/>
              </w:rPr>
              <w:t>Category 2 (complex) – requires automatic control and sensors</w:t>
            </w:r>
          </w:p>
        </w:tc>
      </w:tr>
      <w:tr w:rsidR="00781A6D" w:rsidRPr="003E4241" w14:paraId="13769603" w14:textId="77777777" w:rsidTr="00A93E99">
        <w:trPr>
          <w:trHeight w:val="260"/>
        </w:trPr>
        <w:tc>
          <w:tcPr>
            <w:tcW w:w="33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F88666" w14:textId="77777777" w:rsidR="00781A6D" w:rsidRPr="00781A6D" w:rsidRDefault="00781A6D" w:rsidP="00781A6D">
            <w:pPr>
              <w:spacing w:before="0" w:after="0" w:line="240" w:lineRule="auto"/>
              <w:rPr>
                <w:rFonts w:cs="Calibri Light"/>
                <w:sz w:val="20"/>
                <w:szCs w:val="20"/>
              </w:rPr>
            </w:pPr>
            <w:r w:rsidRPr="00781A6D">
              <w:rPr>
                <w:rFonts w:cs="Calibri Light"/>
                <w:sz w:val="20"/>
                <w:szCs w:val="20"/>
              </w:rPr>
              <w:t>5 psi safety factor</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48C44E"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n/a</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9FC897"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8DF240C"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r>
      <w:tr w:rsidR="00781A6D" w:rsidRPr="003E4241" w14:paraId="7BBD8E68" w14:textId="77777777" w:rsidTr="00A93E99">
        <w:tc>
          <w:tcPr>
            <w:tcW w:w="33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765A6AA" w14:textId="77777777" w:rsidR="00781A6D" w:rsidRPr="00781A6D" w:rsidRDefault="00781A6D" w:rsidP="00781A6D">
            <w:pPr>
              <w:spacing w:before="0" w:after="0" w:line="240" w:lineRule="auto"/>
              <w:rPr>
                <w:rFonts w:cs="Calibri Light"/>
                <w:sz w:val="20"/>
                <w:szCs w:val="20"/>
              </w:rPr>
            </w:pPr>
            <w:r w:rsidRPr="00781A6D">
              <w:rPr>
                <w:rFonts w:cs="Calibri Light"/>
                <w:sz w:val="20"/>
                <w:szCs w:val="20"/>
              </w:rPr>
              <w:t>Inaccurate design data from pumps, filters, emitters, etc.</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B79CBB"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n/a</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C0464AA"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F96801B"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r>
      <w:tr w:rsidR="00781A6D" w:rsidRPr="003E4241" w14:paraId="22684C5D" w14:textId="77777777" w:rsidTr="00A93E99">
        <w:tc>
          <w:tcPr>
            <w:tcW w:w="333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20D1CB3" w14:textId="77777777" w:rsidR="00781A6D" w:rsidRPr="00781A6D" w:rsidRDefault="00781A6D" w:rsidP="00781A6D">
            <w:pPr>
              <w:spacing w:before="0" w:after="0" w:line="240" w:lineRule="auto"/>
              <w:rPr>
                <w:rFonts w:cs="Calibri Light"/>
                <w:sz w:val="20"/>
                <w:szCs w:val="20"/>
              </w:rPr>
            </w:pPr>
            <w:r w:rsidRPr="00781A6D">
              <w:rPr>
                <w:rFonts w:cs="Calibri Light"/>
                <w:sz w:val="20"/>
                <w:szCs w:val="20"/>
              </w:rPr>
              <w:t>Changes to district pipeline pressure</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12CEAD"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n/a</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8F9FE9" w14:textId="77777777" w:rsidR="00781A6D" w:rsidRPr="00781A6D" w:rsidRDefault="00781A6D" w:rsidP="00781A6D">
            <w:pPr>
              <w:spacing w:before="0" w:after="0" w:line="240" w:lineRule="auto"/>
              <w:jc w:val="center"/>
              <w:rPr>
                <w:rFonts w:cs="Calibri Light"/>
                <w:sz w:val="20"/>
                <w:szCs w:val="20"/>
              </w:rPr>
            </w:pP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8F6780C" w14:textId="77777777" w:rsidR="00781A6D" w:rsidRPr="00781A6D" w:rsidRDefault="00781A6D" w:rsidP="00781A6D">
            <w:pPr>
              <w:spacing w:before="0" w:after="0" w:line="240" w:lineRule="auto"/>
              <w:jc w:val="center"/>
              <w:rPr>
                <w:rFonts w:cs="Calibri Light"/>
                <w:sz w:val="20"/>
                <w:szCs w:val="20"/>
              </w:rPr>
            </w:pPr>
          </w:p>
        </w:tc>
      </w:tr>
      <w:tr w:rsidR="00781A6D" w:rsidRPr="003E4241" w14:paraId="72B46389" w14:textId="77777777" w:rsidTr="00A93E99">
        <w:tc>
          <w:tcPr>
            <w:tcW w:w="333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64643C2" w14:textId="77777777" w:rsidR="00781A6D" w:rsidRPr="00781A6D" w:rsidRDefault="00781A6D" w:rsidP="00781A6D">
            <w:pPr>
              <w:spacing w:before="0" w:after="0" w:line="240" w:lineRule="auto"/>
              <w:rPr>
                <w:rFonts w:cs="Calibri Light"/>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A23741"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Minute-to-minute</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A2E80EC" w14:textId="77777777" w:rsidR="00781A6D" w:rsidRPr="00781A6D" w:rsidRDefault="00781A6D" w:rsidP="00781A6D">
            <w:pPr>
              <w:spacing w:before="0" w:after="0" w:line="240" w:lineRule="auto"/>
              <w:jc w:val="center"/>
              <w:rPr>
                <w:rFonts w:cs="Calibri Light"/>
                <w:sz w:val="20"/>
                <w:szCs w:val="20"/>
              </w:rPr>
            </w:pP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149C13"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r>
      <w:tr w:rsidR="00781A6D" w:rsidRPr="003E4241" w14:paraId="47388D52" w14:textId="77777777" w:rsidTr="00A93E99">
        <w:tc>
          <w:tcPr>
            <w:tcW w:w="333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D5B686C" w14:textId="77777777" w:rsidR="00781A6D" w:rsidRPr="00781A6D" w:rsidRDefault="00781A6D" w:rsidP="00781A6D">
            <w:pPr>
              <w:spacing w:before="0" w:after="0" w:line="240" w:lineRule="auto"/>
              <w:rPr>
                <w:rFonts w:cs="Calibri Light"/>
                <w:sz w:val="20"/>
                <w:szCs w:val="20"/>
              </w:rPr>
            </w:pPr>
            <w:r w:rsidRPr="00781A6D">
              <w:rPr>
                <w:rFonts w:cs="Calibri Light"/>
                <w:sz w:val="20"/>
                <w:szCs w:val="20"/>
              </w:rPr>
              <w:t>Changes to pumping water level, pump wear, and well efficiency</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C1AF36"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Annual to monthly</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6B5207"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36C536" w14:textId="77777777" w:rsidR="00781A6D" w:rsidRPr="00781A6D" w:rsidRDefault="00781A6D" w:rsidP="00781A6D">
            <w:pPr>
              <w:spacing w:before="0" w:after="0" w:line="240" w:lineRule="auto"/>
              <w:jc w:val="center"/>
              <w:rPr>
                <w:rFonts w:cs="Calibri Light"/>
                <w:sz w:val="20"/>
                <w:szCs w:val="20"/>
              </w:rPr>
            </w:pPr>
          </w:p>
        </w:tc>
      </w:tr>
      <w:tr w:rsidR="00781A6D" w:rsidRPr="003E4241" w14:paraId="2EEC8CC2" w14:textId="77777777" w:rsidTr="00A93E99">
        <w:tc>
          <w:tcPr>
            <w:tcW w:w="333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92616C" w14:textId="77777777" w:rsidR="00781A6D" w:rsidRPr="00781A6D" w:rsidRDefault="00781A6D" w:rsidP="00781A6D">
            <w:pPr>
              <w:spacing w:before="0" w:after="0" w:line="240" w:lineRule="auto"/>
              <w:rPr>
                <w:rFonts w:cs="Calibri Light"/>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DB055E3"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Minute-to-minute</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0DB9D49" w14:textId="77777777" w:rsidR="00781A6D" w:rsidRPr="00781A6D" w:rsidRDefault="00781A6D" w:rsidP="00781A6D">
            <w:pPr>
              <w:spacing w:before="0" w:after="0" w:line="240" w:lineRule="auto"/>
              <w:jc w:val="center"/>
              <w:rPr>
                <w:rFonts w:cs="Calibri Light"/>
                <w:sz w:val="20"/>
                <w:szCs w:val="20"/>
              </w:rPr>
            </w:pP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42DDFB9"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r>
      <w:tr w:rsidR="00781A6D" w:rsidRPr="003E4241" w14:paraId="033345B8" w14:textId="77777777" w:rsidTr="00A93E99">
        <w:tc>
          <w:tcPr>
            <w:tcW w:w="33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E0AC11" w14:textId="77777777" w:rsidR="00781A6D" w:rsidRPr="00781A6D" w:rsidRDefault="00781A6D" w:rsidP="00781A6D">
            <w:pPr>
              <w:spacing w:before="0" w:after="0" w:line="240" w:lineRule="auto"/>
              <w:rPr>
                <w:rFonts w:cs="Calibri Light"/>
                <w:sz w:val="20"/>
                <w:szCs w:val="20"/>
              </w:rPr>
            </w:pPr>
            <w:r w:rsidRPr="00781A6D">
              <w:rPr>
                <w:rFonts w:cs="Calibri Light"/>
                <w:sz w:val="20"/>
                <w:szCs w:val="20"/>
              </w:rPr>
              <w:t>Unknown pressure from district pipeline turnout</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35EDDB"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n/a</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F2B0B1"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7150BD"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r>
      <w:tr w:rsidR="00781A6D" w:rsidRPr="003E4241" w14:paraId="1ACC196F" w14:textId="77777777" w:rsidTr="00A93E99">
        <w:tc>
          <w:tcPr>
            <w:tcW w:w="33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065C43" w14:textId="77777777" w:rsidR="00781A6D" w:rsidRPr="00781A6D" w:rsidRDefault="00781A6D" w:rsidP="00781A6D">
            <w:pPr>
              <w:spacing w:before="0" w:after="0" w:line="240" w:lineRule="auto"/>
              <w:rPr>
                <w:rFonts w:cs="Calibri Light"/>
                <w:sz w:val="20"/>
                <w:szCs w:val="20"/>
              </w:rPr>
            </w:pPr>
            <w:r w:rsidRPr="00781A6D">
              <w:rPr>
                <w:rFonts w:cs="Calibri Light"/>
                <w:sz w:val="20"/>
                <w:szCs w:val="20"/>
              </w:rPr>
              <w:t>Temporary boost of pump speed during filter cleaning cycles</w:t>
            </w: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6DED"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Minute-to-minute</w:t>
            </w:r>
          </w:p>
        </w:tc>
        <w:tc>
          <w:tcPr>
            <w:tcW w:w="21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9C0A0B" w14:textId="77777777" w:rsidR="00781A6D" w:rsidRPr="00781A6D" w:rsidRDefault="00781A6D" w:rsidP="00781A6D">
            <w:pPr>
              <w:spacing w:before="0" w:after="0" w:line="240" w:lineRule="auto"/>
              <w:jc w:val="center"/>
              <w:rPr>
                <w:rFonts w:cs="Calibri Light"/>
                <w:sz w:val="20"/>
                <w:szCs w:val="20"/>
              </w:rPr>
            </w:pPr>
          </w:p>
        </w:tc>
        <w:tc>
          <w:tcPr>
            <w:tcW w:w="20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3A25E1" w14:textId="77777777" w:rsidR="00781A6D" w:rsidRPr="00781A6D" w:rsidRDefault="00781A6D" w:rsidP="00781A6D">
            <w:pPr>
              <w:spacing w:before="0" w:after="0" w:line="240" w:lineRule="auto"/>
              <w:jc w:val="center"/>
              <w:rPr>
                <w:rFonts w:cs="Calibri Light"/>
                <w:sz w:val="20"/>
                <w:szCs w:val="20"/>
              </w:rPr>
            </w:pPr>
            <w:r w:rsidRPr="00781A6D">
              <w:rPr>
                <w:rFonts w:cs="Calibri Light"/>
                <w:sz w:val="20"/>
                <w:szCs w:val="20"/>
              </w:rPr>
              <w:t>X</w:t>
            </w:r>
          </w:p>
        </w:tc>
      </w:tr>
    </w:tbl>
    <w:p w14:paraId="22F871FF" w14:textId="77777777" w:rsidR="00781A6D" w:rsidRDefault="00781A6D" w:rsidP="00781A6D"/>
    <w:p w14:paraId="3039FFBB" w14:textId="435507BA" w:rsidR="00781A6D" w:rsidRDefault="00781A6D" w:rsidP="00781A6D">
      <w:r w:rsidRPr="0073676D">
        <w:t xml:space="preserve">The analysis focuses on potential energy savings that could be expected from a Category 1 VFD system installation on a typical field with pressurized irrigation. Values were allocated to each of the potential energy savings components as listed in </w:t>
      </w:r>
      <w:r w:rsidR="00E456EB">
        <w:t>the table below</w:t>
      </w:r>
      <w:r>
        <w:t xml:space="preserve">. </w:t>
      </w:r>
      <w:r w:rsidRPr="0073676D">
        <w:t xml:space="preserve">Some values reported are referenced from </w:t>
      </w:r>
      <w:r w:rsidR="003830E5">
        <w:t xml:space="preserve">the </w:t>
      </w:r>
      <w:r w:rsidRPr="0073676D">
        <w:t>ITRC Report No. R 11-005,</w:t>
      </w:r>
      <w:r w:rsidR="00813BAB">
        <w:rPr>
          <w:rStyle w:val="FootnoteReference"/>
        </w:rPr>
        <w:footnoteReference w:id="5"/>
      </w:r>
      <w:r w:rsidRPr="0073676D">
        <w:t xml:space="preserve"> while others are readily available in accepted design literature.</w:t>
      </w:r>
    </w:p>
    <w:p w14:paraId="780C8D11" w14:textId="30A3F05E" w:rsidR="00781A6D" w:rsidRPr="0093040D" w:rsidRDefault="00781A6D" w:rsidP="00781A6D">
      <w:pPr>
        <w:pStyle w:val="Caption"/>
      </w:pPr>
      <w:bookmarkStart w:id="39" w:name="_Toc497733202"/>
      <w:r w:rsidRPr="0065399B">
        <w:lastRenderedPageBreak/>
        <w:t xml:space="preserve">Potential </w:t>
      </w:r>
      <w:r>
        <w:t>P</w:t>
      </w:r>
      <w:r w:rsidRPr="0065399B">
        <w:t xml:space="preserve">ressure </w:t>
      </w:r>
      <w:r>
        <w:t>S</w:t>
      </w:r>
      <w:r w:rsidRPr="0065399B">
        <w:t xml:space="preserve">avings (feet) for </w:t>
      </w:r>
      <w:r>
        <w:t>Each Pump Type with VFD systems</w:t>
      </w:r>
      <w:bookmarkEnd w:id="39"/>
      <w:r>
        <w:rPr>
          <w:rStyle w:val="FootnoteReference"/>
        </w:rPr>
        <w:footnoteReference w:id="6"/>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17"/>
        <w:gridCol w:w="2160"/>
        <w:gridCol w:w="2065"/>
      </w:tblGrid>
      <w:tr w:rsidR="00781A6D" w:rsidRPr="003E4241" w14:paraId="6D27F4F6" w14:textId="77777777" w:rsidTr="00E5028B">
        <w:trPr>
          <w:tblHeader/>
        </w:trPr>
        <w:tc>
          <w:tcPr>
            <w:tcW w:w="5017" w:type="dxa"/>
            <w:vMerge w:val="restart"/>
            <w:shd w:val="clear" w:color="auto" w:fill="F2F2F2" w:themeFill="background1" w:themeFillShade="F2"/>
            <w:vAlign w:val="bottom"/>
          </w:tcPr>
          <w:p w14:paraId="148CBE7D" w14:textId="77777777" w:rsidR="00781A6D" w:rsidRPr="00781A6D" w:rsidRDefault="00781A6D" w:rsidP="00781A6D">
            <w:pPr>
              <w:spacing w:before="0" w:after="0" w:line="240" w:lineRule="auto"/>
              <w:jc w:val="center"/>
              <w:rPr>
                <w:rFonts w:cs="Calibri Light"/>
                <w:b/>
                <w:sz w:val="20"/>
              </w:rPr>
            </w:pPr>
            <w:r w:rsidRPr="00781A6D">
              <w:rPr>
                <w:rFonts w:cs="Calibri Light"/>
                <w:b/>
                <w:sz w:val="20"/>
              </w:rPr>
              <w:t>Pressure savings category</w:t>
            </w:r>
          </w:p>
        </w:tc>
        <w:tc>
          <w:tcPr>
            <w:tcW w:w="4225" w:type="dxa"/>
            <w:gridSpan w:val="2"/>
            <w:shd w:val="clear" w:color="auto" w:fill="F2F2F2" w:themeFill="background1" w:themeFillShade="F2"/>
            <w:vAlign w:val="bottom"/>
          </w:tcPr>
          <w:p w14:paraId="767477E1" w14:textId="2C033827" w:rsidR="00781A6D" w:rsidRPr="00781A6D" w:rsidRDefault="00781A6D" w:rsidP="00781A6D">
            <w:pPr>
              <w:spacing w:before="0" w:after="0" w:line="240" w:lineRule="auto"/>
              <w:jc w:val="center"/>
              <w:rPr>
                <w:rFonts w:cs="Calibri Light"/>
                <w:b/>
                <w:sz w:val="20"/>
              </w:rPr>
            </w:pPr>
            <w:r w:rsidRPr="00781A6D">
              <w:rPr>
                <w:rFonts w:cs="Calibri Light"/>
                <w:b/>
                <w:sz w:val="20"/>
              </w:rPr>
              <w:t>Potential pressure savings (</w:t>
            </w:r>
            <w:r>
              <w:rPr>
                <w:rFonts w:cs="Calibri Light"/>
                <w:b/>
                <w:sz w:val="20"/>
              </w:rPr>
              <w:t>ft</w:t>
            </w:r>
            <w:r w:rsidRPr="00781A6D">
              <w:rPr>
                <w:rFonts w:cs="Calibri Light"/>
                <w:b/>
                <w:sz w:val="20"/>
              </w:rPr>
              <w:t>) for each pump type</w:t>
            </w:r>
          </w:p>
        </w:tc>
      </w:tr>
      <w:tr w:rsidR="00781A6D" w:rsidRPr="003E4241" w14:paraId="67265DB5" w14:textId="77777777" w:rsidTr="00E5028B">
        <w:trPr>
          <w:tblHeader/>
        </w:trPr>
        <w:tc>
          <w:tcPr>
            <w:tcW w:w="5017" w:type="dxa"/>
            <w:vMerge/>
            <w:shd w:val="clear" w:color="auto" w:fill="F2F2F2" w:themeFill="background1" w:themeFillShade="F2"/>
            <w:vAlign w:val="bottom"/>
          </w:tcPr>
          <w:p w14:paraId="30ED75E2" w14:textId="77777777" w:rsidR="00781A6D" w:rsidRPr="00781A6D" w:rsidRDefault="00781A6D" w:rsidP="00781A6D">
            <w:pPr>
              <w:spacing w:before="0" w:after="0" w:line="240" w:lineRule="auto"/>
              <w:jc w:val="center"/>
              <w:rPr>
                <w:rFonts w:cs="Calibri Light"/>
                <w:b/>
                <w:sz w:val="20"/>
              </w:rPr>
            </w:pPr>
          </w:p>
        </w:tc>
        <w:tc>
          <w:tcPr>
            <w:tcW w:w="2160" w:type="dxa"/>
            <w:shd w:val="clear" w:color="auto" w:fill="F2F2F2" w:themeFill="background1" w:themeFillShade="F2"/>
            <w:vAlign w:val="bottom"/>
          </w:tcPr>
          <w:p w14:paraId="20D023F7" w14:textId="77777777" w:rsidR="00781A6D" w:rsidRPr="00781A6D" w:rsidRDefault="00781A6D" w:rsidP="00781A6D">
            <w:pPr>
              <w:spacing w:before="0" w:after="0" w:line="240" w:lineRule="auto"/>
              <w:jc w:val="center"/>
              <w:rPr>
                <w:rFonts w:cs="Calibri Light"/>
                <w:b/>
                <w:sz w:val="20"/>
              </w:rPr>
            </w:pPr>
            <w:r w:rsidRPr="00781A6D">
              <w:rPr>
                <w:rFonts w:cs="Calibri Light"/>
                <w:b/>
                <w:sz w:val="20"/>
              </w:rPr>
              <w:t>Booster Pumps</w:t>
            </w:r>
          </w:p>
        </w:tc>
        <w:tc>
          <w:tcPr>
            <w:tcW w:w="2065" w:type="dxa"/>
            <w:shd w:val="clear" w:color="auto" w:fill="F2F2F2" w:themeFill="background1" w:themeFillShade="F2"/>
            <w:vAlign w:val="bottom"/>
          </w:tcPr>
          <w:p w14:paraId="6C006B6E" w14:textId="77777777" w:rsidR="00781A6D" w:rsidRPr="00781A6D" w:rsidRDefault="00781A6D" w:rsidP="00781A6D">
            <w:pPr>
              <w:spacing w:before="0" w:after="0" w:line="240" w:lineRule="auto"/>
              <w:jc w:val="center"/>
              <w:rPr>
                <w:rFonts w:cs="Calibri Light"/>
                <w:b/>
                <w:sz w:val="20"/>
              </w:rPr>
            </w:pPr>
            <w:r w:rsidRPr="00781A6D">
              <w:rPr>
                <w:rFonts w:cs="Calibri Light"/>
                <w:b/>
                <w:sz w:val="20"/>
              </w:rPr>
              <w:t>Well Pumps</w:t>
            </w:r>
          </w:p>
        </w:tc>
      </w:tr>
      <w:tr w:rsidR="00781A6D" w:rsidRPr="003E4241" w14:paraId="143B8CBD" w14:textId="77777777" w:rsidTr="00A93E99">
        <w:tc>
          <w:tcPr>
            <w:tcW w:w="5017" w:type="dxa"/>
            <w:vAlign w:val="bottom"/>
          </w:tcPr>
          <w:p w14:paraId="45E5E79C" w14:textId="77777777" w:rsidR="00781A6D" w:rsidRPr="00781A6D" w:rsidRDefault="00781A6D" w:rsidP="00781A6D">
            <w:pPr>
              <w:spacing w:before="0" w:after="0" w:line="240" w:lineRule="auto"/>
              <w:rPr>
                <w:rFonts w:cs="Calibri Light"/>
                <w:color w:val="000000"/>
                <w:sz w:val="20"/>
              </w:rPr>
            </w:pPr>
            <w:r w:rsidRPr="00781A6D">
              <w:rPr>
                <w:rFonts w:cs="Calibri Light"/>
                <w:color w:val="000000"/>
                <w:sz w:val="20"/>
              </w:rPr>
              <w:t>General 5 psi safety factor</w:t>
            </w:r>
          </w:p>
        </w:tc>
        <w:tc>
          <w:tcPr>
            <w:tcW w:w="2160" w:type="dxa"/>
            <w:vAlign w:val="center"/>
          </w:tcPr>
          <w:p w14:paraId="1FF31302" w14:textId="77777777" w:rsidR="00781A6D" w:rsidRPr="00781A6D" w:rsidRDefault="00781A6D" w:rsidP="00781A6D">
            <w:pPr>
              <w:spacing w:before="0" w:after="0" w:line="240" w:lineRule="auto"/>
              <w:jc w:val="center"/>
              <w:rPr>
                <w:rFonts w:cs="Calibri Light"/>
                <w:sz w:val="20"/>
              </w:rPr>
            </w:pPr>
            <w:r w:rsidRPr="00781A6D">
              <w:rPr>
                <w:rFonts w:cs="Calibri Light"/>
                <w:sz w:val="20"/>
              </w:rPr>
              <w:t>11.5</w:t>
            </w:r>
          </w:p>
        </w:tc>
        <w:tc>
          <w:tcPr>
            <w:tcW w:w="2065" w:type="dxa"/>
            <w:vAlign w:val="center"/>
          </w:tcPr>
          <w:p w14:paraId="4B2CE434" w14:textId="77777777" w:rsidR="00781A6D" w:rsidRPr="00781A6D" w:rsidRDefault="00781A6D" w:rsidP="00781A6D">
            <w:pPr>
              <w:spacing w:before="0" w:after="0" w:line="240" w:lineRule="auto"/>
              <w:jc w:val="center"/>
              <w:rPr>
                <w:rFonts w:cs="Calibri Light"/>
                <w:sz w:val="20"/>
              </w:rPr>
            </w:pPr>
            <w:r w:rsidRPr="00781A6D">
              <w:rPr>
                <w:rFonts w:cs="Calibri Light"/>
                <w:sz w:val="20"/>
              </w:rPr>
              <w:t>11.5</w:t>
            </w:r>
          </w:p>
        </w:tc>
      </w:tr>
      <w:tr w:rsidR="00781A6D" w:rsidRPr="003E4241" w14:paraId="7915BBE2" w14:textId="77777777" w:rsidTr="00A93E99">
        <w:tc>
          <w:tcPr>
            <w:tcW w:w="5017" w:type="dxa"/>
            <w:vAlign w:val="bottom"/>
          </w:tcPr>
          <w:p w14:paraId="4B92ED13" w14:textId="77777777" w:rsidR="00781A6D" w:rsidRPr="00781A6D" w:rsidRDefault="00781A6D" w:rsidP="00781A6D">
            <w:pPr>
              <w:spacing w:before="0" w:after="0" w:line="240" w:lineRule="auto"/>
              <w:rPr>
                <w:rFonts w:cs="Calibri Light"/>
                <w:color w:val="000000"/>
                <w:sz w:val="20"/>
              </w:rPr>
            </w:pPr>
            <w:r w:rsidRPr="00781A6D">
              <w:rPr>
                <w:rFonts w:cs="Calibri Light"/>
                <w:color w:val="000000"/>
                <w:sz w:val="20"/>
              </w:rPr>
              <w:t>Pressure requirements when irrigating different blocks</w:t>
            </w:r>
          </w:p>
        </w:tc>
        <w:tc>
          <w:tcPr>
            <w:tcW w:w="2160" w:type="dxa"/>
            <w:vAlign w:val="center"/>
          </w:tcPr>
          <w:p w14:paraId="5E9DD781" w14:textId="77777777" w:rsidR="00781A6D" w:rsidRPr="00781A6D" w:rsidRDefault="00781A6D" w:rsidP="00781A6D">
            <w:pPr>
              <w:spacing w:before="0" w:after="0" w:line="240" w:lineRule="auto"/>
              <w:jc w:val="center"/>
              <w:rPr>
                <w:rFonts w:cs="Calibri Light"/>
                <w:sz w:val="20"/>
              </w:rPr>
            </w:pPr>
            <w:r w:rsidRPr="00781A6D">
              <w:rPr>
                <w:rFonts w:cs="Calibri Light"/>
                <w:sz w:val="20"/>
              </w:rPr>
              <w:t>6</w:t>
            </w:r>
          </w:p>
        </w:tc>
        <w:tc>
          <w:tcPr>
            <w:tcW w:w="2065" w:type="dxa"/>
            <w:vAlign w:val="center"/>
          </w:tcPr>
          <w:p w14:paraId="68615564" w14:textId="77777777" w:rsidR="00781A6D" w:rsidRPr="00781A6D" w:rsidRDefault="00781A6D" w:rsidP="00781A6D">
            <w:pPr>
              <w:spacing w:before="0" w:after="0" w:line="240" w:lineRule="auto"/>
              <w:jc w:val="center"/>
              <w:rPr>
                <w:rFonts w:cs="Calibri Light"/>
                <w:sz w:val="20"/>
              </w:rPr>
            </w:pPr>
            <w:r w:rsidRPr="00781A6D">
              <w:rPr>
                <w:rFonts w:cs="Calibri Light"/>
                <w:sz w:val="20"/>
              </w:rPr>
              <w:t>6</w:t>
            </w:r>
          </w:p>
        </w:tc>
      </w:tr>
      <w:tr w:rsidR="00781A6D" w:rsidRPr="003E4241" w14:paraId="4A7C8FF1" w14:textId="77777777" w:rsidTr="00A93E99">
        <w:tc>
          <w:tcPr>
            <w:tcW w:w="5017" w:type="dxa"/>
            <w:vAlign w:val="bottom"/>
          </w:tcPr>
          <w:p w14:paraId="51D5D625" w14:textId="77777777" w:rsidR="00781A6D" w:rsidRPr="00781A6D" w:rsidRDefault="00781A6D" w:rsidP="00781A6D">
            <w:pPr>
              <w:spacing w:before="0" w:after="0" w:line="240" w:lineRule="auto"/>
              <w:rPr>
                <w:rFonts w:cs="Calibri Light"/>
                <w:color w:val="000000"/>
                <w:sz w:val="20"/>
              </w:rPr>
            </w:pPr>
            <w:r w:rsidRPr="00781A6D">
              <w:rPr>
                <w:rFonts w:cs="Calibri Light"/>
                <w:color w:val="000000"/>
                <w:sz w:val="20"/>
              </w:rPr>
              <w:t>10% of pumping water level for groundwater variability (ft)</w:t>
            </w:r>
          </w:p>
        </w:tc>
        <w:tc>
          <w:tcPr>
            <w:tcW w:w="2160" w:type="dxa"/>
            <w:vAlign w:val="center"/>
          </w:tcPr>
          <w:p w14:paraId="13852BD3" w14:textId="77777777" w:rsidR="00781A6D" w:rsidRPr="00781A6D" w:rsidRDefault="00781A6D" w:rsidP="00781A6D">
            <w:pPr>
              <w:spacing w:before="0" w:after="0" w:line="240" w:lineRule="auto"/>
              <w:jc w:val="center"/>
              <w:rPr>
                <w:rFonts w:cs="Calibri Light"/>
                <w:sz w:val="20"/>
              </w:rPr>
            </w:pPr>
            <w:r w:rsidRPr="00781A6D">
              <w:rPr>
                <w:rFonts w:cs="Calibri Light"/>
                <w:sz w:val="20"/>
              </w:rPr>
              <w:t>n/a</w:t>
            </w:r>
          </w:p>
        </w:tc>
        <w:tc>
          <w:tcPr>
            <w:tcW w:w="2065" w:type="dxa"/>
            <w:vAlign w:val="center"/>
          </w:tcPr>
          <w:p w14:paraId="76EF0415" w14:textId="77777777" w:rsidR="00781A6D" w:rsidRPr="00781A6D" w:rsidRDefault="00781A6D" w:rsidP="00781A6D">
            <w:pPr>
              <w:spacing w:before="0" w:after="0" w:line="240" w:lineRule="auto"/>
              <w:jc w:val="center"/>
              <w:rPr>
                <w:rFonts w:cs="Calibri Light"/>
                <w:sz w:val="20"/>
              </w:rPr>
            </w:pPr>
            <w:r w:rsidRPr="00781A6D">
              <w:rPr>
                <w:rFonts w:cs="Calibri Light"/>
                <w:sz w:val="20"/>
              </w:rPr>
              <w:t>32.1</w:t>
            </w:r>
          </w:p>
        </w:tc>
      </w:tr>
      <w:tr w:rsidR="00781A6D" w:rsidRPr="003E4241" w14:paraId="476FDC16" w14:textId="77777777" w:rsidTr="00A93E99">
        <w:tc>
          <w:tcPr>
            <w:tcW w:w="5017" w:type="dxa"/>
            <w:vAlign w:val="bottom"/>
          </w:tcPr>
          <w:p w14:paraId="27AAE333" w14:textId="77777777" w:rsidR="00781A6D" w:rsidRPr="00781A6D" w:rsidRDefault="00781A6D" w:rsidP="00781A6D">
            <w:pPr>
              <w:spacing w:before="0" w:after="0" w:line="240" w:lineRule="auto"/>
              <w:rPr>
                <w:rFonts w:cs="Calibri Light"/>
                <w:color w:val="000000"/>
                <w:sz w:val="20"/>
              </w:rPr>
            </w:pPr>
            <w:r w:rsidRPr="00781A6D">
              <w:rPr>
                <w:rFonts w:cs="Calibri Light"/>
                <w:color w:val="000000"/>
                <w:sz w:val="20"/>
              </w:rPr>
              <w:t xml:space="preserve">Future pump wear </w:t>
            </w:r>
          </w:p>
        </w:tc>
        <w:tc>
          <w:tcPr>
            <w:tcW w:w="2160" w:type="dxa"/>
            <w:vAlign w:val="center"/>
          </w:tcPr>
          <w:p w14:paraId="61DADC6A" w14:textId="77777777" w:rsidR="00781A6D" w:rsidRPr="00781A6D" w:rsidRDefault="00781A6D" w:rsidP="00781A6D">
            <w:pPr>
              <w:spacing w:before="0" w:after="0" w:line="240" w:lineRule="auto"/>
              <w:jc w:val="center"/>
              <w:rPr>
                <w:rFonts w:cs="Calibri Light"/>
                <w:sz w:val="20"/>
              </w:rPr>
            </w:pPr>
            <w:r w:rsidRPr="00781A6D">
              <w:rPr>
                <w:rFonts w:cs="Calibri Light"/>
                <w:sz w:val="20"/>
              </w:rPr>
              <w:t>5</w:t>
            </w:r>
          </w:p>
        </w:tc>
        <w:tc>
          <w:tcPr>
            <w:tcW w:w="2065" w:type="dxa"/>
            <w:vAlign w:val="center"/>
          </w:tcPr>
          <w:p w14:paraId="2446B3E3" w14:textId="77777777" w:rsidR="00781A6D" w:rsidRPr="00781A6D" w:rsidRDefault="00781A6D" w:rsidP="00781A6D">
            <w:pPr>
              <w:spacing w:before="0" w:after="0" w:line="240" w:lineRule="auto"/>
              <w:jc w:val="center"/>
              <w:rPr>
                <w:rFonts w:cs="Calibri Light"/>
                <w:sz w:val="20"/>
              </w:rPr>
            </w:pPr>
            <w:r w:rsidRPr="00781A6D">
              <w:rPr>
                <w:rFonts w:cs="Calibri Light"/>
                <w:sz w:val="20"/>
              </w:rPr>
              <w:t>5</w:t>
            </w:r>
          </w:p>
        </w:tc>
      </w:tr>
      <w:tr w:rsidR="00781A6D" w:rsidRPr="003E4241" w14:paraId="69696AFD" w14:textId="77777777" w:rsidTr="00A93E99">
        <w:tc>
          <w:tcPr>
            <w:tcW w:w="5017" w:type="dxa"/>
            <w:vAlign w:val="bottom"/>
          </w:tcPr>
          <w:p w14:paraId="295B22EB" w14:textId="77777777" w:rsidR="00781A6D" w:rsidRPr="00781A6D" w:rsidRDefault="00781A6D" w:rsidP="00781A6D">
            <w:pPr>
              <w:spacing w:before="0" w:after="0" w:line="240" w:lineRule="auto"/>
              <w:rPr>
                <w:rFonts w:cs="Calibri Light"/>
                <w:color w:val="000000"/>
                <w:sz w:val="20"/>
              </w:rPr>
            </w:pPr>
            <w:r w:rsidRPr="00781A6D">
              <w:rPr>
                <w:rFonts w:cs="Calibri Light"/>
                <w:color w:val="000000"/>
                <w:sz w:val="20"/>
              </w:rPr>
              <w:t>Loss of well efficiency</w:t>
            </w:r>
          </w:p>
        </w:tc>
        <w:tc>
          <w:tcPr>
            <w:tcW w:w="2160" w:type="dxa"/>
            <w:vAlign w:val="center"/>
          </w:tcPr>
          <w:p w14:paraId="28574C91" w14:textId="77777777" w:rsidR="00781A6D" w:rsidRPr="00781A6D" w:rsidRDefault="00781A6D" w:rsidP="00781A6D">
            <w:pPr>
              <w:spacing w:before="0" w:after="0" w:line="240" w:lineRule="auto"/>
              <w:jc w:val="center"/>
              <w:rPr>
                <w:rFonts w:cs="Calibri Light"/>
                <w:sz w:val="20"/>
              </w:rPr>
            </w:pPr>
            <w:r w:rsidRPr="00781A6D">
              <w:rPr>
                <w:rFonts w:cs="Calibri Light"/>
                <w:sz w:val="20"/>
              </w:rPr>
              <w:t>n/a</w:t>
            </w:r>
          </w:p>
        </w:tc>
        <w:tc>
          <w:tcPr>
            <w:tcW w:w="2065" w:type="dxa"/>
            <w:vAlign w:val="center"/>
          </w:tcPr>
          <w:p w14:paraId="38211D2F" w14:textId="77777777" w:rsidR="00781A6D" w:rsidRPr="00781A6D" w:rsidRDefault="00781A6D" w:rsidP="00781A6D">
            <w:pPr>
              <w:spacing w:before="0" w:after="0" w:line="240" w:lineRule="auto"/>
              <w:jc w:val="center"/>
              <w:rPr>
                <w:rFonts w:cs="Calibri Light"/>
                <w:sz w:val="20"/>
              </w:rPr>
            </w:pPr>
            <w:r w:rsidRPr="00781A6D">
              <w:rPr>
                <w:rFonts w:cs="Calibri Light"/>
                <w:sz w:val="20"/>
              </w:rPr>
              <w:t>5</w:t>
            </w:r>
          </w:p>
        </w:tc>
      </w:tr>
      <w:tr w:rsidR="00781A6D" w:rsidRPr="003E4241" w14:paraId="3A5F6159" w14:textId="77777777" w:rsidTr="00A93E99">
        <w:tc>
          <w:tcPr>
            <w:tcW w:w="5017" w:type="dxa"/>
            <w:vAlign w:val="bottom"/>
          </w:tcPr>
          <w:p w14:paraId="0C3A60BA" w14:textId="77777777" w:rsidR="00781A6D" w:rsidRPr="00781A6D" w:rsidRDefault="00781A6D" w:rsidP="00781A6D">
            <w:pPr>
              <w:spacing w:before="0" w:after="0" w:line="240" w:lineRule="auto"/>
              <w:rPr>
                <w:rFonts w:cs="Calibri Light"/>
                <w:b/>
                <w:color w:val="000000"/>
                <w:sz w:val="20"/>
              </w:rPr>
            </w:pPr>
            <w:r w:rsidRPr="00781A6D">
              <w:rPr>
                <w:rFonts w:cs="Calibri Light"/>
                <w:b/>
                <w:color w:val="000000"/>
                <w:sz w:val="20"/>
              </w:rPr>
              <w:t>Total potential baseline TDH savings</w:t>
            </w:r>
          </w:p>
        </w:tc>
        <w:tc>
          <w:tcPr>
            <w:tcW w:w="2160" w:type="dxa"/>
            <w:vAlign w:val="center"/>
          </w:tcPr>
          <w:p w14:paraId="369D79DE" w14:textId="77777777" w:rsidR="00781A6D" w:rsidRPr="00781A6D" w:rsidRDefault="00781A6D" w:rsidP="00781A6D">
            <w:pPr>
              <w:spacing w:before="0" w:after="0" w:line="240" w:lineRule="auto"/>
              <w:jc w:val="center"/>
              <w:rPr>
                <w:rFonts w:cs="Calibri Light"/>
                <w:b/>
                <w:sz w:val="20"/>
              </w:rPr>
            </w:pPr>
            <w:r w:rsidRPr="00781A6D">
              <w:rPr>
                <w:rFonts w:cs="Calibri Light"/>
                <w:b/>
                <w:sz w:val="20"/>
              </w:rPr>
              <w:t>22.5</w:t>
            </w:r>
          </w:p>
        </w:tc>
        <w:tc>
          <w:tcPr>
            <w:tcW w:w="2065" w:type="dxa"/>
            <w:vAlign w:val="center"/>
          </w:tcPr>
          <w:p w14:paraId="5258F943" w14:textId="77777777" w:rsidR="00781A6D" w:rsidRPr="00781A6D" w:rsidRDefault="00781A6D" w:rsidP="00781A6D">
            <w:pPr>
              <w:spacing w:before="0" w:after="0" w:line="240" w:lineRule="auto"/>
              <w:jc w:val="center"/>
              <w:rPr>
                <w:rFonts w:cs="Calibri Light"/>
                <w:b/>
                <w:sz w:val="20"/>
              </w:rPr>
            </w:pPr>
            <w:r w:rsidRPr="00781A6D">
              <w:rPr>
                <w:rFonts w:cs="Calibri Light"/>
                <w:b/>
                <w:sz w:val="20"/>
              </w:rPr>
              <w:t>64.5</w:t>
            </w:r>
          </w:p>
        </w:tc>
      </w:tr>
    </w:tbl>
    <w:p w14:paraId="3FCC543F" w14:textId="77777777" w:rsidR="00D75ADA" w:rsidRDefault="00D75ADA" w:rsidP="00D75ADA"/>
    <w:p w14:paraId="41F2D955" w14:textId="6B66F18C" w:rsidR="00697D4C" w:rsidRDefault="00781A6D" w:rsidP="00781A6D">
      <w:pPr>
        <w:pStyle w:val="eTRMHeading4"/>
      </w:pPr>
      <w:r>
        <w:t>Unit Energy Savings Calculation</w:t>
      </w:r>
    </w:p>
    <w:p w14:paraId="502DD308" w14:textId="6E62020C" w:rsidR="00D0488A" w:rsidRPr="00F2202B" w:rsidRDefault="00D0488A" w:rsidP="0086708E">
      <w:r w:rsidRPr="00F2202B">
        <w:t xml:space="preserve">The </w:t>
      </w:r>
      <w:r w:rsidR="003830E5">
        <w:t xml:space="preserve">unit </w:t>
      </w:r>
      <w:r w:rsidRPr="00F2202B">
        <w:t>energy savings</w:t>
      </w:r>
      <w:r w:rsidR="003830E5">
        <w:t xml:space="preserve"> (UES) was </w:t>
      </w:r>
      <w:r w:rsidR="000A3037">
        <w:t xml:space="preserve">calculated for </w:t>
      </w:r>
      <w:r w:rsidRPr="00F2202B">
        <w:t xml:space="preserve">two </w:t>
      </w:r>
      <w:r w:rsidR="00175724">
        <w:t>pump types</w:t>
      </w:r>
      <w:r w:rsidRPr="00F2202B">
        <w:t>:</w:t>
      </w:r>
    </w:p>
    <w:p w14:paraId="0905C189" w14:textId="465186BF" w:rsidR="00D0488A" w:rsidRPr="00F2202B" w:rsidRDefault="00D0488A" w:rsidP="00DE5A47">
      <w:pPr>
        <w:pStyle w:val="eTRMBulletedText"/>
        <w:numPr>
          <w:ilvl w:val="0"/>
          <w:numId w:val="34"/>
        </w:numPr>
      </w:pPr>
      <w:r w:rsidRPr="00F2202B">
        <w:t>Booster pump supplying micro/drip system</w:t>
      </w:r>
    </w:p>
    <w:p w14:paraId="3CDE6043" w14:textId="2B74E0D7" w:rsidR="00D0488A" w:rsidRPr="00F2202B" w:rsidRDefault="00D0488A" w:rsidP="00DE5A47">
      <w:pPr>
        <w:pStyle w:val="eTRMBulletedText"/>
        <w:numPr>
          <w:ilvl w:val="0"/>
          <w:numId w:val="34"/>
        </w:numPr>
      </w:pPr>
      <w:r w:rsidRPr="00F2202B">
        <w:t>Well pump supplying a booster with a micro/drip system downstream</w:t>
      </w:r>
    </w:p>
    <w:p w14:paraId="70FD9BA3" w14:textId="7E0FC2AA" w:rsidR="00D0488A" w:rsidRPr="00903734" w:rsidRDefault="00D0488A" w:rsidP="00D0488A">
      <w:pPr>
        <w:spacing w:line="312" w:lineRule="auto"/>
        <w:jc w:val="both"/>
        <w:rPr>
          <w:szCs w:val="22"/>
        </w:rPr>
      </w:pPr>
      <w:r w:rsidRPr="00903734">
        <w:rPr>
          <w:szCs w:val="22"/>
        </w:rPr>
        <w:t xml:space="preserve">Assumptions used for the computations are </w:t>
      </w:r>
      <w:r w:rsidR="00287147">
        <w:rPr>
          <w:szCs w:val="22"/>
        </w:rPr>
        <w:t>specified in the tables below</w:t>
      </w:r>
      <w:r w:rsidRPr="00903734">
        <w:rPr>
          <w:szCs w:val="22"/>
        </w:rPr>
        <w:t>.</w:t>
      </w:r>
    </w:p>
    <w:p w14:paraId="5E750B23" w14:textId="51114069" w:rsidR="00903734" w:rsidRDefault="00903734" w:rsidP="000B19DD">
      <w:pPr>
        <w:pStyle w:val="Caption"/>
      </w:pPr>
      <w:r>
        <w:t>Assumed Values for Computations</w:t>
      </w:r>
      <w:r w:rsidR="000571CA">
        <w:rPr>
          <w:rStyle w:val="FootnoteReference"/>
        </w:rPr>
        <w:footnoteReference w:id="7"/>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325"/>
        <w:gridCol w:w="810"/>
        <w:gridCol w:w="5400"/>
      </w:tblGrid>
      <w:tr w:rsidR="003830E5" w:rsidRPr="00697D4C" w14:paraId="11F9A136" w14:textId="19184C82" w:rsidTr="003830E5">
        <w:trPr>
          <w:tblHeader/>
        </w:trPr>
        <w:tc>
          <w:tcPr>
            <w:tcW w:w="3325" w:type="dxa"/>
            <w:shd w:val="clear" w:color="auto" w:fill="F2F2F2" w:themeFill="background1" w:themeFillShade="F2"/>
          </w:tcPr>
          <w:p w14:paraId="49BA69AE" w14:textId="4E6D6BEE" w:rsidR="003830E5" w:rsidRPr="006F436D" w:rsidRDefault="003830E5" w:rsidP="00D9443A">
            <w:pPr>
              <w:keepNext/>
              <w:keepLines/>
              <w:spacing w:before="20" w:after="20"/>
              <w:jc w:val="center"/>
              <w:rPr>
                <w:b/>
                <w:sz w:val="20"/>
                <w:szCs w:val="20"/>
              </w:rPr>
            </w:pPr>
            <w:r w:rsidRPr="006F436D">
              <w:rPr>
                <w:b/>
                <w:sz w:val="20"/>
                <w:szCs w:val="20"/>
              </w:rPr>
              <w:t>Assumption</w:t>
            </w:r>
          </w:p>
        </w:tc>
        <w:tc>
          <w:tcPr>
            <w:tcW w:w="810" w:type="dxa"/>
            <w:shd w:val="clear" w:color="auto" w:fill="F2F2F2" w:themeFill="background1" w:themeFillShade="F2"/>
          </w:tcPr>
          <w:p w14:paraId="0F7512A7" w14:textId="56D27116" w:rsidR="003830E5" w:rsidRPr="006F436D" w:rsidRDefault="003830E5" w:rsidP="00D9443A">
            <w:pPr>
              <w:keepNext/>
              <w:keepLines/>
              <w:spacing w:before="20" w:after="20"/>
              <w:jc w:val="center"/>
              <w:rPr>
                <w:b/>
                <w:sz w:val="20"/>
                <w:szCs w:val="20"/>
              </w:rPr>
            </w:pPr>
            <w:r w:rsidRPr="006F436D">
              <w:rPr>
                <w:b/>
                <w:sz w:val="20"/>
                <w:szCs w:val="20"/>
              </w:rPr>
              <w:t>Value</w:t>
            </w:r>
          </w:p>
        </w:tc>
        <w:tc>
          <w:tcPr>
            <w:tcW w:w="5400" w:type="dxa"/>
            <w:shd w:val="clear" w:color="auto" w:fill="F2F2F2" w:themeFill="background1" w:themeFillShade="F2"/>
          </w:tcPr>
          <w:p w14:paraId="543BCA8D" w14:textId="2B8D85BD" w:rsidR="003830E5" w:rsidRPr="006F436D" w:rsidRDefault="003830E5" w:rsidP="00D9443A">
            <w:pPr>
              <w:keepNext/>
              <w:keepLines/>
              <w:spacing w:before="20" w:after="20"/>
              <w:jc w:val="center"/>
              <w:rPr>
                <w:b/>
                <w:sz w:val="20"/>
                <w:szCs w:val="20"/>
              </w:rPr>
            </w:pPr>
            <w:r w:rsidRPr="006F436D">
              <w:rPr>
                <w:b/>
                <w:sz w:val="20"/>
                <w:szCs w:val="20"/>
              </w:rPr>
              <w:t>Source</w:t>
            </w:r>
          </w:p>
        </w:tc>
      </w:tr>
      <w:tr w:rsidR="003830E5" w14:paraId="62535CC0" w14:textId="14D66D53" w:rsidTr="003830E5">
        <w:tc>
          <w:tcPr>
            <w:tcW w:w="3325" w:type="dxa"/>
            <w:shd w:val="clear" w:color="auto" w:fill="auto"/>
          </w:tcPr>
          <w:p w14:paraId="30AA3F7A" w14:textId="3A2353DB" w:rsidR="003830E5" w:rsidRPr="006F436D" w:rsidRDefault="003830E5" w:rsidP="006F436D">
            <w:pPr>
              <w:keepNext/>
              <w:keepLines/>
              <w:spacing w:before="20" w:after="20"/>
              <w:rPr>
                <w:sz w:val="20"/>
                <w:szCs w:val="20"/>
              </w:rPr>
            </w:pPr>
            <w:r w:rsidRPr="006F436D">
              <w:rPr>
                <w:sz w:val="20"/>
                <w:szCs w:val="20"/>
              </w:rPr>
              <w:t>Well pumping level</w:t>
            </w:r>
            <w:r>
              <w:rPr>
                <w:sz w:val="20"/>
                <w:szCs w:val="20"/>
              </w:rPr>
              <w:t xml:space="preserve">, </w:t>
            </w:r>
            <w:r w:rsidRPr="006F436D">
              <w:rPr>
                <w:sz w:val="20"/>
                <w:szCs w:val="20"/>
              </w:rPr>
              <w:t>San Joaquin Valley</w:t>
            </w:r>
            <w:r>
              <w:rPr>
                <w:sz w:val="20"/>
                <w:szCs w:val="20"/>
              </w:rPr>
              <w:t xml:space="preserve"> (feet)</w:t>
            </w:r>
          </w:p>
        </w:tc>
        <w:tc>
          <w:tcPr>
            <w:tcW w:w="810" w:type="dxa"/>
            <w:shd w:val="clear" w:color="auto" w:fill="auto"/>
          </w:tcPr>
          <w:p w14:paraId="0E520144" w14:textId="392DF96A" w:rsidR="003830E5" w:rsidRPr="006F436D" w:rsidRDefault="003830E5" w:rsidP="006F436D">
            <w:pPr>
              <w:keepNext/>
              <w:keepLines/>
              <w:spacing w:before="20" w:after="20"/>
              <w:jc w:val="right"/>
              <w:rPr>
                <w:sz w:val="20"/>
                <w:szCs w:val="20"/>
              </w:rPr>
            </w:pPr>
            <w:r w:rsidRPr="006F436D">
              <w:rPr>
                <w:sz w:val="20"/>
                <w:szCs w:val="20"/>
              </w:rPr>
              <w:t>300</w:t>
            </w:r>
          </w:p>
        </w:tc>
        <w:tc>
          <w:tcPr>
            <w:tcW w:w="5400" w:type="dxa"/>
          </w:tcPr>
          <w:p w14:paraId="012CC46D" w14:textId="42952EC7" w:rsidR="003830E5" w:rsidRPr="006F436D" w:rsidRDefault="003830E5" w:rsidP="00D9443A">
            <w:pPr>
              <w:keepNext/>
              <w:keepLines/>
              <w:spacing w:before="20" w:after="20"/>
              <w:rPr>
                <w:sz w:val="18"/>
                <w:szCs w:val="20"/>
              </w:rPr>
            </w:pPr>
            <w:r w:rsidRPr="006F436D">
              <w:rPr>
                <w:sz w:val="18"/>
                <w:szCs w:val="20"/>
              </w:rPr>
              <w:t xml:space="preserve">Burt, C. 2011. </w:t>
            </w:r>
            <w:r w:rsidRPr="006F436D">
              <w:rPr>
                <w:i/>
                <w:sz w:val="18"/>
                <w:szCs w:val="20"/>
              </w:rPr>
              <w:t>Variable Frequency Drive (VFD) Controlled Irrigation Pumps – Analysis of Potential Rebate</w:t>
            </w:r>
            <w:r w:rsidRPr="006F436D">
              <w:rPr>
                <w:sz w:val="18"/>
                <w:szCs w:val="20"/>
              </w:rPr>
              <w:t xml:space="preserve">. San Luis Obispo (CA): Irrigation Training and Research Center, California Polytechnic State University. ITRC Report No. R 11-005. </w:t>
            </w:r>
          </w:p>
        </w:tc>
      </w:tr>
      <w:tr w:rsidR="003830E5" w:rsidRPr="00FB030E" w14:paraId="1369216C" w14:textId="2D7830B6" w:rsidTr="003830E5">
        <w:tc>
          <w:tcPr>
            <w:tcW w:w="3325" w:type="dxa"/>
            <w:shd w:val="clear" w:color="auto" w:fill="auto"/>
          </w:tcPr>
          <w:p w14:paraId="331A12EF" w14:textId="657D5FAE" w:rsidR="003830E5" w:rsidRPr="006F436D" w:rsidRDefault="003830E5" w:rsidP="006F436D">
            <w:pPr>
              <w:keepNext/>
              <w:keepLines/>
              <w:spacing w:before="20" w:after="20"/>
              <w:rPr>
                <w:sz w:val="20"/>
                <w:szCs w:val="20"/>
              </w:rPr>
            </w:pPr>
            <w:r w:rsidRPr="006F436D">
              <w:rPr>
                <w:sz w:val="20"/>
                <w:szCs w:val="20"/>
              </w:rPr>
              <w:t>Minimum well pump TDH</w:t>
            </w:r>
            <w:r>
              <w:rPr>
                <w:sz w:val="20"/>
                <w:szCs w:val="20"/>
              </w:rPr>
              <w:t xml:space="preserve"> (feet)</w:t>
            </w:r>
          </w:p>
        </w:tc>
        <w:tc>
          <w:tcPr>
            <w:tcW w:w="810" w:type="dxa"/>
            <w:shd w:val="clear" w:color="auto" w:fill="auto"/>
          </w:tcPr>
          <w:p w14:paraId="0A5524DB" w14:textId="00F86730" w:rsidR="003830E5" w:rsidRPr="006F436D" w:rsidRDefault="003830E5" w:rsidP="006F436D">
            <w:pPr>
              <w:keepNext/>
              <w:keepLines/>
              <w:spacing w:before="20" w:after="20"/>
              <w:jc w:val="right"/>
              <w:rPr>
                <w:sz w:val="20"/>
                <w:szCs w:val="20"/>
              </w:rPr>
            </w:pPr>
            <w:r w:rsidRPr="006F436D">
              <w:rPr>
                <w:sz w:val="20"/>
                <w:szCs w:val="20"/>
              </w:rPr>
              <w:t>321</w:t>
            </w:r>
          </w:p>
        </w:tc>
        <w:tc>
          <w:tcPr>
            <w:tcW w:w="5400" w:type="dxa"/>
          </w:tcPr>
          <w:p w14:paraId="76F188E9" w14:textId="358BD2B2" w:rsidR="003830E5" w:rsidRPr="006F436D" w:rsidRDefault="003830E5" w:rsidP="00D9443A">
            <w:pPr>
              <w:keepNext/>
              <w:keepLines/>
              <w:spacing w:before="20" w:after="20"/>
              <w:rPr>
                <w:sz w:val="18"/>
                <w:szCs w:val="20"/>
              </w:rPr>
            </w:pPr>
            <w:r w:rsidRPr="006F436D">
              <w:rPr>
                <w:sz w:val="18"/>
                <w:szCs w:val="20"/>
              </w:rPr>
              <w:t xml:space="preserve">Burt, C. 2011. </w:t>
            </w:r>
            <w:r w:rsidRPr="006F436D">
              <w:rPr>
                <w:i/>
                <w:sz w:val="18"/>
                <w:szCs w:val="20"/>
              </w:rPr>
              <w:t>Variable Frequency Drive (VFD) Controlled Irrigation Pumps – Analysis of Potential Rebate</w:t>
            </w:r>
            <w:r w:rsidRPr="006F436D">
              <w:rPr>
                <w:sz w:val="18"/>
                <w:szCs w:val="20"/>
              </w:rPr>
              <w:t>. San Luis Obispo (CA): Irrigation Training and Research Center, California Polytechnic State University. ITRC Report No. R 11-005.</w:t>
            </w:r>
          </w:p>
        </w:tc>
      </w:tr>
      <w:tr w:rsidR="008D1688" w:rsidRPr="00FB030E" w14:paraId="51BF8CA9" w14:textId="2B1E5356" w:rsidTr="003830E5">
        <w:tc>
          <w:tcPr>
            <w:tcW w:w="3325" w:type="dxa"/>
            <w:shd w:val="clear" w:color="auto" w:fill="auto"/>
          </w:tcPr>
          <w:p w14:paraId="4333F849" w14:textId="30CCCBD5" w:rsidR="008D1688" w:rsidRPr="006F436D" w:rsidRDefault="008D1688" w:rsidP="008D1688">
            <w:pPr>
              <w:keepNext/>
              <w:keepLines/>
              <w:spacing w:before="20" w:after="20"/>
              <w:rPr>
                <w:sz w:val="20"/>
                <w:szCs w:val="20"/>
              </w:rPr>
            </w:pPr>
            <w:r w:rsidRPr="006F436D">
              <w:rPr>
                <w:sz w:val="20"/>
                <w:szCs w:val="20"/>
              </w:rPr>
              <w:t>Minimum booster pump TDH</w:t>
            </w:r>
            <w:r>
              <w:rPr>
                <w:sz w:val="20"/>
                <w:szCs w:val="20"/>
              </w:rPr>
              <w:t xml:space="preserve"> (feet)</w:t>
            </w:r>
          </w:p>
        </w:tc>
        <w:tc>
          <w:tcPr>
            <w:tcW w:w="810" w:type="dxa"/>
            <w:shd w:val="clear" w:color="auto" w:fill="auto"/>
          </w:tcPr>
          <w:p w14:paraId="3BC8F05F" w14:textId="26D88C37" w:rsidR="008D1688" w:rsidRPr="006F436D" w:rsidRDefault="008D1688" w:rsidP="008D1688">
            <w:pPr>
              <w:keepNext/>
              <w:keepLines/>
              <w:spacing w:before="20" w:after="20"/>
              <w:jc w:val="right"/>
              <w:rPr>
                <w:sz w:val="20"/>
                <w:szCs w:val="20"/>
              </w:rPr>
            </w:pPr>
            <w:r w:rsidRPr="006F436D">
              <w:rPr>
                <w:sz w:val="20"/>
                <w:szCs w:val="20"/>
              </w:rPr>
              <w:t>120</w:t>
            </w:r>
          </w:p>
        </w:tc>
        <w:tc>
          <w:tcPr>
            <w:tcW w:w="5400" w:type="dxa"/>
          </w:tcPr>
          <w:p w14:paraId="456FCFB3" w14:textId="78B03F9B" w:rsidR="008D1688" w:rsidRPr="006F436D" w:rsidRDefault="008D1688" w:rsidP="008D1688">
            <w:pPr>
              <w:keepNext/>
              <w:keepLines/>
              <w:spacing w:before="20" w:after="20"/>
              <w:rPr>
                <w:sz w:val="18"/>
                <w:szCs w:val="20"/>
              </w:rPr>
            </w:pPr>
            <w:r w:rsidRPr="006F436D">
              <w:rPr>
                <w:sz w:val="18"/>
                <w:szCs w:val="20"/>
              </w:rPr>
              <w:t xml:space="preserve">Burt, C. 2011. </w:t>
            </w:r>
            <w:r w:rsidRPr="006F436D">
              <w:rPr>
                <w:i/>
                <w:sz w:val="18"/>
                <w:szCs w:val="20"/>
              </w:rPr>
              <w:t>Variable Frequency Drive (VFD) Controlled Irrigation Pumps – Analysis of Potential Rebate</w:t>
            </w:r>
            <w:r w:rsidRPr="006F436D">
              <w:rPr>
                <w:sz w:val="18"/>
                <w:szCs w:val="20"/>
              </w:rPr>
              <w:t>. San Luis Obispo (CA): Irrigation Training and Research Center, California Polytechnic State University. ITRC Report No. R 11-005.</w:t>
            </w:r>
          </w:p>
        </w:tc>
      </w:tr>
      <w:tr w:rsidR="008D1688" w:rsidRPr="00FB030E" w14:paraId="521DD8A6" w14:textId="6D7FEE7A" w:rsidTr="003830E5">
        <w:tc>
          <w:tcPr>
            <w:tcW w:w="3325" w:type="dxa"/>
            <w:shd w:val="clear" w:color="auto" w:fill="auto"/>
          </w:tcPr>
          <w:p w14:paraId="0C50401E" w14:textId="3CDFAFF4" w:rsidR="008D1688" w:rsidRPr="006F436D" w:rsidRDefault="008D1688" w:rsidP="008D1688">
            <w:pPr>
              <w:keepNext/>
              <w:keepLines/>
              <w:spacing w:before="20" w:after="20"/>
              <w:rPr>
                <w:sz w:val="20"/>
                <w:szCs w:val="20"/>
              </w:rPr>
            </w:pPr>
            <w:r w:rsidRPr="006F436D">
              <w:rPr>
                <w:sz w:val="20"/>
                <w:szCs w:val="20"/>
              </w:rPr>
              <w:t>Annual operating hours</w:t>
            </w:r>
            <w:r>
              <w:rPr>
                <w:sz w:val="20"/>
                <w:szCs w:val="20"/>
              </w:rPr>
              <w:t xml:space="preserve">, </w:t>
            </w:r>
            <w:r w:rsidRPr="006F436D">
              <w:rPr>
                <w:sz w:val="20"/>
                <w:szCs w:val="20"/>
              </w:rPr>
              <w:t>deciduous orchard</w:t>
            </w:r>
            <w:r>
              <w:rPr>
                <w:sz w:val="20"/>
                <w:szCs w:val="20"/>
              </w:rPr>
              <w:t xml:space="preserve"> (hours)</w:t>
            </w:r>
          </w:p>
        </w:tc>
        <w:tc>
          <w:tcPr>
            <w:tcW w:w="810" w:type="dxa"/>
            <w:shd w:val="clear" w:color="auto" w:fill="auto"/>
          </w:tcPr>
          <w:p w14:paraId="7DB87392" w14:textId="05EDA9CC" w:rsidR="008D1688" w:rsidRPr="006F436D" w:rsidRDefault="008D1688" w:rsidP="008D1688">
            <w:pPr>
              <w:keepNext/>
              <w:keepLines/>
              <w:spacing w:before="20" w:after="20"/>
              <w:jc w:val="right"/>
              <w:rPr>
                <w:sz w:val="20"/>
                <w:szCs w:val="20"/>
              </w:rPr>
            </w:pPr>
            <w:r w:rsidRPr="006F436D">
              <w:rPr>
                <w:sz w:val="20"/>
                <w:szCs w:val="20"/>
              </w:rPr>
              <w:t>2</w:t>
            </w:r>
            <w:r>
              <w:rPr>
                <w:sz w:val="20"/>
                <w:szCs w:val="20"/>
              </w:rPr>
              <w:t>,</w:t>
            </w:r>
            <w:r w:rsidRPr="006F436D">
              <w:rPr>
                <w:sz w:val="20"/>
                <w:szCs w:val="20"/>
              </w:rPr>
              <w:t>368</w:t>
            </w:r>
          </w:p>
        </w:tc>
        <w:tc>
          <w:tcPr>
            <w:tcW w:w="5400" w:type="dxa"/>
          </w:tcPr>
          <w:p w14:paraId="5FECA01A" w14:textId="621756EE" w:rsidR="008D1688" w:rsidRPr="006F436D" w:rsidRDefault="008D1688" w:rsidP="008D1688">
            <w:pPr>
              <w:keepNext/>
              <w:keepLines/>
              <w:spacing w:before="20" w:after="20"/>
              <w:rPr>
                <w:sz w:val="18"/>
                <w:szCs w:val="20"/>
              </w:rPr>
            </w:pPr>
            <w:r w:rsidRPr="006F436D">
              <w:rPr>
                <w:sz w:val="18"/>
                <w:szCs w:val="20"/>
              </w:rPr>
              <w:t xml:space="preserve">Burt, C. 2011. </w:t>
            </w:r>
            <w:r w:rsidRPr="006F436D">
              <w:rPr>
                <w:i/>
                <w:sz w:val="18"/>
                <w:szCs w:val="20"/>
              </w:rPr>
              <w:t>Variable Frequency Drive (VFD) Controlled Irrigation Pumps – Analysis of Potential Rebate</w:t>
            </w:r>
            <w:r w:rsidRPr="006F436D">
              <w:rPr>
                <w:sz w:val="18"/>
                <w:szCs w:val="20"/>
              </w:rPr>
              <w:t>. San Luis Obispo (CA): Irrigation Training and Research Center, California Polytechnic State University. ITRC Report No. R 11-005.</w:t>
            </w:r>
          </w:p>
        </w:tc>
      </w:tr>
    </w:tbl>
    <w:p w14:paraId="6DF6EA5E" w14:textId="77777777" w:rsidR="009B4BEA" w:rsidRDefault="00D0488A" w:rsidP="006F436D">
      <w:r>
        <w:t xml:space="preserve"> </w:t>
      </w:r>
    </w:p>
    <w:p w14:paraId="2071835F" w14:textId="5318040D" w:rsidR="00903734" w:rsidRDefault="00903734" w:rsidP="000B19DD">
      <w:pPr>
        <w:pStyle w:val="Caption"/>
      </w:pPr>
      <w:r>
        <w:lastRenderedPageBreak/>
        <w:t>Assumed Values for New Pump Plants on Horsepower Basis</w:t>
      </w:r>
      <w:r w:rsidR="003830E5">
        <w:t xml:space="preserve"> </w:t>
      </w:r>
      <w:r w:rsidR="003830E5">
        <w:rPr>
          <w:rStyle w:val="FootnoteReference"/>
        </w:rPr>
        <w:footnoteReference w:id="8"/>
      </w:r>
    </w:p>
    <w:tbl>
      <w:tblPr>
        <w:tblW w:w="945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069"/>
        <w:gridCol w:w="1259"/>
        <w:gridCol w:w="1171"/>
        <w:gridCol w:w="1165"/>
        <w:gridCol w:w="1152"/>
        <w:gridCol w:w="1481"/>
        <w:gridCol w:w="2160"/>
      </w:tblGrid>
      <w:tr w:rsidR="00697D4C" w14:paraId="47DD3549" w14:textId="77777777" w:rsidTr="00257F0B">
        <w:trPr>
          <w:tblHeader/>
        </w:trPr>
        <w:tc>
          <w:tcPr>
            <w:tcW w:w="1069" w:type="dxa"/>
            <w:shd w:val="clear" w:color="auto" w:fill="F2F2F2" w:themeFill="background1" w:themeFillShade="F2"/>
            <w:vAlign w:val="bottom"/>
          </w:tcPr>
          <w:p w14:paraId="4B4BEDEE" w14:textId="3F225677" w:rsidR="00697D4C" w:rsidRPr="00A93E99" w:rsidRDefault="00697D4C" w:rsidP="0086708E">
            <w:pPr>
              <w:keepNext/>
              <w:keepLines/>
              <w:spacing w:before="20" w:after="20"/>
              <w:jc w:val="center"/>
              <w:rPr>
                <w:rFonts w:cs="Calibri Light"/>
                <w:b/>
                <w:sz w:val="20"/>
                <w:szCs w:val="20"/>
              </w:rPr>
            </w:pPr>
            <w:r w:rsidRPr="00A93E99">
              <w:rPr>
                <w:rFonts w:cs="Calibri Light"/>
                <w:b/>
                <w:sz w:val="20"/>
                <w:szCs w:val="20"/>
              </w:rPr>
              <w:t xml:space="preserve">Electrical Input </w:t>
            </w:r>
            <w:r w:rsidR="00000FF2">
              <w:rPr>
                <w:rFonts w:cs="Calibri Light"/>
                <w:b/>
                <w:sz w:val="20"/>
                <w:szCs w:val="20"/>
              </w:rPr>
              <w:t>hp</w:t>
            </w:r>
          </w:p>
        </w:tc>
        <w:tc>
          <w:tcPr>
            <w:tcW w:w="1259" w:type="dxa"/>
            <w:shd w:val="clear" w:color="auto" w:fill="F2F2F2" w:themeFill="background1" w:themeFillShade="F2"/>
            <w:vAlign w:val="bottom"/>
          </w:tcPr>
          <w:p w14:paraId="3AF3A013" w14:textId="0EB7BEC1" w:rsidR="00697D4C" w:rsidRPr="00A93E99" w:rsidRDefault="00697D4C" w:rsidP="0086708E">
            <w:pPr>
              <w:keepNext/>
              <w:keepLines/>
              <w:spacing w:before="20" w:after="20"/>
              <w:jc w:val="center"/>
              <w:rPr>
                <w:rFonts w:cs="Calibri Light"/>
                <w:b/>
                <w:sz w:val="20"/>
                <w:szCs w:val="20"/>
              </w:rPr>
            </w:pPr>
            <w:r w:rsidRPr="00A93E99">
              <w:rPr>
                <w:rFonts w:cs="Calibri Light"/>
                <w:b/>
                <w:sz w:val="20"/>
                <w:szCs w:val="20"/>
              </w:rPr>
              <w:t>New Motor Efficiency (%/100)</w:t>
            </w:r>
          </w:p>
        </w:tc>
        <w:tc>
          <w:tcPr>
            <w:tcW w:w="1171" w:type="dxa"/>
            <w:shd w:val="clear" w:color="auto" w:fill="F2F2F2" w:themeFill="background1" w:themeFillShade="F2"/>
            <w:vAlign w:val="bottom"/>
          </w:tcPr>
          <w:p w14:paraId="64F3FF66" w14:textId="3A1D994D" w:rsidR="00697D4C" w:rsidRPr="00A93E99" w:rsidRDefault="00697D4C" w:rsidP="0086708E">
            <w:pPr>
              <w:keepNext/>
              <w:keepLines/>
              <w:spacing w:before="20" w:after="20"/>
              <w:jc w:val="center"/>
              <w:rPr>
                <w:rFonts w:cs="Calibri Light"/>
                <w:b/>
                <w:sz w:val="20"/>
                <w:szCs w:val="20"/>
              </w:rPr>
            </w:pPr>
            <w:r w:rsidRPr="00A93E99">
              <w:rPr>
                <w:rFonts w:cs="Calibri Light"/>
                <w:b/>
                <w:sz w:val="20"/>
                <w:szCs w:val="20"/>
              </w:rPr>
              <w:t>New Impeller Efficiency</w:t>
            </w:r>
          </w:p>
        </w:tc>
        <w:tc>
          <w:tcPr>
            <w:tcW w:w="1165" w:type="dxa"/>
            <w:shd w:val="clear" w:color="auto" w:fill="F2F2F2" w:themeFill="background1" w:themeFillShade="F2"/>
            <w:vAlign w:val="bottom"/>
          </w:tcPr>
          <w:p w14:paraId="02AA3469" w14:textId="54823BAA" w:rsidR="00697D4C" w:rsidRPr="00A93E99" w:rsidRDefault="00697D4C" w:rsidP="0086708E">
            <w:pPr>
              <w:keepNext/>
              <w:keepLines/>
              <w:spacing w:before="20" w:after="20"/>
              <w:jc w:val="center"/>
              <w:rPr>
                <w:rFonts w:cs="Calibri Light"/>
                <w:b/>
                <w:sz w:val="20"/>
                <w:szCs w:val="20"/>
              </w:rPr>
            </w:pPr>
            <w:r w:rsidRPr="00A93E99">
              <w:rPr>
                <w:rFonts w:cs="Calibri Light"/>
                <w:b/>
                <w:sz w:val="20"/>
                <w:szCs w:val="20"/>
              </w:rPr>
              <w:t>Initial Booster Pump TDH (ft)</w:t>
            </w:r>
            <w:r w:rsidR="00831E01">
              <w:rPr>
                <w:rFonts w:cs="Calibri Light"/>
                <w:b/>
                <w:sz w:val="20"/>
                <w:szCs w:val="20"/>
              </w:rPr>
              <w:t xml:space="preserve"> </w:t>
            </w:r>
            <w:r w:rsidRPr="00A93E99">
              <w:rPr>
                <w:rFonts w:cs="Calibri Light"/>
                <w:b/>
                <w:sz w:val="20"/>
                <w:szCs w:val="20"/>
              </w:rPr>
              <w:t>**</w:t>
            </w:r>
          </w:p>
        </w:tc>
        <w:tc>
          <w:tcPr>
            <w:tcW w:w="1152" w:type="dxa"/>
            <w:shd w:val="clear" w:color="auto" w:fill="F2F2F2" w:themeFill="background1" w:themeFillShade="F2"/>
            <w:vAlign w:val="bottom"/>
          </w:tcPr>
          <w:p w14:paraId="291BD561" w14:textId="12947228" w:rsidR="00697D4C" w:rsidRPr="00A93E99" w:rsidRDefault="00697D4C" w:rsidP="0086708E">
            <w:pPr>
              <w:keepNext/>
              <w:keepLines/>
              <w:spacing w:before="20" w:after="20"/>
              <w:jc w:val="center"/>
              <w:rPr>
                <w:rFonts w:cs="Calibri Light"/>
                <w:b/>
                <w:sz w:val="20"/>
                <w:szCs w:val="20"/>
              </w:rPr>
            </w:pPr>
            <w:r w:rsidRPr="00A93E99">
              <w:rPr>
                <w:rFonts w:cs="Calibri Light"/>
                <w:b/>
                <w:sz w:val="20"/>
                <w:szCs w:val="20"/>
              </w:rPr>
              <w:t>Initial Well Pump TDH (ft)</w:t>
            </w:r>
            <w:r w:rsidR="00831E01">
              <w:rPr>
                <w:rFonts w:cs="Calibri Light"/>
                <w:b/>
                <w:sz w:val="20"/>
                <w:szCs w:val="20"/>
              </w:rPr>
              <w:t xml:space="preserve"> </w:t>
            </w:r>
            <w:r w:rsidRPr="00A93E99">
              <w:rPr>
                <w:rFonts w:cs="Calibri Light"/>
                <w:b/>
                <w:sz w:val="20"/>
                <w:szCs w:val="20"/>
              </w:rPr>
              <w:t>**</w:t>
            </w:r>
          </w:p>
        </w:tc>
        <w:tc>
          <w:tcPr>
            <w:tcW w:w="1481" w:type="dxa"/>
            <w:shd w:val="clear" w:color="auto" w:fill="F2F2F2" w:themeFill="background1" w:themeFillShade="F2"/>
            <w:vAlign w:val="bottom"/>
          </w:tcPr>
          <w:p w14:paraId="238FCF41" w14:textId="06E7E7FD" w:rsidR="00697D4C" w:rsidRPr="00A93E99" w:rsidRDefault="00697D4C" w:rsidP="0086708E">
            <w:pPr>
              <w:keepNext/>
              <w:keepLines/>
              <w:spacing w:before="20" w:after="20"/>
              <w:jc w:val="center"/>
              <w:rPr>
                <w:rFonts w:cs="Calibri Light"/>
                <w:b/>
                <w:sz w:val="20"/>
                <w:szCs w:val="20"/>
              </w:rPr>
            </w:pPr>
            <w:r w:rsidRPr="00A93E99">
              <w:rPr>
                <w:rFonts w:cs="Calibri Light"/>
                <w:b/>
                <w:sz w:val="20"/>
                <w:szCs w:val="20"/>
              </w:rPr>
              <w:t>Reduction in new OPPE due to VFD (%/100)</w:t>
            </w:r>
          </w:p>
        </w:tc>
        <w:tc>
          <w:tcPr>
            <w:tcW w:w="2160" w:type="dxa"/>
            <w:shd w:val="clear" w:color="auto" w:fill="F2F2F2" w:themeFill="background1" w:themeFillShade="F2"/>
            <w:vAlign w:val="bottom"/>
          </w:tcPr>
          <w:p w14:paraId="2F50BFDC" w14:textId="09BB7A87" w:rsidR="00697D4C" w:rsidRPr="00A93E99" w:rsidRDefault="00697D4C" w:rsidP="0086708E">
            <w:pPr>
              <w:keepNext/>
              <w:keepLines/>
              <w:spacing w:before="20" w:after="20"/>
              <w:jc w:val="center"/>
              <w:rPr>
                <w:rFonts w:cs="Calibri Light"/>
                <w:b/>
                <w:sz w:val="20"/>
                <w:szCs w:val="20"/>
              </w:rPr>
            </w:pPr>
            <w:r w:rsidRPr="00A93E99">
              <w:rPr>
                <w:rFonts w:cs="Calibri Light"/>
                <w:b/>
                <w:sz w:val="20"/>
                <w:szCs w:val="20"/>
              </w:rPr>
              <w:t>Reduction in new OPPE due to decreased impeller efficiency at different operating points (%/100)</w:t>
            </w:r>
          </w:p>
        </w:tc>
      </w:tr>
      <w:tr w:rsidR="00697D4C" w14:paraId="3C6CBA7B" w14:textId="77777777" w:rsidTr="00BD37A6">
        <w:tc>
          <w:tcPr>
            <w:tcW w:w="1069" w:type="dxa"/>
            <w:shd w:val="clear" w:color="auto" w:fill="auto"/>
            <w:vAlign w:val="center"/>
          </w:tcPr>
          <w:p w14:paraId="0C520D9C" w14:textId="14B10E4C"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50</w:t>
            </w:r>
          </w:p>
        </w:tc>
        <w:tc>
          <w:tcPr>
            <w:tcW w:w="1259" w:type="dxa"/>
            <w:shd w:val="clear" w:color="auto" w:fill="auto"/>
            <w:vAlign w:val="center"/>
          </w:tcPr>
          <w:p w14:paraId="42E0D637" w14:textId="677E4775"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w:t>
            </w:r>
          </w:p>
        </w:tc>
        <w:tc>
          <w:tcPr>
            <w:tcW w:w="1171" w:type="dxa"/>
            <w:vAlign w:val="center"/>
          </w:tcPr>
          <w:p w14:paraId="49411440" w14:textId="72884923"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0.7</w:t>
            </w:r>
          </w:p>
        </w:tc>
        <w:tc>
          <w:tcPr>
            <w:tcW w:w="1165" w:type="dxa"/>
            <w:vAlign w:val="center"/>
          </w:tcPr>
          <w:p w14:paraId="3B277359" w14:textId="716ACAA8"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120</w:t>
            </w:r>
          </w:p>
        </w:tc>
        <w:tc>
          <w:tcPr>
            <w:tcW w:w="1152" w:type="dxa"/>
            <w:vAlign w:val="center"/>
          </w:tcPr>
          <w:p w14:paraId="40B39D40" w14:textId="28ED947B"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321</w:t>
            </w:r>
          </w:p>
        </w:tc>
        <w:tc>
          <w:tcPr>
            <w:tcW w:w="1481" w:type="dxa"/>
            <w:vMerge w:val="restart"/>
            <w:vAlign w:val="center"/>
          </w:tcPr>
          <w:p w14:paraId="4FFED4EC" w14:textId="7858478F"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0.965</w:t>
            </w:r>
          </w:p>
        </w:tc>
        <w:tc>
          <w:tcPr>
            <w:tcW w:w="2160" w:type="dxa"/>
            <w:vMerge w:val="restart"/>
            <w:vAlign w:val="center"/>
          </w:tcPr>
          <w:p w14:paraId="4686CCD4" w14:textId="6DBE33D4"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0.99</w:t>
            </w:r>
          </w:p>
        </w:tc>
      </w:tr>
      <w:tr w:rsidR="00697D4C" w:rsidRPr="00FB030E" w14:paraId="6402C3A5" w14:textId="77777777" w:rsidTr="00BD37A6">
        <w:tc>
          <w:tcPr>
            <w:tcW w:w="1069" w:type="dxa"/>
            <w:shd w:val="clear" w:color="auto" w:fill="auto"/>
            <w:vAlign w:val="center"/>
          </w:tcPr>
          <w:p w14:paraId="323AD5E1" w14:textId="3D65F97E"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100</w:t>
            </w:r>
          </w:p>
        </w:tc>
        <w:tc>
          <w:tcPr>
            <w:tcW w:w="1259" w:type="dxa"/>
            <w:shd w:val="clear" w:color="auto" w:fill="auto"/>
            <w:vAlign w:val="center"/>
          </w:tcPr>
          <w:p w14:paraId="162BE05F" w14:textId="0C212334"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0.91</w:t>
            </w:r>
          </w:p>
        </w:tc>
        <w:tc>
          <w:tcPr>
            <w:tcW w:w="1171" w:type="dxa"/>
            <w:vAlign w:val="center"/>
          </w:tcPr>
          <w:p w14:paraId="44A5F056" w14:textId="6E503FDB"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0.77</w:t>
            </w:r>
          </w:p>
        </w:tc>
        <w:tc>
          <w:tcPr>
            <w:tcW w:w="1165" w:type="dxa"/>
            <w:vAlign w:val="center"/>
          </w:tcPr>
          <w:p w14:paraId="34245557" w14:textId="17AE96B8"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122</w:t>
            </w:r>
          </w:p>
        </w:tc>
        <w:tc>
          <w:tcPr>
            <w:tcW w:w="1152" w:type="dxa"/>
            <w:vAlign w:val="center"/>
          </w:tcPr>
          <w:p w14:paraId="52FAC9DF" w14:textId="1FD8C286"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325</w:t>
            </w:r>
          </w:p>
        </w:tc>
        <w:tc>
          <w:tcPr>
            <w:tcW w:w="1481" w:type="dxa"/>
            <w:vMerge/>
          </w:tcPr>
          <w:p w14:paraId="43C4ECEA" w14:textId="45A48122" w:rsidR="00697D4C" w:rsidRPr="00A93E99" w:rsidRDefault="00697D4C" w:rsidP="00697D4C">
            <w:pPr>
              <w:keepNext/>
              <w:keepLines/>
              <w:spacing w:before="20" w:after="20"/>
              <w:rPr>
                <w:rFonts w:cs="Calibri Light"/>
                <w:sz w:val="20"/>
                <w:szCs w:val="20"/>
              </w:rPr>
            </w:pPr>
          </w:p>
        </w:tc>
        <w:tc>
          <w:tcPr>
            <w:tcW w:w="2160" w:type="dxa"/>
            <w:vMerge/>
          </w:tcPr>
          <w:p w14:paraId="2C4B68DD" w14:textId="7E3B4B4E" w:rsidR="00697D4C" w:rsidRPr="00A93E99" w:rsidRDefault="00697D4C" w:rsidP="00697D4C">
            <w:pPr>
              <w:keepNext/>
              <w:keepLines/>
              <w:spacing w:before="20" w:after="20"/>
              <w:rPr>
                <w:rFonts w:cs="Calibri Light"/>
                <w:sz w:val="20"/>
                <w:szCs w:val="20"/>
              </w:rPr>
            </w:pPr>
          </w:p>
        </w:tc>
      </w:tr>
      <w:tr w:rsidR="00697D4C" w:rsidRPr="00FB030E" w14:paraId="2BCAB39A" w14:textId="77777777" w:rsidTr="00BD37A6">
        <w:tc>
          <w:tcPr>
            <w:tcW w:w="1069" w:type="dxa"/>
            <w:shd w:val="clear" w:color="auto" w:fill="auto"/>
            <w:vAlign w:val="center"/>
          </w:tcPr>
          <w:p w14:paraId="517CB6CC" w14:textId="59AB5290"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150</w:t>
            </w:r>
          </w:p>
        </w:tc>
        <w:tc>
          <w:tcPr>
            <w:tcW w:w="1259" w:type="dxa"/>
            <w:shd w:val="clear" w:color="auto" w:fill="auto"/>
            <w:vAlign w:val="center"/>
          </w:tcPr>
          <w:p w14:paraId="387D8B39" w14:textId="1C8B4DE2"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4352DEC0" w14:textId="27379C56"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w:t>
            </w:r>
          </w:p>
        </w:tc>
        <w:tc>
          <w:tcPr>
            <w:tcW w:w="1165" w:type="dxa"/>
            <w:vAlign w:val="center"/>
          </w:tcPr>
          <w:p w14:paraId="5D384BCE" w14:textId="1B7562CA"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124</w:t>
            </w:r>
          </w:p>
        </w:tc>
        <w:tc>
          <w:tcPr>
            <w:tcW w:w="1152" w:type="dxa"/>
            <w:vAlign w:val="center"/>
          </w:tcPr>
          <w:p w14:paraId="53C118CB" w14:textId="015BA72B"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327</w:t>
            </w:r>
          </w:p>
        </w:tc>
        <w:tc>
          <w:tcPr>
            <w:tcW w:w="1481" w:type="dxa"/>
            <w:vMerge/>
          </w:tcPr>
          <w:p w14:paraId="31E1005C" w14:textId="77777777" w:rsidR="00697D4C" w:rsidRPr="00A93E99" w:rsidRDefault="00697D4C" w:rsidP="00697D4C">
            <w:pPr>
              <w:keepNext/>
              <w:keepLines/>
              <w:spacing w:before="20" w:after="20"/>
              <w:rPr>
                <w:rFonts w:cs="Calibri Light"/>
                <w:sz w:val="20"/>
                <w:szCs w:val="20"/>
              </w:rPr>
            </w:pPr>
          </w:p>
        </w:tc>
        <w:tc>
          <w:tcPr>
            <w:tcW w:w="2160" w:type="dxa"/>
            <w:vMerge/>
          </w:tcPr>
          <w:p w14:paraId="1FD79062" w14:textId="77777777" w:rsidR="00697D4C" w:rsidRPr="00A93E99" w:rsidRDefault="00697D4C" w:rsidP="00697D4C">
            <w:pPr>
              <w:keepNext/>
              <w:keepLines/>
              <w:spacing w:before="20" w:after="20"/>
              <w:rPr>
                <w:rFonts w:cs="Calibri Light"/>
                <w:sz w:val="20"/>
                <w:szCs w:val="20"/>
              </w:rPr>
            </w:pPr>
          </w:p>
        </w:tc>
      </w:tr>
      <w:tr w:rsidR="00697D4C" w:rsidRPr="00FB030E" w14:paraId="3704172F" w14:textId="77777777" w:rsidTr="00BD37A6">
        <w:tc>
          <w:tcPr>
            <w:tcW w:w="1069" w:type="dxa"/>
            <w:shd w:val="clear" w:color="auto" w:fill="auto"/>
            <w:vAlign w:val="center"/>
          </w:tcPr>
          <w:p w14:paraId="581C8CA9" w14:textId="3428D08C"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200</w:t>
            </w:r>
          </w:p>
        </w:tc>
        <w:tc>
          <w:tcPr>
            <w:tcW w:w="1259" w:type="dxa"/>
            <w:shd w:val="clear" w:color="auto" w:fill="auto"/>
            <w:vAlign w:val="center"/>
          </w:tcPr>
          <w:p w14:paraId="5A4D1CA4" w14:textId="1CD55FFB"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5B5092F9" w14:textId="40CFEC59"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0.81</w:t>
            </w:r>
          </w:p>
        </w:tc>
        <w:tc>
          <w:tcPr>
            <w:tcW w:w="1165" w:type="dxa"/>
            <w:vAlign w:val="center"/>
          </w:tcPr>
          <w:p w14:paraId="3D233AAA" w14:textId="03AAF175"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126</w:t>
            </w:r>
          </w:p>
        </w:tc>
        <w:tc>
          <w:tcPr>
            <w:tcW w:w="1152" w:type="dxa"/>
            <w:vAlign w:val="center"/>
          </w:tcPr>
          <w:p w14:paraId="0B8E6E4B" w14:textId="4FFDCC80"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329</w:t>
            </w:r>
          </w:p>
        </w:tc>
        <w:tc>
          <w:tcPr>
            <w:tcW w:w="1481" w:type="dxa"/>
            <w:vMerge/>
          </w:tcPr>
          <w:p w14:paraId="7229E140" w14:textId="77777777" w:rsidR="00697D4C" w:rsidRPr="00A93E99" w:rsidRDefault="00697D4C" w:rsidP="00697D4C">
            <w:pPr>
              <w:keepNext/>
              <w:keepLines/>
              <w:spacing w:before="20" w:after="20"/>
              <w:rPr>
                <w:rFonts w:cs="Calibri Light"/>
                <w:sz w:val="20"/>
                <w:szCs w:val="20"/>
              </w:rPr>
            </w:pPr>
          </w:p>
        </w:tc>
        <w:tc>
          <w:tcPr>
            <w:tcW w:w="2160" w:type="dxa"/>
            <w:vMerge/>
          </w:tcPr>
          <w:p w14:paraId="4BB34252" w14:textId="77777777" w:rsidR="00697D4C" w:rsidRPr="00A93E99" w:rsidRDefault="00697D4C" w:rsidP="00697D4C">
            <w:pPr>
              <w:keepNext/>
              <w:keepLines/>
              <w:spacing w:before="20" w:after="20"/>
              <w:rPr>
                <w:rFonts w:cs="Calibri Light"/>
                <w:sz w:val="20"/>
                <w:szCs w:val="20"/>
              </w:rPr>
            </w:pPr>
          </w:p>
        </w:tc>
      </w:tr>
      <w:tr w:rsidR="00697D4C" w:rsidRPr="00FB030E" w14:paraId="77D7B5D4" w14:textId="77777777" w:rsidTr="00BD37A6">
        <w:tc>
          <w:tcPr>
            <w:tcW w:w="1069" w:type="dxa"/>
            <w:shd w:val="clear" w:color="auto" w:fill="auto"/>
            <w:vAlign w:val="center"/>
          </w:tcPr>
          <w:p w14:paraId="20B15C45" w14:textId="569B30C7"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250</w:t>
            </w:r>
          </w:p>
        </w:tc>
        <w:tc>
          <w:tcPr>
            <w:tcW w:w="1259" w:type="dxa"/>
            <w:shd w:val="clear" w:color="auto" w:fill="auto"/>
            <w:vAlign w:val="center"/>
          </w:tcPr>
          <w:p w14:paraId="4F2D8AEC" w14:textId="1AAB19D0"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213760FE" w14:textId="3109FA09"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0.81</w:t>
            </w:r>
          </w:p>
        </w:tc>
        <w:tc>
          <w:tcPr>
            <w:tcW w:w="1165" w:type="dxa"/>
            <w:vAlign w:val="center"/>
          </w:tcPr>
          <w:p w14:paraId="6490C145" w14:textId="66C9EAF5"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128</w:t>
            </w:r>
          </w:p>
        </w:tc>
        <w:tc>
          <w:tcPr>
            <w:tcW w:w="1152" w:type="dxa"/>
            <w:vAlign w:val="center"/>
          </w:tcPr>
          <w:p w14:paraId="20535B78" w14:textId="6B47A1FA"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331</w:t>
            </w:r>
          </w:p>
        </w:tc>
        <w:tc>
          <w:tcPr>
            <w:tcW w:w="1481" w:type="dxa"/>
            <w:vMerge/>
          </w:tcPr>
          <w:p w14:paraId="38E8D78C" w14:textId="77777777" w:rsidR="00697D4C" w:rsidRPr="00A93E99" w:rsidRDefault="00697D4C" w:rsidP="00697D4C">
            <w:pPr>
              <w:keepNext/>
              <w:keepLines/>
              <w:spacing w:before="20" w:after="20"/>
              <w:rPr>
                <w:rFonts w:cs="Calibri Light"/>
                <w:sz w:val="20"/>
                <w:szCs w:val="20"/>
              </w:rPr>
            </w:pPr>
          </w:p>
        </w:tc>
        <w:tc>
          <w:tcPr>
            <w:tcW w:w="2160" w:type="dxa"/>
            <w:vMerge/>
          </w:tcPr>
          <w:p w14:paraId="57A1DE3D" w14:textId="77777777" w:rsidR="00697D4C" w:rsidRPr="00A93E99" w:rsidRDefault="00697D4C" w:rsidP="00697D4C">
            <w:pPr>
              <w:keepNext/>
              <w:keepLines/>
              <w:spacing w:before="20" w:after="20"/>
              <w:rPr>
                <w:rFonts w:cs="Calibri Light"/>
                <w:sz w:val="20"/>
                <w:szCs w:val="20"/>
              </w:rPr>
            </w:pPr>
          </w:p>
        </w:tc>
      </w:tr>
      <w:tr w:rsidR="00697D4C" w:rsidRPr="00FB030E" w14:paraId="69696C2D" w14:textId="77777777" w:rsidTr="00BD37A6">
        <w:tc>
          <w:tcPr>
            <w:tcW w:w="1069" w:type="dxa"/>
            <w:shd w:val="clear" w:color="auto" w:fill="auto"/>
            <w:vAlign w:val="center"/>
          </w:tcPr>
          <w:p w14:paraId="296786E5" w14:textId="361DE005"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300</w:t>
            </w:r>
          </w:p>
        </w:tc>
        <w:tc>
          <w:tcPr>
            <w:tcW w:w="1259" w:type="dxa"/>
            <w:shd w:val="clear" w:color="auto" w:fill="auto"/>
            <w:vAlign w:val="center"/>
          </w:tcPr>
          <w:p w14:paraId="03AEC2DB" w14:textId="3327DE62"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6275FFDB" w14:textId="1B8B22C8"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0.84</w:t>
            </w:r>
          </w:p>
        </w:tc>
        <w:tc>
          <w:tcPr>
            <w:tcW w:w="1165" w:type="dxa"/>
            <w:vAlign w:val="center"/>
          </w:tcPr>
          <w:p w14:paraId="63E56C84" w14:textId="43C20994"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130</w:t>
            </w:r>
          </w:p>
        </w:tc>
        <w:tc>
          <w:tcPr>
            <w:tcW w:w="1152" w:type="dxa"/>
            <w:vAlign w:val="center"/>
          </w:tcPr>
          <w:p w14:paraId="7380FCBC" w14:textId="05F65214"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332</w:t>
            </w:r>
          </w:p>
        </w:tc>
        <w:tc>
          <w:tcPr>
            <w:tcW w:w="1481" w:type="dxa"/>
            <w:vMerge/>
          </w:tcPr>
          <w:p w14:paraId="366CB102" w14:textId="77777777" w:rsidR="00697D4C" w:rsidRPr="00A93E99" w:rsidRDefault="00697D4C" w:rsidP="00697D4C">
            <w:pPr>
              <w:keepNext/>
              <w:keepLines/>
              <w:spacing w:before="20" w:after="20"/>
              <w:rPr>
                <w:rFonts w:cs="Calibri Light"/>
                <w:sz w:val="20"/>
                <w:szCs w:val="20"/>
              </w:rPr>
            </w:pPr>
          </w:p>
        </w:tc>
        <w:tc>
          <w:tcPr>
            <w:tcW w:w="2160" w:type="dxa"/>
            <w:vMerge/>
          </w:tcPr>
          <w:p w14:paraId="02CF652F" w14:textId="77777777" w:rsidR="00697D4C" w:rsidRPr="00A93E99" w:rsidRDefault="00697D4C" w:rsidP="00697D4C">
            <w:pPr>
              <w:keepNext/>
              <w:keepLines/>
              <w:spacing w:before="20" w:after="20"/>
              <w:rPr>
                <w:rFonts w:cs="Calibri Light"/>
                <w:sz w:val="20"/>
                <w:szCs w:val="20"/>
              </w:rPr>
            </w:pPr>
          </w:p>
        </w:tc>
      </w:tr>
      <w:tr w:rsidR="00697D4C" w:rsidRPr="00FB030E" w14:paraId="6916E507" w14:textId="77777777" w:rsidTr="00BD37A6">
        <w:tc>
          <w:tcPr>
            <w:tcW w:w="1069" w:type="dxa"/>
            <w:shd w:val="clear" w:color="auto" w:fill="auto"/>
            <w:vAlign w:val="center"/>
          </w:tcPr>
          <w:p w14:paraId="01BA2E69" w14:textId="55B77E8A"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350</w:t>
            </w:r>
          </w:p>
        </w:tc>
        <w:tc>
          <w:tcPr>
            <w:tcW w:w="1259" w:type="dxa"/>
            <w:shd w:val="clear" w:color="auto" w:fill="auto"/>
            <w:vAlign w:val="center"/>
          </w:tcPr>
          <w:p w14:paraId="5E9322B2" w14:textId="7B7E5397"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4DA6FB7B" w14:textId="3859B16E"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0.84</w:t>
            </w:r>
          </w:p>
        </w:tc>
        <w:tc>
          <w:tcPr>
            <w:tcW w:w="1165" w:type="dxa"/>
            <w:vAlign w:val="center"/>
          </w:tcPr>
          <w:p w14:paraId="1A0A6EFC" w14:textId="63F8A040"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131</w:t>
            </w:r>
          </w:p>
        </w:tc>
        <w:tc>
          <w:tcPr>
            <w:tcW w:w="1152" w:type="dxa"/>
            <w:vAlign w:val="center"/>
          </w:tcPr>
          <w:p w14:paraId="1D507019" w14:textId="5428A88A"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335</w:t>
            </w:r>
          </w:p>
        </w:tc>
        <w:tc>
          <w:tcPr>
            <w:tcW w:w="1481" w:type="dxa"/>
            <w:vMerge/>
          </w:tcPr>
          <w:p w14:paraId="31E92B8D" w14:textId="77777777" w:rsidR="00697D4C" w:rsidRPr="00A93E99" w:rsidRDefault="00697D4C" w:rsidP="00697D4C">
            <w:pPr>
              <w:keepNext/>
              <w:keepLines/>
              <w:spacing w:before="20" w:after="20"/>
              <w:rPr>
                <w:rFonts w:cs="Calibri Light"/>
                <w:sz w:val="20"/>
                <w:szCs w:val="20"/>
              </w:rPr>
            </w:pPr>
          </w:p>
        </w:tc>
        <w:tc>
          <w:tcPr>
            <w:tcW w:w="2160" w:type="dxa"/>
            <w:vMerge/>
          </w:tcPr>
          <w:p w14:paraId="59388A1A" w14:textId="77777777" w:rsidR="00697D4C" w:rsidRPr="00A93E99" w:rsidRDefault="00697D4C" w:rsidP="00697D4C">
            <w:pPr>
              <w:keepNext/>
              <w:keepLines/>
              <w:spacing w:before="20" w:after="20"/>
              <w:rPr>
                <w:rFonts w:cs="Calibri Light"/>
                <w:sz w:val="20"/>
                <w:szCs w:val="20"/>
              </w:rPr>
            </w:pPr>
          </w:p>
        </w:tc>
      </w:tr>
      <w:tr w:rsidR="00697D4C" w:rsidRPr="00FB030E" w14:paraId="3F09ED3A" w14:textId="77777777" w:rsidTr="00BD37A6">
        <w:tc>
          <w:tcPr>
            <w:tcW w:w="1069" w:type="dxa"/>
            <w:shd w:val="clear" w:color="auto" w:fill="auto"/>
            <w:vAlign w:val="center"/>
          </w:tcPr>
          <w:p w14:paraId="2E5D38BA" w14:textId="36D6A88D"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400</w:t>
            </w:r>
          </w:p>
        </w:tc>
        <w:tc>
          <w:tcPr>
            <w:tcW w:w="1259" w:type="dxa"/>
            <w:shd w:val="clear" w:color="auto" w:fill="auto"/>
            <w:vAlign w:val="center"/>
          </w:tcPr>
          <w:p w14:paraId="495602B9" w14:textId="640CEAB5"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03B3542B" w14:textId="5E951884"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0.84</w:t>
            </w:r>
          </w:p>
        </w:tc>
        <w:tc>
          <w:tcPr>
            <w:tcW w:w="1165" w:type="dxa"/>
            <w:vAlign w:val="center"/>
          </w:tcPr>
          <w:p w14:paraId="11B0AAC0" w14:textId="18DA55F9"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132</w:t>
            </w:r>
          </w:p>
        </w:tc>
        <w:tc>
          <w:tcPr>
            <w:tcW w:w="1152" w:type="dxa"/>
            <w:vAlign w:val="center"/>
          </w:tcPr>
          <w:p w14:paraId="419332E9" w14:textId="0B20F904"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335</w:t>
            </w:r>
          </w:p>
        </w:tc>
        <w:tc>
          <w:tcPr>
            <w:tcW w:w="1481" w:type="dxa"/>
            <w:vMerge/>
          </w:tcPr>
          <w:p w14:paraId="4714E019" w14:textId="77777777" w:rsidR="00697D4C" w:rsidRPr="00A93E99" w:rsidRDefault="00697D4C" w:rsidP="00697D4C">
            <w:pPr>
              <w:keepNext/>
              <w:keepLines/>
              <w:spacing w:before="20" w:after="20"/>
              <w:rPr>
                <w:rFonts w:cs="Calibri Light"/>
                <w:sz w:val="20"/>
                <w:szCs w:val="20"/>
              </w:rPr>
            </w:pPr>
          </w:p>
        </w:tc>
        <w:tc>
          <w:tcPr>
            <w:tcW w:w="2160" w:type="dxa"/>
            <w:vMerge/>
          </w:tcPr>
          <w:p w14:paraId="06E5F58E" w14:textId="77777777" w:rsidR="00697D4C" w:rsidRPr="00A93E99" w:rsidRDefault="00697D4C" w:rsidP="00697D4C">
            <w:pPr>
              <w:keepNext/>
              <w:keepLines/>
              <w:spacing w:before="20" w:after="20"/>
              <w:rPr>
                <w:rFonts w:cs="Calibri Light"/>
                <w:sz w:val="20"/>
                <w:szCs w:val="20"/>
              </w:rPr>
            </w:pPr>
          </w:p>
        </w:tc>
      </w:tr>
      <w:tr w:rsidR="00697D4C" w:rsidRPr="00FB030E" w14:paraId="021C5181" w14:textId="77777777" w:rsidTr="00BD37A6">
        <w:tc>
          <w:tcPr>
            <w:tcW w:w="1069" w:type="dxa"/>
            <w:shd w:val="clear" w:color="auto" w:fill="auto"/>
            <w:vAlign w:val="center"/>
          </w:tcPr>
          <w:p w14:paraId="7ADE9D16" w14:textId="0AFDD3D7"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450</w:t>
            </w:r>
          </w:p>
        </w:tc>
        <w:tc>
          <w:tcPr>
            <w:tcW w:w="1259" w:type="dxa"/>
            <w:shd w:val="clear" w:color="auto" w:fill="auto"/>
            <w:vAlign w:val="center"/>
          </w:tcPr>
          <w:p w14:paraId="493D5F16" w14:textId="46B49A39"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52759FD7" w14:textId="198D629D"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0.84</w:t>
            </w:r>
          </w:p>
        </w:tc>
        <w:tc>
          <w:tcPr>
            <w:tcW w:w="1165" w:type="dxa"/>
            <w:vAlign w:val="center"/>
          </w:tcPr>
          <w:p w14:paraId="0581D493" w14:textId="600CD5B5"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132</w:t>
            </w:r>
          </w:p>
        </w:tc>
        <w:tc>
          <w:tcPr>
            <w:tcW w:w="1152" w:type="dxa"/>
            <w:vAlign w:val="center"/>
          </w:tcPr>
          <w:p w14:paraId="60C4BA3B" w14:textId="676F7531"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335</w:t>
            </w:r>
          </w:p>
        </w:tc>
        <w:tc>
          <w:tcPr>
            <w:tcW w:w="1481" w:type="dxa"/>
            <w:vMerge/>
          </w:tcPr>
          <w:p w14:paraId="7629576D" w14:textId="77777777" w:rsidR="00697D4C" w:rsidRPr="00A93E99" w:rsidRDefault="00697D4C" w:rsidP="00697D4C">
            <w:pPr>
              <w:keepNext/>
              <w:keepLines/>
              <w:spacing w:before="20" w:after="20"/>
              <w:rPr>
                <w:rFonts w:cs="Calibri Light"/>
                <w:sz w:val="20"/>
                <w:szCs w:val="20"/>
              </w:rPr>
            </w:pPr>
          </w:p>
        </w:tc>
        <w:tc>
          <w:tcPr>
            <w:tcW w:w="2160" w:type="dxa"/>
            <w:vMerge/>
          </w:tcPr>
          <w:p w14:paraId="2B0BE351" w14:textId="77777777" w:rsidR="00697D4C" w:rsidRPr="00A93E99" w:rsidRDefault="00697D4C" w:rsidP="00697D4C">
            <w:pPr>
              <w:keepNext/>
              <w:keepLines/>
              <w:spacing w:before="20" w:after="20"/>
              <w:rPr>
                <w:rFonts w:cs="Calibri Light"/>
                <w:sz w:val="20"/>
                <w:szCs w:val="20"/>
              </w:rPr>
            </w:pPr>
          </w:p>
        </w:tc>
      </w:tr>
      <w:tr w:rsidR="00697D4C" w:rsidRPr="00FB030E" w14:paraId="15EEFD5A" w14:textId="77777777" w:rsidTr="00BD37A6">
        <w:tc>
          <w:tcPr>
            <w:tcW w:w="1069" w:type="dxa"/>
            <w:shd w:val="clear" w:color="auto" w:fill="auto"/>
            <w:vAlign w:val="center"/>
          </w:tcPr>
          <w:p w14:paraId="136F6263" w14:textId="39EFBCFB"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500</w:t>
            </w:r>
          </w:p>
        </w:tc>
        <w:tc>
          <w:tcPr>
            <w:tcW w:w="1259" w:type="dxa"/>
            <w:shd w:val="clear" w:color="auto" w:fill="auto"/>
            <w:vAlign w:val="center"/>
          </w:tcPr>
          <w:p w14:paraId="331E1D00" w14:textId="3D31BD67"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254B59D9" w14:textId="383BF88D"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0.84</w:t>
            </w:r>
          </w:p>
        </w:tc>
        <w:tc>
          <w:tcPr>
            <w:tcW w:w="1165" w:type="dxa"/>
            <w:vAlign w:val="center"/>
          </w:tcPr>
          <w:p w14:paraId="56C2B34C" w14:textId="6FBB14C8"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132</w:t>
            </w:r>
          </w:p>
        </w:tc>
        <w:tc>
          <w:tcPr>
            <w:tcW w:w="1152" w:type="dxa"/>
            <w:vAlign w:val="center"/>
          </w:tcPr>
          <w:p w14:paraId="06653FCF" w14:textId="77193B82"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336</w:t>
            </w:r>
          </w:p>
        </w:tc>
        <w:tc>
          <w:tcPr>
            <w:tcW w:w="1481" w:type="dxa"/>
            <w:vMerge/>
          </w:tcPr>
          <w:p w14:paraId="754D8977" w14:textId="77777777" w:rsidR="00697D4C" w:rsidRPr="00A93E99" w:rsidRDefault="00697D4C" w:rsidP="00697D4C">
            <w:pPr>
              <w:keepNext/>
              <w:keepLines/>
              <w:spacing w:before="20" w:after="20"/>
              <w:rPr>
                <w:rFonts w:cs="Calibri Light"/>
                <w:sz w:val="20"/>
                <w:szCs w:val="20"/>
              </w:rPr>
            </w:pPr>
          </w:p>
        </w:tc>
        <w:tc>
          <w:tcPr>
            <w:tcW w:w="2160" w:type="dxa"/>
            <w:vMerge/>
          </w:tcPr>
          <w:p w14:paraId="3A9F8CF2" w14:textId="77777777" w:rsidR="00697D4C" w:rsidRPr="00A93E99" w:rsidRDefault="00697D4C" w:rsidP="00697D4C">
            <w:pPr>
              <w:keepNext/>
              <w:keepLines/>
              <w:spacing w:before="20" w:after="20"/>
              <w:rPr>
                <w:rFonts w:cs="Calibri Light"/>
                <w:sz w:val="20"/>
                <w:szCs w:val="20"/>
              </w:rPr>
            </w:pPr>
          </w:p>
        </w:tc>
      </w:tr>
      <w:tr w:rsidR="00697D4C" w:rsidRPr="00FB030E" w14:paraId="5C0BEE9D" w14:textId="77777777" w:rsidTr="00BD37A6">
        <w:tc>
          <w:tcPr>
            <w:tcW w:w="1069" w:type="dxa"/>
            <w:shd w:val="clear" w:color="auto" w:fill="auto"/>
            <w:vAlign w:val="center"/>
          </w:tcPr>
          <w:p w14:paraId="0C67EBB8" w14:textId="1E0CD800"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550</w:t>
            </w:r>
          </w:p>
        </w:tc>
        <w:tc>
          <w:tcPr>
            <w:tcW w:w="1259" w:type="dxa"/>
            <w:shd w:val="clear" w:color="auto" w:fill="auto"/>
            <w:vAlign w:val="center"/>
          </w:tcPr>
          <w:p w14:paraId="09CAB582" w14:textId="6DC72F85"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40A1F087" w14:textId="0D76F203"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0.84</w:t>
            </w:r>
          </w:p>
        </w:tc>
        <w:tc>
          <w:tcPr>
            <w:tcW w:w="1165" w:type="dxa"/>
            <w:vAlign w:val="center"/>
          </w:tcPr>
          <w:p w14:paraId="1F953CA4" w14:textId="272F17C3"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132</w:t>
            </w:r>
          </w:p>
        </w:tc>
        <w:tc>
          <w:tcPr>
            <w:tcW w:w="1152" w:type="dxa"/>
            <w:vAlign w:val="center"/>
          </w:tcPr>
          <w:p w14:paraId="3B443200" w14:textId="54AF4FEE"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336</w:t>
            </w:r>
          </w:p>
        </w:tc>
        <w:tc>
          <w:tcPr>
            <w:tcW w:w="1481" w:type="dxa"/>
            <w:vMerge/>
          </w:tcPr>
          <w:p w14:paraId="423EFC59" w14:textId="77777777" w:rsidR="00697D4C" w:rsidRPr="00A93E99" w:rsidRDefault="00697D4C" w:rsidP="00697D4C">
            <w:pPr>
              <w:keepNext/>
              <w:keepLines/>
              <w:spacing w:before="20" w:after="20"/>
              <w:rPr>
                <w:rFonts w:cs="Calibri Light"/>
                <w:sz w:val="20"/>
                <w:szCs w:val="20"/>
              </w:rPr>
            </w:pPr>
          </w:p>
        </w:tc>
        <w:tc>
          <w:tcPr>
            <w:tcW w:w="2160" w:type="dxa"/>
            <w:vMerge/>
          </w:tcPr>
          <w:p w14:paraId="0563ADB7" w14:textId="77777777" w:rsidR="00697D4C" w:rsidRPr="00A93E99" w:rsidRDefault="00697D4C" w:rsidP="00697D4C">
            <w:pPr>
              <w:keepNext/>
              <w:keepLines/>
              <w:spacing w:before="20" w:after="20"/>
              <w:rPr>
                <w:rFonts w:cs="Calibri Light"/>
                <w:sz w:val="20"/>
                <w:szCs w:val="20"/>
              </w:rPr>
            </w:pPr>
          </w:p>
        </w:tc>
      </w:tr>
      <w:tr w:rsidR="00697D4C" w:rsidRPr="00FB030E" w14:paraId="2D67932B" w14:textId="77777777" w:rsidTr="00BD37A6">
        <w:tc>
          <w:tcPr>
            <w:tcW w:w="1069" w:type="dxa"/>
            <w:shd w:val="clear" w:color="auto" w:fill="auto"/>
            <w:vAlign w:val="center"/>
          </w:tcPr>
          <w:p w14:paraId="59187738" w14:textId="649A5139"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600</w:t>
            </w:r>
          </w:p>
        </w:tc>
        <w:tc>
          <w:tcPr>
            <w:tcW w:w="1259" w:type="dxa"/>
            <w:shd w:val="clear" w:color="auto" w:fill="auto"/>
            <w:vAlign w:val="center"/>
          </w:tcPr>
          <w:p w14:paraId="1AA276DD" w14:textId="0F2AE9E7"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0.92</w:t>
            </w:r>
          </w:p>
        </w:tc>
        <w:tc>
          <w:tcPr>
            <w:tcW w:w="1171" w:type="dxa"/>
            <w:vAlign w:val="center"/>
          </w:tcPr>
          <w:p w14:paraId="3CCBDD7E" w14:textId="7C5BEF7F"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0.84</w:t>
            </w:r>
          </w:p>
        </w:tc>
        <w:tc>
          <w:tcPr>
            <w:tcW w:w="1165" w:type="dxa"/>
            <w:vAlign w:val="center"/>
          </w:tcPr>
          <w:p w14:paraId="789EE52C" w14:textId="6DFFDE42"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132</w:t>
            </w:r>
          </w:p>
        </w:tc>
        <w:tc>
          <w:tcPr>
            <w:tcW w:w="1152" w:type="dxa"/>
            <w:vAlign w:val="center"/>
          </w:tcPr>
          <w:p w14:paraId="1CC0091D" w14:textId="0BFE8563" w:rsidR="00697D4C" w:rsidRPr="00A93E99" w:rsidRDefault="00697D4C" w:rsidP="0020609B">
            <w:pPr>
              <w:keepNext/>
              <w:keepLines/>
              <w:spacing w:before="20" w:after="20"/>
              <w:jc w:val="center"/>
              <w:rPr>
                <w:rFonts w:cs="Calibri Light"/>
                <w:sz w:val="20"/>
                <w:szCs w:val="20"/>
              </w:rPr>
            </w:pPr>
            <w:r w:rsidRPr="00A93E99">
              <w:rPr>
                <w:rFonts w:cs="Calibri Light"/>
                <w:sz w:val="20"/>
                <w:szCs w:val="20"/>
              </w:rPr>
              <w:t>336</w:t>
            </w:r>
          </w:p>
        </w:tc>
        <w:tc>
          <w:tcPr>
            <w:tcW w:w="1481" w:type="dxa"/>
            <w:vMerge/>
          </w:tcPr>
          <w:p w14:paraId="46A3080D" w14:textId="7A1F45A7" w:rsidR="00697D4C" w:rsidRPr="00A93E99" w:rsidRDefault="00697D4C" w:rsidP="00697D4C">
            <w:pPr>
              <w:keepNext/>
              <w:keepLines/>
              <w:spacing w:before="20" w:after="20"/>
              <w:rPr>
                <w:rFonts w:cs="Calibri Light"/>
                <w:sz w:val="20"/>
                <w:szCs w:val="20"/>
              </w:rPr>
            </w:pPr>
          </w:p>
        </w:tc>
        <w:tc>
          <w:tcPr>
            <w:tcW w:w="2160" w:type="dxa"/>
            <w:vMerge/>
          </w:tcPr>
          <w:p w14:paraId="65B6B5C1" w14:textId="74C1B754" w:rsidR="00697D4C" w:rsidRPr="00A93E99" w:rsidRDefault="00697D4C" w:rsidP="00697D4C">
            <w:pPr>
              <w:keepNext/>
              <w:keepLines/>
              <w:spacing w:before="20" w:after="20"/>
              <w:rPr>
                <w:rFonts w:cs="Calibri Light"/>
                <w:sz w:val="20"/>
                <w:szCs w:val="20"/>
              </w:rPr>
            </w:pPr>
          </w:p>
        </w:tc>
      </w:tr>
    </w:tbl>
    <w:p w14:paraId="0B5A2C2F" w14:textId="1E42318F" w:rsidR="00D0488A" w:rsidRPr="002A17CB" w:rsidRDefault="00D0488A" w:rsidP="00EB21AC">
      <w:pPr>
        <w:pStyle w:val="eTRMTableFootnote"/>
      </w:pPr>
      <w:r w:rsidRPr="002A17CB">
        <w:t>*</w:t>
      </w:r>
      <w:proofErr w:type="gramStart"/>
      <w:r w:rsidRPr="002A17CB">
        <w:t>*</w:t>
      </w:r>
      <w:r w:rsidR="00A93E99">
        <w:t xml:space="preserve"> </w:t>
      </w:r>
      <w:r w:rsidRPr="002A17CB">
        <w:t xml:space="preserve"> </w:t>
      </w:r>
      <w:r w:rsidRPr="00EB21AC">
        <w:t>TDH</w:t>
      </w:r>
      <w:proofErr w:type="gramEnd"/>
      <w:r w:rsidRPr="002A17CB">
        <w:t xml:space="preserve"> values were adjusted up slightly from the minimum values reported </w:t>
      </w:r>
      <w:r w:rsidR="00A93E99">
        <w:t>above</w:t>
      </w:r>
      <w:r w:rsidRPr="002A17CB">
        <w:t xml:space="preserve"> to represent an increasing field size with additional mainline friction losses.</w:t>
      </w:r>
    </w:p>
    <w:p w14:paraId="0A6F8B16" w14:textId="77777777" w:rsidR="000A3037" w:rsidRDefault="000A3037" w:rsidP="00C10F19"/>
    <w:p w14:paraId="1D5DB72E" w14:textId="1B934508" w:rsidR="00D0488A" w:rsidRPr="00B12C5C" w:rsidRDefault="00D0488A" w:rsidP="0086708E">
      <w:r w:rsidRPr="00B12C5C">
        <w:t xml:space="preserve">The calculations outlined below follow the procedure used to solve for a single input horsepower. The process was repeated for the arbitrary range of input horsepower </w:t>
      </w:r>
      <w:r w:rsidR="00E456EB">
        <w:t>specified above</w:t>
      </w:r>
      <w:r w:rsidR="00B615B6">
        <w:t xml:space="preserve"> </w:t>
      </w:r>
      <w:r w:rsidRPr="00B12C5C">
        <w:t>to determine if there was a difference on a per</w:t>
      </w:r>
      <w:r w:rsidR="00E456EB">
        <w:t>-</w:t>
      </w:r>
      <w:r w:rsidRPr="00B12C5C">
        <w:t xml:space="preserve">horsepower basis. </w:t>
      </w:r>
    </w:p>
    <w:p w14:paraId="24F88181" w14:textId="69ABE93D" w:rsidR="00D0488A" w:rsidRDefault="00257F0B" w:rsidP="0086708E">
      <w:r>
        <w:t>Using the equation below</w:t>
      </w:r>
      <w:r w:rsidR="009B4BEA">
        <w:t xml:space="preserve">, </w:t>
      </w:r>
      <w:r w:rsidR="00D0488A">
        <w:t xml:space="preserve">the </w:t>
      </w:r>
      <w:r w:rsidR="00E456EB">
        <w:t>i</w:t>
      </w:r>
      <w:r w:rsidR="00D0488A">
        <w:t>nitial</w:t>
      </w:r>
      <w:r w:rsidR="00E456EB">
        <w:t xml:space="preserve"> </w:t>
      </w:r>
      <w:r w:rsidR="00050F78">
        <w:t>overall pumping plant efficiency</w:t>
      </w:r>
      <w:r w:rsidR="00D0488A">
        <w:t xml:space="preserve"> (OPPE</w:t>
      </w:r>
      <w:r w:rsidR="00E456EB">
        <w:t>) was calculated as the product of the motor efficiency and impeller efficiency values.</w:t>
      </w:r>
    </w:p>
    <w:p w14:paraId="197C8642" w14:textId="54D0CB5E" w:rsidR="00FB266C" w:rsidRDefault="00FB266C" w:rsidP="000B19DD">
      <w:pPr>
        <w:pStyle w:val="Caption"/>
      </w:pPr>
      <w:r>
        <w:t>Initial Overall Pump Plant Efficiency</w:t>
      </w:r>
    </w:p>
    <w:p w14:paraId="6C8CEF3A" w14:textId="1E712FA3" w:rsidR="00D0488A" w:rsidRPr="002A17CB" w:rsidRDefault="002A17CB" w:rsidP="004C1A9E">
      <w:pPr>
        <w:pStyle w:val="BodyText"/>
      </w:pPr>
      <m:oMath>
        <m:r>
          <m:t xml:space="preserve">Initial OPPE </m:t>
        </m:r>
        <m:d>
          <m:dPr>
            <m:ctrlPr/>
          </m:dPr>
          <m:e>
            <m:f>
              <m:fPr>
                <m:ctrlPr/>
              </m:fPr>
              <m:num>
                <m:r>
                  <m:t>%</m:t>
                </m:r>
              </m:num>
              <m:den>
                <m:r>
                  <m:t>100</m:t>
                </m:r>
              </m:den>
            </m:f>
          </m:e>
        </m:d>
        <m:r>
          <m:t>= New Motor Efficiency × New Impeller Efficiency</m:t>
        </m:r>
      </m:oMath>
      <w:r w:rsidR="00D0488A" w:rsidRPr="002A17CB">
        <w:t xml:space="preserve">  </w:t>
      </w:r>
    </w:p>
    <w:p w14:paraId="3A69586B" w14:textId="77777777" w:rsidR="009B4BEA" w:rsidRDefault="009B4BEA" w:rsidP="00C10F19"/>
    <w:p w14:paraId="75C27B34" w14:textId="7C6781F7" w:rsidR="00D0488A" w:rsidRDefault="00E456EB" w:rsidP="0086708E">
      <w:r>
        <w:t>The</w:t>
      </w:r>
      <w:r w:rsidR="00D0488A">
        <w:t xml:space="preserve"> estimated water horsepower</w:t>
      </w:r>
      <w:r>
        <w:t xml:space="preserve"> (WHP)</w:t>
      </w:r>
      <w:r w:rsidR="00D0488A">
        <w:t xml:space="preserve"> requirement</w:t>
      </w:r>
      <w:r w:rsidR="009B4BEA">
        <w:t xml:space="preserve"> </w:t>
      </w:r>
      <w:r>
        <w:t>is calculated as</w:t>
      </w:r>
      <w:r w:rsidR="00050F78">
        <w:t>:</w:t>
      </w:r>
      <w:r w:rsidR="00D0488A">
        <w:t xml:space="preserve">  </w:t>
      </w:r>
    </w:p>
    <w:p w14:paraId="0DDB249E" w14:textId="6916BEA5" w:rsidR="00FB266C" w:rsidRDefault="00FB266C" w:rsidP="000B19DD">
      <w:pPr>
        <w:pStyle w:val="Caption"/>
      </w:pPr>
      <w:r>
        <w:t>Estimated Water Horsepower Requirement</w:t>
      </w:r>
    </w:p>
    <w:p w14:paraId="40FD72E6" w14:textId="1F4B7532" w:rsidR="00D0488A" w:rsidRPr="002A17CB" w:rsidRDefault="00D0488A" w:rsidP="004C1A9E">
      <w:pPr>
        <w:pStyle w:val="BodyText"/>
      </w:pPr>
      <w:r w:rsidRPr="00437D36">
        <w:rPr>
          <w:b/>
        </w:rPr>
        <w:t xml:space="preserve"> </w:t>
      </w:r>
      <m:oMath>
        <m:r>
          <m:t xml:space="preserve">Initial Water Horsepower </m:t>
        </m:r>
        <m:d>
          <m:dPr>
            <m:ctrlPr/>
          </m:dPr>
          <m:e>
            <m:r>
              <m:t>WHP</m:t>
            </m:r>
          </m:e>
        </m:d>
        <m:r>
          <m:t xml:space="preserve">= </m:t>
        </m:r>
        <m:f>
          <m:fPr>
            <m:ctrlPr/>
          </m:fPr>
          <m:num>
            <m:r>
              <m:t>Initial Input HP</m:t>
            </m:r>
          </m:num>
          <m:den>
            <m:r>
              <m:t>Initial OPPE</m:t>
            </m:r>
          </m:den>
        </m:f>
      </m:oMath>
    </w:p>
    <w:p w14:paraId="34E238BB" w14:textId="77777777" w:rsidR="002A17CB" w:rsidRDefault="002A17CB" w:rsidP="004C1A9E">
      <w:pPr>
        <w:pStyle w:val="BodyText"/>
      </w:pPr>
    </w:p>
    <w:p w14:paraId="35804C16" w14:textId="47DEBFB1" w:rsidR="00D0488A" w:rsidRPr="00B615B6" w:rsidRDefault="00D0488A" w:rsidP="00C10F19">
      <w:pPr>
        <w:pStyle w:val="BodyText"/>
        <w:ind w:left="1440"/>
      </w:pPr>
      <w:r w:rsidRPr="00B615B6">
        <w:t xml:space="preserve">Input HP = </w:t>
      </w:r>
      <w:r w:rsidR="00787259">
        <w:tab/>
      </w:r>
      <w:r w:rsidR="00000FF2">
        <w:t>Initial input hp</w:t>
      </w:r>
      <w:r w:rsidR="00050F78">
        <w:t xml:space="preserve"> (see above)</w:t>
      </w:r>
    </w:p>
    <w:p w14:paraId="15F3B47F" w14:textId="0BB8BC7D" w:rsidR="00D0488A" w:rsidRPr="00B615B6" w:rsidRDefault="00D0488A" w:rsidP="00C10F19">
      <w:pPr>
        <w:pStyle w:val="BodyText"/>
        <w:ind w:left="1440"/>
      </w:pPr>
      <w:r w:rsidRPr="00B615B6">
        <w:t>Initial OPPE</w:t>
      </w:r>
      <w:r w:rsidR="00787259">
        <w:t xml:space="preserve"> </w:t>
      </w:r>
      <w:proofErr w:type="gramStart"/>
      <w:r w:rsidR="00787259">
        <w:t xml:space="preserve">= </w:t>
      </w:r>
      <w:r w:rsidRPr="00B615B6">
        <w:t xml:space="preserve"> </w:t>
      </w:r>
      <w:r w:rsidR="00257F0B">
        <w:tab/>
      </w:r>
      <w:proofErr w:type="gramEnd"/>
      <w:r w:rsidR="00257F0B">
        <w:t>C</w:t>
      </w:r>
      <w:r w:rsidRPr="00B615B6">
        <w:t>omputed</w:t>
      </w:r>
      <w:r w:rsidR="00050F78">
        <w:t>, see above</w:t>
      </w:r>
      <w:r w:rsidRPr="00B615B6">
        <w:t xml:space="preserve"> (%/100)</w:t>
      </w:r>
    </w:p>
    <w:p w14:paraId="3C1CCEBD" w14:textId="77777777" w:rsidR="00FB266C" w:rsidRDefault="00FB266C" w:rsidP="00C10F19"/>
    <w:p w14:paraId="41603112" w14:textId="2B20E226" w:rsidR="00D0488A" w:rsidRDefault="00000FF2" w:rsidP="00787259">
      <w:r>
        <w:t>To</w:t>
      </w:r>
      <w:r w:rsidR="00D0488A">
        <w:t xml:space="preserve"> separate the flow and pressure</w:t>
      </w:r>
      <w:r w:rsidR="006F5642" w:rsidRPr="006F5642">
        <w:t xml:space="preserve"> </w:t>
      </w:r>
      <w:r w:rsidR="006F5642">
        <w:t xml:space="preserve">total dynamic head (TDH) </w:t>
      </w:r>
      <w:r w:rsidR="00D0488A">
        <w:t xml:space="preserve">demand, the initial pump flow rate </w:t>
      </w:r>
      <w:r w:rsidR="00E456EB">
        <w:t xml:space="preserve">was estimated as a function of </w:t>
      </w:r>
      <w:r w:rsidR="00D0488A">
        <w:t xml:space="preserve">the </w:t>
      </w:r>
      <w:r w:rsidR="00E456EB">
        <w:t>WHP</w:t>
      </w:r>
      <w:r w:rsidR="009B4BEA">
        <w:t xml:space="preserve"> </w:t>
      </w:r>
      <w:r w:rsidR="00E456EB">
        <w:t xml:space="preserve">and initial pump TDH. </w:t>
      </w:r>
    </w:p>
    <w:p w14:paraId="7CECFC06" w14:textId="5B196C8D" w:rsidR="00B12C5C" w:rsidRDefault="00050F78" w:rsidP="000B19DD">
      <w:pPr>
        <w:pStyle w:val="Caption"/>
      </w:pPr>
      <w:r>
        <w:t>Initial</w:t>
      </w:r>
      <w:r w:rsidR="00B12C5C">
        <w:t xml:space="preserve"> Pump Flow Rate</w:t>
      </w:r>
    </w:p>
    <w:p w14:paraId="22475D94" w14:textId="56404982" w:rsidR="00D0488A" w:rsidRPr="00787259" w:rsidRDefault="00D0488A" w:rsidP="004C1A9E">
      <w:pPr>
        <w:pStyle w:val="BodyText"/>
      </w:pPr>
      <w:r>
        <w:rPr>
          <w:b/>
        </w:rPr>
        <w:t xml:space="preserve"> </w:t>
      </w:r>
      <m:oMath>
        <m:r>
          <m:t xml:space="preserve">Initial Pump Q </m:t>
        </m:r>
        <m:d>
          <m:dPr>
            <m:ctrlPr/>
          </m:dPr>
          <m:e>
            <m:f>
              <m:fPr>
                <m:ctrlPr/>
              </m:fPr>
              <m:num>
                <m:r>
                  <m:t>gal</m:t>
                </m:r>
              </m:num>
              <m:den>
                <m:r>
                  <m:t>min</m:t>
                </m:r>
              </m:den>
            </m:f>
          </m:e>
        </m:d>
        <m:r>
          <m:t xml:space="preserve">= </m:t>
        </m:r>
        <m:f>
          <m:fPr>
            <m:ctrlPr/>
          </m:fPr>
          <m:num>
            <m:r>
              <m:t>WHP*3960</m:t>
            </m:r>
          </m:num>
          <m:den>
            <m:r>
              <m:t>Initial Pump TDH</m:t>
            </m:r>
          </m:den>
        </m:f>
      </m:oMath>
    </w:p>
    <w:p w14:paraId="209C80EA" w14:textId="58305036" w:rsidR="00D0488A" w:rsidRPr="00B615B6" w:rsidRDefault="00D0488A" w:rsidP="00050F78">
      <w:pPr>
        <w:pStyle w:val="BodyText"/>
        <w:tabs>
          <w:tab w:val="left" w:pos="3150"/>
        </w:tabs>
        <w:ind w:left="1440"/>
      </w:pPr>
      <w:r w:rsidRPr="00B615B6">
        <w:t xml:space="preserve">WHP = </w:t>
      </w:r>
      <w:r w:rsidR="00787259">
        <w:tab/>
      </w:r>
      <w:r w:rsidRPr="00B615B6">
        <w:t xml:space="preserve">Computed </w:t>
      </w:r>
      <w:r w:rsidR="00000FF2">
        <w:t>(see above)</w:t>
      </w:r>
      <w:r w:rsidRPr="00B615B6">
        <w:t xml:space="preserve"> (</w:t>
      </w:r>
      <w:r w:rsidR="00787259">
        <w:t>hp</w:t>
      </w:r>
      <w:r w:rsidRPr="00B615B6">
        <w:t>)</w:t>
      </w:r>
    </w:p>
    <w:p w14:paraId="2F0A4DDA" w14:textId="7B5AE7EC" w:rsidR="00D0488A" w:rsidRPr="00B615B6" w:rsidRDefault="00D0488A" w:rsidP="00050F78">
      <w:pPr>
        <w:pStyle w:val="BodyText"/>
        <w:tabs>
          <w:tab w:val="left" w:pos="3150"/>
        </w:tabs>
        <w:ind w:left="1440"/>
      </w:pPr>
      <w:r w:rsidRPr="00B615B6">
        <w:t>Initial Pump TDH</w:t>
      </w:r>
      <w:r w:rsidR="00787259">
        <w:t xml:space="preserve"> </w:t>
      </w:r>
      <w:r w:rsidRPr="00B615B6">
        <w:t>=</w:t>
      </w:r>
      <w:r w:rsidR="00787259">
        <w:tab/>
      </w:r>
      <w:r w:rsidR="00050F78">
        <w:t>Initial pump total dynamic head (TDH)</w:t>
      </w:r>
      <w:r w:rsidR="00B615B6" w:rsidRPr="00B615B6">
        <w:t xml:space="preserve"> </w:t>
      </w:r>
      <w:r w:rsidRPr="00B615B6">
        <w:t>(feet)</w:t>
      </w:r>
    </w:p>
    <w:p w14:paraId="44C2DBE8" w14:textId="3D175398" w:rsidR="00B12C5C" w:rsidRDefault="00B459D6" w:rsidP="000B19DD">
      <w:pPr>
        <w:pStyle w:val="Caption"/>
      </w:pPr>
      <w:r>
        <w:t>Initial</w:t>
      </w:r>
      <w:r w:rsidR="00B12C5C">
        <w:t xml:space="preserve"> Input kW</w:t>
      </w:r>
    </w:p>
    <w:p w14:paraId="36599291" w14:textId="0151F3B0" w:rsidR="00D0488A" w:rsidRPr="00D4335E" w:rsidRDefault="00D0488A" w:rsidP="004C1A9E">
      <w:pPr>
        <w:pStyle w:val="BodyText"/>
      </w:pPr>
      <w:r>
        <w:rPr>
          <w:b/>
        </w:rPr>
        <w:t xml:space="preserve"> </w:t>
      </w:r>
      <m:oMath>
        <m:r>
          <m:t xml:space="preserve">Initial Input kW </m:t>
        </m:r>
        <m:d>
          <m:dPr>
            <m:ctrlPr/>
          </m:dPr>
          <m:e>
            <m:r>
              <m:t>kilo-watts</m:t>
            </m:r>
          </m:e>
        </m:d>
        <m:r>
          <m:t xml:space="preserve">= Input HP ×0.746 </m:t>
        </m:r>
        <m:f>
          <m:fPr>
            <m:ctrlPr/>
          </m:fPr>
          <m:num>
            <m:r>
              <m:t>kW</m:t>
            </m:r>
          </m:num>
          <m:den>
            <m:r>
              <m:t>HP</m:t>
            </m:r>
          </m:den>
        </m:f>
        <m:r>
          <m:t xml:space="preserve"> </m:t>
        </m:r>
      </m:oMath>
    </w:p>
    <w:p w14:paraId="4707DF25" w14:textId="77777777" w:rsidR="00B12C5C" w:rsidRDefault="00B12C5C" w:rsidP="00050F78"/>
    <w:p w14:paraId="25589B5F" w14:textId="25EFC902" w:rsidR="00D0488A" w:rsidRDefault="00D0488A" w:rsidP="004C1A9E">
      <w:r>
        <w:t>Compute the new</w:t>
      </w:r>
      <w:r w:rsidR="006F5642">
        <w:t xml:space="preserve"> </w:t>
      </w:r>
      <w:r>
        <w:t xml:space="preserve">pump TDH with </w:t>
      </w:r>
      <w:r w:rsidR="008C6A38">
        <w:t xml:space="preserve">a category 1 </w:t>
      </w:r>
      <w:r w:rsidR="00B12C5C">
        <w:t>enhanced</w:t>
      </w:r>
      <w:r>
        <w:t xml:space="preserve"> VFD</w:t>
      </w:r>
      <w:r w:rsidR="008C6A38">
        <w:t xml:space="preserve"> (no automation)</w:t>
      </w:r>
      <w:r w:rsidR="00B459D6">
        <w:t>.</w:t>
      </w:r>
    </w:p>
    <w:p w14:paraId="6C9D0087" w14:textId="57D726D5" w:rsidR="00B12C5C" w:rsidRDefault="00B459D6" w:rsidP="000B19DD">
      <w:pPr>
        <w:pStyle w:val="Caption"/>
      </w:pPr>
      <w:r>
        <w:t>New</w:t>
      </w:r>
      <w:r w:rsidR="00B12C5C">
        <w:t xml:space="preserve"> Pump TDH</w:t>
      </w:r>
    </w:p>
    <w:p w14:paraId="534D450E" w14:textId="4F55D3DD" w:rsidR="00D0488A" w:rsidRPr="004C1A9E" w:rsidRDefault="00D0488A" w:rsidP="004C1A9E">
      <w:pPr>
        <w:pStyle w:val="BodyText"/>
      </w:pPr>
      <m:oMathPara>
        <m:oMathParaPr>
          <m:jc m:val="left"/>
        </m:oMathParaPr>
        <m:oMath>
          <m:r>
            <m:t xml:space="preserve">New Pump TDH (feet)= Initial Pump TDH-Total Potential TDH Savings </m:t>
          </m:r>
        </m:oMath>
      </m:oMathPara>
    </w:p>
    <w:p w14:paraId="19064BAA" w14:textId="2D33FDB9" w:rsidR="00D0488A" w:rsidRPr="00B615B6" w:rsidRDefault="00D0488A" w:rsidP="00C10F19">
      <w:pPr>
        <w:pStyle w:val="BodyText"/>
        <w:ind w:left="1440"/>
      </w:pPr>
      <w:r w:rsidRPr="00B615B6">
        <w:t xml:space="preserve">Initial Pump TDH </w:t>
      </w:r>
      <w:r w:rsidRPr="00B615B6">
        <w:tab/>
      </w:r>
      <w:r w:rsidRPr="00B615B6">
        <w:tab/>
        <w:t xml:space="preserve">= </w:t>
      </w:r>
      <w:r w:rsidR="00B459D6">
        <w:t>Initial pump total dynamic head (TDH)</w:t>
      </w:r>
      <w:r w:rsidR="00B459D6" w:rsidRPr="00B615B6">
        <w:t xml:space="preserve"> (feet)</w:t>
      </w:r>
    </w:p>
    <w:p w14:paraId="21917EF8" w14:textId="0AFE0FCA" w:rsidR="00D0488A" w:rsidRPr="00B615B6" w:rsidRDefault="00D0488A" w:rsidP="00C10F19">
      <w:pPr>
        <w:pStyle w:val="BodyText"/>
        <w:ind w:left="1440"/>
      </w:pPr>
      <w:r w:rsidRPr="00B615B6">
        <w:t>Total Potential TDH Savings</w:t>
      </w:r>
      <w:r w:rsidRPr="00B615B6">
        <w:tab/>
        <w:t xml:space="preserve">= </w:t>
      </w:r>
      <w:r w:rsidR="00B459D6">
        <w:t>See above</w:t>
      </w:r>
      <w:r w:rsidR="00B459D6" w:rsidRPr="00B615B6">
        <w:t xml:space="preserve"> </w:t>
      </w:r>
      <w:r w:rsidRPr="00B615B6">
        <w:t xml:space="preserve">(feet) </w:t>
      </w:r>
    </w:p>
    <w:p w14:paraId="63C5A7DF" w14:textId="4F81FE99" w:rsidR="00B12C5C" w:rsidRDefault="00B459D6" w:rsidP="000B19DD">
      <w:pPr>
        <w:pStyle w:val="Caption"/>
      </w:pPr>
      <w:r>
        <w:t>New</w:t>
      </w:r>
      <w:r w:rsidR="00B12C5C">
        <w:t xml:space="preserve"> Input kW</w:t>
      </w:r>
    </w:p>
    <w:p w14:paraId="2B723CA7" w14:textId="390AF45F" w:rsidR="00D0488A" w:rsidRDefault="00D0488A" w:rsidP="004C1A9E">
      <w:pPr>
        <w:pStyle w:val="BodyText"/>
      </w:pPr>
      <w:r>
        <w:rPr>
          <w:b/>
        </w:rPr>
        <w:t xml:space="preserve"> </w:t>
      </w:r>
      <m:oMath>
        <m:r>
          <m:t xml:space="preserve">New Input kW= Initial Input kW × </m:t>
        </m:r>
        <m:f>
          <m:fPr>
            <m:ctrlPr/>
          </m:fPr>
          <m:num>
            <m:r>
              <m:t>New TDH</m:t>
            </m:r>
          </m:num>
          <m:den>
            <m:r>
              <m:t>Initial Pump TDH</m:t>
            </m:r>
          </m:den>
        </m:f>
      </m:oMath>
      <w:r>
        <w:t xml:space="preserve"> </w:t>
      </w:r>
    </w:p>
    <w:p w14:paraId="71C4DD37" w14:textId="77777777" w:rsidR="00AC6511" w:rsidRDefault="00AC6511" w:rsidP="004C1A9E">
      <w:pPr>
        <w:pStyle w:val="BodyText"/>
      </w:pPr>
    </w:p>
    <w:p w14:paraId="588D8B76" w14:textId="7207EB0B" w:rsidR="00D0488A" w:rsidRPr="00B615B6" w:rsidRDefault="00D0488A" w:rsidP="00B459D6">
      <w:pPr>
        <w:pStyle w:val="BodyText"/>
        <w:tabs>
          <w:tab w:val="left" w:pos="3600"/>
        </w:tabs>
        <w:ind w:left="1440"/>
      </w:pPr>
      <w:r w:rsidRPr="00B615B6">
        <w:t xml:space="preserve">Initial Input kW </w:t>
      </w:r>
      <w:r w:rsidRPr="00B615B6">
        <w:tab/>
        <w:t>= Computed</w:t>
      </w:r>
      <w:r w:rsidR="00B459D6">
        <w:t>, see above</w:t>
      </w:r>
      <w:r w:rsidRPr="00B615B6">
        <w:t xml:space="preserve"> (kW)</w:t>
      </w:r>
    </w:p>
    <w:p w14:paraId="492C21EE" w14:textId="44413034" w:rsidR="00D0488A" w:rsidRPr="00B615B6" w:rsidRDefault="00D0488A" w:rsidP="00B459D6">
      <w:pPr>
        <w:pStyle w:val="BodyText"/>
        <w:tabs>
          <w:tab w:val="left" w:pos="3600"/>
        </w:tabs>
        <w:ind w:left="1440"/>
      </w:pPr>
      <w:r w:rsidRPr="00B615B6">
        <w:t>New Pump TDH</w:t>
      </w:r>
      <w:r w:rsidRPr="00B615B6">
        <w:tab/>
        <w:t>= Computed</w:t>
      </w:r>
      <w:r w:rsidR="00B459D6">
        <w:t xml:space="preserve">, see above </w:t>
      </w:r>
      <w:r w:rsidRPr="00B615B6">
        <w:t>(feet)</w:t>
      </w:r>
    </w:p>
    <w:p w14:paraId="3D1E8F2A" w14:textId="4FB07094" w:rsidR="00D0488A" w:rsidRPr="00B615B6" w:rsidRDefault="00D0488A" w:rsidP="00B459D6">
      <w:pPr>
        <w:pStyle w:val="BodyText"/>
        <w:tabs>
          <w:tab w:val="left" w:pos="3600"/>
        </w:tabs>
        <w:ind w:left="1440"/>
      </w:pPr>
      <w:r w:rsidRPr="00B615B6">
        <w:t>Initial Pump TDH</w:t>
      </w:r>
      <w:r w:rsidRPr="00B615B6">
        <w:tab/>
        <w:t xml:space="preserve">= </w:t>
      </w:r>
      <w:r w:rsidR="00B459D6">
        <w:t>See above</w:t>
      </w:r>
    </w:p>
    <w:p w14:paraId="140DC67E" w14:textId="77777777" w:rsidR="00B7542C" w:rsidRDefault="00B7542C" w:rsidP="00B7542C">
      <w:pPr>
        <w:pStyle w:val="eTRMHeading5"/>
      </w:pPr>
    </w:p>
    <w:p w14:paraId="213E4CF4" w14:textId="77F946A9" w:rsidR="00B12C5C" w:rsidRDefault="006F5642" w:rsidP="006F5642">
      <w:r>
        <w:t>The average demand reduction is the difference between the baseline</w:t>
      </w:r>
      <w:r w:rsidR="00B459D6">
        <w:t xml:space="preserve"> (initial)</w:t>
      </w:r>
      <w:r>
        <w:t xml:space="preserve"> and measure case</w:t>
      </w:r>
      <w:r w:rsidR="00B459D6">
        <w:t xml:space="preserve"> (new)</w:t>
      </w:r>
      <w:r>
        <w:t xml:space="preserve"> input </w:t>
      </w:r>
      <w:r w:rsidR="00B459D6">
        <w:t>demand</w:t>
      </w:r>
      <w:r>
        <w:t>. Annual unit energy savings (UES) is calculated as the average demand reduction multiplied by the estimated annual hours of operation.</w:t>
      </w:r>
    </w:p>
    <w:p w14:paraId="6D1CEE7D" w14:textId="556B7980" w:rsidR="00B12C5C" w:rsidRDefault="00B12C5C" w:rsidP="000B19DD">
      <w:pPr>
        <w:pStyle w:val="Caption"/>
      </w:pPr>
      <w:r>
        <w:t xml:space="preserve">Average </w:t>
      </w:r>
      <w:r w:rsidR="006F5642">
        <w:t>Demand Reduction</w:t>
      </w:r>
    </w:p>
    <w:p w14:paraId="0293711C" w14:textId="4F58AE57" w:rsidR="00D0488A" w:rsidRPr="004C1A9E" w:rsidRDefault="00D0488A" w:rsidP="004C1A9E">
      <w:pPr>
        <w:pStyle w:val="BodyText"/>
      </w:pPr>
      <w:r w:rsidRPr="004C1A9E">
        <w:rPr>
          <w:b/>
        </w:rPr>
        <w:t xml:space="preserve"> </w:t>
      </w:r>
      <m:oMath>
        <m:r>
          <m:t>Demand Reduction, kW= Initial Input kW-New Input kW</m:t>
        </m:r>
      </m:oMath>
    </w:p>
    <w:p w14:paraId="09360AEF" w14:textId="77777777" w:rsidR="00B12C5C" w:rsidRDefault="00B12C5C" w:rsidP="004C1A9E">
      <w:pPr>
        <w:pStyle w:val="BodyText"/>
      </w:pPr>
    </w:p>
    <w:p w14:paraId="6D66DF9D" w14:textId="11A4D5FC" w:rsidR="00D0488A" w:rsidRPr="00B615B6" w:rsidRDefault="00D0488A" w:rsidP="00AC6511">
      <w:pPr>
        <w:pStyle w:val="BodyText"/>
        <w:ind w:left="1440"/>
      </w:pPr>
      <w:r w:rsidRPr="00B615B6">
        <w:t xml:space="preserve">Initial Input kW </w:t>
      </w:r>
      <w:r w:rsidRPr="00B615B6">
        <w:tab/>
      </w:r>
      <w:r w:rsidRPr="00B615B6">
        <w:tab/>
        <w:t xml:space="preserve">= </w:t>
      </w:r>
      <w:r w:rsidR="00B459D6">
        <w:t>See above</w:t>
      </w:r>
      <w:r w:rsidRPr="00B615B6">
        <w:t xml:space="preserve"> (kW)</w:t>
      </w:r>
    </w:p>
    <w:p w14:paraId="1E9D7CD4" w14:textId="53947DA4" w:rsidR="00D0488A" w:rsidRPr="00B615B6" w:rsidRDefault="00D0488A" w:rsidP="00AC6511">
      <w:pPr>
        <w:pStyle w:val="BodyText"/>
        <w:ind w:left="1440"/>
      </w:pPr>
      <w:r w:rsidRPr="00B615B6">
        <w:t xml:space="preserve">New Input kW </w:t>
      </w:r>
      <w:r w:rsidRPr="00B615B6">
        <w:tab/>
      </w:r>
      <w:r w:rsidRPr="00B615B6">
        <w:tab/>
        <w:t xml:space="preserve">= </w:t>
      </w:r>
      <w:r w:rsidR="00B459D6">
        <w:t>Computed, see above</w:t>
      </w:r>
      <w:r w:rsidRPr="00B615B6">
        <w:t xml:space="preserve"> (kW)</w:t>
      </w:r>
    </w:p>
    <w:p w14:paraId="0E60D3E0" w14:textId="77777777" w:rsidR="00B12C5C" w:rsidRDefault="00B12C5C" w:rsidP="004C1A9E">
      <w:pPr>
        <w:pStyle w:val="BodyText"/>
      </w:pPr>
    </w:p>
    <w:p w14:paraId="0D1A2DC6" w14:textId="48D0E9A7" w:rsidR="00B12C5C" w:rsidRDefault="00B12C5C" w:rsidP="000B19DD">
      <w:pPr>
        <w:pStyle w:val="Caption"/>
      </w:pPr>
      <w:r>
        <w:t xml:space="preserve">Annual </w:t>
      </w:r>
      <w:r w:rsidR="006F5642">
        <w:t xml:space="preserve">Unit </w:t>
      </w:r>
      <w:r>
        <w:t>Energy Savings</w:t>
      </w:r>
    </w:p>
    <w:p w14:paraId="6B516D81" w14:textId="658C4A74" w:rsidR="00D0488A" w:rsidRPr="004C1A9E" w:rsidRDefault="00D0488A" w:rsidP="004C1A9E">
      <w:pPr>
        <w:pStyle w:val="BodyText"/>
      </w:pPr>
      <w:r>
        <w:rPr>
          <w:b/>
        </w:rPr>
        <w:t xml:space="preserve"> </w:t>
      </w:r>
      <m:oMath>
        <m:r>
          <m:t>Annual UES, kW = DemandReduction ×HOURS</m:t>
        </m:r>
      </m:oMath>
    </w:p>
    <w:p w14:paraId="6BAA94D8" w14:textId="77777777" w:rsidR="00B12C5C" w:rsidRDefault="00B12C5C" w:rsidP="004C1A9E">
      <w:pPr>
        <w:pStyle w:val="BodyText"/>
      </w:pPr>
    </w:p>
    <w:p w14:paraId="2DE2E8D2" w14:textId="2592EF10" w:rsidR="00D0488A" w:rsidRPr="008E712A" w:rsidRDefault="00257F0B" w:rsidP="0022141C">
      <w:pPr>
        <w:pStyle w:val="BodyText"/>
        <w:ind w:left="1440"/>
      </w:pPr>
      <w:r>
        <w:t>UES</w:t>
      </w:r>
      <w:r w:rsidR="00D0488A" w:rsidRPr="008E712A">
        <w:t xml:space="preserve"> </w:t>
      </w:r>
      <w:r w:rsidR="00D0488A" w:rsidRPr="008E712A">
        <w:tab/>
      </w:r>
      <w:r w:rsidR="00D0488A" w:rsidRPr="008E712A">
        <w:tab/>
        <w:t xml:space="preserve">= </w:t>
      </w:r>
      <w:r>
        <w:t>Annual unit energy savings</w:t>
      </w:r>
      <w:r w:rsidR="008E712A" w:rsidRPr="008E712A">
        <w:t xml:space="preserve"> </w:t>
      </w:r>
      <w:r w:rsidR="00D0488A" w:rsidRPr="008E712A">
        <w:t>(kW)</w:t>
      </w:r>
    </w:p>
    <w:p w14:paraId="750A9CF9" w14:textId="5797FC66" w:rsidR="00D0488A" w:rsidRPr="008E712A" w:rsidRDefault="0022141C" w:rsidP="0022141C">
      <w:pPr>
        <w:pStyle w:val="BodyText"/>
        <w:ind w:left="1440"/>
      </w:pPr>
      <w:r>
        <w:t xml:space="preserve">HOURS = </w:t>
      </w:r>
      <w:r>
        <w:tab/>
      </w:r>
      <w:r w:rsidR="00D0488A" w:rsidRPr="008E712A">
        <w:t>Annual Operating Hours</w:t>
      </w:r>
      <w:r>
        <w:t xml:space="preserve"> </w:t>
      </w:r>
      <w:r w:rsidR="00D0488A" w:rsidRPr="008E712A">
        <w:t>(hours)</w:t>
      </w:r>
    </w:p>
    <w:p w14:paraId="0835DE0F" w14:textId="77777777" w:rsidR="00B12C5C" w:rsidRDefault="00B12C5C" w:rsidP="00D0488A">
      <w:pPr>
        <w:rPr>
          <w:szCs w:val="22"/>
        </w:rPr>
      </w:pPr>
    </w:p>
    <w:p w14:paraId="42F5675B" w14:textId="1FBB8465" w:rsidR="00BF6AA7" w:rsidRPr="00B9308C" w:rsidRDefault="00BF6AA7" w:rsidP="00BF6AA7">
      <w:pPr>
        <w:spacing w:before="80" w:line="276" w:lineRule="auto"/>
        <w:rPr>
          <w:szCs w:val="22"/>
        </w:rPr>
      </w:pPr>
      <w:r w:rsidRPr="00B9308C">
        <w:rPr>
          <w:szCs w:val="22"/>
        </w:rPr>
        <w:t xml:space="preserve">The energy savings and demand </w:t>
      </w:r>
      <w:r w:rsidR="00F95E06">
        <w:rPr>
          <w:szCs w:val="22"/>
        </w:rPr>
        <w:t xml:space="preserve">impacts of </w:t>
      </w:r>
      <w:r w:rsidRPr="00B9308C">
        <w:rPr>
          <w:szCs w:val="22"/>
        </w:rPr>
        <w:t xml:space="preserve">each measure </w:t>
      </w:r>
      <w:r w:rsidR="00F95E06">
        <w:rPr>
          <w:szCs w:val="22"/>
        </w:rPr>
        <w:t xml:space="preserve">offering </w:t>
      </w:r>
      <w:r w:rsidRPr="00B9308C">
        <w:rPr>
          <w:szCs w:val="22"/>
        </w:rPr>
        <w:t xml:space="preserve">were </w:t>
      </w:r>
      <w:proofErr w:type="gramStart"/>
      <w:r w:rsidRPr="00B9308C">
        <w:rPr>
          <w:szCs w:val="22"/>
        </w:rPr>
        <w:t>analyzed</w:t>
      </w:r>
      <w:proofErr w:type="gramEnd"/>
      <w:r w:rsidRPr="00B9308C">
        <w:rPr>
          <w:szCs w:val="22"/>
        </w:rPr>
        <w:t xml:space="preserve"> </w:t>
      </w:r>
      <w:r w:rsidR="0023676B">
        <w:rPr>
          <w:szCs w:val="22"/>
        </w:rPr>
        <w:t>and</w:t>
      </w:r>
      <w:r w:rsidRPr="00B9308C">
        <w:rPr>
          <w:szCs w:val="22"/>
        </w:rPr>
        <w:t xml:space="preserve"> the weighted averages were calculated based on the number of pump motors in each horsepower bin.</w:t>
      </w:r>
    </w:p>
    <w:p w14:paraId="5B8AE87F" w14:textId="0A374B61" w:rsidR="00BF6AA7" w:rsidRPr="00F95E06" w:rsidRDefault="00BF6AA7" w:rsidP="0023676B">
      <w:pPr>
        <w:pStyle w:val="ListParagraph"/>
        <w:numPr>
          <w:ilvl w:val="0"/>
          <w:numId w:val="43"/>
        </w:numPr>
      </w:pPr>
      <w:r w:rsidRPr="00F95E06">
        <w:t xml:space="preserve">Well pumps </w:t>
      </w:r>
      <w:r w:rsidR="0023676B">
        <w:t>&gt;</w:t>
      </w:r>
      <w:r w:rsidRPr="00F95E06">
        <w:t xml:space="preserve"> 600-hp and booster pumps </w:t>
      </w:r>
      <w:r w:rsidR="0023676B">
        <w:t>&gt;</w:t>
      </w:r>
      <w:r w:rsidRPr="00F95E06">
        <w:t xml:space="preserve"> 150-hp are recommended to go through Customized Retrofit Incentives or New Construction, as applicable, as this was the range of pumps that most projects have seen come through these programs.</w:t>
      </w:r>
    </w:p>
    <w:p w14:paraId="7B063330" w14:textId="19CE8C11" w:rsidR="00BF6AA7" w:rsidRDefault="00BF6AA7" w:rsidP="0023676B">
      <w:pPr>
        <w:pStyle w:val="ListParagraph"/>
        <w:numPr>
          <w:ilvl w:val="0"/>
          <w:numId w:val="43"/>
        </w:numPr>
      </w:pPr>
      <w:r>
        <w:t>For well pump VFD</w:t>
      </w:r>
      <w:r w:rsidR="00A807F9">
        <w:t>,</w:t>
      </w:r>
      <w:r>
        <w:t xml:space="preserve"> </w:t>
      </w:r>
      <w:r w:rsidR="00A807F9">
        <w:t>t</w:t>
      </w:r>
      <w:r w:rsidRPr="00187954">
        <w:t xml:space="preserve">he </w:t>
      </w:r>
      <w:r w:rsidR="0023676B">
        <w:t>UES</w:t>
      </w:r>
      <w:r w:rsidRPr="00187954">
        <w:t xml:space="preserve"> were </w:t>
      </w:r>
      <w:r>
        <w:t xml:space="preserve">first </w:t>
      </w:r>
      <w:r w:rsidRPr="00187954">
        <w:t xml:space="preserve">calculated for each of the twelve pump horsepower bins, then the average kW and kWh </w:t>
      </w:r>
      <w:r w:rsidR="0023676B">
        <w:t xml:space="preserve">impacts </w:t>
      </w:r>
      <w:r w:rsidRPr="00187954">
        <w:t xml:space="preserve">per horsepower </w:t>
      </w:r>
      <w:r>
        <w:t>was</w:t>
      </w:r>
      <w:r w:rsidRPr="00187954">
        <w:t xml:space="preserve"> calculated.</w:t>
      </w:r>
      <w:r>
        <w:t xml:space="preserve"> See </w:t>
      </w:r>
      <w:r w:rsidR="00E5028B">
        <w:t xml:space="preserve">table above </w:t>
      </w:r>
      <w:r>
        <w:t xml:space="preserve">for the </w:t>
      </w:r>
      <w:r w:rsidRPr="00187954">
        <w:t>horsepower bins</w:t>
      </w:r>
      <w:r>
        <w:t xml:space="preserve"> and the pump data. </w:t>
      </w:r>
    </w:p>
    <w:p w14:paraId="37E6BD96" w14:textId="6B68BB1C" w:rsidR="00BF6AA7" w:rsidRDefault="00BF6AA7" w:rsidP="0023676B">
      <w:pPr>
        <w:pStyle w:val="ListParagraph"/>
        <w:numPr>
          <w:ilvl w:val="0"/>
          <w:numId w:val="43"/>
        </w:numPr>
      </w:pPr>
      <w:r>
        <w:t>For booster pump VFD</w:t>
      </w:r>
      <w:r w:rsidR="00A807F9">
        <w:t>,</w:t>
      </w:r>
      <w:r>
        <w:t xml:space="preserve"> </w:t>
      </w:r>
      <w:r w:rsidR="00A807F9">
        <w:t>t</w:t>
      </w:r>
      <w:r w:rsidRPr="00187954">
        <w:t xml:space="preserve">he </w:t>
      </w:r>
      <w:r w:rsidR="0023676B">
        <w:t>UES</w:t>
      </w:r>
      <w:r w:rsidRPr="00187954">
        <w:t xml:space="preserve"> were calculated for each of the </w:t>
      </w:r>
      <w:r>
        <w:t>three</w:t>
      </w:r>
      <w:r w:rsidRPr="00187954">
        <w:t xml:space="preserve"> pump horsepower bins, then the average kW and kWh </w:t>
      </w:r>
      <w:r w:rsidR="0023676B">
        <w:t xml:space="preserve">impact </w:t>
      </w:r>
      <w:r w:rsidRPr="00187954">
        <w:t xml:space="preserve">per horsepower </w:t>
      </w:r>
      <w:r>
        <w:t>savings was</w:t>
      </w:r>
      <w:r w:rsidRPr="00187954">
        <w:t xml:space="preserve"> then calculated.</w:t>
      </w:r>
      <w:r>
        <w:t xml:space="preserve"> </w:t>
      </w:r>
      <w:proofErr w:type="gramStart"/>
      <w:r>
        <w:t xml:space="preserve">See </w:t>
      </w:r>
      <w:r w:rsidR="00E5028B">
        <w:t xml:space="preserve"> table</w:t>
      </w:r>
      <w:proofErr w:type="gramEnd"/>
      <w:r w:rsidR="00E5028B">
        <w:t xml:space="preserve"> above </w:t>
      </w:r>
      <w:r>
        <w:t xml:space="preserve">for the </w:t>
      </w:r>
      <w:r w:rsidRPr="00187954">
        <w:t>horsepower bins</w:t>
      </w:r>
      <w:r>
        <w:t xml:space="preserve"> and the pump data. </w:t>
      </w:r>
    </w:p>
    <w:p w14:paraId="467CD7CA" w14:textId="77777777" w:rsidR="00BF6AA7" w:rsidRDefault="00BF6AA7" w:rsidP="004B06E3"/>
    <w:p w14:paraId="46B7702E" w14:textId="77777777" w:rsidR="00BB4F22" w:rsidRPr="004B06E3" w:rsidRDefault="00BB4F22" w:rsidP="00BB4F22">
      <w:pPr>
        <w:pStyle w:val="eTRMHeading3"/>
      </w:pPr>
      <w:bookmarkStart w:id="40" w:name="_Toc486490856"/>
      <w:bookmarkStart w:id="41" w:name="_Toc486580927"/>
      <w:bookmarkStart w:id="42" w:name="_Toc10806372"/>
      <w:r w:rsidRPr="004B06E3">
        <w:t>Peak Electric Demand Reduction (kW)</w:t>
      </w:r>
      <w:bookmarkEnd w:id="40"/>
      <w:bookmarkEnd w:id="41"/>
      <w:bookmarkEnd w:id="42"/>
    </w:p>
    <w:p w14:paraId="3A4B5A63" w14:textId="77777777" w:rsidR="00B459D6" w:rsidRDefault="00B459D6" w:rsidP="00B459D6">
      <w:r>
        <w:t>The average demand reduction is the difference between the baseline (initial) and measure case (new) input demand. Annual unit energy savings (UES) is calculated as the average demand reduction multiplied by the estimated annual hours of operation.</w:t>
      </w:r>
    </w:p>
    <w:p w14:paraId="77D74FB5" w14:textId="77777777" w:rsidR="00B459D6" w:rsidRDefault="00B459D6" w:rsidP="00B459D6">
      <w:pPr>
        <w:pStyle w:val="Caption"/>
      </w:pPr>
      <w:r>
        <w:t>Average Demand Reduction</w:t>
      </w:r>
    </w:p>
    <w:p w14:paraId="1A19BCB5" w14:textId="77777777" w:rsidR="00B459D6" w:rsidRPr="004C1A9E" w:rsidRDefault="00B459D6" w:rsidP="00B459D6">
      <w:pPr>
        <w:pStyle w:val="BodyText"/>
      </w:pPr>
      <w:r w:rsidRPr="004C1A9E">
        <w:rPr>
          <w:b/>
        </w:rPr>
        <w:t xml:space="preserve"> </w:t>
      </w:r>
      <m:oMath>
        <m:r>
          <m:t>Demand Reduction, kW= Initial Input kW-New Input kW</m:t>
        </m:r>
      </m:oMath>
    </w:p>
    <w:p w14:paraId="6869193C" w14:textId="77777777" w:rsidR="00B459D6" w:rsidRDefault="00B459D6" w:rsidP="00B459D6">
      <w:pPr>
        <w:pStyle w:val="BodyText"/>
      </w:pPr>
    </w:p>
    <w:p w14:paraId="22F9F674" w14:textId="63F12B20" w:rsidR="00B459D6" w:rsidRPr="00B615B6" w:rsidRDefault="00B459D6" w:rsidP="00B459D6">
      <w:pPr>
        <w:pStyle w:val="BodyText"/>
        <w:ind w:left="1440"/>
      </w:pPr>
      <w:r w:rsidRPr="00B615B6">
        <w:t xml:space="preserve">Initial Input kW </w:t>
      </w:r>
      <w:r w:rsidRPr="00B615B6">
        <w:tab/>
      </w:r>
      <w:r w:rsidRPr="00B615B6">
        <w:tab/>
        <w:t xml:space="preserve">= </w:t>
      </w:r>
      <w:r>
        <w:t>See Electric Savings</w:t>
      </w:r>
      <w:r w:rsidRPr="00B615B6">
        <w:t xml:space="preserve"> (kW)</w:t>
      </w:r>
    </w:p>
    <w:p w14:paraId="6A7089F1" w14:textId="6538214F" w:rsidR="00B459D6" w:rsidRPr="00B615B6" w:rsidRDefault="00B459D6" w:rsidP="00B459D6">
      <w:pPr>
        <w:pStyle w:val="BodyText"/>
        <w:ind w:left="1440"/>
      </w:pPr>
      <w:r w:rsidRPr="00B615B6">
        <w:t xml:space="preserve">New Input kW </w:t>
      </w:r>
      <w:r w:rsidRPr="00B615B6">
        <w:tab/>
      </w:r>
      <w:r w:rsidRPr="00B615B6">
        <w:tab/>
        <w:t xml:space="preserve">= </w:t>
      </w:r>
      <w:r>
        <w:t>Computed, see Electric Savings</w:t>
      </w:r>
      <w:r w:rsidRPr="00B615B6">
        <w:t xml:space="preserve"> (kW)</w:t>
      </w:r>
    </w:p>
    <w:p w14:paraId="20CDCDE4" w14:textId="77777777" w:rsidR="004C1A9E" w:rsidRDefault="004C1A9E" w:rsidP="001253B1">
      <w:pPr>
        <w:spacing w:line="288" w:lineRule="auto"/>
        <w:rPr>
          <w:szCs w:val="22"/>
        </w:rPr>
      </w:pPr>
    </w:p>
    <w:p w14:paraId="2395B182" w14:textId="665341E4" w:rsidR="001253B1" w:rsidRPr="00C006C3" w:rsidRDefault="0020598F" w:rsidP="00804DAF">
      <w:pPr>
        <w:rPr>
          <w:szCs w:val="22"/>
        </w:rPr>
      </w:pPr>
      <w:bookmarkStart w:id="43" w:name="_Hlk3369887"/>
      <w:r>
        <w:t>T</w:t>
      </w:r>
      <w:r w:rsidRPr="00EA6EFF">
        <w:t>he flow that th</w:t>
      </w:r>
      <w:r>
        <w:t>e pump is providing during the p</w:t>
      </w:r>
      <w:r w:rsidRPr="00EA6EFF">
        <w:t>eak</w:t>
      </w:r>
      <w:r>
        <w:t xml:space="preserve"> period, as well as the associated</w:t>
      </w:r>
      <w:r w:rsidRPr="00EA6EFF">
        <w:t xml:space="preserve"> </w:t>
      </w:r>
      <w:r>
        <w:t xml:space="preserve">pump head and pump efficiency are </w:t>
      </w:r>
      <w:r w:rsidR="00CD5BB1">
        <w:rPr>
          <w:szCs w:val="22"/>
        </w:rPr>
        <w:t xml:space="preserve">difficult to estimate. </w:t>
      </w:r>
      <w:r w:rsidR="001253B1" w:rsidRPr="0047015A">
        <w:rPr>
          <w:szCs w:val="22"/>
        </w:rPr>
        <w:t xml:space="preserve">Thus, the </w:t>
      </w:r>
      <w:r>
        <w:rPr>
          <w:szCs w:val="22"/>
        </w:rPr>
        <w:t xml:space="preserve">peak </w:t>
      </w:r>
      <w:r w:rsidR="001253B1" w:rsidRPr="0047015A">
        <w:rPr>
          <w:szCs w:val="22"/>
        </w:rPr>
        <w:t xml:space="preserve">demand reduction is assumed to </w:t>
      </w:r>
      <w:r>
        <w:rPr>
          <w:szCs w:val="22"/>
        </w:rPr>
        <w:t>equal</w:t>
      </w:r>
      <w:r w:rsidR="001253B1" w:rsidRPr="0047015A">
        <w:rPr>
          <w:szCs w:val="22"/>
        </w:rPr>
        <w:t xml:space="preserve"> the average demand</w:t>
      </w:r>
      <w:r>
        <w:rPr>
          <w:szCs w:val="22"/>
        </w:rPr>
        <w:t xml:space="preserve"> reduction</w:t>
      </w:r>
      <w:r w:rsidR="001253B1" w:rsidRPr="0047015A">
        <w:rPr>
          <w:szCs w:val="22"/>
        </w:rPr>
        <w:t xml:space="preserve"> of the pump.</w:t>
      </w:r>
      <w:r w:rsidR="001253B1" w:rsidRPr="00C006C3">
        <w:rPr>
          <w:szCs w:val="22"/>
        </w:rPr>
        <w:t xml:space="preserve">  </w:t>
      </w:r>
    </w:p>
    <w:bookmarkEnd w:id="43"/>
    <w:p w14:paraId="6544115B" w14:textId="77777777" w:rsidR="00BB4F22" w:rsidRDefault="00BB4F22" w:rsidP="00BB4F22"/>
    <w:p w14:paraId="02E97124" w14:textId="77777777" w:rsidR="00177EB6" w:rsidRPr="004B06E3" w:rsidRDefault="00177EB6" w:rsidP="00177EB6">
      <w:pPr>
        <w:pStyle w:val="eTRMHeading3"/>
      </w:pPr>
      <w:bookmarkStart w:id="44" w:name="_Toc486490858"/>
      <w:bookmarkStart w:id="45" w:name="_Toc486580929"/>
      <w:bookmarkStart w:id="46" w:name="_Toc10806373"/>
      <w:r w:rsidRPr="004B06E3">
        <w:t>Gas Savings (</w:t>
      </w:r>
      <w:r w:rsidRPr="00F95E06">
        <w:rPr>
          <w:caps w:val="0"/>
        </w:rPr>
        <w:t>Therms</w:t>
      </w:r>
      <w:r w:rsidRPr="004B06E3">
        <w:t>)</w:t>
      </w:r>
      <w:bookmarkEnd w:id="44"/>
      <w:bookmarkEnd w:id="45"/>
      <w:bookmarkEnd w:id="46"/>
    </w:p>
    <w:p w14:paraId="1285588C" w14:textId="6E384058" w:rsidR="00177EB6" w:rsidRDefault="003A7867" w:rsidP="00EB21AC">
      <w:r>
        <w:t xml:space="preserve">There are no gas savings associated with this measure. </w:t>
      </w:r>
    </w:p>
    <w:p w14:paraId="20A2A164" w14:textId="77777777" w:rsidR="00177EB6" w:rsidRDefault="00177EB6" w:rsidP="00177EB6"/>
    <w:p w14:paraId="4DDCD51F" w14:textId="6D6269C5" w:rsidR="007D230B" w:rsidRPr="004B06E3" w:rsidRDefault="00245AFF" w:rsidP="00462BB6">
      <w:pPr>
        <w:pStyle w:val="eTRMHeading3"/>
      </w:pPr>
      <w:bookmarkStart w:id="47" w:name="_Toc10806374"/>
      <w:bookmarkStart w:id="48" w:name="_Toc486490859"/>
      <w:bookmarkStart w:id="49" w:name="_Toc486580930"/>
      <w:r w:rsidRPr="004B06E3">
        <w:t>Life Cycle</w:t>
      </w:r>
      <w:bookmarkEnd w:id="47"/>
      <w:r w:rsidR="007D230B" w:rsidRPr="004B06E3">
        <w:t xml:space="preserve"> </w:t>
      </w:r>
      <w:bookmarkEnd w:id="48"/>
      <w:bookmarkEnd w:id="49"/>
    </w:p>
    <w:p w14:paraId="6459579D" w14:textId="03497058"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lastRenderedPageBreak/>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t xml:space="preserve"> </w:t>
      </w:r>
    </w:p>
    <w:p w14:paraId="29FA5249" w14:textId="107DDE1C" w:rsidR="005E5E67" w:rsidRDefault="005E5E67" w:rsidP="005E5E67">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9"/>
      </w:r>
      <w:r>
        <w:t xml:space="preserve"> </w:t>
      </w:r>
      <w:r w:rsidRPr="008F087F">
        <w:rPr>
          <w:rFonts w:eastAsia="Times New Roman"/>
        </w:rPr>
        <w:t xml:space="preserve">This approach provides a </w:t>
      </w:r>
      <w:r>
        <w:rPr>
          <w:rFonts w:eastAsia="Times New Roman"/>
        </w:rPr>
        <w:t>“</w:t>
      </w:r>
      <w:r w:rsidRPr="008F087F">
        <w:rPr>
          <w:rFonts w:eastAsia="Times New Roman"/>
        </w:rPr>
        <w:t>reasonable RUL estimate without the requiring any a priori knowledge about the age of the equipment being replaced.</w:t>
      </w:r>
      <w:r>
        <w:rPr>
          <w:rStyle w:val="FootnoteReference"/>
          <w:rFonts w:eastAsia="Times New Roman"/>
        </w:rPr>
        <w:footnoteReference w:id="10"/>
      </w:r>
      <w:r w:rsidRPr="008F087F">
        <w:rPr>
          <w:rFonts w:eastAsia="Times New Roman"/>
        </w:rPr>
        <w:t> </w:t>
      </w:r>
      <w:r>
        <w:rPr>
          <w:rFonts w:eastAsia="Times New Roman"/>
        </w:rPr>
        <w:t>Further, a</w:t>
      </w:r>
      <w:r w:rsidRPr="00951F20">
        <w:t xml:space="preserve">s per Resolution E-4807, the California Public Utilities Commission (CPUC) revised add-on </w:t>
      </w:r>
      <w:r>
        <w:t xml:space="preserve">equipment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11"/>
      </w:r>
    </w:p>
    <w:p w14:paraId="2BE8EC3E" w14:textId="43F79881" w:rsidR="007D230B" w:rsidRDefault="007F669E" w:rsidP="004142EF">
      <w:r>
        <w:t xml:space="preserve">The EUL and RUL specified for </w:t>
      </w:r>
      <w:r w:rsidR="00242AAB">
        <w:t>VFDs on agriculture pumps</w:t>
      </w:r>
      <w:r>
        <w:t xml:space="preserve"> are </w:t>
      </w:r>
      <w:r w:rsidR="00F95E06">
        <w:t>specified below</w:t>
      </w:r>
      <w:r>
        <w:t xml:space="preserve">. </w:t>
      </w:r>
      <w:r w:rsidR="00813BAB">
        <w:t>For add-on equipment installations, the host equipment is the pump motor.</w:t>
      </w:r>
    </w:p>
    <w:p w14:paraId="7D542FEF" w14:textId="738090D7" w:rsidR="00FD2C54" w:rsidRPr="00920905" w:rsidRDefault="00FD2C54" w:rsidP="000B19DD">
      <w:pPr>
        <w:pStyle w:val="Caption"/>
      </w:pPr>
      <w:r>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530"/>
        <w:gridCol w:w="5128"/>
      </w:tblGrid>
      <w:tr w:rsidR="005C0291" w:rsidRPr="00500C4E" w14:paraId="1FE81044" w14:textId="0C091959" w:rsidTr="005C0291">
        <w:trPr>
          <w:cantSplit/>
          <w:trHeight w:val="20"/>
        </w:trPr>
        <w:tc>
          <w:tcPr>
            <w:tcW w:w="2877" w:type="dxa"/>
            <w:shd w:val="clear" w:color="auto" w:fill="F2F2F2" w:themeFill="background1" w:themeFillShade="F2"/>
            <w:vAlign w:val="bottom"/>
          </w:tcPr>
          <w:p w14:paraId="1666F440" w14:textId="31AB2C31" w:rsidR="005C0291" w:rsidRPr="00694410" w:rsidRDefault="005C0291" w:rsidP="009C31A4">
            <w:pPr>
              <w:keepNext/>
              <w:keepLines/>
              <w:spacing w:before="20" w:after="20"/>
              <w:jc w:val="center"/>
              <w:rPr>
                <w:rFonts w:cstheme="minorHAnsi"/>
                <w:b/>
                <w:sz w:val="20"/>
                <w:szCs w:val="20"/>
              </w:rPr>
            </w:pPr>
            <w:bookmarkStart w:id="50" w:name="_Hlk509920996"/>
            <w:r>
              <w:rPr>
                <w:rFonts w:cstheme="minorHAnsi"/>
                <w:b/>
                <w:sz w:val="20"/>
                <w:szCs w:val="20"/>
              </w:rPr>
              <w:t>Parameter</w:t>
            </w:r>
          </w:p>
        </w:tc>
        <w:tc>
          <w:tcPr>
            <w:tcW w:w="1530" w:type="dxa"/>
            <w:shd w:val="clear" w:color="auto" w:fill="F2F2F2" w:themeFill="background1" w:themeFillShade="F2"/>
          </w:tcPr>
          <w:p w14:paraId="36D18BAC" w14:textId="5211B3F4" w:rsidR="005C0291" w:rsidRPr="00694410" w:rsidRDefault="006F7325" w:rsidP="009C31A4">
            <w:pPr>
              <w:keepNext/>
              <w:keepLines/>
              <w:spacing w:before="20" w:after="20"/>
              <w:jc w:val="center"/>
              <w:rPr>
                <w:rFonts w:cstheme="minorHAnsi"/>
                <w:b/>
                <w:sz w:val="20"/>
                <w:szCs w:val="20"/>
              </w:rPr>
            </w:pPr>
            <w:r>
              <w:rPr>
                <w:rFonts w:cstheme="minorHAnsi"/>
                <w:b/>
                <w:sz w:val="20"/>
                <w:szCs w:val="20"/>
              </w:rPr>
              <w:t>Value</w:t>
            </w:r>
          </w:p>
        </w:tc>
        <w:tc>
          <w:tcPr>
            <w:tcW w:w="5128" w:type="dxa"/>
            <w:shd w:val="clear" w:color="auto" w:fill="F2F2F2" w:themeFill="background1" w:themeFillShade="F2"/>
          </w:tcPr>
          <w:p w14:paraId="541E1750" w14:textId="139E5C00" w:rsidR="005C0291" w:rsidRPr="00694410" w:rsidRDefault="005C0291" w:rsidP="009C31A4">
            <w:pPr>
              <w:keepNext/>
              <w:keepLines/>
              <w:spacing w:before="20" w:after="20"/>
              <w:jc w:val="center"/>
              <w:rPr>
                <w:rFonts w:cstheme="minorHAnsi"/>
                <w:b/>
                <w:sz w:val="20"/>
                <w:szCs w:val="20"/>
              </w:rPr>
            </w:pPr>
            <w:r>
              <w:rPr>
                <w:rFonts w:cstheme="minorHAnsi"/>
                <w:b/>
                <w:sz w:val="20"/>
                <w:szCs w:val="20"/>
              </w:rPr>
              <w:t>Source</w:t>
            </w:r>
          </w:p>
        </w:tc>
      </w:tr>
      <w:tr w:rsidR="005C0291" w:rsidRPr="00500C4E" w14:paraId="7B636A73" w14:textId="217149CE" w:rsidTr="005C0291">
        <w:trPr>
          <w:cantSplit/>
          <w:trHeight w:val="20"/>
        </w:trPr>
        <w:tc>
          <w:tcPr>
            <w:tcW w:w="2877" w:type="dxa"/>
          </w:tcPr>
          <w:p w14:paraId="64E6D65F" w14:textId="4CC1A9A8" w:rsidR="005C0291" w:rsidRPr="00177EB6" w:rsidRDefault="005C0291" w:rsidP="00177EB6">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r w:rsidR="00813BAB">
              <w:rPr>
                <w:rFonts w:cstheme="minorHAnsi"/>
                <w:sz w:val="20"/>
                <w:szCs w:val="20"/>
              </w:rPr>
              <w:t xml:space="preserve"> – VFD</w:t>
            </w:r>
          </w:p>
        </w:tc>
        <w:tc>
          <w:tcPr>
            <w:tcW w:w="1530" w:type="dxa"/>
          </w:tcPr>
          <w:p w14:paraId="29CB680C" w14:textId="0BE7D989" w:rsidR="005C0291" w:rsidRPr="006F7325" w:rsidRDefault="005C0291" w:rsidP="006F7325">
            <w:pPr>
              <w:keepNext/>
              <w:keepLines/>
              <w:spacing w:before="20" w:after="20"/>
              <w:ind w:right="430"/>
              <w:jc w:val="right"/>
              <w:rPr>
                <w:sz w:val="20"/>
                <w:szCs w:val="20"/>
              </w:rPr>
            </w:pPr>
            <w:r w:rsidRPr="006F7325">
              <w:rPr>
                <w:sz w:val="20"/>
                <w:szCs w:val="20"/>
              </w:rPr>
              <w:t>10.0</w:t>
            </w:r>
          </w:p>
        </w:tc>
        <w:tc>
          <w:tcPr>
            <w:tcW w:w="5128" w:type="dxa"/>
          </w:tcPr>
          <w:p w14:paraId="12293357" w14:textId="0DCAD211" w:rsidR="005C0291" w:rsidRPr="00D72552" w:rsidRDefault="00490898" w:rsidP="00D72552">
            <w:pPr>
              <w:keepNext/>
              <w:keepLines/>
              <w:spacing w:before="20" w:after="20"/>
              <w:rPr>
                <w:sz w:val="18"/>
                <w:szCs w:val="20"/>
              </w:rPr>
            </w:pPr>
            <w:r>
              <w:rPr>
                <w:sz w:val="18"/>
                <w:szCs w:val="20"/>
              </w:rPr>
              <w:t>The source for this data/information is unknown.</w:t>
            </w:r>
          </w:p>
        </w:tc>
      </w:tr>
      <w:tr w:rsidR="00E5028B" w:rsidRPr="00500C4E" w14:paraId="66484A7D" w14:textId="77777777" w:rsidTr="00E5028B">
        <w:trPr>
          <w:cantSplit/>
          <w:trHeight w:val="20"/>
        </w:trPr>
        <w:tc>
          <w:tcPr>
            <w:tcW w:w="2877" w:type="dxa"/>
          </w:tcPr>
          <w:p w14:paraId="0B1A2EC1" w14:textId="3B4FFB37" w:rsidR="00E5028B" w:rsidRPr="00177EB6" w:rsidRDefault="00E5028B" w:rsidP="00E5028B">
            <w:pPr>
              <w:keepNext/>
              <w:keepLines/>
              <w:spacing w:before="20" w:after="20"/>
              <w:rPr>
                <w:rFonts w:cstheme="minorHAnsi"/>
                <w:sz w:val="20"/>
                <w:szCs w:val="20"/>
              </w:rPr>
            </w:pPr>
            <w:r>
              <w:rPr>
                <w:rFonts w:cstheme="minorHAnsi"/>
                <w:sz w:val="20"/>
                <w:szCs w:val="20"/>
              </w:rPr>
              <w:t>EUL (</w:t>
            </w:r>
            <w:proofErr w:type="spellStart"/>
            <w:r>
              <w:rPr>
                <w:rFonts w:cstheme="minorHAnsi"/>
                <w:sz w:val="20"/>
                <w:szCs w:val="20"/>
              </w:rPr>
              <w:t>yrs</w:t>
            </w:r>
            <w:proofErr w:type="spellEnd"/>
            <w:r>
              <w:rPr>
                <w:rFonts w:cstheme="minorHAnsi"/>
                <w:sz w:val="20"/>
                <w:szCs w:val="20"/>
              </w:rPr>
              <w:t>) – host pump motor</w:t>
            </w:r>
          </w:p>
        </w:tc>
        <w:tc>
          <w:tcPr>
            <w:tcW w:w="1530" w:type="dxa"/>
            <w:vAlign w:val="center"/>
          </w:tcPr>
          <w:p w14:paraId="06806ACC" w14:textId="7458F373" w:rsidR="00E5028B" w:rsidRPr="006F7325" w:rsidRDefault="00E5028B" w:rsidP="00E5028B">
            <w:pPr>
              <w:keepNext/>
              <w:keepLines/>
              <w:spacing w:before="20" w:after="20"/>
              <w:ind w:right="430"/>
              <w:jc w:val="right"/>
              <w:rPr>
                <w:sz w:val="20"/>
                <w:szCs w:val="20"/>
              </w:rPr>
            </w:pPr>
            <w:r>
              <w:rPr>
                <w:sz w:val="20"/>
                <w:szCs w:val="20"/>
              </w:rPr>
              <w:t>15.0</w:t>
            </w:r>
          </w:p>
        </w:tc>
        <w:tc>
          <w:tcPr>
            <w:tcW w:w="5128" w:type="dxa"/>
            <w:vAlign w:val="center"/>
          </w:tcPr>
          <w:p w14:paraId="078DCEEF" w14:textId="13806DA1" w:rsidR="00E5028B" w:rsidRDefault="00E5028B" w:rsidP="00E5028B">
            <w:pPr>
              <w:keepNext/>
              <w:keepLines/>
              <w:spacing w:before="20" w:after="20"/>
              <w:rPr>
                <w:sz w:val="18"/>
                <w:szCs w:val="20"/>
              </w:rPr>
            </w:pPr>
            <w:r w:rsidRPr="001C5866">
              <w:rPr>
                <w:sz w:val="18"/>
              </w:rPr>
              <w:t>California Public Utilities Commission (CPUC). 2008. “EUL_Summary_10-1-08.xls.”</w:t>
            </w:r>
          </w:p>
        </w:tc>
      </w:tr>
      <w:tr w:rsidR="005C0291" w:rsidRPr="00500C4E" w14:paraId="71871DE1" w14:textId="51A3395E" w:rsidTr="005C0291">
        <w:trPr>
          <w:cantSplit/>
          <w:trHeight w:val="20"/>
        </w:trPr>
        <w:tc>
          <w:tcPr>
            <w:tcW w:w="2877" w:type="dxa"/>
          </w:tcPr>
          <w:p w14:paraId="4BA48D82" w14:textId="42D6C84F" w:rsidR="005C0291" w:rsidRPr="00177EB6" w:rsidRDefault="005C0291" w:rsidP="00177EB6">
            <w:pPr>
              <w:keepNext/>
              <w:keepLines/>
              <w:spacing w:before="20" w:after="20"/>
              <w:rPr>
                <w:sz w:val="20"/>
                <w:szCs w:val="20"/>
              </w:rPr>
            </w:pPr>
            <w:r w:rsidRPr="00177EB6">
              <w:rPr>
                <w:rFonts w:cstheme="minorHAnsi"/>
                <w:sz w:val="20"/>
                <w:szCs w:val="20"/>
              </w:rPr>
              <w:t>RUL (</w:t>
            </w:r>
            <w:proofErr w:type="spellStart"/>
            <w:r>
              <w:rPr>
                <w:rFonts w:cstheme="minorHAnsi"/>
                <w:sz w:val="20"/>
                <w:szCs w:val="20"/>
              </w:rPr>
              <w:t>yrs</w:t>
            </w:r>
            <w:proofErr w:type="spellEnd"/>
            <w:r w:rsidRPr="00177EB6">
              <w:rPr>
                <w:rFonts w:cstheme="minorHAnsi"/>
                <w:sz w:val="20"/>
                <w:szCs w:val="20"/>
              </w:rPr>
              <w:t>)</w:t>
            </w:r>
            <w:r w:rsidR="00813BAB">
              <w:rPr>
                <w:rFonts w:cstheme="minorHAnsi"/>
                <w:sz w:val="20"/>
                <w:szCs w:val="20"/>
              </w:rPr>
              <w:t xml:space="preserve"> - </w:t>
            </w:r>
          </w:p>
        </w:tc>
        <w:tc>
          <w:tcPr>
            <w:tcW w:w="1530" w:type="dxa"/>
          </w:tcPr>
          <w:p w14:paraId="2D56AF12" w14:textId="432AD9B8" w:rsidR="005C0291" w:rsidRPr="006F7325" w:rsidRDefault="008777EA" w:rsidP="006F7325">
            <w:pPr>
              <w:keepNext/>
              <w:keepLines/>
              <w:spacing w:before="20" w:after="20"/>
              <w:ind w:right="430"/>
              <w:jc w:val="right"/>
              <w:rPr>
                <w:sz w:val="20"/>
                <w:szCs w:val="20"/>
              </w:rPr>
            </w:pPr>
            <w:r>
              <w:rPr>
                <w:sz w:val="20"/>
                <w:szCs w:val="20"/>
              </w:rPr>
              <w:t>5.0</w:t>
            </w:r>
          </w:p>
        </w:tc>
        <w:tc>
          <w:tcPr>
            <w:tcW w:w="5128" w:type="dxa"/>
          </w:tcPr>
          <w:p w14:paraId="7DDC9DCA" w14:textId="77777777" w:rsidR="005C0291" w:rsidRPr="00D72552" w:rsidRDefault="005C0291" w:rsidP="00D72552">
            <w:pPr>
              <w:keepNext/>
              <w:keepLines/>
              <w:spacing w:before="20" w:after="20"/>
              <w:rPr>
                <w:sz w:val="18"/>
                <w:szCs w:val="20"/>
              </w:rPr>
            </w:pPr>
          </w:p>
        </w:tc>
      </w:tr>
      <w:bookmarkEnd w:id="50"/>
    </w:tbl>
    <w:p w14:paraId="21BBC22B" w14:textId="77777777" w:rsidR="007D230B" w:rsidRPr="004B06E3" w:rsidRDefault="007D230B" w:rsidP="004142EF"/>
    <w:p w14:paraId="3B14B593" w14:textId="77777777" w:rsidR="007D230B" w:rsidRPr="004B06E3" w:rsidRDefault="007D230B" w:rsidP="00462BB6">
      <w:pPr>
        <w:pStyle w:val="eTRMHeading3"/>
      </w:pPr>
      <w:bookmarkStart w:id="51" w:name="_Toc486490860"/>
      <w:bookmarkStart w:id="52" w:name="_Toc486580931"/>
      <w:bookmarkStart w:id="53" w:name="_Toc10806375"/>
      <w:r w:rsidRPr="004B06E3">
        <w:t>Base Case Material Cost ($/unit)</w:t>
      </w:r>
      <w:bookmarkEnd w:id="51"/>
      <w:bookmarkEnd w:id="52"/>
      <w:bookmarkEnd w:id="53"/>
    </w:p>
    <w:p w14:paraId="133641EC" w14:textId="3DAE4003" w:rsidR="00054407" w:rsidRPr="00B9308C" w:rsidRDefault="00054407" w:rsidP="005C0291">
      <w:r w:rsidRPr="00B9308C">
        <w:t xml:space="preserve">For the </w:t>
      </w:r>
      <w:r w:rsidR="00F95E06" w:rsidRPr="00F95E06">
        <w:rPr>
          <w:i/>
        </w:rPr>
        <w:t>add-on equipment</w:t>
      </w:r>
      <w:r w:rsidR="00F95E06">
        <w:t xml:space="preserve">, </w:t>
      </w:r>
      <w:r w:rsidRPr="00B9308C">
        <w:t xml:space="preserve">the base case </w:t>
      </w:r>
      <w:r w:rsidR="00F95E06">
        <w:t xml:space="preserve">material </w:t>
      </w:r>
      <w:r w:rsidRPr="00B9308C">
        <w:t xml:space="preserve">cost is </w:t>
      </w:r>
      <w:r w:rsidR="00F95E06">
        <w:t>equal to $0</w:t>
      </w:r>
      <w:r w:rsidRPr="00B9308C">
        <w:t xml:space="preserve"> because </w:t>
      </w:r>
      <w:r w:rsidR="004D00B5">
        <w:t xml:space="preserve">there are </w:t>
      </w:r>
      <w:r w:rsidRPr="00B9308C">
        <w:t xml:space="preserve">no modifications to the existing equipment.  The customer’s alternative is to make no changes to their existing irrigation pumping system.  </w:t>
      </w:r>
    </w:p>
    <w:p w14:paraId="1409D7C8" w14:textId="3327D164" w:rsidR="002E73F6" w:rsidRDefault="00054407" w:rsidP="005C0291">
      <w:r w:rsidRPr="00B9308C">
        <w:t xml:space="preserve">For </w:t>
      </w:r>
      <w:r w:rsidR="002E73F6">
        <w:rPr>
          <w:i/>
        </w:rPr>
        <w:t>new construction</w:t>
      </w:r>
      <w:r w:rsidRPr="00B9308C">
        <w:t xml:space="preserve"> </w:t>
      </w:r>
      <w:r w:rsidR="003B651F">
        <w:t xml:space="preserve">installations, </w:t>
      </w:r>
      <w:r w:rsidRPr="00B9308C">
        <w:t xml:space="preserve">the base case </w:t>
      </w:r>
      <w:r w:rsidR="00F95E06">
        <w:t xml:space="preserve">material </w:t>
      </w:r>
      <w:r w:rsidRPr="00B9308C">
        <w:t>cost is</w:t>
      </w:r>
      <w:r w:rsidR="002E73F6">
        <w:t xml:space="preserve"> the cost of </w:t>
      </w:r>
      <w:r w:rsidR="002E73F6">
        <w:rPr>
          <w:szCs w:val="22"/>
        </w:rPr>
        <w:t>the throttling valves and soft starters (pumps &gt;75-hp).</w:t>
      </w:r>
    </w:p>
    <w:p w14:paraId="238BB974" w14:textId="45565571" w:rsidR="00054407" w:rsidRDefault="00D75ADA" w:rsidP="005C0291">
      <w:r>
        <w:t xml:space="preserve">Base case material costs were derived using the </w:t>
      </w:r>
      <w:r w:rsidR="008179C7">
        <w:t xml:space="preserve">2015 </w:t>
      </w:r>
      <w:r w:rsidR="00F86B9C" w:rsidRPr="00F86B9C">
        <w:t>RSMeans Mechanical Cost Data</w:t>
      </w:r>
      <w:r w:rsidR="003B651F">
        <w:t>.</w:t>
      </w:r>
      <w:r w:rsidR="003B651F">
        <w:rPr>
          <w:rStyle w:val="FootnoteReference"/>
        </w:rPr>
        <w:footnoteReference w:id="12"/>
      </w:r>
    </w:p>
    <w:p w14:paraId="35F7A3CD" w14:textId="77777777" w:rsidR="005C0291" w:rsidRDefault="005C0291" w:rsidP="00054407">
      <w:pPr>
        <w:spacing w:before="80" w:line="276" w:lineRule="auto"/>
        <w:jc w:val="both"/>
        <w:rPr>
          <w:szCs w:val="22"/>
        </w:rPr>
      </w:pPr>
      <w:bookmarkStart w:id="54" w:name="_GoBack"/>
      <w:bookmarkEnd w:id="54"/>
    </w:p>
    <w:p w14:paraId="44E8DBEB" w14:textId="77777777" w:rsidR="007D230B" w:rsidRPr="004B06E3" w:rsidRDefault="007D230B" w:rsidP="00462BB6">
      <w:pPr>
        <w:pStyle w:val="eTRMHeading3"/>
      </w:pPr>
      <w:bookmarkStart w:id="55" w:name="_Toc486490861"/>
      <w:bookmarkStart w:id="56" w:name="_Toc486580932"/>
      <w:bookmarkStart w:id="57" w:name="_Toc10806376"/>
      <w:r w:rsidRPr="004B06E3">
        <w:t>Measure Case Material Cost ($/unit)</w:t>
      </w:r>
      <w:bookmarkEnd w:id="55"/>
      <w:bookmarkEnd w:id="56"/>
      <w:bookmarkEnd w:id="57"/>
    </w:p>
    <w:p w14:paraId="2640EE26" w14:textId="7B013AB0" w:rsidR="00054407" w:rsidRPr="00C34849" w:rsidRDefault="00676E9D" w:rsidP="005C0291">
      <w:r>
        <w:t>For all installation types, measure case material costs were derived from cost data obtained</w:t>
      </w:r>
      <w:r w:rsidR="008A5D52">
        <w:t xml:space="preserve"> and analyzed</w:t>
      </w:r>
      <w:r>
        <w:t xml:space="preserve"> </w:t>
      </w:r>
      <w:r w:rsidR="008A5D52">
        <w:t xml:space="preserve">by the Irrigation Training &amp; Research Center (ITRC) </w:t>
      </w:r>
      <w:r>
        <w:t>from</w:t>
      </w:r>
      <w:r w:rsidR="000B51A6">
        <w:t xml:space="preserve"> </w:t>
      </w:r>
      <w:r w:rsidR="00054407" w:rsidRPr="00B9308C">
        <w:t>VFD vendors and irrigation</w:t>
      </w:r>
      <w:r w:rsidR="000B51A6">
        <w:t xml:space="preserve"> and pump</w:t>
      </w:r>
      <w:r w:rsidR="00054407" w:rsidRPr="00B9308C">
        <w:t xml:space="preserve"> dealers.</w:t>
      </w:r>
      <w:r w:rsidR="008A5D52">
        <w:rPr>
          <w:rStyle w:val="FootnoteReference"/>
        </w:rPr>
        <w:footnoteReference w:id="13"/>
      </w:r>
      <w:r w:rsidR="00054407" w:rsidRPr="00B9308C">
        <w:t xml:space="preserve"> </w:t>
      </w:r>
      <w:r w:rsidR="00F10BE2" w:rsidRPr="00C34849">
        <w:lastRenderedPageBreak/>
        <w:t>To</w:t>
      </w:r>
      <w:r w:rsidR="00054407" w:rsidRPr="00C34849">
        <w:t xml:space="preserve"> increase confidence in the returned data, a pre-existing VFD system cost dataset was incorporated in </w:t>
      </w:r>
      <w:r w:rsidR="008A5D52">
        <w:t>the ITRC costs</w:t>
      </w:r>
      <w:r w:rsidR="00054407" w:rsidRPr="00C34849">
        <w:t xml:space="preserve"> analysis. Some cost adjustments were made </w:t>
      </w:r>
      <w:r w:rsidR="00F10BE2" w:rsidRPr="00C34849">
        <w:t>to</w:t>
      </w:r>
      <w:r w:rsidR="00054407" w:rsidRPr="00C34849">
        <w:t xml:space="preserve"> compare equivalent values (e.g., adding sales tax missing from the invoice or quote).</w:t>
      </w:r>
    </w:p>
    <w:p w14:paraId="3C2F28DF" w14:textId="4ECBD4F9" w:rsidR="00054407" w:rsidRPr="002B7060" w:rsidRDefault="00054407" w:rsidP="005C0291">
      <w:r w:rsidRPr="002B7060">
        <w:t xml:space="preserve">The installed VFD system cost (including materials, labor and tax) dataset </w:t>
      </w:r>
      <w:r w:rsidR="00127EF5">
        <w:t>is plotted</w:t>
      </w:r>
      <w:r w:rsidR="00F10BE2" w:rsidRPr="002B7060">
        <w:t xml:space="preserve"> </w:t>
      </w:r>
      <w:r w:rsidR="006F7325">
        <w:t>in the figure below</w:t>
      </w:r>
      <w:r w:rsidRPr="002B7060">
        <w:t>. Only three of the 24 invoices met the specifications</w:t>
      </w:r>
      <w:r w:rsidR="006F7325">
        <w:t>; t</w:t>
      </w:r>
      <w:r w:rsidRPr="002B7060">
        <w:t>he VFD systems that did not meet the specifications are considered “typical”.</w:t>
      </w:r>
      <w:r w:rsidR="00D75ADA">
        <w:t xml:space="preserve"> The total installed cost for pumps in the eligible horsepower bins were averaged to calculate the average cost per horsepower rating.</w:t>
      </w:r>
    </w:p>
    <w:p w14:paraId="759F34BB" w14:textId="21074A04" w:rsidR="00F10BE2" w:rsidRPr="00F10BE2" w:rsidRDefault="005C0291" w:rsidP="000B19DD">
      <w:pPr>
        <w:pStyle w:val="Caption"/>
      </w:pPr>
      <w:r>
        <w:t xml:space="preserve">Comparison of </w:t>
      </w:r>
      <w:r w:rsidR="006F7325">
        <w:t>T</w:t>
      </w:r>
      <w:r>
        <w:t xml:space="preserve">ypical and </w:t>
      </w:r>
      <w:r w:rsidR="006F7325">
        <w:t>S</w:t>
      </w:r>
      <w:r>
        <w:t xml:space="preserve">pecification-compliant VFD </w:t>
      </w:r>
      <w:r w:rsidR="006F7325">
        <w:t>S</w:t>
      </w:r>
      <w:r>
        <w:t xml:space="preserve">ystem </w:t>
      </w:r>
      <w:r w:rsidR="006F7325">
        <w:t>I</w:t>
      </w:r>
      <w:r>
        <w:t xml:space="preserve">nstalled </w:t>
      </w:r>
      <w:r w:rsidR="006F7325">
        <w:t>C</w:t>
      </w:r>
      <w:r>
        <w:t>osts (including materials, labor, and tax)</w:t>
      </w:r>
    </w:p>
    <w:p w14:paraId="46D6C856" w14:textId="77777777" w:rsidR="00F10BE2" w:rsidRDefault="00054407" w:rsidP="00F10BE2">
      <w:pPr>
        <w:keepNext/>
      </w:pPr>
      <w:r>
        <w:rPr>
          <w:noProof/>
        </w:rPr>
        <w:drawing>
          <wp:inline distT="0" distB="0" distL="0" distR="0" wp14:anchorId="757E8BF5" wp14:editId="5DDDD473">
            <wp:extent cx="4860435" cy="2743200"/>
            <wp:effectExtent l="0" t="0" r="16510" b="0"/>
            <wp:docPr id="5" name="Char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E2AE0AF" w14:textId="77777777" w:rsidR="00054407" w:rsidRDefault="00054407" w:rsidP="00054407"/>
    <w:p w14:paraId="7DFA94D4" w14:textId="0335A9A3" w:rsidR="00054407" w:rsidRPr="00831F83" w:rsidRDefault="00054407" w:rsidP="00054407">
      <w:pPr>
        <w:keepNext/>
        <w:spacing w:line="288" w:lineRule="auto"/>
        <w:rPr>
          <w:szCs w:val="22"/>
        </w:rPr>
      </w:pPr>
      <w:r w:rsidRPr="00831F83">
        <w:rPr>
          <w:szCs w:val="22"/>
        </w:rPr>
        <w:t xml:space="preserve">The </w:t>
      </w:r>
      <w:r w:rsidR="00A43952">
        <w:rPr>
          <w:szCs w:val="22"/>
        </w:rPr>
        <w:t xml:space="preserve">cost </w:t>
      </w:r>
      <w:r w:rsidRPr="00831F83">
        <w:rPr>
          <w:szCs w:val="22"/>
        </w:rPr>
        <w:t xml:space="preserve">data indicate </w:t>
      </w:r>
      <w:r w:rsidR="005C0291">
        <w:rPr>
          <w:szCs w:val="22"/>
        </w:rPr>
        <w:t>the following</w:t>
      </w:r>
      <w:r w:rsidRPr="00831F83">
        <w:rPr>
          <w:szCs w:val="22"/>
        </w:rPr>
        <w:t>:</w:t>
      </w:r>
    </w:p>
    <w:p w14:paraId="4E461EE7" w14:textId="23743DB8" w:rsidR="00054407" w:rsidRDefault="00054407" w:rsidP="0047015A">
      <w:pPr>
        <w:pStyle w:val="eTRMSub-bulletedText"/>
        <w:numPr>
          <w:ilvl w:val="1"/>
          <w:numId w:val="39"/>
        </w:numPr>
        <w:ind w:left="720"/>
      </w:pPr>
      <w:r>
        <w:t>Most of the VFD system costs were missing one of, or any combination of, the following features:</w:t>
      </w:r>
      <w:r w:rsidR="00A43952">
        <w:t xml:space="preserve"> h</w:t>
      </w:r>
      <w:r>
        <w:t>armonic mitigation</w:t>
      </w:r>
      <w:r w:rsidR="00A43952">
        <w:t>, s</w:t>
      </w:r>
      <w:r>
        <w:t>urge suppression</w:t>
      </w:r>
      <w:r w:rsidR="00A43952">
        <w:t>, and/or a</w:t>
      </w:r>
      <w:r>
        <w:t>cceptable cooling (without outside air circulation across electronics)</w:t>
      </w:r>
    </w:p>
    <w:p w14:paraId="731C5DFB" w14:textId="67602A3D" w:rsidR="00054407" w:rsidRPr="00F10BE2" w:rsidRDefault="00054407" w:rsidP="00A43952">
      <w:pPr>
        <w:pStyle w:val="ListParagraph"/>
        <w:numPr>
          <w:ilvl w:val="1"/>
          <w:numId w:val="39"/>
        </w:numPr>
        <w:ind w:left="720"/>
      </w:pPr>
      <w:r w:rsidRPr="00F10BE2">
        <w:t xml:space="preserve">Some of the “typical” VFD system costs are more </w:t>
      </w:r>
      <w:r w:rsidR="002B7060" w:rsidRPr="00F10BE2">
        <w:t>expensive but</w:t>
      </w:r>
      <w:r w:rsidRPr="00F10BE2">
        <w:t xml:space="preserve"> cannot meet the specified performance standards.  </w:t>
      </w:r>
    </w:p>
    <w:p w14:paraId="224E4CC3" w14:textId="29165F1E" w:rsidR="00054407" w:rsidRPr="00F10BE2" w:rsidRDefault="00054407" w:rsidP="00A43952">
      <w:pPr>
        <w:pStyle w:val="ListParagraph"/>
        <w:numPr>
          <w:ilvl w:val="1"/>
          <w:numId w:val="39"/>
        </w:numPr>
        <w:ind w:left="720"/>
      </w:pPr>
      <w:r w:rsidRPr="00F10BE2">
        <w:t>On average, it is more expensive to meet the specifications. The additional cost to meet the specifications are listed below:</w:t>
      </w:r>
    </w:p>
    <w:p w14:paraId="30E3A1F1" w14:textId="310352E2" w:rsidR="00054407" w:rsidRDefault="00054407" w:rsidP="00DE5A47">
      <w:pPr>
        <w:pStyle w:val="eTRMBulletedText"/>
      </w:pPr>
      <w:r>
        <w:t xml:space="preserve">Less than or equal to 75 VFD </w:t>
      </w:r>
      <w:r w:rsidR="00B90811">
        <w:t>hp</w:t>
      </w:r>
      <w:r>
        <w:t xml:space="preserve"> – the cost premium is about $2,000</w:t>
      </w:r>
    </w:p>
    <w:p w14:paraId="27C870DF" w14:textId="3901472A" w:rsidR="00054407" w:rsidRPr="006C6BF3" w:rsidRDefault="00054407" w:rsidP="00DE5A47">
      <w:pPr>
        <w:pStyle w:val="eTRMBulletedText"/>
      </w:pPr>
      <w:r w:rsidRPr="006C6BF3">
        <w:t xml:space="preserve">Note: While they exist, differences in premium costs required to meet the specifications for “typical” VFD systems less than or equal to 75 </w:t>
      </w:r>
      <w:r w:rsidR="00B90811">
        <w:t>hp</w:t>
      </w:r>
      <w:r w:rsidRPr="006C6BF3">
        <w:t xml:space="preserve"> are relatively small.  Therefore, the flat rate premium of $2,000 is used as a simplification.  </w:t>
      </w:r>
    </w:p>
    <w:p w14:paraId="4F9ED814" w14:textId="0255A495" w:rsidR="00054407" w:rsidRDefault="00054407" w:rsidP="00DE5A47">
      <w:pPr>
        <w:pStyle w:val="eTRMBulletedText"/>
      </w:pPr>
      <w:r>
        <w:t xml:space="preserve">Greater than 75 VFD </w:t>
      </w:r>
      <w:r w:rsidR="00B90811">
        <w:t>hp</w:t>
      </w:r>
      <w:r>
        <w:t xml:space="preserve"> – the cost premium is about $27 per VFD </w:t>
      </w:r>
      <w:r w:rsidR="00B90811">
        <w:t>hp</w:t>
      </w:r>
      <w:r>
        <w:t xml:space="preserve">   </w:t>
      </w:r>
    </w:p>
    <w:p w14:paraId="1BD45288" w14:textId="5247C04C" w:rsidR="00054407" w:rsidRDefault="00054407" w:rsidP="000B19DD">
      <w:pPr>
        <w:pStyle w:val="ListParagraph"/>
        <w:numPr>
          <w:ilvl w:val="0"/>
          <w:numId w:val="41"/>
        </w:numPr>
      </w:pPr>
      <w:r>
        <w:t xml:space="preserve">“Typical” VFD system costs are highly variable.  </w:t>
      </w:r>
    </w:p>
    <w:p w14:paraId="1C9ADCFC" w14:textId="0C2B0D36" w:rsidR="00054407" w:rsidRDefault="00054407" w:rsidP="00A43952">
      <w:r w:rsidRPr="00F06A96">
        <w:t>The most common technologies for harmonic mitigation for the quotes received were either:</w:t>
      </w:r>
      <w:r w:rsidR="000B19DD">
        <w:t xml:space="preserve"> p</w:t>
      </w:r>
      <w:r w:rsidRPr="00F06A96">
        <w:t>assive harmonic filters, or</w:t>
      </w:r>
      <w:r w:rsidR="000B19DD">
        <w:t xml:space="preserve"> i</w:t>
      </w:r>
      <w:r w:rsidRPr="00F06A96">
        <w:t>nput line reactors</w:t>
      </w:r>
    </w:p>
    <w:p w14:paraId="7C1C5EC0" w14:textId="735E947B" w:rsidR="00054407" w:rsidRPr="00E26EED" w:rsidRDefault="00054407" w:rsidP="00A43952">
      <w:r w:rsidRPr="00E26EED">
        <w:lastRenderedPageBreak/>
        <w:t xml:space="preserve">Passive harmonic filters </w:t>
      </w:r>
      <w:r w:rsidR="004300E4" w:rsidRPr="00E26EED">
        <w:t>can provide</w:t>
      </w:r>
      <w:r w:rsidRPr="00E26EED">
        <w:t xml:space="preserve"> harmonic mitigation that meet the specifications for VFD systems </w:t>
      </w:r>
      <w:r w:rsidR="006473CF">
        <w:t>&gt;</w:t>
      </w:r>
      <w:r w:rsidRPr="00E26EED">
        <w:t xml:space="preserve"> 75 </w:t>
      </w:r>
      <w:r w:rsidR="006473CF">
        <w:t>hp</w:t>
      </w:r>
      <w:r w:rsidRPr="00E26EED">
        <w:t xml:space="preserve">.  A range of approximate consumer costs for adding passive harmonic filters is </w:t>
      </w:r>
      <w:r w:rsidR="001523CF">
        <w:t>provided below</w:t>
      </w:r>
      <w:r w:rsidRPr="00E26EED">
        <w:t>.</w:t>
      </w:r>
    </w:p>
    <w:p w14:paraId="6045C9E2" w14:textId="6D3E5F5D" w:rsidR="00F10BE2" w:rsidRDefault="00F10BE2" w:rsidP="000B19DD">
      <w:pPr>
        <w:pStyle w:val="Caption"/>
      </w:pPr>
      <w:bookmarkStart w:id="58" w:name="_Ref488154553"/>
      <w:bookmarkStart w:id="59" w:name="_Toc490566357"/>
      <w:r>
        <w:t>Approximate Unit Costs for Integrated Passive Harmonic Filters</w:t>
      </w:r>
    </w:p>
    <w:tbl>
      <w:tblPr>
        <w:tblW w:w="56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84"/>
        <w:gridCol w:w="2160"/>
        <w:gridCol w:w="1872"/>
      </w:tblGrid>
      <w:tr w:rsidR="00F10BE2" w:rsidRPr="0059426D" w14:paraId="409A3C6F" w14:textId="77777777" w:rsidTr="006473CF">
        <w:trPr>
          <w:cantSplit/>
          <w:trHeight w:val="20"/>
        </w:trPr>
        <w:tc>
          <w:tcPr>
            <w:tcW w:w="1584" w:type="dxa"/>
            <w:shd w:val="clear" w:color="000000" w:fill="F2F2F2" w:themeFill="background1" w:themeFillShade="F2"/>
            <w:vAlign w:val="bottom"/>
          </w:tcPr>
          <w:p w14:paraId="7A85B8F6" w14:textId="7592F6AB" w:rsidR="00F10BE2" w:rsidRPr="004300E4" w:rsidRDefault="00F10BE2" w:rsidP="004300E4">
            <w:pPr>
              <w:keepNext/>
              <w:keepLines/>
              <w:spacing w:before="0" w:after="0" w:line="200" w:lineRule="atLeast"/>
              <w:jc w:val="center"/>
              <w:rPr>
                <w:rFonts w:cs="Arial"/>
                <w:b/>
                <w:sz w:val="20"/>
                <w:szCs w:val="20"/>
              </w:rPr>
            </w:pPr>
            <w:r w:rsidRPr="004300E4">
              <w:rPr>
                <w:b/>
                <w:sz w:val="20"/>
              </w:rPr>
              <w:t xml:space="preserve">VFD </w:t>
            </w:r>
            <w:r w:rsidR="004300E4" w:rsidRPr="004300E4">
              <w:rPr>
                <w:b/>
                <w:sz w:val="20"/>
              </w:rPr>
              <w:t>hp</w:t>
            </w:r>
          </w:p>
        </w:tc>
        <w:tc>
          <w:tcPr>
            <w:tcW w:w="2160" w:type="dxa"/>
            <w:shd w:val="clear" w:color="000000" w:fill="F2F2F2" w:themeFill="background1" w:themeFillShade="F2"/>
            <w:vAlign w:val="bottom"/>
          </w:tcPr>
          <w:p w14:paraId="7715B57E" w14:textId="5C66F85A" w:rsidR="00F10BE2" w:rsidRPr="004300E4" w:rsidRDefault="00F10BE2" w:rsidP="004300E4">
            <w:pPr>
              <w:keepNext/>
              <w:keepLines/>
              <w:spacing w:before="0" w:after="0" w:line="200" w:lineRule="atLeast"/>
              <w:jc w:val="center"/>
              <w:rPr>
                <w:rFonts w:cs="Arial"/>
                <w:b/>
                <w:sz w:val="20"/>
                <w:szCs w:val="20"/>
              </w:rPr>
            </w:pPr>
            <w:r w:rsidRPr="004300E4">
              <w:rPr>
                <w:b/>
                <w:sz w:val="20"/>
              </w:rPr>
              <w:t>Integrated passive harmonic filter unit costs, plus tax ($)</w:t>
            </w:r>
          </w:p>
        </w:tc>
        <w:tc>
          <w:tcPr>
            <w:tcW w:w="1872" w:type="dxa"/>
            <w:shd w:val="clear" w:color="000000" w:fill="F2F2F2" w:themeFill="background1" w:themeFillShade="F2"/>
            <w:vAlign w:val="bottom"/>
          </w:tcPr>
          <w:p w14:paraId="16E093FE" w14:textId="10C52F83" w:rsidR="00F10BE2" w:rsidRPr="004300E4" w:rsidRDefault="00F10BE2" w:rsidP="004300E4">
            <w:pPr>
              <w:keepNext/>
              <w:keepLines/>
              <w:spacing w:before="0" w:after="0" w:line="200" w:lineRule="atLeast"/>
              <w:jc w:val="center"/>
              <w:rPr>
                <w:rFonts w:cs="Arial"/>
                <w:b/>
                <w:sz w:val="20"/>
                <w:szCs w:val="20"/>
              </w:rPr>
            </w:pPr>
            <w:r w:rsidRPr="004300E4">
              <w:rPr>
                <w:b/>
                <w:sz w:val="20"/>
              </w:rPr>
              <w:t xml:space="preserve">Approximate </w:t>
            </w:r>
            <w:r w:rsidR="004300E4">
              <w:rPr>
                <w:b/>
                <w:sz w:val="20"/>
              </w:rPr>
              <w:t>$/hp</w:t>
            </w:r>
          </w:p>
        </w:tc>
      </w:tr>
      <w:tr w:rsidR="00F10BE2" w:rsidRPr="0059426D" w14:paraId="39ADE067" w14:textId="77777777" w:rsidTr="006473CF">
        <w:trPr>
          <w:cantSplit/>
          <w:trHeight w:val="20"/>
        </w:trPr>
        <w:tc>
          <w:tcPr>
            <w:tcW w:w="1584" w:type="dxa"/>
            <w:vAlign w:val="center"/>
          </w:tcPr>
          <w:p w14:paraId="780D3AE6" w14:textId="773925FF" w:rsidR="00F10BE2" w:rsidRPr="004300E4" w:rsidRDefault="00F10BE2" w:rsidP="006473CF">
            <w:pPr>
              <w:keepNext/>
              <w:keepLines/>
              <w:spacing w:before="0" w:after="0" w:line="200" w:lineRule="atLeast"/>
              <w:ind w:right="570"/>
              <w:jc w:val="right"/>
              <w:rPr>
                <w:rFonts w:cstheme="minorHAnsi"/>
                <w:sz w:val="20"/>
                <w:szCs w:val="20"/>
              </w:rPr>
            </w:pPr>
            <w:r w:rsidRPr="004300E4">
              <w:rPr>
                <w:sz w:val="20"/>
              </w:rPr>
              <w:t>75</w:t>
            </w:r>
          </w:p>
        </w:tc>
        <w:tc>
          <w:tcPr>
            <w:tcW w:w="2160" w:type="dxa"/>
            <w:shd w:val="clear" w:color="auto" w:fill="auto"/>
            <w:noWrap/>
            <w:vAlign w:val="center"/>
          </w:tcPr>
          <w:p w14:paraId="2E997BD2" w14:textId="381D185B" w:rsidR="00F10BE2" w:rsidRPr="004300E4" w:rsidRDefault="004300E4" w:rsidP="006473CF">
            <w:pPr>
              <w:keepNext/>
              <w:keepLines/>
              <w:spacing w:before="0" w:after="0" w:line="200" w:lineRule="atLeast"/>
              <w:ind w:right="570"/>
              <w:jc w:val="right"/>
              <w:rPr>
                <w:sz w:val="20"/>
                <w:szCs w:val="20"/>
              </w:rPr>
            </w:pPr>
            <w:r>
              <w:rPr>
                <w:sz w:val="20"/>
              </w:rPr>
              <w:t>$</w:t>
            </w:r>
            <w:r w:rsidR="00F10BE2" w:rsidRPr="004300E4">
              <w:rPr>
                <w:sz w:val="20"/>
              </w:rPr>
              <w:t>1</w:t>
            </w:r>
            <w:r>
              <w:rPr>
                <w:sz w:val="20"/>
              </w:rPr>
              <w:t>,</w:t>
            </w:r>
            <w:r w:rsidR="00F10BE2" w:rsidRPr="004300E4">
              <w:rPr>
                <w:sz w:val="20"/>
              </w:rPr>
              <w:t>848</w:t>
            </w:r>
          </w:p>
        </w:tc>
        <w:tc>
          <w:tcPr>
            <w:tcW w:w="1872" w:type="dxa"/>
            <w:vAlign w:val="center"/>
          </w:tcPr>
          <w:p w14:paraId="51300147" w14:textId="7ED52B05" w:rsidR="00F10BE2" w:rsidRPr="004300E4" w:rsidRDefault="00F10BE2" w:rsidP="006473CF">
            <w:pPr>
              <w:spacing w:before="0" w:after="0"/>
              <w:ind w:right="570"/>
              <w:jc w:val="right"/>
              <w:rPr>
                <w:sz w:val="20"/>
              </w:rPr>
            </w:pPr>
            <w:r w:rsidRPr="004300E4">
              <w:rPr>
                <w:sz w:val="20"/>
              </w:rPr>
              <w:t>$25</w:t>
            </w:r>
          </w:p>
        </w:tc>
      </w:tr>
      <w:tr w:rsidR="00F10BE2" w:rsidRPr="0059426D" w14:paraId="62902C5A" w14:textId="77777777" w:rsidTr="006473CF">
        <w:trPr>
          <w:cantSplit/>
          <w:trHeight w:val="20"/>
        </w:trPr>
        <w:tc>
          <w:tcPr>
            <w:tcW w:w="1584" w:type="dxa"/>
            <w:vAlign w:val="center"/>
          </w:tcPr>
          <w:p w14:paraId="727C931C" w14:textId="52E05F3E" w:rsidR="00F10BE2" w:rsidRPr="004300E4" w:rsidRDefault="00F10BE2" w:rsidP="006473CF">
            <w:pPr>
              <w:keepNext/>
              <w:keepLines/>
              <w:spacing w:before="0" w:after="0" w:line="200" w:lineRule="atLeast"/>
              <w:ind w:right="570"/>
              <w:jc w:val="right"/>
              <w:rPr>
                <w:rFonts w:cstheme="minorHAnsi"/>
                <w:sz w:val="20"/>
                <w:szCs w:val="20"/>
              </w:rPr>
            </w:pPr>
            <w:r w:rsidRPr="004300E4">
              <w:rPr>
                <w:sz w:val="20"/>
              </w:rPr>
              <w:t>250</w:t>
            </w:r>
          </w:p>
        </w:tc>
        <w:tc>
          <w:tcPr>
            <w:tcW w:w="2160" w:type="dxa"/>
            <w:shd w:val="clear" w:color="auto" w:fill="auto"/>
            <w:noWrap/>
            <w:vAlign w:val="center"/>
          </w:tcPr>
          <w:p w14:paraId="30248C7D" w14:textId="4F3C3832" w:rsidR="00F10BE2" w:rsidRPr="004300E4" w:rsidRDefault="004300E4" w:rsidP="006473CF">
            <w:pPr>
              <w:keepNext/>
              <w:keepLines/>
              <w:spacing w:before="0" w:after="0" w:line="200" w:lineRule="atLeast"/>
              <w:ind w:right="570"/>
              <w:jc w:val="right"/>
              <w:rPr>
                <w:sz w:val="20"/>
                <w:szCs w:val="20"/>
              </w:rPr>
            </w:pPr>
            <w:r>
              <w:rPr>
                <w:sz w:val="20"/>
              </w:rPr>
              <w:t>$</w:t>
            </w:r>
            <w:r w:rsidR="00F10BE2" w:rsidRPr="004300E4">
              <w:rPr>
                <w:sz w:val="20"/>
              </w:rPr>
              <w:t>3</w:t>
            </w:r>
            <w:r>
              <w:rPr>
                <w:sz w:val="20"/>
              </w:rPr>
              <w:t>,</w:t>
            </w:r>
            <w:r w:rsidR="00F10BE2" w:rsidRPr="004300E4">
              <w:rPr>
                <w:sz w:val="20"/>
              </w:rPr>
              <w:t>629</w:t>
            </w:r>
          </w:p>
        </w:tc>
        <w:tc>
          <w:tcPr>
            <w:tcW w:w="1872" w:type="dxa"/>
            <w:vAlign w:val="center"/>
          </w:tcPr>
          <w:p w14:paraId="052E76CC" w14:textId="56B9D636" w:rsidR="00F10BE2" w:rsidRPr="004300E4" w:rsidRDefault="00F10BE2" w:rsidP="006473CF">
            <w:pPr>
              <w:spacing w:before="0" w:after="0"/>
              <w:ind w:right="570"/>
              <w:jc w:val="right"/>
              <w:rPr>
                <w:sz w:val="20"/>
              </w:rPr>
            </w:pPr>
            <w:r w:rsidRPr="004300E4">
              <w:rPr>
                <w:sz w:val="20"/>
              </w:rPr>
              <w:t>$15</w:t>
            </w:r>
          </w:p>
        </w:tc>
      </w:tr>
      <w:tr w:rsidR="00F10BE2" w:rsidRPr="0059426D" w14:paraId="09EB4A97" w14:textId="77777777" w:rsidTr="006473CF">
        <w:trPr>
          <w:cantSplit/>
          <w:trHeight w:val="20"/>
        </w:trPr>
        <w:tc>
          <w:tcPr>
            <w:tcW w:w="1584" w:type="dxa"/>
            <w:vAlign w:val="center"/>
          </w:tcPr>
          <w:p w14:paraId="6B952454" w14:textId="325BC317" w:rsidR="00F10BE2" w:rsidRPr="004300E4" w:rsidRDefault="00F10BE2" w:rsidP="006473CF">
            <w:pPr>
              <w:keepNext/>
              <w:keepLines/>
              <w:spacing w:before="0" w:after="0" w:line="200" w:lineRule="atLeast"/>
              <w:ind w:right="570"/>
              <w:jc w:val="right"/>
              <w:rPr>
                <w:rFonts w:cstheme="minorHAnsi"/>
                <w:sz w:val="20"/>
                <w:szCs w:val="20"/>
              </w:rPr>
            </w:pPr>
            <w:r w:rsidRPr="004300E4">
              <w:rPr>
                <w:sz w:val="20"/>
              </w:rPr>
              <w:t>450</w:t>
            </w:r>
          </w:p>
        </w:tc>
        <w:tc>
          <w:tcPr>
            <w:tcW w:w="2160" w:type="dxa"/>
            <w:shd w:val="clear" w:color="auto" w:fill="auto"/>
            <w:noWrap/>
            <w:vAlign w:val="center"/>
          </w:tcPr>
          <w:p w14:paraId="539FA2ED" w14:textId="5444A789" w:rsidR="00F10BE2" w:rsidRPr="004300E4" w:rsidRDefault="004300E4" w:rsidP="006473CF">
            <w:pPr>
              <w:keepNext/>
              <w:keepLines/>
              <w:spacing w:before="0" w:after="0" w:line="200" w:lineRule="atLeast"/>
              <w:ind w:right="570"/>
              <w:jc w:val="right"/>
              <w:rPr>
                <w:sz w:val="20"/>
                <w:szCs w:val="20"/>
              </w:rPr>
            </w:pPr>
            <w:r>
              <w:rPr>
                <w:sz w:val="20"/>
              </w:rPr>
              <w:t>$</w:t>
            </w:r>
            <w:r w:rsidR="00F10BE2" w:rsidRPr="004300E4">
              <w:rPr>
                <w:sz w:val="20"/>
              </w:rPr>
              <w:t>20</w:t>
            </w:r>
            <w:r>
              <w:rPr>
                <w:sz w:val="20"/>
              </w:rPr>
              <w:t>,</w:t>
            </w:r>
            <w:r w:rsidR="00F10BE2" w:rsidRPr="004300E4">
              <w:rPr>
                <w:sz w:val="20"/>
              </w:rPr>
              <w:t>714</w:t>
            </w:r>
          </w:p>
        </w:tc>
        <w:tc>
          <w:tcPr>
            <w:tcW w:w="1872" w:type="dxa"/>
            <w:vAlign w:val="center"/>
          </w:tcPr>
          <w:p w14:paraId="2E3A340B" w14:textId="1170F199" w:rsidR="00F10BE2" w:rsidRPr="004300E4" w:rsidRDefault="00F10BE2" w:rsidP="006473CF">
            <w:pPr>
              <w:spacing w:before="0" w:after="0"/>
              <w:ind w:right="570"/>
              <w:jc w:val="right"/>
              <w:rPr>
                <w:sz w:val="20"/>
              </w:rPr>
            </w:pPr>
            <w:r w:rsidRPr="004300E4">
              <w:rPr>
                <w:sz w:val="20"/>
              </w:rPr>
              <w:t>$46</w:t>
            </w:r>
          </w:p>
        </w:tc>
      </w:tr>
    </w:tbl>
    <w:p w14:paraId="081DCE73" w14:textId="77777777" w:rsidR="00F10BE2" w:rsidRDefault="00F10BE2" w:rsidP="004300E4"/>
    <w:p w14:paraId="143DDF49" w14:textId="163D11D1" w:rsidR="00054407" w:rsidRDefault="000B19DD" w:rsidP="004300E4">
      <w:r>
        <w:t xml:space="preserve">A </w:t>
      </w:r>
      <w:r w:rsidR="00054407" w:rsidRPr="007E2FEB">
        <w:t xml:space="preserve">3% input line reactor </w:t>
      </w:r>
      <w:r>
        <w:t>is</w:t>
      </w:r>
      <w:r w:rsidR="00054407" w:rsidRPr="007E2FEB">
        <w:t xml:space="preserve"> one of many prescribed harmonic mitigation measures for </w:t>
      </w:r>
      <w:r>
        <w:t xml:space="preserve">a </w:t>
      </w:r>
      <w:r w:rsidR="00054407" w:rsidRPr="007E2FEB">
        <w:t xml:space="preserve">VFD system </w:t>
      </w:r>
      <w:r>
        <w:rPr>
          <w:rFonts w:cs="Calibri Light"/>
        </w:rPr>
        <w:t>≤</w:t>
      </w:r>
      <w:r w:rsidR="00054407" w:rsidRPr="007E2FEB">
        <w:t xml:space="preserve">75 </w:t>
      </w:r>
      <w:r>
        <w:t>hp</w:t>
      </w:r>
      <w:r w:rsidR="00054407" w:rsidRPr="007E2FEB">
        <w:t xml:space="preserve">. Line reactors can serve dual functions: harmonic mitigation and some degree of transient voltage protection. The consumer cost </w:t>
      </w:r>
      <w:r w:rsidR="00E5028B">
        <w:t>to add</w:t>
      </w:r>
      <w:r w:rsidR="00054407" w:rsidRPr="007E2FEB">
        <w:t xml:space="preserve"> </w:t>
      </w:r>
      <w:proofErr w:type="gramStart"/>
      <w:r w:rsidR="00054407" w:rsidRPr="007E2FEB">
        <w:t>3% line</w:t>
      </w:r>
      <w:proofErr w:type="gramEnd"/>
      <w:r w:rsidR="00054407" w:rsidRPr="007E2FEB">
        <w:t xml:space="preserve"> reactors is approximately $5 per VFD </w:t>
      </w:r>
      <w:r>
        <w:t>hp</w:t>
      </w:r>
      <w:r w:rsidR="00054407" w:rsidRPr="007E2FEB">
        <w:t xml:space="preserve"> as </w:t>
      </w:r>
      <w:r>
        <w:t>shown below</w:t>
      </w:r>
      <w:r w:rsidR="00FF6E45" w:rsidRPr="00FF6E45">
        <w:t>.</w:t>
      </w:r>
    </w:p>
    <w:p w14:paraId="20F0AFB1" w14:textId="0A706384" w:rsidR="004300E4" w:rsidRDefault="004300E4" w:rsidP="000B19DD">
      <w:pPr>
        <w:pStyle w:val="Caption"/>
        <w:rPr>
          <w:sz w:val="22"/>
        </w:rPr>
      </w:pPr>
      <w:r>
        <w:t>Approximate Unit Cost for Input Line Reactors</w:t>
      </w:r>
      <w:r w:rsidR="000B19DD">
        <w:t xml:space="preserve"> (+</w:t>
      </w:r>
      <w:r>
        <w:t xml:space="preserve"> tax</w:t>
      </w:r>
      <w:r w:rsidR="000B19DD">
        <w:t>)</w:t>
      </w:r>
    </w:p>
    <w:bookmarkEnd w:id="58"/>
    <w:bookmarkEnd w:id="59"/>
    <w:p w14:paraId="5363688D" w14:textId="77777777" w:rsidR="00FF6E45" w:rsidRDefault="00054407" w:rsidP="000B19DD">
      <w:pPr>
        <w:pStyle w:val="Caption"/>
      </w:pPr>
      <w:r>
        <w:rPr>
          <w:noProof/>
        </w:rPr>
        <w:drawing>
          <wp:inline distT="0" distB="0" distL="0" distR="0" wp14:anchorId="3EEF44EF" wp14:editId="222C1C04">
            <wp:extent cx="4223878" cy="2651760"/>
            <wp:effectExtent l="0" t="0" r="5715" b="15240"/>
            <wp:docPr id="6" name="Char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9FACEA3" w14:textId="77777777" w:rsidR="00054407" w:rsidRDefault="00054407" w:rsidP="00054407">
      <w:pPr>
        <w:pStyle w:val="ListParagraph"/>
        <w:tabs>
          <w:tab w:val="left" w:pos="6595"/>
        </w:tabs>
        <w:spacing w:line="192" w:lineRule="auto"/>
        <w:ind w:left="0"/>
        <w:rPr>
          <w:szCs w:val="22"/>
        </w:rPr>
      </w:pPr>
    </w:p>
    <w:p w14:paraId="55D63F85" w14:textId="400C017D" w:rsidR="00054407" w:rsidRPr="007E2FEB" w:rsidRDefault="00054407" w:rsidP="004300E4">
      <w:r w:rsidRPr="007E2FEB">
        <w:t>Because line reactors operate with a voltage drop, AC line reactors may not be appropriate for certain installations:</w:t>
      </w:r>
    </w:p>
    <w:p w14:paraId="174FB845" w14:textId="73B4DB30" w:rsidR="00054407" w:rsidRPr="004300E4" w:rsidRDefault="00054407" w:rsidP="000B19DD">
      <w:pPr>
        <w:pStyle w:val="ListParagraph"/>
        <w:numPr>
          <w:ilvl w:val="0"/>
          <w:numId w:val="42"/>
        </w:numPr>
      </w:pPr>
      <w:r w:rsidRPr="004300E4">
        <w:t>Experience frequent utility sag events</w:t>
      </w:r>
      <w:r w:rsidR="007E4797">
        <w:t>; t</w:t>
      </w:r>
      <w:r w:rsidRPr="004300E4">
        <w:t xml:space="preserve">he additional line reactor voltage drop could cause more frequent nuisance tripping and possibly damage internal VFD components as the voltage sag normalizes.  </w:t>
      </w:r>
    </w:p>
    <w:p w14:paraId="685CF892" w14:textId="77777777" w:rsidR="00054407" w:rsidRPr="004300E4" w:rsidRDefault="00054407" w:rsidP="000B19DD">
      <w:pPr>
        <w:pStyle w:val="ListParagraph"/>
        <w:numPr>
          <w:ilvl w:val="0"/>
          <w:numId w:val="42"/>
        </w:numPr>
      </w:pPr>
      <w:r w:rsidRPr="004300E4">
        <w:t xml:space="preserve">Long cable runs will compound the voltage drop caused by the line reactors and can increase current requirements above expected levels to produce the same brake horsepower at the motor. </w:t>
      </w:r>
    </w:p>
    <w:p w14:paraId="772F5BED" w14:textId="6E555D4E" w:rsidR="00054407" w:rsidRDefault="00054407" w:rsidP="004300E4">
      <w:r w:rsidRPr="00D105F9">
        <w:t xml:space="preserve">One of many VFD system cooling methods that comply with the specifications is a panel-mounted HVAC unit. HVAC units are usually more expensive than other acceptable cooling methods, but </w:t>
      </w:r>
      <w:r w:rsidR="007E4797">
        <w:t>it is</w:t>
      </w:r>
      <w:r w:rsidRPr="00D105F9">
        <w:t xml:space="preserve"> relatively </w:t>
      </w:r>
      <w:r w:rsidRPr="00D105F9">
        <w:lastRenderedPageBreak/>
        <w:t xml:space="preserve">easy to incorporate HVAC units into a VFD system design. The approximate costs for adding an HVAC unit for VFD system cooling </w:t>
      </w:r>
      <w:r w:rsidR="007E4797">
        <w:t xml:space="preserve">are </w:t>
      </w:r>
      <w:r w:rsidRPr="00D105F9">
        <w:t xml:space="preserve">listed </w:t>
      </w:r>
      <w:r w:rsidR="007E4797">
        <w:t>below</w:t>
      </w:r>
      <w:r w:rsidRPr="00D105F9">
        <w:t xml:space="preserve">.  </w:t>
      </w:r>
    </w:p>
    <w:p w14:paraId="1D843B92" w14:textId="5BE96CE0" w:rsidR="00FF6E45" w:rsidRDefault="00FF6E45" w:rsidP="000B19DD">
      <w:pPr>
        <w:pStyle w:val="Caption"/>
      </w:pPr>
      <w:r>
        <w:t>Approximate Unit Costs for VFD Cooling Unit</w:t>
      </w:r>
    </w:p>
    <w:tbl>
      <w:tblPr>
        <w:tblW w:w="489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1435"/>
        <w:gridCol w:w="1440"/>
        <w:gridCol w:w="2016"/>
      </w:tblGrid>
      <w:tr w:rsidR="00FF6E45" w:rsidRPr="0059426D" w14:paraId="32A95D52" w14:textId="77777777" w:rsidTr="006473CF">
        <w:trPr>
          <w:cantSplit/>
          <w:trHeight w:val="20"/>
        </w:trPr>
        <w:tc>
          <w:tcPr>
            <w:tcW w:w="1435" w:type="dxa"/>
            <w:shd w:val="clear" w:color="000000" w:fill="F2F2F2" w:themeFill="background1" w:themeFillShade="F2"/>
            <w:vAlign w:val="bottom"/>
          </w:tcPr>
          <w:p w14:paraId="298FC471" w14:textId="5C9A4CCF" w:rsidR="00FF6E45" w:rsidRPr="006473CF" w:rsidRDefault="00FF6E45" w:rsidP="006C52CB">
            <w:pPr>
              <w:keepNext/>
              <w:keepLines/>
              <w:spacing w:before="0" w:after="0" w:line="200" w:lineRule="atLeast"/>
              <w:jc w:val="center"/>
              <w:rPr>
                <w:rFonts w:cs="Arial"/>
                <w:b/>
                <w:color w:val="000000"/>
                <w:sz w:val="20"/>
                <w:szCs w:val="20"/>
              </w:rPr>
            </w:pPr>
            <w:r w:rsidRPr="006473CF">
              <w:rPr>
                <w:b/>
                <w:sz w:val="20"/>
              </w:rPr>
              <w:t xml:space="preserve">VFD </w:t>
            </w:r>
            <w:r w:rsidR="007E4797" w:rsidRPr="006473CF">
              <w:rPr>
                <w:b/>
                <w:sz w:val="20"/>
              </w:rPr>
              <w:t>hp</w:t>
            </w:r>
          </w:p>
        </w:tc>
        <w:tc>
          <w:tcPr>
            <w:tcW w:w="1440" w:type="dxa"/>
            <w:shd w:val="clear" w:color="000000" w:fill="F2F2F2" w:themeFill="background1" w:themeFillShade="F2"/>
            <w:vAlign w:val="bottom"/>
          </w:tcPr>
          <w:p w14:paraId="0B6FEE35" w14:textId="426FE870" w:rsidR="00FF6E45" w:rsidRPr="006473CF" w:rsidRDefault="00FF6E45" w:rsidP="006C52CB">
            <w:pPr>
              <w:keepNext/>
              <w:keepLines/>
              <w:spacing w:before="0" w:after="0" w:line="200" w:lineRule="atLeast"/>
              <w:jc w:val="center"/>
              <w:rPr>
                <w:rFonts w:cs="Arial"/>
                <w:b/>
                <w:color w:val="000000"/>
                <w:sz w:val="20"/>
                <w:szCs w:val="20"/>
              </w:rPr>
            </w:pPr>
            <w:r w:rsidRPr="006473CF">
              <w:rPr>
                <w:b/>
                <w:sz w:val="20"/>
              </w:rPr>
              <w:t>Nominal HVAC (ton)</w:t>
            </w:r>
          </w:p>
        </w:tc>
        <w:tc>
          <w:tcPr>
            <w:tcW w:w="2016" w:type="dxa"/>
            <w:shd w:val="clear" w:color="000000" w:fill="F2F2F2" w:themeFill="background1" w:themeFillShade="F2"/>
            <w:vAlign w:val="bottom"/>
          </w:tcPr>
          <w:p w14:paraId="601221D9" w14:textId="1FDC2765" w:rsidR="00FF6E45" w:rsidRPr="006473CF" w:rsidRDefault="00FF6E45" w:rsidP="006C52CB">
            <w:pPr>
              <w:keepNext/>
              <w:keepLines/>
              <w:spacing w:before="0" w:after="0" w:line="200" w:lineRule="atLeast"/>
              <w:jc w:val="center"/>
              <w:rPr>
                <w:rFonts w:cs="Arial"/>
                <w:b/>
                <w:color w:val="000000"/>
                <w:sz w:val="20"/>
                <w:szCs w:val="20"/>
              </w:rPr>
            </w:pPr>
            <w:r w:rsidRPr="006473CF">
              <w:rPr>
                <w:b/>
                <w:sz w:val="20"/>
              </w:rPr>
              <w:t xml:space="preserve">Installed </w:t>
            </w:r>
            <w:r w:rsidR="007E4797" w:rsidRPr="006473CF">
              <w:rPr>
                <w:b/>
                <w:sz w:val="20"/>
              </w:rPr>
              <w:t>C</w:t>
            </w:r>
            <w:r w:rsidRPr="006473CF">
              <w:rPr>
                <w:b/>
                <w:sz w:val="20"/>
              </w:rPr>
              <w:t xml:space="preserve">ooling </w:t>
            </w:r>
            <w:r w:rsidR="007E4797" w:rsidRPr="006473CF">
              <w:rPr>
                <w:b/>
                <w:sz w:val="20"/>
              </w:rPr>
              <w:t>U</w:t>
            </w:r>
            <w:r w:rsidRPr="006473CF">
              <w:rPr>
                <w:b/>
                <w:sz w:val="20"/>
              </w:rPr>
              <w:t xml:space="preserve">nit </w:t>
            </w:r>
            <w:r w:rsidR="007E4797" w:rsidRPr="006473CF">
              <w:rPr>
                <w:b/>
                <w:sz w:val="20"/>
              </w:rPr>
              <w:t>C</w:t>
            </w:r>
            <w:r w:rsidRPr="006473CF">
              <w:rPr>
                <w:b/>
                <w:sz w:val="20"/>
              </w:rPr>
              <w:t xml:space="preserve">ost </w:t>
            </w:r>
            <w:r w:rsidR="007E4797" w:rsidRPr="006473CF">
              <w:rPr>
                <w:b/>
                <w:sz w:val="20"/>
              </w:rPr>
              <w:t>(+ tax)</w:t>
            </w:r>
            <w:r w:rsidRPr="006473CF">
              <w:rPr>
                <w:b/>
                <w:sz w:val="20"/>
              </w:rPr>
              <w:t xml:space="preserve"> ($)</w:t>
            </w:r>
          </w:p>
        </w:tc>
      </w:tr>
      <w:tr w:rsidR="00FF6E45" w:rsidRPr="0059426D" w14:paraId="1DCCDC3D" w14:textId="77777777" w:rsidTr="006473CF">
        <w:trPr>
          <w:cantSplit/>
          <w:trHeight w:val="20"/>
        </w:trPr>
        <w:tc>
          <w:tcPr>
            <w:tcW w:w="1435" w:type="dxa"/>
            <w:vAlign w:val="center"/>
          </w:tcPr>
          <w:p w14:paraId="266DE450" w14:textId="3D99F1BF" w:rsidR="00FF6E45" w:rsidRPr="006473CF" w:rsidRDefault="00FF6E45" w:rsidP="007E4797">
            <w:pPr>
              <w:keepNext/>
              <w:keepLines/>
              <w:spacing w:before="0" w:after="0" w:line="200" w:lineRule="atLeast"/>
              <w:ind w:right="430"/>
              <w:jc w:val="right"/>
              <w:rPr>
                <w:rFonts w:cstheme="minorHAnsi"/>
                <w:sz w:val="20"/>
                <w:szCs w:val="20"/>
              </w:rPr>
            </w:pPr>
            <w:r w:rsidRPr="006473CF">
              <w:rPr>
                <w:sz w:val="20"/>
              </w:rPr>
              <w:t>50</w:t>
            </w:r>
          </w:p>
        </w:tc>
        <w:tc>
          <w:tcPr>
            <w:tcW w:w="1440" w:type="dxa"/>
            <w:shd w:val="clear" w:color="auto" w:fill="auto"/>
            <w:noWrap/>
            <w:vAlign w:val="center"/>
          </w:tcPr>
          <w:p w14:paraId="60DC9C83" w14:textId="55DC0361" w:rsidR="00FF6E45" w:rsidRPr="006473CF" w:rsidRDefault="00FF6E45" w:rsidP="004300E4">
            <w:pPr>
              <w:keepNext/>
              <w:keepLines/>
              <w:spacing w:before="0" w:after="0" w:line="200" w:lineRule="atLeast"/>
              <w:ind w:right="542"/>
              <w:jc w:val="right"/>
              <w:rPr>
                <w:color w:val="000000"/>
                <w:sz w:val="20"/>
                <w:szCs w:val="20"/>
              </w:rPr>
            </w:pPr>
            <w:r w:rsidRPr="006473CF">
              <w:rPr>
                <w:sz w:val="20"/>
              </w:rPr>
              <w:t>0.5</w:t>
            </w:r>
          </w:p>
        </w:tc>
        <w:tc>
          <w:tcPr>
            <w:tcW w:w="2016" w:type="dxa"/>
            <w:vAlign w:val="center"/>
          </w:tcPr>
          <w:p w14:paraId="0A6D4A6D" w14:textId="577ED01C" w:rsidR="00FF6E45" w:rsidRPr="006473CF" w:rsidRDefault="004300E4" w:rsidP="004300E4">
            <w:pPr>
              <w:spacing w:before="0" w:after="0"/>
              <w:ind w:right="542"/>
              <w:jc w:val="right"/>
              <w:rPr>
                <w:sz w:val="20"/>
              </w:rPr>
            </w:pPr>
            <w:r w:rsidRPr="006473CF">
              <w:rPr>
                <w:sz w:val="20"/>
              </w:rPr>
              <w:t>$</w:t>
            </w:r>
            <w:r w:rsidR="00FF6E45" w:rsidRPr="006473CF">
              <w:rPr>
                <w:sz w:val="20"/>
              </w:rPr>
              <w:t>1</w:t>
            </w:r>
            <w:r w:rsidRPr="006473CF">
              <w:rPr>
                <w:sz w:val="20"/>
              </w:rPr>
              <w:t>,</w:t>
            </w:r>
            <w:r w:rsidR="00FF6E45" w:rsidRPr="006473CF">
              <w:rPr>
                <w:sz w:val="20"/>
              </w:rPr>
              <w:t>850</w:t>
            </w:r>
          </w:p>
        </w:tc>
      </w:tr>
      <w:tr w:rsidR="00FF6E45" w:rsidRPr="0059426D" w14:paraId="24B93E8F" w14:textId="77777777" w:rsidTr="006473CF">
        <w:trPr>
          <w:cantSplit/>
          <w:trHeight w:val="20"/>
        </w:trPr>
        <w:tc>
          <w:tcPr>
            <w:tcW w:w="1435" w:type="dxa"/>
            <w:vAlign w:val="center"/>
          </w:tcPr>
          <w:p w14:paraId="76418EC1" w14:textId="19008A92" w:rsidR="00FF6E45" w:rsidRPr="006473CF" w:rsidRDefault="00FF6E45" w:rsidP="007E4797">
            <w:pPr>
              <w:keepNext/>
              <w:keepLines/>
              <w:spacing w:before="0" w:after="0" w:line="200" w:lineRule="atLeast"/>
              <w:ind w:right="430"/>
              <w:jc w:val="right"/>
              <w:rPr>
                <w:rFonts w:cstheme="minorHAnsi"/>
                <w:sz w:val="20"/>
                <w:szCs w:val="20"/>
              </w:rPr>
            </w:pPr>
            <w:r w:rsidRPr="006473CF">
              <w:rPr>
                <w:sz w:val="20"/>
              </w:rPr>
              <w:t>100</w:t>
            </w:r>
          </w:p>
        </w:tc>
        <w:tc>
          <w:tcPr>
            <w:tcW w:w="1440" w:type="dxa"/>
            <w:shd w:val="clear" w:color="auto" w:fill="auto"/>
            <w:noWrap/>
            <w:vAlign w:val="center"/>
          </w:tcPr>
          <w:p w14:paraId="4C0E7D5F" w14:textId="7A5167E5" w:rsidR="00FF6E45" w:rsidRPr="006473CF" w:rsidRDefault="00FF6E45" w:rsidP="004300E4">
            <w:pPr>
              <w:keepNext/>
              <w:keepLines/>
              <w:spacing w:before="0" w:after="0" w:line="200" w:lineRule="atLeast"/>
              <w:ind w:right="542"/>
              <w:jc w:val="right"/>
              <w:rPr>
                <w:color w:val="000000"/>
                <w:sz w:val="20"/>
                <w:szCs w:val="20"/>
              </w:rPr>
            </w:pPr>
            <w:r w:rsidRPr="006473CF">
              <w:rPr>
                <w:sz w:val="20"/>
              </w:rPr>
              <w:t>1</w:t>
            </w:r>
            <w:r w:rsidR="004300E4" w:rsidRPr="006473CF">
              <w:rPr>
                <w:sz w:val="20"/>
              </w:rPr>
              <w:t>.0</w:t>
            </w:r>
          </w:p>
        </w:tc>
        <w:tc>
          <w:tcPr>
            <w:tcW w:w="2016" w:type="dxa"/>
            <w:vAlign w:val="center"/>
          </w:tcPr>
          <w:p w14:paraId="62EC77B5" w14:textId="37029DA9" w:rsidR="00FF6E45" w:rsidRPr="006473CF" w:rsidRDefault="004300E4" w:rsidP="004300E4">
            <w:pPr>
              <w:spacing w:before="0" w:after="0"/>
              <w:ind w:right="542"/>
              <w:jc w:val="right"/>
              <w:rPr>
                <w:sz w:val="20"/>
              </w:rPr>
            </w:pPr>
            <w:r w:rsidRPr="006473CF">
              <w:rPr>
                <w:sz w:val="20"/>
              </w:rPr>
              <w:t>$</w:t>
            </w:r>
            <w:r w:rsidR="00FF6E45" w:rsidRPr="006473CF">
              <w:rPr>
                <w:sz w:val="20"/>
              </w:rPr>
              <w:t>2</w:t>
            </w:r>
            <w:r w:rsidRPr="006473CF">
              <w:rPr>
                <w:sz w:val="20"/>
              </w:rPr>
              <w:t>,</w:t>
            </w:r>
            <w:r w:rsidR="00FF6E45" w:rsidRPr="006473CF">
              <w:rPr>
                <w:sz w:val="20"/>
              </w:rPr>
              <w:t>100</w:t>
            </w:r>
          </w:p>
        </w:tc>
      </w:tr>
      <w:tr w:rsidR="00FF6E45" w:rsidRPr="0059426D" w14:paraId="114FBF2B" w14:textId="77777777" w:rsidTr="006473CF">
        <w:trPr>
          <w:cantSplit/>
          <w:trHeight w:val="20"/>
        </w:trPr>
        <w:tc>
          <w:tcPr>
            <w:tcW w:w="1435" w:type="dxa"/>
            <w:vAlign w:val="center"/>
          </w:tcPr>
          <w:p w14:paraId="30470A9C" w14:textId="1324CC26" w:rsidR="00FF6E45" w:rsidRPr="006473CF" w:rsidRDefault="00FF6E45" w:rsidP="007E4797">
            <w:pPr>
              <w:keepNext/>
              <w:keepLines/>
              <w:spacing w:before="0" w:after="0" w:line="200" w:lineRule="atLeast"/>
              <w:ind w:right="430"/>
              <w:jc w:val="right"/>
              <w:rPr>
                <w:rFonts w:cstheme="minorHAnsi"/>
                <w:sz w:val="20"/>
                <w:szCs w:val="20"/>
              </w:rPr>
            </w:pPr>
            <w:r w:rsidRPr="006473CF">
              <w:rPr>
                <w:sz w:val="20"/>
              </w:rPr>
              <w:t>200</w:t>
            </w:r>
          </w:p>
        </w:tc>
        <w:tc>
          <w:tcPr>
            <w:tcW w:w="1440" w:type="dxa"/>
            <w:shd w:val="clear" w:color="auto" w:fill="auto"/>
            <w:noWrap/>
            <w:vAlign w:val="center"/>
          </w:tcPr>
          <w:p w14:paraId="306EDC36" w14:textId="7E04F7E6" w:rsidR="00FF6E45" w:rsidRPr="006473CF" w:rsidRDefault="00FF6E45" w:rsidP="004300E4">
            <w:pPr>
              <w:keepNext/>
              <w:keepLines/>
              <w:spacing w:before="0" w:after="0" w:line="200" w:lineRule="atLeast"/>
              <w:ind w:right="542"/>
              <w:jc w:val="right"/>
              <w:rPr>
                <w:color w:val="000000"/>
                <w:sz w:val="20"/>
                <w:szCs w:val="20"/>
              </w:rPr>
            </w:pPr>
            <w:r w:rsidRPr="006473CF">
              <w:rPr>
                <w:sz w:val="20"/>
              </w:rPr>
              <w:t>2</w:t>
            </w:r>
            <w:r w:rsidR="004300E4" w:rsidRPr="006473CF">
              <w:rPr>
                <w:sz w:val="20"/>
              </w:rPr>
              <w:t>.0</w:t>
            </w:r>
          </w:p>
        </w:tc>
        <w:tc>
          <w:tcPr>
            <w:tcW w:w="2016" w:type="dxa"/>
            <w:vAlign w:val="center"/>
          </w:tcPr>
          <w:p w14:paraId="2802DFC8" w14:textId="7A672DEA" w:rsidR="00FF6E45" w:rsidRPr="006473CF" w:rsidRDefault="004300E4" w:rsidP="004300E4">
            <w:pPr>
              <w:spacing w:before="0" w:after="0"/>
              <w:ind w:right="542"/>
              <w:jc w:val="right"/>
              <w:rPr>
                <w:sz w:val="20"/>
              </w:rPr>
            </w:pPr>
            <w:r w:rsidRPr="006473CF">
              <w:rPr>
                <w:sz w:val="20"/>
              </w:rPr>
              <w:t>$</w:t>
            </w:r>
            <w:r w:rsidR="00FF6E45" w:rsidRPr="006473CF">
              <w:rPr>
                <w:sz w:val="20"/>
              </w:rPr>
              <w:t>2</w:t>
            </w:r>
            <w:r w:rsidRPr="006473CF">
              <w:rPr>
                <w:sz w:val="20"/>
              </w:rPr>
              <w:t>,</w:t>
            </w:r>
            <w:r w:rsidR="00FF6E45" w:rsidRPr="006473CF">
              <w:rPr>
                <w:sz w:val="20"/>
              </w:rPr>
              <w:t>550</w:t>
            </w:r>
          </w:p>
        </w:tc>
      </w:tr>
      <w:tr w:rsidR="00FF6E45" w:rsidRPr="0059426D" w14:paraId="1E9FA23E" w14:textId="77777777" w:rsidTr="006473CF">
        <w:trPr>
          <w:cantSplit/>
          <w:trHeight w:val="20"/>
        </w:trPr>
        <w:tc>
          <w:tcPr>
            <w:tcW w:w="1435" w:type="dxa"/>
            <w:vAlign w:val="center"/>
          </w:tcPr>
          <w:p w14:paraId="018D006D" w14:textId="6D71C57D" w:rsidR="00FF6E45" w:rsidRPr="006473CF" w:rsidRDefault="00FF6E45" w:rsidP="007E4797">
            <w:pPr>
              <w:keepNext/>
              <w:keepLines/>
              <w:spacing w:before="0" w:after="0" w:line="200" w:lineRule="atLeast"/>
              <w:ind w:right="430"/>
              <w:jc w:val="right"/>
              <w:rPr>
                <w:rFonts w:cstheme="minorHAnsi"/>
                <w:sz w:val="20"/>
                <w:szCs w:val="20"/>
              </w:rPr>
            </w:pPr>
            <w:r w:rsidRPr="006473CF">
              <w:rPr>
                <w:sz w:val="20"/>
              </w:rPr>
              <w:t>400</w:t>
            </w:r>
          </w:p>
        </w:tc>
        <w:tc>
          <w:tcPr>
            <w:tcW w:w="1440" w:type="dxa"/>
            <w:shd w:val="clear" w:color="auto" w:fill="auto"/>
            <w:noWrap/>
            <w:vAlign w:val="center"/>
          </w:tcPr>
          <w:p w14:paraId="1955FD76" w14:textId="6CC8E8D8" w:rsidR="00FF6E45" w:rsidRPr="006473CF" w:rsidRDefault="00FF6E45" w:rsidP="004300E4">
            <w:pPr>
              <w:keepNext/>
              <w:keepLines/>
              <w:spacing w:before="0" w:after="0" w:line="200" w:lineRule="atLeast"/>
              <w:ind w:right="542"/>
              <w:jc w:val="right"/>
              <w:rPr>
                <w:color w:val="000000"/>
                <w:sz w:val="20"/>
                <w:szCs w:val="20"/>
              </w:rPr>
            </w:pPr>
            <w:r w:rsidRPr="006473CF">
              <w:rPr>
                <w:sz w:val="20"/>
              </w:rPr>
              <w:t>3</w:t>
            </w:r>
            <w:r w:rsidR="004300E4" w:rsidRPr="006473CF">
              <w:rPr>
                <w:sz w:val="20"/>
              </w:rPr>
              <w:t>.0</w:t>
            </w:r>
          </w:p>
        </w:tc>
        <w:tc>
          <w:tcPr>
            <w:tcW w:w="2016" w:type="dxa"/>
            <w:vAlign w:val="center"/>
          </w:tcPr>
          <w:p w14:paraId="12E963A0" w14:textId="63595BD2" w:rsidR="00FF6E45" w:rsidRPr="006473CF" w:rsidRDefault="004300E4" w:rsidP="004300E4">
            <w:pPr>
              <w:spacing w:before="0" w:after="0"/>
              <w:ind w:right="542"/>
              <w:jc w:val="right"/>
              <w:rPr>
                <w:sz w:val="20"/>
              </w:rPr>
            </w:pPr>
            <w:r w:rsidRPr="006473CF">
              <w:rPr>
                <w:sz w:val="20"/>
              </w:rPr>
              <w:t>$</w:t>
            </w:r>
            <w:r w:rsidR="00FF6E45" w:rsidRPr="006473CF">
              <w:rPr>
                <w:sz w:val="20"/>
              </w:rPr>
              <w:t>3</w:t>
            </w:r>
            <w:r w:rsidRPr="006473CF">
              <w:rPr>
                <w:sz w:val="20"/>
              </w:rPr>
              <w:t>,</w:t>
            </w:r>
            <w:r w:rsidR="00FF6E45" w:rsidRPr="006473CF">
              <w:rPr>
                <w:sz w:val="20"/>
              </w:rPr>
              <w:t>050</w:t>
            </w:r>
          </w:p>
        </w:tc>
      </w:tr>
      <w:tr w:rsidR="00FF6E45" w:rsidRPr="0059426D" w14:paraId="220328DA" w14:textId="77777777" w:rsidTr="006473CF">
        <w:trPr>
          <w:cantSplit/>
          <w:trHeight w:val="20"/>
        </w:trPr>
        <w:tc>
          <w:tcPr>
            <w:tcW w:w="1435" w:type="dxa"/>
            <w:vAlign w:val="center"/>
          </w:tcPr>
          <w:p w14:paraId="5B5A964F" w14:textId="3C2A9B59" w:rsidR="00FF6E45" w:rsidRPr="006473CF" w:rsidRDefault="00FF6E45" w:rsidP="007E4797">
            <w:pPr>
              <w:keepNext/>
              <w:keepLines/>
              <w:spacing w:before="0" w:after="0" w:line="200" w:lineRule="atLeast"/>
              <w:ind w:right="430"/>
              <w:jc w:val="right"/>
              <w:rPr>
                <w:rFonts w:cstheme="minorHAnsi"/>
                <w:sz w:val="20"/>
                <w:szCs w:val="20"/>
              </w:rPr>
            </w:pPr>
            <w:r w:rsidRPr="006473CF">
              <w:rPr>
                <w:sz w:val="20"/>
              </w:rPr>
              <w:t>600</w:t>
            </w:r>
          </w:p>
        </w:tc>
        <w:tc>
          <w:tcPr>
            <w:tcW w:w="1440" w:type="dxa"/>
            <w:shd w:val="clear" w:color="auto" w:fill="auto"/>
            <w:noWrap/>
            <w:vAlign w:val="center"/>
          </w:tcPr>
          <w:p w14:paraId="3D4548D7" w14:textId="0937A1DB" w:rsidR="00FF6E45" w:rsidRPr="006473CF" w:rsidRDefault="00FF6E45" w:rsidP="004300E4">
            <w:pPr>
              <w:keepNext/>
              <w:keepLines/>
              <w:spacing w:before="0" w:after="0" w:line="200" w:lineRule="atLeast"/>
              <w:ind w:right="542"/>
              <w:jc w:val="right"/>
              <w:rPr>
                <w:color w:val="000000"/>
                <w:sz w:val="20"/>
                <w:szCs w:val="20"/>
              </w:rPr>
            </w:pPr>
            <w:r w:rsidRPr="006473CF">
              <w:rPr>
                <w:sz w:val="20"/>
              </w:rPr>
              <w:t>5</w:t>
            </w:r>
            <w:r w:rsidR="004300E4" w:rsidRPr="006473CF">
              <w:rPr>
                <w:sz w:val="20"/>
              </w:rPr>
              <w:t>.0</w:t>
            </w:r>
          </w:p>
        </w:tc>
        <w:tc>
          <w:tcPr>
            <w:tcW w:w="2016" w:type="dxa"/>
            <w:vAlign w:val="center"/>
          </w:tcPr>
          <w:p w14:paraId="2608286A" w14:textId="76248431" w:rsidR="00FF6E45" w:rsidRPr="006473CF" w:rsidRDefault="004300E4" w:rsidP="004300E4">
            <w:pPr>
              <w:spacing w:before="0" w:after="0"/>
              <w:ind w:right="542"/>
              <w:jc w:val="right"/>
              <w:rPr>
                <w:sz w:val="20"/>
              </w:rPr>
            </w:pPr>
            <w:r w:rsidRPr="006473CF">
              <w:rPr>
                <w:sz w:val="20"/>
              </w:rPr>
              <w:t>$</w:t>
            </w:r>
            <w:r w:rsidR="00FF6E45" w:rsidRPr="006473CF">
              <w:rPr>
                <w:sz w:val="20"/>
              </w:rPr>
              <w:t>4</w:t>
            </w:r>
            <w:r w:rsidRPr="006473CF">
              <w:rPr>
                <w:sz w:val="20"/>
              </w:rPr>
              <w:t>,</w:t>
            </w:r>
            <w:r w:rsidR="00FF6E45" w:rsidRPr="006473CF">
              <w:rPr>
                <w:sz w:val="20"/>
              </w:rPr>
              <w:t>000</w:t>
            </w:r>
          </w:p>
        </w:tc>
      </w:tr>
    </w:tbl>
    <w:p w14:paraId="7AC881DA" w14:textId="71A50729" w:rsidR="00FF6E45" w:rsidRDefault="00FF6E45" w:rsidP="00054407">
      <w:pPr>
        <w:pStyle w:val="ListParagraph"/>
        <w:tabs>
          <w:tab w:val="left" w:pos="6595"/>
        </w:tabs>
        <w:spacing w:line="276" w:lineRule="auto"/>
        <w:ind w:left="0"/>
        <w:rPr>
          <w:szCs w:val="22"/>
        </w:rPr>
      </w:pPr>
    </w:p>
    <w:p w14:paraId="0DABB41E" w14:textId="4F2C0892" w:rsidR="00F95E06" w:rsidRPr="004B06E3" w:rsidRDefault="00F95E06" w:rsidP="00F95E06">
      <w:pPr>
        <w:pStyle w:val="eTRMHeading3"/>
      </w:pPr>
      <w:bookmarkStart w:id="60" w:name="_Toc10806377"/>
      <w:bookmarkStart w:id="61" w:name="_Toc486490862"/>
      <w:bookmarkStart w:id="62" w:name="_Toc486580933"/>
      <w:r>
        <w:t xml:space="preserve">Base Case </w:t>
      </w:r>
      <w:r w:rsidRPr="004B06E3">
        <w:t>Labor Cost ($/unit)</w:t>
      </w:r>
      <w:bookmarkEnd w:id="60"/>
    </w:p>
    <w:p w14:paraId="3C22D668" w14:textId="25039DF2" w:rsidR="00D75ADA" w:rsidRPr="00B9308C" w:rsidRDefault="00D75ADA" w:rsidP="00D75ADA">
      <w:r w:rsidRPr="00B9308C">
        <w:t xml:space="preserve">For the </w:t>
      </w:r>
      <w:r w:rsidRPr="00F95E06">
        <w:rPr>
          <w:i/>
        </w:rPr>
        <w:t>add-on equipment</w:t>
      </w:r>
      <w:r>
        <w:t xml:space="preserve">, </w:t>
      </w:r>
      <w:r w:rsidRPr="00B9308C">
        <w:t xml:space="preserve">the base case </w:t>
      </w:r>
      <w:r>
        <w:t xml:space="preserve">labor </w:t>
      </w:r>
      <w:r w:rsidRPr="00B9308C">
        <w:t xml:space="preserve">cost is </w:t>
      </w:r>
      <w:r>
        <w:t>equal to $0</w:t>
      </w:r>
      <w:r w:rsidRPr="00B9308C">
        <w:t xml:space="preserve"> because no modifications </w:t>
      </w:r>
      <w:r>
        <w:t xml:space="preserve">are </w:t>
      </w:r>
      <w:r w:rsidRPr="00B9308C">
        <w:t xml:space="preserve">to the existing equipment.  The customer’s alternative is to make no changes to their existing irrigation pumping system.  </w:t>
      </w:r>
    </w:p>
    <w:p w14:paraId="1F88266E" w14:textId="3FEF4E8B" w:rsidR="00D75ADA" w:rsidRDefault="00D75ADA" w:rsidP="00D75ADA">
      <w:r w:rsidRPr="00B9308C">
        <w:t xml:space="preserve">For </w:t>
      </w:r>
      <w:r w:rsidR="00903F51">
        <w:rPr>
          <w:i/>
        </w:rPr>
        <w:t>new construction</w:t>
      </w:r>
      <w:r w:rsidRPr="00B9308C">
        <w:t xml:space="preserve"> the base case </w:t>
      </w:r>
      <w:r>
        <w:t xml:space="preserve">labor </w:t>
      </w:r>
      <w:r w:rsidRPr="00B9308C">
        <w:t xml:space="preserve">cost is </w:t>
      </w:r>
      <w:r>
        <w:t xml:space="preserve">included in the material costs, as described for the Measure Case Material Cost. </w:t>
      </w:r>
      <w:r w:rsidRPr="00B9308C">
        <w:t xml:space="preserve"> </w:t>
      </w:r>
    </w:p>
    <w:p w14:paraId="4E53820D" w14:textId="77777777" w:rsidR="00F95E06" w:rsidRPr="004B06E3" w:rsidRDefault="00F95E06" w:rsidP="00F95E06"/>
    <w:p w14:paraId="02691007" w14:textId="6501EBC9" w:rsidR="007D230B" w:rsidRPr="004B06E3" w:rsidRDefault="00F95E06" w:rsidP="00462BB6">
      <w:pPr>
        <w:pStyle w:val="eTRMHeading3"/>
      </w:pPr>
      <w:bookmarkStart w:id="63" w:name="_Toc10806378"/>
      <w:r>
        <w:t xml:space="preserve">Measure Case </w:t>
      </w:r>
      <w:r w:rsidR="007D230B" w:rsidRPr="004B06E3">
        <w:t>Labor Cost ($/unit)</w:t>
      </w:r>
      <w:bookmarkEnd w:id="61"/>
      <w:bookmarkEnd w:id="62"/>
      <w:bookmarkEnd w:id="63"/>
    </w:p>
    <w:p w14:paraId="13989664" w14:textId="02B06274" w:rsidR="007D230B" w:rsidRPr="004B06E3" w:rsidRDefault="004972E1" w:rsidP="004142EF">
      <w:r>
        <w:t>Labor costs are included in the material cost; see Measure Case Material Cost.</w:t>
      </w:r>
      <w:r w:rsidR="002E73F6">
        <w:t xml:space="preserve"> </w:t>
      </w:r>
    </w:p>
    <w:p w14:paraId="5FCE367F" w14:textId="77777777" w:rsidR="007D230B" w:rsidRPr="004B06E3" w:rsidRDefault="007D230B" w:rsidP="004142EF">
      <w:r w:rsidRPr="004B06E3">
        <w:t> </w:t>
      </w:r>
    </w:p>
    <w:p w14:paraId="050D9183" w14:textId="7ABF5C13" w:rsidR="007D230B" w:rsidRPr="004B06E3" w:rsidRDefault="004B06E3" w:rsidP="00462BB6">
      <w:pPr>
        <w:pStyle w:val="eTRMHeading3"/>
      </w:pPr>
      <w:bookmarkStart w:id="64" w:name="_Toc486490863"/>
      <w:bookmarkStart w:id="65" w:name="_Toc486580934"/>
      <w:bookmarkStart w:id="66" w:name="_Toc10806379"/>
      <w:r>
        <w:t>Net-to-Gross</w:t>
      </w:r>
      <w:bookmarkEnd w:id="64"/>
      <w:bookmarkEnd w:id="65"/>
      <w:r w:rsidR="008D4652">
        <w:t xml:space="preserve"> (NTG)</w:t>
      </w:r>
      <w:bookmarkEnd w:id="66"/>
    </w:p>
    <w:p w14:paraId="0C1043E3" w14:textId="7538D082" w:rsidR="00C16E68" w:rsidRDefault="00AA3E2A" w:rsidP="00C16E68">
      <w:r w:rsidRPr="00860FEC">
        <w:t xml:space="preserve">The net-to-gross (NTG) ratio represents the portion of gross impacts that are determined to be directly attributed to a specific program intervention. </w:t>
      </w:r>
      <w:bookmarkStart w:id="67" w:name="_Hlk507575424"/>
      <w:bookmarkStart w:id="68" w:name="_Ref489017989"/>
      <w:r w:rsidR="000A27AB">
        <w:t xml:space="preserve">These NTG values are based upon the recommended rates by CPUC’s Resolution E-5082 and were derived from the </w:t>
      </w:r>
      <w:r w:rsidR="000A27AB" w:rsidRPr="009E535A">
        <w:t>Small/Medium Commercial Sector EM&amp;VPY2018</w:t>
      </w:r>
      <w:r w:rsidR="00C16E68" w:rsidRPr="00AF3038">
        <w:t xml:space="preserve">. </w:t>
      </w:r>
      <w:r w:rsidR="00F95E06">
        <w:t>This</w:t>
      </w:r>
      <w:r w:rsidR="00C16E68" w:rsidRPr="00AF3038">
        <w:t xml:space="preserve"> sector average NTG (“default NTGs”) </w:t>
      </w:r>
      <w:r w:rsidR="00F95E06">
        <w:t>is</w:t>
      </w:r>
      <w:r w:rsidR="00C16E68" w:rsidRPr="00AF3038">
        <w:t xml:space="preserve"> applicable </w:t>
      </w:r>
      <w:r w:rsidR="00C16E68">
        <w:t xml:space="preserve">to </w:t>
      </w:r>
      <w:r w:rsidR="00C16E68" w:rsidRPr="00AF3038">
        <w:t xml:space="preserve">all energy efficiency measures that have been offered </w:t>
      </w:r>
      <w:r w:rsidR="00C16E68">
        <w:t>through</w:t>
      </w:r>
      <w:r w:rsidR="00C16E68" w:rsidRPr="00AF3038">
        <w:t xml:space="preserve"> </w:t>
      </w:r>
      <w:r w:rsidR="0041526A">
        <w:t xml:space="preserve">commercial and </w:t>
      </w:r>
      <w:r w:rsidR="00C16E68" w:rsidRPr="00AF3038">
        <w:t xml:space="preserve">agriculture </w:t>
      </w:r>
      <w:r w:rsidR="00C16E68">
        <w:t xml:space="preserve">sector </w:t>
      </w:r>
      <w:r w:rsidR="00C16E68" w:rsidRPr="00AF3038">
        <w:t xml:space="preserve">programs for </w:t>
      </w:r>
      <w:r w:rsidR="00C16E68">
        <w:t>less</w:t>
      </w:r>
      <w:r w:rsidR="00C16E68" w:rsidRPr="00AF3038">
        <w:t xml:space="preserve"> than two years and for which impact evaluation results are not available.</w:t>
      </w:r>
      <w:r w:rsidR="00C16E68" w:rsidRPr="00765218">
        <w:t> </w:t>
      </w:r>
    </w:p>
    <w:bookmarkEnd w:id="67"/>
    <w:bookmarkEnd w:id="68"/>
    <w:p w14:paraId="0D1CEED6" w14:textId="3979BB2F" w:rsidR="00DE1A0F" w:rsidRPr="0059426D" w:rsidRDefault="00DE1A0F" w:rsidP="000B19DD">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350"/>
        <w:gridCol w:w="6120"/>
      </w:tblGrid>
      <w:tr w:rsidR="00AA3E2A" w:rsidRPr="0059426D" w14:paraId="0D2B92AF" w14:textId="662FBAEE" w:rsidTr="00B03575">
        <w:trPr>
          <w:cantSplit/>
          <w:trHeight w:val="20"/>
          <w:tblHeader/>
        </w:trPr>
        <w:tc>
          <w:tcPr>
            <w:tcW w:w="215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35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612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41526A" w:rsidRPr="0059426D" w14:paraId="682BF062" w14:textId="72E696E9" w:rsidTr="0041526A">
        <w:trPr>
          <w:cantSplit/>
          <w:trHeight w:val="287"/>
        </w:trPr>
        <w:tc>
          <w:tcPr>
            <w:tcW w:w="2155" w:type="dxa"/>
            <w:vAlign w:val="center"/>
          </w:tcPr>
          <w:p w14:paraId="5BA6FA92" w14:textId="52E5869E" w:rsidR="0041526A" w:rsidRPr="00177EB6" w:rsidRDefault="0041526A" w:rsidP="00FF6E45">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Commercial </w:t>
            </w:r>
          </w:p>
        </w:tc>
        <w:tc>
          <w:tcPr>
            <w:tcW w:w="1350" w:type="dxa"/>
            <w:shd w:val="clear" w:color="auto" w:fill="auto"/>
            <w:noWrap/>
            <w:vAlign w:val="center"/>
          </w:tcPr>
          <w:p w14:paraId="62F18FF1" w14:textId="46E1AB63" w:rsidR="0041526A" w:rsidRPr="00F95E06" w:rsidRDefault="0041526A" w:rsidP="00FF6E45">
            <w:pPr>
              <w:keepNext/>
              <w:keepLines/>
              <w:spacing w:before="0" w:after="0" w:line="200" w:lineRule="atLeast"/>
              <w:jc w:val="center"/>
              <w:rPr>
                <w:sz w:val="20"/>
                <w:szCs w:val="20"/>
              </w:rPr>
            </w:pPr>
            <w:r w:rsidRPr="00F95E06">
              <w:rPr>
                <w:sz w:val="20"/>
                <w:szCs w:val="20"/>
              </w:rPr>
              <w:t>0.</w:t>
            </w:r>
            <w:r w:rsidR="00127B7F">
              <w:rPr>
                <w:sz w:val="20"/>
                <w:szCs w:val="20"/>
              </w:rPr>
              <w:t>3</w:t>
            </w:r>
            <w:r w:rsidRPr="00F95E06">
              <w:rPr>
                <w:sz w:val="20"/>
                <w:szCs w:val="20"/>
              </w:rPr>
              <w:t>0</w:t>
            </w:r>
          </w:p>
        </w:tc>
        <w:tc>
          <w:tcPr>
            <w:tcW w:w="6120" w:type="dxa"/>
            <w:vMerge w:val="restart"/>
            <w:vAlign w:val="center"/>
          </w:tcPr>
          <w:p w14:paraId="133857EB" w14:textId="66D3CEE9" w:rsidR="0041526A" w:rsidRPr="00C16E68" w:rsidRDefault="000A27AB" w:rsidP="006C52CB">
            <w:r w:rsidRPr="000A27AB">
              <w:rPr>
                <w:sz w:val="18"/>
              </w:rPr>
              <w:t>CPUC’s Resolution E-5082 and the Small/Medium Commercial Sector EM&amp;VPY2018</w:t>
            </w:r>
          </w:p>
        </w:tc>
      </w:tr>
      <w:tr w:rsidR="0041526A" w:rsidRPr="0059426D" w14:paraId="40D005C7" w14:textId="77777777" w:rsidTr="006F7325">
        <w:trPr>
          <w:cantSplit/>
          <w:trHeight w:val="20"/>
        </w:trPr>
        <w:tc>
          <w:tcPr>
            <w:tcW w:w="2155" w:type="dxa"/>
            <w:vAlign w:val="center"/>
          </w:tcPr>
          <w:p w14:paraId="6DB0E590" w14:textId="730EAF4A" w:rsidR="0041526A" w:rsidRPr="00177EB6" w:rsidRDefault="0041526A" w:rsidP="0041526A">
            <w:pPr>
              <w:keepNext/>
              <w:keepLines/>
              <w:spacing w:before="0" w:after="0" w:line="200" w:lineRule="atLeast"/>
              <w:rPr>
                <w:rFonts w:cs="Arial"/>
                <w:color w:val="000000"/>
                <w:sz w:val="20"/>
                <w:szCs w:val="20"/>
              </w:rPr>
            </w:pPr>
            <w:r w:rsidRPr="00177EB6">
              <w:rPr>
                <w:rFonts w:cs="Arial"/>
                <w:color w:val="000000"/>
                <w:sz w:val="20"/>
                <w:szCs w:val="20"/>
              </w:rPr>
              <w:t xml:space="preserve">NTG </w:t>
            </w:r>
            <w:r>
              <w:rPr>
                <w:rFonts w:cs="Arial"/>
                <w:color w:val="000000"/>
                <w:sz w:val="20"/>
                <w:szCs w:val="20"/>
              </w:rPr>
              <w:t xml:space="preserve">– Agriculture </w:t>
            </w:r>
          </w:p>
        </w:tc>
        <w:tc>
          <w:tcPr>
            <w:tcW w:w="1350" w:type="dxa"/>
            <w:shd w:val="clear" w:color="auto" w:fill="auto"/>
            <w:noWrap/>
            <w:vAlign w:val="center"/>
          </w:tcPr>
          <w:p w14:paraId="3663A718" w14:textId="66499606" w:rsidR="0041526A" w:rsidRPr="00F95E06" w:rsidRDefault="0041526A" w:rsidP="0041526A">
            <w:pPr>
              <w:keepNext/>
              <w:keepLines/>
              <w:spacing w:before="0" w:after="0" w:line="200" w:lineRule="atLeast"/>
              <w:jc w:val="center"/>
              <w:rPr>
                <w:sz w:val="20"/>
                <w:szCs w:val="20"/>
              </w:rPr>
            </w:pPr>
            <w:r w:rsidRPr="00F95E06">
              <w:rPr>
                <w:sz w:val="20"/>
                <w:szCs w:val="20"/>
              </w:rPr>
              <w:t>0.</w:t>
            </w:r>
            <w:r w:rsidR="00127B7F">
              <w:rPr>
                <w:sz w:val="20"/>
                <w:szCs w:val="20"/>
              </w:rPr>
              <w:t>3</w:t>
            </w:r>
            <w:r w:rsidRPr="00F95E06">
              <w:rPr>
                <w:sz w:val="20"/>
                <w:szCs w:val="20"/>
              </w:rPr>
              <w:t>0</w:t>
            </w:r>
          </w:p>
        </w:tc>
        <w:tc>
          <w:tcPr>
            <w:tcW w:w="6120" w:type="dxa"/>
            <w:vMerge/>
            <w:vAlign w:val="center"/>
          </w:tcPr>
          <w:p w14:paraId="280E1F35" w14:textId="77777777" w:rsidR="0041526A" w:rsidRPr="00575E9A" w:rsidRDefault="0041526A" w:rsidP="0041526A">
            <w:pPr>
              <w:rPr>
                <w:sz w:val="18"/>
              </w:rPr>
            </w:pPr>
          </w:p>
        </w:tc>
      </w:tr>
    </w:tbl>
    <w:p w14:paraId="6ECC6493" w14:textId="77777777" w:rsidR="007D230B" w:rsidRPr="004B06E3" w:rsidRDefault="007D230B" w:rsidP="004142EF"/>
    <w:p w14:paraId="323B5B02" w14:textId="4C4B13DC" w:rsidR="007D230B" w:rsidRPr="004B06E3" w:rsidRDefault="00D02C36" w:rsidP="00462BB6">
      <w:pPr>
        <w:pStyle w:val="eTRMHeading3"/>
      </w:pPr>
      <w:bookmarkStart w:id="69" w:name="_Toc486490864"/>
      <w:bookmarkStart w:id="70" w:name="_Toc486580935"/>
      <w:bookmarkStart w:id="71" w:name="_Toc10806380"/>
      <w:r>
        <w:t>Gross Savings Installation Adjustment (</w:t>
      </w:r>
      <w:r w:rsidR="007D230B" w:rsidRPr="004B06E3">
        <w:t>GSIA</w:t>
      </w:r>
      <w:bookmarkEnd w:id="69"/>
      <w:bookmarkEnd w:id="70"/>
      <w:r>
        <w:t>)</w:t>
      </w:r>
      <w:bookmarkEnd w:id="71"/>
    </w:p>
    <w:p w14:paraId="2A1F1C17" w14:textId="3F02B6E4" w:rsidR="007D230B" w:rsidRDefault="00AA3E2A" w:rsidP="004142E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This GSIA </w:t>
      </w:r>
      <w:r w:rsidR="00440537" w:rsidRPr="00440537">
        <w:t>is the current “default” rate specified for measures for which an alternative GSIA has not been estimated and approved.</w:t>
      </w:r>
    </w:p>
    <w:p w14:paraId="022915CE" w14:textId="2B62F465" w:rsidR="00DE1A0F" w:rsidRPr="0059426D" w:rsidRDefault="00F95E06" w:rsidP="009B1903">
      <w:pPr>
        <w:pStyle w:val="Caption"/>
      </w:pPr>
      <w:r>
        <w:lastRenderedPageBreak/>
        <w:t>Gross Savings Installation Adjustment</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350"/>
        <w:gridCol w:w="5940"/>
      </w:tblGrid>
      <w:tr w:rsidR="00AA3E2A" w:rsidRPr="0059426D" w14:paraId="60BDA2BB" w14:textId="744FC0FC" w:rsidTr="00B03575">
        <w:trPr>
          <w:cantSplit/>
          <w:trHeight w:val="20"/>
          <w:tblHeader/>
        </w:trPr>
        <w:tc>
          <w:tcPr>
            <w:tcW w:w="1177" w:type="pct"/>
            <w:shd w:val="clear" w:color="000000" w:fill="F2F2F2" w:themeFill="background1" w:themeFillShade="F2"/>
            <w:vAlign w:val="bottom"/>
          </w:tcPr>
          <w:p w14:paraId="7D363CC0" w14:textId="709302B7" w:rsidR="00AA3E2A" w:rsidRPr="0059426D" w:rsidRDefault="00177EB6" w:rsidP="009B1903">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708" w:type="pct"/>
            <w:shd w:val="clear" w:color="000000" w:fill="F2F2F2" w:themeFill="background1" w:themeFillShade="F2"/>
            <w:vAlign w:val="center"/>
          </w:tcPr>
          <w:p w14:paraId="2A1AC9D4" w14:textId="3263DC2B" w:rsidR="00AA3E2A" w:rsidRPr="0059426D" w:rsidRDefault="00AA3E2A" w:rsidP="009B1903">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115" w:type="pct"/>
            <w:shd w:val="clear" w:color="000000" w:fill="F2F2F2" w:themeFill="background1" w:themeFillShade="F2"/>
          </w:tcPr>
          <w:p w14:paraId="32AB7FEE" w14:textId="77936D4E" w:rsidR="00AA3E2A" w:rsidRPr="00D02DA8" w:rsidRDefault="00AA3E2A" w:rsidP="009B1903">
            <w:pPr>
              <w:keepNext/>
              <w:keepLines/>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6F7325">
        <w:trPr>
          <w:cantSplit/>
          <w:trHeight w:val="20"/>
        </w:trPr>
        <w:tc>
          <w:tcPr>
            <w:tcW w:w="1177" w:type="pct"/>
            <w:vAlign w:val="center"/>
          </w:tcPr>
          <w:p w14:paraId="6618BC2B" w14:textId="04F8B7DB" w:rsidR="00AA3E2A" w:rsidRPr="0059426D" w:rsidRDefault="00177EB6" w:rsidP="009B1903">
            <w:pPr>
              <w:keepNext/>
              <w:keepLines/>
              <w:spacing w:before="0" w:after="0" w:line="200" w:lineRule="atLeast"/>
              <w:rPr>
                <w:rFonts w:cstheme="minorHAnsi"/>
                <w:sz w:val="20"/>
                <w:szCs w:val="20"/>
              </w:rPr>
            </w:pPr>
            <w:r>
              <w:rPr>
                <w:rFonts w:cstheme="minorHAnsi"/>
                <w:sz w:val="20"/>
                <w:szCs w:val="20"/>
              </w:rPr>
              <w:t xml:space="preserve">GSIA </w:t>
            </w:r>
            <w:r w:rsidR="00C16E68">
              <w:rPr>
                <w:rFonts w:cstheme="minorHAnsi"/>
                <w:sz w:val="20"/>
                <w:szCs w:val="20"/>
              </w:rPr>
              <w:t>–</w:t>
            </w:r>
            <w:r>
              <w:rPr>
                <w:rFonts w:cstheme="minorHAnsi"/>
                <w:sz w:val="20"/>
                <w:szCs w:val="20"/>
              </w:rPr>
              <w:t xml:space="preserve"> </w:t>
            </w:r>
            <w:r w:rsidR="00C16E68">
              <w:rPr>
                <w:rFonts w:cstheme="minorHAnsi"/>
                <w:sz w:val="20"/>
                <w:szCs w:val="20"/>
              </w:rPr>
              <w:t>Default</w:t>
            </w:r>
          </w:p>
        </w:tc>
        <w:tc>
          <w:tcPr>
            <w:tcW w:w="708" w:type="pct"/>
            <w:vAlign w:val="center"/>
          </w:tcPr>
          <w:p w14:paraId="6D1D8F27" w14:textId="6910DCB6" w:rsidR="00AA3E2A" w:rsidRPr="00F95E06" w:rsidRDefault="00C16E68" w:rsidP="009B1903">
            <w:pPr>
              <w:keepNext/>
              <w:keepLines/>
              <w:spacing w:before="0" w:after="0" w:line="200" w:lineRule="atLeast"/>
              <w:jc w:val="center"/>
              <w:rPr>
                <w:sz w:val="20"/>
                <w:szCs w:val="20"/>
              </w:rPr>
            </w:pPr>
            <w:r w:rsidRPr="00F95E06">
              <w:rPr>
                <w:sz w:val="20"/>
                <w:szCs w:val="20"/>
              </w:rPr>
              <w:t>1.0</w:t>
            </w:r>
          </w:p>
        </w:tc>
        <w:tc>
          <w:tcPr>
            <w:tcW w:w="3115" w:type="pct"/>
            <w:vAlign w:val="center"/>
          </w:tcPr>
          <w:p w14:paraId="52FCA633" w14:textId="1F5662E5" w:rsidR="00AA3E2A" w:rsidRPr="006C52CB" w:rsidRDefault="00C16E68" w:rsidP="009B1903">
            <w:pPr>
              <w:keepNext/>
              <w:keepLines/>
              <w:spacing w:before="0" w:after="0" w:line="200" w:lineRule="atLeast"/>
              <w:rPr>
                <w:sz w:val="20"/>
                <w:szCs w:val="20"/>
              </w:rPr>
            </w:pPr>
            <w:r w:rsidRPr="006C52CB">
              <w:rPr>
                <w:sz w:val="20"/>
                <w:szCs w:val="20"/>
              </w:rPr>
              <w:t xml:space="preserve">California Public Utilities Commission (CPUC), Energy Division. 2013. </w:t>
            </w:r>
            <w:r w:rsidRPr="006C52CB">
              <w:rPr>
                <w:i/>
                <w:sz w:val="20"/>
                <w:szCs w:val="20"/>
              </w:rPr>
              <w:t>Energy Efficiency Policy Manual Version 5</w:t>
            </w:r>
            <w:r w:rsidRPr="006C52CB">
              <w:rPr>
                <w:sz w:val="20"/>
                <w:szCs w:val="20"/>
              </w:rPr>
              <w:t>. Page 31</w:t>
            </w:r>
          </w:p>
        </w:tc>
      </w:tr>
    </w:tbl>
    <w:p w14:paraId="08395124" w14:textId="77777777" w:rsidR="00DE1A0F" w:rsidRDefault="00DE1A0F" w:rsidP="00DE1A0F">
      <w:pPr>
        <w:rPr>
          <w:rFonts w:cs="Arial"/>
          <w:sz w:val="20"/>
          <w:szCs w:val="20"/>
        </w:rPr>
      </w:pPr>
    </w:p>
    <w:p w14:paraId="498C05E5" w14:textId="77777777" w:rsidR="002C67DF" w:rsidRPr="004B06E3" w:rsidRDefault="002C67DF" w:rsidP="00462BB6">
      <w:pPr>
        <w:pStyle w:val="eTRMHeading3"/>
      </w:pPr>
      <w:bookmarkStart w:id="72" w:name="_Toc486490865"/>
      <w:bookmarkStart w:id="73" w:name="_Toc486580936"/>
      <w:bookmarkStart w:id="74" w:name="_Toc10806381"/>
      <w:r w:rsidRPr="004B06E3">
        <w:t>Non-Energy Benefits</w:t>
      </w:r>
      <w:bookmarkEnd w:id="72"/>
      <w:bookmarkEnd w:id="73"/>
      <w:bookmarkEnd w:id="74"/>
    </w:p>
    <w:p w14:paraId="0D73FC70" w14:textId="0669A92E" w:rsidR="00697A88" w:rsidRDefault="00697A88" w:rsidP="00676E9D">
      <w:r>
        <w:t xml:space="preserve">Non-energy </w:t>
      </w:r>
      <w:r w:rsidR="00F95E06">
        <w:t>impacts</w:t>
      </w:r>
      <w:r>
        <w:t xml:space="preserve">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462BB6">
      <w:pPr>
        <w:pStyle w:val="eTRMHeading3"/>
      </w:pPr>
      <w:bookmarkStart w:id="75" w:name="_Toc10806382"/>
      <w:r>
        <w:t>DEER Differences Analysis</w:t>
      </w:r>
      <w:bookmarkEnd w:id="75"/>
    </w:p>
    <w:p w14:paraId="575E579E" w14:textId="11E5F509" w:rsidR="002C67DF" w:rsidRDefault="003F21D2" w:rsidP="004142EF">
      <w:r>
        <w:t>This section provides a summary of DEER-based inputs and methods, and the rationale for inputs and methods that are not DEER-based.</w:t>
      </w:r>
    </w:p>
    <w:p w14:paraId="756C62FB" w14:textId="662F1015" w:rsidR="00EA057C" w:rsidRPr="00920905" w:rsidRDefault="00EA057C" w:rsidP="000B19DD">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B03575">
        <w:trPr>
          <w:trHeight w:val="20"/>
          <w:tblHeader/>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3688EBDE" w:rsidR="00EA057C" w:rsidRPr="00EA057C" w:rsidRDefault="00EA057C" w:rsidP="00EA057C">
            <w:pPr>
              <w:keepNext/>
              <w:keepLines/>
              <w:spacing w:before="20" w:after="20"/>
              <w:rPr>
                <w:rFonts w:cs="Arial"/>
                <w:b/>
                <w:sz w:val="20"/>
                <w:szCs w:val="20"/>
              </w:rPr>
            </w:pPr>
            <w:r>
              <w:rPr>
                <w:rFonts w:cs="Arial"/>
                <w:b/>
                <w:sz w:val="20"/>
                <w:szCs w:val="20"/>
              </w:rPr>
              <w:t xml:space="preserve">Comment </w:t>
            </w:r>
          </w:p>
        </w:tc>
      </w:tr>
      <w:tr w:rsidR="00EA057C" w:rsidRPr="00500C4E" w14:paraId="33003020" w14:textId="77777777" w:rsidTr="00EA057C">
        <w:trPr>
          <w:trHeight w:val="20"/>
        </w:trPr>
        <w:tc>
          <w:tcPr>
            <w:tcW w:w="1730" w:type="pct"/>
          </w:tcPr>
          <w:p w14:paraId="1F2D360A" w14:textId="77777777" w:rsidR="00EA057C" w:rsidRPr="00EA057C" w:rsidRDefault="00EA057C"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1C8A3AF8" w:rsidR="00EA057C" w:rsidRPr="00F95E06" w:rsidRDefault="00E5028B" w:rsidP="00EA057C">
            <w:pPr>
              <w:keepNext/>
              <w:keepLines/>
              <w:spacing w:before="20" w:after="20"/>
              <w:rPr>
                <w:rFonts w:cs="Arial"/>
                <w:sz w:val="20"/>
                <w:szCs w:val="20"/>
              </w:rPr>
            </w:pPr>
            <w:r>
              <w:rPr>
                <w:rFonts w:cs="Arial"/>
                <w:sz w:val="20"/>
                <w:szCs w:val="20"/>
              </w:rPr>
              <w:t>No</w:t>
            </w:r>
          </w:p>
        </w:tc>
      </w:tr>
      <w:tr w:rsidR="00E5028B" w:rsidRPr="00500C4E" w14:paraId="507422EA" w14:textId="77777777" w:rsidTr="00EA057C">
        <w:trPr>
          <w:trHeight w:val="20"/>
        </w:trPr>
        <w:tc>
          <w:tcPr>
            <w:tcW w:w="1730" w:type="pct"/>
          </w:tcPr>
          <w:p w14:paraId="29430E33" w14:textId="77777777" w:rsidR="00E5028B" w:rsidRPr="00EA057C" w:rsidRDefault="00E5028B" w:rsidP="00E5028B">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4AC58195" w:rsidR="00E5028B" w:rsidRPr="00F95E06" w:rsidRDefault="00E5028B" w:rsidP="00E5028B">
            <w:pPr>
              <w:keepNext/>
              <w:keepLines/>
              <w:spacing w:before="20" w:after="20"/>
              <w:rPr>
                <w:rFonts w:cs="Arial"/>
                <w:sz w:val="20"/>
                <w:szCs w:val="20"/>
              </w:rPr>
            </w:pPr>
            <w:r w:rsidRPr="00EA4CDF">
              <w:rPr>
                <w:rFonts w:cs="Arial"/>
                <w:sz w:val="20"/>
                <w:szCs w:val="20"/>
              </w:rPr>
              <w:t>No</w:t>
            </w:r>
          </w:p>
        </w:tc>
      </w:tr>
      <w:tr w:rsidR="00E5028B" w:rsidRPr="00500C4E" w14:paraId="335CDE40" w14:textId="77777777" w:rsidTr="00EA057C">
        <w:trPr>
          <w:trHeight w:val="20"/>
        </w:trPr>
        <w:tc>
          <w:tcPr>
            <w:tcW w:w="1730" w:type="pct"/>
          </w:tcPr>
          <w:p w14:paraId="126C3B42" w14:textId="77777777" w:rsidR="00E5028B" w:rsidRPr="00EA057C" w:rsidRDefault="00E5028B" w:rsidP="00E5028B">
            <w:pPr>
              <w:keepNext/>
              <w:keepLines/>
              <w:spacing w:before="20" w:after="20"/>
              <w:rPr>
                <w:rFonts w:cs="Arial"/>
                <w:sz w:val="20"/>
                <w:szCs w:val="20"/>
              </w:rPr>
            </w:pPr>
            <w:r w:rsidRPr="00EA057C">
              <w:rPr>
                <w:rFonts w:cs="Arial"/>
                <w:sz w:val="20"/>
                <w:szCs w:val="20"/>
              </w:rPr>
              <w:t>DEER Base Case</w:t>
            </w:r>
          </w:p>
        </w:tc>
        <w:tc>
          <w:tcPr>
            <w:tcW w:w="3270" w:type="pct"/>
          </w:tcPr>
          <w:p w14:paraId="5D2A1B0E" w14:textId="16090893" w:rsidR="00E5028B" w:rsidRPr="00F95E06" w:rsidRDefault="00E5028B" w:rsidP="00E5028B">
            <w:pPr>
              <w:keepNext/>
              <w:keepLines/>
              <w:spacing w:before="20" w:after="20"/>
              <w:rPr>
                <w:rFonts w:cs="Arial"/>
                <w:sz w:val="20"/>
                <w:szCs w:val="20"/>
              </w:rPr>
            </w:pPr>
            <w:r w:rsidRPr="00EA4CDF">
              <w:rPr>
                <w:rFonts w:cs="Arial"/>
                <w:sz w:val="20"/>
                <w:szCs w:val="20"/>
              </w:rPr>
              <w:t>No</w:t>
            </w:r>
          </w:p>
        </w:tc>
      </w:tr>
      <w:tr w:rsidR="00E5028B" w:rsidRPr="00500C4E" w14:paraId="1F8399E1" w14:textId="77777777" w:rsidTr="00EA057C">
        <w:trPr>
          <w:trHeight w:val="20"/>
        </w:trPr>
        <w:tc>
          <w:tcPr>
            <w:tcW w:w="1730" w:type="pct"/>
          </w:tcPr>
          <w:p w14:paraId="0CC701E3" w14:textId="77777777" w:rsidR="00E5028B" w:rsidRPr="00EA057C" w:rsidRDefault="00E5028B" w:rsidP="00E5028B">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739AA1E7" w:rsidR="00E5028B" w:rsidRPr="00F95E06" w:rsidRDefault="00E5028B" w:rsidP="00E5028B">
            <w:pPr>
              <w:keepNext/>
              <w:keepLines/>
              <w:spacing w:before="20" w:after="20"/>
              <w:rPr>
                <w:rFonts w:cs="Arial"/>
                <w:sz w:val="20"/>
                <w:szCs w:val="20"/>
              </w:rPr>
            </w:pPr>
            <w:r w:rsidRPr="00EA4CDF">
              <w:rPr>
                <w:rFonts w:cs="Arial"/>
                <w:sz w:val="20"/>
                <w:szCs w:val="20"/>
              </w:rPr>
              <w:t>No</w:t>
            </w:r>
          </w:p>
        </w:tc>
      </w:tr>
      <w:tr w:rsidR="00E5028B" w:rsidRPr="00500C4E" w14:paraId="663742C6" w14:textId="77777777" w:rsidTr="00EA057C">
        <w:trPr>
          <w:trHeight w:val="20"/>
        </w:trPr>
        <w:tc>
          <w:tcPr>
            <w:tcW w:w="1730" w:type="pct"/>
          </w:tcPr>
          <w:p w14:paraId="16B2FDAB" w14:textId="77777777" w:rsidR="00E5028B" w:rsidRPr="00EA057C" w:rsidRDefault="00E5028B" w:rsidP="00E5028B">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0E420518" w:rsidR="00E5028B" w:rsidRPr="00F95E06" w:rsidRDefault="00E5028B" w:rsidP="00E5028B">
            <w:pPr>
              <w:keepNext/>
              <w:keepLines/>
              <w:spacing w:before="20" w:after="20"/>
              <w:rPr>
                <w:rFonts w:cs="Arial"/>
                <w:sz w:val="20"/>
                <w:szCs w:val="20"/>
              </w:rPr>
            </w:pPr>
            <w:r w:rsidRPr="00EA4CDF">
              <w:rPr>
                <w:rFonts w:cs="Arial"/>
                <w:sz w:val="20"/>
                <w:szCs w:val="20"/>
              </w:rPr>
              <w:t>No</w:t>
            </w:r>
          </w:p>
        </w:tc>
      </w:tr>
      <w:tr w:rsidR="00E5028B" w:rsidRPr="00500C4E" w14:paraId="424F1325" w14:textId="77777777" w:rsidTr="00EA057C">
        <w:trPr>
          <w:trHeight w:val="20"/>
        </w:trPr>
        <w:tc>
          <w:tcPr>
            <w:tcW w:w="1730" w:type="pct"/>
          </w:tcPr>
          <w:p w14:paraId="71098DDA" w14:textId="77777777" w:rsidR="00E5028B" w:rsidRPr="00EA057C" w:rsidRDefault="00E5028B" w:rsidP="00E5028B">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15CA2C08" w:rsidR="00E5028B" w:rsidRPr="00F95E06" w:rsidRDefault="00E5028B" w:rsidP="00E5028B">
            <w:pPr>
              <w:keepNext/>
              <w:keepLines/>
              <w:spacing w:before="20" w:after="20"/>
              <w:rPr>
                <w:rFonts w:cs="Arial"/>
                <w:sz w:val="20"/>
                <w:szCs w:val="20"/>
              </w:rPr>
            </w:pPr>
            <w:r w:rsidRPr="00EA4CDF">
              <w:rPr>
                <w:rFonts w:cs="Arial"/>
                <w:sz w:val="20"/>
                <w:szCs w:val="20"/>
              </w:rPr>
              <w:t>No</w:t>
            </w:r>
          </w:p>
        </w:tc>
      </w:tr>
      <w:tr w:rsidR="00E5028B" w:rsidRPr="00500C4E" w14:paraId="0B93AD47" w14:textId="77777777" w:rsidTr="00EA057C">
        <w:trPr>
          <w:trHeight w:val="20"/>
        </w:trPr>
        <w:tc>
          <w:tcPr>
            <w:tcW w:w="1730" w:type="pct"/>
          </w:tcPr>
          <w:p w14:paraId="6E9E484F" w14:textId="77777777" w:rsidR="00E5028B" w:rsidRPr="00EA057C" w:rsidRDefault="00E5028B" w:rsidP="00E5028B">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0807FF3C" w:rsidR="00E5028B" w:rsidRPr="00F95E06" w:rsidDel="00505CEC" w:rsidRDefault="00E5028B" w:rsidP="00E5028B">
            <w:pPr>
              <w:keepNext/>
              <w:keepLines/>
              <w:spacing w:before="20" w:after="20"/>
              <w:rPr>
                <w:rFonts w:cs="Arial"/>
                <w:sz w:val="20"/>
                <w:szCs w:val="20"/>
              </w:rPr>
            </w:pPr>
            <w:r w:rsidRPr="00EA4CDF">
              <w:rPr>
                <w:rFonts w:cs="Arial"/>
                <w:sz w:val="20"/>
                <w:szCs w:val="20"/>
              </w:rPr>
              <w:t>No</w:t>
            </w:r>
          </w:p>
        </w:tc>
      </w:tr>
      <w:tr w:rsidR="00EA057C" w:rsidRPr="00500C4E" w14:paraId="2CFDE9D3" w14:textId="77777777" w:rsidTr="00EA057C">
        <w:trPr>
          <w:trHeight w:val="180"/>
        </w:trPr>
        <w:tc>
          <w:tcPr>
            <w:tcW w:w="1730" w:type="pct"/>
          </w:tcPr>
          <w:p w14:paraId="3B6B3E22"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4BBBD594" w:rsidR="00EA057C" w:rsidRPr="00F95E06" w:rsidRDefault="00E5028B" w:rsidP="00EA057C">
            <w:pPr>
              <w:keepNext/>
              <w:keepLines/>
              <w:spacing w:before="20" w:after="20"/>
              <w:rPr>
                <w:rFonts w:cs="Arial"/>
                <w:sz w:val="20"/>
                <w:szCs w:val="20"/>
              </w:rPr>
            </w:pPr>
            <w:r>
              <w:rPr>
                <w:rFonts w:cs="Arial"/>
                <w:sz w:val="20"/>
                <w:szCs w:val="20"/>
              </w:rPr>
              <w:t>n/a</w:t>
            </w:r>
          </w:p>
        </w:tc>
      </w:tr>
      <w:tr w:rsidR="00EA057C" w:rsidRPr="00500C4E" w14:paraId="3B7464D7" w14:textId="77777777" w:rsidTr="00EA057C">
        <w:trPr>
          <w:trHeight w:val="20"/>
        </w:trPr>
        <w:tc>
          <w:tcPr>
            <w:tcW w:w="1730" w:type="pct"/>
          </w:tcPr>
          <w:p w14:paraId="24000A76" w14:textId="77777777" w:rsidR="00EA057C" w:rsidRPr="00EA057C" w:rsidRDefault="00EA057C"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2661A107" w:rsidR="00EA057C" w:rsidRPr="00F95E06" w:rsidRDefault="00E5028B" w:rsidP="00EA057C">
            <w:pPr>
              <w:keepNext/>
              <w:keepLines/>
              <w:spacing w:before="20" w:after="20"/>
              <w:rPr>
                <w:rFonts w:cs="Arial"/>
                <w:sz w:val="20"/>
                <w:szCs w:val="20"/>
              </w:rPr>
            </w:pPr>
            <w:r>
              <w:rPr>
                <w:rFonts w:cs="Arial"/>
                <w:sz w:val="20"/>
                <w:szCs w:val="20"/>
              </w:rPr>
              <w:t>This measure is not included in DEER.</w:t>
            </w:r>
          </w:p>
        </w:tc>
      </w:tr>
      <w:tr w:rsidR="00EA057C" w:rsidRPr="00500C4E" w14:paraId="4A7EE859" w14:textId="77777777" w:rsidTr="00EA057C">
        <w:trPr>
          <w:trHeight w:val="20"/>
        </w:trPr>
        <w:tc>
          <w:tcPr>
            <w:tcW w:w="1730" w:type="pct"/>
          </w:tcPr>
          <w:p w14:paraId="7B4D686A"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4610D61D" w:rsidR="00EA057C" w:rsidRPr="00F95E06" w:rsidRDefault="00E5028B" w:rsidP="00EA057C">
            <w:pPr>
              <w:keepNext/>
              <w:keepLines/>
              <w:spacing w:before="20" w:after="20"/>
              <w:rPr>
                <w:rFonts w:cs="Arial"/>
                <w:sz w:val="20"/>
                <w:szCs w:val="20"/>
              </w:rPr>
            </w:pPr>
            <w:r>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2D7A6228" w:rsidR="00EA057C" w:rsidRPr="00EA057C" w:rsidRDefault="000A27AB" w:rsidP="001F2347">
            <w:pPr>
              <w:keepNext/>
              <w:keepLines/>
              <w:spacing w:before="20" w:after="20"/>
              <w:rPr>
                <w:rFonts w:cs="Arial"/>
                <w:sz w:val="20"/>
                <w:szCs w:val="20"/>
              </w:rPr>
            </w:pPr>
            <w:r>
              <w:rPr>
                <w:sz w:val="20"/>
              </w:rPr>
              <w:t>Source: Resolution E-5082. The NTG of 0.</w:t>
            </w:r>
            <w:r w:rsidR="00127B7F">
              <w:rPr>
                <w:sz w:val="20"/>
              </w:rPr>
              <w:t>3</w:t>
            </w:r>
            <w:r>
              <w:rPr>
                <w:sz w:val="20"/>
              </w:rPr>
              <w:t xml:space="preserve">0 is associated with NTG ID: </w:t>
            </w:r>
            <w:proofErr w:type="spellStart"/>
            <w:r w:rsidR="00127B7F">
              <w:rPr>
                <w:sz w:val="20"/>
              </w:rPr>
              <w:t>NonRes-sAg-</w:t>
            </w:r>
            <w:r w:rsidR="005E40AE">
              <w:rPr>
                <w:sz w:val="20"/>
              </w:rPr>
              <w:t>Irrig</w:t>
            </w:r>
            <w:proofErr w:type="spellEnd"/>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316B3D38" w:rsidR="00EA057C" w:rsidRPr="00EA057C" w:rsidRDefault="005A74DC" w:rsidP="005A74DC">
            <w:pPr>
              <w:keepNext/>
              <w:keepLines/>
              <w:spacing w:before="20" w:after="20"/>
              <w:rPr>
                <w:rFonts w:cs="Arial"/>
                <w:sz w:val="20"/>
                <w:szCs w:val="20"/>
              </w:rPr>
            </w:pPr>
            <w:r>
              <w:rPr>
                <w:rFonts w:cs="Arial"/>
                <w:sz w:val="20"/>
                <w:szCs w:val="20"/>
              </w:rPr>
              <w:t xml:space="preserve">The GSIA of </w:t>
            </w:r>
            <w:r w:rsidR="00490898">
              <w:rPr>
                <w:rFonts w:cs="Arial"/>
                <w:sz w:val="20"/>
                <w:szCs w:val="20"/>
              </w:rPr>
              <w:t>1.0</w:t>
            </w:r>
            <w:r>
              <w:rPr>
                <w:rFonts w:cs="Arial"/>
                <w:sz w:val="20"/>
                <w:szCs w:val="20"/>
              </w:rPr>
              <w:t xml:space="preserve"> is associated with GSIA ID: </w:t>
            </w:r>
            <w:r w:rsidR="00490898">
              <w:rPr>
                <w:rFonts w:cs="Arial"/>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5BD9C961" w14:textId="596B50C9" w:rsidR="00EA057C" w:rsidRPr="00EA057C" w:rsidRDefault="005A74DC" w:rsidP="00EA057C">
            <w:pPr>
              <w:keepNext/>
              <w:keepLines/>
              <w:spacing w:before="20" w:after="20"/>
              <w:rPr>
                <w:rFonts w:cs="Arial"/>
                <w:sz w:val="20"/>
                <w:szCs w:val="20"/>
              </w:rPr>
            </w:pPr>
            <w:r>
              <w:rPr>
                <w:rFonts w:cs="Arial"/>
                <w:sz w:val="20"/>
                <w:szCs w:val="20"/>
              </w:rPr>
              <w:t xml:space="preserve">The value of </w:t>
            </w:r>
            <w:r w:rsidR="00490898">
              <w:rPr>
                <w:rFonts w:cs="Arial"/>
                <w:sz w:val="20"/>
                <w:szCs w:val="20"/>
              </w:rPr>
              <w:t>10</w:t>
            </w:r>
            <w:r>
              <w:rPr>
                <w:rFonts w:cs="Arial"/>
                <w:sz w:val="20"/>
                <w:szCs w:val="20"/>
              </w:rPr>
              <w:t xml:space="preserve"> years is associated with EUL ID: </w:t>
            </w:r>
            <w:proofErr w:type="spellStart"/>
            <w:r w:rsidR="00490898">
              <w:rPr>
                <w:rFonts w:cs="Arial"/>
                <w:i/>
                <w:sz w:val="20"/>
                <w:szCs w:val="20"/>
              </w:rPr>
              <w:t>Agr-VSDWellPmp</w:t>
            </w:r>
            <w:proofErr w:type="spellEnd"/>
            <w:r>
              <w:rPr>
                <w:rFonts w:cs="Arial"/>
                <w:sz w:val="20"/>
                <w:szCs w:val="20"/>
              </w:rPr>
              <w:t>.</w:t>
            </w:r>
            <w:r w:rsidR="0095396E">
              <w:rPr>
                <w:rFonts w:cs="Arial"/>
                <w:sz w:val="20"/>
                <w:szCs w:val="20"/>
              </w:rPr>
              <w:t xml:space="preserve"> </w:t>
            </w:r>
            <w:r w:rsidR="00490898">
              <w:rPr>
                <w:rFonts w:cs="Arial"/>
                <w:sz w:val="20"/>
                <w:szCs w:val="20"/>
              </w:rPr>
              <w:t>RUL</w:t>
            </w:r>
            <w:r w:rsidR="00813BAB">
              <w:rPr>
                <w:rFonts w:cs="Arial"/>
                <w:sz w:val="20"/>
                <w:szCs w:val="20"/>
              </w:rPr>
              <w:t xml:space="preserve"> is</w:t>
            </w:r>
            <w:r w:rsidR="00FE6E75">
              <w:rPr>
                <w:rFonts w:cs="Arial"/>
                <w:sz w:val="20"/>
                <w:szCs w:val="20"/>
              </w:rPr>
              <w:t xml:space="preserve"> 1/3 </w:t>
            </w:r>
            <w:r w:rsidR="005B668C">
              <w:rPr>
                <w:rFonts w:cs="Arial"/>
                <w:sz w:val="20"/>
                <w:szCs w:val="20"/>
              </w:rPr>
              <w:t>of the value</w:t>
            </w:r>
            <w:r w:rsidR="00813BAB">
              <w:rPr>
                <w:rFonts w:cs="Arial"/>
                <w:sz w:val="20"/>
                <w:szCs w:val="20"/>
              </w:rPr>
              <w:t xml:space="preserve"> based upon EUL ID of host pump motor:</w:t>
            </w:r>
            <w:r w:rsidR="00490898">
              <w:rPr>
                <w:rFonts w:cs="Arial"/>
                <w:sz w:val="20"/>
                <w:szCs w:val="20"/>
              </w:rPr>
              <w:t xml:space="preserve"> </w:t>
            </w:r>
            <w:r w:rsidR="00813BAB" w:rsidRPr="00813BAB">
              <w:rPr>
                <w:rFonts w:cs="Arial"/>
                <w:i/>
                <w:sz w:val="20"/>
                <w:szCs w:val="20"/>
              </w:rPr>
              <w:t>Motors-Pump</w:t>
            </w:r>
            <w:r w:rsidR="00813BAB">
              <w:rPr>
                <w:rFonts w:cs="Arial"/>
                <w:sz w:val="20"/>
                <w:szCs w:val="20"/>
              </w:rPr>
              <w:t xml:space="preserve">. </w:t>
            </w:r>
          </w:p>
        </w:tc>
      </w:tr>
    </w:tbl>
    <w:p w14:paraId="3D440479" w14:textId="77777777" w:rsidR="00EA057C" w:rsidRDefault="00EA057C" w:rsidP="004142EF"/>
    <w:p w14:paraId="59542C0D" w14:textId="77777777" w:rsidR="007D230B" w:rsidRDefault="007D230B" w:rsidP="00462BB6">
      <w:pPr>
        <w:pStyle w:val="eTRMHeading3"/>
      </w:pPr>
      <w:bookmarkStart w:id="76" w:name="_Toc486490866"/>
      <w:bookmarkStart w:id="77" w:name="_Toc486580937"/>
      <w:bookmarkStart w:id="78" w:name="_Toc10806383"/>
      <w:r w:rsidRPr="004B06E3">
        <w:lastRenderedPageBreak/>
        <w:t>Revision History</w:t>
      </w:r>
      <w:bookmarkEnd w:id="76"/>
      <w:bookmarkEnd w:id="77"/>
      <w:bookmarkEnd w:id="78"/>
    </w:p>
    <w:p w14:paraId="3661732B" w14:textId="1E8BF09A" w:rsidR="00CA1CB3" w:rsidRDefault="00742F88" w:rsidP="000B19DD">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6"/>
        <w:gridCol w:w="1709"/>
        <w:gridCol w:w="4855"/>
      </w:tblGrid>
      <w:tr w:rsidR="00CA1CB3" w:rsidRPr="00500C4E" w14:paraId="1904D58C" w14:textId="6E96D877" w:rsidTr="00B03575">
        <w:trPr>
          <w:trHeight w:val="20"/>
        </w:trPr>
        <w:tc>
          <w:tcPr>
            <w:tcW w:w="503" w:type="pct"/>
            <w:shd w:val="clear" w:color="auto" w:fill="F2F2F2" w:themeFill="background1" w:themeFillShade="F2"/>
            <w:vAlign w:val="bottom"/>
          </w:tcPr>
          <w:p w14:paraId="5365A71C" w14:textId="5EB86E00" w:rsidR="00CA1CB3" w:rsidRPr="00EA057C" w:rsidRDefault="00CA1CB3" w:rsidP="001A210E">
            <w:pPr>
              <w:keepNext/>
              <w:keepLines/>
              <w:tabs>
                <w:tab w:val="right" w:pos="2957"/>
              </w:tabs>
              <w:spacing w:before="20" w:after="20"/>
              <w:rPr>
                <w:rFonts w:cs="Arial"/>
                <w:b/>
                <w:sz w:val="20"/>
                <w:szCs w:val="20"/>
              </w:rPr>
            </w:pPr>
            <w:r>
              <w:rPr>
                <w:rFonts w:cs="Arial"/>
                <w:b/>
                <w:sz w:val="20"/>
                <w:szCs w:val="20"/>
              </w:rPr>
              <w:t>Revision Number</w:t>
            </w:r>
          </w:p>
        </w:tc>
        <w:tc>
          <w:tcPr>
            <w:tcW w:w="987" w:type="pct"/>
            <w:shd w:val="clear" w:color="auto" w:fill="F2F2F2" w:themeFill="background1" w:themeFillShade="F2"/>
            <w:vAlign w:val="bottom"/>
          </w:tcPr>
          <w:p w14:paraId="7DC8BCED" w14:textId="1A151B65" w:rsidR="00CA1CB3" w:rsidRPr="00EA057C" w:rsidRDefault="00B03575" w:rsidP="001A210E">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14" w:type="pct"/>
            <w:shd w:val="clear" w:color="auto" w:fill="F2F2F2" w:themeFill="background1" w:themeFillShade="F2"/>
            <w:vAlign w:val="bottom"/>
          </w:tcPr>
          <w:p w14:paraId="10DC2402" w14:textId="63223EB6" w:rsidR="00CA1CB3" w:rsidRDefault="00CA1CB3" w:rsidP="001A210E">
            <w:pPr>
              <w:keepNext/>
              <w:keepLines/>
              <w:spacing w:before="20" w:after="20"/>
              <w:rPr>
                <w:rFonts w:cs="Arial"/>
                <w:b/>
                <w:sz w:val="20"/>
                <w:szCs w:val="20"/>
              </w:rPr>
            </w:pPr>
            <w:r>
              <w:rPr>
                <w:rFonts w:cs="Arial"/>
                <w:b/>
                <w:sz w:val="20"/>
                <w:szCs w:val="20"/>
              </w:rPr>
              <w:t>Primary Author, Title, Organization</w:t>
            </w:r>
          </w:p>
        </w:tc>
        <w:tc>
          <w:tcPr>
            <w:tcW w:w="2596" w:type="pct"/>
            <w:shd w:val="clear" w:color="auto" w:fill="F2F2F2" w:themeFill="background1" w:themeFillShade="F2"/>
            <w:vAlign w:val="bottom"/>
          </w:tcPr>
          <w:p w14:paraId="2BFB4352" w14:textId="4CE4F83B" w:rsidR="00CA1CB3" w:rsidRDefault="00CA1CB3" w:rsidP="001A210E">
            <w:pPr>
              <w:keepNext/>
              <w:keepLines/>
              <w:spacing w:before="20" w:after="20"/>
              <w:rPr>
                <w:rFonts w:cs="Arial"/>
                <w:b/>
                <w:sz w:val="20"/>
                <w:szCs w:val="20"/>
              </w:rPr>
            </w:pPr>
            <w:r>
              <w:rPr>
                <w:rFonts w:cs="Arial"/>
                <w:b/>
                <w:sz w:val="20"/>
                <w:szCs w:val="20"/>
              </w:rPr>
              <w:t>Revision Summary and Rationale for Revision</w:t>
            </w:r>
          </w:p>
        </w:tc>
      </w:tr>
      <w:tr w:rsidR="00CA1CB3" w:rsidRPr="00CA1CB3" w14:paraId="0A9DBD7D" w14:textId="04A29668" w:rsidTr="00B03575">
        <w:trPr>
          <w:trHeight w:val="20"/>
        </w:trPr>
        <w:tc>
          <w:tcPr>
            <w:tcW w:w="503" w:type="pct"/>
          </w:tcPr>
          <w:p w14:paraId="38788C98" w14:textId="650C945D" w:rsidR="00CA1CB3" w:rsidRPr="00CA1CB3" w:rsidRDefault="00CA1CB3" w:rsidP="001A210E">
            <w:pPr>
              <w:keepNext/>
              <w:keepLines/>
              <w:spacing w:before="20" w:after="20"/>
              <w:rPr>
                <w:rFonts w:cs="Arial"/>
                <w:sz w:val="20"/>
                <w:szCs w:val="20"/>
              </w:rPr>
            </w:pPr>
            <w:r w:rsidRPr="00CA1CB3">
              <w:rPr>
                <w:rFonts w:cs="Arial"/>
                <w:sz w:val="20"/>
                <w:szCs w:val="20"/>
              </w:rPr>
              <w:t>0</w:t>
            </w:r>
            <w:r w:rsidR="00742F88">
              <w:rPr>
                <w:rFonts w:cs="Arial"/>
                <w:sz w:val="20"/>
                <w:szCs w:val="20"/>
              </w:rPr>
              <w:t>1</w:t>
            </w:r>
          </w:p>
        </w:tc>
        <w:tc>
          <w:tcPr>
            <w:tcW w:w="987" w:type="pct"/>
          </w:tcPr>
          <w:p w14:paraId="03B67B1D" w14:textId="0998161A" w:rsidR="00CA1CB3" w:rsidRPr="00490898" w:rsidRDefault="00490898" w:rsidP="001A210E">
            <w:pPr>
              <w:keepNext/>
              <w:keepLines/>
              <w:spacing w:before="20" w:after="20"/>
              <w:rPr>
                <w:rFonts w:cs="Arial"/>
                <w:sz w:val="20"/>
                <w:szCs w:val="20"/>
              </w:rPr>
            </w:pPr>
            <w:r w:rsidRPr="00490898">
              <w:rPr>
                <w:rFonts w:cs="Arial"/>
                <w:sz w:val="20"/>
                <w:szCs w:val="20"/>
              </w:rPr>
              <w:t>03</w:t>
            </w:r>
            <w:r w:rsidR="00670A7E" w:rsidRPr="00490898">
              <w:rPr>
                <w:rFonts w:cs="Arial"/>
                <w:sz w:val="20"/>
                <w:szCs w:val="20"/>
              </w:rPr>
              <w:t>/</w:t>
            </w:r>
            <w:r w:rsidRPr="00490898">
              <w:rPr>
                <w:rFonts w:cs="Arial"/>
                <w:sz w:val="20"/>
                <w:szCs w:val="20"/>
              </w:rPr>
              <w:t>31</w:t>
            </w:r>
            <w:r w:rsidR="00670A7E" w:rsidRPr="00490898">
              <w:rPr>
                <w:rFonts w:cs="Arial"/>
                <w:sz w:val="20"/>
                <w:szCs w:val="20"/>
              </w:rPr>
              <w:t>/2018</w:t>
            </w:r>
          </w:p>
        </w:tc>
        <w:tc>
          <w:tcPr>
            <w:tcW w:w="914" w:type="pct"/>
          </w:tcPr>
          <w:p w14:paraId="24160CE8" w14:textId="0CEDC8D2" w:rsidR="00670A7E" w:rsidRDefault="00F95E06" w:rsidP="001A210E">
            <w:pPr>
              <w:keepNext/>
              <w:keepLines/>
              <w:spacing w:before="20" w:after="20"/>
              <w:rPr>
                <w:rFonts w:cs="Arial"/>
                <w:sz w:val="20"/>
                <w:szCs w:val="20"/>
              </w:rPr>
            </w:pPr>
            <w:r>
              <w:rPr>
                <w:rFonts w:cs="Arial"/>
                <w:sz w:val="20"/>
                <w:szCs w:val="20"/>
              </w:rPr>
              <w:t>Jennifer Holmes</w:t>
            </w:r>
          </w:p>
          <w:p w14:paraId="32D154D7" w14:textId="0FB8154E" w:rsidR="00CA1CB3" w:rsidRPr="00CA1CB3" w:rsidRDefault="00670A7E" w:rsidP="001A210E">
            <w:pPr>
              <w:keepNext/>
              <w:keepLines/>
              <w:spacing w:before="20" w:after="20"/>
              <w:rPr>
                <w:rFonts w:cs="Arial"/>
                <w:sz w:val="20"/>
                <w:szCs w:val="20"/>
              </w:rPr>
            </w:pPr>
            <w:r>
              <w:rPr>
                <w:rFonts w:cs="Arial"/>
                <w:sz w:val="20"/>
                <w:szCs w:val="20"/>
              </w:rPr>
              <w:t>Cal TF Staff</w:t>
            </w:r>
          </w:p>
        </w:tc>
        <w:tc>
          <w:tcPr>
            <w:tcW w:w="2596" w:type="pct"/>
          </w:tcPr>
          <w:p w14:paraId="5FBB9B18" w14:textId="30F3DA74" w:rsidR="00F95E06" w:rsidRPr="00CA1CB3" w:rsidRDefault="00670A7E" w:rsidP="00F95E06">
            <w:pPr>
              <w:keepNext/>
              <w:keepLines/>
              <w:spacing w:before="20" w:after="20"/>
              <w:rPr>
                <w:rFonts w:cs="Arial"/>
                <w:sz w:val="20"/>
                <w:szCs w:val="20"/>
              </w:rPr>
            </w:pPr>
            <w:r>
              <w:rPr>
                <w:rFonts w:cs="Arial"/>
                <w:sz w:val="20"/>
                <w:szCs w:val="20"/>
              </w:rPr>
              <w:t xml:space="preserve">Draft of consolidated text </w:t>
            </w:r>
            <w:r w:rsidR="007F4F97">
              <w:rPr>
                <w:rFonts w:cs="Arial"/>
                <w:sz w:val="20"/>
                <w:szCs w:val="20"/>
              </w:rPr>
              <w:t xml:space="preserve">for this statewide measure is </w:t>
            </w:r>
            <w:r>
              <w:rPr>
                <w:rFonts w:cs="Arial"/>
                <w:sz w:val="20"/>
                <w:szCs w:val="20"/>
              </w:rPr>
              <w:t>based upon</w:t>
            </w:r>
            <w:r w:rsidR="00F95E06">
              <w:rPr>
                <w:rFonts w:cs="Arial"/>
                <w:sz w:val="20"/>
                <w:szCs w:val="20"/>
              </w:rPr>
              <w:t>:</w:t>
            </w:r>
          </w:p>
          <w:p w14:paraId="74F47CEA" w14:textId="77777777" w:rsidR="007F4F97" w:rsidRDefault="0063682A" w:rsidP="007F4F97">
            <w:pPr>
              <w:keepNext/>
              <w:keepLines/>
              <w:spacing w:before="20" w:after="20"/>
              <w:rPr>
                <w:rFonts w:cs="Arial"/>
                <w:sz w:val="20"/>
                <w:szCs w:val="20"/>
              </w:rPr>
            </w:pPr>
            <w:r>
              <w:rPr>
                <w:rFonts w:cs="Arial"/>
                <w:sz w:val="20"/>
                <w:szCs w:val="20"/>
              </w:rPr>
              <w:t>PGECOAGR121, Revision 0 (November 1, 2017)</w:t>
            </w:r>
          </w:p>
          <w:p w14:paraId="6C70C36F" w14:textId="154E2B57" w:rsidR="0063682A" w:rsidRPr="00CA1CB3" w:rsidRDefault="008D64FC" w:rsidP="007F4F97">
            <w:pPr>
              <w:keepNext/>
              <w:keepLines/>
              <w:spacing w:before="20" w:after="20"/>
              <w:rPr>
                <w:rFonts w:cs="Arial"/>
                <w:sz w:val="20"/>
                <w:szCs w:val="20"/>
              </w:rPr>
            </w:pPr>
            <w:r>
              <w:rPr>
                <w:rFonts w:cs="Arial"/>
                <w:sz w:val="20"/>
                <w:szCs w:val="20"/>
              </w:rPr>
              <w:t>Consensus reached among Cal TF members.</w:t>
            </w:r>
          </w:p>
        </w:tc>
      </w:tr>
      <w:tr w:rsidR="00CA1CB3" w:rsidRPr="00CA1CB3" w14:paraId="79AB9159" w14:textId="3D06673F" w:rsidTr="00B03575">
        <w:trPr>
          <w:trHeight w:val="20"/>
        </w:trPr>
        <w:tc>
          <w:tcPr>
            <w:tcW w:w="503" w:type="pct"/>
          </w:tcPr>
          <w:p w14:paraId="607B0F7E" w14:textId="161074A7" w:rsidR="00CA1CB3" w:rsidRPr="00CA1CB3" w:rsidRDefault="00CA1CB3" w:rsidP="001A210E">
            <w:pPr>
              <w:keepNext/>
              <w:keepLines/>
              <w:spacing w:before="20" w:after="20"/>
              <w:rPr>
                <w:rFonts w:cs="Arial"/>
                <w:sz w:val="20"/>
                <w:szCs w:val="20"/>
              </w:rPr>
            </w:pPr>
          </w:p>
        </w:tc>
        <w:tc>
          <w:tcPr>
            <w:tcW w:w="987" w:type="pct"/>
          </w:tcPr>
          <w:p w14:paraId="6C0E3F9E" w14:textId="3271BD81" w:rsidR="00CA1CB3" w:rsidRPr="00CA1CB3" w:rsidRDefault="00AE6454" w:rsidP="001A210E">
            <w:pPr>
              <w:keepNext/>
              <w:keepLines/>
              <w:spacing w:before="20" w:after="20"/>
              <w:rPr>
                <w:rFonts w:cs="Arial"/>
                <w:sz w:val="20"/>
                <w:szCs w:val="20"/>
              </w:rPr>
            </w:pPr>
            <w:r>
              <w:rPr>
                <w:rFonts w:cs="Arial"/>
                <w:sz w:val="20"/>
                <w:szCs w:val="20"/>
              </w:rPr>
              <w:t>06/07/2019</w:t>
            </w:r>
          </w:p>
        </w:tc>
        <w:tc>
          <w:tcPr>
            <w:tcW w:w="914" w:type="pct"/>
          </w:tcPr>
          <w:p w14:paraId="1F85B189" w14:textId="77777777" w:rsidR="00CA1CB3" w:rsidRDefault="00AE6454" w:rsidP="001A210E">
            <w:pPr>
              <w:keepNext/>
              <w:keepLines/>
              <w:spacing w:before="20" w:after="20"/>
              <w:rPr>
                <w:rFonts w:cs="Arial"/>
                <w:sz w:val="20"/>
                <w:szCs w:val="20"/>
              </w:rPr>
            </w:pPr>
            <w:r>
              <w:rPr>
                <w:rFonts w:cs="Arial"/>
                <w:sz w:val="20"/>
                <w:szCs w:val="20"/>
              </w:rPr>
              <w:t>Randy Kwok, PG&amp;E</w:t>
            </w:r>
          </w:p>
          <w:p w14:paraId="68E5BB2B" w14:textId="77777777" w:rsidR="00AE6454" w:rsidRDefault="00AE6454" w:rsidP="001A210E">
            <w:pPr>
              <w:keepNext/>
              <w:keepLines/>
              <w:spacing w:before="20" w:after="20"/>
              <w:rPr>
                <w:rFonts w:cs="Arial"/>
                <w:sz w:val="20"/>
                <w:szCs w:val="20"/>
              </w:rPr>
            </w:pPr>
          </w:p>
          <w:p w14:paraId="43E90AF7" w14:textId="6A6D9943" w:rsidR="00AE6454" w:rsidRPr="00CA1CB3" w:rsidRDefault="00AE6454" w:rsidP="001A210E">
            <w:pPr>
              <w:keepNext/>
              <w:keepLines/>
              <w:spacing w:before="20" w:after="20"/>
              <w:rPr>
                <w:rFonts w:cs="Arial"/>
                <w:sz w:val="20"/>
                <w:szCs w:val="20"/>
              </w:rPr>
            </w:pPr>
            <w:r>
              <w:rPr>
                <w:rFonts w:cs="Arial"/>
                <w:sz w:val="20"/>
                <w:szCs w:val="20"/>
              </w:rPr>
              <w:t>Jennifer Holmes, Cal TF Staff</w:t>
            </w:r>
          </w:p>
        </w:tc>
        <w:tc>
          <w:tcPr>
            <w:tcW w:w="2596" w:type="pct"/>
          </w:tcPr>
          <w:p w14:paraId="39B3A159" w14:textId="171208BD" w:rsidR="00CA1CB3" w:rsidRPr="00CA1CB3" w:rsidRDefault="008D64FC" w:rsidP="001A210E">
            <w:pPr>
              <w:keepNext/>
              <w:keepLines/>
              <w:spacing w:before="20" w:after="20"/>
              <w:rPr>
                <w:rFonts w:cs="Arial"/>
                <w:sz w:val="20"/>
                <w:szCs w:val="20"/>
              </w:rPr>
            </w:pPr>
            <w:r>
              <w:rPr>
                <w:rFonts w:cs="Arial"/>
                <w:sz w:val="20"/>
                <w:szCs w:val="20"/>
              </w:rPr>
              <w:t>Revisions for submittal of version 01.</w:t>
            </w:r>
          </w:p>
        </w:tc>
      </w:tr>
      <w:tr w:rsidR="000A27AB" w:rsidRPr="00F01B55" w14:paraId="471F8DC7" w14:textId="77777777" w:rsidTr="000A27AB">
        <w:trPr>
          <w:trHeight w:val="20"/>
        </w:trPr>
        <w:tc>
          <w:tcPr>
            <w:tcW w:w="5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9A03980" w14:textId="77777777" w:rsidR="000A27AB" w:rsidRPr="000A27AB" w:rsidRDefault="000A27AB" w:rsidP="000A27AB">
            <w:pPr>
              <w:keepNext/>
              <w:keepLines/>
              <w:spacing w:after="20"/>
              <w:rPr>
                <w:rFonts w:cs="Arial"/>
                <w:sz w:val="20"/>
                <w:szCs w:val="20"/>
              </w:rPr>
            </w:pPr>
            <w:r w:rsidRPr="000A27AB">
              <w:rPr>
                <w:rFonts w:cs="Arial"/>
                <w:sz w:val="20"/>
                <w:szCs w:val="20"/>
              </w:rPr>
              <w:t>02</w:t>
            </w:r>
          </w:p>
        </w:tc>
        <w:tc>
          <w:tcPr>
            <w:tcW w:w="98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CAB64D" w14:textId="77777777" w:rsidR="000A27AB" w:rsidRPr="000A27AB" w:rsidRDefault="000A27AB" w:rsidP="000A27AB">
            <w:pPr>
              <w:keepNext/>
              <w:keepLines/>
              <w:spacing w:after="20"/>
              <w:rPr>
                <w:rFonts w:cs="Arial"/>
                <w:sz w:val="20"/>
                <w:szCs w:val="20"/>
              </w:rPr>
            </w:pPr>
            <w:r w:rsidRPr="000A27AB">
              <w:rPr>
                <w:rFonts w:cs="Arial"/>
                <w:sz w:val="20"/>
                <w:szCs w:val="20"/>
              </w:rPr>
              <w:t>12/15/2020</w:t>
            </w:r>
          </w:p>
        </w:tc>
        <w:tc>
          <w:tcPr>
            <w:tcW w:w="91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C0506F" w14:textId="77777777" w:rsidR="000A27AB" w:rsidRPr="000A27AB" w:rsidRDefault="000A27AB" w:rsidP="000A27AB">
            <w:pPr>
              <w:keepNext/>
              <w:keepLines/>
              <w:spacing w:after="20"/>
              <w:rPr>
                <w:rFonts w:cs="Arial"/>
                <w:sz w:val="20"/>
                <w:szCs w:val="20"/>
              </w:rPr>
            </w:pPr>
            <w:r w:rsidRPr="000A27AB">
              <w:rPr>
                <w:rFonts w:cs="Arial"/>
                <w:sz w:val="20"/>
                <w:szCs w:val="20"/>
              </w:rPr>
              <w:t>Adan Rosillo</w:t>
            </w:r>
          </w:p>
          <w:p w14:paraId="2DDA8F77" w14:textId="77777777" w:rsidR="000A27AB" w:rsidRPr="000A27AB" w:rsidRDefault="000A27AB" w:rsidP="000A27AB">
            <w:pPr>
              <w:keepNext/>
              <w:keepLines/>
              <w:spacing w:after="20"/>
              <w:rPr>
                <w:rFonts w:cs="Arial"/>
                <w:sz w:val="20"/>
                <w:szCs w:val="20"/>
              </w:rPr>
            </w:pPr>
            <w:r w:rsidRPr="000A27AB">
              <w:rPr>
                <w:rFonts w:cs="Arial"/>
                <w:sz w:val="20"/>
                <w:szCs w:val="20"/>
              </w:rPr>
              <w:t>PG&amp;E</w:t>
            </w:r>
          </w:p>
        </w:tc>
        <w:tc>
          <w:tcPr>
            <w:tcW w:w="259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CA4757" w14:textId="4FAFE301" w:rsidR="000A27AB" w:rsidRPr="000A27AB" w:rsidRDefault="000A27AB" w:rsidP="000A27AB">
            <w:pPr>
              <w:keepNext/>
              <w:keepLines/>
              <w:spacing w:after="20"/>
              <w:rPr>
                <w:rFonts w:cs="Arial"/>
                <w:sz w:val="20"/>
                <w:szCs w:val="20"/>
              </w:rPr>
            </w:pPr>
            <w:r w:rsidRPr="000A27AB">
              <w:rPr>
                <w:rFonts w:cs="Arial"/>
                <w:sz w:val="20"/>
                <w:szCs w:val="20"/>
              </w:rPr>
              <w:t>Updated NTG values per CPUC Resolution E-5082.</w:t>
            </w:r>
          </w:p>
        </w:tc>
      </w:tr>
    </w:tbl>
    <w:p w14:paraId="5C9CAB2A" w14:textId="77777777" w:rsidR="00085726" w:rsidRDefault="00085726" w:rsidP="00387072"/>
    <w:sectPr w:rsidR="00085726"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E7015" w14:textId="77777777" w:rsidR="001D358C" w:rsidRDefault="001D358C" w:rsidP="00A2690C">
      <w:r>
        <w:separator/>
      </w:r>
    </w:p>
    <w:p w14:paraId="1EEE8F07" w14:textId="77777777" w:rsidR="001D358C" w:rsidRDefault="001D358C"/>
  </w:endnote>
  <w:endnote w:type="continuationSeparator" w:id="0">
    <w:p w14:paraId="1436CF70" w14:textId="77777777" w:rsidR="001D358C" w:rsidRDefault="001D358C" w:rsidP="00A2690C">
      <w:r>
        <w:continuationSeparator/>
      </w:r>
    </w:p>
    <w:p w14:paraId="15C0C126" w14:textId="77777777" w:rsidR="001D358C" w:rsidRDefault="001D3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301970" w:rsidRDefault="00301970"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301970" w:rsidRPr="00B837C1" w:rsidRDefault="00301970"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301970" w:rsidRDefault="00301970"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301970" w:rsidRPr="00B837C1" w:rsidRDefault="00301970"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301970" w:rsidRDefault="00301970"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301970" w:rsidRPr="005F505E" w:rsidRDefault="00301970"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2922E" w14:textId="77777777" w:rsidR="001D358C" w:rsidRDefault="001D358C" w:rsidP="00A2690C">
      <w:r>
        <w:separator/>
      </w:r>
    </w:p>
    <w:p w14:paraId="5CDE9A78" w14:textId="77777777" w:rsidR="001D358C" w:rsidRDefault="001D358C"/>
  </w:footnote>
  <w:footnote w:type="continuationSeparator" w:id="0">
    <w:p w14:paraId="31DAB9D3" w14:textId="77777777" w:rsidR="001D358C" w:rsidRDefault="001D358C" w:rsidP="00A2690C">
      <w:r>
        <w:continuationSeparator/>
      </w:r>
    </w:p>
    <w:p w14:paraId="2F17A1A7" w14:textId="77777777" w:rsidR="001D358C" w:rsidRDefault="001D358C"/>
  </w:footnote>
  <w:footnote w:id="1">
    <w:p w14:paraId="619FD99A" w14:textId="3FCD531C" w:rsidR="00301970" w:rsidRDefault="00301970">
      <w:pPr>
        <w:pStyle w:val="FootnoteText"/>
      </w:pPr>
      <w:r>
        <w:rPr>
          <w:rStyle w:val="FootnoteReference"/>
        </w:rPr>
        <w:footnoteRef/>
      </w:r>
      <w:r>
        <w:t xml:space="preserve"> </w:t>
      </w:r>
      <w:r w:rsidRPr="008A5D52">
        <w:t>Burt, C., K. Feist, and G. Wilson. (Irrigation Training &amp; Research Center</w:t>
      </w:r>
      <w:r>
        <w:t>, ITRC</w:t>
      </w:r>
      <w:r w:rsidRPr="008A5D52">
        <w:t xml:space="preserve">). 2017. </w:t>
      </w:r>
      <w:r w:rsidRPr="008A5D52">
        <w:rPr>
          <w:i/>
        </w:rPr>
        <w:t xml:space="preserve">Variable Frequency Drive (VFD) Specifications for Agricultural Irrigation Pumping. </w:t>
      </w:r>
      <w:r w:rsidRPr="008A5D52">
        <w:t>Prepared for Pacific Gas and Electric (PG&amp;E).</w:t>
      </w:r>
    </w:p>
  </w:footnote>
  <w:footnote w:id="2">
    <w:p w14:paraId="2D295C03" w14:textId="4989A009" w:rsidR="00301970" w:rsidRDefault="00301970">
      <w:pPr>
        <w:pStyle w:val="FootnoteText"/>
      </w:pPr>
      <w:r>
        <w:rPr>
          <w:rStyle w:val="FootnoteReference"/>
        </w:rPr>
        <w:footnoteRef/>
      </w:r>
      <w:r>
        <w:t xml:space="preserve"> Burt, C., K. Feist, and G. Wilson. </w:t>
      </w:r>
      <w:r w:rsidRPr="008A5D52">
        <w:t>(Irrigation Training &amp; Research Center</w:t>
      </w:r>
      <w:r>
        <w:t>, ITRC</w:t>
      </w:r>
      <w:r w:rsidRPr="008A5D52">
        <w:t>).</w:t>
      </w:r>
      <w:r>
        <w:t xml:space="preserve"> 2019. </w:t>
      </w:r>
      <w:r w:rsidRPr="00215DC4">
        <w:rPr>
          <w:i/>
          <w:iCs/>
        </w:rPr>
        <w:t xml:space="preserve">Variable Frequency drive (VFD) Specifications for On-Farm Pumps. </w:t>
      </w:r>
      <w:r>
        <w:t>ITRC Report No. R 19-006. Updated March 2019.</w:t>
      </w:r>
    </w:p>
  </w:footnote>
  <w:footnote w:id="3">
    <w:p w14:paraId="70DCD64F" w14:textId="19A256A3" w:rsidR="00301970" w:rsidRPr="00745C64" w:rsidRDefault="00301970">
      <w:pPr>
        <w:pStyle w:val="FootnoteText"/>
        <w:rPr>
          <w:i/>
        </w:rPr>
      </w:pPr>
      <w:r>
        <w:rPr>
          <w:rStyle w:val="FootnoteReference"/>
        </w:rPr>
        <w:footnoteRef/>
      </w:r>
      <w:r>
        <w:t xml:space="preserve"> </w:t>
      </w:r>
      <w:r w:rsidRPr="00745C64">
        <w:t>Burt, C., K. Feist, and G. Wilson. (Irrigation Training &amp; Research Center</w:t>
      </w:r>
      <w:r>
        <w:t>, ITRC</w:t>
      </w:r>
      <w:r w:rsidRPr="00745C64">
        <w:t xml:space="preserve">). 2017. </w:t>
      </w:r>
      <w:r w:rsidRPr="00745C64">
        <w:rPr>
          <w:i/>
        </w:rPr>
        <w:t>Variable Frequency Drive (VFD) Specifications for Agricultural Irrigation Pumping.</w:t>
      </w:r>
    </w:p>
  </w:footnote>
  <w:footnote w:id="4">
    <w:p w14:paraId="55E78BC4" w14:textId="6E289401" w:rsidR="00301970" w:rsidRDefault="00301970">
      <w:pPr>
        <w:pStyle w:val="FootnoteText"/>
      </w:pPr>
      <w:r>
        <w:rPr>
          <w:rStyle w:val="FootnoteReference"/>
        </w:rPr>
        <w:footnoteRef/>
      </w:r>
      <w:r>
        <w:t xml:space="preserve"> Burt, C., K. Feist, and G. Wilson. </w:t>
      </w:r>
      <w:r w:rsidRPr="008A5D52">
        <w:t>(Irrigation Training &amp; Research Center</w:t>
      </w:r>
      <w:r>
        <w:t>, ITRC</w:t>
      </w:r>
      <w:r w:rsidRPr="008A5D52">
        <w:t>).</w:t>
      </w:r>
      <w:r>
        <w:t xml:space="preserve"> 2019. </w:t>
      </w:r>
      <w:r w:rsidRPr="00215DC4">
        <w:rPr>
          <w:i/>
          <w:iCs/>
        </w:rPr>
        <w:t xml:space="preserve">Variable Frequency drive (VFD) Specifications for On-Farm Pumps. </w:t>
      </w:r>
      <w:r>
        <w:t>ITRC Report No. R 19-006. Updated March 2019.</w:t>
      </w:r>
    </w:p>
  </w:footnote>
  <w:footnote w:id="5">
    <w:p w14:paraId="30164CBB" w14:textId="47315D3D" w:rsidR="00301970" w:rsidRDefault="00301970">
      <w:pPr>
        <w:pStyle w:val="FootnoteText"/>
      </w:pPr>
      <w:r>
        <w:rPr>
          <w:rStyle w:val="FootnoteReference"/>
        </w:rPr>
        <w:footnoteRef/>
      </w:r>
      <w:r>
        <w:t xml:space="preserve"> </w:t>
      </w:r>
      <w:r w:rsidRPr="006F436D">
        <w:rPr>
          <w:szCs w:val="20"/>
        </w:rPr>
        <w:t xml:space="preserve">Burt, C. </w:t>
      </w:r>
      <w:r w:rsidRPr="008A5D52">
        <w:t>(Irrigation Training &amp; Research Center</w:t>
      </w:r>
      <w:r>
        <w:t>, ITRC</w:t>
      </w:r>
      <w:r w:rsidRPr="008A5D52">
        <w:t>)</w:t>
      </w:r>
      <w:r>
        <w:t xml:space="preserve">. </w:t>
      </w:r>
      <w:r w:rsidRPr="006F436D">
        <w:rPr>
          <w:szCs w:val="20"/>
        </w:rPr>
        <w:t xml:space="preserve">2011. </w:t>
      </w:r>
      <w:r w:rsidRPr="006F436D">
        <w:rPr>
          <w:i/>
          <w:szCs w:val="20"/>
        </w:rPr>
        <w:t>Variable Frequency Drive (VFD) Controlled Irrigation Pumps – Analysis of Potential Rebate</w:t>
      </w:r>
      <w:r w:rsidRPr="006F436D">
        <w:rPr>
          <w:szCs w:val="20"/>
        </w:rPr>
        <w:t>. San Luis Obispo (CA): Irrigation Training and Research Center, California Polytechnic State University. ITRC Report No. R 11-005.</w:t>
      </w:r>
    </w:p>
  </w:footnote>
  <w:footnote w:id="6">
    <w:p w14:paraId="1C491068" w14:textId="780D9B7D" w:rsidR="00301970" w:rsidRDefault="00301970">
      <w:pPr>
        <w:pStyle w:val="FootnoteText"/>
      </w:pPr>
      <w:r>
        <w:rPr>
          <w:rStyle w:val="FootnoteReference"/>
        </w:rPr>
        <w:footnoteRef/>
      </w:r>
      <w:r>
        <w:t xml:space="preserve"> </w:t>
      </w:r>
      <w:r w:rsidRPr="006F436D">
        <w:t xml:space="preserve">Burt, C. </w:t>
      </w:r>
      <w:r w:rsidRPr="008A5D52">
        <w:t>(Irrigation Training &amp; Research Center</w:t>
      </w:r>
      <w:r>
        <w:t>, ITRC</w:t>
      </w:r>
      <w:r w:rsidRPr="008A5D52">
        <w:t>)</w:t>
      </w:r>
      <w:r>
        <w:t xml:space="preserve">. </w:t>
      </w:r>
      <w:r w:rsidRPr="006F436D">
        <w:t xml:space="preserve">2011. </w:t>
      </w:r>
      <w:r w:rsidRPr="006F436D">
        <w:rPr>
          <w:i/>
        </w:rPr>
        <w:t>Variable Frequency Drive (VFD) Controlled Irrigation Pumps – Analysis of Potential Rebate</w:t>
      </w:r>
      <w:r w:rsidRPr="006F436D">
        <w:t>. San Luis Obispo (CA): Irrigation Training and Research Center, California Polytechnic State University. ITRC Report No. R 11-005.</w:t>
      </w:r>
    </w:p>
    <w:p w14:paraId="754F3659" w14:textId="1D7CC6F1" w:rsidR="00301970" w:rsidRDefault="00301970">
      <w:pPr>
        <w:pStyle w:val="FootnoteText"/>
      </w:pPr>
      <w:r w:rsidRPr="003830E5">
        <w:t xml:space="preserve">Burt, C., K. Feist, and G. Wilson. </w:t>
      </w:r>
      <w:r w:rsidRPr="008A5D52">
        <w:t>(Irrigation Training &amp; Research Center</w:t>
      </w:r>
      <w:r>
        <w:t>, ITRC</w:t>
      </w:r>
      <w:r w:rsidRPr="008A5D52">
        <w:t>)</w:t>
      </w:r>
      <w:r w:rsidRPr="003830E5">
        <w:t xml:space="preserve">. 2017. </w:t>
      </w:r>
      <w:r w:rsidRPr="003830E5">
        <w:rPr>
          <w:i/>
        </w:rPr>
        <w:t>Variable Frequency Drive (VFD) Specifications for Agricultural Irrigation Pumping.</w:t>
      </w:r>
      <w:r>
        <w:t xml:space="preserve"> Prepared for Pacific Gas and Electric (PG&amp;E). Table 3-5.</w:t>
      </w:r>
    </w:p>
  </w:footnote>
  <w:footnote w:id="7">
    <w:p w14:paraId="578EDE6C" w14:textId="1A6F3617" w:rsidR="00301970" w:rsidRDefault="00301970" w:rsidP="000571CA">
      <w:pPr>
        <w:pStyle w:val="FootnoteText"/>
      </w:pPr>
      <w:r>
        <w:rPr>
          <w:rStyle w:val="FootnoteReference"/>
        </w:rPr>
        <w:footnoteRef/>
      </w:r>
      <w:r>
        <w:t xml:space="preserve"> </w:t>
      </w:r>
      <w:r w:rsidRPr="003830E5">
        <w:t xml:space="preserve">Burt, C., K. Feist, and G. Wilson. (Irrigation Training &amp; Research Center). 2017. </w:t>
      </w:r>
      <w:r w:rsidRPr="003830E5">
        <w:rPr>
          <w:i/>
        </w:rPr>
        <w:t>Variable Frequency Drive (VFD) Specifications for Agricultural Irrigation Pumping.</w:t>
      </w:r>
      <w:r>
        <w:t xml:space="preserve"> Prepared for Pacific Gas and Electric (PG&amp;E). Table 3-3.</w:t>
      </w:r>
    </w:p>
  </w:footnote>
  <w:footnote w:id="8">
    <w:p w14:paraId="5B60570A" w14:textId="1B99C0AC" w:rsidR="00301970" w:rsidRPr="003830E5" w:rsidRDefault="00301970">
      <w:pPr>
        <w:pStyle w:val="FootnoteText"/>
      </w:pPr>
      <w:r>
        <w:rPr>
          <w:rStyle w:val="FootnoteReference"/>
        </w:rPr>
        <w:footnoteRef/>
      </w:r>
      <w:r>
        <w:t xml:space="preserve"> </w:t>
      </w:r>
      <w:r w:rsidRPr="003830E5">
        <w:t>Burt, C., K. Feist, and G. Wilson. (Irrigation Training &amp; Research Center</w:t>
      </w:r>
      <w:r>
        <w:t>, ITRC</w:t>
      </w:r>
      <w:r w:rsidRPr="003830E5">
        <w:t xml:space="preserve">). 2017. </w:t>
      </w:r>
      <w:r w:rsidRPr="003830E5">
        <w:rPr>
          <w:i/>
        </w:rPr>
        <w:t>Variable Frequency Drive (VFD) Specifications for Agricultural Irrigation Pumping.</w:t>
      </w:r>
      <w:r>
        <w:t xml:space="preserve"> Prepared for Pacific Gas and Electric (PG&amp;E). Table 3-4.</w:t>
      </w:r>
    </w:p>
  </w:footnote>
  <w:footnote w:id="9">
    <w:p w14:paraId="033380E2" w14:textId="77777777" w:rsidR="00301970" w:rsidRDefault="00301970" w:rsidP="005E5E67">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0">
    <w:p w14:paraId="69E400B7" w14:textId="77777777" w:rsidR="00301970" w:rsidRDefault="00301970" w:rsidP="005E5E67">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1">
    <w:p w14:paraId="6AFC6989" w14:textId="77777777" w:rsidR="00301970" w:rsidRDefault="00301970" w:rsidP="005E5E67">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2">
    <w:p w14:paraId="13F6D4CA" w14:textId="102FA088" w:rsidR="00301970" w:rsidRDefault="00301970">
      <w:pPr>
        <w:pStyle w:val="FootnoteText"/>
      </w:pPr>
      <w:r>
        <w:rPr>
          <w:rStyle w:val="FootnoteReference"/>
        </w:rPr>
        <w:footnoteRef/>
      </w:r>
      <w:r>
        <w:t xml:space="preserve"> RSMeans Engineering Department. 2015. </w:t>
      </w:r>
      <w:r>
        <w:rPr>
          <w:rStyle w:val="Emphasis"/>
        </w:rPr>
        <w:t>RSMeans Mechanical Cost Data 2015.</w:t>
      </w:r>
      <w:r>
        <w:t xml:space="preserve"> 38th Annual Edition.</w:t>
      </w:r>
      <w:r w:rsidRPr="00F90451">
        <w:t xml:space="preserve"> </w:t>
      </w:r>
      <w:r>
        <w:t xml:space="preserve">Page 257. </w:t>
      </w:r>
      <w:r w:rsidRPr="00F90451">
        <w:t>Section 23 05 23.30 Valves, Iron Body, Butterfly, lug type, gear operated, size</w:t>
      </w:r>
      <w:r>
        <w:t>s 3” to 5”</w:t>
      </w:r>
      <w:r w:rsidRPr="00F90451">
        <w:t xml:space="preserve">. </w:t>
      </w:r>
    </w:p>
    <w:p w14:paraId="0E2E2AEB" w14:textId="612DCC54" w:rsidR="00301970" w:rsidRDefault="00301970">
      <w:pPr>
        <w:pStyle w:val="FootnoteText"/>
      </w:pPr>
      <w:r>
        <w:t>Pacific Gas &amp; Electric Company (PG&amp;E). 2019. “</w:t>
      </w:r>
      <w:r w:rsidRPr="008179C7">
        <w:t>SWWP005-01 Cost Calc.xlsx</w:t>
      </w:r>
      <w:r>
        <w:t>.”</w:t>
      </w:r>
    </w:p>
  </w:footnote>
  <w:footnote w:id="13">
    <w:p w14:paraId="7E746F66" w14:textId="78894862" w:rsidR="00301970" w:rsidRDefault="00301970">
      <w:pPr>
        <w:pStyle w:val="FootnoteText"/>
      </w:pPr>
      <w:r>
        <w:rPr>
          <w:rStyle w:val="FootnoteReference"/>
        </w:rPr>
        <w:footnoteRef/>
      </w:r>
      <w:r>
        <w:t xml:space="preserve"> </w:t>
      </w:r>
      <w:r w:rsidRPr="008A5D52">
        <w:t xml:space="preserve">Burt, C., K. Feist, and G. Wilson. (Irrigation Training &amp; Research Center). 2017. </w:t>
      </w:r>
      <w:r w:rsidRPr="008A5D52">
        <w:rPr>
          <w:i/>
        </w:rPr>
        <w:t>Variable Frequency Drive (VFD) Specifications for Agricultural Irrigation Pumping.</w:t>
      </w:r>
      <w:r w:rsidRPr="008A5D52">
        <w:t xml:space="preserve"> Prepared for Pacific Gas and Electric (PG&amp;E).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301970" w:rsidRPr="000220A0" w:rsidRDefault="00301970"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301970" w:rsidRDefault="00301970">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301970" w:rsidRDefault="003019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301970" w:rsidRDefault="00301970" w:rsidP="00BD221D">
    <w:pPr>
      <w:jc w:val="center"/>
    </w:pPr>
  </w:p>
  <w:p w14:paraId="342310D5" w14:textId="5BACBCD8" w:rsidR="00301970" w:rsidRDefault="00301970"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5A18181F" w:rsidR="00301970" w:rsidRDefault="00301970" w:rsidP="001D7A57">
    <w:pPr>
      <w:pStyle w:val="Header"/>
    </w:pPr>
    <w:r>
      <w:rPr>
        <w:rFonts w:ascii="Calibri Light" w:hAnsi="Calibri Light"/>
      </w:rPr>
      <w:t xml:space="preserve">WATER PUMPING &amp; IRRIGATION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t>Enhanced V</w:t>
    </w:r>
    <w:r w:rsidRPr="001A210E">
      <w:t xml:space="preserve">FD on </w:t>
    </w:r>
    <w:r>
      <w:t>Irrigation</w:t>
    </w:r>
    <w:r w:rsidRPr="001A210E">
      <w:t xml:space="preserve"> Pump</w:t>
    </w:r>
  </w:p>
  <w:p w14:paraId="2AC97B25" w14:textId="77777777" w:rsidR="00301970" w:rsidRDefault="003019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301970" w:rsidRDefault="003019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E00FA1"/>
    <w:multiLevelType w:val="hybridMultilevel"/>
    <w:tmpl w:val="B2529856"/>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E6F1B"/>
    <w:multiLevelType w:val="hybridMultilevel"/>
    <w:tmpl w:val="62B42D9A"/>
    <w:lvl w:ilvl="0" w:tplc="04090001">
      <w:start w:val="1"/>
      <w:numFmt w:val="bullet"/>
      <w:lvlText w:val=""/>
      <w:lvlJc w:val="left"/>
      <w:pPr>
        <w:tabs>
          <w:tab w:val="num" w:pos="504"/>
        </w:tabs>
        <w:ind w:left="288" w:hanging="7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EB062D"/>
    <w:multiLevelType w:val="hybridMultilevel"/>
    <w:tmpl w:val="14AEA6C2"/>
    <w:lvl w:ilvl="0" w:tplc="6068E1F6">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F74BED"/>
    <w:multiLevelType w:val="hybridMultilevel"/>
    <w:tmpl w:val="0D1C66B8"/>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213353"/>
    <w:multiLevelType w:val="hybridMultilevel"/>
    <w:tmpl w:val="0574A7B8"/>
    <w:lvl w:ilvl="0" w:tplc="04090001">
      <w:start w:val="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CC5AC6"/>
    <w:multiLevelType w:val="hybridMultilevel"/>
    <w:tmpl w:val="A33A6970"/>
    <w:lvl w:ilvl="0" w:tplc="107CB418">
      <w:start w:val="1"/>
      <w:numFmt w:val="decimal"/>
      <w:lvlText w:val="%1."/>
      <w:lvlJc w:val="left"/>
      <w:pPr>
        <w:ind w:left="360" w:hanging="360"/>
      </w:pPr>
      <w:rPr>
        <w:rFonts w:ascii="Verdana" w:hAnsi="Verdana" w:hint="default"/>
        <w:b w:val="0"/>
        <w:i w:val="0"/>
        <w:color w:val="auto"/>
        <w:sz w:val="20"/>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F922B0"/>
    <w:multiLevelType w:val="hybridMultilevel"/>
    <w:tmpl w:val="E61C6CB4"/>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B5996"/>
    <w:multiLevelType w:val="hybridMultilevel"/>
    <w:tmpl w:val="1EB0A3F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B228E4"/>
    <w:multiLevelType w:val="hybridMultilevel"/>
    <w:tmpl w:val="CBEC9448"/>
    <w:lvl w:ilvl="0" w:tplc="CA9E9B30">
      <w:start w:val="1"/>
      <w:numFmt w:val="bullet"/>
      <w:lvlText w:val=""/>
      <w:lvlJc w:val="left"/>
      <w:pPr>
        <w:ind w:left="720" w:hanging="360"/>
      </w:pPr>
      <w:rPr>
        <w:rFonts w:ascii="Symbol" w:hAnsi="Symbol" w:hint="default"/>
        <w:color w:val="6B6B6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F97995"/>
    <w:multiLevelType w:val="hybridMultilevel"/>
    <w:tmpl w:val="22FC6E94"/>
    <w:lvl w:ilvl="0" w:tplc="3A4CF13A">
      <w:start w:val="1"/>
      <w:numFmt w:val="bullet"/>
      <w:lvlText w:val=""/>
      <w:lvlJc w:val="left"/>
      <w:pPr>
        <w:ind w:left="720" w:hanging="360"/>
      </w:pPr>
      <w:rPr>
        <w:rFonts w:ascii="Symbol" w:hAnsi="Symbol" w:hint="default"/>
        <w:color w:val="404040" w:themeColor="accent3" w:themeShade="80"/>
        <w:sz w:val="20"/>
      </w:rPr>
    </w:lvl>
    <w:lvl w:ilvl="1" w:tplc="D5BAC996">
      <w:start w:val="1"/>
      <w:numFmt w:val="bullet"/>
      <w:lvlText w:val=""/>
      <w:lvlJc w:val="left"/>
      <w:pPr>
        <w:ind w:left="1440" w:hanging="360"/>
      </w:pPr>
      <w:rPr>
        <w:rFonts w:ascii="Symbol" w:hAnsi="Symbol" w:hint="default"/>
        <w:color w:val="404040" w:themeColor="accent3" w:themeShade="80"/>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32DD5"/>
    <w:multiLevelType w:val="hybridMultilevel"/>
    <w:tmpl w:val="0FF80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735BA"/>
    <w:multiLevelType w:val="hybridMultilevel"/>
    <w:tmpl w:val="D7405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73E0E0B"/>
    <w:multiLevelType w:val="hybridMultilevel"/>
    <w:tmpl w:val="E08A8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42707C3E"/>
    <w:multiLevelType w:val="hybridMultilevel"/>
    <w:tmpl w:val="3742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25119"/>
    <w:multiLevelType w:val="hybridMultilevel"/>
    <w:tmpl w:val="C1322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DC60F1"/>
    <w:multiLevelType w:val="hybridMultilevel"/>
    <w:tmpl w:val="7DE8C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265DDC"/>
    <w:multiLevelType w:val="hybridMultilevel"/>
    <w:tmpl w:val="1F5EB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3839D6"/>
    <w:multiLevelType w:val="hybridMultilevel"/>
    <w:tmpl w:val="F2A4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8A6614"/>
    <w:multiLevelType w:val="hybridMultilevel"/>
    <w:tmpl w:val="552E2EA4"/>
    <w:lvl w:ilvl="0" w:tplc="3A4CF13A">
      <w:start w:val="1"/>
      <w:numFmt w:val="bullet"/>
      <w:lvlText w:val=""/>
      <w:lvlJc w:val="left"/>
      <w:pPr>
        <w:ind w:left="720" w:hanging="360"/>
      </w:pPr>
      <w:rPr>
        <w:rFonts w:ascii="Symbol" w:hAnsi="Symbol" w:hint="default"/>
        <w:color w:val="404040" w:themeColor="accent3" w:themeShade="80"/>
        <w:sz w:val="20"/>
      </w:rPr>
    </w:lvl>
    <w:lvl w:ilvl="1" w:tplc="CA9E9B30">
      <w:start w:val="1"/>
      <w:numFmt w:val="bullet"/>
      <w:lvlText w:val=""/>
      <w:lvlJc w:val="left"/>
      <w:pPr>
        <w:ind w:left="1440" w:hanging="360"/>
      </w:pPr>
      <w:rPr>
        <w:rFonts w:ascii="Symbol" w:hAnsi="Symbol" w:hint="default"/>
        <w:color w:val="6B6B6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AD7614"/>
    <w:multiLevelType w:val="hybridMultilevel"/>
    <w:tmpl w:val="53BCD2D2"/>
    <w:lvl w:ilvl="0" w:tplc="459AB8C8">
      <w:start w:val="1"/>
      <w:numFmt w:val="bullet"/>
      <w:pStyle w:val="eTRMBulletedText"/>
      <w:lvlText w:val=""/>
      <w:lvlJc w:val="left"/>
      <w:pPr>
        <w:ind w:left="720" w:hanging="360"/>
      </w:pPr>
      <w:rPr>
        <w:rFonts w:ascii="Symbol" w:hAnsi="Symbol" w:hint="default"/>
        <w:color w:val="6B6B6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2" w15:restartNumberingAfterBreak="0">
    <w:nsid w:val="5D60664B"/>
    <w:multiLevelType w:val="hybridMultilevel"/>
    <w:tmpl w:val="0B541534"/>
    <w:lvl w:ilvl="0" w:tplc="CA9E9B30">
      <w:start w:val="1"/>
      <w:numFmt w:val="bullet"/>
      <w:lvlText w:val=""/>
      <w:lvlJc w:val="left"/>
      <w:pPr>
        <w:ind w:left="720" w:hanging="360"/>
      </w:pPr>
      <w:rPr>
        <w:rFonts w:ascii="Symbol" w:hAnsi="Symbol" w:hint="default"/>
        <w:color w:val="6B6B6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756CF3"/>
    <w:multiLevelType w:val="hybridMultilevel"/>
    <w:tmpl w:val="E1A2C876"/>
    <w:lvl w:ilvl="0" w:tplc="CA9E9B30">
      <w:start w:val="1"/>
      <w:numFmt w:val="bullet"/>
      <w:lvlText w:val=""/>
      <w:lvlJc w:val="left"/>
      <w:pPr>
        <w:ind w:left="720" w:hanging="360"/>
      </w:pPr>
      <w:rPr>
        <w:rFonts w:ascii="Symbol" w:hAnsi="Symbol" w:hint="default"/>
        <w:color w:val="6B6B6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AE7226"/>
    <w:multiLevelType w:val="hybridMultilevel"/>
    <w:tmpl w:val="BA667164"/>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5207C7"/>
    <w:multiLevelType w:val="hybridMultilevel"/>
    <w:tmpl w:val="04626D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962AEF"/>
    <w:multiLevelType w:val="hybridMultilevel"/>
    <w:tmpl w:val="99F86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6701FD"/>
    <w:multiLevelType w:val="hybridMultilevel"/>
    <w:tmpl w:val="BBD0A85C"/>
    <w:lvl w:ilvl="0" w:tplc="E98E82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FC07B80"/>
    <w:multiLevelType w:val="hybridMultilevel"/>
    <w:tmpl w:val="90A6D40C"/>
    <w:lvl w:ilvl="0" w:tplc="3A4CF13A">
      <w:start w:val="1"/>
      <w:numFmt w:val="bullet"/>
      <w:lvlText w:val=""/>
      <w:lvlJc w:val="left"/>
      <w:pPr>
        <w:ind w:left="720" w:hanging="360"/>
      </w:pPr>
      <w:rPr>
        <w:rFonts w:ascii="Symbol" w:hAnsi="Symbol" w:hint="default"/>
        <w:color w:val="404040" w:themeColor="accent3" w:themeShade="80"/>
        <w:sz w:val="20"/>
      </w:rPr>
    </w:lvl>
    <w:lvl w:ilvl="1" w:tplc="4792F79C">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3" w15:restartNumberingAfterBreak="0">
    <w:nsid w:val="78CE3AB6"/>
    <w:multiLevelType w:val="hybridMultilevel"/>
    <w:tmpl w:val="34E6A270"/>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9E6866"/>
    <w:multiLevelType w:val="hybridMultilevel"/>
    <w:tmpl w:val="B5BC6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0"/>
  </w:num>
  <w:num w:numId="3">
    <w:abstractNumId w:val="42"/>
  </w:num>
  <w:num w:numId="4">
    <w:abstractNumId w:val="42"/>
  </w:num>
  <w:num w:numId="5">
    <w:abstractNumId w:val="3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11"/>
  </w:num>
  <w:num w:numId="8">
    <w:abstractNumId w:val="39"/>
  </w:num>
  <w:num w:numId="9">
    <w:abstractNumId w:val="0"/>
  </w:num>
  <w:num w:numId="10">
    <w:abstractNumId w:val="41"/>
  </w:num>
  <w:num w:numId="11">
    <w:abstractNumId w:val="13"/>
  </w:num>
  <w:num w:numId="12">
    <w:abstractNumId w:val="7"/>
  </w:num>
  <w:num w:numId="13">
    <w:abstractNumId w:val="37"/>
  </w:num>
  <w:num w:numId="14">
    <w:abstractNumId w:val="27"/>
  </w:num>
  <w:num w:numId="15">
    <w:abstractNumId w:val="8"/>
  </w:num>
  <w:num w:numId="16">
    <w:abstractNumId w:val="24"/>
  </w:num>
  <w:num w:numId="17">
    <w:abstractNumId w:val="4"/>
  </w:num>
  <w:num w:numId="18">
    <w:abstractNumId w:val="10"/>
  </w:num>
  <w:num w:numId="19">
    <w:abstractNumId w:val="1"/>
  </w:num>
  <w:num w:numId="20">
    <w:abstractNumId w:val="43"/>
  </w:num>
  <w:num w:numId="21">
    <w:abstractNumId w:val="5"/>
  </w:num>
  <w:num w:numId="22">
    <w:abstractNumId w:val="34"/>
  </w:num>
  <w:num w:numId="23">
    <w:abstractNumId w:val="3"/>
  </w:num>
  <w:num w:numId="24">
    <w:abstractNumId w:val="22"/>
  </w:num>
  <w:num w:numId="25">
    <w:abstractNumId w:val="35"/>
  </w:num>
  <w:num w:numId="26">
    <w:abstractNumId w:val="17"/>
  </w:num>
  <w:num w:numId="27">
    <w:abstractNumId w:val="19"/>
  </w:num>
  <w:num w:numId="28">
    <w:abstractNumId w:val="12"/>
  </w:num>
  <w:num w:numId="29">
    <w:abstractNumId w:val="38"/>
  </w:num>
  <w:num w:numId="30">
    <w:abstractNumId w:val="6"/>
  </w:num>
  <w:num w:numId="31">
    <w:abstractNumId w:val="9"/>
  </w:num>
  <w:num w:numId="32">
    <w:abstractNumId w:val="21"/>
  </w:num>
  <w:num w:numId="33">
    <w:abstractNumId w:val="28"/>
  </w:num>
  <w:num w:numId="34">
    <w:abstractNumId w:val="25"/>
  </w:num>
  <w:num w:numId="35">
    <w:abstractNumId w:val="16"/>
  </w:num>
  <w:num w:numId="36">
    <w:abstractNumId w:val="26"/>
  </w:num>
  <w:num w:numId="37">
    <w:abstractNumId w:val="36"/>
  </w:num>
  <w:num w:numId="38">
    <w:abstractNumId w:val="44"/>
  </w:num>
  <w:num w:numId="39">
    <w:abstractNumId w:val="29"/>
  </w:num>
  <w:num w:numId="40">
    <w:abstractNumId w:val="15"/>
  </w:num>
  <w:num w:numId="41">
    <w:abstractNumId w:val="33"/>
  </w:num>
  <w:num w:numId="42">
    <w:abstractNumId w:val="32"/>
  </w:num>
  <w:num w:numId="43">
    <w:abstractNumId w:val="14"/>
  </w:num>
  <w:num w:numId="44">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0FF2"/>
    <w:rsid w:val="00005B06"/>
    <w:rsid w:val="000063B0"/>
    <w:rsid w:val="000110D9"/>
    <w:rsid w:val="000111AF"/>
    <w:rsid w:val="00016928"/>
    <w:rsid w:val="00016998"/>
    <w:rsid w:val="000220A0"/>
    <w:rsid w:val="0002389A"/>
    <w:rsid w:val="00026D58"/>
    <w:rsid w:val="000302DF"/>
    <w:rsid w:val="00031184"/>
    <w:rsid w:val="00037A06"/>
    <w:rsid w:val="00040CA2"/>
    <w:rsid w:val="00046BB0"/>
    <w:rsid w:val="00050B58"/>
    <w:rsid w:val="00050F78"/>
    <w:rsid w:val="00051DBB"/>
    <w:rsid w:val="00052C95"/>
    <w:rsid w:val="000530E4"/>
    <w:rsid w:val="00054407"/>
    <w:rsid w:val="0005587A"/>
    <w:rsid w:val="000571CA"/>
    <w:rsid w:val="00061D34"/>
    <w:rsid w:val="000621A8"/>
    <w:rsid w:val="00065E54"/>
    <w:rsid w:val="000672E5"/>
    <w:rsid w:val="00074E3E"/>
    <w:rsid w:val="000767E9"/>
    <w:rsid w:val="0008108C"/>
    <w:rsid w:val="00082018"/>
    <w:rsid w:val="000841AA"/>
    <w:rsid w:val="00085726"/>
    <w:rsid w:val="00087FD4"/>
    <w:rsid w:val="00090BBF"/>
    <w:rsid w:val="000910B7"/>
    <w:rsid w:val="00091581"/>
    <w:rsid w:val="00092BC9"/>
    <w:rsid w:val="00094517"/>
    <w:rsid w:val="00095ECC"/>
    <w:rsid w:val="00096485"/>
    <w:rsid w:val="000978C8"/>
    <w:rsid w:val="000A270E"/>
    <w:rsid w:val="000A27AB"/>
    <w:rsid w:val="000A3037"/>
    <w:rsid w:val="000A4A72"/>
    <w:rsid w:val="000A4D3A"/>
    <w:rsid w:val="000A62EF"/>
    <w:rsid w:val="000A66B7"/>
    <w:rsid w:val="000A7058"/>
    <w:rsid w:val="000B139B"/>
    <w:rsid w:val="000B19DD"/>
    <w:rsid w:val="000B51A6"/>
    <w:rsid w:val="000B6004"/>
    <w:rsid w:val="000B7B73"/>
    <w:rsid w:val="000C36B4"/>
    <w:rsid w:val="000C72C1"/>
    <w:rsid w:val="000D737A"/>
    <w:rsid w:val="000E1BC1"/>
    <w:rsid w:val="000E2B70"/>
    <w:rsid w:val="000F1833"/>
    <w:rsid w:val="000F52CD"/>
    <w:rsid w:val="00103399"/>
    <w:rsid w:val="00104933"/>
    <w:rsid w:val="00111A53"/>
    <w:rsid w:val="00113A84"/>
    <w:rsid w:val="0011498C"/>
    <w:rsid w:val="00120592"/>
    <w:rsid w:val="001217DF"/>
    <w:rsid w:val="0012187D"/>
    <w:rsid w:val="00124BFE"/>
    <w:rsid w:val="001253B1"/>
    <w:rsid w:val="00126809"/>
    <w:rsid w:val="00126B25"/>
    <w:rsid w:val="00127B7F"/>
    <w:rsid w:val="00127EF5"/>
    <w:rsid w:val="00130B14"/>
    <w:rsid w:val="00131C5A"/>
    <w:rsid w:val="001414F6"/>
    <w:rsid w:val="00142D3C"/>
    <w:rsid w:val="001451AB"/>
    <w:rsid w:val="00146C4C"/>
    <w:rsid w:val="001477B4"/>
    <w:rsid w:val="00151B9F"/>
    <w:rsid w:val="001523CF"/>
    <w:rsid w:val="00154391"/>
    <w:rsid w:val="001564FC"/>
    <w:rsid w:val="00157985"/>
    <w:rsid w:val="00161DF1"/>
    <w:rsid w:val="001648F6"/>
    <w:rsid w:val="00171BB8"/>
    <w:rsid w:val="00174707"/>
    <w:rsid w:val="00175724"/>
    <w:rsid w:val="00177EB6"/>
    <w:rsid w:val="00180DAD"/>
    <w:rsid w:val="00181672"/>
    <w:rsid w:val="00181E01"/>
    <w:rsid w:val="00185A7F"/>
    <w:rsid w:val="001944A0"/>
    <w:rsid w:val="00194B7A"/>
    <w:rsid w:val="00195B03"/>
    <w:rsid w:val="00196649"/>
    <w:rsid w:val="001A11C7"/>
    <w:rsid w:val="001A1EDC"/>
    <w:rsid w:val="001A210E"/>
    <w:rsid w:val="001A38B2"/>
    <w:rsid w:val="001A4BE1"/>
    <w:rsid w:val="001A7A21"/>
    <w:rsid w:val="001B1D23"/>
    <w:rsid w:val="001C2ACE"/>
    <w:rsid w:val="001C6C9B"/>
    <w:rsid w:val="001C7134"/>
    <w:rsid w:val="001C7EDA"/>
    <w:rsid w:val="001D254D"/>
    <w:rsid w:val="001D358C"/>
    <w:rsid w:val="001D65A6"/>
    <w:rsid w:val="001D7A57"/>
    <w:rsid w:val="001E19A3"/>
    <w:rsid w:val="001E4C3F"/>
    <w:rsid w:val="001E6273"/>
    <w:rsid w:val="001E6D08"/>
    <w:rsid w:val="001F00E9"/>
    <w:rsid w:val="001F2347"/>
    <w:rsid w:val="001F735E"/>
    <w:rsid w:val="002005A8"/>
    <w:rsid w:val="002006B6"/>
    <w:rsid w:val="0020598F"/>
    <w:rsid w:val="00205BAF"/>
    <w:rsid w:val="0020609B"/>
    <w:rsid w:val="00207F85"/>
    <w:rsid w:val="0021226A"/>
    <w:rsid w:val="0021586F"/>
    <w:rsid w:val="00215DC4"/>
    <w:rsid w:val="0022141C"/>
    <w:rsid w:val="00225142"/>
    <w:rsid w:val="002264AC"/>
    <w:rsid w:val="00226694"/>
    <w:rsid w:val="00227BDD"/>
    <w:rsid w:val="002318A4"/>
    <w:rsid w:val="002335FF"/>
    <w:rsid w:val="00233D87"/>
    <w:rsid w:val="0023666C"/>
    <w:rsid w:val="00236692"/>
    <w:rsid w:val="0023676B"/>
    <w:rsid w:val="00236E0A"/>
    <w:rsid w:val="00237964"/>
    <w:rsid w:val="00242AAB"/>
    <w:rsid w:val="002434DE"/>
    <w:rsid w:val="00245AFF"/>
    <w:rsid w:val="0024628D"/>
    <w:rsid w:val="0024690E"/>
    <w:rsid w:val="00251ABC"/>
    <w:rsid w:val="002524CF"/>
    <w:rsid w:val="00256400"/>
    <w:rsid w:val="00257F0B"/>
    <w:rsid w:val="002652D2"/>
    <w:rsid w:val="00270382"/>
    <w:rsid w:val="00271B18"/>
    <w:rsid w:val="00276F9B"/>
    <w:rsid w:val="00282E8A"/>
    <w:rsid w:val="00287147"/>
    <w:rsid w:val="002942B0"/>
    <w:rsid w:val="00294B72"/>
    <w:rsid w:val="0029555D"/>
    <w:rsid w:val="0029781E"/>
    <w:rsid w:val="002A17CB"/>
    <w:rsid w:val="002A1953"/>
    <w:rsid w:val="002A2471"/>
    <w:rsid w:val="002A2A94"/>
    <w:rsid w:val="002B107C"/>
    <w:rsid w:val="002B2C97"/>
    <w:rsid w:val="002B3BF4"/>
    <w:rsid w:val="002B6DED"/>
    <w:rsid w:val="002B6F2A"/>
    <w:rsid w:val="002B7060"/>
    <w:rsid w:val="002C06FC"/>
    <w:rsid w:val="002C1117"/>
    <w:rsid w:val="002C67DF"/>
    <w:rsid w:val="002D0036"/>
    <w:rsid w:val="002D17CE"/>
    <w:rsid w:val="002D29F8"/>
    <w:rsid w:val="002D40EE"/>
    <w:rsid w:val="002D4993"/>
    <w:rsid w:val="002D50E9"/>
    <w:rsid w:val="002D5CFA"/>
    <w:rsid w:val="002E73F6"/>
    <w:rsid w:val="002F036B"/>
    <w:rsid w:val="00301970"/>
    <w:rsid w:val="00302A82"/>
    <w:rsid w:val="003103FB"/>
    <w:rsid w:val="00313E1D"/>
    <w:rsid w:val="003247FA"/>
    <w:rsid w:val="003309DA"/>
    <w:rsid w:val="00333809"/>
    <w:rsid w:val="00336313"/>
    <w:rsid w:val="00336D4E"/>
    <w:rsid w:val="00337D1D"/>
    <w:rsid w:val="00340FC6"/>
    <w:rsid w:val="003438A0"/>
    <w:rsid w:val="0035060F"/>
    <w:rsid w:val="00352864"/>
    <w:rsid w:val="00362F9E"/>
    <w:rsid w:val="00363BE8"/>
    <w:rsid w:val="00370B5D"/>
    <w:rsid w:val="00371A61"/>
    <w:rsid w:val="00372F61"/>
    <w:rsid w:val="00375F46"/>
    <w:rsid w:val="003830E5"/>
    <w:rsid w:val="00384A59"/>
    <w:rsid w:val="00385069"/>
    <w:rsid w:val="00387072"/>
    <w:rsid w:val="00392097"/>
    <w:rsid w:val="00392684"/>
    <w:rsid w:val="00393532"/>
    <w:rsid w:val="00394DEB"/>
    <w:rsid w:val="003A52F3"/>
    <w:rsid w:val="003A7867"/>
    <w:rsid w:val="003B651F"/>
    <w:rsid w:val="003B7610"/>
    <w:rsid w:val="003C2CC3"/>
    <w:rsid w:val="003C7721"/>
    <w:rsid w:val="003D1FB8"/>
    <w:rsid w:val="003D7104"/>
    <w:rsid w:val="003E2013"/>
    <w:rsid w:val="003E5605"/>
    <w:rsid w:val="003E634D"/>
    <w:rsid w:val="003F21D2"/>
    <w:rsid w:val="003F269E"/>
    <w:rsid w:val="003F4964"/>
    <w:rsid w:val="003F65F3"/>
    <w:rsid w:val="00401C43"/>
    <w:rsid w:val="004046FF"/>
    <w:rsid w:val="004054D1"/>
    <w:rsid w:val="00410790"/>
    <w:rsid w:val="00411EF4"/>
    <w:rsid w:val="004133BB"/>
    <w:rsid w:val="004142EF"/>
    <w:rsid w:val="0041526A"/>
    <w:rsid w:val="00420958"/>
    <w:rsid w:val="00420EF1"/>
    <w:rsid w:val="00421920"/>
    <w:rsid w:val="00423D33"/>
    <w:rsid w:val="004249A0"/>
    <w:rsid w:val="004300E4"/>
    <w:rsid w:val="0043155E"/>
    <w:rsid w:val="00432D49"/>
    <w:rsid w:val="004339EA"/>
    <w:rsid w:val="00433E8F"/>
    <w:rsid w:val="00434145"/>
    <w:rsid w:val="00440537"/>
    <w:rsid w:val="004452A3"/>
    <w:rsid w:val="0044577B"/>
    <w:rsid w:val="00451588"/>
    <w:rsid w:val="004517F1"/>
    <w:rsid w:val="004556DF"/>
    <w:rsid w:val="00461AE3"/>
    <w:rsid w:val="00462BB6"/>
    <w:rsid w:val="00464A63"/>
    <w:rsid w:val="00466DD6"/>
    <w:rsid w:val="0047015A"/>
    <w:rsid w:val="00470670"/>
    <w:rsid w:val="00472286"/>
    <w:rsid w:val="00475A47"/>
    <w:rsid w:val="00475D57"/>
    <w:rsid w:val="00484536"/>
    <w:rsid w:val="00486585"/>
    <w:rsid w:val="0048780B"/>
    <w:rsid w:val="00490898"/>
    <w:rsid w:val="00497289"/>
    <w:rsid w:val="004972E1"/>
    <w:rsid w:val="004A06AE"/>
    <w:rsid w:val="004A2CC1"/>
    <w:rsid w:val="004A510D"/>
    <w:rsid w:val="004B06E3"/>
    <w:rsid w:val="004B35DC"/>
    <w:rsid w:val="004B3960"/>
    <w:rsid w:val="004B5888"/>
    <w:rsid w:val="004B6780"/>
    <w:rsid w:val="004C1A9E"/>
    <w:rsid w:val="004C2A36"/>
    <w:rsid w:val="004C3663"/>
    <w:rsid w:val="004C57EC"/>
    <w:rsid w:val="004C69F2"/>
    <w:rsid w:val="004D00B5"/>
    <w:rsid w:val="004D0C20"/>
    <w:rsid w:val="004D1461"/>
    <w:rsid w:val="004D3A71"/>
    <w:rsid w:val="004D3CE4"/>
    <w:rsid w:val="004D7E51"/>
    <w:rsid w:val="004E04EE"/>
    <w:rsid w:val="004E1B37"/>
    <w:rsid w:val="004E2704"/>
    <w:rsid w:val="004E3F72"/>
    <w:rsid w:val="004E4D01"/>
    <w:rsid w:val="004F3C6E"/>
    <w:rsid w:val="004F705B"/>
    <w:rsid w:val="00500964"/>
    <w:rsid w:val="00500C66"/>
    <w:rsid w:val="00505B94"/>
    <w:rsid w:val="00512F89"/>
    <w:rsid w:val="005130EC"/>
    <w:rsid w:val="005146E6"/>
    <w:rsid w:val="00517279"/>
    <w:rsid w:val="00535A42"/>
    <w:rsid w:val="0053748E"/>
    <w:rsid w:val="005449C6"/>
    <w:rsid w:val="00566B42"/>
    <w:rsid w:val="0057165C"/>
    <w:rsid w:val="00571D95"/>
    <w:rsid w:val="005722C6"/>
    <w:rsid w:val="00576156"/>
    <w:rsid w:val="00580FF8"/>
    <w:rsid w:val="00585C8D"/>
    <w:rsid w:val="005862CC"/>
    <w:rsid w:val="005911FE"/>
    <w:rsid w:val="0059312F"/>
    <w:rsid w:val="00593220"/>
    <w:rsid w:val="00595758"/>
    <w:rsid w:val="00596081"/>
    <w:rsid w:val="005A3943"/>
    <w:rsid w:val="005A51E6"/>
    <w:rsid w:val="005A5348"/>
    <w:rsid w:val="005A632E"/>
    <w:rsid w:val="005A74DC"/>
    <w:rsid w:val="005B668C"/>
    <w:rsid w:val="005B7418"/>
    <w:rsid w:val="005C0291"/>
    <w:rsid w:val="005C03A9"/>
    <w:rsid w:val="005C2BFC"/>
    <w:rsid w:val="005C324B"/>
    <w:rsid w:val="005C43E2"/>
    <w:rsid w:val="005C454A"/>
    <w:rsid w:val="005C74C9"/>
    <w:rsid w:val="005D1B14"/>
    <w:rsid w:val="005D257B"/>
    <w:rsid w:val="005E1D5C"/>
    <w:rsid w:val="005E25DC"/>
    <w:rsid w:val="005E3D47"/>
    <w:rsid w:val="005E40AE"/>
    <w:rsid w:val="005E52AE"/>
    <w:rsid w:val="005E5607"/>
    <w:rsid w:val="005E567C"/>
    <w:rsid w:val="005E5E67"/>
    <w:rsid w:val="005F505E"/>
    <w:rsid w:val="005F6770"/>
    <w:rsid w:val="00602976"/>
    <w:rsid w:val="0060388D"/>
    <w:rsid w:val="00604231"/>
    <w:rsid w:val="006068F3"/>
    <w:rsid w:val="00610C2F"/>
    <w:rsid w:val="0062187C"/>
    <w:rsid w:val="006239BC"/>
    <w:rsid w:val="00625805"/>
    <w:rsid w:val="00627AC4"/>
    <w:rsid w:val="00632411"/>
    <w:rsid w:val="0063253B"/>
    <w:rsid w:val="006363C8"/>
    <w:rsid w:val="0063682A"/>
    <w:rsid w:val="00637AB8"/>
    <w:rsid w:val="0064370D"/>
    <w:rsid w:val="00643771"/>
    <w:rsid w:val="00644946"/>
    <w:rsid w:val="00646AB8"/>
    <w:rsid w:val="006473CF"/>
    <w:rsid w:val="0064769E"/>
    <w:rsid w:val="00647BD9"/>
    <w:rsid w:val="00654A3E"/>
    <w:rsid w:val="006624A7"/>
    <w:rsid w:val="0066515F"/>
    <w:rsid w:val="006663E9"/>
    <w:rsid w:val="006668AF"/>
    <w:rsid w:val="00670A7E"/>
    <w:rsid w:val="0067278C"/>
    <w:rsid w:val="00676DAA"/>
    <w:rsid w:val="00676E9D"/>
    <w:rsid w:val="00686439"/>
    <w:rsid w:val="00697A88"/>
    <w:rsid w:val="00697CF1"/>
    <w:rsid w:val="00697D4C"/>
    <w:rsid w:val="006A44EE"/>
    <w:rsid w:val="006A6051"/>
    <w:rsid w:val="006B31D9"/>
    <w:rsid w:val="006C0102"/>
    <w:rsid w:val="006C07D4"/>
    <w:rsid w:val="006C41AD"/>
    <w:rsid w:val="006C52CB"/>
    <w:rsid w:val="006D04BD"/>
    <w:rsid w:val="006D47EF"/>
    <w:rsid w:val="006D6644"/>
    <w:rsid w:val="006D7180"/>
    <w:rsid w:val="006E433B"/>
    <w:rsid w:val="006E7899"/>
    <w:rsid w:val="006E7C78"/>
    <w:rsid w:val="006F27F4"/>
    <w:rsid w:val="006F2E23"/>
    <w:rsid w:val="006F436D"/>
    <w:rsid w:val="006F4C30"/>
    <w:rsid w:val="006F5642"/>
    <w:rsid w:val="006F7024"/>
    <w:rsid w:val="006F7325"/>
    <w:rsid w:val="00703A7C"/>
    <w:rsid w:val="007076DA"/>
    <w:rsid w:val="00707860"/>
    <w:rsid w:val="007207BF"/>
    <w:rsid w:val="00725CB0"/>
    <w:rsid w:val="0073517D"/>
    <w:rsid w:val="0073685C"/>
    <w:rsid w:val="00737EA5"/>
    <w:rsid w:val="007400AE"/>
    <w:rsid w:val="00741F3E"/>
    <w:rsid w:val="00742F88"/>
    <w:rsid w:val="00743AA8"/>
    <w:rsid w:val="00743C3E"/>
    <w:rsid w:val="00745C64"/>
    <w:rsid w:val="00750840"/>
    <w:rsid w:val="0075177C"/>
    <w:rsid w:val="007566BC"/>
    <w:rsid w:val="00757138"/>
    <w:rsid w:val="00757617"/>
    <w:rsid w:val="00763AD8"/>
    <w:rsid w:val="00765016"/>
    <w:rsid w:val="00767EDE"/>
    <w:rsid w:val="0077100C"/>
    <w:rsid w:val="00776C39"/>
    <w:rsid w:val="00781A6D"/>
    <w:rsid w:val="00781D00"/>
    <w:rsid w:val="00787259"/>
    <w:rsid w:val="007900F3"/>
    <w:rsid w:val="00791B69"/>
    <w:rsid w:val="0079498E"/>
    <w:rsid w:val="00796F10"/>
    <w:rsid w:val="007A6AB5"/>
    <w:rsid w:val="007A6C67"/>
    <w:rsid w:val="007B0C55"/>
    <w:rsid w:val="007B14D9"/>
    <w:rsid w:val="007B2B46"/>
    <w:rsid w:val="007B30F2"/>
    <w:rsid w:val="007B377F"/>
    <w:rsid w:val="007B4274"/>
    <w:rsid w:val="007B5117"/>
    <w:rsid w:val="007B599D"/>
    <w:rsid w:val="007B6650"/>
    <w:rsid w:val="007B6A74"/>
    <w:rsid w:val="007C2DC8"/>
    <w:rsid w:val="007D097E"/>
    <w:rsid w:val="007D230B"/>
    <w:rsid w:val="007D2D80"/>
    <w:rsid w:val="007D3681"/>
    <w:rsid w:val="007D3824"/>
    <w:rsid w:val="007D49A1"/>
    <w:rsid w:val="007D59DD"/>
    <w:rsid w:val="007E1F66"/>
    <w:rsid w:val="007E29EF"/>
    <w:rsid w:val="007E2CB5"/>
    <w:rsid w:val="007E4797"/>
    <w:rsid w:val="007E4C10"/>
    <w:rsid w:val="007E6501"/>
    <w:rsid w:val="007E6C25"/>
    <w:rsid w:val="007F32D7"/>
    <w:rsid w:val="007F4F97"/>
    <w:rsid w:val="007F669E"/>
    <w:rsid w:val="00801632"/>
    <w:rsid w:val="00804DAF"/>
    <w:rsid w:val="0080520B"/>
    <w:rsid w:val="00807B3E"/>
    <w:rsid w:val="00810D4A"/>
    <w:rsid w:val="008126C5"/>
    <w:rsid w:val="00812F82"/>
    <w:rsid w:val="00813BAB"/>
    <w:rsid w:val="008146FD"/>
    <w:rsid w:val="00816AAB"/>
    <w:rsid w:val="008179C7"/>
    <w:rsid w:val="00820402"/>
    <w:rsid w:val="008243B2"/>
    <w:rsid w:val="00824F08"/>
    <w:rsid w:val="0082501A"/>
    <w:rsid w:val="0082572E"/>
    <w:rsid w:val="008310DF"/>
    <w:rsid w:val="00831105"/>
    <w:rsid w:val="00831E01"/>
    <w:rsid w:val="00835487"/>
    <w:rsid w:val="0084238A"/>
    <w:rsid w:val="00844A4B"/>
    <w:rsid w:val="008528D6"/>
    <w:rsid w:val="00854676"/>
    <w:rsid w:val="00865296"/>
    <w:rsid w:val="00867086"/>
    <w:rsid w:val="0086708E"/>
    <w:rsid w:val="00874663"/>
    <w:rsid w:val="00874829"/>
    <w:rsid w:val="00876CE4"/>
    <w:rsid w:val="008777EA"/>
    <w:rsid w:val="00881B95"/>
    <w:rsid w:val="008831CA"/>
    <w:rsid w:val="0089272A"/>
    <w:rsid w:val="00894890"/>
    <w:rsid w:val="00897247"/>
    <w:rsid w:val="008A593F"/>
    <w:rsid w:val="008A5D52"/>
    <w:rsid w:val="008B08F0"/>
    <w:rsid w:val="008B262C"/>
    <w:rsid w:val="008B2DAD"/>
    <w:rsid w:val="008B6FC8"/>
    <w:rsid w:val="008C19E9"/>
    <w:rsid w:val="008C2015"/>
    <w:rsid w:val="008C26E9"/>
    <w:rsid w:val="008C6A38"/>
    <w:rsid w:val="008C774E"/>
    <w:rsid w:val="008D1688"/>
    <w:rsid w:val="008D4652"/>
    <w:rsid w:val="008D64FC"/>
    <w:rsid w:val="008D6D9D"/>
    <w:rsid w:val="008E712A"/>
    <w:rsid w:val="008F1691"/>
    <w:rsid w:val="008F22E2"/>
    <w:rsid w:val="008F5698"/>
    <w:rsid w:val="008F639E"/>
    <w:rsid w:val="00901EF2"/>
    <w:rsid w:val="00903734"/>
    <w:rsid w:val="00903EB6"/>
    <w:rsid w:val="00903F51"/>
    <w:rsid w:val="00904906"/>
    <w:rsid w:val="0090702F"/>
    <w:rsid w:val="009079D0"/>
    <w:rsid w:val="00913D0A"/>
    <w:rsid w:val="009148A1"/>
    <w:rsid w:val="00924972"/>
    <w:rsid w:val="00932E1E"/>
    <w:rsid w:val="00934068"/>
    <w:rsid w:val="00937854"/>
    <w:rsid w:val="009469E0"/>
    <w:rsid w:val="00951C4D"/>
    <w:rsid w:val="00952E03"/>
    <w:rsid w:val="0095396E"/>
    <w:rsid w:val="009547E2"/>
    <w:rsid w:val="00956488"/>
    <w:rsid w:val="00956F5F"/>
    <w:rsid w:val="009610DC"/>
    <w:rsid w:val="0097154F"/>
    <w:rsid w:val="0098136A"/>
    <w:rsid w:val="00985996"/>
    <w:rsid w:val="00986978"/>
    <w:rsid w:val="009926B3"/>
    <w:rsid w:val="00994F74"/>
    <w:rsid w:val="0099563A"/>
    <w:rsid w:val="009A13F4"/>
    <w:rsid w:val="009A44BE"/>
    <w:rsid w:val="009B029F"/>
    <w:rsid w:val="009B1903"/>
    <w:rsid w:val="009B1E8D"/>
    <w:rsid w:val="009B27F8"/>
    <w:rsid w:val="009B4A8B"/>
    <w:rsid w:val="009B4BEA"/>
    <w:rsid w:val="009B74FB"/>
    <w:rsid w:val="009C0660"/>
    <w:rsid w:val="009C31A4"/>
    <w:rsid w:val="009C4845"/>
    <w:rsid w:val="009C7314"/>
    <w:rsid w:val="009D2442"/>
    <w:rsid w:val="009D2654"/>
    <w:rsid w:val="009D5740"/>
    <w:rsid w:val="009D5D9F"/>
    <w:rsid w:val="009D7F4D"/>
    <w:rsid w:val="009E0241"/>
    <w:rsid w:val="009E0FA2"/>
    <w:rsid w:val="009E2244"/>
    <w:rsid w:val="009F57FD"/>
    <w:rsid w:val="009F7F9F"/>
    <w:rsid w:val="00A01339"/>
    <w:rsid w:val="00A01E02"/>
    <w:rsid w:val="00A02E26"/>
    <w:rsid w:val="00A05BA0"/>
    <w:rsid w:val="00A159C9"/>
    <w:rsid w:val="00A167FB"/>
    <w:rsid w:val="00A20279"/>
    <w:rsid w:val="00A21B70"/>
    <w:rsid w:val="00A21D02"/>
    <w:rsid w:val="00A21DDB"/>
    <w:rsid w:val="00A23CF6"/>
    <w:rsid w:val="00A2690C"/>
    <w:rsid w:val="00A2792F"/>
    <w:rsid w:val="00A30970"/>
    <w:rsid w:val="00A315E4"/>
    <w:rsid w:val="00A31D96"/>
    <w:rsid w:val="00A31FEE"/>
    <w:rsid w:val="00A33C55"/>
    <w:rsid w:val="00A406C3"/>
    <w:rsid w:val="00A42875"/>
    <w:rsid w:val="00A43952"/>
    <w:rsid w:val="00A44DC1"/>
    <w:rsid w:val="00A47A98"/>
    <w:rsid w:val="00A47EE7"/>
    <w:rsid w:val="00A50B43"/>
    <w:rsid w:val="00A51C87"/>
    <w:rsid w:val="00A54197"/>
    <w:rsid w:val="00A61821"/>
    <w:rsid w:val="00A61E3A"/>
    <w:rsid w:val="00A631BA"/>
    <w:rsid w:val="00A65F5B"/>
    <w:rsid w:val="00A67CA5"/>
    <w:rsid w:val="00A75CCD"/>
    <w:rsid w:val="00A80506"/>
    <w:rsid w:val="00A806AE"/>
    <w:rsid w:val="00A807F9"/>
    <w:rsid w:val="00A8118F"/>
    <w:rsid w:val="00A83458"/>
    <w:rsid w:val="00A865DC"/>
    <w:rsid w:val="00A86C41"/>
    <w:rsid w:val="00A90148"/>
    <w:rsid w:val="00A917F8"/>
    <w:rsid w:val="00A93E99"/>
    <w:rsid w:val="00AA0D8C"/>
    <w:rsid w:val="00AA19A6"/>
    <w:rsid w:val="00AA25BC"/>
    <w:rsid w:val="00AA3077"/>
    <w:rsid w:val="00AA3E2A"/>
    <w:rsid w:val="00AA46AF"/>
    <w:rsid w:val="00AA5AE7"/>
    <w:rsid w:val="00AB4E9E"/>
    <w:rsid w:val="00AB68F9"/>
    <w:rsid w:val="00AB6C99"/>
    <w:rsid w:val="00AC11D5"/>
    <w:rsid w:val="00AC15E5"/>
    <w:rsid w:val="00AC22BB"/>
    <w:rsid w:val="00AC4080"/>
    <w:rsid w:val="00AC5A6D"/>
    <w:rsid w:val="00AC5D73"/>
    <w:rsid w:val="00AC6511"/>
    <w:rsid w:val="00AC73AD"/>
    <w:rsid w:val="00AC7BED"/>
    <w:rsid w:val="00AD067D"/>
    <w:rsid w:val="00AD30E6"/>
    <w:rsid w:val="00AD53F7"/>
    <w:rsid w:val="00AD705A"/>
    <w:rsid w:val="00AD78F9"/>
    <w:rsid w:val="00AE008D"/>
    <w:rsid w:val="00AE0BF5"/>
    <w:rsid w:val="00AE30E0"/>
    <w:rsid w:val="00AE346F"/>
    <w:rsid w:val="00AE3AD5"/>
    <w:rsid w:val="00AE6454"/>
    <w:rsid w:val="00AF2329"/>
    <w:rsid w:val="00AF3660"/>
    <w:rsid w:val="00AF42F5"/>
    <w:rsid w:val="00AF7A20"/>
    <w:rsid w:val="00B01312"/>
    <w:rsid w:val="00B02D98"/>
    <w:rsid w:val="00B03575"/>
    <w:rsid w:val="00B053A8"/>
    <w:rsid w:val="00B12C5C"/>
    <w:rsid w:val="00B141C8"/>
    <w:rsid w:val="00B14A7F"/>
    <w:rsid w:val="00B15D2F"/>
    <w:rsid w:val="00B16399"/>
    <w:rsid w:val="00B1760F"/>
    <w:rsid w:val="00B17D80"/>
    <w:rsid w:val="00B2586D"/>
    <w:rsid w:val="00B25AE4"/>
    <w:rsid w:val="00B265C9"/>
    <w:rsid w:val="00B26909"/>
    <w:rsid w:val="00B269C0"/>
    <w:rsid w:val="00B27664"/>
    <w:rsid w:val="00B31169"/>
    <w:rsid w:val="00B31828"/>
    <w:rsid w:val="00B36159"/>
    <w:rsid w:val="00B42BEE"/>
    <w:rsid w:val="00B452B7"/>
    <w:rsid w:val="00B458E3"/>
    <w:rsid w:val="00B459D6"/>
    <w:rsid w:val="00B47FD2"/>
    <w:rsid w:val="00B518FF"/>
    <w:rsid w:val="00B524E4"/>
    <w:rsid w:val="00B54F17"/>
    <w:rsid w:val="00B561EE"/>
    <w:rsid w:val="00B57D47"/>
    <w:rsid w:val="00B615B6"/>
    <w:rsid w:val="00B6210E"/>
    <w:rsid w:val="00B632E3"/>
    <w:rsid w:val="00B64DC8"/>
    <w:rsid w:val="00B70688"/>
    <w:rsid w:val="00B74A04"/>
    <w:rsid w:val="00B7542C"/>
    <w:rsid w:val="00B75FD9"/>
    <w:rsid w:val="00B77091"/>
    <w:rsid w:val="00B837C1"/>
    <w:rsid w:val="00B841E0"/>
    <w:rsid w:val="00B860BA"/>
    <w:rsid w:val="00B865F5"/>
    <w:rsid w:val="00B870A0"/>
    <w:rsid w:val="00B90811"/>
    <w:rsid w:val="00B91DFE"/>
    <w:rsid w:val="00B966E9"/>
    <w:rsid w:val="00B96BC7"/>
    <w:rsid w:val="00B97229"/>
    <w:rsid w:val="00BA08A3"/>
    <w:rsid w:val="00BA3D7D"/>
    <w:rsid w:val="00BA5AB3"/>
    <w:rsid w:val="00BB227E"/>
    <w:rsid w:val="00BB4F22"/>
    <w:rsid w:val="00BB7E3D"/>
    <w:rsid w:val="00BC24B1"/>
    <w:rsid w:val="00BC3CD1"/>
    <w:rsid w:val="00BC5EC6"/>
    <w:rsid w:val="00BC5F0E"/>
    <w:rsid w:val="00BD2211"/>
    <w:rsid w:val="00BD221D"/>
    <w:rsid w:val="00BD37A6"/>
    <w:rsid w:val="00BD3E65"/>
    <w:rsid w:val="00BD5934"/>
    <w:rsid w:val="00BD7785"/>
    <w:rsid w:val="00BE3B2E"/>
    <w:rsid w:val="00BE3E3E"/>
    <w:rsid w:val="00BE7DE8"/>
    <w:rsid w:val="00BF1CBD"/>
    <w:rsid w:val="00BF52C4"/>
    <w:rsid w:val="00BF6AA7"/>
    <w:rsid w:val="00BF6DFE"/>
    <w:rsid w:val="00C006BE"/>
    <w:rsid w:val="00C05B8E"/>
    <w:rsid w:val="00C0638C"/>
    <w:rsid w:val="00C1063D"/>
    <w:rsid w:val="00C10F19"/>
    <w:rsid w:val="00C15E0E"/>
    <w:rsid w:val="00C16E68"/>
    <w:rsid w:val="00C21EF6"/>
    <w:rsid w:val="00C23FB5"/>
    <w:rsid w:val="00C24A1A"/>
    <w:rsid w:val="00C31205"/>
    <w:rsid w:val="00C331BB"/>
    <w:rsid w:val="00C37118"/>
    <w:rsid w:val="00C41003"/>
    <w:rsid w:val="00C41A08"/>
    <w:rsid w:val="00C422B9"/>
    <w:rsid w:val="00C4240A"/>
    <w:rsid w:val="00C4241E"/>
    <w:rsid w:val="00C50EFE"/>
    <w:rsid w:val="00C615A3"/>
    <w:rsid w:val="00C6198D"/>
    <w:rsid w:val="00C63589"/>
    <w:rsid w:val="00C635DA"/>
    <w:rsid w:val="00C639E7"/>
    <w:rsid w:val="00C659BE"/>
    <w:rsid w:val="00C7273F"/>
    <w:rsid w:val="00C80300"/>
    <w:rsid w:val="00C82307"/>
    <w:rsid w:val="00C8613B"/>
    <w:rsid w:val="00C900DE"/>
    <w:rsid w:val="00C92622"/>
    <w:rsid w:val="00C94054"/>
    <w:rsid w:val="00C97228"/>
    <w:rsid w:val="00C9780D"/>
    <w:rsid w:val="00CA02DA"/>
    <w:rsid w:val="00CA1A54"/>
    <w:rsid w:val="00CA1CB3"/>
    <w:rsid w:val="00CA273B"/>
    <w:rsid w:val="00CA5B32"/>
    <w:rsid w:val="00CC46B2"/>
    <w:rsid w:val="00CC5718"/>
    <w:rsid w:val="00CD1352"/>
    <w:rsid w:val="00CD1CBE"/>
    <w:rsid w:val="00CD1E3E"/>
    <w:rsid w:val="00CD32E2"/>
    <w:rsid w:val="00CD4B0B"/>
    <w:rsid w:val="00CD5BB1"/>
    <w:rsid w:val="00CD6698"/>
    <w:rsid w:val="00CE1E5B"/>
    <w:rsid w:val="00CF1D92"/>
    <w:rsid w:val="00CF2D92"/>
    <w:rsid w:val="00CF5D91"/>
    <w:rsid w:val="00D0025C"/>
    <w:rsid w:val="00D00405"/>
    <w:rsid w:val="00D004FB"/>
    <w:rsid w:val="00D006A8"/>
    <w:rsid w:val="00D02BBC"/>
    <w:rsid w:val="00D02C36"/>
    <w:rsid w:val="00D04540"/>
    <w:rsid w:val="00D0488A"/>
    <w:rsid w:val="00D12172"/>
    <w:rsid w:val="00D12B8C"/>
    <w:rsid w:val="00D200F6"/>
    <w:rsid w:val="00D21646"/>
    <w:rsid w:val="00D36A3A"/>
    <w:rsid w:val="00D41D2F"/>
    <w:rsid w:val="00D4335E"/>
    <w:rsid w:val="00D454F2"/>
    <w:rsid w:val="00D47CE9"/>
    <w:rsid w:val="00D47FE9"/>
    <w:rsid w:val="00D52995"/>
    <w:rsid w:val="00D63771"/>
    <w:rsid w:val="00D72552"/>
    <w:rsid w:val="00D72ADE"/>
    <w:rsid w:val="00D75233"/>
    <w:rsid w:val="00D75ADA"/>
    <w:rsid w:val="00D7728F"/>
    <w:rsid w:val="00D77696"/>
    <w:rsid w:val="00D81CC4"/>
    <w:rsid w:val="00D872E7"/>
    <w:rsid w:val="00D9443A"/>
    <w:rsid w:val="00D9765E"/>
    <w:rsid w:val="00DA4591"/>
    <w:rsid w:val="00DA6430"/>
    <w:rsid w:val="00DA681A"/>
    <w:rsid w:val="00DA7685"/>
    <w:rsid w:val="00DB63BE"/>
    <w:rsid w:val="00DB63DB"/>
    <w:rsid w:val="00DB7824"/>
    <w:rsid w:val="00DC308E"/>
    <w:rsid w:val="00DC3F52"/>
    <w:rsid w:val="00DC6C76"/>
    <w:rsid w:val="00DC7943"/>
    <w:rsid w:val="00DC7F73"/>
    <w:rsid w:val="00DE191A"/>
    <w:rsid w:val="00DE1A0F"/>
    <w:rsid w:val="00DE309F"/>
    <w:rsid w:val="00DE3123"/>
    <w:rsid w:val="00DE339F"/>
    <w:rsid w:val="00DE5A47"/>
    <w:rsid w:val="00DF1535"/>
    <w:rsid w:val="00DF53F5"/>
    <w:rsid w:val="00DF61FD"/>
    <w:rsid w:val="00DF6D25"/>
    <w:rsid w:val="00E00197"/>
    <w:rsid w:val="00E00FE3"/>
    <w:rsid w:val="00E03C6D"/>
    <w:rsid w:val="00E11EE3"/>
    <w:rsid w:val="00E135F9"/>
    <w:rsid w:val="00E14349"/>
    <w:rsid w:val="00E20C28"/>
    <w:rsid w:val="00E20D57"/>
    <w:rsid w:val="00E22A77"/>
    <w:rsid w:val="00E22E84"/>
    <w:rsid w:val="00E24B18"/>
    <w:rsid w:val="00E3016C"/>
    <w:rsid w:val="00E338AE"/>
    <w:rsid w:val="00E348BC"/>
    <w:rsid w:val="00E3586C"/>
    <w:rsid w:val="00E4307D"/>
    <w:rsid w:val="00E4318F"/>
    <w:rsid w:val="00E4392E"/>
    <w:rsid w:val="00E44456"/>
    <w:rsid w:val="00E456EB"/>
    <w:rsid w:val="00E5028B"/>
    <w:rsid w:val="00E54395"/>
    <w:rsid w:val="00E54741"/>
    <w:rsid w:val="00E568E5"/>
    <w:rsid w:val="00E57AAD"/>
    <w:rsid w:val="00E63845"/>
    <w:rsid w:val="00E6453F"/>
    <w:rsid w:val="00E659EF"/>
    <w:rsid w:val="00E70CBD"/>
    <w:rsid w:val="00E717E8"/>
    <w:rsid w:val="00E72BAF"/>
    <w:rsid w:val="00E73D81"/>
    <w:rsid w:val="00E754F4"/>
    <w:rsid w:val="00E865D1"/>
    <w:rsid w:val="00E931F7"/>
    <w:rsid w:val="00E93587"/>
    <w:rsid w:val="00EA057C"/>
    <w:rsid w:val="00EA2D3D"/>
    <w:rsid w:val="00EA375A"/>
    <w:rsid w:val="00EA5B84"/>
    <w:rsid w:val="00EB20F9"/>
    <w:rsid w:val="00EB21AC"/>
    <w:rsid w:val="00EB24EB"/>
    <w:rsid w:val="00EB34AF"/>
    <w:rsid w:val="00ED06CC"/>
    <w:rsid w:val="00ED2C8E"/>
    <w:rsid w:val="00ED30B5"/>
    <w:rsid w:val="00ED379E"/>
    <w:rsid w:val="00ED7680"/>
    <w:rsid w:val="00EE0424"/>
    <w:rsid w:val="00EE0D47"/>
    <w:rsid w:val="00EE5358"/>
    <w:rsid w:val="00EF54D8"/>
    <w:rsid w:val="00EF71E9"/>
    <w:rsid w:val="00F006D2"/>
    <w:rsid w:val="00F00BD1"/>
    <w:rsid w:val="00F01FD9"/>
    <w:rsid w:val="00F04AC3"/>
    <w:rsid w:val="00F04B07"/>
    <w:rsid w:val="00F05BA8"/>
    <w:rsid w:val="00F10BE2"/>
    <w:rsid w:val="00F16F13"/>
    <w:rsid w:val="00F219C3"/>
    <w:rsid w:val="00F23E9A"/>
    <w:rsid w:val="00F242D9"/>
    <w:rsid w:val="00F2523F"/>
    <w:rsid w:val="00F3715D"/>
    <w:rsid w:val="00F44B62"/>
    <w:rsid w:val="00F5072C"/>
    <w:rsid w:val="00F51CBF"/>
    <w:rsid w:val="00F526D5"/>
    <w:rsid w:val="00F5411D"/>
    <w:rsid w:val="00F56D2B"/>
    <w:rsid w:val="00F57D2D"/>
    <w:rsid w:val="00F606D8"/>
    <w:rsid w:val="00F62A49"/>
    <w:rsid w:val="00F64F0D"/>
    <w:rsid w:val="00F7026A"/>
    <w:rsid w:val="00F7103A"/>
    <w:rsid w:val="00F71826"/>
    <w:rsid w:val="00F72B45"/>
    <w:rsid w:val="00F73B00"/>
    <w:rsid w:val="00F84737"/>
    <w:rsid w:val="00F86B9C"/>
    <w:rsid w:val="00F87B69"/>
    <w:rsid w:val="00F90451"/>
    <w:rsid w:val="00F90C95"/>
    <w:rsid w:val="00F9103E"/>
    <w:rsid w:val="00F95923"/>
    <w:rsid w:val="00F95E06"/>
    <w:rsid w:val="00F96A39"/>
    <w:rsid w:val="00F96DB3"/>
    <w:rsid w:val="00F97463"/>
    <w:rsid w:val="00FA0127"/>
    <w:rsid w:val="00FA4DC6"/>
    <w:rsid w:val="00FA5D99"/>
    <w:rsid w:val="00FB030E"/>
    <w:rsid w:val="00FB266C"/>
    <w:rsid w:val="00FB571F"/>
    <w:rsid w:val="00FC42BA"/>
    <w:rsid w:val="00FC6166"/>
    <w:rsid w:val="00FC77BB"/>
    <w:rsid w:val="00FC799E"/>
    <w:rsid w:val="00FD08C1"/>
    <w:rsid w:val="00FD2C54"/>
    <w:rsid w:val="00FD60E5"/>
    <w:rsid w:val="00FD7A7A"/>
    <w:rsid w:val="00FD7FCF"/>
    <w:rsid w:val="00FE10C1"/>
    <w:rsid w:val="00FE190E"/>
    <w:rsid w:val="00FE20A9"/>
    <w:rsid w:val="00FE48A9"/>
    <w:rsid w:val="00FE6E75"/>
    <w:rsid w:val="00FF08B7"/>
    <w:rsid w:val="00FF12B8"/>
    <w:rsid w:val="00FF521D"/>
    <w:rsid w:val="00FF6E45"/>
    <w:rsid w:val="00FF7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DB1DDC8"/>
  <w14:defaultImageDpi w14:val="300"/>
  <w15:docId w15:val="{3DBFC29A-F3A3-4FB4-B865-85D7312BE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0B19DD"/>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0B19DD"/>
    <w:rPr>
      <w:rFonts w:ascii="Calibri Light" w:hAnsi="Calibri Light" w:cs="Arial"/>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4C1A9E"/>
    <w:pPr>
      <w:ind w:left="720"/>
    </w:pPr>
    <w:rPr>
      <w:rFonts w:ascii="Cambria Math" w:hAnsi="Cambria Math"/>
      <w:i/>
      <w:sz w:val="18"/>
    </w:rPr>
  </w:style>
  <w:style w:type="character" w:customStyle="1" w:styleId="BodyTextChar">
    <w:name w:val="Body Text Char"/>
    <w:basedOn w:val="DefaultParagraphFont"/>
    <w:link w:val="BodyText"/>
    <w:uiPriority w:val="99"/>
    <w:rsid w:val="004C1A9E"/>
    <w:rPr>
      <w:rFonts w:ascii="Cambria Math" w:hAnsi="Cambria Math"/>
      <w:i/>
      <w:sz w:val="18"/>
    </w:rPr>
  </w:style>
  <w:style w:type="paragraph" w:customStyle="1" w:styleId="eTRMBulletedText">
    <w:name w:val="eTRM Bulleted Text"/>
    <w:basedOn w:val="Normal"/>
    <w:autoRedefine/>
    <w:qFormat/>
    <w:rsid w:val="00DE5A47"/>
    <w:pPr>
      <w:numPr>
        <w:numId w:val="44"/>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A43952"/>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FB266C"/>
    <w:rPr>
      <w:color w:val="808080"/>
    </w:rPr>
  </w:style>
  <w:style w:type="paragraph" w:styleId="BodyTextIndent">
    <w:name w:val="Body Text Indent"/>
    <w:basedOn w:val="Normal"/>
    <w:link w:val="BodyTextIndentChar"/>
    <w:rsid w:val="00054407"/>
    <w:pPr>
      <w:spacing w:before="0" w:line="240" w:lineRule="auto"/>
      <w:ind w:left="360"/>
    </w:pPr>
    <w:rPr>
      <w:rFonts w:ascii="Arial" w:eastAsia="Times New Roman" w:hAnsi="Arial" w:cs="Arial"/>
      <w:sz w:val="20"/>
      <w:szCs w:val="20"/>
    </w:rPr>
  </w:style>
  <w:style w:type="character" w:customStyle="1" w:styleId="BodyTextIndentChar">
    <w:name w:val="Body Text Indent Char"/>
    <w:basedOn w:val="DefaultParagraphFont"/>
    <w:link w:val="BodyTextIndent"/>
    <w:rsid w:val="00054407"/>
    <w:rPr>
      <w:rFonts w:ascii="Arial" w:eastAsia="Times New Roman" w:hAnsi="Arial" w:cs="Arial"/>
      <w:sz w:val="20"/>
      <w:szCs w:val="20"/>
    </w:rPr>
  </w:style>
  <w:style w:type="character" w:customStyle="1" w:styleId="UnresolvedMention1">
    <w:name w:val="Unresolved Mention1"/>
    <w:basedOn w:val="DefaultParagraphFont"/>
    <w:uiPriority w:val="99"/>
    <w:rsid w:val="005E3D47"/>
    <w:rPr>
      <w:color w:val="808080"/>
      <w:shd w:val="clear" w:color="auto" w:fill="E6E6E6"/>
    </w:rPr>
  </w:style>
  <w:style w:type="character" w:styleId="Emphasis">
    <w:name w:val="Emphasis"/>
    <w:basedOn w:val="DefaultParagraphFont"/>
    <w:uiPriority w:val="20"/>
    <w:qFormat/>
    <w:rsid w:val="008179C7"/>
    <w:rPr>
      <w:i/>
      <w:iCs/>
    </w:rPr>
  </w:style>
  <w:style w:type="paragraph" w:customStyle="1" w:styleId="TableParagraph">
    <w:name w:val="Table Paragraph"/>
    <w:basedOn w:val="Normal"/>
    <w:uiPriority w:val="1"/>
    <w:qFormat/>
    <w:rsid w:val="000A27AB"/>
    <w:pPr>
      <w:widowControl w:val="0"/>
      <w:autoSpaceDE w:val="0"/>
      <w:autoSpaceDN w:val="0"/>
      <w:spacing w:before="47" w:after="0" w:line="223" w:lineRule="exact"/>
      <w:ind w:left="107"/>
    </w:pPr>
    <w:rPr>
      <w:rFonts w:eastAsia="Calibri Light" w:cs="Calibri Light"/>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17856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feist\Documents\Work\PG&amp;E\VFD%20Specs\Cost%20Estimates\Summar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feist\Documents\Work\PG&amp;E\VFD%20Specs\Cost%20Estimates\Summar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05796150481189"/>
          <c:y val="5.3423992229237494E-2"/>
          <c:w val="0.75837210689572887"/>
          <c:h val="0.71406436611530943"/>
        </c:manualLayout>
      </c:layout>
      <c:scatterChart>
        <c:scatterStyle val="lineMarker"/>
        <c:varyColors val="0"/>
        <c:ser>
          <c:idx val="2"/>
          <c:order val="0"/>
          <c:tx>
            <c:v>Systems Meeting Specification</c:v>
          </c:tx>
          <c:spPr>
            <a:ln w="25400" cap="rnd">
              <a:noFill/>
              <a:round/>
            </a:ln>
            <a:effectLst/>
          </c:spPr>
          <c:marker>
            <c:symbol val="circle"/>
            <c:size val="7"/>
            <c:spPr>
              <a:solidFill>
                <a:schemeClr val="tx1"/>
              </a:solidFill>
              <a:ln w="9525">
                <a:solidFill>
                  <a:schemeClr val="tx1"/>
                </a:solidFill>
              </a:ln>
              <a:effectLst/>
            </c:spPr>
          </c:marker>
          <c:trendline>
            <c:spPr>
              <a:ln w="19050" cap="rnd">
                <a:solidFill>
                  <a:schemeClr val="tx1"/>
                </a:solidFill>
                <a:prstDash val="sysDot"/>
              </a:ln>
              <a:effectLst/>
            </c:spPr>
            <c:trendlineType val="linear"/>
            <c:intercept val="7000"/>
            <c:dispRSqr val="0"/>
            <c:dispEq val="1"/>
            <c:trendlineLbl>
              <c:numFmt formatCode="#,##0" sourceLinked="0"/>
              <c:spPr>
                <a:noFill/>
                <a:ln>
                  <a:noFill/>
                </a:ln>
                <a:effectLst/>
              </c:spPr>
              <c:txPr>
                <a:bodyPr rot="0" vert="horz"/>
                <a:lstStyle/>
                <a:p>
                  <a:pPr>
                    <a:defRPr/>
                  </a:pPr>
                  <a:endParaRPr lang="en-US"/>
                </a:p>
              </c:txPr>
            </c:trendlineLbl>
          </c:trendline>
          <c:xVal>
            <c:numRef>
              <c:f>Summary!$C$6:$C$29</c:f>
              <c:numCache>
                <c:formatCode>General</c:formatCode>
                <c:ptCount val="24"/>
                <c:pt idx="0">
                  <c:v>5</c:v>
                </c:pt>
                <c:pt idx="1">
                  <c:v>5</c:v>
                </c:pt>
                <c:pt idx="2">
                  <c:v>15</c:v>
                </c:pt>
                <c:pt idx="3">
                  <c:v>40</c:v>
                </c:pt>
                <c:pt idx="4">
                  <c:v>75</c:v>
                </c:pt>
                <c:pt idx="5">
                  <c:v>75</c:v>
                </c:pt>
                <c:pt idx="6">
                  <c:v>75</c:v>
                </c:pt>
                <c:pt idx="7">
                  <c:v>100</c:v>
                </c:pt>
                <c:pt idx="8">
                  <c:v>100</c:v>
                </c:pt>
                <c:pt idx="9">
                  <c:v>125</c:v>
                </c:pt>
                <c:pt idx="10">
                  <c:v>125</c:v>
                </c:pt>
                <c:pt idx="11">
                  <c:v>150</c:v>
                </c:pt>
                <c:pt idx="12">
                  <c:v>150</c:v>
                </c:pt>
                <c:pt idx="13">
                  <c:v>150</c:v>
                </c:pt>
                <c:pt idx="14">
                  <c:v>200</c:v>
                </c:pt>
                <c:pt idx="15">
                  <c:v>200</c:v>
                </c:pt>
                <c:pt idx="16">
                  <c:v>200</c:v>
                </c:pt>
                <c:pt idx="17">
                  <c:v>250</c:v>
                </c:pt>
                <c:pt idx="18">
                  <c:v>250</c:v>
                </c:pt>
                <c:pt idx="19">
                  <c:v>250</c:v>
                </c:pt>
                <c:pt idx="20">
                  <c:v>300</c:v>
                </c:pt>
                <c:pt idx="21">
                  <c:v>300</c:v>
                </c:pt>
                <c:pt idx="22">
                  <c:v>300</c:v>
                </c:pt>
                <c:pt idx="23">
                  <c:v>450</c:v>
                </c:pt>
              </c:numCache>
            </c:numRef>
          </c:xVal>
          <c:yVal>
            <c:numRef>
              <c:f>Summary!$G$6:$G$29</c:f>
              <c:numCache>
                <c:formatCode>General</c:formatCode>
                <c:ptCount val="24"/>
                <c:pt idx="5" formatCode="0">
                  <c:v>16157.651880000001</c:v>
                </c:pt>
                <c:pt idx="18" formatCode="0">
                  <c:v>44092.50432</c:v>
                </c:pt>
                <c:pt idx="23" formatCode="0">
                  <c:v>64115.883360000007</c:v>
                </c:pt>
              </c:numCache>
            </c:numRef>
          </c:yVal>
          <c:smooth val="0"/>
          <c:extLst>
            <c:ext xmlns:c16="http://schemas.microsoft.com/office/drawing/2014/chart" uri="{C3380CC4-5D6E-409C-BE32-E72D297353CC}">
              <c16:uniqueId val="{00000001-0A3F-44A2-984E-79D8A3688DEB}"/>
            </c:ext>
          </c:extLst>
        </c:ser>
        <c:ser>
          <c:idx val="3"/>
          <c:order val="1"/>
          <c:tx>
            <c:v>Systems Not Meeting Specification</c:v>
          </c:tx>
          <c:spPr>
            <a:ln w="25400" cap="rnd">
              <a:noFill/>
              <a:round/>
            </a:ln>
            <a:effectLst/>
          </c:spPr>
          <c:marker>
            <c:symbol val="circle"/>
            <c:size val="5"/>
            <c:spPr>
              <a:solidFill>
                <a:schemeClr val="accent4"/>
              </a:solidFill>
              <a:ln w="9525">
                <a:solidFill>
                  <a:schemeClr val="accent4"/>
                </a:solidFill>
              </a:ln>
              <a:effectLst/>
            </c:spPr>
          </c:marker>
          <c:xVal>
            <c:numRef>
              <c:f>Summary!$C$6:$C$29</c:f>
              <c:numCache>
                <c:formatCode>General</c:formatCode>
                <c:ptCount val="24"/>
                <c:pt idx="0">
                  <c:v>5</c:v>
                </c:pt>
                <c:pt idx="1">
                  <c:v>5</c:v>
                </c:pt>
                <c:pt idx="2">
                  <c:v>15</c:v>
                </c:pt>
                <c:pt idx="3">
                  <c:v>40</c:v>
                </c:pt>
                <c:pt idx="4">
                  <c:v>75</c:v>
                </c:pt>
                <c:pt idx="5">
                  <c:v>75</c:v>
                </c:pt>
                <c:pt idx="6">
                  <c:v>75</c:v>
                </c:pt>
                <c:pt idx="7">
                  <c:v>100</c:v>
                </c:pt>
                <c:pt idx="8">
                  <c:v>100</c:v>
                </c:pt>
                <c:pt idx="9">
                  <c:v>125</c:v>
                </c:pt>
                <c:pt idx="10">
                  <c:v>125</c:v>
                </c:pt>
                <c:pt idx="11">
                  <c:v>150</c:v>
                </c:pt>
                <c:pt idx="12">
                  <c:v>150</c:v>
                </c:pt>
                <c:pt idx="13">
                  <c:v>150</c:v>
                </c:pt>
                <c:pt idx="14">
                  <c:v>200</c:v>
                </c:pt>
                <c:pt idx="15">
                  <c:v>200</c:v>
                </c:pt>
                <c:pt idx="16">
                  <c:v>200</c:v>
                </c:pt>
                <c:pt idx="17">
                  <c:v>250</c:v>
                </c:pt>
                <c:pt idx="18">
                  <c:v>250</c:v>
                </c:pt>
                <c:pt idx="19">
                  <c:v>250</c:v>
                </c:pt>
                <c:pt idx="20">
                  <c:v>300</c:v>
                </c:pt>
                <c:pt idx="21">
                  <c:v>300</c:v>
                </c:pt>
                <c:pt idx="22">
                  <c:v>300</c:v>
                </c:pt>
                <c:pt idx="23">
                  <c:v>450</c:v>
                </c:pt>
              </c:numCache>
            </c:numRef>
          </c:xVal>
          <c:yVal>
            <c:numRef>
              <c:f>Summary!$F$6:$F$29</c:f>
              <c:numCache>
                <c:formatCode>0</c:formatCode>
                <c:ptCount val="24"/>
                <c:pt idx="0">
                  <c:v>3102.8650000000002</c:v>
                </c:pt>
                <c:pt idx="1">
                  <c:v>5760.7450000000008</c:v>
                </c:pt>
                <c:pt idx="2">
                  <c:v>6954.9450000000006</c:v>
                </c:pt>
                <c:pt idx="3">
                  <c:v>10193.400000000001</c:v>
                </c:pt>
                <c:pt idx="4">
                  <c:v>14152</c:v>
                </c:pt>
                <c:pt idx="6" formatCode="General">
                  <c:v>17042.16</c:v>
                </c:pt>
                <c:pt idx="7" formatCode="General">
                  <c:v>17130</c:v>
                </c:pt>
                <c:pt idx="8" formatCode="General">
                  <c:v>19246.16</c:v>
                </c:pt>
                <c:pt idx="9" formatCode="General">
                  <c:v>24818.959999999999</c:v>
                </c:pt>
                <c:pt idx="10" formatCode="General">
                  <c:v>17998.96</c:v>
                </c:pt>
                <c:pt idx="11">
                  <c:v>24990</c:v>
                </c:pt>
                <c:pt idx="12" formatCode="General">
                  <c:v>27236.16</c:v>
                </c:pt>
                <c:pt idx="13" formatCode="General">
                  <c:v>27776.16</c:v>
                </c:pt>
                <c:pt idx="14" formatCode="General">
                  <c:v>32164.16</c:v>
                </c:pt>
                <c:pt idx="15" formatCode="General">
                  <c:v>23524.16</c:v>
                </c:pt>
                <c:pt idx="16">
                  <c:v>28186.9</c:v>
                </c:pt>
                <c:pt idx="17">
                  <c:v>25242</c:v>
                </c:pt>
                <c:pt idx="18">
                  <c:v>39772.50432</c:v>
                </c:pt>
                <c:pt idx="19">
                  <c:v>32442.54</c:v>
                </c:pt>
                <c:pt idx="20" formatCode="General">
                  <c:v>35108.160000000003</c:v>
                </c:pt>
                <c:pt idx="21">
                  <c:v>31768</c:v>
                </c:pt>
                <c:pt idx="22">
                  <c:v>42731.405399999996</c:v>
                </c:pt>
                <c:pt idx="23">
                  <c:v>57635.883360000007</c:v>
                </c:pt>
              </c:numCache>
            </c:numRef>
          </c:yVal>
          <c:smooth val="0"/>
          <c:extLst>
            <c:ext xmlns:c16="http://schemas.microsoft.com/office/drawing/2014/chart" uri="{C3380CC4-5D6E-409C-BE32-E72D297353CC}">
              <c16:uniqueId val="{00000002-0A3F-44A2-984E-79D8A3688DEB}"/>
            </c:ext>
          </c:extLst>
        </c:ser>
        <c:ser>
          <c:idx val="0"/>
          <c:order val="2"/>
          <c:spPr>
            <a:ln w="25400" cap="rnd">
              <a:noFill/>
              <a:round/>
            </a:ln>
            <a:effectLst/>
          </c:spPr>
          <c:marker>
            <c:symbol val="circle"/>
            <c:size val="5"/>
            <c:spPr>
              <a:solidFill>
                <a:schemeClr val="accent4"/>
              </a:solidFill>
              <a:ln w="9525">
                <a:solidFill>
                  <a:schemeClr val="accent4"/>
                </a:solidFill>
              </a:ln>
              <a:effectLst/>
            </c:spPr>
          </c:marker>
          <c:trendline>
            <c:spPr>
              <a:ln w="19050" cap="rnd">
                <a:solidFill>
                  <a:schemeClr val="accent4"/>
                </a:solidFill>
                <a:prstDash val="sysDot"/>
              </a:ln>
              <a:effectLst/>
            </c:spPr>
            <c:trendlineType val="linear"/>
            <c:dispRSqr val="0"/>
            <c:dispEq val="1"/>
            <c:trendlineLbl>
              <c:layout>
                <c:manualLayout>
                  <c:x val="0.14841695268860622"/>
                  <c:y val="0.128828970901227"/>
                </c:manualLayout>
              </c:layout>
              <c:numFmt formatCode="#,##0" sourceLinked="0"/>
              <c:spPr>
                <a:noFill/>
                <a:ln>
                  <a:noFill/>
                </a:ln>
                <a:effectLst/>
              </c:spPr>
              <c:txPr>
                <a:bodyPr rot="0" vert="horz"/>
                <a:lstStyle/>
                <a:p>
                  <a:pPr>
                    <a:defRPr/>
                  </a:pPr>
                  <a:endParaRPr lang="en-US"/>
                </a:p>
              </c:txPr>
            </c:trendlineLbl>
          </c:trendline>
          <c:xVal>
            <c:numRef>
              <c:f>Summary!$C$6:$C$14</c:f>
              <c:numCache>
                <c:formatCode>General</c:formatCode>
                <c:ptCount val="9"/>
                <c:pt idx="0">
                  <c:v>5</c:v>
                </c:pt>
                <c:pt idx="1">
                  <c:v>5</c:v>
                </c:pt>
                <c:pt idx="2">
                  <c:v>15</c:v>
                </c:pt>
                <c:pt idx="3">
                  <c:v>40</c:v>
                </c:pt>
                <c:pt idx="4">
                  <c:v>75</c:v>
                </c:pt>
                <c:pt idx="5">
                  <c:v>75</c:v>
                </c:pt>
                <c:pt idx="6">
                  <c:v>75</c:v>
                </c:pt>
                <c:pt idx="7">
                  <c:v>100</c:v>
                </c:pt>
                <c:pt idx="8">
                  <c:v>100</c:v>
                </c:pt>
              </c:numCache>
            </c:numRef>
          </c:xVal>
          <c:yVal>
            <c:numRef>
              <c:f>Summary!$F$6:$F$14</c:f>
              <c:numCache>
                <c:formatCode>0</c:formatCode>
                <c:ptCount val="9"/>
                <c:pt idx="0">
                  <c:v>3102.8650000000002</c:v>
                </c:pt>
                <c:pt idx="1">
                  <c:v>5760.7450000000008</c:v>
                </c:pt>
                <c:pt idx="2">
                  <c:v>6954.9450000000006</c:v>
                </c:pt>
                <c:pt idx="3">
                  <c:v>10193.400000000001</c:v>
                </c:pt>
                <c:pt idx="4">
                  <c:v>14152</c:v>
                </c:pt>
                <c:pt idx="6" formatCode="General">
                  <c:v>17042.16</c:v>
                </c:pt>
                <c:pt idx="7" formatCode="General">
                  <c:v>17130</c:v>
                </c:pt>
                <c:pt idx="8" formatCode="General">
                  <c:v>19246.16</c:v>
                </c:pt>
              </c:numCache>
            </c:numRef>
          </c:yVal>
          <c:smooth val="0"/>
          <c:extLst>
            <c:ext xmlns:c16="http://schemas.microsoft.com/office/drawing/2014/chart" uri="{C3380CC4-5D6E-409C-BE32-E72D297353CC}">
              <c16:uniqueId val="{00000004-0A3F-44A2-984E-79D8A3688DEB}"/>
            </c:ext>
          </c:extLst>
        </c:ser>
        <c:ser>
          <c:idx val="1"/>
          <c:order val="3"/>
          <c:spPr>
            <a:ln w="25400" cap="rnd">
              <a:noFill/>
              <a:round/>
            </a:ln>
            <a:effectLst/>
          </c:spPr>
          <c:marker>
            <c:symbol val="circle"/>
            <c:size val="5"/>
            <c:spPr>
              <a:solidFill>
                <a:schemeClr val="accent4"/>
              </a:solidFill>
              <a:ln w="9525">
                <a:solidFill>
                  <a:schemeClr val="accent4"/>
                </a:solidFill>
              </a:ln>
              <a:effectLst/>
            </c:spPr>
          </c:marker>
          <c:trendline>
            <c:spPr>
              <a:ln w="19050" cap="rnd">
                <a:solidFill>
                  <a:schemeClr val="accent4"/>
                </a:solidFill>
                <a:prstDash val="sysDot"/>
              </a:ln>
              <a:effectLst/>
            </c:spPr>
            <c:trendlineType val="linear"/>
            <c:dispRSqr val="0"/>
            <c:dispEq val="1"/>
            <c:trendlineLbl>
              <c:layout>
                <c:manualLayout>
                  <c:x val="4.387441954371088E-2"/>
                  <c:y val="0.14987206710945017"/>
                </c:manualLayout>
              </c:layout>
              <c:numFmt formatCode="#,##0" sourceLinked="0"/>
              <c:spPr>
                <a:noFill/>
                <a:ln>
                  <a:noFill/>
                </a:ln>
                <a:effectLst/>
              </c:spPr>
              <c:txPr>
                <a:bodyPr rot="0" vert="horz"/>
                <a:lstStyle/>
                <a:p>
                  <a:pPr>
                    <a:defRPr/>
                  </a:pPr>
                  <a:endParaRPr lang="en-US"/>
                </a:p>
              </c:txPr>
            </c:trendlineLbl>
          </c:trendline>
          <c:xVal>
            <c:numRef>
              <c:f>Summary!$C$10:$C$29</c:f>
              <c:numCache>
                <c:formatCode>General</c:formatCode>
                <c:ptCount val="20"/>
                <c:pt idx="0">
                  <c:v>75</c:v>
                </c:pt>
                <c:pt idx="1">
                  <c:v>75</c:v>
                </c:pt>
                <c:pt idx="2">
                  <c:v>75</c:v>
                </c:pt>
                <c:pt idx="3">
                  <c:v>100</c:v>
                </c:pt>
                <c:pt idx="4">
                  <c:v>100</c:v>
                </c:pt>
                <c:pt idx="5">
                  <c:v>125</c:v>
                </c:pt>
                <c:pt idx="6">
                  <c:v>125</c:v>
                </c:pt>
                <c:pt idx="7">
                  <c:v>150</c:v>
                </c:pt>
                <c:pt idx="8">
                  <c:v>150</c:v>
                </c:pt>
                <c:pt idx="9">
                  <c:v>150</c:v>
                </c:pt>
                <c:pt idx="10">
                  <c:v>200</c:v>
                </c:pt>
                <c:pt idx="11">
                  <c:v>200</c:v>
                </c:pt>
                <c:pt idx="12">
                  <c:v>200</c:v>
                </c:pt>
                <c:pt idx="13">
                  <c:v>250</c:v>
                </c:pt>
                <c:pt idx="14">
                  <c:v>250</c:v>
                </c:pt>
                <c:pt idx="15">
                  <c:v>250</c:v>
                </c:pt>
                <c:pt idx="16">
                  <c:v>300</c:v>
                </c:pt>
                <c:pt idx="17">
                  <c:v>300</c:v>
                </c:pt>
                <c:pt idx="18">
                  <c:v>300</c:v>
                </c:pt>
                <c:pt idx="19">
                  <c:v>450</c:v>
                </c:pt>
              </c:numCache>
            </c:numRef>
          </c:xVal>
          <c:yVal>
            <c:numRef>
              <c:f>Summary!$F$10:$F$29</c:f>
              <c:numCache>
                <c:formatCode>General</c:formatCode>
                <c:ptCount val="20"/>
                <c:pt idx="0" formatCode="0">
                  <c:v>14152</c:v>
                </c:pt>
                <c:pt idx="2">
                  <c:v>17042.16</c:v>
                </c:pt>
                <c:pt idx="3">
                  <c:v>17130</c:v>
                </c:pt>
                <c:pt idx="4">
                  <c:v>19246.16</c:v>
                </c:pt>
                <c:pt idx="5">
                  <c:v>24818.959999999999</c:v>
                </c:pt>
                <c:pt idx="6">
                  <c:v>17998.96</c:v>
                </c:pt>
                <c:pt idx="7" formatCode="0">
                  <c:v>24990</c:v>
                </c:pt>
                <c:pt idx="8">
                  <c:v>27236.16</c:v>
                </c:pt>
                <c:pt idx="9">
                  <c:v>27776.16</c:v>
                </c:pt>
                <c:pt idx="10">
                  <c:v>32164.16</c:v>
                </c:pt>
                <c:pt idx="11">
                  <c:v>23524.16</c:v>
                </c:pt>
                <c:pt idx="12" formatCode="0">
                  <c:v>28186.9</c:v>
                </c:pt>
                <c:pt idx="13" formatCode="0">
                  <c:v>25242</c:v>
                </c:pt>
                <c:pt idx="14" formatCode="0">
                  <c:v>39772.50432</c:v>
                </c:pt>
                <c:pt idx="15" formatCode="0">
                  <c:v>32442.54</c:v>
                </c:pt>
                <c:pt idx="16">
                  <c:v>35108.160000000003</c:v>
                </c:pt>
                <c:pt idx="17" formatCode="0">
                  <c:v>31768</c:v>
                </c:pt>
                <c:pt idx="18" formatCode="0">
                  <c:v>42731.405399999996</c:v>
                </c:pt>
                <c:pt idx="19" formatCode="0">
                  <c:v>57635.883360000007</c:v>
                </c:pt>
              </c:numCache>
            </c:numRef>
          </c:yVal>
          <c:smooth val="0"/>
          <c:extLst>
            <c:ext xmlns:c16="http://schemas.microsoft.com/office/drawing/2014/chart" uri="{C3380CC4-5D6E-409C-BE32-E72D297353CC}">
              <c16:uniqueId val="{00000006-0A3F-44A2-984E-79D8A3688DEB}"/>
            </c:ext>
          </c:extLst>
        </c:ser>
        <c:dLbls>
          <c:showLegendKey val="0"/>
          <c:showVal val="0"/>
          <c:showCatName val="0"/>
          <c:showSerName val="0"/>
          <c:showPercent val="0"/>
          <c:showBubbleSize val="0"/>
        </c:dLbls>
        <c:axId val="314067200"/>
        <c:axId val="314085760"/>
      </c:scatterChart>
      <c:valAx>
        <c:axId val="3140672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b="0"/>
                </a:pPr>
                <a:r>
                  <a:rPr lang="en-US" b="0"/>
                  <a:t>VFD System HP</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314085760"/>
        <c:crosses val="autoZero"/>
        <c:crossBetween val="midCat"/>
      </c:valAx>
      <c:valAx>
        <c:axId val="314085760"/>
        <c:scaling>
          <c:orientation val="minMax"/>
        </c:scaling>
        <c:delete val="0"/>
        <c:axPos val="l"/>
        <c:majorGridlines>
          <c:spPr>
            <a:ln w="9525" cap="flat" cmpd="sng" algn="ctr">
              <a:solidFill>
                <a:schemeClr val="tx1">
                  <a:lumMod val="15000"/>
                  <a:lumOff val="85000"/>
                </a:schemeClr>
              </a:solidFill>
              <a:round/>
            </a:ln>
            <a:effectLst/>
          </c:spPr>
        </c:majorGridlines>
        <c:numFmt formatCode="&quot;$&quot;#,##0" sourceLinked="0"/>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314067200"/>
        <c:crosses val="autoZero"/>
        <c:crossBetween val="midCat"/>
      </c:valAx>
      <c:spPr>
        <a:noFill/>
        <a:ln>
          <a:noFill/>
        </a:ln>
        <a:effectLst/>
      </c:spPr>
    </c:plotArea>
    <c:legend>
      <c:legendPos val="r"/>
      <c:legendEntry>
        <c:idx val="2"/>
        <c:delete val="1"/>
      </c:legendEntry>
      <c:legendEntry>
        <c:idx val="3"/>
        <c:delete val="1"/>
      </c:legendEntry>
      <c:legendEntry>
        <c:idx val="4"/>
        <c:delete val="1"/>
      </c:legendEntry>
      <c:legendEntry>
        <c:idx val="5"/>
        <c:delete val="1"/>
      </c:legendEntry>
      <c:legendEntry>
        <c:idx val="6"/>
        <c:delete val="1"/>
      </c:legendEntry>
      <c:layout>
        <c:manualLayout>
          <c:xMode val="edge"/>
          <c:yMode val="edge"/>
          <c:x val="6.9466515549192712E-2"/>
          <c:y val="0.85177685004139581"/>
          <c:w val="0.89997790901137353"/>
          <c:h val="0.14755882566646145"/>
        </c:manualLayout>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intercept val="0"/>
            <c:dispRSqr val="0"/>
            <c:dispEq val="1"/>
            <c:trendlineLbl>
              <c:layout>
                <c:manualLayout>
                  <c:x val="-0.15090530779231867"/>
                  <c:y val="3.8331132159509208E-2"/>
                </c:manualLayout>
              </c:layout>
              <c:numFmt formatCode="#,##0" sourceLinked="0"/>
              <c:spPr>
                <a:noFill/>
                <a:ln>
                  <a:noFill/>
                </a:ln>
                <a:effectLst/>
              </c:spPr>
              <c:txPr>
                <a:bodyPr rot="0" vert="horz"/>
                <a:lstStyle/>
                <a:p>
                  <a:pPr>
                    <a:defRPr/>
                  </a:pPr>
                  <a:endParaRPr lang="en-US"/>
                </a:p>
              </c:txPr>
            </c:trendlineLbl>
          </c:trendline>
          <c:xVal>
            <c:numRef>
              <c:f>'Unit costs'!$B$28:$B$37</c:f>
              <c:numCache>
                <c:formatCode>General</c:formatCode>
                <c:ptCount val="10"/>
                <c:pt idx="0">
                  <c:v>75</c:v>
                </c:pt>
                <c:pt idx="1">
                  <c:v>100</c:v>
                </c:pt>
                <c:pt idx="2">
                  <c:v>125</c:v>
                </c:pt>
                <c:pt idx="3">
                  <c:v>150</c:v>
                </c:pt>
                <c:pt idx="4">
                  <c:v>150</c:v>
                </c:pt>
                <c:pt idx="5">
                  <c:v>200</c:v>
                </c:pt>
                <c:pt idx="6">
                  <c:v>200</c:v>
                </c:pt>
                <c:pt idx="7">
                  <c:v>250</c:v>
                </c:pt>
                <c:pt idx="8">
                  <c:v>300</c:v>
                </c:pt>
                <c:pt idx="9">
                  <c:v>300</c:v>
                </c:pt>
              </c:numCache>
            </c:numRef>
          </c:xVal>
          <c:yVal>
            <c:numRef>
              <c:f>'Unit costs'!$E$28:$E$37</c:f>
              <c:numCache>
                <c:formatCode>0</c:formatCode>
                <c:ptCount val="10"/>
                <c:pt idx="0">
                  <c:v>432</c:v>
                </c:pt>
                <c:pt idx="1">
                  <c:v>540</c:v>
                </c:pt>
                <c:pt idx="2">
                  <c:v>712.80000000000007</c:v>
                </c:pt>
                <c:pt idx="3">
                  <c:v>1010.8800000000001</c:v>
                </c:pt>
                <c:pt idx="4">
                  <c:v>810</c:v>
                </c:pt>
                <c:pt idx="5">
                  <c:v>1179.3600000000001</c:v>
                </c:pt>
                <c:pt idx="6">
                  <c:v>918.00000000000011</c:v>
                </c:pt>
                <c:pt idx="7">
                  <c:v>1228.5</c:v>
                </c:pt>
                <c:pt idx="8">
                  <c:v>1242</c:v>
                </c:pt>
                <c:pt idx="9">
                  <c:v>1544.4</c:v>
                </c:pt>
              </c:numCache>
            </c:numRef>
          </c:yVal>
          <c:smooth val="0"/>
          <c:extLst>
            <c:ext xmlns:c16="http://schemas.microsoft.com/office/drawing/2014/chart" uri="{C3380CC4-5D6E-409C-BE32-E72D297353CC}">
              <c16:uniqueId val="{00000001-6B7C-4DC0-AFF4-74919B4CFCCD}"/>
            </c:ext>
          </c:extLst>
        </c:ser>
        <c:dLbls>
          <c:showLegendKey val="0"/>
          <c:showVal val="0"/>
          <c:showCatName val="0"/>
          <c:showSerName val="0"/>
          <c:showPercent val="0"/>
          <c:showBubbleSize val="0"/>
        </c:dLbls>
        <c:axId val="315147776"/>
        <c:axId val="315149696"/>
      </c:scatterChart>
      <c:valAx>
        <c:axId val="31514777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b="0"/>
                </a:pPr>
                <a:r>
                  <a:rPr lang="en-US" b="0"/>
                  <a:t>VFD System HP</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315149696"/>
        <c:crosses val="autoZero"/>
        <c:crossBetween val="midCat"/>
      </c:valAx>
      <c:valAx>
        <c:axId val="315149696"/>
        <c:scaling>
          <c:orientation val="minMax"/>
          <c:max val="1600"/>
          <c:min val="0"/>
        </c:scaling>
        <c:delete val="0"/>
        <c:axPos val="l"/>
        <c:majorGridlines>
          <c:spPr>
            <a:ln w="9525" cap="flat" cmpd="sng" algn="ctr">
              <a:solidFill>
                <a:schemeClr val="tx1">
                  <a:lumMod val="15000"/>
                  <a:lumOff val="85000"/>
                </a:schemeClr>
              </a:solidFill>
              <a:round/>
            </a:ln>
            <a:effectLst/>
          </c:spPr>
        </c:majorGridlines>
        <c:numFmt formatCode="&quot;$&quot;#,##0" sourceLinked="0"/>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31514777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D4CD3-2ACF-4098-94B8-2C438007E9FE}">
  <ds:schemaRefs>
    <ds:schemaRef ds:uri="http://schemas.microsoft.com/sharepoint/v3/contenttype/forms"/>
  </ds:schemaRefs>
</ds:datastoreItem>
</file>

<file path=customXml/itemProps2.xml><?xml version="1.0" encoding="utf-8"?>
<ds:datastoreItem xmlns:ds="http://schemas.openxmlformats.org/officeDocument/2006/customXml" ds:itemID="{CE338343-7439-47B4-9F3C-053AB8686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DE018B6-5B46-430B-80FF-DD57EFF9D9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8132EB-64FF-4D50-B51C-B4A88EEB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12</TotalTime>
  <Pages>17</Pages>
  <Words>4595</Words>
  <Characters>26192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Pacific Gas and Electric</Company>
  <LinksUpToDate>false</LinksUpToDate>
  <CharactersWithSpaces>30726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Rosillo Sr., Adan</cp:lastModifiedBy>
  <cp:revision>9</cp:revision>
  <cp:lastPrinted>2019-06-07T20:25:00Z</cp:lastPrinted>
  <dcterms:created xsi:type="dcterms:W3CDTF">2020-12-10T16:10:00Z</dcterms:created>
  <dcterms:modified xsi:type="dcterms:W3CDTF">2020-12-15T21:53:00Z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