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68222D5D" w:rsidR="00BD221D" w:rsidRPr="001A09C4" w:rsidRDefault="001A09C4" w:rsidP="00BD221D">
            <w:pPr>
              <w:pStyle w:val="eTRMHeading1"/>
              <w:jc w:val="center"/>
              <w:rPr>
                <w:sz w:val="28"/>
              </w:rPr>
            </w:pPr>
            <w:r>
              <w:rPr>
                <w:sz w:val="28"/>
              </w:rPr>
              <w:t>Service &amp; Domestic Hot Water</w:t>
            </w:r>
          </w:p>
          <w:p w14:paraId="4B7CA5B4" w14:textId="77777777" w:rsidR="00BD221D" w:rsidRPr="001A09C4" w:rsidRDefault="00463B80" w:rsidP="00B561EE">
            <w:pPr>
              <w:pStyle w:val="eTRMHeading2"/>
              <w:rPr>
                <w:color w:val="FFFFFF" w:themeColor="background1"/>
                <w:spacing w:val="60"/>
                <w:sz w:val="32"/>
              </w:rPr>
            </w:pPr>
            <w:r w:rsidRPr="001A09C4">
              <w:rPr>
                <w:color w:val="FFFFFF" w:themeColor="background1"/>
                <w:spacing w:val="60"/>
                <w:sz w:val="32"/>
              </w:rPr>
              <w:t>Diverting Tub Spout with TSV</w:t>
            </w:r>
          </w:p>
          <w:p w14:paraId="10BE1877" w14:textId="6DA79A34" w:rsidR="001A09C4" w:rsidRPr="001A09C4" w:rsidRDefault="001A09C4" w:rsidP="00B561EE">
            <w:pPr>
              <w:pStyle w:val="eTRMHeading2"/>
              <w:rPr>
                <w:color w:val="FFFFFF" w:themeColor="background1"/>
                <w:spacing w:val="0"/>
              </w:rPr>
            </w:pPr>
            <w:r w:rsidRPr="001A09C4">
              <w:rPr>
                <w:color w:val="FFFFFF" w:themeColor="background1"/>
                <w:spacing w:val="0"/>
                <w:sz w:val="28"/>
              </w:rPr>
              <w:t>SWWH023-01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31F91FE5" w14:textId="11328D31" w:rsidR="003C1018"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3C1018">
        <w:rPr>
          <w:noProof/>
        </w:rPr>
        <w:t>Measure Name</w:t>
      </w:r>
      <w:r w:rsidR="003C1018">
        <w:rPr>
          <w:noProof/>
        </w:rPr>
        <w:tab/>
      </w:r>
      <w:r w:rsidR="003C1018">
        <w:rPr>
          <w:noProof/>
        </w:rPr>
        <w:fldChar w:fldCharType="begin"/>
      </w:r>
      <w:r w:rsidR="003C1018">
        <w:rPr>
          <w:noProof/>
        </w:rPr>
        <w:instrText xml:space="preserve"> PAGEREF _Toc23509257 \h </w:instrText>
      </w:r>
      <w:r w:rsidR="003C1018">
        <w:rPr>
          <w:noProof/>
        </w:rPr>
      </w:r>
      <w:r w:rsidR="003C1018">
        <w:rPr>
          <w:noProof/>
        </w:rPr>
        <w:fldChar w:fldCharType="separate"/>
      </w:r>
      <w:r w:rsidR="00B774A4">
        <w:rPr>
          <w:noProof/>
        </w:rPr>
        <w:t>2</w:t>
      </w:r>
      <w:r w:rsidR="003C1018">
        <w:rPr>
          <w:noProof/>
        </w:rPr>
        <w:fldChar w:fldCharType="end"/>
      </w:r>
    </w:p>
    <w:p w14:paraId="3D49712E" w14:textId="72C232D4" w:rsidR="003C1018" w:rsidRDefault="003C1018">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_Toc23509258 \h </w:instrText>
      </w:r>
      <w:r>
        <w:rPr>
          <w:noProof/>
        </w:rPr>
      </w:r>
      <w:r>
        <w:rPr>
          <w:noProof/>
        </w:rPr>
        <w:fldChar w:fldCharType="separate"/>
      </w:r>
      <w:r w:rsidR="00B774A4">
        <w:rPr>
          <w:noProof/>
        </w:rPr>
        <w:t>2</w:t>
      </w:r>
      <w:r>
        <w:rPr>
          <w:noProof/>
        </w:rPr>
        <w:fldChar w:fldCharType="end"/>
      </w:r>
    </w:p>
    <w:p w14:paraId="4587B525" w14:textId="6810DC78" w:rsidR="003C1018" w:rsidRDefault="003C1018">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_Toc23509259 \h </w:instrText>
      </w:r>
      <w:r>
        <w:rPr>
          <w:noProof/>
        </w:rPr>
      </w:r>
      <w:r>
        <w:rPr>
          <w:noProof/>
        </w:rPr>
        <w:fldChar w:fldCharType="separate"/>
      </w:r>
      <w:r w:rsidR="00B774A4">
        <w:rPr>
          <w:noProof/>
        </w:rPr>
        <w:t>2</w:t>
      </w:r>
      <w:r>
        <w:rPr>
          <w:noProof/>
        </w:rPr>
        <w:fldChar w:fldCharType="end"/>
      </w:r>
    </w:p>
    <w:p w14:paraId="023D3891" w14:textId="57DC0B5C" w:rsidR="003C1018" w:rsidRDefault="003C1018">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_Toc23509260 \h </w:instrText>
      </w:r>
      <w:r>
        <w:rPr>
          <w:noProof/>
        </w:rPr>
      </w:r>
      <w:r>
        <w:rPr>
          <w:noProof/>
        </w:rPr>
        <w:fldChar w:fldCharType="separate"/>
      </w:r>
      <w:r w:rsidR="00B774A4">
        <w:rPr>
          <w:noProof/>
        </w:rPr>
        <w:t>4</w:t>
      </w:r>
      <w:r>
        <w:rPr>
          <w:noProof/>
        </w:rPr>
        <w:fldChar w:fldCharType="end"/>
      </w:r>
    </w:p>
    <w:p w14:paraId="01AFCA47" w14:textId="1109E5C7" w:rsidR="003C1018" w:rsidRDefault="003C1018">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_Toc23509261 \h </w:instrText>
      </w:r>
      <w:r>
        <w:rPr>
          <w:noProof/>
        </w:rPr>
      </w:r>
      <w:r>
        <w:rPr>
          <w:noProof/>
        </w:rPr>
        <w:fldChar w:fldCharType="separate"/>
      </w:r>
      <w:r w:rsidR="00B774A4">
        <w:rPr>
          <w:noProof/>
        </w:rPr>
        <w:t>4</w:t>
      </w:r>
      <w:r>
        <w:rPr>
          <w:noProof/>
        </w:rPr>
        <w:fldChar w:fldCharType="end"/>
      </w:r>
    </w:p>
    <w:p w14:paraId="4FEFB0BB" w14:textId="52BA9A8A" w:rsidR="003C1018" w:rsidRDefault="003C1018">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_Toc23509262 \h </w:instrText>
      </w:r>
      <w:r>
        <w:rPr>
          <w:noProof/>
        </w:rPr>
      </w:r>
      <w:r>
        <w:rPr>
          <w:noProof/>
        </w:rPr>
        <w:fldChar w:fldCharType="separate"/>
      </w:r>
      <w:r w:rsidR="00B774A4">
        <w:rPr>
          <w:noProof/>
        </w:rPr>
        <w:t>4</w:t>
      </w:r>
      <w:r>
        <w:rPr>
          <w:noProof/>
        </w:rPr>
        <w:fldChar w:fldCharType="end"/>
      </w:r>
    </w:p>
    <w:p w14:paraId="395BC37B" w14:textId="10E0DD23" w:rsidR="003C1018" w:rsidRDefault="003C1018">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_Toc23509263 \h </w:instrText>
      </w:r>
      <w:r>
        <w:rPr>
          <w:noProof/>
        </w:rPr>
      </w:r>
      <w:r>
        <w:rPr>
          <w:noProof/>
        </w:rPr>
        <w:fldChar w:fldCharType="separate"/>
      </w:r>
      <w:r w:rsidR="00B774A4">
        <w:rPr>
          <w:noProof/>
        </w:rPr>
        <w:t>5</w:t>
      </w:r>
      <w:r>
        <w:rPr>
          <w:noProof/>
        </w:rPr>
        <w:fldChar w:fldCharType="end"/>
      </w:r>
    </w:p>
    <w:p w14:paraId="106717CF" w14:textId="43831E38" w:rsidR="003C1018" w:rsidRDefault="003C1018">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_Toc23509264 \h </w:instrText>
      </w:r>
      <w:r>
        <w:rPr>
          <w:noProof/>
        </w:rPr>
      </w:r>
      <w:r>
        <w:rPr>
          <w:noProof/>
        </w:rPr>
        <w:fldChar w:fldCharType="separate"/>
      </w:r>
      <w:r w:rsidR="00B774A4">
        <w:rPr>
          <w:noProof/>
        </w:rPr>
        <w:t>5</w:t>
      </w:r>
      <w:r>
        <w:rPr>
          <w:noProof/>
        </w:rPr>
        <w:fldChar w:fldCharType="end"/>
      </w:r>
    </w:p>
    <w:p w14:paraId="5E0916AC" w14:textId="4B2344B8" w:rsidR="003C1018" w:rsidRDefault="003C1018">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_Toc23509265 \h </w:instrText>
      </w:r>
      <w:r>
        <w:rPr>
          <w:noProof/>
        </w:rPr>
      </w:r>
      <w:r>
        <w:rPr>
          <w:noProof/>
        </w:rPr>
        <w:fldChar w:fldCharType="separate"/>
      </w:r>
      <w:r w:rsidR="00B774A4">
        <w:rPr>
          <w:noProof/>
        </w:rPr>
        <w:t>6</w:t>
      </w:r>
      <w:r>
        <w:rPr>
          <w:noProof/>
        </w:rPr>
        <w:fldChar w:fldCharType="end"/>
      </w:r>
    </w:p>
    <w:p w14:paraId="1DB7A059" w14:textId="3CBFCB60" w:rsidR="003C1018" w:rsidRDefault="003C1018">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_Toc23509266 \h </w:instrText>
      </w:r>
      <w:r>
        <w:rPr>
          <w:noProof/>
        </w:rPr>
      </w:r>
      <w:r>
        <w:rPr>
          <w:noProof/>
        </w:rPr>
        <w:fldChar w:fldCharType="separate"/>
      </w:r>
      <w:r w:rsidR="00B774A4">
        <w:rPr>
          <w:noProof/>
        </w:rPr>
        <w:t>6</w:t>
      </w:r>
      <w:r>
        <w:rPr>
          <w:noProof/>
        </w:rPr>
        <w:fldChar w:fldCharType="end"/>
      </w:r>
    </w:p>
    <w:p w14:paraId="288F4456" w14:textId="3FF746D1" w:rsidR="003C1018" w:rsidRDefault="003C1018">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_Toc23509267 \h </w:instrText>
      </w:r>
      <w:r>
        <w:rPr>
          <w:noProof/>
        </w:rPr>
      </w:r>
      <w:r>
        <w:rPr>
          <w:noProof/>
        </w:rPr>
        <w:fldChar w:fldCharType="separate"/>
      </w:r>
      <w:r w:rsidR="00B774A4">
        <w:rPr>
          <w:noProof/>
        </w:rPr>
        <w:t>6</w:t>
      </w:r>
      <w:r>
        <w:rPr>
          <w:noProof/>
        </w:rPr>
        <w:fldChar w:fldCharType="end"/>
      </w:r>
    </w:p>
    <w:p w14:paraId="1B3D4E18" w14:textId="08D6781D" w:rsidR="003C1018" w:rsidRDefault="003C1018">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_Toc23509268 \h </w:instrText>
      </w:r>
      <w:r>
        <w:rPr>
          <w:noProof/>
        </w:rPr>
      </w:r>
      <w:r>
        <w:rPr>
          <w:noProof/>
        </w:rPr>
        <w:fldChar w:fldCharType="separate"/>
      </w:r>
      <w:r w:rsidR="00B774A4">
        <w:rPr>
          <w:noProof/>
        </w:rPr>
        <w:t>7</w:t>
      </w:r>
      <w:r>
        <w:rPr>
          <w:noProof/>
        </w:rPr>
        <w:fldChar w:fldCharType="end"/>
      </w:r>
    </w:p>
    <w:p w14:paraId="19E9A0B3" w14:textId="47C92FD7" w:rsidR="003C1018" w:rsidRDefault="003C1018">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_Toc23509269 \h </w:instrText>
      </w:r>
      <w:r>
        <w:rPr>
          <w:noProof/>
        </w:rPr>
      </w:r>
      <w:r>
        <w:rPr>
          <w:noProof/>
        </w:rPr>
        <w:fldChar w:fldCharType="separate"/>
      </w:r>
      <w:r w:rsidR="00B774A4">
        <w:rPr>
          <w:noProof/>
        </w:rPr>
        <w:t>7</w:t>
      </w:r>
      <w:r>
        <w:rPr>
          <w:noProof/>
        </w:rPr>
        <w:fldChar w:fldCharType="end"/>
      </w:r>
    </w:p>
    <w:p w14:paraId="32C6AC6C" w14:textId="1E4F65A7" w:rsidR="003C1018" w:rsidRDefault="003C1018">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_Toc23509270 \h </w:instrText>
      </w:r>
      <w:r>
        <w:rPr>
          <w:noProof/>
        </w:rPr>
      </w:r>
      <w:r>
        <w:rPr>
          <w:noProof/>
        </w:rPr>
        <w:fldChar w:fldCharType="separate"/>
      </w:r>
      <w:r w:rsidR="00B774A4">
        <w:rPr>
          <w:noProof/>
        </w:rPr>
        <w:t>8</w:t>
      </w:r>
      <w:r>
        <w:rPr>
          <w:noProof/>
        </w:rPr>
        <w:fldChar w:fldCharType="end"/>
      </w:r>
    </w:p>
    <w:p w14:paraId="0AD18A52" w14:textId="58020853" w:rsidR="003C1018" w:rsidRDefault="003C1018">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_Toc23509271 \h </w:instrText>
      </w:r>
      <w:r>
        <w:rPr>
          <w:noProof/>
        </w:rPr>
      </w:r>
      <w:r>
        <w:rPr>
          <w:noProof/>
        </w:rPr>
        <w:fldChar w:fldCharType="separate"/>
      </w:r>
      <w:r w:rsidR="00B774A4">
        <w:rPr>
          <w:noProof/>
        </w:rPr>
        <w:t>14</w:t>
      </w:r>
      <w:r>
        <w:rPr>
          <w:noProof/>
        </w:rPr>
        <w:fldChar w:fldCharType="end"/>
      </w:r>
    </w:p>
    <w:p w14:paraId="23B43286" w14:textId="48E62A59" w:rsidR="003C1018" w:rsidRDefault="003C1018">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_Toc23509272 \h </w:instrText>
      </w:r>
      <w:r>
        <w:rPr>
          <w:noProof/>
        </w:rPr>
      </w:r>
      <w:r>
        <w:rPr>
          <w:noProof/>
        </w:rPr>
        <w:fldChar w:fldCharType="separate"/>
      </w:r>
      <w:r w:rsidR="00B774A4">
        <w:rPr>
          <w:noProof/>
        </w:rPr>
        <w:t>15</w:t>
      </w:r>
      <w:r>
        <w:rPr>
          <w:noProof/>
        </w:rPr>
        <w:fldChar w:fldCharType="end"/>
      </w:r>
    </w:p>
    <w:p w14:paraId="53030423" w14:textId="54114EF1" w:rsidR="003C1018" w:rsidRDefault="003C1018">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_Toc23509273 \h </w:instrText>
      </w:r>
      <w:r>
        <w:rPr>
          <w:noProof/>
        </w:rPr>
      </w:r>
      <w:r>
        <w:rPr>
          <w:noProof/>
        </w:rPr>
        <w:fldChar w:fldCharType="separate"/>
      </w:r>
      <w:r w:rsidR="00B774A4">
        <w:rPr>
          <w:noProof/>
        </w:rPr>
        <w:t>15</w:t>
      </w:r>
      <w:r>
        <w:rPr>
          <w:noProof/>
        </w:rPr>
        <w:fldChar w:fldCharType="end"/>
      </w:r>
    </w:p>
    <w:p w14:paraId="35C29B2A" w14:textId="3E7EBBAD" w:rsidR="003C1018" w:rsidRDefault="003C1018">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_Toc23509274 \h </w:instrText>
      </w:r>
      <w:r>
        <w:rPr>
          <w:noProof/>
        </w:rPr>
      </w:r>
      <w:r>
        <w:rPr>
          <w:noProof/>
        </w:rPr>
        <w:fldChar w:fldCharType="separate"/>
      </w:r>
      <w:r w:rsidR="00B774A4">
        <w:rPr>
          <w:noProof/>
        </w:rPr>
        <w:t>15</w:t>
      </w:r>
      <w:r>
        <w:rPr>
          <w:noProof/>
        </w:rPr>
        <w:fldChar w:fldCharType="end"/>
      </w:r>
    </w:p>
    <w:p w14:paraId="05C77C0B" w14:textId="6033D27A" w:rsidR="003C1018" w:rsidRDefault="003C1018">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_Toc23509275 \h </w:instrText>
      </w:r>
      <w:r>
        <w:rPr>
          <w:noProof/>
        </w:rPr>
      </w:r>
      <w:r>
        <w:rPr>
          <w:noProof/>
        </w:rPr>
        <w:fldChar w:fldCharType="separate"/>
      </w:r>
      <w:r w:rsidR="00B774A4">
        <w:rPr>
          <w:noProof/>
        </w:rPr>
        <w:t>16</w:t>
      </w:r>
      <w:r>
        <w:rPr>
          <w:noProof/>
        </w:rPr>
        <w:fldChar w:fldCharType="end"/>
      </w:r>
    </w:p>
    <w:p w14:paraId="50EE670B" w14:textId="1238983E" w:rsidR="003C1018" w:rsidRDefault="003C1018">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_Toc23509276 \h </w:instrText>
      </w:r>
      <w:r>
        <w:rPr>
          <w:noProof/>
        </w:rPr>
      </w:r>
      <w:r>
        <w:rPr>
          <w:noProof/>
        </w:rPr>
        <w:fldChar w:fldCharType="separate"/>
      </w:r>
      <w:r w:rsidR="00B774A4">
        <w:rPr>
          <w:noProof/>
        </w:rPr>
        <w:t>16</w:t>
      </w:r>
      <w:r>
        <w:rPr>
          <w:noProof/>
        </w:rPr>
        <w:fldChar w:fldCharType="end"/>
      </w:r>
    </w:p>
    <w:p w14:paraId="64F401E9" w14:textId="3781ABD9" w:rsidR="003C1018" w:rsidRDefault="003C1018">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_Toc23509277 \h </w:instrText>
      </w:r>
      <w:r>
        <w:rPr>
          <w:noProof/>
        </w:rPr>
      </w:r>
      <w:r>
        <w:rPr>
          <w:noProof/>
        </w:rPr>
        <w:fldChar w:fldCharType="separate"/>
      </w:r>
      <w:r w:rsidR="00B774A4">
        <w:rPr>
          <w:noProof/>
        </w:rPr>
        <w:t>16</w:t>
      </w:r>
      <w:r>
        <w:rPr>
          <w:noProof/>
        </w:rPr>
        <w:fldChar w:fldCharType="end"/>
      </w:r>
    </w:p>
    <w:p w14:paraId="7FFA3D94" w14:textId="1CFA11C5" w:rsidR="003C1018" w:rsidRDefault="003C1018">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_Toc23509278 \h </w:instrText>
      </w:r>
      <w:r>
        <w:rPr>
          <w:noProof/>
        </w:rPr>
      </w:r>
      <w:r>
        <w:rPr>
          <w:noProof/>
        </w:rPr>
        <w:fldChar w:fldCharType="separate"/>
      </w:r>
      <w:r w:rsidR="00B774A4">
        <w:rPr>
          <w:noProof/>
        </w:rPr>
        <w:t>16</w:t>
      </w:r>
      <w:r>
        <w:rPr>
          <w:noProof/>
        </w:rPr>
        <w:fldChar w:fldCharType="end"/>
      </w:r>
    </w:p>
    <w:p w14:paraId="3E195339" w14:textId="4CED5817" w:rsidR="003C1018" w:rsidRDefault="003C1018">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_Toc23509279 \h </w:instrText>
      </w:r>
      <w:r>
        <w:rPr>
          <w:noProof/>
        </w:rPr>
      </w:r>
      <w:r>
        <w:rPr>
          <w:noProof/>
        </w:rPr>
        <w:fldChar w:fldCharType="separate"/>
      </w:r>
      <w:r w:rsidR="00B774A4">
        <w:rPr>
          <w:noProof/>
        </w:rPr>
        <w:t>17</w:t>
      </w:r>
      <w:r>
        <w:rPr>
          <w:noProof/>
        </w:rPr>
        <w:fldChar w:fldCharType="end"/>
      </w:r>
    </w:p>
    <w:p w14:paraId="6C9A804E" w14:textId="21EDB71C" w:rsidR="003C1018" w:rsidRDefault="003C1018">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_Toc23509280 \h </w:instrText>
      </w:r>
      <w:r>
        <w:rPr>
          <w:noProof/>
        </w:rPr>
      </w:r>
      <w:r>
        <w:rPr>
          <w:noProof/>
        </w:rPr>
        <w:fldChar w:fldCharType="separate"/>
      </w:r>
      <w:r w:rsidR="00B774A4">
        <w:rPr>
          <w:noProof/>
        </w:rPr>
        <w:t>17</w:t>
      </w:r>
      <w:r>
        <w:rPr>
          <w:noProof/>
        </w:rPr>
        <w:fldChar w:fldCharType="end"/>
      </w:r>
    </w:p>
    <w:p w14:paraId="4C194BAF" w14:textId="742E5ED6" w:rsidR="001C6C9B" w:rsidRPr="00D12B8C" w:rsidRDefault="001C6C9B" w:rsidP="003B00AE">
      <w:pPr>
        <w:pStyle w:val="TOC3"/>
      </w:pPr>
      <w:r>
        <w:fldChar w:fldCharType="end"/>
      </w:r>
    </w:p>
    <w:p w14:paraId="7DD78D3A" w14:textId="77777777" w:rsidR="007E1F66" w:rsidRDefault="007E1F66" w:rsidP="00462BB6">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462BB6">
      <w:pPr>
        <w:pStyle w:val="eTRMHeading3"/>
        <w:spacing w:before="20" w:after="20"/>
      </w:pPr>
      <w:bookmarkStart w:id="0" w:name="_Toc486490839"/>
      <w:bookmarkStart w:id="1" w:name="_Toc486580912"/>
      <w:bookmarkStart w:id="2" w:name="_Toc23509257"/>
      <w:r w:rsidRPr="007E1F66">
        <w:lastRenderedPageBreak/>
        <w:t>Measure Name</w:t>
      </w:r>
      <w:bookmarkEnd w:id="0"/>
      <w:bookmarkEnd w:id="1"/>
      <w:bookmarkEnd w:id="2"/>
    </w:p>
    <w:p w14:paraId="3B952704" w14:textId="0FBD3707" w:rsidR="00871123" w:rsidRDefault="00463B80" w:rsidP="00462BB6">
      <w:pPr>
        <w:spacing w:before="20" w:after="20" w:line="280" w:lineRule="exact"/>
      </w:pPr>
      <w:r>
        <w:t xml:space="preserve">Diverting Tub Spout with Thermostatic Shut-off Valve </w:t>
      </w:r>
      <w:r w:rsidR="001A09C4">
        <w:t>(TSV)</w:t>
      </w:r>
    </w:p>
    <w:p w14:paraId="4EAED972" w14:textId="77777777" w:rsidR="00871123" w:rsidRPr="00401C43" w:rsidRDefault="00871123" w:rsidP="00462BB6">
      <w:pPr>
        <w:spacing w:before="20" w:after="20" w:line="280" w:lineRule="exact"/>
      </w:pPr>
    </w:p>
    <w:p w14:paraId="6406A9D4" w14:textId="77777777" w:rsidR="00871123" w:rsidRPr="00074E3E" w:rsidRDefault="00871123" w:rsidP="00462BB6">
      <w:pPr>
        <w:pStyle w:val="eTRMHeading3"/>
        <w:spacing w:before="20" w:after="20"/>
      </w:pPr>
      <w:bookmarkStart w:id="3" w:name="_Toc486490840"/>
      <w:bookmarkStart w:id="4" w:name="_Toc486580913"/>
      <w:bookmarkStart w:id="5" w:name="_Toc23509258"/>
      <w:r>
        <w:t>Statewide Measure ID</w:t>
      </w:r>
      <w:bookmarkEnd w:id="3"/>
      <w:bookmarkEnd w:id="4"/>
      <w:bookmarkEnd w:id="5"/>
    </w:p>
    <w:p w14:paraId="6EAE2100" w14:textId="2985D697" w:rsidR="00871123" w:rsidRDefault="001A09C4" w:rsidP="001A09C4">
      <w:r>
        <w:t>SWWH023-01</w:t>
      </w:r>
    </w:p>
    <w:p w14:paraId="7BB80880" w14:textId="3F5AD8E7" w:rsidR="00E14349" w:rsidRDefault="00E14349" w:rsidP="001A09C4"/>
    <w:p w14:paraId="0F7CA2E6" w14:textId="090B90A8" w:rsidR="00E70CBD" w:rsidRPr="00154391" w:rsidRDefault="00E70CBD" w:rsidP="00462BB6">
      <w:pPr>
        <w:pStyle w:val="eTRMHeading3"/>
      </w:pPr>
      <w:bookmarkStart w:id="6" w:name="_Toc486490847"/>
      <w:bookmarkStart w:id="7" w:name="_Toc486580918"/>
      <w:bookmarkStart w:id="8" w:name="_Toc23509259"/>
      <w:r w:rsidRPr="00154391">
        <w:t>Technology Summary</w:t>
      </w:r>
      <w:bookmarkEnd w:id="6"/>
      <w:bookmarkEnd w:id="7"/>
      <w:bookmarkEnd w:id="8"/>
      <w:r w:rsidRPr="00154391">
        <w:t xml:space="preserve"> </w:t>
      </w:r>
    </w:p>
    <w:p w14:paraId="432BCDF1" w14:textId="7977D300" w:rsidR="00BA5D2D" w:rsidRDefault="00273D2D" w:rsidP="005B4ACE">
      <w:r>
        <w:t>C</w:t>
      </w:r>
      <w:r w:rsidR="00516812">
        <w:t>onsumer</w:t>
      </w:r>
      <w:r w:rsidR="00803C0A">
        <w:t xml:space="preserve"> </w:t>
      </w:r>
      <w:r>
        <w:t xml:space="preserve">behavior </w:t>
      </w:r>
      <w:r w:rsidR="00803C0A">
        <w:t xml:space="preserve">is a significant </w:t>
      </w:r>
      <w:r w:rsidR="00185689">
        <w:t>driver</w:t>
      </w:r>
      <w:r w:rsidR="00803C0A">
        <w:t xml:space="preserve"> of water and energy waste due to shower warm-ups and leaky tub spouts.</w:t>
      </w:r>
      <w:r w:rsidR="00516812" w:rsidRPr="00516812">
        <w:rPr>
          <w:rStyle w:val="FootnoteReference"/>
        </w:rPr>
        <w:t xml:space="preserve"> </w:t>
      </w:r>
      <w:r w:rsidR="00516812">
        <w:rPr>
          <w:rStyle w:val="FootnoteReference"/>
        </w:rPr>
        <w:footnoteReference w:id="1"/>
      </w:r>
      <w:r w:rsidR="00516812">
        <w:t xml:space="preserve"> </w:t>
      </w:r>
      <w:r w:rsidR="00524425">
        <w:t>An</w:t>
      </w:r>
      <w:r w:rsidR="00803C0A" w:rsidRPr="004F540D">
        <w:t xml:space="preserve"> </w:t>
      </w:r>
      <w:r w:rsidR="00524425">
        <w:t>a</w:t>
      </w:r>
      <w:r w:rsidR="00803C0A" w:rsidRPr="004F540D">
        <w:t xml:space="preserve">uto-diverting </w:t>
      </w:r>
      <w:r w:rsidR="00524425">
        <w:t>tub spout</w:t>
      </w:r>
      <w:r w:rsidR="00803C0A" w:rsidRPr="004F540D">
        <w:t xml:space="preserve"> </w:t>
      </w:r>
      <w:r w:rsidR="00803C0A">
        <w:t xml:space="preserve">(ADTS) </w:t>
      </w:r>
      <w:r w:rsidR="00803C0A" w:rsidRPr="004F540D">
        <w:t xml:space="preserve">with </w:t>
      </w:r>
      <w:r w:rsidR="00524425">
        <w:t xml:space="preserve">a </w:t>
      </w:r>
      <w:r w:rsidR="00803C0A" w:rsidRPr="004F540D">
        <w:t xml:space="preserve">thermostatic shut-off valve </w:t>
      </w:r>
      <w:r w:rsidR="00803C0A">
        <w:t xml:space="preserve">(TSV) </w:t>
      </w:r>
      <w:r w:rsidR="00524425">
        <w:t>is a replacement for</w:t>
      </w:r>
      <w:r w:rsidR="00803C0A">
        <w:t xml:space="preserve"> tub spouts and showerheads in </w:t>
      </w:r>
      <w:r w:rsidR="00185689">
        <w:t>residential dwellings</w:t>
      </w:r>
      <w:r w:rsidR="00803C0A">
        <w:t xml:space="preserve"> with </w:t>
      </w:r>
      <w:r w:rsidR="00185689">
        <w:t xml:space="preserve">a </w:t>
      </w:r>
      <w:r w:rsidR="00803C0A">
        <w:t xml:space="preserve">shower-bathtub </w:t>
      </w:r>
      <w:r w:rsidR="00524425">
        <w:t>combination</w:t>
      </w:r>
      <w:r w:rsidR="00803C0A">
        <w:t xml:space="preserve">. </w:t>
      </w:r>
      <w:r w:rsidR="005B4ACE" w:rsidRPr="00BD2073">
        <w:t xml:space="preserve">The ATDS with </w:t>
      </w:r>
      <w:r w:rsidR="00BD2073" w:rsidRPr="00BD2073">
        <w:t xml:space="preserve">a </w:t>
      </w:r>
      <w:r w:rsidR="005B4ACE" w:rsidRPr="00BD2073">
        <w:t xml:space="preserve">TSV </w:t>
      </w:r>
      <w:r w:rsidR="00BD2073" w:rsidRPr="00BD2073">
        <w:t>reduces</w:t>
      </w:r>
      <w:r w:rsidR="005B4ACE" w:rsidRPr="00BD2073">
        <w:t xml:space="preserve"> structural waste,</w:t>
      </w:r>
      <w:r w:rsidR="005B4ACE" w:rsidRPr="007E0580">
        <w:t xml:space="preserve"> </w:t>
      </w:r>
      <w:r w:rsidR="005B4ACE" w:rsidRPr="003B00AE">
        <w:t>diminish</w:t>
      </w:r>
      <w:r w:rsidR="00BD2073" w:rsidRPr="003B00AE">
        <w:t>es</w:t>
      </w:r>
      <w:r w:rsidR="005B4ACE" w:rsidRPr="003B00AE">
        <w:t xml:space="preserve"> behavioral waste</w:t>
      </w:r>
      <w:bookmarkStart w:id="9" w:name="_Ref446331635"/>
      <w:r w:rsidR="00516812">
        <w:t>,</w:t>
      </w:r>
      <w:r w:rsidR="00BD2073" w:rsidRPr="003B00AE">
        <w:rPr>
          <w:rStyle w:val="FootnoteReference"/>
        </w:rPr>
        <w:footnoteReference w:id="2"/>
      </w:r>
      <w:bookmarkEnd w:id="9"/>
      <w:r w:rsidR="005B4ACE" w:rsidRPr="003B00AE">
        <w:t xml:space="preserve"> stop</w:t>
      </w:r>
      <w:r w:rsidR="00BD2073" w:rsidRPr="003B00AE">
        <w:t>s</w:t>
      </w:r>
      <w:r w:rsidR="005B4ACE" w:rsidRPr="003B00AE">
        <w:t xml:space="preserve"> tub spout leak</w:t>
      </w:r>
      <w:r w:rsidR="00524425">
        <w:t>age</w:t>
      </w:r>
      <w:r w:rsidR="00BD2073" w:rsidRPr="003B00AE">
        <w:t>,</w:t>
      </w:r>
      <w:r w:rsidR="00BD2073" w:rsidRPr="003B00AE">
        <w:rPr>
          <w:rStyle w:val="FootnoteReference"/>
        </w:rPr>
        <w:footnoteReference w:id="3"/>
      </w:r>
      <w:r w:rsidR="005B4ACE" w:rsidRPr="003B00AE">
        <w:t xml:space="preserve"> and </w:t>
      </w:r>
      <w:r w:rsidR="00BD2073" w:rsidRPr="003B00AE">
        <w:t>reduces</w:t>
      </w:r>
      <w:r w:rsidR="005B4ACE" w:rsidRPr="003B00AE">
        <w:t xml:space="preserve"> the showerhead flow rate to</w:t>
      </w:r>
      <w:r w:rsidR="005B4ACE">
        <w:t xml:space="preserve"> 1.5 gpm. </w:t>
      </w:r>
    </w:p>
    <w:p w14:paraId="11A2E0E2" w14:textId="67C9A0B5" w:rsidR="005B4ACE" w:rsidRDefault="0081135E" w:rsidP="005B4ACE">
      <w:r>
        <w:rPr>
          <w:noProof/>
        </w:rPr>
        <w:drawing>
          <wp:anchor distT="0" distB="0" distL="114300" distR="114300" simplePos="0" relativeHeight="251658240" behindDoc="0" locked="0" layoutInCell="1" allowOverlap="1" wp14:anchorId="7A388863" wp14:editId="225928B9">
            <wp:simplePos x="0" y="0"/>
            <wp:positionH relativeFrom="margin">
              <wp:align>right</wp:align>
            </wp:positionH>
            <wp:positionV relativeFrom="paragraph">
              <wp:posOffset>-287020</wp:posOffset>
            </wp:positionV>
            <wp:extent cx="3128645" cy="413258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28645" cy="4132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B4ACE" w:rsidRPr="007E0580">
        <w:t xml:space="preserve">These benefits are realized </w:t>
      </w:r>
      <w:r w:rsidR="00185689">
        <w:t>with</w:t>
      </w:r>
      <w:r w:rsidR="005B4ACE" w:rsidRPr="007E0580">
        <w:t xml:space="preserve"> a flow</w:t>
      </w:r>
      <w:r w:rsidR="005B4ACE">
        <w:t xml:space="preserve"> diverter and TSV within the tub spout</w:t>
      </w:r>
      <w:r w:rsidR="005B4ACE" w:rsidRPr="007E0580">
        <w:t xml:space="preserve"> that detects </w:t>
      </w:r>
      <w:r w:rsidR="005B4ACE">
        <w:t xml:space="preserve">when water reaches </w:t>
      </w:r>
      <w:r w:rsidR="005B4ACE" w:rsidRPr="007E0580">
        <w:t>95</w:t>
      </w:r>
      <w:r w:rsidR="00BD2073">
        <w:t xml:space="preserve"> </w:t>
      </w:r>
      <w:r w:rsidR="005B4ACE">
        <w:t>°F</w:t>
      </w:r>
      <w:r w:rsidR="005B4ACE" w:rsidRPr="007E0580">
        <w:t>. The technology purges the cold water in the shower pipin</w:t>
      </w:r>
      <w:r w:rsidR="005B4ACE">
        <w:t xml:space="preserve">g through the spout causing faster </w:t>
      </w:r>
      <w:r w:rsidR="005B4ACE" w:rsidRPr="007E0580">
        <w:t>hot water</w:t>
      </w:r>
      <w:r w:rsidR="005B4ACE">
        <w:t xml:space="preserve"> arrival water with less water (structural waste)</w:t>
      </w:r>
      <w:r w:rsidR="00BD2073">
        <w:t>.</w:t>
      </w:r>
      <w:r w:rsidR="005B4ACE" w:rsidRPr="007E0580">
        <w:t xml:space="preserve"> Once the hot water arrives, the diverter changes the flow direction to the showerhead</w:t>
      </w:r>
      <w:r w:rsidR="005B4ACE">
        <w:t xml:space="preserve"> where the water flow is reduced to a trickle with no tub spout leak</w:t>
      </w:r>
      <w:r w:rsidR="005B4ACE" w:rsidRPr="007E0580">
        <w:t xml:space="preserve">. </w:t>
      </w:r>
      <w:r w:rsidR="00185689">
        <w:t>T</w:t>
      </w:r>
      <w:r w:rsidR="005B4ACE" w:rsidRPr="007E0580">
        <w:t xml:space="preserve">he user </w:t>
      </w:r>
      <w:r w:rsidR="00185689">
        <w:t xml:space="preserve">then </w:t>
      </w:r>
      <w:r w:rsidR="005B4ACE" w:rsidRPr="007E0580">
        <w:t>pulls the lanyard on the showerhead to open the valve and allow normal water flow.</w:t>
      </w:r>
      <w:r w:rsidR="005B4ACE">
        <w:t xml:space="preserve"> </w:t>
      </w:r>
    </w:p>
    <w:p w14:paraId="33735D96" w14:textId="3C2ADE82" w:rsidR="00D55362" w:rsidRDefault="00D55362" w:rsidP="00BA5D2D">
      <w:pPr>
        <w:keepNext/>
        <w:keepLines/>
      </w:pPr>
      <w:r>
        <w:lastRenderedPageBreak/>
        <w:t>Studies pertinent to the analysis of this technology include:</w:t>
      </w:r>
    </w:p>
    <w:p w14:paraId="4DA4CD2F" w14:textId="50DE174B" w:rsidR="00D55362" w:rsidRDefault="00D55362" w:rsidP="00BA5D2D">
      <w:pPr>
        <w:keepNext/>
        <w:keepLines/>
      </w:pPr>
      <w:bookmarkStart w:id="10" w:name="_Toc448135872"/>
      <w:r w:rsidRPr="00977BE2">
        <w:rPr>
          <w:b/>
        </w:rPr>
        <w:t xml:space="preserve">Disaggregating Residential Shower Warm‐Up Waste. </w:t>
      </w:r>
      <w:bookmarkEnd w:id="10"/>
      <w:r w:rsidRPr="00977BE2">
        <w:rPr>
          <w:b/>
        </w:rPr>
        <w:t xml:space="preserve"> An Understanding and Quantification of Behavioral Waste Based On Data from Lawrence Berkeley National Lab</w:t>
      </w:r>
      <w:r w:rsidR="00977BE2" w:rsidRPr="00977BE2">
        <w:rPr>
          <w:b/>
        </w:rPr>
        <w:t xml:space="preserve"> (Sherman, 2014)</w:t>
      </w:r>
      <w:r w:rsidRPr="00977BE2">
        <w:rPr>
          <w:b/>
        </w:rPr>
        <w:t>.</w:t>
      </w:r>
      <w:r w:rsidRPr="00977BE2">
        <w:rPr>
          <w:rStyle w:val="FootnoteReference"/>
          <w:b/>
        </w:rPr>
        <w:footnoteReference w:id="4"/>
      </w:r>
      <w:r w:rsidR="00977BE2">
        <w:t xml:space="preserve"> This study quantifies structural waste and behavioral waste time frames due to shower warm-ups in single family homes from survey data collected from 1,057 single family residents and 19 homes monitored throughout California The data and findings from this study help</w:t>
      </w:r>
      <w:r w:rsidR="00DE0BD6">
        <w:t>ed to</w:t>
      </w:r>
      <w:r w:rsidR="00977BE2">
        <w:t xml:space="preserve"> establish the </w:t>
      </w:r>
      <w:r w:rsidR="00DE0BD6">
        <w:t>baseline</w:t>
      </w:r>
      <w:r w:rsidR="00977BE2">
        <w:t xml:space="preserve"> consumption and water savings.</w:t>
      </w:r>
      <w:r w:rsidR="00977BE2" w:rsidRPr="00977BE2">
        <w:t xml:space="preserve"> </w:t>
      </w:r>
      <w:r w:rsidR="00977BE2" w:rsidRPr="00F619CC">
        <w:t xml:space="preserve">The </w:t>
      </w:r>
      <w:r w:rsidR="00185689" w:rsidRPr="00F619CC">
        <w:t xml:space="preserve">average </w:t>
      </w:r>
      <w:r w:rsidR="00977BE2" w:rsidRPr="00F619CC">
        <w:t xml:space="preserve">flow rate of the dedicated showers and tub/shower </w:t>
      </w:r>
      <w:r w:rsidR="00185689">
        <w:t>combinations</w:t>
      </w:r>
      <w:r w:rsidR="00977BE2" w:rsidRPr="00F619CC">
        <w:t xml:space="preserve"> </w:t>
      </w:r>
      <w:r w:rsidR="00185689">
        <w:t>documented</w:t>
      </w:r>
      <w:r w:rsidR="00977BE2" w:rsidRPr="00F619CC">
        <w:t xml:space="preserve"> in the study was 1.79 gpm. </w:t>
      </w:r>
      <w:r w:rsidR="00185689">
        <w:t>This</w:t>
      </w:r>
      <w:r w:rsidR="00977BE2" w:rsidRPr="00F619CC">
        <w:t xml:space="preserve"> lower</w:t>
      </w:r>
      <w:r w:rsidR="00185689">
        <w:t>-than-</w:t>
      </w:r>
      <w:r w:rsidR="00977BE2" w:rsidRPr="00F619CC">
        <w:t>average flow rate indicate</w:t>
      </w:r>
      <w:r w:rsidR="00185689">
        <w:t>s</w:t>
      </w:r>
      <w:r w:rsidR="00977BE2" w:rsidRPr="00F619CC">
        <w:t xml:space="preserve"> the study participants </w:t>
      </w:r>
      <w:r w:rsidR="00185689">
        <w:t xml:space="preserve">were </w:t>
      </w:r>
      <w:r w:rsidR="00977BE2" w:rsidRPr="00F619CC">
        <w:t>likely</w:t>
      </w:r>
      <w:r w:rsidR="00185689">
        <w:t xml:space="preserve"> to be</w:t>
      </w:r>
      <w:r w:rsidR="00977BE2" w:rsidRPr="00F619CC">
        <w:t xml:space="preserve"> more conservation oriented than average and, as a result, could be producing less total warm‐up waste than </w:t>
      </w:r>
      <w:r w:rsidR="00185689">
        <w:t xml:space="preserve">a </w:t>
      </w:r>
      <w:r w:rsidR="00977BE2" w:rsidRPr="00F619CC">
        <w:t>typica</w:t>
      </w:r>
      <w:r w:rsidR="00185689">
        <w:t xml:space="preserve"> househo</w:t>
      </w:r>
      <w:r w:rsidR="00977BE2" w:rsidRPr="00F619CC">
        <w:t>l</w:t>
      </w:r>
      <w:r w:rsidR="00185689">
        <w:t>d</w:t>
      </w:r>
      <w:r w:rsidR="00977BE2" w:rsidRPr="00F619CC">
        <w:t>.</w:t>
      </w:r>
      <w:r w:rsidR="00977BE2">
        <w:t xml:space="preserve"> </w:t>
      </w:r>
      <w:r w:rsidR="00185689">
        <w:t>This study did not include</w:t>
      </w:r>
      <w:r w:rsidR="00977BE2">
        <w:t xml:space="preserve"> multifamily </w:t>
      </w:r>
      <w:r w:rsidR="006E0236">
        <w:t>residences but</w:t>
      </w:r>
      <w:r w:rsidR="00977BE2">
        <w:t xml:space="preserve"> is used in </w:t>
      </w:r>
      <w:r w:rsidR="003B00AE">
        <w:t>this measure analysis</w:t>
      </w:r>
      <w:r w:rsidR="00977BE2">
        <w:t xml:space="preserve"> as best available data.</w:t>
      </w:r>
    </w:p>
    <w:p w14:paraId="3EF16EEE" w14:textId="2FC8A6E7" w:rsidR="00D55362" w:rsidRDefault="00D55362" w:rsidP="00D55362">
      <w:bookmarkStart w:id="11" w:name="_Toc448135873"/>
      <w:r w:rsidRPr="00D55362">
        <w:rPr>
          <w:b/>
        </w:rPr>
        <w:t>Evaluation of Potential Best Management Practices – Residential Hot Water Distribution (Koeller</w:t>
      </w:r>
      <w:r w:rsidR="003A7776">
        <w:rPr>
          <w:b/>
        </w:rPr>
        <w:t>,</w:t>
      </w:r>
      <w:r w:rsidRPr="00D55362">
        <w:rPr>
          <w:b/>
        </w:rPr>
        <w:t xml:space="preserve"> 2007)</w:t>
      </w:r>
      <w:bookmarkEnd w:id="11"/>
      <w:r w:rsidRPr="00D55362">
        <w:rPr>
          <w:b/>
        </w:rPr>
        <w:t>.</w:t>
      </w:r>
      <w:r>
        <w:rPr>
          <w:rStyle w:val="FootnoteReference"/>
          <w:b/>
        </w:rPr>
        <w:footnoteReference w:id="5"/>
      </w:r>
      <w:r>
        <w:rPr>
          <w:rFonts w:asciiTheme="minorHAnsi" w:hAnsiTheme="minorHAnsi"/>
        </w:rPr>
        <w:t xml:space="preserve"> </w:t>
      </w:r>
      <w:r w:rsidR="00F84FCE" w:rsidRPr="00F84FCE">
        <w:t>This study presents a</w:t>
      </w:r>
      <w:r w:rsidRPr="00F84FCE">
        <w:t>n analysis of the waste of water that occurs in a typical household between the</w:t>
      </w:r>
      <w:r>
        <w:t xml:space="preserve"> times the tap/fixture is turned </w:t>
      </w:r>
      <w:r w:rsidR="00C76010">
        <w:t>ON</w:t>
      </w:r>
      <w:r>
        <w:t xml:space="preserve"> and</w:t>
      </w:r>
      <w:r w:rsidR="00C76010">
        <w:t xml:space="preserve"> the</w:t>
      </w:r>
      <w:r>
        <w:t xml:space="preserve"> desired hot water arrives</w:t>
      </w:r>
      <w:r w:rsidR="00C76010">
        <w:t xml:space="preserve"> at the fixture outlet</w:t>
      </w:r>
      <w:r>
        <w:t xml:space="preserve">. </w:t>
      </w:r>
      <w:r w:rsidR="00F84FCE">
        <w:t>In a laboratory setting, t</w:t>
      </w:r>
      <w:r>
        <w:t>his study quantifie</w:t>
      </w:r>
      <w:r w:rsidR="00F84FCE">
        <w:t>d</w:t>
      </w:r>
      <w:r>
        <w:t xml:space="preserve"> structural waste in terms of water in pipe (100 ft. of pipe</w:t>
      </w:r>
      <w:r w:rsidR="00F84FCE">
        <w:t>) and determined the relationship between</w:t>
      </w:r>
      <w:r>
        <w:t xml:space="preserve"> flow rate </w:t>
      </w:r>
      <w:r w:rsidR="00F84FCE">
        <w:t xml:space="preserve">and </w:t>
      </w:r>
      <w:r>
        <w:t>structural waste.</w:t>
      </w:r>
    </w:p>
    <w:p w14:paraId="5C00B918" w14:textId="7ED32911" w:rsidR="00D55362" w:rsidRDefault="00D55362" w:rsidP="00F84FCE">
      <w:bookmarkStart w:id="12" w:name="_Toc448135874"/>
      <w:r w:rsidRPr="00F84FCE">
        <w:rPr>
          <w:b/>
        </w:rPr>
        <w:t>Taitem Tech Tip – Leaking Shower Diverters (Taitem</w:t>
      </w:r>
      <w:r w:rsidR="003A7776">
        <w:rPr>
          <w:b/>
        </w:rPr>
        <w:t>,</w:t>
      </w:r>
      <w:r w:rsidRPr="00F84FCE">
        <w:rPr>
          <w:b/>
        </w:rPr>
        <w:t xml:space="preserve"> 2011)</w:t>
      </w:r>
      <w:bookmarkEnd w:id="12"/>
      <w:r w:rsidR="00F84FCE" w:rsidRPr="00F84FCE">
        <w:rPr>
          <w:b/>
        </w:rPr>
        <w:t>.</w:t>
      </w:r>
      <w:r w:rsidR="003A7776">
        <w:rPr>
          <w:rStyle w:val="FootnoteReference"/>
          <w:b/>
        </w:rPr>
        <w:footnoteReference w:id="6"/>
      </w:r>
      <w:r w:rsidR="00F84FCE">
        <w:rPr>
          <w:rFonts w:asciiTheme="minorHAnsi" w:hAnsiTheme="minorHAnsi"/>
        </w:rPr>
        <w:t xml:space="preserve"> </w:t>
      </w:r>
      <w:r w:rsidR="00F84FCE">
        <w:t xml:space="preserve">This study summarized research on leaking shower diverters in single family and multifamily homes. Analysis of survey </w:t>
      </w:r>
      <w:r w:rsidR="00C76010">
        <w:t xml:space="preserve">data collected from </w:t>
      </w:r>
      <w:r w:rsidR="00F84FCE">
        <w:t xml:space="preserve">130 apartment and houses </w:t>
      </w:r>
      <w:r w:rsidR="00C76010">
        <w:t>that represented</w:t>
      </w:r>
      <w:r w:rsidR="00F84FCE">
        <w:t xml:space="preserve"> 120 bath/shower combinations with diverters</w:t>
      </w:r>
      <w:r w:rsidR="00F84FCE" w:rsidRPr="00F84FCE">
        <w:t xml:space="preserve"> </w:t>
      </w:r>
      <w:r w:rsidR="00F84FCE">
        <w:t xml:space="preserve">revealed </w:t>
      </w:r>
      <w:r w:rsidR="00C76010">
        <w:t xml:space="preserve">that </w:t>
      </w:r>
      <w:r w:rsidR="00F84FCE">
        <w:t xml:space="preserve">34% of the diverters leaked more than 0.1 gallons per minute (gpm) with the average at 0.8 gpm.  </w:t>
      </w:r>
    </w:p>
    <w:p w14:paraId="50F4007E" w14:textId="4653A6A0" w:rsidR="00D55362" w:rsidRDefault="00D55362" w:rsidP="00D55362">
      <w:bookmarkStart w:id="13" w:name="_Toc448135875"/>
      <w:r w:rsidRPr="00F84FCE">
        <w:rPr>
          <w:b/>
        </w:rPr>
        <w:t>Residential End Uses of Water (</w:t>
      </w:r>
      <w:r w:rsidR="00F84FCE" w:rsidRPr="00F84FCE">
        <w:rPr>
          <w:b/>
        </w:rPr>
        <w:t>Aquacraft, Inc.,</w:t>
      </w:r>
      <w:r w:rsidRPr="00F84FCE">
        <w:rPr>
          <w:b/>
        </w:rPr>
        <w:t xml:space="preserve"> </w:t>
      </w:r>
      <w:r w:rsidR="00126433">
        <w:rPr>
          <w:b/>
        </w:rPr>
        <w:t>1999</w:t>
      </w:r>
      <w:r w:rsidRPr="00F84FCE">
        <w:rPr>
          <w:b/>
        </w:rPr>
        <w:t>)</w:t>
      </w:r>
      <w:bookmarkEnd w:id="13"/>
      <w:r w:rsidR="00F84FCE" w:rsidRPr="00F84FCE">
        <w:rPr>
          <w:b/>
        </w:rPr>
        <w:t>.</w:t>
      </w:r>
      <w:r w:rsidR="003A7776">
        <w:rPr>
          <w:rStyle w:val="FootnoteReference"/>
          <w:b/>
        </w:rPr>
        <w:footnoteReference w:id="7"/>
      </w:r>
      <w:r w:rsidR="00F84FCE">
        <w:t xml:space="preserve"> </w:t>
      </w:r>
      <w:r w:rsidR="00C76010">
        <w:t>This s</w:t>
      </w:r>
      <w:r>
        <w:t xml:space="preserve">tudy </w:t>
      </w:r>
      <w:r w:rsidR="00C76010">
        <w:t xml:space="preserve">was </w:t>
      </w:r>
      <w:r>
        <w:t xml:space="preserve">designed to provide specific data on the end uses of water in single-family </w:t>
      </w:r>
      <w:r w:rsidR="00C76010">
        <w:t>residences</w:t>
      </w:r>
      <w:r>
        <w:t xml:space="preserve"> </w:t>
      </w:r>
      <w:r w:rsidR="00C76010">
        <w:t>throughout the U.S</w:t>
      </w:r>
      <w:r>
        <w:t>.</w:t>
      </w:r>
      <w:r w:rsidR="00F84FCE" w:rsidRPr="00F84FCE">
        <w:t xml:space="preserve"> </w:t>
      </w:r>
      <w:r w:rsidR="00F84FCE">
        <w:t xml:space="preserve">The analysis calculated a mean shower volume of 17.2 gallons from survey data from 5,000 single family households and a detailed end-use data of 1,200 single family households. </w:t>
      </w:r>
      <w:r w:rsidR="00F84FCE" w:rsidRPr="00F84FCE">
        <w:t xml:space="preserve"> </w:t>
      </w:r>
    </w:p>
    <w:p w14:paraId="53F12D3A" w14:textId="048EF4C5" w:rsidR="00D55362" w:rsidRDefault="00D55362" w:rsidP="00F84FCE">
      <w:bookmarkStart w:id="14" w:name="_Toc448135876"/>
      <w:r w:rsidRPr="00F84FCE">
        <w:rPr>
          <w:b/>
        </w:rPr>
        <w:t>S</w:t>
      </w:r>
      <w:r w:rsidR="002E0550">
        <w:rPr>
          <w:b/>
        </w:rPr>
        <w:t>empra Energy Utilities (S</w:t>
      </w:r>
      <w:r w:rsidRPr="00F84FCE">
        <w:rPr>
          <w:b/>
        </w:rPr>
        <w:t>EU</w:t>
      </w:r>
      <w:r w:rsidR="002E0550">
        <w:rPr>
          <w:b/>
        </w:rPr>
        <w:t>)</w:t>
      </w:r>
      <w:r w:rsidRPr="00F84FCE">
        <w:rPr>
          <w:b/>
        </w:rPr>
        <w:t xml:space="preserve"> Survey (ASW</w:t>
      </w:r>
      <w:r w:rsidR="003A7776">
        <w:rPr>
          <w:b/>
        </w:rPr>
        <w:t>,</w:t>
      </w:r>
      <w:r w:rsidRPr="00F84FCE">
        <w:rPr>
          <w:b/>
        </w:rPr>
        <w:t xml:space="preserve"> 2009)</w:t>
      </w:r>
      <w:bookmarkEnd w:id="14"/>
      <w:r w:rsidR="00F84FCE" w:rsidRPr="00F84FCE">
        <w:rPr>
          <w:b/>
        </w:rPr>
        <w:t>.</w:t>
      </w:r>
      <w:r w:rsidR="003A7776">
        <w:rPr>
          <w:rStyle w:val="FootnoteReference"/>
          <w:b/>
        </w:rPr>
        <w:footnoteReference w:id="8"/>
      </w:r>
      <w:r w:rsidR="00F84FCE">
        <w:rPr>
          <w:rFonts w:asciiTheme="minorHAnsi" w:hAnsiTheme="minorHAnsi"/>
        </w:rPr>
        <w:t xml:space="preserve"> </w:t>
      </w:r>
      <w:r w:rsidR="00F84FCE" w:rsidRPr="00F84FCE">
        <w:t>The analysis of d</w:t>
      </w:r>
      <w:r w:rsidRPr="00F84FCE">
        <w:t>ata from</w:t>
      </w:r>
      <w:r w:rsidRPr="00543395">
        <w:t xml:space="preserve"> various residential water measurements and </w:t>
      </w:r>
      <w:r w:rsidR="00F84FCE">
        <w:t xml:space="preserve">a </w:t>
      </w:r>
      <w:r w:rsidRPr="00543395">
        <w:t xml:space="preserve">household questionnaire </w:t>
      </w:r>
      <w:r w:rsidR="00F84FCE">
        <w:t>representing 249 households revealed the mean number of showerheads in a single-family household is 2.01 and the pre-existing showerheads flow rate is 2.25 gpm.</w:t>
      </w:r>
    </w:p>
    <w:p w14:paraId="5EC1D70F" w14:textId="310F81A1" w:rsidR="00D55362" w:rsidRDefault="00D55362" w:rsidP="00D55362">
      <w:bookmarkStart w:id="15" w:name="_Toc448135877"/>
      <w:r w:rsidRPr="00977BE2">
        <w:rPr>
          <w:b/>
        </w:rPr>
        <w:t>The End Use of Hot Water in Single Family Homes from Flow Trace Analysis (Aquacraft</w:t>
      </w:r>
      <w:r w:rsidR="003A7776">
        <w:rPr>
          <w:b/>
        </w:rPr>
        <w:t>, Inc.,</w:t>
      </w:r>
      <w:r w:rsidRPr="00977BE2">
        <w:rPr>
          <w:b/>
        </w:rPr>
        <w:t xml:space="preserve"> 2000)</w:t>
      </w:r>
      <w:bookmarkEnd w:id="15"/>
      <w:r w:rsidR="00F84FCE" w:rsidRPr="00977BE2">
        <w:rPr>
          <w:b/>
        </w:rPr>
        <w:t>.</w:t>
      </w:r>
      <w:r w:rsidR="003A7776">
        <w:rPr>
          <w:rStyle w:val="FootnoteReference"/>
          <w:b/>
        </w:rPr>
        <w:footnoteReference w:id="9"/>
      </w:r>
      <w:r w:rsidR="00F84FCE">
        <w:t xml:space="preserve"> </w:t>
      </w:r>
      <w:r w:rsidR="00977BE2" w:rsidRPr="00CE5617">
        <w:t>Water trace data from ten single family homes in Sea</w:t>
      </w:r>
      <w:r w:rsidR="00977BE2">
        <w:t xml:space="preserve">ttle </w:t>
      </w:r>
      <w:r w:rsidR="00C76010">
        <w:t>reveal a</w:t>
      </w:r>
      <w:r w:rsidR="00977BE2" w:rsidRPr="00CE5617">
        <w:t xml:space="preserve"> mean shower duration </w:t>
      </w:r>
      <w:r w:rsidR="00C76010">
        <w:t>equal to</w:t>
      </w:r>
      <w:r w:rsidR="00977BE2" w:rsidRPr="00CE5617">
        <w:t xml:space="preserve"> 7.4 </w:t>
      </w:r>
      <w:r w:rsidR="00977BE2" w:rsidRPr="00CE5617">
        <w:lastRenderedPageBreak/>
        <w:t>minutes. Another measurement study of residential end use of water by AWWA Research Foundation shows the similar data,</w:t>
      </w:r>
      <w:r w:rsidR="00466A5D">
        <w:rPr>
          <w:rStyle w:val="FootnoteReference"/>
        </w:rPr>
        <w:footnoteReference w:id="10"/>
      </w:r>
      <w:r w:rsidR="00977BE2" w:rsidRPr="00CE5617">
        <w:t xml:space="preserve"> a median of 7.2 minutes and a mean </w:t>
      </w:r>
      <w:r w:rsidR="00C76010">
        <w:t xml:space="preserve">shower duration of </w:t>
      </w:r>
      <w:r w:rsidR="00977BE2" w:rsidRPr="00CE5617">
        <w:t xml:space="preserve">of 8.2 minutes. </w:t>
      </w:r>
      <w:r w:rsidR="00C76010">
        <w:t>The s</w:t>
      </w:r>
      <w:r w:rsidR="00977BE2" w:rsidRPr="00CE5617">
        <w:t xml:space="preserve">hower duration of 7.4 minutes, along with other assumptions </w:t>
      </w:r>
      <w:r w:rsidR="00466A5D">
        <w:t>for</w:t>
      </w:r>
      <w:r w:rsidR="00977BE2" w:rsidRPr="00CE5617">
        <w:t xml:space="preserve"> this </w:t>
      </w:r>
      <w:r w:rsidR="00977BE2">
        <w:t>measure analysis</w:t>
      </w:r>
      <w:r w:rsidR="00977BE2" w:rsidRPr="00CE5617">
        <w:t xml:space="preserve">, </w:t>
      </w:r>
      <w:r w:rsidR="00C76010">
        <w:t xml:space="preserve">provides a </w:t>
      </w:r>
      <w:r w:rsidR="00977BE2" w:rsidRPr="00CE5617">
        <w:t>realistic baseline shower water consumption that is equivalent to about 33% of the total domestic hot water consumption</w:t>
      </w:r>
      <w:r w:rsidR="00A34B16">
        <w:t>.</w:t>
      </w:r>
    </w:p>
    <w:p w14:paraId="4D644047" w14:textId="77777777" w:rsidR="00D55362" w:rsidRDefault="00D55362" w:rsidP="00D55362"/>
    <w:p w14:paraId="5AF18021" w14:textId="77777777" w:rsidR="007D230B" w:rsidRPr="004B06E3" w:rsidRDefault="007D230B" w:rsidP="00462BB6">
      <w:pPr>
        <w:pStyle w:val="eTRMHeading3"/>
      </w:pPr>
      <w:bookmarkStart w:id="16" w:name="_Toc486490848"/>
      <w:bookmarkStart w:id="17" w:name="_Toc486580919"/>
      <w:bookmarkStart w:id="18" w:name="_Toc23509260"/>
      <w:r w:rsidRPr="004B06E3">
        <w:t>Measure Case Description</w:t>
      </w:r>
      <w:bookmarkEnd w:id="16"/>
      <w:bookmarkEnd w:id="17"/>
      <w:bookmarkEnd w:id="18"/>
    </w:p>
    <w:p w14:paraId="4EB64780" w14:textId="77777777" w:rsidR="00745D0A" w:rsidRDefault="006B1492" w:rsidP="00DE339F">
      <w:pPr>
        <w:rPr>
          <w:rFonts w:cs="Arial"/>
          <w:szCs w:val="20"/>
        </w:rPr>
      </w:pPr>
      <w:r>
        <w:rPr>
          <w:rFonts w:cs="Arial"/>
          <w:szCs w:val="20"/>
        </w:rPr>
        <w:t>The measure case is defined as an a</w:t>
      </w:r>
      <w:r w:rsidR="008E7C7F">
        <w:rPr>
          <w:rFonts w:cs="Arial"/>
          <w:szCs w:val="20"/>
        </w:rPr>
        <w:t>uto-diverting t</w:t>
      </w:r>
      <w:r w:rsidR="008E7C7F" w:rsidRPr="00CC6654">
        <w:rPr>
          <w:rFonts w:cs="Arial"/>
          <w:szCs w:val="20"/>
        </w:rPr>
        <w:t xml:space="preserve">ub </w:t>
      </w:r>
      <w:r w:rsidR="008E7C7F">
        <w:rPr>
          <w:rFonts w:cs="Arial"/>
          <w:szCs w:val="20"/>
        </w:rPr>
        <w:t>s</w:t>
      </w:r>
      <w:r w:rsidR="008E7C7F" w:rsidRPr="00CC6654">
        <w:rPr>
          <w:rFonts w:cs="Arial"/>
          <w:szCs w:val="20"/>
        </w:rPr>
        <w:t>pout</w:t>
      </w:r>
      <w:r w:rsidR="00745D0A">
        <w:rPr>
          <w:rFonts w:cs="Arial"/>
          <w:szCs w:val="20"/>
        </w:rPr>
        <w:t xml:space="preserve"> (ADTS)</w:t>
      </w:r>
      <w:r w:rsidR="008E7C7F">
        <w:rPr>
          <w:rFonts w:cs="Arial"/>
          <w:szCs w:val="20"/>
        </w:rPr>
        <w:t xml:space="preserve"> (5.0 gpm)</w:t>
      </w:r>
      <w:r w:rsidR="008E7C7F" w:rsidRPr="00CC6654">
        <w:rPr>
          <w:rFonts w:cs="Arial"/>
          <w:szCs w:val="20"/>
        </w:rPr>
        <w:t xml:space="preserve"> with </w:t>
      </w:r>
      <w:r>
        <w:rPr>
          <w:rFonts w:cs="Arial"/>
          <w:szCs w:val="20"/>
        </w:rPr>
        <w:t xml:space="preserve">a </w:t>
      </w:r>
      <w:r w:rsidR="008E7C7F" w:rsidRPr="00CC6654">
        <w:rPr>
          <w:rFonts w:cs="Arial"/>
          <w:szCs w:val="20"/>
        </w:rPr>
        <w:t>thermostatic shut-off valve</w:t>
      </w:r>
      <w:r w:rsidR="008E7C7F">
        <w:rPr>
          <w:rFonts w:cs="Arial"/>
          <w:szCs w:val="20"/>
        </w:rPr>
        <w:t xml:space="preserve"> </w:t>
      </w:r>
      <w:r>
        <w:rPr>
          <w:rFonts w:cs="Arial"/>
          <w:szCs w:val="20"/>
        </w:rPr>
        <w:t xml:space="preserve">(TSV) that </w:t>
      </w:r>
      <w:r w:rsidR="008E7C7F">
        <w:rPr>
          <w:rFonts w:cs="Arial"/>
          <w:szCs w:val="20"/>
        </w:rPr>
        <w:t>purges cold water through tub spout until the water raises to 95</w:t>
      </w:r>
      <w:r w:rsidR="008E7C7F">
        <w:rPr>
          <w:rFonts w:ascii="Calibri" w:hAnsi="Calibri" w:cs="Arial"/>
          <w:szCs w:val="20"/>
        </w:rPr>
        <w:t>°</w:t>
      </w:r>
      <w:r w:rsidR="008E7C7F">
        <w:rPr>
          <w:rFonts w:cs="Arial"/>
          <w:szCs w:val="20"/>
        </w:rPr>
        <w:t xml:space="preserve"> F. The water is then diverted to the showerhead at a trickle until full flow (1.5 gpm) is activated via the pull cord.</w:t>
      </w:r>
      <w:r>
        <w:rPr>
          <w:rFonts w:cs="Arial"/>
          <w:szCs w:val="20"/>
        </w:rPr>
        <w:t xml:space="preserve"> </w:t>
      </w:r>
    </w:p>
    <w:p w14:paraId="027C2465" w14:textId="3C441F63" w:rsidR="00994F74" w:rsidRDefault="00803C0A" w:rsidP="00DE339F">
      <w:pPr>
        <w:rPr>
          <w:rFonts w:cs="Arial"/>
          <w:szCs w:val="20"/>
        </w:rPr>
      </w:pPr>
      <w:r>
        <w:rPr>
          <w:rFonts w:cs="Arial"/>
          <w:szCs w:val="20"/>
        </w:rPr>
        <w:t>Measure offerings</w:t>
      </w:r>
      <w:r w:rsidR="00745D0A">
        <w:rPr>
          <w:rFonts w:cs="Arial"/>
          <w:szCs w:val="20"/>
        </w:rPr>
        <w:t>, and therefore measure impacts,</w:t>
      </w:r>
      <w:r>
        <w:rPr>
          <w:rFonts w:cs="Arial"/>
          <w:szCs w:val="20"/>
        </w:rPr>
        <w:t xml:space="preserve"> are defined by water heating fuel type (electric or gas) and residence type (single family, multifamily/double-wide mobile home).</w:t>
      </w:r>
    </w:p>
    <w:p w14:paraId="0305018B" w14:textId="7786B6AC" w:rsidR="00BD2073" w:rsidRDefault="00A36966" w:rsidP="00DE339F">
      <w:r>
        <w:t>Savings for installations in a double-wide m</w:t>
      </w:r>
      <w:r w:rsidR="00523A43" w:rsidRPr="00523A43">
        <w:t xml:space="preserve">obile home </w:t>
      </w:r>
      <w:r>
        <w:t>residence</w:t>
      </w:r>
      <w:r w:rsidR="00523A43" w:rsidRPr="00523A43">
        <w:t xml:space="preserve"> are assumed to equal </w:t>
      </w:r>
      <w:r>
        <w:t xml:space="preserve">the </w:t>
      </w:r>
      <w:r w:rsidR="00081E6E">
        <w:t xml:space="preserve">savings derived for installation in a </w:t>
      </w:r>
      <w:r w:rsidR="00523A43" w:rsidRPr="00523A43">
        <w:t xml:space="preserve">multifamily </w:t>
      </w:r>
      <w:r w:rsidR="00081E6E">
        <w:t>residence and</w:t>
      </w:r>
      <w:r w:rsidR="00523A43" w:rsidRPr="00523A43">
        <w:t xml:space="preserve"> will not have a separate energy impact profile.</w:t>
      </w:r>
    </w:p>
    <w:p w14:paraId="5FC72364" w14:textId="77777777" w:rsidR="00523A43" w:rsidRPr="004B06E3" w:rsidRDefault="00523A43" w:rsidP="00DE339F"/>
    <w:p w14:paraId="54FD79D6" w14:textId="77777777" w:rsidR="00E70CBD" w:rsidRPr="00171BB8" w:rsidRDefault="00E70CBD" w:rsidP="00462BB6">
      <w:pPr>
        <w:pStyle w:val="eTRMHeading3"/>
      </w:pPr>
      <w:bookmarkStart w:id="19" w:name="_Toc486490849"/>
      <w:bookmarkStart w:id="20" w:name="_Toc486580920"/>
      <w:bookmarkStart w:id="21" w:name="_Toc23509261"/>
      <w:r w:rsidRPr="004B06E3">
        <w:t>Base Case Description</w:t>
      </w:r>
      <w:bookmarkEnd w:id="19"/>
      <w:bookmarkEnd w:id="20"/>
      <w:bookmarkEnd w:id="21"/>
      <w:r w:rsidRPr="00171BB8">
        <w:t xml:space="preserve"> </w:t>
      </w:r>
    </w:p>
    <w:p w14:paraId="59FF0594" w14:textId="6E06B436" w:rsidR="006B1492" w:rsidRDefault="006B1492" w:rsidP="006B1492">
      <w:r>
        <w:t>The base case is defined as a 5.0 gpm tub spout with either a 2.0 gpm or a 1.8 gpm showerhead combination.</w:t>
      </w:r>
    </w:p>
    <w:p w14:paraId="07761B4D" w14:textId="2948BF41" w:rsidR="00803C0A" w:rsidRDefault="00803C0A" w:rsidP="00803C0A">
      <w:r w:rsidRPr="00803C0A">
        <w:rPr>
          <w:i/>
        </w:rPr>
        <w:t>New construction and normal replacement installations</w:t>
      </w:r>
      <w:r>
        <w:t xml:space="preserve"> will </w:t>
      </w:r>
      <w:r w:rsidR="00466A5D">
        <w:t>utilize the</w:t>
      </w:r>
      <w:r>
        <w:t xml:space="preserve"> code baseline from 2016 (2.0 gpm showerhead). </w:t>
      </w:r>
      <w:r w:rsidRPr="00803C0A">
        <w:rPr>
          <w:i/>
        </w:rPr>
        <w:t>Accelerated replacement installations</w:t>
      </w:r>
      <w:r>
        <w:t xml:space="preserve"> will use code baseline from 2018 (1.8 gpm showerhead, due to the remaining useful life</w:t>
      </w:r>
      <w:r w:rsidR="00466A5D">
        <w:t>, RUL,</w:t>
      </w:r>
      <w:r>
        <w:t xml:space="preserve"> of three years).</w:t>
      </w:r>
    </w:p>
    <w:p w14:paraId="3C48C49C" w14:textId="77777777" w:rsidR="00803C0A" w:rsidRPr="00920905" w:rsidRDefault="00803C0A" w:rsidP="00803C0A">
      <w:pPr>
        <w:pStyle w:val="Caption"/>
      </w:pPr>
      <w:bookmarkStart w:id="22" w:name="_Toc448135894"/>
      <w:r w:rsidRPr="00920905">
        <w:t>Base, Standard, and Measure Cases</w:t>
      </w:r>
      <w:bookmarkEnd w:id="22"/>
    </w:p>
    <w:tbl>
      <w:tblPr>
        <w:tblStyle w:val="TableGrid1"/>
        <w:tblW w:w="457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27"/>
        <w:gridCol w:w="6119"/>
      </w:tblGrid>
      <w:tr w:rsidR="00803C0A" w:rsidRPr="00800706" w14:paraId="3DF21219" w14:textId="77777777" w:rsidTr="00803C0A">
        <w:trPr>
          <w:trHeight w:val="20"/>
        </w:trPr>
        <w:tc>
          <w:tcPr>
            <w:tcW w:w="1420" w:type="pct"/>
            <w:shd w:val="clear" w:color="auto" w:fill="F2F2F2" w:themeFill="background1" w:themeFillShade="F2"/>
          </w:tcPr>
          <w:p w14:paraId="4EAB5D21" w14:textId="77777777" w:rsidR="00803C0A" w:rsidRPr="00803C0A" w:rsidRDefault="00803C0A" w:rsidP="00586A76">
            <w:pPr>
              <w:pStyle w:val="Reminders"/>
              <w:tabs>
                <w:tab w:val="num" w:pos="360"/>
              </w:tabs>
              <w:spacing w:before="0" w:after="0"/>
              <w:rPr>
                <w:rFonts w:ascii="Calibri Light" w:hAnsi="Calibri Light" w:cs="Calibri Light"/>
                <w:b/>
                <w:i w:val="0"/>
                <w:color w:val="auto"/>
                <w:sz w:val="20"/>
              </w:rPr>
            </w:pPr>
            <w:r w:rsidRPr="00803C0A">
              <w:rPr>
                <w:rFonts w:ascii="Calibri Light" w:hAnsi="Calibri Light" w:cs="Calibri Light"/>
                <w:b/>
                <w:i w:val="0"/>
                <w:color w:val="auto"/>
                <w:sz w:val="20"/>
              </w:rPr>
              <w:t>Case</w:t>
            </w:r>
          </w:p>
        </w:tc>
        <w:tc>
          <w:tcPr>
            <w:tcW w:w="3580" w:type="pct"/>
            <w:shd w:val="clear" w:color="auto" w:fill="F2F2F2" w:themeFill="background1" w:themeFillShade="F2"/>
          </w:tcPr>
          <w:p w14:paraId="1F208745" w14:textId="77777777" w:rsidR="00803C0A" w:rsidRPr="00803C0A" w:rsidRDefault="00803C0A" w:rsidP="00586A76">
            <w:pPr>
              <w:pStyle w:val="Reminders"/>
              <w:tabs>
                <w:tab w:val="num" w:pos="360"/>
              </w:tabs>
              <w:spacing w:before="0" w:after="0"/>
              <w:rPr>
                <w:rFonts w:ascii="Calibri Light" w:hAnsi="Calibri Light" w:cs="Calibri Light"/>
                <w:b/>
                <w:i w:val="0"/>
                <w:color w:val="auto"/>
                <w:sz w:val="20"/>
              </w:rPr>
            </w:pPr>
            <w:r w:rsidRPr="00803C0A">
              <w:rPr>
                <w:rFonts w:ascii="Calibri Light" w:hAnsi="Calibri Light" w:cs="Calibri Light"/>
                <w:b/>
                <w:i w:val="0"/>
                <w:color w:val="auto"/>
                <w:sz w:val="20"/>
              </w:rPr>
              <w:t>Description of Typical Scenario</w:t>
            </w:r>
          </w:p>
        </w:tc>
      </w:tr>
      <w:tr w:rsidR="00803C0A" w:rsidRPr="00800706" w14:paraId="5A96D5FD" w14:textId="77777777" w:rsidTr="00803C0A">
        <w:trPr>
          <w:trHeight w:val="20"/>
        </w:trPr>
        <w:tc>
          <w:tcPr>
            <w:tcW w:w="1420" w:type="pct"/>
          </w:tcPr>
          <w:p w14:paraId="0AAD0D1F" w14:textId="77777777" w:rsidR="00803C0A" w:rsidRPr="00803C0A" w:rsidRDefault="00803C0A" w:rsidP="00586A76">
            <w:pPr>
              <w:pStyle w:val="Reminders"/>
              <w:tabs>
                <w:tab w:val="num" w:pos="360"/>
              </w:tabs>
              <w:spacing w:before="0" w:after="0"/>
              <w:rPr>
                <w:rFonts w:ascii="Calibri Light" w:hAnsi="Calibri Light" w:cs="Calibri Light"/>
                <w:i w:val="0"/>
                <w:color w:val="auto"/>
                <w:sz w:val="20"/>
                <w:szCs w:val="22"/>
              </w:rPr>
            </w:pPr>
            <w:r w:rsidRPr="00803C0A">
              <w:rPr>
                <w:rFonts w:ascii="Calibri Light" w:hAnsi="Calibri Light" w:cs="Calibri Light"/>
                <w:i w:val="0"/>
                <w:color w:val="auto"/>
                <w:sz w:val="20"/>
              </w:rPr>
              <w:t>Measure</w:t>
            </w:r>
          </w:p>
        </w:tc>
        <w:tc>
          <w:tcPr>
            <w:tcW w:w="3580" w:type="pct"/>
          </w:tcPr>
          <w:p w14:paraId="2BDD0F0B" w14:textId="6660E6C0" w:rsidR="00803C0A" w:rsidRPr="00803C0A" w:rsidRDefault="00803C0A" w:rsidP="00586A76">
            <w:pPr>
              <w:pStyle w:val="Reminders"/>
              <w:tabs>
                <w:tab w:val="num" w:pos="360"/>
              </w:tabs>
              <w:spacing w:before="0" w:after="0"/>
              <w:rPr>
                <w:rFonts w:ascii="Calibri Light" w:hAnsi="Calibri Light" w:cs="Calibri Light"/>
                <w:i w:val="0"/>
                <w:color w:val="auto"/>
                <w:sz w:val="20"/>
              </w:rPr>
            </w:pPr>
            <w:r w:rsidRPr="00803C0A">
              <w:rPr>
                <w:rFonts w:ascii="Calibri Light" w:hAnsi="Calibri Light" w:cs="Calibri Light"/>
                <w:i w:val="0"/>
                <w:color w:val="auto"/>
                <w:sz w:val="20"/>
              </w:rPr>
              <w:t xml:space="preserve">Auto-diverting Tub Spout (5.0 gpm) with </w:t>
            </w:r>
            <w:r>
              <w:rPr>
                <w:rFonts w:ascii="Calibri Light" w:hAnsi="Calibri Light" w:cs="Calibri Light"/>
                <w:i w:val="0"/>
                <w:color w:val="auto"/>
                <w:sz w:val="20"/>
              </w:rPr>
              <w:t>TSV</w:t>
            </w:r>
            <w:r w:rsidRPr="00803C0A">
              <w:rPr>
                <w:rFonts w:ascii="Calibri Light" w:hAnsi="Calibri Light" w:cs="Calibri Light"/>
                <w:i w:val="0"/>
                <w:color w:val="auto"/>
                <w:sz w:val="20"/>
              </w:rPr>
              <w:t xml:space="preserve"> and 1.5 gpm showerhead</w:t>
            </w:r>
          </w:p>
        </w:tc>
      </w:tr>
      <w:tr w:rsidR="00803C0A" w:rsidRPr="00800706" w14:paraId="41748BB7" w14:textId="77777777" w:rsidTr="00803C0A">
        <w:trPr>
          <w:trHeight w:val="20"/>
        </w:trPr>
        <w:tc>
          <w:tcPr>
            <w:tcW w:w="1420" w:type="pct"/>
          </w:tcPr>
          <w:p w14:paraId="679C1F34" w14:textId="77777777" w:rsidR="00803C0A" w:rsidRPr="00803C0A" w:rsidRDefault="00803C0A" w:rsidP="00586A76">
            <w:pPr>
              <w:pStyle w:val="Reminders"/>
              <w:tabs>
                <w:tab w:val="num" w:pos="360"/>
              </w:tabs>
              <w:spacing w:before="0" w:after="0"/>
              <w:rPr>
                <w:rFonts w:ascii="Calibri Light" w:hAnsi="Calibri Light" w:cs="Calibri Light"/>
                <w:i w:val="0"/>
                <w:color w:val="auto"/>
                <w:sz w:val="20"/>
                <w:szCs w:val="22"/>
              </w:rPr>
            </w:pPr>
            <w:r w:rsidRPr="00803C0A">
              <w:rPr>
                <w:rFonts w:ascii="Calibri Light" w:hAnsi="Calibri Light" w:cs="Calibri Light"/>
                <w:i w:val="0"/>
                <w:color w:val="auto"/>
                <w:sz w:val="20"/>
              </w:rPr>
              <w:t>Existing Condition</w:t>
            </w:r>
          </w:p>
        </w:tc>
        <w:tc>
          <w:tcPr>
            <w:tcW w:w="3580" w:type="pct"/>
          </w:tcPr>
          <w:p w14:paraId="6B65F4FD" w14:textId="77777777" w:rsidR="00803C0A" w:rsidRPr="00803C0A" w:rsidRDefault="00803C0A" w:rsidP="00586A76">
            <w:pPr>
              <w:pStyle w:val="Reminders"/>
              <w:tabs>
                <w:tab w:val="num" w:pos="360"/>
              </w:tabs>
              <w:spacing w:before="0" w:after="0"/>
              <w:rPr>
                <w:rFonts w:ascii="Calibri Light" w:hAnsi="Calibri Light" w:cs="Calibri Light"/>
                <w:i w:val="0"/>
                <w:color w:val="auto"/>
                <w:sz w:val="20"/>
              </w:rPr>
            </w:pPr>
            <w:r w:rsidRPr="00803C0A">
              <w:rPr>
                <w:rFonts w:ascii="Calibri Light" w:hAnsi="Calibri Light" w:cs="Calibri Light"/>
                <w:i w:val="0"/>
                <w:color w:val="auto"/>
                <w:sz w:val="20"/>
              </w:rPr>
              <w:t>5.0 gpm tub spout with a 2.25 gpm showerhead</w:t>
            </w:r>
          </w:p>
        </w:tc>
      </w:tr>
      <w:tr w:rsidR="00803C0A" w:rsidRPr="00800706" w14:paraId="2F1E0D92" w14:textId="77777777" w:rsidTr="00803C0A">
        <w:trPr>
          <w:trHeight w:val="20"/>
        </w:trPr>
        <w:tc>
          <w:tcPr>
            <w:tcW w:w="1420" w:type="pct"/>
          </w:tcPr>
          <w:p w14:paraId="2F20C46C" w14:textId="77777777" w:rsidR="00803C0A" w:rsidRPr="00803C0A" w:rsidRDefault="00803C0A" w:rsidP="00586A76">
            <w:pPr>
              <w:pStyle w:val="Reminders"/>
              <w:tabs>
                <w:tab w:val="num" w:pos="360"/>
              </w:tabs>
              <w:spacing w:before="0" w:after="0"/>
              <w:rPr>
                <w:rFonts w:ascii="Calibri Light" w:hAnsi="Calibri Light" w:cs="Calibri Light"/>
                <w:i w:val="0"/>
                <w:color w:val="auto"/>
                <w:sz w:val="20"/>
              </w:rPr>
            </w:pPr>
            <w:r w:rsidRPr="00803C0A">
              <w:rPr>
                <w:rFonts w:ascii="Calibri Light" w:hAnsi="Calibri Light" w:cs="Calibri Light"/>
                <w:i w:val="0"/>
                <w:color w:val="auto"/>
                <w:sz w:val="20"/>
              </w:rPr>
              <w:t>Code/Standard (2016)</w:t>
            </w:r>
          </w:p>
        </w:tc>
        <w:tc>
          <w:tcPr>
            <w:tcW w:w="3580" w:type="pct"/>
          </w:tcPr>
          <w:p w14:paraId="171C2E04" w14:textId="77777777" w:rsidR="00803C0A" w:rsidRPr="00803C0A" w:rsidRDefault="00803C0A" w:rsidP="00586A76">
            <w:pPr>
              <w:pStyle w:val="Reminders"/>
              <w:tabs>
                <w:tab w:val="num" w:pos="360"/>
              </w:tabs>
              <w:spacing w:before="0" w:after="0"/>
              <w:rPr>
                <w:rFonts w:ascii="Calibri Light" w:hAnsi="Calibri Light" w:cs="Calibri Light"/>
                <w:i w:val="0"/>
                <w:color w:val="auto"/>
                <w:sz w:val="20"/>
              </w:rPr>
            </w:pPr>
            <w:r w:rsidRPr="00803C0A">
              <w:rPr>
                <w:rFonts w:ascii="Calibri Light" w:hAnsi="Calibri Light" w:cs="Calibri Light"/>
                <w:i w:val="0"/>
                <w:color w:val="auto"/>
                <w:sz w:val="20"/>
              </w:rPr>
              <w:t>5.0 gpm tub spout with a 2.0 gpm showerhead</w:t>
            </w:r>
          </w:p>
        </w:tc>
      </w:tr>
      <w:tr w:rsidR="00803C0A" w:rsidRPr="00800706" w14:paraId="1A8BB70B" w14:textId="77777777" w:rsidTr="00803C0A">
        <w:trPr>
          <w:trHeight w:val="20"/>
        </w:trPr>
        <w:tc>
          <w:tcPr>
            <w:tcW w:w="1420" w:type="pct"/>
          </w:tcPr>
          <w:p w14:paraId="2EFB63C5" w14:textId="77777777" w:rsidR="00803C0A" w:rsidRPr="00803C0A" w:rsidRDefault="00803C0A" w:rsidP="00586A76">
            <w:pPr>
              <w:pStyle w:val="Reminders"/>
              <w:tabs>
                <w:tab w:val="num" w:pos="360"/>
              </w:tabs>
              <w:spacing w:before="0" w:after="0"/>
              <w:rPr>
                <w:rFonts w:ascii="Calibri Light" w:hAnsi="Calibri Light" w:cs="Calibri Light"/>
                <w:i w:val="0"/>
                <w:color w:val="auto"/>
                <w:sz w:val="20"/>
              </w:rPr>
            </w:pPr>
            <w:r w:rsidRPr="00803C0A">
              <w:rPr>
                <w:rFonts w:ascii="Calibri Light" w:hAnsi="Calibri Light" w:cs="Calibri Light"/>
                <w:i w:val="0"/>
                <w:color w:val="auto"/>
                <w:sz w:val="20"/>
              </w:rPr>
              <w:t>Code/Standard (2018)</w:t>
            </w:r>
          </w:p>
        </w:tc>
        <w:tc>
          <w:tcPr>
            <w:tcW w:w="3580" w:type="pct"/>
          </w:tcPr>
          <w:p w14:paraId="7D2F4C36" w14:textId="77777777" w:rsidR="00803C0A" w:rsidRPr="00803C0A" w:rsidRDefault="00803C0A" w:rsidP="00586A76">
            <w:pPr>
              <w:pStyle w:val="Reminders"/>
              <w:tabs>
                <w:tab w:val="num" w:pos="360"/>
              </w:tabs>
              <w:spacing w:before="0" w:after="0"/>
              <w:rPr>
                <w:rFonts w:ascii="Calibri Light" w:hAnsi="Calibri Light" w:cs="Calibri Light"/>
                <w:i w:val="0"/>
                <w:color w:val="auto"/>
                <w:sz w:val="20"/>
              </w:rPr>
            </w:pPr>
            <w:r w:rsidRPr="00803C0A">
              <w:rPr>
                <w:rFonts w:ascii="Calibri Light" w:hAnsi="Calibri Light" w:cs="Calibri Light"/>
                <w:i w:val="0"/>
                <w:color w:val="auto"/>
                <w:sz w:val="20"/>
              </w:rPr>
              <w:t>5.0 gpm tub spout with a 1.8 gpm showerhead</w:t>
            </w:r>
          </w:p>
        </w:tc>
      </w:tr>
      <w:tr w:rsidR="00803C0A" w:rsidRPr="00800706" w14:paraId="77D81B59" w14:textId="77777777" w:rsidTr="00803C0A">
        <w:trPr>
          <w:trHeight w:val="20"/>
        </w:trPr>
        <w:tc>
          <w:tcPr>
            <w:tcW w:w="1420" w:type="pct"/>
          </w:tcPr>
          <w:p w14:paraId="7CF9EB8C" w14:textId="77777777" w:rsidR="00803C0A" w:rsidRPr="00803C0A" w:rsidRDefault="00803C0A" w:rsidP="00586A76">
            <w:pPr>
              <w:pStyle w:val="Reminders"/>
              <w:tabs>
                <w:tab w:val="num" w:pos="360"/>
              </w:tabs>
              <w:spacing w:before="0" w:after="0"/>
              <w:rPr>
                <w:rFonts w:ascii="Calibri Light" w:hAnsi="Calibri Light" w:cs="Calibri Light"/>
                <w:i w:val="0"/>
                <w:color w:val="auto"/>
                <w:sz w:val="20"/>
                <w:szCs w:val="22"/>
              </w:rPr>
            </w:pPr>
            <w:r w:rsidRPr="00803C0A">
              <w:rPr>
                <w:rFonts w:ascii="Calibri Light" w:hAnsi="Calibri Light" w:cs="Calibri Light"/>
                <w:i w:val="0"/>
                <w:color w:val="auto"/>
                <w:sz w:val="20"/>
              </w:rPr>
              <w:t>Industry Standard Practice</w:t>
            </w:r>
          </w:p>
        </w:tc>
        <w:tc>
          <w:tcPr>
            <w:tcW w:w="3580" w:type="pct"/>
          </w:tcPr>
          <w:p w14:paraId="1ACE4FCD" w14:textId="7C0A0749" w:rsidR="00803C0A" w:rsidRPr="00803C0A" w:rsidRDefault="00803C0A" w:rsidP="00586A76">
            <w:pPr>
              <w:pStyle w:val="Reminders"/>
              <w:tabs>
                <w:tab w:val="num" w:pos="360"/>
              </w:tabs>
              <w:spacing w:before="0" w:after="0"/>
              <w:rPr>
                <w:rFonts w:ascii="Calibri Light" w:hAnsi="Calibri Light" w:cs="Calibri Light"/>
                <w:i w:val="0"/>
                <w:color w:val="auto"/>
                <w:sz w:val="20"/>
              </w:rPr>
            </w:pPr>
            <w:r>
              <w:rPr>
                <w:rFonts w:ascii="Calibri Light" w:hAnsi="Calibri Light" w:cs="Calibri Light"/>
                <w:i w:val="0"/>
                <w:color w:val="auto"/>
                <w:sz w:val="20"/>
              </w:rPr>
              <w:t>n/a</w:t>
            </w:r>
          </w:p>
        </w:tc>
      </w:tr>
    </w:tbl>
    <w:p w14:paraId="177ABF87" w14:textId="77777777" w:rsidR="006B1492" w:rsidRPr="006B1492" w:rsidRDefault="006B1492" w:rsidP="006B1492"/>
    <w:p w14:paraId="7D9DA4A6" w14:textId="77777777" w:rsidR="007D230B" w:rsidRPr="00171BB8" w:rsidRDefault="007D230B" w:rsidP="004F705B">
      <w:pPr>
        <w:pStyle w:val="eTRMHeading3"/>
      </w:pPr>
      <w:bookmarkStart w:id="23" w:name="_Toc486490850"/>
      <w:bookmarkStart w:id="24" w:name="_Toc486580921"/>
      <w:bookmarkStart w:id="25" w:name="_Toc23509262"/>
      <w:r w:rsidRPr="004B06E3">
        <w:t>Code Requirements</w:t>
      </w:r>
      <w:bookmarkEnd w:id="23"/>
      <w:bookmarkEnd w:id="24"/>
      <w:bookmarkEnd w:id="25"/>
    </w:p>
    <w:p w14:paraId="0B5E2412" w14:textId="0BF52D7A" w:rsidR="005115F0" w:rsidRPr="00D01E54" w:rsidRDefault="005115F0" w:rsidP="005115F0">
      <w:pPr>
        <w:rPr>
          <w:szCs w:val="22"/>
        </w:rPr>
      </w:pPr>
      <w:r>
        <w:t>This measure is subject to the California Appliance Efficiency Regulations (Title 20),</w:t>
      </w:r>
      <w:r w:rsidR="00BA465F">
        <w:rPr>
          <w:rStyle w:val="FootnoteReference"/>
          <w:szCs w:val="22"/>
        </w:rPr>
        <w:footnoteReference w:id="11"/>
      </w:r>
      <w:r>
        <w:t xml:space="preserve"> which stipulates the maximum flow rate for showerheads.</w:t>
      </w:r>
      <w:r w:rsidRPr="005115F0">
        <w:rPr>
          <w:szCs w:val="22"/>
        </w:rPr>
        <w:t xml:space="preserve"> </w:t>
      </w:r>
      <w:r>
        <w:rPr>
          <w:szCs w:val="22"/>
        </w:rPr>
        <w:t>The low-flow showerhead maximum flow rate</w:t>
      </w:r>
      <w:r w:rsidRPr="00D01E54">
        <w:rPr>
          <w:szCs w:val="22"/>
        </w:rPr>
        <w:t xml:space="preserve"> </w:t>
      </w:r>
      <w:r>
        <w:rPr>
          <w:szCs w:val="22"/>
        </w:rPr>
        <w:t xml:space="preserve">was originally </w:t>
      </w:r>
      <w:r>
        <w:rPr>
          <w:szCs w:val="22"/>
        </w:rPr>
        <w:lastRenderedPageBreak/>
        <w:t>mandated by the Energy Policy Act of 1992.</w:t>
      </w:r>
      <w:r>
        <w:rPr>
          <w:rStyle w:val="FootnoteReference"/>
          <w:szCs w:val="22"/>
        </w:rPr>
        <w:footnoteReference w:id="12"/>
      </w:r>
      <w:r>
        <w:rPr>
          <w:szCs w:val="22"/>
        </w:rPr>
        <w:t xml:space="preserve"> </w:t>
      </w:r>
      <w:r>
        <w:rPr>
          <w:rStyle w:val="CommentReference"/>
          <w:sz w:val="22"/>
          <w:szCs w:val="22"/>
        </w:rPr>
        <w:t xml:space="preserve">Title 20 </w:t>
      </w:r>
      <w:r w:rsidR="00737603">
        <w:rPr>
          <w:rStyle w:val="CommentReference"/>
          <w:sz w:val="22"/>
          <w:szCs w:val="22"/>
        </w:rPr>
        <w:t>initially</w:t>
      </w:r>
      <w:r w:rsidR="00BA465F">
        <w:rPr>
          <w:rStyle w:val="CommentReference"/>
          <w:sz w:val="22"/>
          <w:szCs w:val="22"/>
        </w:rPr>
        <w:t xml:space="preserve"> </w:t>
      </w:r>
      <w:r w:rsidR="00737603">
        <w:rPr>
          <w:rStyle w:val="CommentReference"/>
          <w:sz w:val="22"/>
          <w:szCs w:val="22"/>
        </w:rPr>
        <w:t xml:space="preserve">matched the </w:t>
      </w:r>
      <w:r>
        <w:rPr>
          <w:rStyle w:val="CommentReference"/>
          <w:sz w:val="22"/>
          <w:szCs w:val="22"/>
        </w:rPr>
        <w:t xml:space="preserve">federal code and </w:t>
      </w:r>
      <w:r w:rsidR="00737603">
        <w:rPr>
          <w:rStyle w:val="CommentReference"/>
          <w:sz w:val="22"/>
          <w:szCs w:val="22"/>
        </w:rPr>
        <w:t>has</w:t>
      </w:r>
      <w:r>
        <w:rPr>
          <w:rStyle w:val="CommentReference"/>
          <w:sz w:val="22"/>
          <w:szCs w:val="22"/>
        </w:rPr>
        <w:t xml:space="preserve"> exceeded it in subsequent updates</w:t>
      </w:r>
      <w:r w:rsidRPr="00D01E54">
        <w:rPr>
          <w:rStyle w:val="CommentReference"/>
          <w:sz w:val="22"/>
          <w:szCs w:val="22"/>
        </w:rPr>
        <w:t xml:space="preserve">. </w:t>
      </w:r>
    </w:p>
    <w:p w14:paraId="7E96141F" w14:textId="55CC41BF" w:rsidR="00FD2C54" w:rsidRDefault="00FD2C54" w:rsidP="002D0487">
      <w:pPr>
        <w:pStyle w:val="Caption"/>
        <w:keepNext w:val="0"/>
        <w:keepLines w:val="0"/>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65"/>
        <w:gridCol w:w="4140"/>
        <w:gridCol w:w="2430"/>
      </w:tblGrid>
      <w:tr w:rsidR="00FC77BB" w:rsidRPr="00154391" w14:paraId="4623D54B" w14:textId="689B6080" w:rsidTr="002D0487">
        <w:trPr>
          <w:cantSplit/>
          <w:trHeight w:val="20"/>
          <w:tblHeader/>
        </w:trPr>
        <w:tc>
          <w:tcPr>
            <w:tcW w:w="2965" w:type="dxa"/>
            <w:shd w:val="clear" w:color="auto" w:fill="F2F2F2" w:themeFill="background1" w:themeFillShade="F2"/>
            <w:vAlign w:val="bottom"/>
          </w:tcPr>
          <w:p w14:paraId="5E8EE0C5" w14:textId="77777777" w:rsidR="00FC77BB" w:rsidRPr="00154391" w:rsidRDefault="00FC77BB" w:rsidP="002D0487">
            <w:pPr>
              <w:spacing w:before="20" w:after="20"/>
              <w:rPr>
                <w:b/>
                <w:sz w:val="20"/>
                <w:szCs w:val="20"/>
              </w:rPr>
            </w:pPr>
            <w:r w:rsidRPr="0079498E">
              <w:rPr>
                <w:b/>
                <w:sz w:val="20"/>
              </w:rPr>
              <w:t>Code</w:t>
            </w:r>
          </w:p>
        </w:tc>
        <w:tc>
          <w:tcPr>
            <w:tcW w:w="4140" w:type="dxa"/>
            <w:shd w:val="clear" w:color="auto" w:fill="F2F2F2" w:themeFill="background1" w:themeFillShade="F2"/>
            <w:vAlign w:val="bottom"/>
          </w:tcPr>
          <w:p w14:paraId="2A51DAFB" w14:textId="77777777" w:rsidR="00FC77BB" w:rsidRPr="00154391" w:rsidRDefault="00FC77BB" w:rsidP="002D0487">
            <w:pPr>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2D0487">
            <w:pPr>
              <w:spacing w:before="20" w:after="20"/>
              <w:jc w:val="center"/>
              <w:rPr>
                <w:b/>
                <w:sz w:val="20"/>
                <w:szCs w:val="20"/>
              </w:rPr>
            </w:pPr>
            <w:r w:rsidRPr="0079498E">
              <w:rPr>
                <w:b/>
                <w:sz w:val="20"/>
              </w:rPr>
              <w:t>Effective Date</w:t>
            </w:r>
          </w:p>
        </w:tc>
      </w:tr>
      <w:tr w:rsidR="005115F0" w:rsidRPr="00FB030E" w14:paraId="782F7264" w14:textId="345CFA23" w:rsidTr="00D55362">
        <w:trPr>
          <w:cantSplit/>
          <w:trHeight w:val="20"/>
        </w:trPr>
        <w:tc>
          <w:tcPr>
            <w:tcW w:w="2965" w:type="dxa"/>
            <w:vMerge w:val="restart"/>
            <w:shd w:val="clear" w:color="auto" w:fill="auto"/>
          </w:tcPr>
          <w:p w14:paraId="67BA833F" w14:textId="5795D551" w:rsidR="005115F0" w:rsidRPr="00BD6838" w:rsidRDefault="005115F0" w:rsidP="002D0487">
            <w:pPr>
              <w:spacing w:before="20" w:after="20"/>
              <w:rPr>
                <w:sz w:val="20"/>
                <w:szCs w:val="20"/>
              </w:rPr>
            </w:pPr>
            <w:r w:rsidRPr="00BD6838">
              <w:rPr>
                <w:sz w:val="20"/>
              </w:rPr>
              <w:t xml:space="preserve">CA Appliance Efficiency Regulations – Title 20 </w:t>
            </w:r>
            <w:r>
              <w:rPr>
                <w:sz w:val="20"/>
              </w:rPr>
              <w:t>(2016)</w:t>
            </w:r>
          </w:p>
        </w:tc>
        <w:tc>
          <w:tcPr>
            <w:tcW w:w="4140" w:type="dxa"/>
            <w:shd w:val="clear" w:color="auto" w:fill="auto"/>
            <w:vAlign w:val="center"/>
          </w:tcPr>
          <w:p w14:paraId="794A0264" w14:textId="612FEF12" w:rsidR="005115F0" w:rsidRPr="00FB030E" w:rsidRDefault="005115F0" w:rsidP="002D0487">
            <w:pPr>
              <w:spacing w:before="20" w:after="20"/>
              <w:rPr>
                <w:sz w:val="20"/>
                <w:szCs w:val="20"/>
              </w:rPr>
            </w:pPr>
            <w:r w:rsidRPr="00D2066C">
              <w:rPr>
                <w:sz w:val="20"/>
                <w:szCs w:val="20"/>
              </w:rPr>
              <w:t>Section 1605.3</w:t>
            </w:r>
            <w:r>
              <w:rPr>
                <w:sz w:val="20"/>
                <w:szCs w:val="20"/>
              </w:rPr>
              <w:t>, Table H-5</w:t>
            </w:r>
            <w:r w:rsidRPr="00D2066C">
              <w:rPr>
                <w:sz w:val="20"/>
                <w:szCs w:val="20"/>
              </w:rPr>
              <w:t>:</w:t>
            </w:r>
            <w:r>
              <w:rPr>
                <w:sz w:val="20"/>
                <w:szCs w:val="20"/>
              </w:rPr>
              <w:t xml:space="preserve"> </w:t>
            </w:r>
            <w:r w:rsidRPr="002D191A">
              <w:rPr>
                <w:sz w:val="20"/>
                <w:szCs w:val="20"/>
              </w:rPr>
              <w:t>The maximum flow rate of a showerhead shall not be greater than 2.5 gpm at 80 psi.</w:t>
            </w:r>
          </w:p>
        </w:tc>
        <w:tc>
          <w:tcPr>
            <w:tcW w:w="2430" w:type="dxa"/>
            <w:shd w:val="clear" w:color="auto" w:fill="auto"/>
            <w:vAlign w:val="center"/>
          </w:tcPr>
          <w:p w14:paraId="274AB5DC" w14:textId="43AFC61D" w:rsidR="005115F0" w:rsidRPr="00FB030E" w:rsidRDefault="005115F0" w:rsidP="002D0487">
            <w:pPr>
              <w:spacing w:before="20" w:after="20"/>
              <w:rPr>
                <w:sz w:val="20"/>
                <w:szCs w:val="20"/>
              </w:rPr>
            </w:pPr>
            <w:r>
              <w:rPr>
                <w:sz w:val="20"/>
                <w:szCs w:val="20"/>
              </w:rPr>
              <w:t xml:space="preserve">Units manufactured on or after </w:t>
            </w:r>
            <w:r w:rsidRPr="002D191A">
              <w:rPr>
                <w:sz w:val="20"/>
                <w:szCs w:val="20"/>
              </w:rPr>
              <w:t>January 1, 1994</w:t>
            </w:r>
            <w:r>
              <w:rPr>
                <w:sz w:val="20"/>
                <w:szCs w:val="20"/>
              </w:rPr>
              <w:t xml:space="preserve"> and prior to July 1, 2016.</w:t>
            </w:r>
          </w:p>
        </w:tc>
      </w:tr>
      <w:tr w:rsidR="005115F0" w:rsidRPr="00FB030E" w14:paraId="2F4AEF9A" w14:textId="77777777" w:rsidTr="00D55362">
        <w:trPr>
          <w:cantSplit/>
          <w:trHeight w:val="20"/>
        </w:trPr>
        <w:tc>
          <w:tcPr>
            <w:tcW w:w="2965" w:type="dxa"/>
            <w:vMerge/>
            <w:shd w:val="clear" w:color="auto" w:fill="auto"/>
          </w:tcPr>
          <w:p w14:paraId="11D12335" w14:textId="77777777" w:rsidR="005115F0" w:rsidRPr="00BD6838" w:rsidRDefault="005115F0" w:rsidP="002D0487">
            <w:pPr>
              <w:spacing w:before="20" w:after="20"/>
              <w:rPr>
                <w:sz w:val="20"/>
              </w:rPr>
            </w:pPr>
          </w:p>
        </w:tc>
        <w:tc>
          <w:tcPr>
            <w:tcW w:w="4140" w:type="dxa"/>
            <w:shd w:val="clear" w:color="auto" w:fill="auto"/>
            <w:vAlign w:val="center"/>
          </w:tcPr>
          <w:p w14:paraId="1F406EFD" w14:textId="495028EA" w:rsidR="005115F0" w:rsidRDefault="005115F0" w:rsidP="002D0487">
            <w:pPr>
              <w:spacing w:before="20" w:after="20"/>
              <w:rPr>
                <w:sz w:val="20"/>
                <w:szCs w:val="20"/>
              </w:rPr>
            </w:pPr>
            <w:r w:rsidRPr="00D2066C">
              <w:rPr>
                <w:sz w:val="20"/>
                <w:szCs w:val="20"/>
              </w:rPr>
              <w:t>Section 1605.3</w:t>
            </w:r>
            <w:r>
              <w:rPr>
                <w:sz w:val="20"/>
                <w:szCs w:val="20"/>
              </w:rPr>
              <w:t>, Table H-5</w:t>
            </w:r>
            <w:r w:rsidRPr="00D2066C">
              <w:rPr>
                <w:sz w:val="20"/>
                <w:szCs w:val="20"/>
              </w:rPr>
              <w:t>:</w:t>
            </w:r>
            <w:r>
              <w:rPr>
                <w:sz w:val="20"/>
                <w:szCs w:val="20"/>
              </w:rPr>
              <w:t xml:space="preserve"> </w:t>
            </w:r>
            <w:r w:rsidRPr="00EA2B72">
              <w:rPr>
                <w:sz w:val="20"/>
                <w:szCs w:val="20"/>
              </w:rPr>
              <w:t xml:space="preserve">The </w:t>
            </w:r>
            <w:r>
              <w:rPr>
                <w:sz w:val="20"/>
                <w:szCs w:val="20"/>
              </w:rPr>
              <w:t xml:space="preserve">maximum </w:t>
            </w:r>
            <w:r w:rsidRPr="00EA2B72">
              <w:rPr>
                <w:sz w:val="20"/>
                <w:szCs w:val="20"/>
              </w:rPr>
              <w:t>flow rate of a showerhe</w:t>
            </w:r>
            <w:r>
              <w:rPr>
                <w:sz w:val="20"/>
                <w:szCs w:val="20"/>
              </w:rPr>
              <w:t>ad shall not be greater than 2.0</w:t>
            </w:r>
            <w:r w:rsidRPr="00EA2B72">
              <w:rPr>
                <w:sz w:val="20"/>
                <w:szCs w:val="20"/>
              </w:rPr>
              <w:t xml:space="preserve"> gpm at 80 psi.</w:t>
            </w:r>
          </w:p>
        </w:tc>
        <w:tc>
          <w:tcPr>
            <w:tcW w:w="2430" w:type="dxa"/>
            <w:shd w:val="clear" w:color="auto" w:fill="auto"/>
            <w:vAlign w:val="center"/>
          </w:tcPr>
          <w:p w14:paraId="05EEA55F" w14:textId="233E85CE" w:rsidR="005115F0" w:rsidRDefault="005115F0" w:rsidP="002D0487">
            <w:pPr>
              <w:spacing w:before="20" w:after="20"/>
              <w:rPr>
                <w:sz w:val="20"/>
                <w:szCs w:val="20"/>
              </w:rPr>
            </w:pPr>
            <w:r>
              <w:rPr>
                <w:sz w:val="20"/>
                <w:szCs w:val="20"/>
              </w:rPr>
              <w:t>Units manufactured on or after July 1, 2016 and prior to July 1, 2018.</w:t>
            </w:r>
          </w:p>
        </w:tc>
      </w:tr>
      <w:tr w:rsidR="005115F0" w:rsidRPr="00FB030E" w14:paraId="0C845AC9" w14:textId="77777777" w:rsidTr="00D55362">
        <w:trPr>
          <w:cantSplit/>
          <w:trHeight w:val="20"/>
        </w:trPr>
        <w:tc>
          <w:tcPr>
            <w:tcW w:w="2965" w:type="dxa"/>
            <w:vMerge/>
            <w:shd w:val="clear" w:color="auto" w:fill="auto"/>
          </w:tcPr>
          <w:p w14:paraId="480D1DE5" w14:textId="77777777" w:rsidR="005115F0" w:rsidRPr="00BD6838" w:rsidRDefault="005115F0" w:rsidP="002D0487">
            <w:pPr>
              <w:spacing w:before="20" w:after="20"/>
              <w:rPr>
                <w:sz w:val="20"/>
              </w:rPr>
            </w:pPr>
          </w:p>
        </w:tc>
        <w:tc>
          <w:tcPr>
            <w:tcW w:w="4140" w:type="dxa"/>
            <w:shd w:val="clear" w:color="auto" w:fill="auto"/>
            <w:vAlign w:val="center"/>
          </w:tcPr>
          <w:p w14:paraId="3A40B707" w14:textId="309FFFC9" w:rsidR="005115F0" w:rsidRDefault="005115F0" w:rsidP="002D0487">
            <w:pPr>
              <w:spacing w:before="20" w:after="20"/>
              <w:rPr>
                <w:sz w:val="20"/>
                <w:szCs w:val="20"/>
              </w:rPr>
            </w:pPr>
            <w:r w:rsidRPr="00D2066C">
              <w:rPr>
                <w:sz w:val="20"/>
                <w:szCs w:val="20"/>
              </w:rPr>
              <w:t>Section 1605.3</w:t>
            </w:r>
            <w:r>
              <w:rPr>
                <w:sz w:val="20"/>
                <w:szCs w:val="20"/>
              </w:rPr>
              <w:t>, Table H-5</w:t>
            </w:r>
            <w:r w:rsidRPr="00D2066C">
              <w:rPr>
                <w:sz w:val="20"/>
                <w:szCs w:val="20"/>
              </w:rPr>
              <w:t>:</w:t>
            </w:r>
            <w:r>
              <w:rPr>
                <w:sz w:val="20"/>
                <w:szCs w:val="20"/>
              </w:rPr>
              <w:t xml:space="preserve"> </w:t>
            </w:r>
            <w:r w:rsidRPr="00EA2B72">
              <w:rPr>
                <w:sz w:val="20"/>
                <w:szCs w:val="20"/>
              </w:rPr>
              <w:t xml:space="preserve">The </w:t>
            </w:r>
            <w:r>
              <w:rPr>
                <w:sz w:val="20"/>
                <w:szCs w:val="20"/>
              </w:rPr>
              <w:t xml:space="preserve">maximum </w:t>
            </w:r>
            <w:r w:rsidRPr="00EA2B72">
              <w:rPr>
                <w:sz w:val="20"/>
                <w:szCs w:val="20"/>
              </w:rPr>
              <w:t>flow rate of a showerhe</w:t>
            </w:r>
            <w:r>
              <w:rPr>
                <w:sz w:val="20"/>
                <w:szCs w:val="20"/>
              </w:rPr>
              <w:t>ad shall not be greater than 1.8</w:t>
            </w:r>
            <w:r w:rsidRPr="00EA2B72">
              <w:rPr>
                <w:sz w:val="20"/>
                <w:szCs w:val="20"/>
              </w:rPr>
              <w:t xml:space="preserve"> gpm at 80 psi.</w:t>
            </w:r>
          </w:p>
        </w:tc>
        <w:tc>
          <w:tcPr>
            <w:tcW w:w="2430" w:type="dxa"/>
            <w:shd w:val="clear" w:color="auto" w:fill="auto"/>
            <w:vAlign w:val="center"/>
          </w:tcPr>
          <w:p w14:paraId="5FBA6367" w14:textId="05249498" w:rsidR="005115F0" w:rsidRDefault="005115F0" w:rsidP="002D0487">
            <w:pPr>
              <w:spacing w:before="20" w:after="20"/>
              <w:rPr>
                <w:sz w:val="20"/>
                <w:szCs w:val="20"/>
              </w:rPr>
            </w:pPr>
            <w:r>
              <w:rPr>
                <w:sz w:val="20"/>
                <w:szCs w:val="20"/>
              </w:rPr>
              <w:t>Units manufactured on or after July 1, 2018.</w:t>
            </w:r>
          </w:p>
        </w:tc>
      </w:tr>
      <w:tr w:rsidR="00737603" w:rsidRPr="00FB030E" w14:paraId="23FB50B6" w14:textId="5078B94B" w:rsidTr="00D55362">
        <w:trPr>
          <w:cantSplit/>
          <w:trHeight w:val="20"/>
        </w:trPr>
        <w:tc>
          <w:tcPr>
            <w:tcW w:w="2965" w:type="dxa"/>
            <w:shd w:val="clear" w:color="auto" w:fill="auto"/>
            <w:vAlign w:val="center"/>
          </w:tcPr>
          <w:p w14:paraId="2EBFC05B" w14:textId="4B1AA726" w:rsidR="00737603" w:rsidRPr="00BD6838" w:rsidRDefault="00737603" w:rsidP="002D0487">
            <w:pPr>
              <w:spacing w:before="20" w:after="20"/>
              <w:rPr>
                <w:sz w:val="20"/>
                <w:szCs w:val="20"/>
              </w:rPr>
            </w:pPr>
            <w:r w:rsidRPr="00BD6838">
              <w:rPr>
                <w:sz w:val="20"/>
              </w:rPr>
              <w:t>Federal Standards</w:t>
            </w:r>
            <w:r>
              <w:rPr>
                <w:sz w:val="20"/>
              </w:rPr>
              <w:t xml:space="preserve"> </w:t>
            </w:r>
            <w:r>
              <w:rPr>
                <w:sz w:val="20"/>
                <w:szCs w:val="20"/>
              </w:rPr>
              <w:t>-</w:t>
            </w:r>
            <w:r w:rsidRPr="00462548">
              <w:rPr>
                <w:sz w:val="20"/>
                <w:szCs w:val="20"/>
              </w:rPr>
              <w:t xml:space="preserve"> Energy Policy Act of 1992</w:t>
            </w:r>
          </w:p>
        </w:tc>
        <w:tc>
          <w:tcPr>
            <w:tcW w:w="4140" w:type="dxa"/>
            <w:shd w:val="clear" w:color="auto" w:fill="auto"/>
            <w:vAlign w:val="center"/>
          </w:tcPr>
          <w:p w14:paraId="0D43394E" w14:textId="588B42A2" w:rsidR="00737603" w:rsidRPr="00FB030E" w:rsidRDefault="00737603" w:rsidP="002D0487">
            <w:pPr>
              <w:spacing w:before="20" w:after="20"/>
              <w:rPr>
                <w:sz w:val="20"/>
                <w:szCs w:val="20"/>
              </w:rPr>
            </w:pPr>
            <w:r>
              <w:rPr>
                <w:sz w:val="20"/>
                <w:szCs w:val="20"/>
              </w:rPr>
              <w:t>R</w:t>
            </w:r>
            <w:r w:rsidRPr="00462548">
              <w:rPr>
                <w:sz w:val="20"/>
                <w:szCs w:val="20"/>
              </w:rPr>
              <w:t>equires that showerheads must use no more than 2.5 gpm</w:t>
            </w:r>
            <w:r>
              <w:rPr>
                <w:sz w:val="20"/>
                <w:szCs w:val="20"/>
              </w:rPr>
              <w:t xml:space="preserve"> at 80 psi</w:t>
            </w:r>
            <w:r w:rsidRPr="00462548">
              <w:rPr>
                <w:sz w:val="20"/>
                <w:szCs w:val="20"/>
              </w:rPr>
              <w:t>.</w:t>
            </w:r>
          </w:p>
        </w:tc>
        <w:tc>
          <w:tcPr>
            <w:tcW w:w="2430" w:type="dxa"/>
            <w:shd w:val="clear" w:color="auto" w:fill="auto"/>
            <w:vAlign w:val="center"/>
          </w:tcPr>
          <w:p w14:paraId="66FA1B6F" w14:textId="4B0CD79B" w:rsidR="00737603" w:rsidRPr="00FB030E" w:rsidRDefault="00E20A67" w:rsidP="008811A6">
            <w:pPr>
              <w:spacing w:before="20" w:after="20"/>
              <w:rPr>
                <w:sz w:val="20"/>
                <w:szCs w:val="20"/>
              </w:rPr>
            </w:pPr>
            <w:r>
              <w:rPr>
                <w:sz w:val="20"/>
                <w:szCs w:val="20"/>
              </w:rPr>
              <w:t>Effective January 1, 1994</w:t>
            </w:r>
          </w:p>
        </w:tc>
      </w:tr>
    </w:tbl>
    <w:p w14:paraId="28A93655" w14:textId="77777777" w:rsidR="00FD2C54" w:rsidRDefault="00FD2C54" w:rsidP="0011498C"/>
    <w:p w14:paraId="1EE16D20" w14:textId="77777777" w:rsidR="007D230B" w:rsidRPr="00171BB8" w:rsidRDefault="007D230B" w:rsidP="00462BB6">
      <w:pPr>
        <w:pStyle w:val="eTRMHeading3"/>
      </w:pPr>
      <w:bookmarkStart w:id="26" w:name="_Toc486490851"/>
      <w:bookmarkStart w:id="27" w:name="_Toc486580922"/>
      <w:bookmarkStart w:id="28" w:name="_Toc23509263"/>
      <w:r w:rsidRPr="00A83458">
        <w:t>Normalizing</w:t>
      </w:r>
      <w:r w:rsidRPr="00171BB8">
        <w:t xml:space="preserve"> Unit</w:t>
      </w:r>
      <w:bookmarkEnd w:id="26"/>
      <w:bookmarkEnd w:id="27"/>
      <w:bookmarkEnd w:id="28"/>
    </w:p>
    <w:p w14:paraId="0115BB45" w14:textId="7CFC775A" w:rsidR="009C31A4" w:rsidRDefault="008E7C7F" w:rsidP="00486585">
      <w:r>
        <w:t>Each.</w:t>
      </w:r>
    </w:p>
    <w:p w14:paraId="7C7BB353" w14:textId="77777777" w:rsidR="008E7C7F" w:rsidRPr="007D230B" w:rsidRDefault="008E7C7F" w:rsidP="00486585"/>
    <w:p w14:paraId="2F4904E6" w14:textId="77777777" w:rsidR="007D230B" w:rsidRPr="004B06E3" w:rsidRDefault="007D230B" w:rsidP="003B00AE">
      <w:pPr>
        <w:pStyle w:val="eTRMHeading3"/>
        <w:keepNext w:val="0"/>
        <w:keepLines w:val="0"/>
      </w:pPr>
      <w:bookmarkStart w:id="29" w:name="_Toc486490852"/>
      <w:bookmarkStart w:id="30" w:name="_Toc486580923"/>
      <w:bookmarkStart w:id="31" w:name="_Toc23509264"/>
      <w:bookmarkStart w:id="32" w:name="_Hlk515365299"/>
      <w:bookmarkStart w:id="33" w:name="_Hlk515878271"/>
      <w:r w:rsidRPr="004B06E3">
        <w:t>Program Requirements</w:t>
      </w:r>
      <w:bookmarkEnd w:id="29"/>
      <w:bookmarkEnd w:id="30"/>
      <w:bookmarkEnd w:id="31"/>
      <w:r w:rsidRPr="004B06E3">
        <w:t xml:space="preserve"> </w:t>
      </w:r>
    </w:p>
    <w:p w14:paraId="50DE0E3D" w14:textId="77777777" w:rsidR="001A09C4" w:rsidRDefault="001A09C4" w:rsidP="001A09C4">
      <w:pPr>
        <w:pStyle w:val="eTRMHeading5"/>
        <w:keepNext/>
        <w:keepLines/>
      </w:pPr>
      <w:bookmarkStart w:id="34" w:name="_Hlk516047641"/>
      <w:bookmarkEnd w:id="32"/>
      <w:r>
        <w:t>Measure Implementation Eligibility</w:t>
      </w:r>
    </w:p>
    <w:p w14:paraId="71D513FF" w14:textId="77777777" w:rsidR="001A09C4" w:rsidRDefault="001A09C4" w:rsidP="001A09C4">
      <w:bookmarkStart w:id="35" w:name="_Hlk527543844"/>
      <w:bookmarkStart w:id="3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5"/>
    </w:p>
    <w:bookmarkEnd w:id="36"/>
    <w:p w14:paraId="166D15AD" w14:textId="77777777" w:rsidR="001A09C4" w:rsidRPr="00CC4643" w:rsidRDefault="001A09C4" w:rsidP="001A09C4">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18032E21" w:rsidR="001B426F" w:rsidRPr="00DE0BD6" w:rsidRDefault="001B426F" w:rsidP="00B85B77">
      <w:pPr>
        <w:pStyle w:val="Caption"/>
        <w:keepNext w:val="0"/>
        <w:keepLines w:val="0"/>
      </w:pPr>
      <w:r w:rsidRPr="00DE0BD6">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DE0BD6" w14:paraId="40946250" w14:textId="77777777" w:rsidTr="00B85B77">
        <w:trPr>
          <w:trHeight w:val="290"/>
          <w:tblHeader/>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DE0BD6" w:rsidRDefault="001B426F" w:rsidP="00B85B77">
            <w:pPr>
              <w:spacing w:before="0" w:after="0"/>
              <w:rPr>
                <w:b/>
                <w:bCs/>
                <w:sz w:val="20"/>
              </w:rPr>
            </w:pPr>
            <w:r w:rsidRPr="00DE0BD6">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DE0BD6" w:rsidRDefault="001B426F" w:rsidP="00B85B77">
            <w:pPr>
              <w:spacing w:before="0" w:after="0"/>
              <w:rPr>
                <w:b/>
                <w:bCs/>
                <w:sz w:val="20"/>
              </w:rPr>
            </w:pPr>
            <w:r w:rsidRPr="00DE0BD6">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DE0BD6" w:rsidRDefault="001B426F" w:rsidP="00B85B77">
            <w:pPr>
              <w:spacing w:before="0" w:after="0"/>
              <w:rPr>
                <w:b/>
                <w:bCs/>
                <w:sz w:val="20"/>
              </w:rPr>
            </w:pPr>
            <w:r w:rsidRPr="00DE0BD6">
              <w:rPr>
                <w:b/>
                <w:bCs/>
                <w:sz w:val="20"/>
              </w:rPr>
              <w:t>Sector</w:t>
            </w:r>
          </w:p>
        </w:tc>
      </w:tr>
      <w:tr w:rsidR="00B14AF0" w:rsidRPr="00DE0BD6" w14:paraId="7A0CFE8F" w14:textId="77777777" w:rsidTr="00586A76">
        <w:trPr>
          <w:trHeight w:val="290"/>
        </w:trPr>
        <w:tc>
          <w:tcPr>
            <w:tcW w:w="3024" w:type="dxa"/>
            <w:noWrap/>
            <w:tcMar>
              <w:top w:w="0" w:type="dxa"/>
              <w:left w:w="108" w:type="dxa"/>
              <w:bottom w:w="0" w:type="dxa"/>
              <w:right w:w="108" w:type="dxa"/>
            </w:tcMar>
            <w:vAlign w:val="bottom"/>
          </w:tcPr>
          <w:p w14:paraId="71896EBD" w14:textId="7C184631" w:rsidR="00B14AF0" w:rsidRPr="00DE0BD6" w:rsidRDefault="00B14AF0" w:rsidP="00B85B77">
            <w:pPr>
              <w:spacing w:before="0" w:after="0"/>
              <w:rPr>
                <w:sz w:val="20"/>
              </w:rPr>
            </w:pPr>
            <w:r w:rsidRPr="00DE0BD6">
              <w:rPr>
                <w:rFonts w:cs="Calibri Light"/>
              </w:rPr>
              <w:t>Normal replacement</w:t>
            </w:r>
          </w:p>
        </w:tc>
        <w:tc>
          <w:tcPr>
            <w:tcW w:w="3024" w:type="dxa"/>
            <w:noWrap/>
            <w:tcMar>
              <w:top w:w="0" w:type="dxa"/>
              <w:left w:w="108" w:type="dxa"/>
              <w:bottom w:w="0" w:type="dxa"/>
              <w:right w:w="108" w:type="dxa"/>
            </w:tcMar>
            <w:vAlign w:val="bottom"/>
          </w:tcPr>
          <w:p w14:paraId="406A2B31" w14:textId="7F975FD1" w:rsidR="00B14AF0" w:rsidRPr="00DE0BD6" w:rsidRDefault="00B14AF0" w:rsidP="00B85B77">
            <w:pPr>
              <w:spacing w:before="0" w:after="0"/>
              <w:rPr>
                <w:color w:val="000000"/>
                <w:sz w:val="20"/>
              </w:rPr>
            </w:pPr>
            <w:r>
              <w:rPr>
                <w:rFonts w:cs="Calibri Light"/>
                <w:color w:val="000000"/>
              </w:rPr>
              <w:t>DnDeemDI</w:t>
            </w:r>
          </w:p>
        </w:tc>
        <w:tc>
          <w:tcPr>
            <w:tcW w:w="3024" w:type="dxa"/>
            <w:noWrap/>
            <w:tcMar>
              <w:top w:w="0" w:type="dxa"/>
              <w:left w:w="108" w:type="dxa"/>
              <w:bottom w:w="0" w:type="dxa"/>
              <w:right w:w="108" w:type="dxa"/>
            </w:tcMar>
            <w:vAlign w:val="bottom"/>
          </w:tcPr>
          <w:p w14:paraId="4407CB3F" w14:textId="77777777" w:rsidR="00B14AF0" w:rsidRPr="00DE0BD6" w:rsidRDefault="00B14AF0" w:rsidP="00B85B77">
            <w:pPr>
              <w:spacing w:before="0" w:after="0"/>
              <w:rPr>
                <w:color w:val="000000"/>
                <w:sz w:val="20"/>
              </w:rPr>
            </w:pPr>
            <w:r w:rsidRPr="00DE0BD6">
              <w:rPr>
                <w:rFonts w:cs="Calibri Light"/>
                <w:color w:val="000000"/>
              </w:rPr>
              <w:t>Res</w:t>
            </w:r>
          </w:p>
        </w:tc>
      </w:tr>
      <w:tr w:rsidR="00B14AF0" w:rsidRPr="00DE0BD6" w14:paraId="5FDD331B" w14:textId="77777777" w:rsidTr="00586A76">
        <w:trPr>
          <w:trHeight w:val="290"/>
        </w:trPr>
        <w:tc>
          <w:tcPr>
            <w:tcW w:w="3024" w:type="dxa"/>
            <w:noWrap/>
            <w:tcMar>
              <w:top w:w="0" w:type="dxa"/>
              <w:left w:w="108" w:type="dxa"/>
              <w:bottom w:w="0" w:type="dxa"/>
              <w:right w:w="108" w:type="dxa"/>
            </w:tcMar>
            <w:vAlign w:val="bottom"/>
          </w:tcPr>
          <w:p w14:paraId="6C107F3A" w14:textId="143DEDAA" w:rsidR="00B14AF0" w:rsidRPr="00DE0BD6" w:rsidRDefault="00B14AF0" w:rsidP="00B85B77">
            <w:pPr>
              <w:spacing w:before="0" w:after="0"/>
              <w:rPr>
                <w:rFonts w:cs="Calibri Light"/>
              </w:rPr>
            </w:pPr>
            <w:r w:rsidRPr="00DE0BD6">
              <w:rPr>
                <w:rFonts w:cs="Calibri Light"/>
              </w:rPr>
              <w:t>Normal replacement</w:t>
            </w:r>
          </w:p>
        </w:tc>
        <w:tc>
          <w:tcPr>
            <w:tcW w:w="3024" w:type="dxa"/>
            <w:noWrap/>
            <w:tcMar>
              <w:top w:w="0" w:type="dxa"/>
              <w:left w:w="108" w:type="dxa"/>
              <w:bottom w:w="0" w:type="dxa"/>
              <w:right w:w="108" w:type="dxa"/>
            </w:tcMar>
            <w:vAlign w:val="bottom"/>
          </w:tcPr>
          <w:p w14:paraId="4FEDCDD4" w14:textId="6D43DF8B" w:rsidR="00B14AF0" w:rsidRDefault="00B14AF0" w:rsidP="00B85B77">
            <w:pPr>
              <w:spacing w:before="0" w:after="0"/>
              <w:rPr>
                <w:rFonts w:cs="Calibri Light"/>
                <w:color w:val="000000"/>
              </w:rPr>
            </w:pPr>
            <w:r>
              <w:rPr>
                <w:rFonts w:cs="Calibri Light"/>
                <w:color w:val="000000"/>
              </w:rPr>
              <w:t>UpDeemed</w:t>
            </w:r>
          </w:p>
        </w:tc>
        <w:tc>
          <w:tcPr>
            <w:tcW w:w="3024" w:type="dxa"/>
            <w:noWrap/>
            <w:tcMar>
              <w:top w:w="0" w:type="dxa"/>
              <w:left w:w="108" w:type="dxa"/>
              <w:bottom w:w="0" w:type="dxa"/>
              <w:right w:w="108" w:type="dxa"/>
            </w:tcMar>
            <w:vAlign w:val="bottom"/>
          </w:tcPr>
          <w:p w14:paraId="70FE1E4C" w14:textId="7C84A83E" w:rsidR="00B14AF0" w:rsidRPr="00DE0BD6" w:rsidRDefault="00B14AF0" w:rsidP="00B85B77">
            <w:pPr>
              <w:spacing w:before="0" w:after="0"/>
              <w:rPr>
                <w:rFonts w:cs="Calibri Light"/>
                <w:color w:val="000000"/>
              </w:rPr>
            </w:pPr>
            <w:r w:rsidRPr="00DE0BD6">
              <w:rPr>
                <w:rFonts w:cs="Calibri Light"/>
                <w:color w:val="000000"/>
              </w:rPr>
              <w:t>Res</w:t>
            </w:r>
          </w:p>
        </w:tc>
      </w:tr>
      <w:tr w:rsidR="00B14AF0" w:rsidRPr="00DE0BD6" w14:paraId="6150BFC4" w14:textId="77777777" w:rsidTr="00586A76">
        <w:trPr>
          <w:trHeight w:val="290"/>
        </w:trPr>
        <w:tc>
          <w:tcPr>
            <w:tcW w:w="3024" w:type="dxa"/>
            <w:noWrap/>
            <w:tcMar>
              <w:top w:w="0" w:type="dxa"/>
              <w:left w:w="108" w:type="dxa"/>
              <w:bottom w:w="0" w:type="dxa"/>
              <w:right w:w="108" w:type="dxa"/>
            </w:tcMar>
            <w:vAlign w:val="bottom"/>
          </w:tcPr>
          <w:p w14:paraId="365158B5" w14:textId="26D3433D" w:rsidR="00B14AF0" w:rsidRPr="00DE0BD6" w:rsidRDefault="00B14AF0" w:rsidP="00B85B77">
            <w:pPr>
              <w:spacing w:before="0" w:after="0"/>
              <w:rPr>
                <w:rFonts w:cs="Calibri Light"/>
              </w:rPr>
            </w:pPr>
            <w:r w:rsidRPr="00DE0BD6">
              <w:rPr>
                <w:rFonts w:cs="Calibri Light"/>
              </w:rPr>
              <w:t>Normal replacement</w:t>
            </w:r>
          </w:p>
        </w:tc>
        <w:tc>
          <w:tcPr>
            <w:tcW w:w="3024" w:type="dxa"/>
            <w:noWrap/>
            <w:tcMar>
              <w:top w:w="0" w:type="dxa"/>
              <w:left w:w="108" w:type="dxa"/>
              <w:bottom w:w="0" w:type="dxa"/>
              <w:right w:w="108" w:type="dxa"/>
            </w:tcMar>
            <w:vAlign w:val="bottom"/>
          </w:tcPr>
          <w:p w14:paraId="69C4D9EA" w14:textId="5FE3BE39" w:rsidR="00B14AF0" w:rsidRDefault="00B14AF0" w:rsidP="00B85B77">
            <w:pPr>
              <w:spacing w:before="0" w:after="0"/>
              <w:rPr>
                <w:rFonts w:cs="Calibri Light"/>
                <w:color w:val="000000"/>
              </w:rPr>
            </w:pPr>
            <w:r>
              <w:rPr>
                <w:rFonts w:cs="Calibri Light"/>
                <w:color w:val="000000"/>
              </w:rPr>
              <w:t>DnDeemed</w:t>
            </w:r>
          </w:p>
        </w:tc>
        <w:tc>
          <w:tcPr>
            <w:tcW w:w="3024" w:type="dxa"/>
            <w:noWrap/>
            <w:tcMar>
              <w:top w:w="0" w:type="dxa"/>
              <w:left w:w="108" w:type="dxa"/>
              <w:bottom w:w="0" w:type="dxa"/>
              <w:right w:w="108" w:type="dxa"/>
            </w:tcMar>
            <w:vAlign w:val="bottom"/>
          </w:tcPr>
          <w:p w14:paraId="3FE8CEC2" w14:textId="08374CF6" w:rsidR="00B14AF0" w:rsidRPr="00DE0BD6" w:rsidRDefault="00B14AF0" w:rsidP="00B85B77">
            <w:pPr>
              <w:spacing w:before="0" w:after="0"/>
              <w:rPr>
                <w:rFonts w:cs="Calibri Light"/>
                <w:color w:val="000000"/>
              </w:rPr>
            </w:pPr>
            <w:r w:rsidRPr="00DE0BD6">
              <w:rPr>
                <w:rFonts w:cs="Calibri Light"/>
                <w:color w:val="000000"/>
              </w:rPr>
              <w:t>Res</w:t>
            </w:r>
          </w:p>
        </w:tc>
      </w:tr>
      <w:tr w:rsidR="006E0236" w:rsidRPr="00DE0BD6" w14:paraId="651FD2AD" w14:textId="77777777" w:rsidTr="00586A76">
        <w:trPr>
          <w:trHeight w:val="290"/>
        </w:trPr>
        <w:tc>
          <w:tcPr>
            <w:tcW w:w="3024" w:type="dxa"/>
            <w:noWrap/>
            <w:tcMar>
              <w:top w:w="0" w:type="dxa"/>
              <w:left w:w="108" w:type="dxa"/>
              <w:bottom w:w="0" w:type="dxa"/>
              <w:right w:w="108" w:type="dxa"/>
            </w:tcMar>
            <w:vAlign w:val="bottom"/>
          </w:tcPr>
          <w:p w14:paraId="24C5ED58" w14:textId="2A55E8D6" w:rsidR="006E0236" w:rsidRPr="00DE0BD6" w:rsidRDefault="006E0236" w:rsidP="00B85B77">
            <w:pPr>
              <w:spacing w:before="0" w:after="0"/>
              <w:rPr>
                <w:sz w:val="20"/>
              </w:rPr>
            </w:pPr>
            <w:r w:rsidRPr="00DE0BD6">
              <w:rPr>
                <w:rFonts w:cs="Calibri Light"/>
              </w:rPr>
              <w:t>New construction</w:t>
            </w:r>
          </w:p>
        </w:tc>
        <w:tc>
          <w:tcPr>
            <w:tcW w:w="3024" w:type="dxa"/>
            <w:noWrap/>
            <w:tcMar>
              <w:top w:w="0" w:type="dxa"/>
              <w:left w:w="108" w:type="dxa"/>
              <w:bottom w:w="0" w:type="dxa"/>
              <w:right w:w="108" w:type="dxa"/>
            </w:tcMar>
            <w:vAlign w:val="bottom"/>
          </w:tcPr>
          <w:p w14:paraId="582F1BC3" w14:textId="5C75C35A" w:rsidR="006E0236" w:rsidRPr="00DE0BD6" w:rsidRDefault="006E0236" w:rsidP="00B85B77">
            <w:pPr>
              <w:spacing w:before="0" w:after="0"/>
              <w:rPr>
                <w:color w:val="000000"/>
                <w:sz w:val="20"/>
              </w:rPr>
            </w:pPr>
            <w:r>
              <w:rPr>
                <w:rFonts w:cs="Calibri Light"/>
                <w:color w:val="000000"/>
              </w:rPr>
              <w:t>DnDeemDI</w:t>
            </w:r>
          </w:p>
        </w:tc>
        <w:tc>
          <w:tcPr>
            <w:tcW w:w="3024" w:type="dxa"/>
            <w:noWrap/>
            <w:tcMar>
              <w:top w:w="0" w:type="dxa"/>
              <w:left w:w="108" w:type="dxa"/>
              <w:bottom w:w="0" w:type="dxa"/>
              <w:right w:w="108" w:type="dxa"/>
            </w:tcMar>
            <w:vAlign w:val="bottom"/>
          </w:tcPr>
          <w:p w14:paraId="2248FD08" w14:textId="77777777" w:rsidR="006E0236" w:rsidRPr="00DE0BD6" w:rsidRDefault="006E0236" w:rsidP="00B85B77">
            <w:pPr>
              <w:spacing w:before="0" w:after="0"/>
              <w:rPr>
                <w:color w:val="000000"/>
                <w:sz w:val="20"/>
              </w:rPr>
            </w:pPr>
            <w:r w:rsidRPr="00DE0BD6">
              <w:rPr>
                <w:rFonts w:cs="Calibri Light"/>
                <w:color w:val="000000"/>
              </w:rPr>
              <w:t>Res</w:t>
            </w:r>
          </w:p>
        </w:tc>
      </w:tr>
      <w:tr w:rsidR="006E0236" w:rsidRPr="00DE0BD6" w14:paraId="461B86EC" w14:textId="77777777" w:rsidTr="00586A76">
        <w:trPr>
          <w:trHeight w:val="290"/>
        </w:trPr>
        <w:tc>
          <w:tcPr>
            <w:tcW w:w="3024" w:type="dxa"/>
            <w:noWrap/>
            <w:tcMar>
              <w:top w:w="0" w:type="dxa"/>
              <w:left w:w="108" w:type="dxa"/>
              <w:bottom w:w="0" w:type="dxa"/>
              <w:right w:w="108" w:type="dxa"/>
            </w:tcMar>
            <w:vAlign w:val="bottom"/>
          </w:tcPr>
          <w:p w14:paraId="1D93B94C" w14:textId="262E2200" w:rsidR="006E0236" w:rsidRPr="00DE0BD6" w:rsidRDefault="006E0236" w:rsidP="00B85B77">
            <w:pPr>
              <w:spacing w:before="0" w:after="0"/>
              <w:rPr>
                <w:rFonts w:cs="Calibri Light"/>
              </w:rPr>
            </w:pPr>
            <w:r w:rsidRPr="00DE0BD6">
              <w:rPr>
                <w:rFonts w:cs="Calibri Light"/>
              </w:rPr>
              <w:lastRenderedPageBreak/>
              <w:t>New construction</w:t>
            </w:r>
          </w:p>
        </w:tc>
        <w:tc>
          <w:tcPr>
            <w:tcW w:w="3024" w:type="dxa"/>
            <w:noWrap/>
            <w:tcMar>
              <w:top w:w="0" w:type="dxa"/>
              <w:left w:w="108" w:type="dxa"/>
              <w:bottom w:w="0" w:type="dxa"/>
              <w:right w:w="108" w:type="dxa"/>
            </w:tcMar>
            <w:vAlign w:val="bottom"/>
          </w:tcPr>
          <w:p w14:paraId="47385EBE" w14:textId="2CD430AF" w:rsidR="006E0236" w:rsidRDefault="006E0236" w:rsidP="00B85B77">
            <w:pPr>
              <w:spacing w:before="0" w:after="0"/>
              <w:rPr>
                <w:rFonts w:cs="Calibri Light"/>
                <w:color w:val="000000"/>
              </w:rPr>
            </w:pPr>
            <w:r>
              <w:rPr>
                <w:rFonts w:cs="Calibri Light"/>
                <w:color w:val="000000"/>
              </w:rPr>
              <w:t>UpDeemed</w:t>
            </w:r>
          </w:p>
        </w:tc>
        <w:tc>
          <w:tcPr>
            <w:tcW w:w="3024" w:type="dxa"/>
            <w:noWrap/>
            <w:tcMar>
              <w:top w:w="0" w:type="dxa"/>
              <w:left w:w="108" w:type="dxa"/>
              <w:bottom w:w="0" w:type="dxa"/>
              <w:right w:w="108" w:type="dxa"/>
            </w:tcMar>
            <w:vAlign w:val="bottom"/>
          </w:tcPr>
          <w:p w14:paraId="58977976" w14:textId="5C4E2874" w:rsidR="006E0236" w:rsidRPr="00DE0BD6" w:rsidRDefault="006E0236" w:rsidP="00B85B77">
            <w:pPr>
              <w:spacing w:before="0" w:after="0"/>
              <w:rPr>
                <w:rFonts w:cs="Calibri Light"/>
                <w:color w:val="000000"/>
              </w:rPr>
            </w:pPr>
            <w:r w:rsidRPr="00DE0BD6">
              <w:rPr>
                <w:rFonts w:cs="Calibri Light"/>
                <w:color w:val="000000"/>
              </w:rPr>
              <w:t>Res</w:t>
            </w:r>
          </w:p>
        </w:tc>
      </w:tr>
      <w:tr w:rsidR="006E0236" w:rsidRPr="00DE0BD6" w14:paraId="0150BE01" w14:textId="77777777" w:rsidTr="00586A76">
        <w:trPr>
          <w:trHeight w:val="290"/>
        </w:trPr>
        <w:tc>
          <w:tcPr>
            <w:tcW w:w="3024" w:type="dxa"/>
            <w:noWrap/>
            <w:tcMar>
              <w:top w:w="0" w:type="dxa"/>
              <w:left w:w="108" w:type="dxa"/>
              <w:bottom w:w="0" w:type="dxa"/>
              <w:right w:w="108" w:type="dxa"/>
            </w:tcMar>
            <w:vAlign w:val="bottom"/>
          </w:tcPr>
          <w:p w14:paraId="24C13CEE" w14:textId="52DB17BD" w:rsidR="006E0236" w:rsidRPr="00DE0BD6" w:rsidRDefault="006E0236" w:rsidP="00B85B77">
            <w:pPr>
              <w:spacing w:before="0" w:after="0"/>
              <w:rPr>
                <w:rFonts w:cs="Calibri Light"/>
              </w:rPr>
            </w:pPr>
            <w:r w:rsidRPr="00DE0BD6">
              <w:rPr>
                <w:rFonts w:cs="Calibri Light"/>
              </w:rPr>
              <w:t>New construction</w:t>
            </w:r>
          </w:p>
        </w:tc>
        <w:tc>
          <w:tcPr>
            <w:tcW w:w="3024" w:type="dxa"/>
            <w:noWrap/>
            <w:tcMar>
              <w:top w:w="0" w:type="dxa"/>
              <w:left w:w="108" w:type="dxa"/>
              <w:bottom w:w="0" w:type="dxa"/>
              <w:right w:w="108" w:type="dxa"/>
            </w:tcMar>
            <w:vAlign w:val="bottom"/>
          </w:tcPr>
          <w:p w14:paraId="244B46F0" w14:textId="635C6D02" w:rsidR="006E0236" w:rsidRDefault="006E0236" w:rsidP="00B85B77">
            <w:pPr>
              <w:spacing w:before="0" w:after="0"/>
              <w:rPr>
                <w:rFonts w:cs="Calibri Light"/>
                <w:color w:val="000000"/>
              </w:rPr>
            </w:pPr>
            <w:r>
              <w:rPr>
                <w:rFonts w:cs="Calibri Light"/>
                <w:color w:val="000000"/>
              </w:rPr>
              <w:t>DnDeemed</w:t>
            </w:r>
          </w:p>
        </w:tc>
        <w:tc>
          <w:tcPr>
            <w:tcW w:w="3024" w:type="dxa"/>
            <w:noWrap/>
            <w:tcMar>
              <w:top w:w="0" w:type="dxa"/>
              <w:left w:w="108" w:type="dxa"/>
              <w:bottom w:w="0" w:type="dxa"/>
              <w:right w:w="108" w:type="dxa"/>
            </w:tcMar>
            <w:vAlign w:val="bottom"/>
          </w:tcPr>
          <w:p w14:paraId="76ED1BCF" w14:textId="3D72C661" w:rsidR="006E0236" w:rsidRPr="00DE0BD6" w:rsidRDefault="006E0236" w:rsidP="00B85B77">
            <w:pPr>
              <w:spacing w:before="0" w:after="0"/>
              <w:rPr>
                <w:rFonts w:cs="Calibri Light"/>
                <w:color w:val="000000"/>
              </w:rPr>
            </w:pPr>
            <w:r w:rsidRPr="00DE0BD6">
              <w:rPr>
                <w:rFonts w:cs="Calibri Light"/>
                <w:color w:val="000000"/>
              </w:rPr>
              <w:t>Res</w:t>
            </w:r>
          </w:p>
        </w:tc>
      </w:tr>
      <w:tr w:rsidR="00E20A67" w:rsidRPr="00DE0BD6" w14:paraId="09D62BA5" w14:textId="77777777" w:rsidTr="00586A76">
        <w:trPr>
          <w:trHeight w:val="290"/>
        </w:trPr>
        <w:tc>
          <w:tcPr>
            <w:tcW w:w="3024" w:type="dxa"/>
            <w:noWrap/>
            <w:tcMar>
              <w:top w:w="0" w:type="dxa"/>
              <w:left w:w="108" w:type="dxa"/>
              <w:bottom w:w="0" w:type="dxa"/>
              <w:right w:w="108" w:type="dxa"/>
            </w:tcMar>
            <w:vAlign w:val="bottom"/>
          </w:tcPr>
          <w:p w14:paraId="37AA5135" w14:textId="79205819" w:rsidR="00E20A67" w:rsidRPr="00DE0BD6" w:rsidRDefault="00E20A67" w:rsidP="00B85B77">
            <w:pPr>
              <w:spacing w:before="0" w:after="0"/>
              <w:rPr>
                <w:sz w:val="20"/>
              </w:rPr>
            </w:pPr>
            <w:r w:rsidRPr="00DE0BD6">
              <w:rPr>
                <w:rFonts w:cs="Calibri Light"/>
              </w:rPr>
              <w:t>Accelerated replacement</w:t>
            </w:r>
          </w:p>
        </w:tc>
        <w:tc>
          <w:tcPr>
            <w:tcW w:w="3024" w:type="dxa"/>
            <w:noWrap/>
            <w:tcMar>
              <w:top w:w="0" w:type="dxa"/>
              <w:left w:w="108" w:type="dxa"/>
              <w:bottom w:w="0" w:type="dxa"/>
              <w:right w:w="108" w:type="dxa"/>
            </w:tcMar>
            <w:vAlign w:val="bottom"/>
          </w:tcPr>
          <w:p w14:paraId="1BFA3985" w14:textId="4C1337C4" w:rsidR="00E20A67" w:rsidRPr="00DE0BD6" w:rsidRDefault="00E20A67" w:rsidP="00B85B77">
            <w:pPr>
              <w:spacing w:before="0" w:after="0"/>
              <w:rPr>
                <w:color w:val="000000"/>
                <w:sz w:val="20"/>
              </w:rPr>
            </w:pPr>
            <w:r>
              <w:rPr>
                <w:rFonts w:cs="Calibri Light"/>
                <w:color w:val="000000"/>
              </w:rPr>
              <w:t>DnDeemDI</w:t>
            </w:r>
          </w:p>
        </w:tc>
        <w:tc>
          <w:tcPr>
            <w:tcW w:w="3024" w:type="dxa"/>
            <w:noWrap/>
            <w:tcMar>
              <w:top w:w="0" w:type="dxa"/>
              <w:left w:w="108" w:type="dxa"/>
              <w:bottom w:w="0" w:type="dxa"/>
              <w:right w:w="108" w:type="dxa"/>
            </w:tcMar>
            <w:vAlign w:val="bottom"/>
          </w:tcPr>
          <w:p w14:paraId="697D5FEE" w14:textId="2744670A" w:rsidR="00E20A67" w:rsidRPr="00DE0BD6" w:rsidRDefault="00E20A67" w:rsidP="00B85B77">
            <w:pPr>
              <w:spacing w:before="0" w:after="0"/>
              <w:rPr>
                <w:color w:val="000000"/>
                <w:sz w:val="20"/>
              </w:rPr>
            </w:pPr>
            <w:r w:rsidRPr="00DE0BD6">
              <w:rPr>
                <w:rFonts w:cs="Calibri Light"/>
                <w:color w:val="000000"/>
              </w:rPr>
              <w:t>Res</w:t>
            </w:r>
          </w:p>
        </w:tc>
      </w:tr>
      <w:tr w:rsidR="006E0236" w:rsidRPr="00DE0BD6" w14:paraId="3FE19350" w14:textId="77777777" w:rsidTr="00586A76">
        <w:trPr>
          <w:trHeight w:val="290"/>
        </w:trPr>
        <w:tc>
          <w:tcPr>
            <w:tcW w:w="3024" w:type="dxa"/>
            <w:noWrap/>
            <w:tcMar>
              <w:top w:w="0" w:type="dxa"/>
              <w:left w:w="108" w:type="dxa"/>
              <w:bottom w:w="0" w:type="dxa"/>
              <w:right w:w="108" w:type="dxa"/>
            </w:tcMar>
            <w:vAlign w:val="bottom"/>
          </w:tcPr>
          <w:p w14:paraId="36463130" w14:textId="20D2FEE6" w:rsidR="006E0236" w:rsidRPr="00DE0BD6" w:rsidRDefault="006E0236" w:rsidP="00B85B77">
            <w:pPr>
              <w:spacing w:before="0" w:after="0"/>
              <w:rPr>
                <w:rFonts w:cs="Calibri Light"/>
              </w:rPr>
            </w:pPr>
            <w:r w:rsidRPr="00DE0BD6">
              <w:rPr>
                <w:rFonts w:cs="Calibri Light"/>
              </w:rPr>
              <w:t>Accelerated replacement</w:t>
            </w:r>
          </w:p>
        </w:tc>
        <w:tc>
          <w:tcPr>
            <w:tcW w:w="3024" w:type="dxa"/>
            <w:noWrap/>
            <w:tcMar>
              <w:top w:w="0" w:type="dxa"/>
              <w:left w:w="108" w:type="dxa"/>
              <w:bottom w:w="0" w:type="dxa"/>
              <w:right w:w="108" w:type="dxa"/>
            </w:tcMar>
            <w:vAlign w:val="bottom"/>
          </w:tcPr>
          <w:p w14:paraId="3DD9C6AB" w14:textId="0922EB05" w:rsidR="006E0236" w:rsidRDefault="006E0236" w:rsidP="00B85B77">
            <w:pPr>
              <w:spacing w:before="0" w:after="0"/>
              <w:rPr>
                <w:rFonts w:cs="Calibri Light"/>
                <w:color w:val="000000"/>
              </w:rPr>
            </w:pPr>
            <w:r>
              <w:rPr>
                <w:rFonts w:cs="Calibri Light"/>
                <w:color w:val="000000"/>
              </w:rPr>
              <w:t>UpDeemed</w:t>
            </w:r>
          </w:p>
        </w:tc>
        <w:tc>
          <w:tcPr>
            <w:tcW w:w="3024" w:type="dxa"/>
            <w:noWrap/>
            <w:tcMar>
              <w:top w:w="0" w:type="dxa"/>
              <w:left w:w="108" w:type="dxa"/>
              <w:bottom w:w="0" w:type="dxa"/>
              <w:right w:w="108" w:type="dxa"/>
            </w:tcMar>
            <w:vAlign w:val="bottom"/>
          </w:tcPr>
          <w:p w14:paraId="66A76BDB" w14:textId="421C51F7" w:rsidR="006E0236" w:rsidRPr="00DE0BD6" w:rsidRDefault="006E0236" w:rsidP="00B85B77">
            <w:pPr>
              <w:spacing w:before="0" w:after="0"/>
              <w:rPr>
                <w:rFonts w:cs="Calibri Light"/>
                <w:color w:val="000000"/>
              </w:rPr>
            </w:pPr>
            <w:r w:rsidRPr="00DE0BD6">
              <w:rPr>
                <w:rFonts w:cs="Calibri Light"/>
                <w:color w:val="000000"/>
              </w:rPr>
              <w:t>Res</w:t>
            </w:r>
          </w:p>
        </w:tc>
      </w:tr>
      <w:tr w:rsidR="006E0236" w:rsidRPr="00DE0BD6" w14:paraId="1E6F63A0" w14:textId="77777777" w:rsidTr="00586A76">
        <w:trPr>
          <w:trHeight w:val="290"/>
        </w:trPr>
        <w:tc>
          <w:tcPr>
            <w:tcW w:w="3024" w:type="dxa"/>
            <w:noWrap/>
            <w:tcMar>
              <w:top w:w="0" w:type="dxa"/>
              <w:left w:w="108" w:type="dxa"/>
              <w:bottom w:w="0" w:type="dxa"/>
              <w:right w:w="108" w:type="dxa"/>
            </w:tcMar>
            <w:vAlign w:val="bottom"/>
          </w:tcPr>
          <w:p w14:paraId="2AA972E2" w14:textId="59896FAE" w:rsidR="006E0236" w:rsidRPr="00DE0BD6" w:rsidRDefault="006E0236" w:rsidP="00B85B77">
            <w:pPr>
              <w:spacing w:before="0" w:after="0"/>
              <w:rPr>
                <w:rFonts w:cs="Calibri Light"/>
              </w:rPr>
            </w:pPr>
            <w:r w:rsidRPr="00DE0BD6">
              <w:rPr>
                <w:rFonts w:cs="Calibri Light"/>
              </w:rPr>
              <w:t>Accelerated replacement</w:t>
            </w:r>
          </w:p>
        </w:tc>
        <w:tc>
          <w:tcPr>
            <w:tcW w:w="3024" w:type="dxa"/>
            <w:noWrap/>
            <w:tcMar>
              <w:top w:w="0" w:type="dxa"/>
              <w:left w:w="108" w:type="dxa"/>
              <w:bottom w:w="0" w:type="dxa"/>
              <w:right w:w="108" w:type="dxa"/>
            </w:tcMar>
            <w:vAlign w:val="bottom"/>
          </w:tcPr>
          <w:p w14:paraId="41A9174D" w14:textId="3944BC72" w:rsidR="006E0236" w:rsidRDefault="006E0236" w:rsidP="00B85B77">
            <w:pPr>
              <w:spacing w:before="0" w:after="0"/>
              <w:rPr>
                <w:rFonts w:cs="Calibri Light"/>
                <w:color w:val="000000"/>
              </w:rPr>
            </w:pPr>
            <w:r>
              <w:rPr>
                <w:rFonts w:cs="Calibri Light"/>
                <w:color w:val="000000"/>
              </w:rPr>
              <w:t>DnDeemed</w:t>
            </w:r>
          </w:p>
        </w:tc>
        <w:tc>
          <w:tcPr>
            <w:tcW w:w="3024" w:type="dxa"/>
            <w:noWrap/>
            <w:tcMar>
              <w:top w:w="0" w:type="dxa"/>
              <w:left w:w="108" w:type="dxa"/>
              <w:bottom w:w="0" w:type="dxa"/>
              <w:right w:w="108" w:type="dxa"/>
            </w:tcMar>
            <w:vAlign w:val="bottom"/>
          </w:tcPr>
          <w:p w14:paraId="0EEFBE97" w14:textId="53814EEA" w:rsidR="006E0236" w:rsidRPr="00DE0BD6" w:rsidRDefault="006E0236" w:rsidP="00B85B77">
            <w:pPr>
              <w:spacing w:before="0" w:after="0"/>
              <w:rPr>
                <w:rFonts w:cs="Calibri Light"/>
                <w:color w:val="000000"/>
              </w:rPr>
            </w:pPr>
            <w:r w:rsidRPr="00DE0BD6">
              <w:rPr>
                <w:rFonts w:cs="Calibri Light"/>
                <w:color w:val="000000"/>
              </w:rPr>
              <w:t>Res</w:t>
            </w:r>
          </w:p>
        </w:tc>
      </w:tr>
    </w:tbl>
    <w:p w14:paraId="73035A5C" w14:textId="77777777" w:rsidR="001B426F" w:rsidRDefault="001B426F" w:rsidP="001B426F"/>
    <w:bookmarkEnd w:id="33"/>
    <w:bookmarkEnd w:id="34"/>
    <w:p w14:paraId="50711562" w14:textId="5D0894B2" w:rsidR="00AA46AF" w:rsidRDefault="00196649" w:rsidP="002D0487">
      <w:pPr>
        <w:pStyle w:val="eTRMHeading5"/>
        <w:keepNext/>
        <w:keepLines/>
      </w:pPr>
      <w:r>
        <w:t>Eligible Products</w:t>
      </w:r>
    </w:p>
    <w:p w14:paraId="6668ADA4" w14:textId="77777777" w:rsidR="00DE0BD6" w:rsidRPr="00DE0BD6" w:rsidRDefault="006B1492" w:rsidP="002D0487">
      <w:pPr>
        <w:keepNext/>
        <w:keepLines/>
        <w:rPr>
          <w:rFonts w:eastAsiaTheme="minorHAnsi"/>
          <w:szCs w:val="22"/>
        </w:rPr>
      </w:pPr>
      <w:r w:rsidRPr="00DE0BD6">
        <w:rPr>
          <w:rFonts w:eastAsiaTheme="minorHAnsi"/>
          <w:szCs w:val="22"/>
        </w:rPr>
        <w:t xml:space="preserve">To ensure eligibility, the make and model number must be included with a copy of the purchase receipt. </w:t>
      </w:r>
    </w:p>
    <w:p w14:paraId="454F21D0" w14:textId="3FD09C43" w:rsidR="002942B0" w:rsidRPr="00DE0BD6" w:rsidRDefault="00DE0BD6" w:rsidP="002942B0">
      <w:r w:rsidRPr="00DE0BD6">
        <w:rPr>
          <w:rFonts w:eastAsiaTheme="minorHAnsi"/>
          <w:szCs w:val="22"/>
        </w:rPr>
        <w:t>The</w:t>
      </w:r>
      <w:r w:rsidR="006B1492" w:rsidRPr="00DE0BD6">
        <w:rPr>
          <w:rFonts w:eastAsiaTheme="minorHAnsi"/>
          <w:szCs w:val="22"/>
        </w:rPr>
        <w:t xml:space="preserve"> product must be certified by International Association of Plumbing and Mechanical Officials (IAPMO).</w:t>
      </w:r>
    </w:p>
    <w:p w14:paraId="1D62512A" w14:textId="27F6996B" w:rsidR="002942B0" w:rsidRPr="00DE0BD6" w:rsidRDefault="00DE0BD6" w:rsidP="002942B0">
      <w:pPr>
        <w:rPr>
          <w:rFonts w:eastAsiaTheme="minorHAnsi"/>
          <w:szCs w:val="22"/>
        </w:rPr>
      </w:pPr>
      <w:r w:rsidRPr="00DE0BD6">
        <w:rPr>
          <w:rFonts w:eastAsiaTheme="minorHAnsi"/>
          <w:szCs w:val="22"/>
        </w:rPr>
        <w:t>To ensure eligibility, the make and model number must be included with a copy of the purchase receipt.</w:t>
      </w:r>
    </w:p>
    <w:p w14:paraId="3A687670" w14:textId="77777777" w:rsidR="00DE0BD6" w:rsidRDefault="00DE0BD6"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7AA25502" w14:textId="4B82BDE6" w:rsidR="00571D95" w:rsidRDefault="00BD2073" w:rsidP="00571D95">
      <w:r w:rsidRPr="00F947BF">
        <w:t xml:space="preserve">This measure is applicable in </w:t>
      </w:r>
      <w:r w:rsidR="006B1492" w:rsidRPr="00F947BF">
        <w:t>single-family, multifamily</w:t>
      </w:r>
      <w:r w:rsidR="00411BFD" w:rsidRPr="00F947BF">
        <w:t xml:space="preserve">, and double-wide mobile </w:t>
      </w:r>
      <w:r w:rsidRPr="00F947BF">
        <w:t xml:space="preserve">homes </w:t>
      </w:r>
      <w:r w:rsidR="00C81BDE">
        <w:t>with a</w:t>
      </w:r>
      <w:r w:rsidRPr="00F947BF">
        <w:t xml:space="preserve"> </w:t>
      </w:r>
      <w:r w:rsidR="00523A43" w:rsidRPr="00F619CC">
        <w:t xml:space="preserve">tub/shower </w:t>
      </w:r>
      <w:r w:rsidRPr="00F947BF">
        <w:t>comb</w:t>
      </w:r>
      <w:r w:rsidR="003A7776" w:rsidRPr="00F947BF">
        <w:t>ination</w:t>
      </w:r>
      <w:r w:rsidRPr="00F947BF">
        <w:t>.</w:t>
      </w:r>
    </w:p>
    <w:p w14:paraId="37FEB49B" w14:textId="77777777" w:rsidR="006B1492" w:rsidRPr="00571D95" w:rsidRDefault="006B1492" w:rsidP="00571D95"/>
    <w:p w14:paraId="1A3705F3" w14:textId="4BC0985D" w:rsidR="007B6A74" w:rsidRPr="004B06E3" w:rsidRDefault="00196649" w:rsidP="00154391">
      <w:pPr>
        <w:pStyle w:val="eTRMHeading5"/>
      </w:pPr>
      <w:r>
        <w:t>Eligible Climate Zones</w:t>
      </w:r>
    </w:p>
    <w:p w14:paraId="4A9FD22A" w14:textId="4ACBE2ED" w:rsidR="004B6780" w:rsidRDefault="004B6780" w:rsidP="004B6780">
      <w:r>
        <w:t xml:space="preserve">This measure is applicable </w:t>
      </w:r>
      <w:r w:rsidR="00411BFD">
        <w:t>in</w:t>
      </w:r>
      <w:r>
        <w:t xml:space="preserve"> </w:t>
      </w:r>
      <w:r w:rsidR="00BE7DE8">
        <w:t>any</w:t>
      </w:r>
      <w:r>
        <w:t xml:space="preserve"> California climate zone.</w:t>
      </w:r>
    </w:p>
    <w:p w14:paraId="34FF761D" w14:textId="77777777" w:rsidR="006C41AD" w:rsidRPr="004B06E3" w:rsidRDefault="006C41AD" w:rsidP="004B06E3"/>
    <w:p w14:paraId="47630D60" w14:textId="77777777" w:rsidR="007D230B" w:rsidRPr="004B06E3" w:rsidRDefault="007D230B" w:rsidP="00462BB6">
      <w:pPr>
        <w:pStyle w:val="eTRMHeading3"/>
      </w:pPr>
      <w:bookmarkStart w:id="37" w:name="_Toc486490853"/>
      <w:bookmarkStart w:id="38" w:name="_Toc486580924"/>
      <w:bookmarkStart w:id="39" w:name="_Toc23509265"/>
      <w:r w:rsidRPr="004B06E3">
        <w:t>Program Exclusions</w:t>
      </w:r>
      <w:bookmarkEnd w:id="37"/>
      <w:bookmarkEnd w:id="38"/>
      <w:bookmarkEnd w:id="39"/>
      <w:r w:rsidRPr="004B06E3">
        <w:t xml:space="preserve"> </w:t>
      </w:r>
    </w:p>
    <w:p w14:paraId="5E58E0A1" w14:textId="77777777" w:rsidR="00DE0BD6" w:rsidRDefault="006B1492" w:rsidP="006B1492">
      <w:r w:rsidRPr="009024B1">
        <w:t xml:space="preserve">The measure cannot be applied where tankless water heaters are used. </w:t>
      </w:r>
    </w:p>
    <w:p w14:paraId="6CE5FF16" w14:textId="77777777" w:rsidR="00DE0BD6" w:rsidRDefault="006B1492" w:rsidP="006B1492">
      <w:r w:rsidRPr="009024B1">
        <w:t xml:space="preserve">Instantaneous tankless water heaters may have different effect on savings with </w:t>
      </w:r>
      <w:r>
        <w:t>thermostatic shut-off</w:t>
      </w:r>
      <w:r w:rsidRPr="009024B1">
        <w:t xml:space="preserve"> valves.</w:t>
      </w:r>
      <w:r>
        <w:t xml:space="preserve">  </w:t>
      </w:r>
    </w:p>
    <w:p w14:paraId="2D255ED2" w14:textId="48D9F703" w:rsidR="006B1492" w:rsidRPr="004126B8" w:rsidRDefault="00411BFD" w:rsidP="006B1492">
      <w:r>
        <w:t>This measure is n</w:t>
      </w:r>
      <w:r w:rsidR="006B1492">
        <w:t>ot</w:t>
      </w:r>
      <w:r w:rsidR="006B1492" w:rsidRPr="004126B8">
        <w:t xml:space="preserve"> compatible with showers </w:t>
      </w:r>
      <w:r>
        <w:t>with</w:t>
      </w:r>
      <w:r w:rsidR="006B1492" w:rsidRPr="004126B8">
        <w:t xml:space="preserve"> a wall</w:t>
      </w:r>
      <w:r>
        <w:t>-</w:t>
      </w:r>
      <w:r w:rsidR="006B1492" w:rsidRPr="004126B8">
        <w:t>mounted diverter</w:t>
      </w:r>
      <w:r w:rsidR="006B1492">
        <w:t>.</w:t>
      </w:r>
    </w:p>
    <w:p w14:paraId="76A9A64F" w14:textId="77777777" w:rsidR="007B6A74" w:rsidRPr="004B06E3" w:rsidRDefault="007B6A74" w:rsidP="004B06E3"/>
    <w:p w14:paraId="655E299F" w14:textId="77777777" w:rsidR="007D230B" w:rsidRPr="004B06E3" w:rsidRDefault="007D230B" w:rsidP="00462BB6">
      <w:pPr>
        <w:pStyle w:val="eTRMHeading3"/>
      </w:pPr>
      <w:bookmarkStart w:id="40" w:name="_Toc486490854"/>
      <w:bookmarkStart w:id="41" w:name="_Toc486580925"/>
      <w:bookmarkStart w:id="42" w:name="_Toc23509266"/>
      <w:r w:rsidRPr="004B06E3">
        <w:t>Data Collection Requirements</w:t>
      </w:r>
      <w:bookmarkEnd w:id="40"/>
      <w:bookmarkEnd w:id="41"/>
      <w:bookmarkEnd w:id="42"/>
      <w:r w:rsidRPr="004B06E3">
        <w:t xml:space="preserve"> </w:t>
      </w:r>
    </w:p>
    <w:p w14:paraId="34467CCC" w14:textId="5EAF4442" w:rsidR="00BF28A1" w:rsidRPr="00CE5617" w:rsidRDefault="00BF28A1" w:rsidP="00BF28A1">
      <w:pPr>
        <w:rPr>
          <w:rFonts w:cs="Arial"/>
          <w:szCs w:val="22"/>
        </w:rPr>
      </w:pPr>
      <w:r w:rsidRPr="00CE5617">
        <w:rPr>
          <w:rFonts w:cs="Arial"/>
          <w:szCs w:val="22"/>
        </w:rPr>
        <w:t xml:space="preserve">There is currently no single study which </w:t>
      </w:r>
      <w:r>
        <w:rPr>
          <w:rFonts w:cs="Arial"/>
          <w:szCs w:val="22"/>
        </w:rPr>
        <w:t xml:space="preserve">is recognized as a statewide acceptable report on </w:t>
      </w:r>
      <w:r w:rsidRPr="00CE5617">
        <w:rPr>
          <w:rFonts w:cs="Arial"/>
          <w:szCs w:val="22"/>
        </w:rPr>
        <w:t xml:space="preserve">the use of hot water in </w:t>
      </w:r>
      <w:r w:rsidR="00523A43" w:rsidRPr="00F619CC">
        <w:t xml:space="preserve">tub/shower </w:t>
      </w:r>
      <w:r w:rsidR="00411BFD">
        <w:rPr>
          <w:rFonts w:cs="Arial"/>
          <w:szCs w:val="22"/>
        </w:rPr>
        <w:t>combinations</w:t>
      </w:r>
      <w:r w:rsidRPr="00CE5617">
        <w:rPr>
          <w:rFonts w:cs="Arial"/>
          <w:szCs w:val="22"/>
        </w:rPr>
        <w:t xml:space="preserve"> for single family and multifamily</w:t>
      </w:r>
      <w:r w:rsidR="00523A43">
        <w:rPr>
          <w:rFonts w:cs="Arial"/>
          <w:szCs w:val="22"/>
        </w:rPr>
        <w:t>/</w:t>
      </w:r>
      <w:r w:rsidR="00081E6E">
        <w:rPr>
          <w:rFonts w:cs="Arial"/>
          <w:szCs w:val="22"/>
        </w:rPr>
        <w:t xml:space="preserve">double-wide </w:t>
      </w:r>
      <w:r w:rsidR="00523A43">
        <w:rPr>
          <w:rFonts w:cs="Arial"/>
          <w:szCs w:val="22"/>
        </w:rPr>
        <w:t>mobile home</w:t>
      </w:r>
      <w:r w:rsidRPr="00CE5617">
        <w:rPr>
          <w:rFonts w:cs="Arial"/>
          <w:szCs w:val="22"/>
        </w:rPr>
        <w:t xml:space="preserve"> </w:t>
      </w:r>
      <w:r w:rsidR="00936B74">
        <w:rPr>
          <w:rFonts w:cs="Arial"/>
          <w:szCs w:val="22"/>
        </w:rPr>
        <w:t>residences</w:t>
      </w:r>
      <w:r w:rsidRPr="00CE5617">
        <w:rPr>
          <w:rFonts w:cs="Arial"/>
          <w:szCs w:val="22"/>
        </w:rPr>
        <w:t xml:space="preserve">. The studies </w:t>
      </w:r>
      <w:r w:rsidR="00DC1597">
        <w:rPr>
          <w:rFonts w:cs="Arial"/>
          <w:szCs w:val="22"/>
        </w:rPr>
        <w:t>summarized in the Technology Summary</w:t>
      </w:r>
      <w:r w:rsidRPr="00CE5617">
        <w:rPr>
          <w:rFonts w:cs="Arial"/>
          <w:szCs w:val="22"/>
        </w:rPr>
        <w:t xml:space="preserve"> are the best available data</w:t>
      </w:r>
      <w:r w:rsidR="00936B74">
        <w:rPr>
          <w:rFonts w:cs="Arial"/>
          <w:szCs w:val="22"/>
        </w:rPr>
        <w:t xml:space="preserve"> at the time of this analysis</w:t>
      </w:r>
      <w:r w:rsidRPr="00CE5617">
        <w:rPr>
          <w:rFonts w:cs="Arial"/>
          <w:szCs w:val="22"/>
        </w:rPr>
        <w:t xml:space="preserve">. Further research is needed both in the area of hot water usage in </w:t>
      </w:r>
      <w:r w:rsidR="00523A43" w:rsidRPr="00F619CC">
        <w:t xml:space="preserve">tub/shower </w:t>
      </w:r>
      <w:r w:rsidR="00936B74">
        <w:rPr>
          <w:rFonts w:cs="Arial"/>
          <w:szCs w:val="22"/>
        </w:rPr>
        <w:t>combinations</w:t>
      </w:r>
      <w:r w:rsidRPr="00CE5617">
        <w:rPr>
          <w:rFonts w:cs="Arial"/>
          <w:szCs w:val="22"/>
        </w:rPr>
        <w:t xml:space="preserve"> (including warm-up practices) and current pre-existing conditions for both tub spout and showerhead. </w:t>
      </w:r>
      <w:r w:rsidR="00DC1597">
        <w:rPr>
          <w:rFonts w:cs="Arial"/>
          <w:szCs w:val="22"/>
        </w:rPr>
        <w:t>C</w:t>
      </w:r>
      <w:r w:rsidRPr="00CE5617">
        <w:rPr>
          <w:rFonts w:cs="Arial"/>
          <w:szCs w:val="22"/>
        </w:rPr>
        <w:t xml:space="preserve">ode changes for showerhead flow rates </w:t>
      </w:r>
      <w:r w:rsidR="00DC1597">
        <w:rPr>
          <w:rFonts w:cs="Arial"/>
          <w:szCs w:val="22"/>
        </w:rPr>
        <w:t>and</w:t>
      </w:r>
      <w:r w:rsidRPr="00CE5617">
        <w:rPr>
          <w:rFonts w:cs="Arial"/>
          <w:szCs w:val="22"/>
        </w:rPr>
        <w:t xml:space="preserve"> the </w:t>
      </w:r>
      <w:r w:rsidR="00DC1597">
        <w:rPr>
          <w:rFonts w:cs="Arial"/>
          <w:szCs w:val="22"/>
        </w:rPr>
        <w:t xml:space="preserve">persistent </w:t>
      </w:r>
      <w:r w:rsidRPr="00CE5617">
        <w:rPr>
          <w:rFonts w:cs="Arial"/>
          <w:szCs w:val="22"/>
        </w:rPr>
        <w:t xml:space="preserve">drought </w:t>
      </w:r>
      <w:r w:rsidR="00DC1597">
        <w:rPr>
          <w:rFonts w:cs="Arial"/>
          <w:szCs w:val="22"/>
        </w:rPr>
        <w:t>throughout</w:t>
      </w:r>
      <w:r w:rsidRPr="00CE5617">
        <w:rPr>
          <w:rFonts w:cs="Arial"/>
          <w:szCs w:val="22"/>
        </w:rPr>
        <w:t xml:space="preserve"> California</w:t>
      </w:r>
      <w:r>
        <w:rPr>
          <w:rFonts w:cs="Arial"/>
          <w:szCs w:val="22"/>
        </w:rPr>
        <w:t xml:space="preserve"> </w:t>
      </w:r>
      <w:r w:rsidR="00936B74">
        <w:rPr>
          <w:rFonts w:cs="Arial"/>
          <w:szCs w:val="22"/>
        </w:rPr>
        <w:t>underscore the need for</w:t>
      </w:r>
      <w:r w:rsidR="00DC1597">
        <w:rPr>
          <w:rFonts w:cs="Arial"/>
          <w:szCs w:val="22"/>
        </w:rPr>
        <w:t xml:space="preserve"> research to update</w:t>
      </w:r>
      <w:r>
        <w:rPr>
          <w:rFonts w:cs="Arial"/>
          <w:szCs w:val="22"/>
        </w:rPr>
        <w:t xml:space="preserve"> shower</w:t>
      </w:r>
      <w:r w:rsidRPr="00CE5617">
        <w:rPr>
          <w:rFonts w:cs="Arial"/>
          <w:szCs w:val="22"/>
        </w:rPr>
        <w:t>head flow rates</w:t>
      </w:r>
      <w:r w:rsidR="00DC1597">
        <w:rPr>
          <w:rFonts w:cs="Arial"/>
          <w:szCs w:val="22"/>
        </w:rPr>
        <w:t xml:space="preserve"> and other determinant factors of water and energy usage</w:t>
      </w:r>
      <w:r w:rsidRPr="00CE5617">
        <w:rPr>
          <w:rFonts w:cs="Arial"/>
          <w:szCs w:val="22"/>
        </w:rPr>
        <w:t>.</w:t>
      </w:r>
    </w:p>
    <w:p w14:paraId="49298D4E" w14:textId="77777777" w:rsidR="00750840" w:rsidRPr="004B06E3" w:rsidRDefault="00750840" w:rsidP="004B06E3"/>
    <w:p w14:paraId="4891FCAB" w14:textId="77777777" w:rsidR="007D230B" w:rsidRPr="004B06E3" w:rsidRDefault="007D230B" w:rsidP="00462BB6">
      <w:pPr>
        <w:pStyle w:val="eTRMHeading3"/>
      </w:pPr>
      <w:bookmarkStart w:id="43" w:name="_Toc486490855"/>
      <w:bookmarkStart w:id="44" w:name="_Toc486580926"/>
      <w:bookmarkStart w:id="45" w:name="_Toc23509267"/>
      <w:r w:rsidRPr="004B06E3">
        <w:t>Use Category</w:t>
      </w:r>
      <w:bookmarkEnd w:id="43"/>
      <w:bookmarkEnd w:id="44"/>
      <w:bookmarkEnd w:id="45"/>
    </w:p>
    <w:p w14:paraId="239700F1" w14:textId="5465AFA0" w:rsidR="007D230B" w:rsidRPr="004B06E3" w:rsidRDefault="00352D22" w:rsidP="008E7C7F">
      <w:r>
        <w:t>Service</w:t>
      </w:r>
      <w:r w:rsidR="008E7C7F">
        <w:t xml:space="preserve"> </w:t>
      </w:r>
      <w:r w:rsidR="002E0550">
        <w:t>&amp; Domestic Hot Water</w:t>
      </w:r>
    </w:p>
    <w:p w14:paraId="4B62D367" w14:textId="370A839E" w:rsidR="007D230B" w:rsidRPr="004B06E3" w:rsidRDefault="007D230B" w:rsidP="00462BB6">
      <w:pPr>
        <w:pStyle w:val="eTRMHeading3"/>
      </w:pPr>
      <w:bookmarkStart w:id="46" w:name="_Toc486490857"/>
      <w:bookmarkStart w:id="47" w:name="_Toc486580928"/>
      <w:bookmarkStart w:id="48" w:name="_Toc23509268"/>
      <w:r w:rsidRPr="004B06E3">
        <w:lastRenderedPageBreak/>
        <w:t>Electric Savings</w:t>
      </w:r>
      <w:r w:rsidR="00245AFF" w:rsidRPr="004B06E3">
        <w:t xml:space="preserve"> (</w:t>
      </w:r>
      <w:r w:rsidR="00E14349" w:rsidRPr="00E14349">
        <w:t>k</w:t>
      </w:r>
      <w:r w:rsidR="00245AFF" w:rsidRPr="004B06E3">
        <w:t>Wh)</w:t>
      </w:r>
      <w:bookmarkEnd w:id="46"/>
      <w:bookmarkEnd w:id="47"/>
      <w:bookmarkEnd w:id="48"/>
    </w:p>
    <w:p w14:paraId="53096AFC" w14:textId="77777777" w:rsidR="00FA47A8" w:rsidRDefault="00FA47A8" w:rsidP="00AD0A81">
      <w:bookmarkStart w:id="49" w:name="_Toc486490856"/>
      <w:bookmarkStart w:id="50" w:name="_Toc486580927"/>
      <w:r>
        <w:t xml:space="preserve">As shown below, the electric UES is derived from the gas UES, the ratio of the recovery efficiency of a gas water heater to that an electric water heater, and a therm-to-kWh conversion factor. </w:t>
      </w:r>
    </w:p>
    <w:p w14:paraId="1CCEB298" w14:textId="77777777" w:rsidR="00FA47A8" w:rsidRPr="008560FF" w:rsidRDefault="00D8402E" w:rsidP="00FA47A8">
      <w:pPr>
        <w:ind w:left="720"/>
        <w:rPr>
          <w:rFonts w:asciiTheme="minorHAnsi" w:hAnsiTheme="minorHAnsi"/>
          <w:sz w:val="16"/>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 xml:space="preserve">kWh, showerhead </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UES</m:t>
              </m:r>
            </m:e>
            <m:sub>
              <m:r>
                <w:rPr>
                  <w:rFonts w:ascii="Cambria Math" w:hAnsi="Cambria Math"/>
                  <w:sz w:val="18"/>
                </w:rPr>
                <m:t>therms,showerhead</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EFF</m:t>
                  </m:r>
                </m:e>
                <m:sub>
                  <m:r>
                    <w:rPr>
                      <w:rFonts w:ascii="Cambria Math" w:hAnsi="Cambria Math"/>
                      <w:sz w:val="18"/>
                    </w:rPr>
                    <m:t>gas</m:t>
                  </m:r>
                </m:sub>
              </m:sSub>
            </m:num>
            <m:den>
              <m:sSub>
                <m:sSubPr>
                  <m:ctrlPr>
                    <w:rPr>
                      <w:rFonts w:ascii="Cambria Math" w:hAnsi="Cambria Math"/>
                      <w:i/>
                      <w:sz w:val="18"/>
                    </w:rPr>
                  </m:ctrlPr>
                </m:sSubPr>
                <m:e>
                  <m:r>
                    <w:rPr>
                      <w:rFonts w:ascii="Cambria Math" w:hAnsi="Cambria Math"/>
                      <w:sz w:val="18"/>
                    </w:rPr>
                    <m:t>EFF</m:t>
                  </m:r>
                </m:e>
                <m:sub>
                  <m:r>
                    <w:rPr>
                      <w:rFonts w:ascii="Cambria Math" w:hAnsi="Cambria Math"/>
                      <w:sz w:val="18"/>
                    </w:rPr>
                    <m:t>elec</m:t>
                  </m:r>
                </m:sub>
              </m:sSub>
            </m:den>
          </m:f>
          <m:r>
            <w:rPr>
              <w:rFonts w:ascii="Cambria Math" w:hAnsi="Cambria Math"/>
              <w:sz w:val="18"/>
            </w:rPr>
            <m:t>×</m:t>
          </m:r>
          <m:f>
            <m:fPr>
              <m:ctrlPr>
                <w:rPr>
                  <w:rFonts w:ascii="Cambria Math" w:hAnsi="Cambria Math"/>
                  <w:i/>
                  <w:sz w:val="18"/>
                </w:rPr>
              </m:ctrlPr>
            </m:fPr>
            <m:num>
              <m:r>
                <w:rPr>
                  <w:rFonts w:ascii="Cambria Math" w:hAnsi="Cambria Math"/>
                  <w:sz w:val="18"/>
                </w:rPr>
                <m:t>100,000 BTU</m:t>
              </m:r>
            </m:num>
            <m:den>
              <m:r>
                <w:rPr>
                  <w:rFonts w:ascii="Cambria Math" w:hAnsi="Cambria Math"/>
                  <w:sz w:val="18"/>
                </w:rPr>
                <m:t>therms</m:t>
              </m:r>
            </m:den>
          </m:f>
          <m:r>
            <w:rPr>
              <w:rFonts w:ascii="Cambria Math" w:hAnsi="Cambria Math"/>
              <w:sz w:val="18"/>
            </w:rPr>
            <m:t>×</m:t>
          </m:r>
          <m:f>
            <m:fPr>
              <m:ctrlPr>
                <w:rPr>
                  <w:rFonts w:ascii="Cambria Math" w:hAnsi="Cambria Math"/>
                  <w:i/>
                  <w:sz w:val="18"/>
                </w:rPr>
              </m:ctrlPr>
            </m:fPr>
            <m:num>
              <m:r>
                <w:rPr>
                  <w:rFonts w:ascii="Cambria Math" w:hAnsi="Cambria Math"/>
                  <w:sz w:val="18"/>
                </w:rPr>
                <m:t>kWh</m:t>
              </m:r>
            </m:num>
            <m:den>
              <m:r>
                <w:rPr>
                  <w:rFonts w:ascii="Cambria Math" w:hAnsi="Cambria Math"/>
                  <w:sz w:val="18"/>
                </w:rPr>
                <m:t>3,413 BTU</m:t>
              </m:r>
            </m:den>
          </m:f>
        </m:oMath>
      </m:oMathPara>
    </w:p>
    <w:p w14:paraId="40A63B8C" w14:textId="67EB2B0D" w:rsidR="00FA47A8" w:rsidRDefault="00FA47A8" w:rsidP="00FA47A8">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UES</w:t>
      </w:r>
      <w:r w:rsidRPr="00AC4758">
        <w:rPr>
          <w:rFonts w:ascii="Cambria Math" w:hAnsi="Cambria Math" w:cs="Calibri Light"/>
          <w:i/>
          <w:sz w:val="18"/>
          <w:szCs w:val="18"/>
          <w:vertAlign w:val="subscript"/>
        </w:rPr>
        <w:t>kWh</w:t>
      </w:r>
      <w:r>
        <w:rPr>
          <w:rFonts w:ascii="Cambria Math" w:hAnsi="Cambria Math" w:cs="Calibri Light"/>
          <w:i/>
          <w:sz w:val="18"/>
          <w:szCs w:val="18"/>
        </w:rPr>
        <w:t xml:space="preserve"> = </w:t>
      </w:r>
      <w:r>
        <w:rPr>
          <w:rFonts w:ascii="Cambria Math" w:hAnsi="Cambria Math" w:cs="Calibri Light"/>
          <w:i/>
          <w:sz w:val="18"/>
          <w:szCs w:val="18"/>
        </w:rPr>
        <w:tab/>
        <w:t>Annual electric unit energy savings of showerhead (kWh/</w:t>
      </w:r>
      <w:r w:rsidR="006E0236">
        <w:rPr>
          <w:rFonts w:ascii="Cambria Math" w:hAnsi="Cambria Math" w:cs="Calibri Light"/>
          <w:i/>
          <w:sz w:val="18"/>
          <w:szCs w:val="18"/>
        </w:rPr>
        <w:t>yr</w:t>
      </w:r>
      <w:r>
        <w:rPr>
          <w:rFonts w:ascii="Cambria Math" w:hAnsi="Cambria Math" w:cs="Calibri Light"/>
          <w:i/>
          <w:sz w:val="18"/>
          <w:szCs w:val="18"/>
        </w:rPr>
        <w:t>)</w:t>
      </w:r>
    </w:p>
    <w:p w14:paraId="44474AE4" w14:textId="02D85B51" w:rsidR="00FA47A8" w:rsidRDefault="00FA47A8" w:rsidP="00FA47A8">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UES</w:t>
      </w:r>
      <w:r>
        <w:rPr>
          <w:rFonts w:ascii="Cambria Math" w:hAnsi="Cambria Math" w:cs="Calibri Light"/>
          <w:i/>
          <w:sz w:val="18"/>
          <w:szCs w:val="18"/>
          <w:vertAlign w:val="subscript"/>
        </w:rPr>
        <w:t>therms</w:t>
      </w:r>
      <w:r>
        <w:rPr>
          <w:rFonts w:ascii="Cambria Math" w:hAnsi="Cambria Math" w:cs="Calibri Light"/>
          <w:i/>
          <w:sz w:val="18"/>
          <w:szCs w:val="18"/>
        </w:rPr>
        <w:t xml:space="preserve"> = </w:t>
      </w:r>
      <w:r>
        <w:rPr>
          <w:rFonts w:ascii="Cambria Math" w:hAnsi="Cambria Math" w:cs="Calibri Light"/>
          <w:i/>
          <w:sz w:val="18"/>
          <w:szCs w:val="18"/>
        </w:rPr>
        <w:tab/>
        <w:t>Annual gas unit energy savings of showerhead (therms/</w:t>
      </w:r>
      <w:r w:rsidR="006E0236">
        <w:rPr>
          <w:rFonts w:ascii="Cambria Math" w:hAnsi="Cambria Math" w:cs="Calibri Light"/>
          <w:i/>
          <w:sz w:val="18"/>
          <w:szCs w:val="18"/>
        </w:rPr>
        <w:t>yr</w:t>
      </w:r>
      <w:r>
        <w:rPr>
          <w:rFonts w:ascii="Cambria Math" w:hAnsi="Cambria Math" w:cs="Calibri Light"/>
          <w:i/>
          <w:sz w:val="18"/>
          <w:szCs w:val="18"/>
        </w:rPr>
        <w:t>)</w:t>
      </w:r>
    </w:p>
    <w:p w14:paraId="7E10EF48" w14:textId="77777777" w:rsidR="00FA47A8" w:rsidRPr="000B726B" w:rsidRDefault="00FA47A8" w:rsidP="00FA47A8">
      <w:pPr>
        <w:tabs>
          <w:tab w:val="left" w:pos="2880"/>
        </w:tabs>
        <w:spacing w:before="20" w:after="20"/>
        <w:ind w:left="1440"/>
        <w:rPr>
          <w:rFonts w:ascii="Cambria Math" w:hAnsi="Cambria Math"/>
          <w:i/>
          <w:sz w:val="18"/>
          <w:szCs w:val="18"/>
        </w:rPr>
      </w:pPr>
      <w:r>
        <w:rPr>
          <w:rFonts w:ascii="Cambria Math" w:hAnsi="Cambria Math"/>
          <w:i/>
          <w:sz w:val="18"/>
          <w:szCs w:val="18"/>
        </w:rPr>
        <w:t>EFF</w:t>
      </w:r>
      <w:r>
        <w:rPr>
          <w:rFonts w:ascii="Cambria Math" w:hAnsi="Cambria Math"/>
          <w:i/>
          <w:sz w:val="18"/>
          <w:szCs w:val="18"/>
          <w:vertAlign w:val="subscript"/>
        </w:rPr>
        <w:t>gas</w:t>
      </w:r>
      <w:r>
        <w:rPr>
          <w:rFonts w:ascii="Cambria Math" w:hAnsi="Cambria Math"/>
          <w:i/>
          <w:sz w:val="18"/>
          <w:szCs w:val="18"/>
        </w:rPr>
        <w:t xml:space="preserve"> = </w:t>
      </w:r>
      <w:r>
        <w:rPr>
          <w:rFonts w:ascii="Cambria Math" w:hAnsi="Cambria Math"/>
          <w:i/>
          <w:sz w:val="18"/>
          <w:szCs w:val="18"/>
        </w:rPr>
        <w:tab/>
        <w:t xml:space="preserve">Min. water heater efficiency (recovery efficiency), gas </w:t>
      </w:r>
    </w:p>
    <w:p w14:paraId="6AB890EB" w14:textId="77777777" w:rsidR="00FA47A8" w:rsidRDefault="00FA47A8" w:rsidP="00FA47A8">
      <w:pPr>
        <w:tabs>
          <w:tab w:val="left" w:pos="2880"/>
        </w:tabs>
        <w:spacing w:before="20" w:after="20"/>
        <w:ind w:left="1440"/>
        <w:rPr>
          <w:rFonts w:ascii="Cambria Math" w:hAnsi="Cambria Math"/>
          <w:i/>
          <w:sz w:val="18"/>
          <w:szCs w:val="18"/>
        </w:rPr>
      </w:pPr>
      <w:r>
        <w:rPr>
          <w:rFonts w:ascii="Cambria Math" w:hAnsi="Cambria Math"/>
          <w:i/>
          <w:sz w:val="18"/>
          <w:szCs w:val="18"/>
        </w:rPr>
        <w:t>EFF</w:t>
      </w:r>
      <w:r w:rsidRPr="00C07366">
        <w:rPr>
          <w:rFonts w:ascii="Cambria Math" w:hAnsi="Cambria Math"/>
          <w:i/>
          <w:sz w:val="18"/>
          <w:szCs w:val="18"/>
          <w:vertAlign w:val="subscript"/>
        </w:rPr>
        <w:t>elec</w:t>
      </w:r>
      <w:r>
        <w:rPr>
          <w:rFonts w:ascii="Cambria Math" w:hAnsi="Cambria Math"/>
          <w:i/>
          <w:sz w:val="18"/>
          <w:szCs w:val="18"/>
        </w:rPr>
        <w:t xml:space="preserve"> = </w:t>
      </w:r>
      <w:r>
        <w:rPr>
          <w:rFonts w:ascii="Cambria Math" w:hAnsi="Cambria Math"/>
          <w:i/>
          <w:sz w:val="18"/>
          <w:szCs w:val="18"/>
        </w:rPr>
        <w:tab/>
        <w:t xml:space="preserve">Min. water heater efficiency (recovery efficiency), electric </w:t>
      </w:r>
    </w:p>
    <w:p w14:paraId="2BAE6C97" w14:textId="77777777" w:rsidR="00FA47A8" w:rsidRDefault="00FA47A8" w:rsidP="00FA47A8">
      <w:pPr>
        <w:tabs>
          <w:tab w:val="left" w:pos="2880"/>
        </w:tabs>
        <w:spacing w:before="20" w:after="20"/>
        <w:ind w:left="1440"/>
        <w:rPr>
          <w:rFonts w:ascii="Cambria Math" w:hAnsi="Cambria Math"/>
          <w:i/>
          <w:sz w:val="18"/>
          <w:szCs w:val="18"/>
        </w:rPr>
      </w:pPr>
    </w:p>
    <w:p w14:paraId="5D889E6B" w14:textId="6C0BC9F0" w:rsidR="00FA47A8" w:rsidRDefault="00FA47A8" w:rsidP="00FA47A8">
      <w:r>
        <w:t xml:space="preserve">Refer to the Gas Savings section for the derivation of the gas UES. All other inputs used for this calculation are specified </w:t>
      </w:r>
      <w:r w:rsidR="0079426C">
        <w:t>below</w:t>
      </w:r>
      <w:r>
        <w:t>.</w:t>
      </w:r>
    </w:p>
    <w:p w14:paraId="5D32463C" w14:textId="51016D08" w:rsidR="00FA47A8" w:rsidRPr="008560FF" w:rsidRDefault="00FA47A8" w:rsidP="00FA47A8">
      <w:pPr>
        <w:pStyle w:val="Caption"/>
        <w:rPr>
          <w:rFonts w:cs="Calibri Light"/>
          <w:szCs w:val="20"/>
        </w:rPr>
      </w:pPr>
      <w:r>
        <w:t>Electric UES</w:t>
      </w:r>
      <w:r>
        <w:rPr>
          <w:rFonts w:cs="Calibri Light"/>
          <w:szCs w:val="20"/>
        </w:rPr>
        <w:t xml:space="preserve"> </w:t>
      </w:r>
      <w:r w:rsidR="00677D80">
        <w:rPr>
          <w:rFonts w:cs="Calibri Light"/>
          <w:szCs w:val="20"/>
        </w:rPr>
        <w:t>Inputs</w:t>
      </w:r>
    </w:p>
    <w:tbl>
      <w:tblPr>
        <w:tblW w:w="919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356"/>
        <w:gridCol w:w="1008"/>
        <w:gridCol w:w="1296"/>
        <w:gridCol w:w="3539"/>
      </w:tblGrid>
      <w:tr w:rsidR="00FA47A8" w:rsidRPr="00D31C65" w14:paraId="5ED44DBC" w14:textId="77777777" w:rsidTr="005B790E">
        <w:trPr>
          <w:trHeight w:val="260"/>
        </w:trPr>
        <w:tc>
          <w:tcPr>
            <w:tcW w:w="3356" w:type="dxa"/>
            <w:shd w:val="clear" w:color="auto" w:fill="F2F2F2" w:themeFill="background1" w:themeFillShade="F2"/>
            <w:noWrap/>
            <w:vAlign w:val="bottom"/>
            <w:hideMark/>
          </w:tcPr>
          <w:p w14:paraId="6CBD640E" w14:textId="77777777" w:rsidR="00FA47A8" w:rsidRPr="00D31C65" w:rsidRDefault="00FA47A8" w:rsidP="005B790E">
            <w:pPr>
              <w:spacing w:before="0" w:after="0" w:line="240" w:lineRule="auto"/>
              <w:rPr>
                <w:rFonts w:eastAsia="Times New Roman" w:cs="Times New Roman"/>
                <w:b/>
                <w:sz w:val="20"/>
                <w:szCs w:val="20"/>
              </w:rPr>
            </w:pPr>
            <w:r w:rsidRPr="00D31C65">
              <w:rPr>
                <w:rFonts w:eastAsia="Times New Roman" w:cs="Times New Roman"/>
                <w:b/>
                <w:sz w:val="20"/>
                <w:szCs w:val="20"/>
              </w:rPr>
              <w:t>Energy Savings Inputs / Constants</w:t>
            </w:r>
          </w:p>
        </w:tc>
        <w:tc>
          <w:tcPr>
            <w:tcW w:w="1008" w:type="dxa"/>
            <w:shd w:val="clear" w:color="auto" w:fill="F2F2F2" w:themeFill="background1" w:themeFillShade="F2"/>
            <w:noWrap/>
            <w:vAlign w:val="bottom"/>
            <w:hideMark/>
          </w:tcPr>
          <w:p w14:paraId="38B45B62" w14:textId="77777777" w:rsidR="00FA47A8" w:rsidRPr="00D31C65" w:rsidRDefault="00FA47A8" w:rsidP="005B790E">
            <w:pPr>
              <w:spacing w:before="0" w:after="0" w:line="240" w:lineRule="auto"/>
              <w:rPr>
                <w:rFonts w:eastAsia="Times New Roman" w:cs="Times New Roman"/>
                <w:b/>
                <w:sz w:val="20"/>
                <w:szCs w:val="20"/>
              </w:rPr>
            </w:pPr>
            <w:r w:rsidRPr="00D31C65">
              <w:rPr>
                <w:rFonts w:eastAsia="Times New Roman" w:cs="Times New Roman"/>
                <w:b/>
                <w:sz w:val="20"/>
                <w:szCs w:val="20"/>
              </w:rPr>
              <w:t xml:space="preserve">Units </w:t>
            </w:r>
          </w:p>
        </w:tc>
        <w:tc>
          <w:tcPr>
            <w:tcW w:w="1296" w:type="dxa"/>
            <w:shd w:val="clear" w:color="auto" w:fill="F2F2F2" w:themeFill="background1" w:themeFillShade="F2"/>
            <w:noWrap/>
            <w:vAlign w:val="bottom"/>
            <w:hideMark/>
          </w:tcPr>
          <w:p w14:paraId="7A228076" w14:textId="77777777" w:rsidR="00FA47A8" w:rsidRPr="00D31C65" w:rsidRDefault="00FA47A8" w:rsidP="005B790E">
            <w:pPr>
              <w:spacing w:before="0" w:after="0" w:line="240" w:lineRule="auto"/>
              <w:rPr>
                <w:rFonts w:eastAsia="Times New Roman" w:cs="Times New Roman"/>
                <w:b/>
                <w:sz w:val="20"/>
                <w:szCs w:val="20"/>
              </w:rPr>
            </w:pPr>
            <w:r w:rsidRPr="00D31C65">
              <w:rPr>
                <w:rFonts w:eastAsia="Times New Roman" w:cs="Times New Roman"/>
                <w:b/>
                <w:sz w:val="20"/>
                <w:szCs w:val="20"/>
              </w:rPr>
              <w:t>Value</w:t>
            </w:r>
          </w:p>
        </w:tc>
        <w:tc>
          <w:tcPr>
            <w:tcW w:w="3539" w:type="dxa"/>
            <w:shd w:val="clear" w:color="auto" w:fill="F2F2F2" w:themeFill="background1" w:themeFillShade="F2"/>
            <w:noWrap/>
            <w:vAlign w:val="bottom"/>
            <w:hideMark/>
          </w:tcPr>
          <w:p w14:paraId="18A7221C" w14:textId="77777777" w:rsidR="00FA47A8" w:rsidRPr="00D31C65" w:rsidRDefault="00FA47A8" w:rsidP="005B790E">
            <w:pPr>
              <w:spacing w:before="0" w:after="0" w:line="240" w:lineRule="auto"/>
              <w:rPr>
                <w:rFonts w:eastAsia="Times New Roman" w:cs="Times New Roman"/>
                <w:b/>
                <w:sz w:val="20"/>
                <w:szCs w:val="20"/>
              </w:rPr>
            </w:pPr>
            <w:r w:rsidRPr="00D31C65">
              <w:rPr>
                <w:rFonts w:eastAsia="Times New Roman" w:cs="Times New Roman"/>
                <w:b/>
                <w:sz w:val="20"/>
                <w:szCs w:val="20"/>
              </w:rPr>
              <w:t>Source</w:t>
            </w:r>
          </w:p>
        </w:tc>
      </w:tr>
      <w:tr w:rsidR="00FA47A8" w:rsidRPr="00D31C65" w14:paraId="1A85EC19" w14:textId="77777777" w:rsidTr="005B790E">
        <w:trPr>
          <w:trHeight w:val="260"/>
        </w:trPr>
        <w:tc>
          <w:tcPr>
            <w:tcW w:w="3356" w:type="dxa"/>
            <w:shd w:val="clear" w:color="auto" w:fill="auto"/>
            <w:noWrap/>
            <w:vAlign w:val="bottom"/>
          </w:tcPr>
          <w:p w14:paraId="11B6FCAB" w14:textId="77777777" w:rsidR="00FA47A8" w:rsidRPr="00BF3C37" w:rsidRDefault="00FA47A8" w:rsidP="005B790E">
            <w:pPr>
              <w:spacing w:before="0" w:after="0" w:line="240" w:lineRule="auto"/>
              <w:rPr>
                <w:rFonts w:eastAsia="Times New Roman" w:cs="Times New Roman"/>
                <w:sz w:val="20"/>
                <w:szCs w:val="20"/>
              </w:rPr>
            </w:pPr>
            <w:r w:rsidRPr="00BF3C37">
              <w:rPr>
                <w:rFonts w:eastAsia="Times New Roman" w:cs="Times New Roman"/>
                <w:sz w:val="20"/>
                <w:szCs w:val="20"/>
              </w:rPr>
              <w:t>Gas Unit Energy Savings</w:t>
            </w:r>
          </w:p>
        </w:tc>
        <w:tc>
          <w:tcPr>
            <w:tcW w:w="1008" w:type="dxa"/>
            <w:shd w:val="clear" w:color="auto" w:fill="auto"/>
            <w:noWrap/>
            <w:vAlign w:val="bottom"/>
          </w:tcPr>
          <w:p w14:paraId="3407D7A8" w14:textId="77777777" w:rsidR="00FA47A8" w:rsidRPr="00BF3C37" w:rsidRDefault="00FA47A8" w:rsidP="005B790E">
            <w:pPr>
              <w:spacing w:before="0" w:after="0" w:line="240" w:lineRule="auto"/>
              <w:rPr>
                <w:rFonts w:eastAsia="Times New Roman" w:cs="Times New Roman"/>
                <w:sz w:val="20"/>
                <w:szCs w:val="20"/>
              </w:rPr>
            </w:pPr>
            <w:r w:rsidRPr="00BF3C37">
              <w:rPr>
                <w:rFonts w:eastAsia="Times New Roman" w:cs="Times New Roman"/>
                <w:sz w:val="20"/>
                <w:szCs w:val="20"/>
              </w:rPr>
              <w:t>Therms</w:t>
            </w:r>
          </w:p>
        </w:tc>
        <w:tc>
          <w:tcPr>
            <w:tcW w:w="1296" w:type="dxa"/>
            <w:shd w:val="clear" w:color="auto" w:fill="auto"/>
            <w:noWrap/>
            <w:vAlign w:val="bottom"/>
          </w:tcPr>
          <w:p w14:paraId="2BE90FF7" w14:textId="77777777" w:rsidR="00FA47A8" w:rsidRPr="00BF3C37" w:rsidRDefault="00FA47A8" w:rsidP="005B790E">
            <w:pPr>
              <w:spacing w:before="0" w:after="0" w:line="240" w:lineRule="auto"/>
              <w:rPr>
                <w:rFonts w:eastAsia="Times New Roman" w:cs="Times New Roman"/>
                <w:sz w:val="20"/>
                <w:szCs w:val="20"/>
              </w:rPr>
            </w:pPr>
            <w:r>
              <w:rPr>
                <w:rFonts w:eastAsia="Times New Roman" w:cs="Times New Roman"/>
                <w:sz w:val="20"/>
                <w:szCs w:val="20"/>
              </w:rPr>
              <w:t>Varies by CZ</w:t>
            </w:r>
          </w:p>
        </w:tc>
        <w:tc>
          <w:tcPr>
            <w:tcW w:w="3539" w:type="dxa"/>
            <w:shd w:val="clear" w:color="auto" w:fill="auto"/>
            <w:noWrap/>
            <w:vAlign w:val="bottom"/>
          </w:tcPr>
          <w:p w14:paraId="27163898" w14:textId="77777777" w:rsidR="00FA47A8" w:rsidRPr="00E540D1" w:rsidRDefault="00FA47A8" w:rsidP="005B790E">
            <w:pPr>
              <w:spacing w:before="0" w:after="0" w:line="240" w:lineRule="auto"/>
              <w:rPr>
                <w:rFonts w:eastAsia="Times New Roman" w:cs="Times New Roman"/>
                <w:sz w:val="18"/>
                <w:szCs w:val="18"/>
              </w:rPr>
            </w:pPr>
            <w:r w:rsidRPr="00E540D1">
              <w:rPr>
                <w:rFonts w:eastAsia="Times New Roman" w:cs="Times New Roman"/>
                <w:sz w:val="18"/>
                <w:szCs w:val="18"/>
              </w:rPr>
              <w:t>See Gas Savings section.</w:t>
            </w:r>
          </w:p>
        </w:tc>
      </w:tr>
      <w:tr w:rsidR="00FA47A8" w:rsidRPr="00D31C65" w14:paraId="13B160F1" w14:textId="77777777" w:rsidTr="005B790E">
        <w:trPr>
          <w:trHeight w:val="260"/>
        </w:trPr>
        <w:tc>
          <w:tcPr>
            <w:tcW w:w="3356" w:type="dxa"/>
            <w:shd w:val="clear" w:color="auto" w:fill="auto"/>
            <w:noWrap/>
            <w:vAlign w:val="center"/>
            <w:hideMark/>
          </w:tcPr>
          <w:p w14:paraId="1EBF3C7F" w14:textId="77777777" w:rsidR="00FA47A8" w:rsidRPr="00D31C65" w:rsidRDefault="00FA47A8" w:rsidP="005B790E">
            <w:pPr>
              <w:spacing w:before="0" w:after="0" w:line="240" w:lineRule="auto"/>
              <w:rPr>
                <w:rFonts w:eastAsia="Times New Roman" w:cs="Times New Roman"/>
                <w:sz w:val="20"/>
                <w:szCs w:val="20"/>
              </w:rPr>
            </w:pPr>
            <w:r w:rsidRPr="00D31C65">
              <w:rPr>
                <w:rFonts w:eastAsia="Times New Roman" w:cs="Times New Roman"/>
                <w:sz w:val="20"/>
                <w:szCs w:val="20"/>
              </w:rPr>
              <w:t xml:space="preserve">Gas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008" w:type="dxa"/>
            <w:shd w:val="clear" w:color="auto" w:fill="auto"/>
            <w:noWrap/>
            <w:vAlign w:val="center"/>
            <w:hideMark/>
          </w:tcPr>
          <w:p w14:paraId="29809D91" w14:textId="77777777" w:rsidR="00FA47A8" w:rsidRPr="00D31C65" w:rsidRDefault="00FA47A8" w:rsidP="005B790E">
            <w:pPr>
              <w:spacing w:before="0" w:after="0" w:line="240" w:lineRule="auto"/>
              <w:rPr>
                <w:rFonts w:eastAsia="Times New Roman" w:cs="Times New Roman"/>
                <w:sz w:val="20"/>
                <w:szCs w:val="20"/>
              </w:rPr>
            </w:pPr>
            <w:r w:rsidRPr="00D31C65">
              <w:rPr>
                <w:rFonts w:eastAsia="Times New Roman" w:cs="Times New Roman"/>
                <w:sz w:val="20"/>
                <w:szCs w:val="20"/>
              </w:rPr>
              <w:t>unitless</w:t>
            </w:r>
          </w:p>
        </w:tc>
        <w:tc>
          <w:tcPr>
            <w:tcW w:w="1296" w:type="dxa"/>
            <w:shd w:val="clear" w:color="auto" w:fill="auto"/>
            <w:noWrap/>
            <w:vAlign w:val="center"/>
            <w:hideMark/>
          </w:tcPr>
          <w:p w14:paraId="46299DD1" w14:textId="77777777" w:rsidR="00FA47A8" w:rsidRPr="00FC6744" w:rsidRDefault="00FA47A8" w:rsidP="005B790E">
            <w:pPr>
              <w:spacing w:before="0" w:after="0" w:line="240" w:lineRule="auto"/>
              <w:jc w:val="right"/>
              <w:rPr>
                <w:rFonts w:eastAsia="Times New Roman" w:cs="Times New Roman"/>
                <w:sz w:val="20"/>
                <w:szCs w:val="20"/>
              </w:rPr>
            </w:pPr>
            <w:r w:rsidRPr="00FC6744">
              <w:rPr>
                <w:rFonts w:eastAsia="Times New Roman" w:cs="Times New Roman"/>
                <w:sz w:val="20"/>
                <w:szCs w:val="20"/>
              </w:rPr>
              <w:t>0.77</w:t>
            </w:r>
          </w:p>
        </w:tc>
        <w:tc>
          <w:tcPr>
            <w:tcW w:w="3539" w:type="dxa"/>
            <w:shd w:val="clear" w:color="auto" w:fill="auto"/>
            <w:noWrap/>
            <w:vAlign w:val="center"/>
          </w:tcPr>
          <w:p w14:paraId="4598221C" w14:textId="77777777" w:rsidR="00FA47A8" w:rsidRPr="00E540D1" w:rsidRDefault="00FA47A8" w:rsidP="005B790E">
            <w:pPr>
              <w:spacing w:before="0" w:after="0" w:line="240" w:lineRule="auto"/>
              <w:rPr>
                <w:rFonts w:eastAsia="Times New Roman" w:cs="Times New Roman"/>
                <w:sz w:val="18"/>
                <w:szCs w:val="18"/>
              </w:rPr>
            </w:pPr>
            <w:r w:rsidRPr="00E540D1">
              <w:rPr>
                <w:rFonts w:eastAsia="Times New Roman" w:cs="Times New Roman"/>
                <w:sz w:val="18"/>
                <w:szCs w:val="18"/>
              </w:rPr>
              <w:t>Southern California Gas Company (SCG). 2010. “Gas Fired Storage Water Heater Extract from CEC Appliance Data 07.07.2010.xlsx.”</w:t>
            </w:r>
          </w:p>
          <w:p w14:paraId="78615513" w14:textId="77777777" w:rsidR="00FA47A8" w:rsidRPr="00E540D1" w:rsidRDefault="00FA47A8" w:rsidP="005B790E">
            <w:pPr>
              <w:spacing w:before="0" w:after="0" w:line="240" w:lineRule="auto"/>
              <w:rPr>
                <w:rFonts w:eastAsia="Times New Roman" w:cs="Times New Roman"/>
                <w:sz w:val="18"/>
                <w:szCs w:val="18"/>
              </w:rPr>
            </w:pPr>
          </w:p>
          <w:p w14:paraId="4909AFFD" w14:textId="77777777" w:rsidR="00FA47A8" w:rsidRPr="00E540D1" w:rsidRDefault="00FA47A8" w:rsidP="005B790E">
            <w:pPr>
              <w:spacing w:before="0" w:after="0" w:line="240" w:lineRule="auto"/>
              <w:rPr>
                <w:rFonts w:eastAsia="Times New Roman" w:cs="Times New Roman"/>
                <w:sz w:val="18"/>
                <w:szCs w:val="18"/>
              </w:rPr>
            </w:pPr>
            <w:r w:rsidRPr="00E540D1">
              <w:rPr>
                <w:rFonts w:eastAsia="Times New Roman" w:cs="Times New Roman"/>
                <w:sz w:val="18"/>
                <w:szCs w:val="18"/>
              </w:rPr>
              <w:t xml:space="preserve">California Public Utilities Commission (CPUC), Energy Division. 2010. </w:t>
            </w:r>
            <w:r w:rsidRPr="00E540D1">
              <w:rPr>
                <w:rFonts w:eastAsia="Times New Roman" w:cs="Times New Roman"/>
                <w:i/>
                <w:sz w:val="18"/>
                <w:szCs w:val="18"/>
              </w:rPr>
              <w:t>Non-DEER Measure Review Template: PGECODHW113 – Low Flow Showerhead and Therm</w:t>
            </w:r>
            <w:r>
              <w:rPr>
                <w:rFonts w:eastAsia="Times New Roman" w:cs="Times New Roman"/>
                <w:i/>
                <w:sz w:val="18"/>
                <w:szCs w:val="18"/>
              </w:rPr>
              <w:t>o</w:t>
            </w:r>
            <w:r w:rsidRPr="00E540D1">
              <w:rPr>
                <w:rFonts w:eastAsia="Times New Roman" w:cs="Times New Roman"/>
                <w:i/>
                <w:sz w:val="18"/>
                <w:szCs w:val="18"/>
              </w:rPr>
              <w:t>static Shower Restriction Valve.</w:t>
            </w:r>
            <w:r w:rsidRPr="00E540D1">
              <w:rPr>
                <w:rFonts w:eastAsia="Times New Roman" w:cs="Times New Roman"/>
                <w:sz w:val="18"/>
                <w:szCs w:val="18"/>
              </w:rPr>
              <w:t xml:space="preserve"> April 27.</w:t>
            </w:r>
          </w:p>
        </w:tc>
      </w:tr>
      <w:tr w:rsidR="00FA47A8" w:rsidRPr="00D31C65" w14:paraId="0111D009" w14:textId="77777777" w:rsidTr="005B790E">
        <w:trPr>
          <w:trHeight w:val="260"/>
        </w:trPr>
        <w:tc>
          <w:tcPr>
            <w:tcW w:w="3356" w:type="dxa"/>
            <w:shd w:val="clear" w:color="auto" w:fill="auto"/>
            <w:noWrap/>
            <w:vAlign w:val="center"/>
            <w:hideMark/>
          </w:tcPr>
          <w:p w14:paraId="16E0C3D6" w14:textId="77777777" w:rsidR="00FA47A8" w:rsidRPr="00D31C65" w:rsidRDefault="00FA47A8" w:rsidP="005B790E">
            <w:pPr>
              <w:spacing w:before="0" w:after="0" w:line="240" w:lineRule="auto"/>
              <w:rPr>
                <w:rFonts w:eastAsia="Times New Roman" w:cs="Times New Roman"/>
                <w:sz w:val="20"/>
                <w:szCs w:val="20"/>
              </w:rPr>
            </w:pPr>
            <w:r w:rsidRPr="00D31C65">
              <w:rPr>
                <w:rFonts w:eastAsia="Times New Roman" w:cs="Times New Roman"/>
                <w:sz w:val="20"/>
                <w:szCs w:val="20"/>
              </w:rPr>
              <w:t xml:space="preserve">Electric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008" w:type="dxa"/>
            <w:shd w:val="clear" w:color="auto" w:fill="auto"/>
            <w:noWrap/>
            <w:vAlign w:val="center"/>
            <w:hideMark/>
          </w:tcPr>
          <w:p w14:paraId="47C5AAC1" w14:textId="77777777" w:rsidR="00FA47A8" w:rsidRPr="00D31C65" w:rsidRDefault="00FA47A8" w:rsidP="005B790E">
            <w:pPr>
              <w:spacing w:before="0" w:after="0" w:line="240" w:lineRule="auto"/>
              <w:rPr>
                <w:rFonts w:eastAsia="Times New Roman" w:cs="Times New Roman"/>
                <w:sz w:val="20"/>
                <w:szCs w:val="20"/>
              </w:rPr>
            </w:pPr>
            <w:r w:rsidRPr="00D31C65">
              <w:rPr>
                <w:rFonts w:eastAsia="Times New Roman" w:cs="Times New Roman"/>
                <w:sz w:val="20"/>
                <w:szCs w:val="20"/>
              </w:rPr>
              <w:t>unitless</w:t>
            </w:r>
          </w:p>
        </w:tc>
        <w:tc>
          <w:tcPr>
            <w:tcW w:w="1296" w:type="dxa"/>
            <w:shd w:val="clear" w:color="auto" w:fill="auto"/>
            <w:noWrap/>
            <w:vAlign w:val="center"/>
            <w:hideMark/>
          </w:tcPr>
          <w:p w14:paraId="053488EE" w14:textId="77777777" w:rsidR="00FA47A8" w:rsidRPr="00FC6744" w:rsidRDefault="00FA47A8" w:rsidP="005B790E">
            <w:pPr>
              <w:spacing w:before="0" w:after="0" w:line="240" w:lineRule="auto"/>
              <w:jc w:val="right"/>
              <w:rPr>
                <w:rFonts w:eastAsia="Times New Roman" w:cs="Times New Roman"/>
                <w:sz w:val="20"/>
                <w:szCs w:val="20"/>
              </w:rPr>
            </w:pPr>
            <w:r w:rsidRPr="00FC6744">
              <w:rPr>
                <w:rFonts w:eastAsia="Times New Roman" w:cs="Times New Roman"/>
                <w:sz w:val="20"/>
                <w:szCs w:val="20"/>
              </w:rPr>
              <w:t>0.98</w:t>
            </w:r>
          </w:p>
        </w:tc>
        <w:tc>
          <w:tcPr>
            <w:tcW w:w="3539" w:type="dxa"/>
            <w:shd w:val="clear" w:color="auto" w:fill="auto"/>
            <w:noWrap/>
            <w:vAlign w:val="center"/>
            <w:hideMark/>
          </w:tcPr>
          <w:p w14:paraId="4B75CBA1" w14:textId="77777777" w:rsidR="00FA47A8" w:rsidRPr="00E540D1" w:rsidRDefault="00FA47A8" w:rsidP="005B790E">
            <w:pPr>
              <w:spacing w:before="0" w:after="0" w:line="240" w:lineRule="auto"/>
              <w:rPr>
                <w:rFonts w:eastAsia="Times New Roman" w:cs="Times New Roman"/>
                <w:sz w:val="18"/>
                <w:szCs w:val="18"/>
              </w:rPr>
            </w:pPr>
            <w:r w:rsidRPr="00E540D1">
              <w:rPr>
                <w:sz w:val="18"/>
                <w:szCs w:val="18"/>
              </w:rPr>
              <w:t xml:space="preserve">California Energy Commission (CEC). 2014. </w:t>
            </w:r>
            <w:r w:rsidRPr="00E540D1">
              <w:rPr>
                <w:i/>
                <w:sz w:val="18"/>
                <w:szCs w:val="18"/>
              </w:rPr>
              <w:t xml:space="preserve">2014 Appliance Efficiency Regulations. </w:t>
            </w:r>
            <w:r w:rsidRPr="00E540D1">
              <w:rPr>
                <w:sz w:val="18"/>
                <w:szCs w:val="18"/>
              </w:rPr>
              <w:t>CEC-400-2014-009-CMF. Section 1604.</w:t>
            </w:r>
          </w:p>
        </w:tc>
      </w:tr>
    </w:tbl>
    <w:p w14:paraId="7813C1BC" w14:textId="77777777" w:rsidR="00FA47A8" w:rsidRDefault="00FA47A8" w:rsidP="00AD0A81">
      <w:pPr>
        <w:rPr>
          <w:highlight w:val="yellow"/>
        </w:rPr>
      </w:pPr>
    </w:p>
    <w:p w14:paraId="46B7702E" w14:textId="3DD6878E" w:rsidR="00BB4F22" w:rsidRPr="004B06E3" w:rsidRDefault="00BB4F22" w:rsidP="00BB4F22">
      <w:pPr>
        <w:pStyle w:val="eTRMHeading3"/>
      </w:pPr>
      <w:bookmarkStart w:id="51" w:name="_Toc23509269"/>
      <w:r w:rsidRPr="004B06E3">
        <w:t>Peak Electric Demand Reduction (kW)</w:t>
      </w:r>
      <w:bookmarkEnd w:id="49"/>
      <w:bookmarkEnd w:id="50"/>
      <w:bookmarkEnd w:id="51"/>
    </w:p>
    <w:p w14:paraId="4136B3D5" w14:textId="77777777" w:rsidR="00FA47A8" w:rsidRPr="00834EEE" w:rsidRDefault="00FA47A8" w:rsidP="00FA47A8">
      <w:r>
        <w:t xml:space="preserve">Peak electrical demand reduction is calculated as a function of the electric UES, a peak period usage factor, and the operating hours per year. </w:t>
      </w:r>
      <w:r w:rsidRPr="0053560D">
        <w:t xml:space="preserve">The peak period usage factor </w:t>
      </w:r>
      <w:r>
        <w:t xml:space="preserve">(PPUF) – similar in concept to a coincident demand factor (CDF) – </w:t>
      </w:r>
      <w:r w:rsidRPr="0053560D">
        <w:t xml:space="preserve">reflects the percent of hot water usage during the </w:t>
      </w:r>
      <w:r>
        <w:t xml:space="preserve">designated </w:t>
      </w:r>
      <w:r w:rsidRPr="0053560D">
        <w:t>peak demand period.</w:t>
      </w:r>
    </w:p>
    <w:p w14:paraId="6A9DCB34" w14:textId="77777777" w:rsidR="00FA47A8" w:rsidRPr="00BE7FA3" w:rsidRDefault="00D8402E" w:rsidP="00FA47A8">
      <w:pPr>
        <w:keepNext/>
        <w:keepLines/>
        <w:ind w:left="720"/>
        <w:rPr>
          <w:rFonts w:asciiTheme="minorHAnsi" w:hAnsiTheme="minorHAns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kW</m:t>
              </m:r>
            </m:e>
            <m:sub>
              <m:r>
                <w:rPr>
                  <w:rFonts w:ascii="Cambria Math" w:hAnsi="Cambria Math"/>
                  <w:sz w:val="18"/>
                  <w:szCs w:val="18"/>
                </w:rPr>
                <m:t xml:space="preserve">reduction </m:t>
              </m:r>
            </m:sub>
          </m:sSub>
          <m:r>
            <w:rPr>
              <w:rFonts w:ascii="Cambria Math" w:hAnsi="Cambria Math"/>
              <w:sz w:val="18"/>
              <w:szCs w:val="18"/>
            </w:rPr>
            <m:t xml:space="preserve">= </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UES</m:t>
                  </m:r>
                </m:e>
                <m:sub>
                  <m:r>
                    <w:rPr>
                      <w:rFonts w:ascii="Cambria Math" w:hAnsi="Cambria Math"/>
                      <w:sz w:val="18"/>
                      <w:szCs w:val="18"/>
                    </w:rPr>
                    <m:t xml:space="preserve">kWh </m:t>
                  </m:r>
                </m:sub>
              </m:sSub>
              <m:r>
                <w:rPr>
                  <w:rFonts w:ascii="Cambria Math" w:hAnsi="Cambria Math"/>
                  <w:sz w:val="18"/>
                  <w:szCs w:val="18"/>
                </w:rPr>
                <m:t>×PPUF</m:t>
              </m:r>
            </m:num>
            <m:den>
              <m:r>
                <w:rPr>
                  <w:rFonts w:ascii="Cambria Math" w:hAnsi="Cambria Math"/>
                  <w:sz w:val="18"/>
                  <w:szCs w:val="18"/>
                </w:rPr>
                <m:t>(DAYS×PEAKHRS)</m:t>
              </m:r>
            </m:den>
          </m:f>
        </m:oMath>
      </m:oMathPara>
    </w:p>
    <w:p w14:paraId="428983B9" w14:textId="77777777" w:rsidR="00FA47A8" w:rsidRDefault="00FA47A8" w:rsidP="00FA47A8">
      <w:pPr>
        <w:keepNext/>
        <w:keepLines/>
        <w:ind w:left="720"/>
        <w:rPr>
          <w:rFonts w:asciiTheme="minorHAnsi" w:hAnsiTheme="minorHAnsi"/>
          <w:sz w:val="18"/>
          <w:szCs w:val="18"/>
        </w:rPr>
      </w:pPr>
    </w:p>
    <w:p w14:paraId="308F3762" w14:textId="77777777" w:rsidR="00FA47A8" w:rsidRDefault="00FA47A8" w:rsidP="00FA47A8">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UES</w:t>
      </w:r>
      <w:r w:rsidRPr="00AC4758">
        <w:rPr>
          <w:rFonts w:ascii="Cambria Math" w:hAnsi="Cambria Math" w:cs="Calibri Light"/>
          <w:i/>
          <w:sz w:val="18"/>
          <w:szCs w:val="18"/>
          <w:vertAlign w:val="subscript"/>
        </w:rPr>
        <w:t>kWh</w:t>
      </w:r>
      <w:r>
        <w:rPr>
          <w:rFonts w:ascii="Cambria Math" w:hAnsi="Cambria Math" w:cs="Calibri Light"/>
          <w:i/>
          <w:sz w:val="18"/>
          <w:szCs w:val="18"/>
        </w:rPr>
        <w:t xml:space="preserve"> = </w:t>
      </w:r>
      <w:r>
        <w:rPr>
          <w:rFonts w:ascii="Cambria Math" w:hAnsi="Cambria Math" w:cs="Calibri Light"/>
          <w:i/>
          <w:sz w:val="18"/>
          <w:szCs w:val="18"/>
        </w:rPr>
        <w:tab/>
        <w:t>Annual electric unit energy savings (kWh/yr)</w:t>
      </w:r>
    </w:p>
    <w:p w14:paraId="014C8904" w14:textId="77777777" w:rsidR="00FA47A8" w:rsidRDefault="00FA47A8" w:rsidP="00FA47A8">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PPUF = </w:t>
      </w:r>
      <w:r>
        <w:rPr>
          <w:rFonts w:ascii="Cambria Math" w:hAnsi="Cambria Math" w:cs="Calibri Light"/>
          <w:i/>
          <w:sz w:val="18"/>
          <w:szCs w:val="18"/>
        </w:rPr>
        <w:tab/>
        <w:t>Peak period usage factor</w:t>
      </w:r>
    </w:p>
    <w:p w14:paraId="70310CD5" w14:textId="77777777" w:rsidR="00FA47A8" w:rsidRDefault="00FA47A8" w:rsidP="00FA47A8">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DAYS = </w:t>
      </w:r>
      <w:r>
        <w:rPr>
          <w:rFonts w:ascii="Cambria Math" w:hAnsi="Cambria Math" w:cs="Calibri Light"/>
          <w:i/>
          <w:sz w:val="18"/>
          <w:szCs w:val="18"/>
        </w:rPr>
        <w:tab/>
        <w:t>Operating days per year (days)</w:t>
      </w:r>
    </w:p>
    <w:p w14:paraId="24C631EE" w14:textId="77777777" w:rsidR="00FA47A8" w:rsidRDefault="00FA47A8" w:rsidP="00FA47A8">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PEAKHRS = </w:t>
      </w:r>
      <w:r>
        <w:rPr>
          <w:rFonts w:ascii="Cambria Math" w:hAnsi="Cambria Math" w:cs="Calibri Light"/>
          <w:i/>
          <w:sz w:val="18"/>
          <w:szCs w:val="18"/>
        </w:rPr>
        <w:tab/>
        <w:t>Peak hours per day</w:t>
      </w:r>
    </w:p>
    <w:p w14:paraId="3810B15A" w14:textId="77777777" w:rsidR="00F71F74" w:rsidRDefault="00F71F74" w:rsidP="00FA47A8">
      <w:pPr>
        <w:pStyle w:val="Caption"/>
      </w:pPr>
      <w:r>
        <w:lastRenderedPageBreak/>
        <w:t>Peak Demand Reduction Parameters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335"/>
        <w:gridCol w:w="1170"/>
        <w:gridCol w:w="6030"/>
      </w:tblGrid>
      <w:tr w:rsidR="00F71F74" w:rsidRPr="00A94CA4" w14:paraId="4AB8CE4F" w14:textId="77777777" w:rsidTr="00D06FE7">
        <w:trPr>
          <w:cantSplit/>
          <w:trHeight w:val="20"/>
        </w:trPr>
        <w:tc>
          <w:tcPr>
            <w:tcW w:w="23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370894E" w14:textId="77777777" w:rsidR="00F71F74" w:rsidRPr="00A94CA4" w:rsidRDefault="00F71F74" w:rsidP="00FA47A8">
            <w:pPr>
              <w:keepNext/>
              <w:keepLines/>
              <w:spacing w:before="20" w:after="20" w:line="240" w:lineRule="auto"/>
              <w:rPr>
                <w:b/>
                <w:sz w:val="20"/>
                <w:szCs w:val="20"/>
              </w:rPr>
            </w:pPr>
            <w:r w:rsidRPr="00A94CA4">
              <w:rPr>
                <w:b/>
                <w:sz w:val="20"/>
                <w:szCs w:val="20"/>
              </w:rPr>
              <w:t>Parameter</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center"/>
          </w:tcPr>
          <w:p w14:paraId="3F507DB5" w14:textId="77777777" w:rsidR="00F71F74" w:rsidRPr="00A94CA4" w:rsidRDefault="00F71F74" w:rsidP="00FA47A8">
            <w:pPr>
              <w:keepNext/>
              <w:keepLines/>
              <w:spacing w:before="20" w:after="20" w:line="240" w:lineRule="auto"/>
              <w:jc w:val="center"/>
              <w:rPr>
                <w:rFonts w:eastAsia="Times New Roman" w:cs="Calibri Light"/>
                <w:b/>
                <w:color w:val="000000"/>
                <w:sz w:val="20"/>
                <w:szCs w:val="20"/>
              </w:rPr>
            </w:pPr>
            <w:r w:rsidRPr="00A94CA4">
              <w:rPr>
                <w:rFonts w:eastAsia="Times New Roman" w:cs="Calibri Light"/>
                <w:b/>
                <w:color w:val="000000"/>
                <w:sz w:val="20"/>
                <w:szCs w:val="20"/>
              </w:rPr>
              <w:t>Value</w:t>
            </w:r>
          </w:p>
        </w:tc>
        <w:tc>
          <w:tcPr>
            <w:tcW w:w="60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DF352B6" w14:textId="77777777" w:rsidR="00F71F74" w:rsidRPr="00A94CA4" w:rsidRDefault="00F71F74" w:rsidP="00FA47A8">
            <w:pPr>
              <w:keepNext/>
              <w:keepLines/>
              <w:spacing w:before="20" w:after="20" w:line="240" w:lineRule="auto"/>
              <w:rPr>
                <w:b/>
                <w:sz w:val="20"/>
                <w:szCs w:val="20"/>
              </w:rPr>
            </w:pPr>
            <w:r w:rsidRPr="00A94CA4">
              <w:rPr>
                <w:b/>
                <w:sz w:val="20"/>
                <w:szCs w:val="20"/>
              </w:rPr>
              <w:t>Source</w:t>
            </w:r>
          </w:p>
        </w:tc>
      </w:tr>
      <w:tr w:rsidR="00F71F74" w:rsidRPr="00BA632F" w14:paraId="5502641B" w14:textId="77777777" w:rsidTr="00D06FE7">
        <w:trPr>
          <w:cantSplit/>
          <w:trHeight w:val="20"/>
        </w:trPr>
        <w:tc>
          <w:tcPr>
            <w:tcW w:w="23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2ECF7D66" w14:textId="089CB2EE" w:rsidR="00F71F74" w:rsidRPr="00F71F74" w:rsidRDefault="00FA47A8" w:rsidP="00FA47A8">
            <w:pPr>
              <w:keepNext/>
              <w:keepLines/>
              <w:spacing w:before="20" w:after="20" w:line="240" w:lineRule="auto"/>
              <w:rPr>
                <w:sz w:val="20"/>
                <w:szCs w:val="20"/>
              </w:rPr>
            </w:pPr>
            <w:r w:rsidRPr="00A94CA4">
              <w:rPr>
                <w:sz w:val="20"/>
                <w:szCs w:val="20"/>
              </w:rPr>
              <w:t>Peak Period Usage Factor (PPUF)</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690A7D95" w14:textId="77777777" w:rsidR="00F71F74" w:rsidRPr="00636566" w:rsidRDefault="00F71F74" w:rsidP="00FA47A8">
            <w:pPr>
              <w:keepNext/>
              <w:keepLines/>
              <w:spacing w:before="20" w:after="20" w:line="240" w:lineRule="auto"/>
              <w:jc w:val="center"/>
              <w:rPr>
                <w:rFonts w:eastAsia="Times New Roman" w:cs="Calibri Light"/>
                <w:sz w:val="20"/>
                <w:szCs w:val="20"/>
              </w:rPr>
            </w:pPr>
            <w:r w:rsidRPr="00636566">
              <w:rPr>
                <w:rFonts w:eastAsia="Times New Roman" w:cs="Calibri Light"/>
                <w:sz w:val="20"/>
                <w:szCs w:val="20"/>
              </w:rPr>
              <w:t>0.</w:t>
            </w:r>
            <w:r>
              <w:rPr>
                <w:rFonts w:eastAsia="Times New Roman" w:cs="Calibri Light"/>
                <w:sz w:val="20"/>
                <w:szCs w:val="20"/>
              </w:rPr>
              <w:t>37</w:t>
            </w:r>
          </w:p>
        </w:tc>
        <w:tc>
          <w:tcPr>
            <w:tcW w:w="60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35B8E2" w14:textId="77777777" w:rsidR="00F71F74" w:rsidRPr="005C7B8D" w:rsidRDefault="00F71F74" w:rsidP="00FA47A8">
            <w:pPr>
              <w:keepNext/>
              <w:keepLines/>
              <w:spacing w:before="20" w:after="20" w:line="240" w:lineRule="auto"/>
            </w:pPr>
            <w:r>
              <w:rPr>
                <w:sz w:val="18"/>
                <w:szCs w:val="18"/>
              </w:rPr>
              <w:t>Southern California Edison (SCE). 2019. “</w:t>
            </w:r>
            <w:r w:rsidRPr="002A20C1">
              <w:rPr>
                <w:sz w:val="18"/>
                <w:szCs w:val="18"/>
              </w:rPr>
              <w:t>Water Heater - Electric Peak Usage Factor adjustment to new TOU</w:t>
            </w:r>
            <w:r>
              <w:rPr>
                <w:sz w:val="18"/>
                <w:szCs w:val="18"/>
              </w:rPr>
              <w:t>.xlsx”</w:t>
            </w:r>
          </w:p>
        </w:tc>
      </w:tr>
      <w:tr w:rsidR="00FA47A8" w:rsidRPr="00BA632F" w14:paraId="0C9B453C" w14:textId="77777777" w:rsidTr="00FA47A8">
        <w:trPr>
          <w:cantSplit/>
          <w:trHeight w:val="20"/>
        </w:trPr>
        <w:tc>
          <w:tcPr>
            <w:tcW w:w="23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4B434FCE" w14:textId="29852F53" w:rsidR="00FA47A8" w:rsidRPr="00A94CA4" w:rsidRDefault="00FA47A8" w:rsidP="00FA47A8">
            <w:pPr>
              <w:keepNext/>
              <w:keepLines/>
              <w:spacing w:before="20" w:after="20" w:line="240" w:lineRule="auto"/>
              <w:rPr>
                <w:sz w:val="20"/>
                <w:szCs w:val="20"/>
              </w:rPr>
            </w:pPr>
            <w:r>
              <w:rPr>
                <w:sz w:val="20"/>
                <w:szCs w:val="20"/>
              </w:rPr>
              <w:t>Operating days per year</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705968AD" w14:textId="75754B28" w:rsidR="00FA47A8" w:rsidRPr="00636566" w:rsidRDefault="00FA47A8" w:rsidP="00FA47A8">
            <w:pPr>
              <w:keepNext/>
              <w:keepLines/>
              <w:spacing w:before="20" w:after="20" w:line="240" w:lineRule="auto"/>
              <w:jc w:val="center"/>
              <w:rPr>
                <w:rFonts w:eastAsia="Times New Roman" w:cs="Calibri Light"/>
                <w:sz w:val="20"/>
                <w:szCs w:val="20"/>
              </w:rPr>
            </w:pPr>
            <w:r>
              <w:rPr>
                <w:rFonts w:eastAsia="Times New Roman" w:cs="Calibri Light"/>
                <w:sz w:val="20"/>
                <w:szCs w:val="20"/>
              </w:rPr>
              <w:t>365</w:t>
            </w:r>
          </w:p>
        </w:tc>
        <w:tc>
          <w:tcPr>
            <w:tcW w:w="60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111A2B2" w14:textId="2FD12CBA" w:rsidR="00FA47A8" w:rsidRDefault="00FA47A8" w:rsidP="00FA47A8">
            <w:pPr>
              <w:keepNext/>
              <w:keepLines/>
              <w:spacing w:before="20" w:after="20" w:line="240" w:lineRule="auto"/>
              <w:rPr>
                <w:sz w:val="18"/>
                <w:szCs w:val="18"/>
              </w:rPr>
            </w:pPr>
            <w:r>
              <w:rPr>
                <w:sz w:val="18"/>
                <w:szCs w:val="18"/>
              </w:rPr>
              <w:t>Professional judgement</w:t>
            </w:r>
          </w:p>
        </w:tc>
      </w:tr>
      <w:tr w:rsidR="00F71F74" w:rsidRPr="00BA632F" w14:paraId="7869A296" w14:textId="77777777" w:rsidTr="00D06FE7">
        <w:trPr>
          <w:cantSplit/>
          <w:trHeight w:val="20"/>
        </w:trPr>
        <w:tc>
          <w:tcPr>
            <w:tcW w:w="23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57C74DE1" w14:textId="77777777" w:rsidR="00F71F74" w:rsidRPr="00A94CA4" w:rsidRDefault="00F71F74" w:rsidP="00D06FE7">
            <w:pPr>
              <w:spacing w:before="20" w:after="20" w:line="240" w:lineRule="auto"/>
              <w:rPr>
                <w:sz w:val="20"/>
                <w:szCs w:val="20"/>
              </w:rPr>
            </w:pPr>
            <w:r>
              <w:rPr>
                <w:sz w:val="20"/>
                <w:szCs w:val="20"/>
              </w:rPr>
              <w:t>Peak hours per day</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14038410" w14:textId="77777777" w:rsidR="00F71F74" w:rsidRPr="00636566" w:rsidRDefault="00F71F74" w:rsidP="00D06FE7">
            <w:pPr>
              <w:spacing w:before="20" w:after="20" w:line="240" w:lineRule="auto"/>
              <w:jc w:val="center"/>
              <w:rPr>
                <w:rFonts w:eastAsia="Times New Roman" w:cs="Calibri Light"/>
                <w:sz w:val="20"/>
                <w:szCs w:val="20"/>
              </w:rPr>
            </w:pPr>
            <w:r>
              <w:rPr>
                <w:rFonts w:eastAsia="Times New Roman" w:cs="Calibri Light"/>
                <w:sz w:val="20"/>
                <w:szCs w:val="20"/>
              </w:rPr>
              <w:t>5</w:t>
            </w:r>
          </w:p>
        </w:tc>
        <w:tc>
          <w:tcPr>
            <w:tcW w:w="60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5EE0CB0" w14:textId="77777777" w:rsidR="00F71F74" w:rsidRPr="00E540D1" w:rsidRDefault="00F71F74" w:rsidP="00D06FE7">
            <w:pPr>
              <w:spacing w:before="20" w:after="20" w:line="240" w:lineRule="auto"/>
              <w:rPr>
                <w:rFonts w:eastAsia="Times New Roman" w:cs="Times New Roman"/>
                <w:sz w:val="18"/>
                <w:szCs w:val="18"/>
              </w:rPr>
            </w:pP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tc>
      </w:tr>
    </w:tbl>
    <w:p w14:paraId="54B2243E" w14:textId="77777777" w:rsidR="006A0BFE" w:rsidRDefault="006A0BFE" w:rsidP="00BB4F22"/>
    <w:p w14:paraId="02E97124" w14:textId="77777777" w:rsidR="00177EB6" w:rsidRPr="004B06E3" w:rsidRDefault="00177EB6" w:rsidP="00177EB6">
      <w:pPr>
        <w:pStyle w:val="eTRMHeading3"/>
      </w:pPr>
      <w:bookmarkStart w:id="52" w:name="_Toc486490858"/>
      <w:bookmarkStart w:id="53" w:name="_Toc486580929"/>
      <w:bookmarkStart w:id="54" w:name="_Toc23509270"/>
      <w:r w:rsidRPr="004B06E3">
        <w:t>Gas Savings (Therms)</w:t>
      </w:r>
      <w:bookmarkEnd w:id="52"/>
      <w:bookmarkEnd w:id="53"/>
      <w:bookmarkEnd w:id="54"/>
    </w:p>
    <w:p w14:paraId="32BC77EF" w14:textId="6D7CDCA5" w:rsidR="00633CF2" w:rsidRDefault="00FD4F56" w:rsidP="0081509A">
      <w:r>
        <w:t xml:space="preserve">The estimation of gas unit energy savings (UES) </w:t>
      </w:r>
      <w:r w:rsidR="00633CF2">
        <w:t xml:space="preserve">The UES is a function of the water usage and water savings, which accounts for structural waste, behavioral waste, tub spout leakage, and reduced water flow during a shower.  </w:t>
      </w:r>
    </w:p>
    <w:p w14:paraId="6693AF02" w14:textId="5BADB9C4" w:rsidR="0081509A" w:rsidRDefault="0081509A" w:rsidP="0081509A">
      <w:r w:rsidRPr="0081509A">
        <w:rPr>
          <w:b/>
        </w:rPr>
        <w:t>Establish baseline water usage.</w:t>
      </w:r>
      <w:r w:rsidRPr="00594F7A">
        <w:t xml:space="preserve"> Baseline water usage is a function of structural waste, behavioral waste, shower time and water usage, and tub spout leakage rate</w:t>
      </w:r>
      <w:r>
        <w:rPr>
          <w:rStyle w:val="CommentReference"/>
        </w:rPr>
        <w:t>.</w:t>
      </w:r>
    </w:p>
    <w:p w14:paraId="4AADCCBF" w14:textId="77777777" w:rsidR="0081509A" w:rsidRDefault="0081509A" w:rsidP="0081509A">
      <w:pPr>
        <w:pStyle w:val="ListParagraph"/>
        <w:numPr>
          <w:ilvl w:val="0"/>
          <w:numId w:val="23"/>
        </w:numPr>
        <w:spacing w:before="0" w:after="0" w:line="240" w:lineRule="auto"/>
      </w:pPr>
      <w:r w:rsidRPr="00633CF2">
        <w:rPr>
          <w:i/>
        </w:rPr>
        <w:t>Structural waste</w:t>
      </w:r>
      <w:r>
        <w:t xml:space="preserve">, or the time it takes for hot takes to reach the water fixture, is the </w:t>
      </w:r>
      <w:r w:rsidRPr="001E5FE4">
        <w:t xml:space="preserve">percentage of showerhead warm up </w:t>
      </w:r>
      <w:r>
        <w:t>compared to</w:t>
      </w:r>
      <w:r w:rsidRPr="001E5FE4">
        <w:t xml:space="preserve"> tub spout warm up</w:t>
      </w:r>
    </w:p>
    <w:p w14:paraId="0894A03E" w14:textId="77777777" w:rsidR="0081509A" w:rsidRDefault="0081509A" w:rsidP="0081509A">
      <w:pPr>
        <w:pStyle w:val="ListParagraph"/>
        <w:numPr>
          <w:ilvl w:val="0"/>
          <w:numId w:val="23"/>
        </w:numPr>
        <w:spacing w:before="0" w:after="0" w:line="240" w:lineRule="auto"/>
      </w:pPr>
      <w:r w:rsidRPr="00633CF2">
        <w:rPr>
          <w:i/>
        </w:rPr>
        <w:t>Behavioral waste</w:t>
      </w:r>
      <w:r>
        <w:t xml:space="preserve">, or the time it takes for the user to enter shower less structural waste time, is the percentage of </w:t>
      </w:r>
      <w:r w:rsidRPr="001E5FE4">
        <w:t xml:space="preserve">tub spout warm up while </w:t>
      </w:r>
      <w:r>
        <w:t>the user is “</w:t>
      </w:r>
      <w:r w:rsidRPr="001E5FE4">
        <w:t>multi</w:t>
      </w:r>
      <w:r>
        <w:t>-</w:t>
      </w:r>
      <w:r w:rsidRPr="001E5FE4">
        <w:t>taskin</w:t>
      </w:r>
      <w:r>
        <w:t>g”</w:t>
      </w:r>
    </w:p>
    <w:p w14:paraId="48D430BB" w14:textId="6127F1B7" w:rsidR="0081509A" w:rsidRDefault="0081509A" w:rsidP="0081509A">
      <w:pPr>
        <w:pStyle w:val="ListParagraph"/>
        <w:numPr>
          <w:ilvl w:val="0"/>
          <w:numId w:val="23"/>
        </w:numPr>
        <w:spacing w:before="0" w:after="0" w:line="240" w:lineRule="auto"/>
      </w:pPr>
      <w:r w:rsidRPr="00633CF2">
        <w:rPr>
          <w:i/>
        </w:rPr>
        <w:t>Tub spout leak</w:t>
      </w:r>
      <w:r w:rsidR="00633CF2" w:rsidRPr="00633CF2">
        <w:rPr>
          <w:i/>
        </w:rPr>
        <w:t>age</w:t>
      </w:r>
      <w:r>
        <w:t xml:space="preserve"> percentage and rate</w:t>
      </w:r>
    </w:p>
    <w:p w14:paraId="0F5E5758" w14:textId="348B565B" w:rsidR="0081509A" w:rsidRPr="0065595C" w:rsidRDefault="0081509A" w:rsidP="0081509A">
      <w:pPr>
        <w:pStyle w:val="ListParagraph"/>
        <w:numPr>
          <w:ilvl w:val="0"/>
          <w:numId w:val="23"/>
        </w:numPr>
        <w:spacing w:before="0" w:after="0" w:line="240" w:lineRule="auto"/>
      </w:pPr>
      <w:r w:rsidRPr="00633CF2">
        <w:rPr>
          <w:i/>
        </w:rPr>
        <w:t xml:space="preserve">Shower time and </w:t>
      </w:r>
      <w:r w:rsidR="00633CF2" w:rsidRPr="00633CF2">
        <w:rPr>
          <w:i/>
        </w:rPr>
        <w:t xml:space="preserve">shower </w:t>
      </w:r>
      <w:r w:rsidRPr="00633CF2">
        <w:rPr>
          <w:i/>
        </w:rPr>
        <w:t>water usage</w:t>
      </w:r>
      <w:r>
        <w:t xml:space="preserve"> are represented by: showerhead and tub spout flow rate</w:t>
      </w:r>
      <w:r w:rsidR="00633CF2">
        <w:t>s</w:t>
      </w:r>
      <w:r>
        <w:t>, shower mixed daily water usage (varies by single family and multifamily/</w:t>
      </w:r>
      <w:r w:rsidR="00081E6E">
        <w:t xml:space="preserve">double-wide </w:t>
      </w:r>
      <w:r>
        <w:t>mobile home), and the number of showers per day (varies by single family and multifamily/</w:t>
      </w:r>
      <w:r w:rsidR="00081E6E">
        <w:t xml:space="preserve">double-wide </w:t>
      </w:r>
      <w:r>
        <w:t>mobile home)</w:t>
      </w:r>
    </w:p>
    <w:p w14:paraId="3149838A" w14:textId="77777777" w:rsidR="0081509A" w:rsidRDefault="0081509A" w:rsidP="0081509A">
      <w:r w:rsidRPr="0081509A">
        <w:rPr>
          <w:b/>
        </w:rPr>
        <w:t>Calculate water savings.</w:t>
      </w:r>
      <w:r>
        <w:t xml:space="preserve"> Water savings is a function of forced tub spout warm up, reduction of behavioral waste, reduction of tub spout leakage, and reduction of showerhead flow rate.  </w:t>
      </w:r>
    </w:p>
    <w:p w14:paraId="0C790D4C" w14:textId="15189DF7" w:rsidR="00AD0A81" w:rsidRDefault="0081509A" w:rsidP="00AD0A81">
      <w:r w:rsidRPr="0081509A">
        <w:rPr>
          <w:b/>
        </w:rPr>
        <w:t>Calculate Energy Savings.</w:t>
      </w:r>
      <w:r>
        <w:rPr>
          <w:b/>
        </w:rPr>
        <w:t xml:space="preserve"> </w:t>
      </w:r>
      <w:r w:rsidR="00633CF2" w:rsidRPr="00633CF2">
        <w:t>The g</w:t>
      </w:r>
      <w:r w:rsidRPr="0081509A">
        <w:t>as UES is calculated by converting water savings to therm savings.</w:t>
      </w:r>
      <w:r w:rsidR="0079426C">
        <w:t xml:space="preserve"> </w:t>
      </w:r>
      <w:r w:rsidR="00677D80">
        <w:t>The resultant UES values are consistent with</w:t>
      </w:r>
      <w:r w:rsidR="00AD0A81">
        <w:t xml:space="preserve"> findings in “Auto-Diverting Tub Spout System with ShowerStart TSV”.</w:t>
      </w:r>
      <w:r w:rsidR="00AD0A81">
        <w:rPr>
          <w:rStyle w:val="FootnoteReference"/>
        </w:rPr>
        <w:footnoteReference w:id="13"/>
      </w:r>
    </w:p>
    <w:p w14:paraId="5C4AF489" w14:textId="77777777" w:rsidR="00E57C24" w:rsidRDefault="00E57C24" w:rsidP="00AD0A81"/>
    <w:p w14:paraId="70640490" w14:textId="734D2B53" w:rsidR="00AD0A81" w:rsidRDefault="00AD0A81" w:rsidP="00FD4F56">
      <w:pPr>
        <w:pStyle w:val="eTRMHeading4"/>
      </w:pPr>
      <w:bookmarkStart w:id="55" w:name="_Toc448135883"/>
      <w:r>
        <w:t xml:space="preserve">Establish </w:t>
      </w:r>
      <w:r w:rsidR="00594F7A">
        <w:t>Baseline</w:t>
      </w:r>
      <w:r>
        <w:t xml:space="preserve"> Water Usage</w:t>
      </w:r>
      <w:bookmarkEnd w:id="55"/>
    </w:p>
    <w:p w14:paraId="480FF987" w14:textId="773D9BCE" w:rsidR="00AD0A81" w:rsidRDefault="00594F7A" w:rsidP="00AD0A81">
      <w:r>
        <w:t xml:space="preserve">Baseline </w:t>
      </w:r>
      <w:r w:rsidR="00AD0A81">
        <w:t xml:space="preserve">water usage is </w:t>
      </w:r>
      <w:r w:rsidR="00E57C24">
        <w:t>a function of</w:t>
      </w:r>
      <w:r w:rsidR="00AD0A81">
        <w:t>: structural</w:t>
      </w:r>
      <w:r w:rsidR="00FD4F56">
        <w:t xml:space="preserve"> usage</w:t>
      </w:r>
      <w:r w:rsidR="00AD0A81">
        <w:t>, behaviora</w:t>
      </w:r>
      <w:r w:rsidR="00FD4F56">
        <w:t>l usage</w:t>
      </w:r>
      <w:r w:rsidR="00AD0A81">
        <w:t>, and shower usage.</w:t>
      </w:r>
      <w:r w:rsidR="003B12C3" w:rsidRPr="003B12C3">
        <w:t xml:space="preserve"> </w:t>
      </w:r>
      <w:r w:rsidR="003B12C3">
        <w:t>See Inputs and Assumptions below for details and sources.</w:t>
      </w:r>
    </w:p>
    <w:p w14:paraId="0830D642" w14:textId="77777777" w:rsidR="00AD0A81" w:rsidRPr="0009103A" w:rsidRDefault="00AD0A81" w:rsidP="00F947BF">
      <w:pPr>
        <w:pStyle w:val="eTRMHeading5"/>
        <w:keepNext/>
        <w:keepLines/>
      </w:pPr>
      <w:r w:rsidRPr="0009103A">
        <w:lastRenderedPageBreak/>
        <w:t>Structural Usage</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80"/>
        <w:gridCol w:w="4680"/>
        <w:gridCol w:w="1795"/>
      </w:tblGrid>
      <w:tr w:rsidR="00E57C24" w:rsidRPr="00E57C24" w14:paraId="401698B0" w14:textId="77777777" w:rsidTr="003B12C3">
        <w:trPr>
          <w:cantSplit/>
          <w:tblHeader/>
        </w:trPr>
        <w:tc>
          <w:tcPr>
            <w:tcW w:w="2880" w:type="dxa"/>
            <w:shd w:val="clear" w:color="auto" w:fill="F2F2F2" w:themeFill="background1" w:themeFillShade="F2"/>
          </w:tcPr>
          <w:p w14:paraId="7E3FB747" w14:textId="75BCE8B0" w:rsidR="00E57C24" w:rsidRPr="00E57C24" w:rsidRDefault="00E57C24" w:rsidP="00F947BF">
            <w:pPr>
              <w:keepNext/>
              <w:keepLines/>
              <w:spacing w:before="0" w:after="0"/>
              <w:rPr>
                <w:rFonts w:cs="Calibri Light"/>
                <w:b/>
                <w:color w:val="000000"/>
                <w:sz w:val="20"/>
                <w:szCs w:val="22"/>
              </w:rPr>
            </w:pPr>
            <w:r w:rsidRPr="00E57C24">
              <w:rPr>
                <w:rFonts w:cs="Calibri Light"/>
                <w:b/>
                <w:color w:val="000000"/>
                <w:sz w:val="20"/>
                <w:szCs w:val="22"/>
              </w:rPr>
              <w:t>Input</w:t>
            </w:r>
          </w:p>
        </w:tc>
        <w:tc>
          <w:tcPr>
            <w:tcW w:w="4680" w:type="dxa"/>
            <w:shd w:val="clear" w:color="auto" w:fill="F2F2F2" w:themeFill="background1" w:themeFillShade="F2"/>
          </w:tcPr>
          <w:p w14:paraId="6D6714F4" w14:textId="08919E18" w:rsidR="00E57C24" w:rsidRPr="00E57C24" w:rsidRDefault="00E57C24" w:rsidP="00F947BF">
            <w:pPr>
              <w:keepNext/>
              <w:keepLines/>
              <w:spacing w:before="0" w:after="0"/>
              <w:rPr>
                <w:rFonts w:cs="Calibri Light"/>
                <w:b/>
                <w:color w:val="000000"/>
                <w:sz w:val="20"/>
                <w:szCs w:val="22"/>
              </w:rPr>
            </w:pPr>
            <w:r w:rsidRPr="00E57C24">
              <w:rPr>
                <w:rFonts w:cs="Calibri Light"/>
                <w:b/>
                <w:color w:val="000000"/>
                <w:sz w:val="20"/>
                <w:szCs w:val="22"/>
              </w:rPr>
              <w:t>Calculation</w:t>
            </w:r>
          </w:p>
        </w:tc>
        <w:tc>
          <w:tcPr>
            <w:tcW w:w="1795" w:type="dxa"/>
            <w:shd w:val="clear" w:color="auto" w:fill="F2F2F2" w:themeFill="background1" w:themeFillShade="F2"/>
          </w:tcPr>
          <w:p w14:paraId="269BBFB7" w14:textId="4D986E5F" w:rsidR="00E57C24" w:rsidRPr="00E57C24" w:rsidRDefault="00E57C24" w:rsidP="00F947BF">
            <w:pPr>
              <w:keepNext/>
              <w:keepLines/>
              <w:spacing w:before="0" w:after="0"/>
              <w:rPr>
                <w:rFonts w:cs="Calibri Light"/>
                <w:b/>
                <w:color w:val="000000"/>
                <w:sz w:val="20"/>
                <w:szCs w:val="22"/>
              </w:rPr>
            </w:pPr>
            <w:r w:rsidRPr="00E57C24">
              <w:rPr>
                <w:rFonts w:cs="Calibri Light"/>
                <w:b/>
                <w:color w:val="000000"/>
                <w:sz w:val="20"/>
                <w:szCs w:val="22"/>
              </w:rPr>
              <w:t>Calculated Value</w:t>
            </w:r>
          </w:p>
        </w:tc>
      </w:tr>
      <w:tr w:rsidR="00E57C24" w:rsidRPr="00E57C24" w14:paraId="78298728" w14:textId="77777777" w:rsidTr="003B12C3">
        <w:trPr>
          <w:cantSplit/>
        </w:trPr>
        <w:tc>
          <w:tcPr>
            <w:tcW w:w="2880" w:type="dxa"/>
          </w:tcPr>
          <w:p w14:paraId="62A5E914" w14:textId="77777777" w:rsidR="00E57C24" w:rsidRPr="00E57C24" w:rsidRDefault="00E57C24" w:rsidP="00F947BF">
            <w:pPr>
              <w:keepNext/>
              <w:keepLines/>
              <w:spacing w:before="0" w:after="0"/>
              <w:rPr>
                <w:rFonts w:cs="Calibri Light"/>
                <w:color w:val="000000"/>
                <w:sz w:val="20"/>
                <w:szCs w:val="22"/>
              </w:rPr>
            </w:pPr>
            <w:r w:rsidRPr="00E57C24">
              <w:rPr>
                <w:rFonts w:cs="Calibri Light"/>
                <w:color w:val="000000"/>
                <w:sz w:val="20"/>
                <w:szCs w:val="22"/>
              </w:rPr>
              <w:t>Structural Waste</w:t>
            </w:r>
          </w:p>
        </w:tc>
        <w:tc>
          <w:tcPr>
            <w:tcW w:w="4680" w:type="dxa"/>
            <w:vAlign w:val="center"/>
          </w:tcPr>
          <w:p w14:paraId="11EB8FDE" w14:textId="77777777" w:rsidR="00E57C24" w:rsidRPr="00E57C24" w:rsidRDefault="00E57C24" w:rsidP="00F947BF">
            <w:pPr>
              <w:keepNext/>
              <w:keepLines/>
              <w:spacing w:before="0" w:after="0"/>
              <w:rPr>
                <w:rFonts w:ascii="Cambria Math" w:hAnsi="Cambria Math"/>
                <w:i/>
                <w:color w:val="000000"/>
                <w:sz w:val="18"/>
                <w:szCs w:val="22"/>
              </w:rPr>
            </w:pPr>
            <w:r w:rsidRPr="00E57C24">
              <w:rPr>
                <w:rFonts w:ascii="Cambria Math" w:hAnsi="Cambria Math"/>
                <w:i/>
                <w:color w:val="000000"/>
                <w:sz w:val="18"/>
                <w:szCs w:val="22"/>
              </w:rPr>
              <w:t xml:space="preserve">StWt = BWt / BWp – BWt </w:t>
            </w:r>
          </w:p>
        </w:tc>
        <w:tc>
          <w:tcPr>
            <w:tcW w:w="1795" w:type="dxa"/>
            <w:vAlign w:val="center"/>
          </w:tcPr>
          <w:p w14:paraId="14FAE4D5" w14:textId="09F4BA78" w:rsidR="00E57C24" w:rsidRPr="00E57C24" w:rsidRDefault="00E57C24" w:rsidP="00F947BF">
            <w:pPr>
              <w:keepNext/>
              <w:keepLines/>
              <w:spacing w:before="0" w:after="0"/>
              <w:rPr>
                <w:rFonts w:cs="Calibri Light"/>
                <w:color w:val="000000"/>
                <w:sz w:val="20"/>
                <w:szCs w:val="22"/>
              </w:rPr>
            </w:pPr>
            <w:r w:rsidRPr="00E57C24">
              <w:rPr>
                <w:rFonts w:cs="Calibri Light"/>
                <w:color w:val="000000"/>
                <w:sz w:val="20"/>
                <w:szCs w:val="22"/>
              </w:rPr>
              <w:t xml:space="preserve">33 sec/Warm-up </w:t>
            </w:r>
          </w:p>
        </w:tc>
      </w:tr>
      <w:tr w:rsidR="00E57C24" w:rsidRPr="00E57C24" w14:paraId="2ACE7754" w14:textId="77777777" w:rsidTr="003B12C3">
        <w:trPr>
          <w:cantSplit/>
        </w:trPr>
        <w:tc>
          <w:tcPr>
            <w:tcW w:w="2880" w:type="dxa"/>
          </w:tcPr>
          <w:p w14:paraId="6C330A2E" w14:textId="6BCF0574" w:rsidR="00E57C24" w:rsidRPr="00E57C24" w:rsidRDefault="00E57C24" w:rsidP="00F947BF">
            <w:pPr>
              <w:keepNext/>
              <w:keepLines/>
              <w:spacing w:before="0" w:after="0"/>
              <w:rPr>
                <w:rFonts w:cs="Calibri Light"/>
                <w:color w:val="000000"/>
                <w:sz w:val="20"/>
                <w:szCs w:val="22"/>
              </w:rPr>
            </w:pPr>
            <w:r w:rsidRPr="00E57C24">
              <w:rPr>
                <w:rFonts w:cs="Calibri Light"/>
                <w:color w:val="000000"/>
                <w:sz w:val="20"/>
                <w:szCs w:val="22"/>
              </w:rPr>
              <w:t>Tub Spout Leak during Structural Waste Time</w:t>
            </w:r>
          </w:p>
        </w:tc>
        <w:tc>
          <w:tcPr>
            <w:tcW w:w="4680" w:type="dxa"/>
            <w:vAlign w:val="center"/>
          </w:tcPr>
          <w:p w14:paraId="7D1A8244" w14:textId="14DDEDF1" w:rsidR="00E57C24" w:rsidRPr="00E57C24" w:rsidRDefault="00E57C24" w:rsidP="00F947BF">
            <w:pPr>
              <w:keepNext/>
              <w:keepLines/>
              <w:spacing w:before="0" w:after="0"/>
              <w:rPr>
                <w:rFonts w:ascii="Cambria Math" w:hAnsi="Cambria Math"/>
                <w:i/>
                <w:color w:val="000000"/>
                <w:sz w:val="18"/>
                <w:szCs w:val="22"/>
              </w:rPr>
            </w:pPr>
            <w:r w:rsidRPr="00E57C24">
              <w:rPr>
                <w:rFonts w:ascii="Cambria Math" w:hAnsi="Cambria Math"/>
                <w:i/>
                <w:color w:val="000000"/>
                <w:sz w:val="18"/>
                <w:szCs w:val="22"/>
              </w:rPr>
              <w:t xml:space="preserve">TslStw = StWt / C1 * TslR </w:t>
            </w:r>
          </w:p>
        </w:tc>
        <w:tc>
          <w:tcPr>
            <w:tcW w:w="1795" w:type="dxa"/>
            <w:vAlign w:val="center"/>
          </w:tcPr>
          <w:p w14:paraId="7D0458C5" w14:textId="77777777" w:rsidR="00E57C24" w:rsidRPr="00E57C24" w:rsidRDefault="00E57C24" w:rsidP="00F947BF">
            <w:pPr>
              <w:keepNext/>
              <w:keepLines/>
              <w:spacing w:before="0" w:after="0"/>
              <w:rPr>
                <w:rFonts w:cs="Calibri Light"/>
                <w:color w:val="000000"/>
                <w:sz w:val="20"/>
                <w:szCs w:val="22"/>
              </w:rPr>
            </w:pPr>
            <w:r w:rsidRPr="00E57C24">
              <w:rPr>
                <w:rFonts w:cs="Calibri Light"/>
                <w:color w:val="000000"/>
                <w:sz w:val="20"/>
                <w:szCs w:val="22"/>
              </w:rPr>
              <w:t xml:space="preserve">0.44 gal/Warm-up </w:t>
            </w:r>
          </w:p>
        </w:tc>
      </w:tr>
      <w:tr w:rsidR="00E57C24" w:rsidRPr="00E57C24" w14:paraId="03E73601" w14:textId="77777777" w:rsidTr="003B12C3">
        <w:trPr>
          <w:cantSplit/>
        </w:trPr>
        <w:tc>
          <w:tcPr>
            <w:tcW w:w="2880" w:type="dxa"/>
          </w:tcPr>
          <w:p w14:paraId="4DC48B6F" w14:textId="77777777" w:rsidR="00E57C24" w:rsidRPr="00E57C24" w:rsidRDefault="00E57C24" w:rsidP="00E57C24">
            <w:pPr>
              <w:spacing w:before="0" w:after="0"/>
              <w:rPr>
                <w:rFonts w:cs="Calibri Light"/>
                <w:color w:val="000000"/>
                <w:sz w:val="20"/>
                <w:szCs w:val="22"/>
              </w:rPr>
            </w:pPr>
            <w:r w:rsidRPr="00E57C24">
              <w:rPr>
                <w:rFonts w:cs="Calibri Light"/>
                <w:color w:val="000000"/>
                <w:sz w:val="20"/>
                <w:szCs w:val="22"/>
              </w:rPr>
              <w:t xml:space="preserve">Shower Structure Waste </w:t>
            </w:r>
          </w:p>
        </w:tc>
        <w:tc>
          <w:tcPr>
            <w:tcW w:w="4680" w:type="dxa"/>
            <w:vAlign w:val="center"/>
          </w:tcPr>
          <w:p w14:paraId="08260AD4" w14:textId="77777777" w:rsidR="00E57C24" w:rsidRPr="00E57C24" w:rsidRDefault="00E57C24" w:rsidP="00DA0D57">
            <w:pPr>
              <w:spacing w:before="0" w:after="0"/>
              <w:rPr>
                <w:rFonts w:ascii="Cambria Math" w:hAnsi="Cambria Math"/>
                <w:i/>
                <w:color w:val="000000"/>
                <w:sz w:val="18"/>
                <w:szCs w:val="22"/>
              </w:rPr>
            </w:pPr>
            <w:r w:rsidRPr="00E57C24">
              <w:rPr>
                <w:rFonts w:ascii="Cambria Math" w:hAnsi="Cambria Math"/>
                <w:i/>
                <w:color w:val="000000"/>
                <w:sz w:val="18"/>
                <w:szCs w:val="22"/>
              </w:rPr>
              <w:t xml:space="preserve">ShStw= StWt / C1 * ShFr </w:t>
            </w:r>
          </w:p>
        </w:tc>
        <w:tc>
          <w:tcPr>
            <w:tcW w:w="1795" w:type="dxa"/>
            <w:vAlign w:val="center"/>
          </w:tcPr>
          <w:p w14:paraId="367A10E7" w14:textId="0CA23310" w:rsidR="00E57C24" w:rsidRPr="00E57C24" w:rsidRDefault="00E57C24" w:rsidP="00DA0D57">
            <w:pPr>
              <w:spacing w:before="0" w:after="0"/>
              <w:rPr>
                <w:rFonts w:cs="Calibri Light"/>
                <w:color w:val="000000"/>
                <w:sz w:val="20"/>
                <w:szCs w:val="22"/>
              </w:rPr>
            </w:pPr>
            <w:r w:rsidRPr="00E57C24">
              <w:rPr>
                <w:rFonts w:cs="Calibri Light"/>
                <w:color w:val="000000"/>
                <w:sz w:val="20"/>
                <w:szCs w:val="22"/>
              </w:rPr>
              <w:t xml:space="preserve">1.10 gal/Warm-up </w:t>
            </w:r>
          </w:p>
        </w:tc>
      </w:tr>
      <w:tr w:rsidR="00E57C24" w:rsidRPr="00E57C24" w14:paraId="445D8FA1" w14:textId="77777777" w:rsidTr="003B12C3">
        <w:trPr>
          <w:cantSplit/>
        </w:trPr>
        <w:tc>
          <w:tcPr>
            <w:tcW w:w="2880" w:type="dxa"/>
          </w:tcPr>
          <w:p w14:paraId="580F6DCC" w14:textId="77777777" w:rsidR="00E57C24" w:rsidRPr="00E57C24" w:rsidRDefault="00E57C24" w:rsidP="00E57C24">
            <w:pPr>
              <w:spacing w:before="0" w:after="0"/>
              <w:rPr>
                <w:rFonts w:cs="Calibri Light"/>
                <w:color w:val="000000"/>
                <w:sz w:val="20"/>
                <w:szCs w:val="22"/>
              </w:rPr>
            </w:pPr>
            <w:r w:rsidRPr="00E57C24">
              <w:rPr>
                <w:rFonts w:cs="Calibri Light"/>
                <w:color w:val="000000"/>
                <w:sz w:val="20"/>
                <w:szCs w:val="22"/>
              </w:rPr>
              <w:t xml:space="preserve">Amount of Water in Pipe </w:t>
            </w:r>
          </w:p>
        </w:tc>
        <w:tc>
          <w:tcPr>
            <w:tcW w:w="4680" w:type="dxa"/>
            <w:vAlign w:val="center"/>
          </w:tcPr>
          <w:p w14:paraId="62F4161B" w14:textId="77777777" w:rsidR="00E57C24" w:rsidRPr="00E57C24" w:rsidRDefault="00E57C24" w:rsidP="00DA0D57">
            <w:pPr>
              <w:spacing w:before="0" w:after="0"/>
              <w:rPr>
                <w:rFonts w:ascii="Cambria Math" w:hAnsi="Cambria Math"/>
                <w:i/>
                <w:color w:val="000000"/>
                <w:sz w:val="18"/>
                <w:szCs w:val="22"/>
              </w:rPr>
            </w:pPr>
            <w:r w:rsidRPr="00E57C24">
              <w:rPr>
                <w:rFonts w:ascii="Cambria Math" w:hAnsi="Cambria Math"/>
                <w:i/>
                <w:color w:val="000000"/>
                <w:sz w:val="18"/>
                <w:szCs w:val="22"/>
              </w:rPr>
              <w:t xml:space="preserve">Wtp= ShStw / SP </w:t>
            </w:r>
          </w:p>
        </w:tc>
        <w:tc>
          <w:tcPr>
            <w:tcW w:w="1795" w:type="dxa"/>
            <w:vAlign w:val="center"/>
          </w:tcPr>
          <w:p w14:paraId="4900F255" w14:textId="458D9965" w:rsidR="00E57C24" w:rsidRPr="00E57C24" w:rsidRDefault="00E57C24" w:rsidP="00DA0D57">
            <w:pPr>
              <w:spacing w:before="0" w:after="0"/>
              <w:rPr>
                <w:rFonts w:cs="Calibri Light"/>
                <w:color w:val="000000"/>
                <w:sz w:val="20"/>
                <w:szCs w:val="22"/>
              </w:rPr>
            </w:pPr>
            <w:r w:rsidRPr="00E57C24">
              <w:rPr>
                <w:rFonts w:cs="Calibri Light"/>
                <w:color w:val="000000"/>
                <w:sz w:val="20"/>
                <w:szCs w:val="22"/>
              </w:rPr>
              <w:t xml:space="preserve">0.85 gal </w:t>
            </w:r>
          </w:p>
        </w:tc>
      </w:tr>
      <w:tr w:rsidR="00E57C24" w:rsidRPr="00E57C24" w14:paraId="697BD758" w14:textId="77777777" w:rsidTr="003B12C3">
        <w:trPr>
          <w:cantSplit/>
        </w:trPr>
        <w:tc>
          <w:tcPr>
            <w:tcW w:w="2880" w:type="dxa"/>
          </w:tcPr>
          <w:p w14:paraId="545BEAC7" w14:textId="77777777" w:rsidR="00E57C24" w:rsidRPr="00E57C24" w:rsidRDefault="00E57C24" w:rsidP="00E57C24">
            <w:pPr>
              <w:spacing w:before="0" w:after="0"/>
              <w:rPr>
                <w:rFonts w:cs="Calibri Light"/>
                <w:color w:val="000000"/>
                <w:sz w:val="20"/>
                <w:szCs w:val="22"/>
              </w:rPr>
            </w:pPr>
            <w:r w:rsidRPr="00E57C24">
              <w:rPr>
                <w:rFonts w:cs="Calibri Light"/>
                <w:color w:val="000000"/>
                <w:sz w:val="20"/>
                <w:szCs w:val="22"/>
              </w:rPr>
              <w:t xml:space="preserve">Tub Structure Waste </w:t>
            </w:r>
          </w:p>
        </w:tc>
        <w:tc>
          <w:tcPr>
            <w:tcW w:w="4680" w:type="dxa"/>
            <w:vAlign w:val="center"/>
          </w:tcPr>
          <w:p w14:paraId="654AC595" w14:textId="77777777" w:rsidR="00E57C24" w:rsidRPr="00E57C24" w:rsidRDefault="00E57C24" w:rsidP="00DA0D57">
            <w:pPr>
              <w:spacing w:before="0" w:after="0"/>
              <w:rPr>
                <w:rFonts w:ascii="Cambria Math" w:hAnsi="Cambria Math"/>
                <w:i/>
                <w:color w:val="000000"/>
                <w:sz w:val="18"/>
                <w:szCs w:val="22"/>
              </w:rPr>
            </w:pPr>
            <w:r w:rsidRPr="00E57C24">
              <w:rPr>
                <w:rFonts w:ascii="Cambria Math" w:hAnsi="Cambria Math"/>
                <w:i/>
                <w:color w:val="000000"/>
                <w:sz w:val="18"/>
                <w:szCs w:val="22"/>
              </w:rPr>
              <w:t xml:space="preserve">TsStw = WtP * TsWuPWt </w:t>
            </w:r>
          </w:p>
        </w:tc>
        <w:tc>
          <w:tcPr>
            <w:tcW w:w="1795" w:type="dxa"/>
            <w:vAlign w:val="center"/>
          </w:tcPr>
          <w:p w14:paraId="008AD78C" w14:textId="64429473" w:rsidR="00E57C24" w:rsidRPr="00E57C24" w:rsidRDefault="00E57C24" w:rsidP="00DA0D57">
            <w:pPr>
              <w:spacing w:before="0" w:after="0"/>
              <w:rPr>
                <w:rFonts w:cs="Calibri Light"/>
                <w:color w:val="000000"/>
                <w:sz w:val="20"/>
                <w:szCs w:val="22"/>
              </w:rPr>
            </w:pPr>
            <w:r w:rsidRPr="00E57C24">
              <w:rPr>
                <w:rFonts w:cs="Calibri Light"/>
                <w:color w:val="000000"/>
                <w:sz w:val="20"/>
                <w:szCs w:val="22"/>
              </w:rPr>
              <w:t xml:space="preserve">0.89 gal/Warm-up </w:t>
            </w:r>
          </w:p>
        </w:tc>
      </w:tr>
      <w:tr w:rsidR="00E57C24" w:rsidRPr="00E57C24" w14:paraId="31B7E32F" w14:textId="77777777" w:rsidTr="003B12C3">
        <w:trPr>
          <w:cantSplit/>
        </w:trPr>
        <w:tc>
          <w:tcPr>
            <w:tcW w:w="2880" w:type="dxa"/>
          </w:tcPr>
          <w:p w14:paraId="4F0141BB" w14:textId="77777777" w:rsidR="00E57C24" w:rsidRPr="00E57C24" w:rsidRDefault="00E57C24" w:rsidP="00E57C24">
            <w:pPr>
              <w:spacing w:before="0" w:after="0"/>
              <w:rPr>
                <w:rFonts w:cs="Calibri Light"/>
                <w:color w:val="000000"/>
                <w:sz w:val="20"/>
                <w:szCs w:val="22"/>
              </w:rPr>
            </w:pPr>
            <w:r w:rsidRPr="00E57C24">
              <w:rPr>
                <w:rFonts w:cs="Calibri Light"/>
                <w:color w:val="000000"/>
                <w:sz w:val="20"/>
                <w:szCs w:val="22"/>
              </w:rPr>
              <w:t xml:space="preserve">Weighted Structural Waste w/ Tub Spout Leak Weighted </w:t>
            </w:r>
          </w:p>
        </w:tc>
        <w:tc>
          <w:tcPr>
            <w:tcW w:w="4680" w:type="dxa"/>
            <w:vAlign w:val="center"/>
          </w:tcPr>
          <w:p w14:paraId="7E438469" w14:textId="77777777" w:rsidR="00E57C24" w:rsidRPr="00E57C24" w:rsidRDefault="00E57C24" w:rsidP="00DA0D57">
            <w:pPr>
              <w:spacing w:before="0" w:after="0"/>
              <w:rPr>
                <w:rFonts w:ascii="Cambria Math" w:hAnsi="Cambria Math"/>
                <w:i/>
                <w:color w:val="000000"/>
                <w:sz w:val="18"/>
                <w:szCs w:val="22"/>
              </w:rPr>
            </w:pPr>
            <w:r w:rsidRPr="00E57C24">
              <w:rPr>
                <w:rFonts w:ascii="Cambria Math" w:hAnsi="Cambria Math"/>
                <w:i/>
                <w:color w:val="000000"/>
                <w:sz w:val="18"/>
                <w:szCs w:val="22"/>
              </w:rPr>
              <w:t xml:space="preserve">WStwTslW = (ShStw + TslStw * TslP) * ShWu + TsStw * TsWu </w:t>
            </w:r>
          </w:p>
        </w:tc>
        <w:tc>
          <w:tcPr>
            <w:tcW w:w="1795" w:type="dxa"/>
            <w:vAlign w:val="center"/>
          </w:tcPr>
          <w:p w14:paraId="7F3BBC68" w14:textId="77777777" w:rsidR="00E57C24" w:rsidRPr="00E57C24" w:rsidRDefault="00E57C24" w:rsidP="00DA0D57">
            <w:pPr>
              <w:spacing w:before="0" w:after="0"/>
              <w:rPr>
                <w:rFonts w:cs="Calibri Light"/>
                <w:color w:val="000000"/>
                <w:sz w:val="20"/>
                <w:szCs w:val="22"/>
              </w:rPr>
            </w:pPr>
            <w:r w:rsidRPr="00E57C24">
              <w:rPr>
                <w:rFonts w:cs="Calibri Light"/>
                <w:color w:val="000000"/>
                <w:sz w:val="20"/>
                <w:szCs w:val="22"/>
              </w:rPr>
              <w:t xml:space="preserve"> 1.11 gal/warm-up </w:t>
            </w:r>
          </w:p>
        </w:tc>
      </w:tr>
    </w:tbl>
    <w:p w14:paraId="64F25818" w14:textId="77777777" w:rsidR="00AD0A81" w:rsidRDefault="00AD0A81" w:rsidP="00AD0A81"/>
    <w:p w14:paraId="3A4EB332" w14:textId="7729A493" w:rsidR="00AD0A81" w:rsidRDefault="00AD0A81" w:rsidP="00523A43">
      <w:pPr>
        <w:pStyle w:val="eTRMHeading5"/>
        <w:keepNext/>
        <w:keepLines/>
      </w:pPr>
      <w:r w:rsidRPr="0009103A">
        <w:t>Behavioral Usage</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00"/>
        <w:gridCol w:w="4860"/>
        <w:gridCol w:w="1795"/>
      </w:tblGrid>
      <w:tr w:rsidR="00DA0D57" w:rsidRPr="00E57C24" w14:paraId="7F413113" w14:textId="77777777" w:rsidTr="00586596">
        <w:trPr>
          <w:cantSplit/>
          <w:tblHeader/>
        </w:trPr>
        <w:tc>
          <w:tcPr>
            <w:tcW w:w="2700" w:type="dxa"/>
            <w:shd w:val="clear" w:color="auto" w:fill="F2F2F2" w:themeFill="background1" w:themeFillShade="F2"/>
          </w:tcPr>
          <w:p w14:paraId="509F7E3B" w14:textId="77777777" w:rsidR="00E57C24" w:rsidRPr="00E57C24" w:rsidRDefault="00E57C24" w:rsidP="00523A43">
            <w:pPr>
              <w:keepNext/>
              <w:keepLines/>
              <w:spacing w:before="0" w:after="0"/>
              <w:rPr>
                <w:rFonts w:cs="Calibri Light"/>
                <w:b/>
                <w:color w:val="000000"/>
                <w:sz w:val="20"/>
                <w:szCs w:val="22"/>
              </w:rPr>
            </w:pPr>
            <w:r w:rsidRPr="00E57C24">
              <w:rPr>
                <w:rFonts w:cs="Calibri Light"/>
                <w:b/>
                <w:color w:val="000000"/>
                <w:sz w:val="20"/>
                <w:szCs w:val="22"/>
              </w:rPr>
              <w:t>Input</w:t>
            </w:r>
          </w:p>
        </w:tc>
        <w:tc>
          <w:tcPr>
            <w:tcW w:w="4860" w:type="dxa"/>
            <w:shd w:val="clear" w:color="auto" w:fill="F2F2F2" w:themeFill="background1" w:themeFillShade="F2"/>
          </w:tcPr>
          <w:p w14:paraId="11BA8630" w14:textId="77777777" w:rsidR="00E57C24" w:rsidRPr="00E57C24" w:rsidRDefault="00E57C24" w:rsidP="00523A43">
            <w:pPr>
              <w:keepNext/>
              <w:keepLines/>
              <w:spacing w:before="0" w:after="0"/>
              <w:rPr>
                <w:rFonts w:cs="Calibri Light"/>
                <w:b/>
                <w:color w:val="000000"/>
                <w:sz w:val="20"/>
                <w:szCs w:val="22"/>
              </w:rPr>
            </w:pPr>
            <w:r w:rsidRPr="00E57C24">
              <w:rPr>
                <w:rFonts w:cs="Calibri Light"/>
                <w:b/>
                <w:color w:val="000000"/>
                <w:sz w:val="20"/>
                <w:szCs w:val="22"/>
              </w:rPr>
              <w:t>Calculation</w:t>
            </w:r>
          </w:p>
        </w:tc>
        <w:tc>
          <w:tcPr>
            <w:tcW w:w="1795" w:type="dxa"/>
            <w:shd w:val="clear" w:color="auto" w:fill="F2F2F2" w:themeFill="background1" w:themeFillShade="F2"/>
          </w:tcPr>
          <w:p w14:paraId="3BBA905E" w14:textId="77777777" w:rsidR="00E57C24" w:rsidRPr="00E57C24" w:rsidRDefault="00E57C24" w:rsidP="00523A43">
            <w:pPr>
              <w:keepNext/>
              <w:keepLines/>
              <w:spacing w:before="0" w:after="0"/>
              <w:rPr>
                <w:rFonts w:cs="Calibri Light"/>
                <w:b/>
                <w:color w:val="000000"/>
                <w:sz w:val="20"/>
                <w:szCs w:val="22"/>
              </w:rPr>
            </w:pPr>
            <w:r w:rsidRPr="00E57C24">
              <w:rPr>
                <w:rFonts w:cs="Calibri Light"/>
                <w:b/>
                <w:color w:val="000000"/>
                <w:sz w:val="20"/>
                <w:szCs w:val="22"/>
              </w:rPr>
              <w:t>Calculated Value</w:t>
            </w:r>
          </w:p>
        </w:tc>
      </w:tr>
      <w:tr w:rsidR="00DA0D57" w:rsidRPr="00E57C24" w14:paraId="42B76DB6" w14:textId="77777777" w:rsidTr="00586596">
        <w:trPr>
          <w:cantSplit/>
        </w:trPr>
        <w:tc>
          <w:tcPr>
            <w:tcW w:w="2700" w:type="dxa"/>
          </w:tcPr>
          <w:p w14:paraId="03049852" w14:textId="4AADBF5A" w:rsidR="00E57C24" w:rsidRPr="00DA0D57" w:rsidRDefault="00E57C24" w:rsidP="00523A43">
            <w:pPr>
              <w:keepNext/>
              <w:keepLines/>
              <w:spacing w:before="0" w:after="0"/>
              <w:rPr>
                <w:rFonts w:cs="Calibri Light"/>
                <w:color w:val="000000"/>
                <w:sz w:val="20"/>
                <w:szCs w:val="22"/>
              </w:rPr>
            </w:pPr>
            <w:r w:rsidRPr="00DA0D57">
              <w:rPr>
                <w:rFonts w:cs="Calibri Light"/>
                <w:color w:val="000000"/>
                <w:sz w:val="20"/>
                <w:szCs w:val="22"/>
              </w:rPr>
              <w:t>Tub Spout Behavioral Waste</w:t>
            </w:r>
          </w:p>
        </w:tc>
        <w:tc>
          <w:tcPr>
            <w:tcW w:w="4860" w:type="dxa"/>
            <w:vAlign w:val="center"/>
          </w:tcPr>
          <w:p w14:paraId="62544359" w14:textId="3041D4FF" w:rsidR="00E57C24" w:rsidRPr="00DA0D57" w:rsidRDefault="00E57C24" w:rsidP="00523A43">
            <w:pPr>
              <w:keepNext/>
              <w:keepLines/>
              <w:spacing w:before="0" w:after="0"/>
              <w:rPr>
                <w:rFonts w:ascii="Cambria Math" w:hAnsi="Cambria Math" w:cs="Calibri Light"/>
                <w:i/>
                <w:color w:val="000000"/>
                <w:sz w:val="18"/>
                <w:szCs w:val="22"/>
              </w:rPr>
            </w:pPr>
            <w:r w:rsidRPr="00DA0D57">
              <w:rPr>
                <w:rFonts w:ascii="Cambria Math" w:hAnsi="Cambria Math" w:cs="Calibri Light"/>
                <w:i/>
                <w:color w:val="000000"/>
                <w:sz w:val="18"/>
                <w:szCs w:val="22"/>
              </w:rPr>
              <w:t xml:space="preserve">TsBwP = TMWu * TsWu </w:t>
            </w:r>
          </w:p>
        </w:tc>
        <w:tc>
          <w:tcPr>
            <w:tcW w:w="1795" w:type="dxa"/>
            <w:vAlign w:val="center"/>
          </w:tcPr>
          <w:p w14:paraId="55A8AB10" w14:textId="68ED225A" w:rsidR="00E57C24" w:rsidRPr="00DA0D57" w:rsidRDefault="00E57C24" w:rsidP="00523A43">
            <w:pPr>
              <w:keepNext/>
              <w:keepLines/>
              <w:spacing w:before="0" w:after="0"/>
              <w:rPr>
                <w:rFonts w:cs="Calibri Light"/>
                <w:color w:val="000000"/>
                <w:sz w:val="20"/>
                <w:szCs w:val="22"/>
              </w:rPr>
            </w:pPr>
            <w:r w:rsidRPr="00DA0D57">
              <w:rPr>
                <w:rFonts w:cs="Calibri Light"/>
                <w:color w:val="000000"/>
                <w:sz w:val="20"/>
                <w:szCs w:val="22"/>
              </w:rPr>
              <w:t>23%</w:t>
            </w:r>
          </w:p>
        </w:tc>
      </w:tr>
      <w:tr w:rsidR="00DA0D57" w:rsidRPr="00E57C24" w14:paraId="63C6DF34" w14:textId="77777777" w:rsidTr="00586596">
        <w:trPr>
          <w:cantSplit/>
        </w:trPr>
        <w:tc>
          <w:tcPr>
            <w:tcW w:w="2700" w:type="dxa"/>
            <w:vAlign w:val="bottom"/>
          </w:tcPr>
          <w:p w14:paraId="11F8C459" w14:textId="41F41B40" w:rsidR="00E57C24" w:rsidRPr="00DA0D57" w:rsidRDefault="00E57C24" w:rsidP="00523A43">
            <w:pPr>
              <w:keepNext/>
              <w:keepLines/>
              <w:spacing w:before="0" w:after="0"/>
              <w:rPr>
                <w:rFonts w:cs="Calibri Light"/>
                <w:color w:val="000000"/>
                <w:sz w:val="20"/>
                <w:szCs w:val="22"/>
              </w:rPr>
            </w:pPr>
            <w:r w:rsidRPr="00DA0D57">
              <w:rPr>
                <w:rFonts w:cs="Calibri Light"/>
                <w:color w:val="000000"/>
                <w:sz w:val="20"/>
                <w:szCs w:val="22"/>
              </w:rPr>
              <w:t>Tub Spout Leak during Behavioral Waste</w:t>
            </w:r>
          </w:p>
        </w:tc>
        <w:tc>
          <w:tcPr>
            <w:tcW w:w="4860" w:type="dxa"/>
            <w:vAlign w:val="center"/>
          </w:tcPr>
          <w:p w14:paraId="0F914D06" w14:textId="4D807C71" w:rsidR="00E57C24" w:rsidRPr="00DA0D57" w:rsidRDefault="00E57C24" w:rsidP="00523A43">
            <w:pPr>
              <w:keepNext/>
              <w:keepLines/>
              <w:spacing w:before="0" w:after="0"/>
              <w:rPr>
                <w:rFonts w:ascii="Cambria Math" w:hAnsi="Cambria Math" w:cs="Calibri Light"/>
                <w:i/>
                <w:color w:val="000000"/>
                <w:sz w:val="18"/>
                <w:szCs w:val="22"/>
              </w:rPr>
            </w:pPr>
            <w:r w:rsidRPr="00DA0D57">
              <w:rPr>
                <w:rFonts w:ascii="Cambria Math" w:hAnsi="Cambria Math" w:cs="Calibri Light"/>
                <w:i/>
                <w:color w:val="000000"/>
                <w:sz w:val="18"/>
                <w:szCs w:val="22"/>
              </w:rPr>
              <w:t xml:space="preserve">TslBw = BWt / C1 * TslR </w:t>
            </w:r>
          </w:p>
        </w:tc>
        <w:tc>
          <w:tcPr>
            <w:tcW w:w="1795" w:type="dxa"/>
            <w:vAlign w:val="center"/>
          </w:tcPr>
          <w:p w14:paraId="5444859E" w14:textId="2A6FF03A" w:rsidR="00E57C24" w:rsidRPr="00DA0D57" w:rsidRDefault="00E57C24" w:rsidP="00523A43">
            <w:pPr>
              <w:keepNext/>
              <w:keepLines/>
              <w:spacing w:before="0" w:after="0"/>
              <w:rPr>
                <w:rFonts w:cs="Calibri Light"/>
                <w:color w:val="000000"/>
                <w:sz w:val="20"/>
                <w:szCs w:val="22"/>
              </w:rPr>
            </w:pPr>
            <w:r w:rsidRPr="00DA0D57">
              <w:rPr>
                <w:rFonts w:cs="Calibri Light"/>
                <w:color w:val="000000"/>
                <w:sz w:val="20"/>
                <w:szCs w:val="22"/>
              </w:rPr>
              <w:t xml:space="preserve">0.627 gal/Warm-up </w:t>
            </w:r>
          </w:p>
        </w:tc>
      </w:tr>
      <w:tr w:rsidR="00DA0D57" w:rsidRPr="00E57C24" w14:paraId="5D39A0D0" w14:textId="77777777" w:rsidTr="00586596">
        <w:trPr>
          <w:cantSplit/>
        </w:trPr>
        <w:tc>
          <w:tcPr>
            <w:tcW w:w="2700" w:type="dxa"/>
            <w:vAlign w:val="bottom"/>
          </w:tcPr>
          <w:p w14:paraId="5F6DC1CE" w14:textId="1C8F04B6" w:rsidR="00DA0D57" w:rsidRPr="00DA0D57" w:rsidRDefault="00DA0D57" w:rsidP="00DA0D57">
            <w:pPr>
              <w:spacing w:before="0" w:after="0"/>
              <w:rPr>
                <w:rFonts w:cs="Calibri Light"/>
                <w:color w:val="000000"/>
                <w:sz w:val="20"/>
                <w:szCs w:val="22"/>
              </w:rPr>
            </w:pPr>
            <w:r w:rsidRPr="00DA0D57">
              <w:rPr>
                <w:rFonts w:cs="Calibri Light"/>
                <w:color w:val="000000"/>
                <w:sz w:val="20"/>
                <w:szCs w:val="22"/>
              </w:rPr>
              <w:t>Shower Behavioral Waste =</w:t>
            </w:r>
          </w:p>
        </w:tc>
        <w:tc>
          <w:tcPr>
            <w:tcW w:w="4860" w:type="dxa"/>
            <w:vAlign w:val="center"/>
          </w:tcPr>
          <w:p w14:paraId="10B0D59A" w14:textId="2B9ADA26" w:rsidR="00DA0D57" w:rsidRPr="00DA0D57" w:rsidRDefault="00DA0D57" w:rsidP="00DA0D57">
            <w:pPr>
              <w:spacing w:before="0" w:after="0"/>
              <w:rPr>
                <w:rFonts w:ascii="Cambria Math" w:hAnsi="Cambria Math" w:cs="Calibri Light"/>
                <w:i/>
                <w:color w:val="000000"/>
                <w:sz w:val="18"/>
                <w:szCs w:val="22"/>
              </w:rPr>
            </w:pPr>
            <w:r w:rsidRPr="00DA0D57">
              <w:rPr>
                <w:rFonts w:ascii="Cambria Math" w:hAnsi="Cambria Math" w:cs="Calibri Light"/>
                <w:i/>
                <w:color w:val="000000"/>
                <w:sz w:val="18"/>
                <w:szCs w:val="22"/>
              </w:rPr>
              <w:t xml:space="preserve">ShBw = BWt / C1 * ShFr </w:t>
            </w:r>
          </w:p>
        </w:tc>
        <w:tc>
          <w:tcPr>
            <w:tcW w:w="1795" w:type="dxa"/>
            <w:vAlign w:val="center"/>
          </w:tcPr>
          <w:p w14:paraId="6AFF3FA6" w14:textId="235FA170" w:rsidR="00DA0D57" w:rsidRPr="00DA0D57" w:rsidRDefault="00DA0D57" w:rsidP="00DA0D57">
            <w:pPr>
              <w:spacing w:before="0" w:after="0"/>
              <w:rPr>
                <w:rFonts w:cs="Calibri Light"/>
                <w:color w:val="000000"/>
                <w:sz w:val="20"/>
                <w:szCs w:val="22"/>
              </w:rPr>
            </w:pPr>
            <w:r w:rsidRPr="00DA0D57">
              <w:rPr>
                <w:rFonts w:cs="Calibri Light"/>
                <w:color w:val="000000"/>
                <w:sz w:val="20"/>
                <w:szCs w:val="22"/>
              </w:rPr>
              <w:t xml:space="preserve">1.57 gal/Warm-up </w:t>
            </w:r>
          </w:p>
        </w:tc>
      </w:tr>
      <w:tr w:rsidR="00DA0D57" w:rsidRPr="00E57C24" w14:paraId="5E80B5FC" w14:textId="77777777" w:rsidTr="00586596">
        <w:trPr>
          <w:cantSplit/>
        </w:trPr>
        <w:tc>
          <w:tcPr>
            <w:tcW w:w="2700" w:type="dxa"/>
          </w:tcPr>
          <w:p w14:paraId="06DB3FC8" w14:textId="6348BA03" w:rsidR="00DA0D57" w:rsidRPr="00DA0D57" w:rsidRDefault="00DA0D57" w:rsidP="00DA0D57">
            <w:pPr>
              <w:spacing w:before="0" w:after="0"/>
              <w:rPr>
                <w:rFonts w:cs="Calibri Light"/>
                <w:color w:val="000000"/>
                <w:sz w:val="20"/>
                <w:szCs w:val="22"/>
              </w:rPr>
            </w:pPr>
            <w:r w:rsidRPr="00DA0D57">
              <w:rPr>
                <w:rFonts w:cs="Calibri Light"/>
                <w:color w:val="000000"/>
                <w:sz w:val="20"/>
                <w:szCs w:val="22"/>
              </w:rPr>
              <w:t>Tub Behavioral Waste</w:t>
            </w:r>
          </w:p>
        </w:tc>
        <w:tc>
          <w:tcPr>
            <w:tcW w:w="4860" w:type="dxa"/>
            <w:vAlign w:val="center"/>
          </w:tcPr>
          <w:p w14:paraId="242A8492" w14:textId="45D199B8" w:rsidR="00DA0D57" w:rsidRPr="00DA0D57" w:rsidRDefault="00DA0D57" w:rsidP="00DA0D57">
            <w:pPr>
              <w:spacing w:before="0" w:after="0"/>
              <w:rPr>
                <w:rFonts w:ascii="Cambria Math" w:hAnsi="Cambria Math" w:cs="Calibri Light"/>
                <w:i/>
                <w:color w:val="000000"/>
                <w:sz w:val="18"/>
                <w:szCs w:val="22"/>
              </w:rPr>
            </w:pPr>
            <w:r w:rsidRPr="00DA0D57">
              <w:rPr>
                <w:rFonts w:ascii="Cambria Math" w:hAnsi="Cambria Math" w:cs="Calibri Light"/>
                <w:i/>
                <w:color w:val="000000"/>
                <w:sz w:val="18"/>
                <w:szCs w:val="22"/>
              </w:rPr>
              <w:t>TsBw = BWt / C</w:t>
            </w:r>
            <w:r w:rsidRPr="00DA0D57">
              <w:rPr>
                <w:rFonts w:ascii="Cambria Math" w:hAnsi="Cambria Math" w:cs="Calibri Light"/>
                <w:i/>
                <w:color w:val="000000"/>
                <w:sz w:val="18"/>
                <w:szCs w:val="22"/>
                <w:vertAlign w:val="subscript"/>
              </w:rPr>
              <w:t xml:space="preserve">1 </w:t>
            </w:r>
            <w:r w:rsidRPr="00DA0D57">
              <w:rPr>
                <w:rFonts w:ascii="Cambria Math" w:hAnsi="Cambria Math" w:cs="Calibri Light"/>
                <w:i/>
                <w:color w:val="000000"/>
                <w:sz w:val="18"/>
                <w:szCs w:val="22"/>
              </w:rPr>
              <w:t xml:space="preserve">* TSFr </w:t>
            </w:r>
          </w:p>
        </w:tc>
        <w:tc>
          <w:tcPr>
            <w:tcW w:w="1795" w:type="dxa"/>
            <w:vAlign w:val="center"/>
          </w:tcPr>
          <w:p w14:paraId="0E2C8F43" w14:textId="5E592EAA" w:rsidR="00DA0D57" w:rsidRPr="00DA0D57" w:rsidRDefault="00DA0D57" w:rsidP="00DA0D57">
            <w:pPr>
              <w:spacing w:before="0" w:after="0"/>
              <w:rPr>
                <w:rFonts w:cs="Calibri Light"/>
                <w:color w:val="000000"/>
                <w:sz w:val="20"/>
                <w:szCs w:val="22"/>
              </w:rPr>
            </w:pPr>
            <w:r w:rsidRPr="00DA0D57">
              <w:rPr>
                <w:rFonts w:cs="Calibri Light"/>
                <w:color w:val="000000"/>
                <w:sz w:val="20"/>
                <w:szCs w:val="22"/>
              </w:rPr>
              <w:t xml:space="preserve">3.92 gal/Warm-up </w:t>
            </w:r>
          </w:p>
        </w:tc>
      </w:tr>
      <w:tr w:rsidR="00DA0D57" w:rsidRPr="00E57C24" w14:paraId="7282CCC9" w14:textId="77777777" w:rsidTr="00586596">
        <w:trPr>
          <w:cantSplit/>
        </w:trPr>
        <w:tc>
          <w:tcPr>
            <w:tcW w:w="2700" w:type="dxa"/>
          </w:tcPr>
          <w:p w14:paraId="0AD26AAD" w14:textId="7E98B274" w:rsidR="00DA0D57" w:rsidRPr="00DA0D57" w:rsidRDefault="00DA0D57" w:rsidP="00DA0D57">
            <w:pPr>
              <w:spacing w:before="0" w:after="0"/>
              <w:rPr>
                <w:rFonts w:cs="Calibri Light"/>
                <w:color w:val="000000"/>
                <w:sz w:val="20"/>
                <w:szCs w:val="22"/>
              </w:rPr>
            </w:pPr>
            <w:r w:rsidRPr="00DA0D57">
              <w:rPr>
                <w:rFonts w:cs="Calibri Light"/>
                <w:color w:val="000000"/>
                <w:sz w:val="20"/>
                <w:szCs w:val="22"/>
              </w:rPr>
              <w:t>Weighted Behavioral Waste w/ Tub Spout Leak Weighted</w:t>
            </w:r>
          </w:p>
        </w:tc>
        <w:tc>
          <w:tcPr>
            <w:tcW w:w="4860" w:type="dxa"/>
            <w:vAlign w:val="center"/>
          </w:tcPr>
          <w:p w14:paraId="4553386D" w14:textId="14EB264C" w:rsidR="00DA0D57" w:rsidRPr="00DA0D57" w:rsidRDefault="00DA0D57" w:rsidP="00DA0D57">
            <w:pPr>
              <w:spacing w:before="0" w:after="0"/>
              <w:rPr>
                <w:rFonts w:ascii="Cambria Math" w:hAnsi="Cambria Math" w:cs="Calibri Light"/>
                <w:i/>
                <w:color w:val="000000"/>
                <w:sz w:val="18"/>
                <w:szCs w:val="22"/>
              </w:rPr>
            </w:pPr>
            <w:r w:rsidRPr="00DA0D57">
              <w:rPr>
                <w:rFonts w:ascii="Cambria Math" w:hAnsi="Cambria Math" w:cs="Calibri Light"/>
                <w:i/>
                <w:color w:val="000000"/>
                <w:sz w:val="18"/>
                <w:szCs w:val="22"/>
              </w:rPr>
              <w:t xml:space="preserve">WBwTslW = (ShBw + TslBw * TslP) * ShWu + TsBw * Bwp </w:t>
            </w:r>
          </w:p>
        </w:tc>
        <w:tc>
          <w:tcPr>
            <w:tcW w:w="1795" w:type="dxa"/>
            <w:vAlign w:val="center"/>
          </w:tcPr>
          <w:p w14:paraId="24A895AD" w14:textId="578D2991" w:rsidR="00DA0D57" w:rsidRPr="00DA0D57" w:rsidRDefault="00DA0D57" w:rsidP="00DA0D57">
            <w:pPr>
              <w:spacing w:before="0" w:after="0"/>
              <w:rPr>
                <w:rFonts w:cs="Calibri Light"/>
                <w:color w:val="000000"/>
                <w:sz w:val="20"/>
                <w:szCs w:val="22"/>
              </w:rPr>
            </w:pPr>
            <w:r w:rsidRPr="00DA0D57">
              <w:rPr>
                <w:rFonts w:cs="Calibri Light"/>
                <w:color w:val="000000"/>
                <w:sz w:val="20"/>
                <w:szCs w:val="22"/>
              </w:rPr>
              <w:t xml:space="preserve">1.98 gal/Warm-up </w:t>
            </w:r>
          </w:p>
        </w:tc>
      </w:tr>
    </w:tbl>
    <w:p w14:paraId="604D0615" w14:textId="77777777" w:rsidR="00AD0A81" w:rsidRDefault="00AD0A81" w:rsidP="00AD0A81"/>
    <w:p w14:paraId="45AFCF3F" w14:textId="2AFA5490" w:rsidR="00AD0A81" w:rsidRDefault="00AD0A81" w:rsidP="00FD4F56">
      <w:pPr>
        <w:pStyle w:val="eTRMHeading5"/>
      </w:pPr>
      <w:r w:rsidRPr="0009103A">
        <w:t>Shower Usage</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50"/>
        <w:gridCol w:w="4410"/>
        <w:gridCol w:w="1795"/>
      </w:tblGrid>
      <w:tr w:rsidR="00DA0D57" w:rsidRPr="00E57C24" w14:paraId="24D7CCF8" w14:textId="77777777" w:rsidTr="003B12C3">
        <w:trPr>
          <w:cantSplit/>
          <w:tblHeader/>
        </w:trPr>
        <w:tc>
          <w:tcPr>
            <w:tcW w:w="3150" w:type="dxa"/>
            <w:shd w:val="clear" w:color="auto" w:fill="F2F2F2" w:themeFill="background1" w:themeFillShade="F2"/>
          </w:tcPr>
          <w:p w14:paraId="4A901556"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Input</w:t>
            </w:r>
          </w:p>
        </w:tc>
        <w:tc>
          <w:tcPr>
            <w:tcW w:w="4410" w:type="dxa"/>
            <w:shd w:val="clear" w:color="auto" w:fill="F2F2F2" w:themeFill="background1" w:themeFillShade="F2"/>
          </w:tcPr>
          <w:p w14:paraId="148F56D1"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Calculation</w:t>
            </w:r>
          </w:p>
        </w:tc>
        <w:tc>
          <w:tcPr>
            <w:tcW w:w="1795" w:type="dxa"/>
            <w:shd w:val="clear" w:color="auto" w:fill="F2F2F2" w:themeFill="background1" w:themeFillShade="F2"/>
          </w:tcPr>
          <w:p w14:paraId="5A0249D8"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Calculated Value</w:t>
            </w:r>
          </w:p>
        </w:tc>
      </w:tr>
      <w:tr w:rsidR="00DA0D57" w:rsidRPr="00DA0D57" w14:paraId="24507951" w14:textId="77777777" w:rsidTr="003B12C3">
        <w:trPr>
          <w:cantSplit/>
        </w:trPr>
        <w:tc>
          <w:tcPr>
            <w:tcW w:w="3150" w:type="dxa"/>
          </w:tcPr>
          <w:p w14:paraId="05DF1659" w14:textId="45B2C014" w:rsidR="00DA0D57" w:rsidRPr="00DA0D57" w:rsidRDefault="00DA0D57" w:rsidP="00586A76">
            <w:pPr>
              <w:spacing w:before="0" w:after="0"/>
              <w:rPr>
                <w:rFonts w:cs="Calibri Light"/>
                <w:color w:val="000000"/>
                <w:sz w:val="20"/>
                <w:szCs w:val="20"/>
              </w:rPr>
            </w:pPr>
            <w:r w:rsidRPr="00DA0D57">
              <w:rPr>
                <w:rFonts w:cs="Calibri Light"/>
                <w:color w:val="000000"/>
                <w:sz w:val="20"/>
                <w:szCs w:val="20"/>
              </w:rPr>
              <w:t>Actual Shower Time</w:t>
            </w:r>
          </w:p>
        </w:tc>
        <w:tc>
          <w:tcPr>
            <w:tcW w:w="4410" w:type="dxa"/>
            <w:vAlign w:val="center"/>
          </w:tcPr>
          <w:p w14:paraId="5A68F60C" w14:textId="1C6ECEDF" w:rsidR="00DA0D57" w:rsidRPr="00DA0D57" w:rsidRDefault="00DA0D57" w:rsidP="00DA0D57">
            <w:pPr>
              <w:spacing w:before="0" w:after="0"/>
              <w:rPr>
                <w:rFonts w:ascii="Cambria Math" w:hAnsi="Cambria Math" w:cs="Calibri Light"/>
                <w:i/>
                <w:color w:val="000000"/>
                <w:sz w:val="18"/>
                <w:szCs w:val="20"/>
              </w:rPr>
            </w:pPr>
            <w:r w:rsidRPr="00DA0D57">
              <w:rPr>
                <w:rFonts w:ascii="Cambria Math" w:hAnsi="Cambria Math" w:cs="Calibri Light"/>
                <w:i/>
                <w:color w:val="000000"/>
                <w:sz w:val="18"/>
                <w:szCs w:val="20"/>
              </w:rPr>
              <w:t>Sht - (StWt + BWt) / C</w:t>
            </w:r>
            <w:r w:rsidRPr="00DA0D57">
              <w:rPr>
                <w:rFonts w:ascii="Cambria Math" w:hAnsi="Cambria Math" w:cs="Calibri Light"/>
                <w:i/>
                <w:color w:val="000000"/>
                <w:sz w:val="18"/>
                <w:szCs w:val="20"/>
                <w:vertAlign w:val="subscript"/>
              </w:rPr>
              <w:t>1</w:t>
            </w:r>
          </w:p>
        </w:tc>
        <w:tc>
          <w:tcPr>
            <w:tcW w:w="1795" w:type="dxa"/>
            <w:vAlign w:val="center"/>
          </w:tcPr>
          <w:p w14:paraId="07B42086" w14:textId="6A3BA7E6" w:rsidR="00DA0D57" w:rsidRPr="00DA0D57" w:rsidRDefault="00DA0D57" w:rsidP="00DA0D57">
            <w:pPr>
              <w:spacing w:before="0" w:after="0"/>
              <w:rPr>
                <w:rFonts w:cs="Calibri Light"/>
                <w:color w:val="000000"/>
                <w:sz w:val="20"/>
                <w:szCs w:val="20"/>
              </w:rPr>
            </w:pPr>
            <w:r w:rsidRPr="00DA0D57">
              <w:rPr>
                <w:rFonts w:cs="Calibri Light"/>
                <w:color w:val="000000"/>
                <w:sz w:val="20"/>
                <w:szCs w:val="20"/>
              </w:rPr>
              <w:t>6.07 min</w:t>
            </w:r>
          </w:p>
        </w:tc>
      </w:tr>
      <w:tr w:rsidR="00DA0D57" w:rsidRPr="00DA0D57" w14:paraId="66C216DA" w14:textId="77777777" w:rsidTr="003B12C3">
        <w:trPr>
          <w:cantSplit/>
        </w:trPr>
        <w:tc>
          <w:tcPr>
            <w:tcW w:w="3150" w:type="dxa"/>
            <w:vAlign w:val="bottom"/>
          </w:tcPr>
          <w:p w14:paraId="3E4ADA97" w14:textId="74218BF3" w:rsidR="00DA0D57" w:rsidRPr="00DA0D57" w:rsidRDefault="00DA0D57" w:rsidP="00586A76">
            <w:pPr>
              <w:spacing w:before="0" w:after="0"/>
              <w:rPr>
                <w:rFonts w:cs="Calibri Light"/>
                <w:color w:val="000000"/>
                <w:sz w:val="20"/>
                <w:szCs w:val="20"/>
              </w:rPr>
            </w:pPr>
            <w:r w:rsidRPr="00DA0D57">
              <w:rPr>
                <w:rFonts w:cs="Calibri Light"/>
                <w:color w:val="000000"/>
                <w:sz w:val="20"/>
                <w:szCs w:val="20"/>
              </w:rPr>
              <w:t>Actual Shower Time Water Usage W/ Tub Spout Leak Weighted</w:t>
            </w:r>
          </w:p>
        </w:tc>
        <w:tc>
          <w:tcPr>
            <w:tcW w:w="4410" w:type="dxa"/>
            <w:vAlign w:val="center"/>
          </w:tcPr>
          <w:p w14:paraId="58B0953E" w14:textId="09A839C6" w:rsidR="00DA0D57" w:rsidRPr="00DA0D57" w:rsidRDefault="00DA0D57" w:rsidP="00DA0D57">
            <w:pPr>
              <w:spacing w:before="0" w:after="0"/>
              <w:rPr>
                <w:rFonts w:ascii="Cambria Math" w:hAnsi="Cambria Math" w:cs="Calibri Light"/>
                <w:i/>
                <w:color w:val="000000"/>
                <w:sz w:val="18"/>
                <w:szCs w:val="20"/>
              </w:rPr>
            </w:pPr>
            <w:r w:rsidRPr="00DA0D57">
              <w:rPr>
                <w:rFonts w:ascii="Cambria Math" w:hAnsi="Cambria Math" w:cs="Calibri Light"/>
                <w:i/>
                <w:color w:val="000000"/>
                <w:sz w:val="18"/>
                <w:szCs w:val="20"/>
              </w:rPr>
              <w:t>Asht * (ShFr + TslR * TslP)</w:t>
            </w:r>
          </w:p>
        </w:tc>
        <w:tc>
          <w:tcPr>
            <w:tcW w:w="1795" w:type="dxa"/>
            <w:vAlign w:val="center"/>
          </w:tcPr>
          <w:p w14:paraId="095A42D2" w14:textId="660DE9D2" w:rsidR="00DA0D57" w:rsidRPr="00DA0D57" w:rsidRDefault="00DA0D57" w:rsidP="00DA0D57">
            <w:pPr>
              <w:spacing w:before="0" w:after="0"/>
              <w:rPr>
                <w:rFonts w:cs="Calibri Light"/>
                <w:color w:val="000000"/>
                <w:sz w:val="20"/>
                <w:szCs w:val="20"/>
              </w:rPr>
            </w:pPr>
            <w:r w:rsidRPr="00DA0D57">
              <w:rPr>
                <w:rFonts w:cs="Calibri Light"/>
                <w:color w:val="000000"/>
                <w:sz w:val="20"/>
                <w:szCs w:val="20"/>
              </w:rPr>
              <w:t>13.78 gal/shower</w:t>
            </w:r>
          </w:p>
        </w:tc>
      </w:tr>
    </w:tbl>
    <w:p w14:paraId="2326E0F1" w14:textId="77777777" w:rsidR="00AD0A81" w:rsidRPr="0009103A" w:rsidRDefault="00AD0A81" w:rsidP="00AD0A81"/>
    <w:p w14:paraId="2590305B" w14:textId="4423A011" w:rsidR="00AD0A81" w:rsidRPr="008D3C83" w:rsidRDefault="00AD0A81" w:rsidP="00FD4F56">
      <w:pPr>
        <w:pStyle w:val="eTRMHeading4"/>
      </w:pPr>
      <w:bookmarkStart w:id="56" w:name="_Toc448135884"/>
      <w:r>
        <w:t>Calculat</w:t>
      </w:r>
      <w:r w:rsidR="00594F7A">
        <w:t>e</w:t>
      </w:r>
      <w:r w:rsidRPr="008D3C83">
        <w:t xml:space="preserve"> </w:t>
      </w:r>
      <w:r>
        <w:t>W</w:t>
      </w:r>
      <w:r w:rsidRPr="008D3C83">
        <w:t xml:space="preserve">ater </w:t>
      </w:r>
      <w:r>
        <w:t>Savings</w:t>
      </w:r>
      <w:bookmarkEnd w:id="56"/>
    </w:p>
    <w:p w14:paraId="279BCC61" w14:textId="03413A58" w:rsidR="00AD0A81" w:rsidRDefault="00AD0A81" w:rsidP="00AD0A81">
      <w:r>
        <w:t xml:space="preserve">Water savings </w:t>
      </w:r>
      <w:r w:rsidR="0026382D">
        <w:t>result from</w:t>
      </w:r>
      <w:r>
        <w:t xml:space="preserve"> the forced tub spout warm-up, </w:t>
      </w:r>
      <w:r w:rsidR="00C06713">
        <w:t>elimination of</w:t>
      </w:r>
      <w:r>
        <w:t xml:space="preserve"> of behavioral waste, </w:t>
      </w:r>
      <w:r w:rsidR="004A36E7">
        <w:t>reduction</w:t>
      </w:r>
      <w:r>
        <w:t xml:space="preserve"> of tub spout leak, and reduction in </w:t>
      </w:r>
      <w:r w:rsidR="004A36E7">
        <w:t xml:space="preserve">the </w:t>
      </w:r>
      <w:r>
        <w:t>showerhead flow rate.</w:t>
      </w:r>
      <w:r w:rsidR="004A36E7">
        <w:t xml:space="preserve"> The calculation for each of these key drivers of water savings are presented below. See Inputs and Assumptions below for details and sources.</w:t>
      </w:r>
    </w:p>
    <w:p w14:paraId="5761D6E9" w14:textId="650C8636" w:rsidR="00AD0A81" w:rsidRDefault="00AD0A81" w:rsidP="00FD4F56">
      <w:pPr>
        <w:pStyle w:val="eTRMHeading5"/>
      </w:pPr>
      <w:r w:rsidRPr="00E37B5E">
        <w:t>Forced Tub Spout Warm-up</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80"/>
        <w:gridCol w:w="4680"/>
        <w:gridCol w:w="1795"/>
      </w:tblGrid>
      <w:tr w:rsidR="00DA0D57" w:rsidRPr="00E57C24" w14:paraId="74C10476" w14:textId="77777777" w:rsidTr="003B12C3">
        <w:trPr>
          <w:cantSplit/>
          <w:trHeight w:val="305"/>
          <w:tblHeader/>
        </w:trPr>
        <w:tc>
          <w:tcPr>
            <w:tcW w:w="2880" w:type="dxa"/>
            <w:shd w:val="clear" w:color="auto" w:fill="F2F2F2" w:themeFill="background1" w:themeFillShade="F2"/>
          </w:tcPr>
          <w:p w14:paraId="299412C0"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Input</w:t>
            </w:r>
          </w:p>
        </w:tc>
        <w:tc>
          <w:tcPr>
            <w:tcW w:w="4680" w:type="dxa"/>
            <w:shd w:val="clear" w:color="auto" w:fill="F2F2F2" w:themeFill="background1" w:themeFillShade="F2"/>
          </w:tcPr>
          <w:p w14:paraId="30A00ED7"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Calculation</w:t>
            </w:r>
          </w:p>
        </w:tc>
        <w:tc>
          <w:tcPr>
            <w:tcW w:w="1795" w:type="dxa"/>
            <w:shd w:val="clear" w:color="auto" w:fill="F2F2F2" w:themeFill="background1" w:themeFillShade="F2"/>
          </w:tcPr>
          <w:p w14:paraId="076625B3"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Calculated Value</w:t>
            </w:r>
          </w:p>
        </w:tc>
      </w:tr>
      <w:tr w:rsidR="00DA0D57" w:rsidRPr="00DA0D57" w14:paraId="470B3ABE" w14:textId="77777777" w:rsidTr="003B12C3">
        <w:trPr>
          <w:cantSplit/>
        </w:trPr>
        <w:tc>
          <w:tcPr>
            <w:tcW w:w="2880" w:type="dxa"/>
            <w:vAlign w:val="center"/>
          </w:tcPr>
          <w:p w14:paraId="2BD52B2A" w14:textId="10A00ED9" w:rsidR="00DA0D57" w:rsidRPr="00DA0D57" w:rsidRDefault="00DA0D57" w:rsidP="00DA0D57">
            <w:pPr>
              <w:spacing w:before="0" w:after="0"/>
              <w:rPr>
                <w:rFonts w:cs="Calibri Light"/>
                <w:color w:val="000000"/>
                <w:sz w:val="20"/>
                <w:szCs w:val="20"/>
              </w:rPr>
            </w:pPr>
            <w:r w:rsidRPr="00DA0D57">
              <w:rPr>
                <w:rFonts w:cs="Calibri Light"/>
                <w:color w:val="000000"/>
                <w:sz w:val="20"/>
                <w:szCs w:val="20"/>
              </w:rPr>
              <w:t>Tub Structure Waste</w:t>
            </w:r>
          </w:p>
        </w:tc>
        <w:tc>
          <w:tcPr>
            <w:tcW w:w="4680" w:type="dxa"/>
            <w:vAlign w:val="center"/>
          </w:tcPr>
          <w:p w14:paraId="2BE5AD52" w14:textId="667C591D" w:rsidR="00DA0D57" w:rsidRPr="00DA0D57" w:rsidRDefault="00DA0D57" w:rsidP="00DA0D57">
            <w:pPr>
              <w:spacing w:before="0" w:after="0"/>
              <w:rPr>
                <w:rFonts w:ascii="Cambria Math" w:hAnsi="Cambria Math" w:cs="Calibri Light"/>
                <w:i/>
                <w:color w:val="000000"/>
                <w:sz w:val="18"/>
                <w:szCs w:val="20"/>
              </w:rPr>
            </w:pPr>
            <w:r w:rsidRPr="00DA0D57">
              <w:rPr>
                <w:rFonts w:ascii="Cambria Math" w:hAnsi="Cambria Math" w:cs="Calibri Light"/>
                <w:i/>
                <w:color w:val="000000"/>
                <w:sz w:val="18"/>
                <w:szCs w:val="20"/>
              </w:rPr>
              <w:t>WtP * TsWuPWt</w:t>
            </w:r>
          </w:p>
        </w:tc>
        <w:tc>
          <w:tcPr>
            <w:tcW w:w="1795" w:type="dxa"/>
            <w:vAlign w:val="center"/>
          </w:tcPr>
          <w:p w14:paraId="2536EC12" w14:textId="0E1D6C5D" w:rsidR="00DA0D57" w:rsidRPr="00DA0D57" w:rsidRDefault="00DA0D57" w:rsidP="00DA0D57">
            <w:pPr>
              <w:spacing w:before="0" w:after="0"/>
              <w:rPr>
                <w:rFonts w:cs="Calibri Light"/>
                <w:color w:val="000000"/>
                <w:sz w:val="20"/>
                <w:szCs w:val="20"/>
              </w:rPr>
            </w:pPr>
            <w:r w:rsidRPr="00DA0D57">
              <w:rPr>
                <w:rFonts w:cs="Calibri Light"/>
                <w:color w:val="000000"/>
                <w:sz w:val="20"/>
                <w:szCs w:val="20"/>
              </w:rPr>
              <w:t>0.89 gal/warm-up</w:t>
            </w:r>
          </w:p>
        </w:tc>
      </w:tr>
      <w:tr w:rsidR="00DA0D57" w:rsidRPr="00DA0D57" w14:paraId="48F04FE2" w14:textId="77777777" w:rsidTr="003B12C3">
        <w:trPr>
          <w:cantSplit/>
        </w:trPr>
        <w:tc>
          <w:tcPr>
            <w:tcW w:w="2880" w:type="dxa"/>
            <w:vAlign w:val="center"/>
          </w:tcPr>
          <w:p w14:paraId="14D95A73" w14:textId="24A3A571" w:rsidR="00DA0D57" w:rsidRPr="00DA0D57" w:rsidRDefault="00DA0D57" w:rsidP="00DA0D57">
            <w:pPr>
              <w:spacing w:before="0" w:after="0"/>
              <w:rPr>
                <w:rFonts w:cs="Calibri Light"/>
                <w:color w:val="000000"/>
                <w:sz w:val="20"/>
                <w:szCs w:val="20"/>
              </w:rPr>
            </w:pPr>
            <w:r w:rsidRPr="00DA0D57">
              <w:rPr>
                <w:rFonts w:cs="Calibri Light"/>
                <w:color w:val="000000"/>
                <w:sz w:val="20"/>
                <w:szCs w:val="20"/>
              </w:rPr>
              <w:t>Weighted Structural Waste w/ Tub Spout Leak Weighted</w:t>
            </w:r>
          </w:p>
        </w:tc>
        <w:tc>
          <w:tcPr>
            <w:tcW w:w="4680" w:type="dxa"/>
            <w:vAlign w:val="center"/>
          </w:tcPr>
          <w:p w14:paraId="716FB5EE" w14:textId="497C86DA" w:rsidR="00DA0D57" w:rsidRPr="00DA0D57" w:rsidRDefault="00DA0D57" w:rsidP="00DA0D57">
            <w:pPr>
              <w:spacing w:before="0" w:after="0"/>
              <w:rPr>
                <w:rFonts w:ascii="Cambria Math" w:hAnsi="Cambria Math" w:cs="Calibri Light"/>
                <w:i/>
                <w:color w:val="000000"/>
                <w:sz w:val="18"/>
                <w:szCs w:val="20"/>
              </w:rPr>
            </w:pPr>
            <w:r w:rsidRPr="00DA0D57">
              <w:rPr>
                <w:rFonts w:ascii="Cambria Math" w:hAnsi="Cambria Math" w:cs="Calibri Light"/>
                <w:i/>
                <w:color w:val="000000"/>
                <w:sz w:val="18"/>
                <w:szCs w:val="20"/>
              </w:rPr>
              <w:t xml:space="preserve">(ShStw + TslStw * TslP) * ShWu + TsStw * TsWu </w:t>
            </w:r>
          </w:p>
        </w:tc>
        <w:tc>
          <w:tcPr>
            <w:tcW w:w="1795" w:type="dxa"/>
            <w:vAlign w:val="center"/>
          </w:tcPr>
          <w:p w14:paraId="65A36897" w14:textId="79A6D1F7" w:rsidR="00DA0D57" w:rsidRPr="00DA0D57" w:rsidRDefault="00DA0D57" w:rsidP="00DA0D57">
            <w:pPr>
              <w:spacing w:before="0" w:after="0"/>
              <w:rPr>
                <w:rFonts w:cs="Calibri Light"/>
                <w:color w:val="000000"/>
                <w:sz w:val="20"/>
                <w:szCs w:val="20"/>
              </w:rPr>
            </w:pPr>
            <w:r w:rsidRPr="00DA0D57">
              <w:rPr>
                <w:rFonts w:cs="Calibri Light"/>
                <w:color w:val="000000"/>
                <w:sz w:val="20"/>
                <w:szCs w:val="20"/>
              </w:rPr>
              <w:t>1.11 gal/warm-up</w:t>
            </w:r>
          </w:p>
        </w:tc>
      </w:tr>
      <w:tr w:rsidR="00DA0D57" w:rsidRPr="00DA0D57" w14:paraId="452470F6" w14:textId="77777777" w:rsidTr="003B12C3">
        <w:trPr>
          <w:cantSplit/>
        </w:trPr>
        <w:tc>
          <w:tcPr>
            <w:tcW w:w="2880" w:type="dxa"/>
            <w:vAlign w:val="center"/>
          </w:tcPr>
          <w:p w14:paraId="46356193" w14:textId="4FE7C7FB" w:rsidR="00DA0D57" w:rsidRPr="00DA0D57" w:rsidRDefault="00DA0D57" w:rsidP="00DA0D57">
            <w:pPr>
              <w:spacing w:before="0" w:after="0"/>
              <w:rPr>
                <w:rFonts w:cs="Calibri Light"/>
                <w:color w:val="000000"/>
                <w:sz w:val="20"/>
                <w:szCs w:val="20"/>
              </w:rPr>
            </w:pPr>
            <w:r w:rsidRPr="00DA0D57">
              <w:rPr>
                <w:rFonts w:cs="Calibri Light"/>
                <w:color w:val="000000"/>
                <w:sz w:val="20"/>
                <w:szCs w:val="20"/>
              </w:rPr>
              <w:t>Structural Water Savings</w:t>
            </w:r>
          </w:p>
        </w:tc>
        <w:tc>
          <w:tcPr>
            <w:tcW w:w="4680" w:type="dxa"/>
            <w:vAlign w:val="center"/>
          </w:tcPr>
          <w:p w14:paraId="08ED2164" w14:textId="55949DBC" w:rsidR="00DA0D57" w:rsidRPr="00DA0D57" w:rsidRDefault="00DA0D57" w:rsidP="00DA0D57">
            <w:pPr>
              <w:spacing w:before="0" w:after="0"/>
              <w:rPr>
                <w:rFonts w:ascii="Cambria Math" w:hAnsi="Cambria Math" w:cs="Calibri Light"/>
                <w:i/>
                <w:color w:val="000000"/>
                <w:sz w:val="18"/>
                <w:szCs w:val="20"/>
              </w:rPr>
            </w:pPr>
            <w:r w:rsidRPr="00DA0D57">
              <w:rPr>
                <w:rFonts w:ascii="Cambria Math" w:hAnsi="Cambria Math" w:cs="Calibri Light"/>
                <w:i/>
                <w:color w:val="000000"/>
                <w:sz w:val="18"/>
                <w:szCs w:val="20"/>
              </w:rPr>
              <w:t>WStwTslW - TsStw</w:t>
            </w:r>
          </w:p>
        </w:tc>
        <w:tc>
          <w:tcPr>
            <w:tcW w:w="1795" w:type="dxa"/>
            <w:vAlign w:val="center"/>
          </w:tcPr>
          <w:p w14:paraId="0C26BCC4" w14:textId="39C49421" w:rsidR="00DA0D57" w:rsidRPr="00DA0D57" w:rsidRDefault="00DA0D57" w:rsidP="00DA0D57">
            <w:pPr>
              <w:spacing w:before="0" w:after="0"/>
              <w:rPr>
                <w:rFonts w:cs="Calibri Light"/>
                <w:color w:val="000000"/>
                <w:sz w:val="20"/>
                <w:szCs w:val="20"/>
              </w:rPr>
            </w:pPr>
            <w:r w:rsidRPr="00DA0D57">
              <w:rPr>
                <w:rFonts w:cs="Calibri Light"/>
                <w:color w:val="000000"/>
                <w:sz w:val="20"/>
                <w:szCs w:val="20"/>
              </w:rPr>
              <w:t>0.21 gal/warm-up</w:t>
            </w:r>
          </w:p>
        </w:tc>
      </w:tr>
    </w:tbl>
    <w:p w14:paraId="4A536A2A" w14:textId="77777777" w:rsidR="004A36E7" w:rsidRDefault="004A36E7" w:rsidP="00962A47"/>
    <w:p w14:paraId="2908BEBD" w14:textId="3292F1CF" w:rsidR="00AD0A81" w:rsidRPr="003A2106" w:rsidRDefault="00AD0A81" w:rsidP="00C70240">
      <w:pPr>
        <w:pStyle w:val="eTRMHeading5"/>
        <w:keepNext/>
        <w:keepLines/>
      </w:pPr>
      <w:r w:rsidRPr="003A2106">
        <w:lastRenderedPageBreak/>
        <w:t>Removal of Behavioral Waste</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50"/>
        <w:gridCol w:w="4410"/>
        <w:gridCol w:w="1795"/>
      </w:tblGrid>
      <w:tr w:rsidR="00DA0D57" w:rsidRPr="00E57C24" w14:paraId="017A787B" w14:textId="77777777" w:rsidTr="003B12C3">
        <w:trPr>
          <w:cantSplit/>
          <w:tblHeader/>
        </w:trPr>
        <w:tc>
          <w:tcPr>
            <w:tcW w:w="3150" w:type="dxa"/>
            <w:shd w:val="clear" w:color="auto" w:fill="F2F2F2" w:themeFill="background1" w:themeFillShade="F2"/>
          </w:tcPr>
          <w:p w14:paraId="7F114115" w14:textId="77777777" w:rsidR="00DA0D57" w:rsidRPr="00E57C24" w:rsidRDefault="00DA0D57" w:rsidP="00C70240">
            <w:pPr>
              <w:keepNext/>
              <w:keepLines/>
              <w:spacing w:before="0" w:after="0"/>
              <w:rPr>
                <w:rFonts w:cs="Calibri Light"/>
                <w:b/>
                <w:color w:val="000000"/>
                <w:sz w:val="20"/>
                <w:szCs w:val="22"/>
              </w:rPr>
            </w:pPr>
            <w:r w:rsidRPr="00E57C24">
              <w:rPr>
                <w:rFonts w:cs="Calibri Light"/>
                <w:b/>
                <w:color w:val="000000"/>
                <w:sz w:val="20"/>
                <w:szCs w:val="22"/>
              </w:rPr>
              <w:t>Input</w:t>
            </w:r>
          </w:p>
        </w:tc>
        <w:tc>
          <w:tcPr>
            <w:tcW w:w="4410" w:type="dxa"/>
            <w:shd w:val="clear" w:color="auto" w:fill="F2F2F2" w:themeFill="background1" w:themeFillShade="F2"/>
          </w:tcPr>
          <w:p w14:paraId="53FAB6D8" w14:textId="77777777" w:rsidR="00DA0D57" w:rsidRPr="00E57C24" w:rsidRDefault="00DA0D57" w:rsidP="00C70240">
            <w:pPr>
              <w:keepNext/>
              <w:keepLines/>
              <w:spacing w:before="0" w:after="0"/>
              <w:rPr>
                <w:rFonts w:cs="Calibri Light"/>
                <w:b/>
                <w:color w:val="000000"/>
                <w:sz w:val="20"/>
                <w:szCs w:val="22"/>
              </w:rPr>
            </w:pPr>
            <w:r w:rsidRPr="00E57C24">
              <w:rPr>
                <w:rFonts w:cs="Calibri Light"/>
                <w:b/>
                <w:color w:val="000000"/>
                <w:sz w:val="20"/>
                <w:szCs w:val="22"/>
              </w:rPr>
              <w:t>Calculation</w:t>
            </w:r>
          </w:p>
        </w:tc>
        <w:tc>
          <w:tcPr>
            <w:tcW w:w="1795" w:type="dxa"/>
            <w:shd w:val="clear" w:color="auto" w:fill="F2F2F2" w:themeFill="background1" w:themeFillShade="F2"/>
          </w:tcPr>
          <w:p w14:paraId="54454BD1" w14:textId="77777777" w:rsidR="00DA0D57" w:rsidRPr="00E57C24" w:rsidRDefault="00DA0D57" w:rsidP="00C70240">
            <w:pPr>
              <w:keepNext/>
              <w:keepLines/>
              <w:spacing w:before="0" w:after="0"/>
              <w:rPr>
                <w:rFonts w:cs="Calibri Light"/>
                <w:b/>
                <w:color w:val="000000"/>
                <w:sz w:val="20"/>
                <w:szCs w:val="22"/>
              </w:rPr>
            </w:pPr>
            <w:r w:rsidRPr="00E57C24">
              <w:rPr>
                <w:rFonts w:cs="Calibri Light"/>
                <w:b/>
                <w:color w:val="000000"/>
                <w:sz w:val="20"/>
                <w:szCs w:val="22"/>
              </w:rPr>
              <w:t>Calculated Value</w:t>
            </w:r>
          </w:p>
        </w:tc>
      </w:tr>
      <w:tr w:rsidR="00DA0D57" w:rsidRPr="00DA0D57" w14:paraId="6F6C1573" w14:textId="77777777" w:rsidTr="003B12C3">
        <w:trPr>
          <w:cantSplit/>
        </w:trPr>
        <w:tc>
          <w:tcPr>
            <w:tcW w:w="3150" w:type="dxa"/>
          </w:tcPr>
          <w:p w14:paraId="526CBB35" w14:textId="6211A517" w:rsidR="00DA0D57" w:rsidRPr="00DA0D57" w:rsidRDefault="00DA0D57" w:rsidP="00C70240">
            <w:pPr>
              <w:keepNext/>
              <w:keepLines/>
              <w:spacing w:before="0" w:after="0"/>
              <w:rPr>
                <w:rFonts w:cs="Calibri Light"/>
                <w:color w:val="000000"/>
                <w:sz w:val="20"/>
                <w:szCs w:val="20"/>
              </w:rPr>
            </w:pPr>
            <w:r w:rsidRPr="00DA0D57">
              <w:rPr>
                <w:rFonts w:cs="Calibri Light"/>
                <w:color w:val="000000"/>
                <w:sz w:val="20"/>
                <w:szCs w:val="22"/>
              </w:rPr>
              <w:t>Weighted Behavioral Waste w/ Tub Spout Leak Weighted</w:t>
            </w:r>
          </w:p>
        </w:tc>
        <w:tc>
          <w:tcPr>
            <w:tcW w:w="4410" w:type="dxa"/>
            <w:vAlign w:val="center"/>
          </w:tcPr>
          <w:p w14:paraId="3056C6C2" w14:textId="2C97B664" w:rsidR="00DA0D57" w:rsidRPr="00DA0D57" w:rsidRDefault="00DA0D57" w:rsidP="00C70240">
            <w:pPr>
              <w:keepNext/>
              <w:keepLines/>
              <w:spacing w:before="0" w:after="0"/>
              <w:rPr>
                <w:rFonts w:ascii="Cambria Math" w:hAnsi="Cambria Math" w:cs="Calibri Light"/>
                <w:i/>
                <w:color w:val="000000"/>
                <w:sz w:val="18"/>
                <w:szCs w:val="20"/>
              </w:rPr>
            </w:pPr>
            <w:r w:rsidRPr="00DA0D57">
              <w:rPr>
                <w:rFonts w:ascii="Cambria Math" w:hAnsi="Cambria Math" w:cs="Calibri Light"/>
                <w:color w:val="000000"/>
                <w:sz w:val="18"/>
                <w:szCs w:val="22"/>
              </w:rPr>
              <w:t>(ShBw + TslBw * TslP) * ShWu + TsBw * Bwp</w:t>
            </w:r>
          </w:p>
        </w:tc>
        <w:tc>
          <w:tcPr>
            <w:tcW w:w="1795" w:type="dxa"/>
            <w:vAlign w:val="center"/>
          </w:tcPr>
          <w:p w14:paraId="0C13D201" w14:textId="7A209E3F" w:rsidR="00DA0D57" w:rsidRPr="00DA0D57" w:rsidRDefault="00DA0D57" w:rsidP="00C70240">
            <w:pPr>
              <w:keepNext/>
              <w:keepLines/>
              <w:spacing w:before="0" w:after="0"/>
              <w:rPr>
                <w:rFonts w:cs="Calibri Light"/>
                <w:color w:val="000000"/>
                <w:sz w:val="20"/>
                <w:szCs w:val="20"/>
              </w:rPr>
            </w:pPr>
            <w:r>
              <w:rPr>
                <w:rFonts w:cs="Calibri Light"/>
                <w:color w:val="000000"/>
                <w:sz w:val="20"/>
                <w:szCs w:val="20"/>
              </w:rPr>
              <w:t>1.98 gal/warm-up</w:t>
            </w:r>
          </w:p>
        </w:tc>
      </w:tr>
      <w:tr w:rsidR="00DA0D57" w:rsidRPr="00DA0D57" w14:paraId="0C545F2A" w14:textId="77777777" w:rsidTr="003B12C3">
        <w:trPr>
          <w:cantSplit/>
        </w:trPr>
        <w:tc>
          <w:tcPr>
            <w:tcW w:w="3150" w:type="dxa"/>
            <w:vAlign w:val="bottom"/>
          </w:tcPr>
          <w:p w14:paraId="207FD99C" w14:textId="0370AB14" w:rsidR="00DA0D57" w:rsidRPr="00DA0D57" w:rsidRDefault="00DA0D57" w:rsidP="00C70240">
            <w:pPr>
              <w:keepNext/>
              <w:keepLines/>
              <w:spacing w:before="0" w:after="0"/>
              <w:rPr>
                <w:rFonts w:cs="Calibri Light"/>
                <w:color w:val="000000"/>
                <w:sz w:val="20"/>
                <w:szCs w:val="20"/>
              </w:rPr>
            </w:pPr>
            <w:r w:rsidRPr="00DA0D57">
              <w:rPr>
                <w:rFonts w:cs="Calibri Light"/>
                <w:color w:val="000000"/>
                <w:sz w:val="20"/>
                <w:szCs w:val="22"/>
              </w:rPr>
              <w:t>Behavioral Water Savings</w:t>
            </w:r>
          </w:p>
        </w:tc>
        <w:tc>
          <w:tcPr>
            <w:tcW w:w="4410" w:type="dxa"/>
            <w:vAlign w:val="center"/>
          </w:tcPr>
          <w:p w14:paraId="63CC00D3" w14:textId="459541EF" w:rsidR="00DA0D57" w:rsidRPr="00DA0D57" w:rsidRDefault="00DA0D57" w:rsidP="00C70240">
            <w:pPr>
              <w:keepNext/>
              <w:keepLines/>
              <w:spacing w:before="0" w:after="0"/>
              <w:rPr>
                <w:rFonts w:ascii="Cambria Math" w:hAnsi="Cambria Math" w:cs="Calibri Light"/>
                <w:i/>
                <w:color w:val="000000"/>
                <w:sz w:val="18"/>
                <w:szCs w:val="20"/>
              </w:rPr>
            </w:pPr>
            <w:r w:rsidRPr="00DA0D57">
              <w:rPr>
                <w:rFonts w:ascii="Cambria Math" w:hAnsi="Cambria Math" w:cs="Calibri Light"/>
                <w:color w:val="000000"/>
                <w:sz w:val="18"/>
                <w:szCs w:val="22"/>
              </w:rPr>
              <w:t>WBwTslW – 0</w:t>
            </w:r>
          </w:p>
        </w:tc>
        <w:tc>
          <w:tcPr>
            <w:tcW w:w="1795" w:type="dxa"/>
            <w:vAlign w:val="center"/>
          </w:tcPr>
          <w:p w14:paraId="24487F9D" w14:textId="0880D09B" w:rsidR="00DA0D57" w:rsidRPr="00DA0D57" w:rsidRDefault="00DA0D57" w:rsidP="00C70240">
            <w:pPr>
              <w:keepNext/>
              <w:keepLines/>
              <w:spacing w:before="0" w:after="0"/>
              <w:rPr>
                <w:rFonts w:cs="Calibri Light"/>
                <w:color w:val="000000"/>
                <w:sz w:val="20"/>
                <w:szCs w:val="20"/>
              </w:rPr>
            </w:pPr>
            <w:r>
              <w:rPr>
                <w:rFonts w:cs="Calibri Light"/>
                <w:color w:val="000000"/>
                <w:sz w:val="20"/>
                <w:szCs w:val="20"/>
              </w:rPr>
              <w:t>1.98 gal/warm-up</w:t>
            </w:r>
          </w:p>
        </w:tc>
      </w:tr>
    </w:tbl>
    <w:p w14:paraId="02D0EABD" w14:textId="77777777" w:rsidR="00035934" w:rsidRDefault="00035934" w:rsidP="00FD4F56">
      <w:pPr>
        <w:pStyle w:val="eTRMHeading5"/>
      </w:pPr>
    </w:p>
    <w:p w14:paraId="76D987A5" w14:textId="5A943563" w:rsidR="00AD0A81" w:rsidRDefault="00AD0A81" w:rsidP="00FD4F56">
      <w:pPr>
        <w:pStyle w:val="eTRMHeading5"/>
      </w:pPr>
      <w:r w:rsidRPr="003A2106">
        <w:t>Removal of Tub Spout Leak and Reduction in Showerhead Flow Rate</w:t>
      </w:r>
    </w:p>
    <w:p w14:paraId="1235BDE1" w14:textId="70A39080" w:rsidR="00AD0A81" w:rsidRDefault="00AD0A81" w:rsidP="00AD0A81">
      <w:r>
        <w:t xml:space="preserve">A 2.0 gpm Showerhead flowrate is used in the </w:t>
      </w:r>
      <w:r w:rsidR="0026382D">
        <w:t>baseline</w:t>
      </w:r>
      <w:r>
        <w:t xml:space="preserve"> </w:t>
      </w:r>
      <w:r w:rsidRPr="00903DE3">
        <w:t>(AShtWuTslW)</w:t>
      </w:r>
      <w:r>
        <w:t xml:space="preserve"> formula and 1.5 </w:t>
      </w:r>
      <w:r w:rsidR="0026382D">
        <w:t xml:space="preserve">gpm </w:t>
      </w:r>
      <w:r>
        <w:t xml:space="preserve">in the proposed case </w:t>
      </w:r>
      <w:r w:rsidRPr="00903DE3">
        <w:t>(AShtWuP)</w:t>
      </w:r>
      <w:r>
        <w:t xml:space="preserve"> formula.</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50"/>
        <w:gridCol w:w="4410"/>
        <w:gridCol w:w="1795"/>
      </w:tblGrid>
      <w:tr w:rsidR="00DA0D57" w:rsidRPr="00E57C24" w14:paraId="3CADB3C1" w14:textId="77777777" w:rsidTr="003B12C3">
        <w:trPr>
          <w:cantSplit/>
          <w:trHeight w:val="305"/>
          <w:tblHeader/>
        </w:trPr>
        <w:tc>
          <w:tcPr>
            <w:tcW w:w="3150" w:type="dxa"/>
            <w:shd w:val="clear" w:color="auto" w:fill="F2F2F2" w:themeFill="background1" w:themeFillShade="F2"/>
          </w:tcPr>
          <w:p w14:paraId="2DFF8904"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Input</w:t>
            </w:r>
          </w:p>
        </w:tc>
        <w:tc>
          <w:tcPr>
            <w:tcW w:w="4410" w:type="dxa"/>
            <w:shd w:val="clear" w:color="auto" w:fill="F2F2F2" w:themeFill="background1" w:themeFillShade="F2"/>
          </w:tcPr>
          <w:p w14:paraId="3F3829E8"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Calculation</w:t>
            </w:r>
          </w:p>
        </w:tc>
        <w:tc>
          <w:tcPr>
            <w:tcW w:w="1795" w:type="dxa"/>
            <w:shd w:val="clear" w:color="auto" w:fill="F2F2F2" w:themeFill="background1" w:themeFillShade="F2"/>
          </w:tcPr>
          <w:p w14:paraId="68AC7FBF" w14:textId="77777777" w:rsidR="00DA0D57" w:rsidRPr="00E57C24" w:rsidRDefault="00DA0D57" w:rsidP="00586A76">
            <w:pPr>
              <w:spacing w:before="0" w:after="0"/>
              <w:rPr>
                <w:rFonts w:cs="Calibri Light"/>
                <w:b/>
                <w:color w:val="000000"/>
                <w:sz w:val="20"/>
                <w:szCs w:val="22"/>
              </w:rPr>
            </w:pPr>
            <w:r w:rsidRPr="00E57C24">
              <w:rPr>
                <w:rFonts w:cs="Calibri Light"/>
                <w:b/>
                <w:color w:val="000000"/>
                <w:sz w:val="20"/>
                <w:szCs w:val="22"/>
              </w:rPr>
              <w:t>Calculated Value</w:t>
            </w:r>
          </w:p>
        </w:tc>
      </w:tr>
      <w:tr w:rsidR="00DA0D57" w:rsidRPr="00DA0D57" w14:paraId="397739C9" w14:textId="77777777" w:rsidTr="003B12C3">
        <w:trPr>
          <w:cantSplit/>
        </w:trPr>
        <w:tc>
          <w:tcPr>
            <w:tcW w:w="3150" w:type="dxa"/>
            <w:vAlign w:val="center"/>
          </w:tcPr>
          <w:p w14:paraId="6ED5C622" w14:textId="16DE0683" w:rsidR="00DA0D57" w:rsidRPr="00DA0D57" w:rsidRDefault="00DA0D57" w:rsidP="00DA0D57">
            <w:pPr>
              <w:spacing w:before="0" w:after="0"/>
              <w:rPr>
                <w:rFonts w:cs="Calibri Light"/>
                <w:color w:val="000000"/>
                <w:sz w:val="20"/>
                <w:szCs w:val="20"/>
              </w:rPr>
            </w:pPr>
            <w:r w:rsidRPr="00DA0D57">
              <w:rPr>
                <w:rFonts w:cs="Calibri Light"/>
                <w:color w:val="000000"/>
                <w:sz w:val="20"/>
                <w:szCs w:val="22"/>
              </w:rPr>
              <w:t>Actual Shower Time Water Usage W/ Tub Spout Leak Weighted</w:t>
            </w:r>
          </w:p>
        </w:tc>
        <w:tc>
          <w:tcPr>
            <w:tcW w:w="4410" w:type="dxa"/>
            <w:vAlign w:val="center"/>
          </w:tcPr>
          <w:p w14:paraId="1A1EEA15" w14:textId="10B786D3" w:rsidR="00DA0D57" w:rsidRPr="00DA0D57" w:rsidRDefault="00DA0D57" w:rsidP="00DA0D57">
            <w:pPr>
              <w:spacing w:before="0" w:after="0"/>
              <w:rPr>
                <w:rFonts w:ascii="Cambria Math" w:hAnsi="Cambria Math" w:cs="Calibri Light"/>
                <w:i/>
                <w:color w:val="000000"/>
                <w:sz w:val="18"/>
                <w:szCs w:val="20"/>
              </w:rPr>
            </w:pPr>
            <w:r w:rsidRPr="00DA0D57">
              <w:rPr>
                <w:rFonts w:ascii="Cambria Math" w:hAnsi="Cambria Math" w:cs="Calibri Light"/>
                <w:color w:val="000000"/>
                <w:sz w:val="18"/>
                <w:szCs w:val="22"/>
              </w:rPr>
              <w:t>Asht * (ShFr + TslR * TslP)</w:t>
            </w:r>
          </w:p>
        </w:tc>
        <w:tc>
          <w:tcPr>
            <w:tcW w:w="1795" w:type="dxa"/>
            <w:vAlign w:val="center"/>
          </w:tcPr>
          <w:p w14:paraId="2F06F87A" w14:textId="3B34812D" w:rsidR="00DA0D57" w:rsidRPr="00DA0D57" w:rsidRDefault="00DA0D57" w:rsidP="00586A76">
            <w:pPr>
              <w:spacing w:before="0" w:after="0"/>
              <w:rPr>
                <w:rFonts w:cs="Calibri Light"/>
                <w:color w:val="000000"/>
                <w:sz w:val="20"/>
                <w:szCs w:val="20"/>
              </w:rPr>
            </w:pPr>
            <w:r>
              <w:rPr>
                <w:rFonts w:cs="Calibri Light"/>
                <w:color w:val="000000"/>
                <w:sz w:val="20"/>
                <w:szCs w:val="20"/>
              </w:rPr>
              <w:t>13.78 gal/shower</w:t>
            </w:r>
          </w:p>
        </w:tc>
      </w:tr>
      <w:tr w:rsidR="00DA0D57" w:rsidRPr="00DA0D57" w14:paraId="138D1454" w14:textId="77777777" w:rsidTr="003B12C3">
        <w:trPr>
          <w:cantSplit/>
        </w:trPr>
        <w:tc>
          <w:tcPr>
            <w:tcW w:w="3150" w:type="dxa"/>
            <w:vAlign w:val="center"/>
          </w:tcPr>
          <w:p w14:paraId="2DF0A937" w14:textId="3BC3927A" w:rsidR="00DA0D57" w:rsidRPr="00DA0D57" w:rsidRDefault="00DA0D57" w:rsidP="00DA0D57">
            <w:pPr>
              <w:spacing w:before="0" w:after="0"/>
              <w:rPr>
                <w:rFonts w:cs="Calibri Light"/>
                <w:color w:val="000000"/>
                <w:sz w:val="20"/>
                <w:szCs w:val="20"/>
              </w:rPr>
            </w:pPr>
            <w:r w:rsidRPr="00DA0D57">
              <w:rPr>
                <w:rFonts w:cs="Calibri Light"/>
                <w:color w:val="000000"/>
                <w:sz w:val="20"/>
                <w:szCs w:val="22"/>
              </w:rPr>
              <w:t>Actual Shower Time Water Usage W/out Tub Spout Leak</w:t>
            </w:r>
          </w:p>
        </w:tc>
        <w:tc>
          <w:tcPr>
            <w:tcW w:w="4410" w:type="dxa"/>
            <w:vAlign w:val="center"/>
          </w:tcPr>
          <w:p w14:paraId="04986A9E" w14:textId="389E1B93" w:rsidR="00DA0D57" w:rsidRPr="00DA0D57" w:rsidRDefault="00DA0D57" w:rsidP="00DA0D57">
            <w:pPr>
              <w:spacing w:before="0" w:after="0"/>
              <w:rPr>
                <w:rFonts w:ascii="Cambria Math" w:hAnsi="Cambria Math" w:cs="Calibri Light"/>
                <w:i/>
                <w:color w:val="000000"/>
                <w:sz w:val="18"/>
                <w:szCs w:val="20"/>
              </w:rPr>
            </w:pPr>
            <w:r w:rsidRPr="00DA0D57">
              <w:rPr>
                <w:rFonts w:ascii="Cambria Math" w:hAnsi="Cambria Math" w:cs="Calibri Light"/>
                <w:color w:val="000000"/>
                <w:sz w:val="18"/>
                <w:szCs w:val="22"/>
              </w:rPr>
              <w:t>Asht * ShFr</w:t>
            </w:r>
          </w:p>
        </w:tc>
        <w:tc>
          <w:tcPr>
            <w:tcW w:w="1795" w:type="dxa"/>
            <w:vAlign w:val="center"/>
          </w:tcPr>
          <w:p w14:paraId="663ED563" w14:textId="21682CBE" w:rsidR="00DA0D57" w:rsidRPr="00DA0D57" w:rsidRDefault="00DA0D57" w:rsidP="00586A76">
            <w:pPr>
              <w:spacing w:before="0" w:after="0"/>
              <w:rPr>
                <w:rFonts w:cs="Calibri Light"/>
                <w:color w:val="000000"/>
                <w:sz w:val="20"/>
                <w:szCs w:val="20"/>
              </w:rPr>
            </w:pPr>
            <w:r>
              <w:rPr>
                <w:rFonts w:cs="Calibri Light"/>
                <w:color w:val="000000"/>
                <w:sz w:val="20"/>
                <w:szCs w:val="20"/>
              </w:rPr>
              <w:t>9.10 gal/shower</w:t>
            </w:r>
          </w:p>
        </w:tc>
      </w:tr>
      <w:tr w:rsidR="00DA0D57" w:rsidRPr="00DA0D57" w14:paraId="60897338" w14:textId="77777777" w:rsidTr="003B12C3">
        <w:trPr>
          <w:cantSplit/>
        </w:trPr>
        <w:tc>
          <w:tcPr>
            <w:tcW w:w="3150" w:type="dxa"/>
            <w:vAlign w:val="center"/>
          </w:tcPr>
          <w:p w14:paraId="26519A6E" w14:textId="3EE042E9" w:rsidR="00DA0D57" w:rsidRPr="00DA0D57" w:rsidRDefault="00DA0D57" w:rsidP="00DA0D57">
            <w:pPr>
              <w:spacing w:before="0" w:after="0"/>
              <w:rPr>
                <w:rFonts w:cs="Calibri Light"/>
                <w:color w:val="000000"/>
                <w:sz w:val="20"/>
                <w:szCs w:val="20"/>
              </w:rPr>
            </w:pPr>
            <w:r w:rsidRPr="00DA0D57">
              <w:rPr>
                <w:rFonts w:cs="Calibri Light"/>
                <w:color w:val="000000"/>
                <w:sz w:val="20"/>
                <w:szCs w:val="22"/>
              </w:rPr>
              <w:t>Shower Time Water Savings</w:t>
            </w:r>
          </w:p>
        </w:tc>
        <w:tc>
          <w:tcPr>
            <w:tcW w:w="4410" w:type="dxa"/>
            <w:vAlign w:val="center"/>
          </w:tcPr>
          <w:p w14:paraId="239E457B" w14:textId="093847EA" w:rsidR="00DA0D57" w:rsidRPr="00DA0D57" w:rsidRDefault="00DA0D57" w:rsidP="00DA0D57">
            <w:pPr>
              <w:spacing w:before="0" w:after="0"/>
              <w:rPr>
                <w:rFonts w:ascii="Cambria Math" w:hAnsi="Cambria Math" w:cs="Calibri Light"/>
                <w:i/>
                <w:color w:val="000000"/>
                <w:sz w:val="18"/>
                <w:szCs w:val="20"/>
              </w:rPr>
            </w:pPr>
            <w:r w:rsidRPr="00DA0D57">
              <w:rPr>
                <w:rFonts w:ascii="Cambria Math" w:hAnsi="Cambria Math" w:cs="Calibri Light"/>
                <w:color w:val="000000"/>
                <w:sz w:val="18"/>
                <w:szCs w:val="22"/>
              </w:rPr>
              <w:t>AShtWuTslW - AShtWuP</w:t>
            </w:r>
          </w:p>
        </w:tc>
        <w:tc>
          <w:tcPr>
            <w:tcW w:w="1795" w:type="dxa"/>
            <w:vAlign w:val="center"/>
          </w:tcPr>
          <w:p w14:paraId="09DC3928" w14:textId="65CD3DA7" w:rsidR="00DA0D57" w:rsidRPr="00DA0D57" w:rsidRDefault="00DA0D57" w:rsidP="00586A76">
            <w:pPr>
              <w:spacing w:before="0" w:after="0"/>
              <w:rPr>
                <w:rFonts w:cs="Calibri Light"/>
                <w:color w:val="000000"/>
                <w:sz w:val="20"/>
                <w:szCs w:val="20"/>
              </w:rPr>
            </w:pPr>
            <w:r>
              <w:rPr>
                <w:rFonts w:cs="Calibri Light"/>
                <w:color w:val="000000"/>
                <w:sz w:val="20"/>
                <w:szCs w:val="20"/>
              </w:rPr>
              <w:t>4.68 gal/shower</w:t>
            </w:r>
          </w:p>
        </w:tc>
      </w:tr>
    </w:tbl>
    <w:p w14:paraId="63522C4E" w14:textId="77777777" w:rsidR="00523A43" w:rsidRDefault="00523A43" w:rsidP="00FD4F56">
      <w:pPr>
        <w:pStyle w:val="eTRMHeading5"/>
      </w:pPr>
    </w:p>
    <w:p w14:paraId="24081D1A" w14:textId="3379D0F6" w:rsidR="00AD0A81" w:rsidRPr="007A2B1F" w:rsidRDefault="00AD0A81" w:rsidP="00FD4F56">
      <w:pPr>
        <w:pStyle w:val="eTRMHeading5"/>
      </w:pPr>
      <w:r w:rsidRPr="007A2B1F">
        <w:t>Total</w:t>
      </w:r>
      <w:r>
        <w:t xml:space="preserve"> Shower</w:t>
      </w:r>
      <w:r w:rsidRPr="007A2B1F">
        <w:t xml:space="preserve"> Water Savings</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50"/>
        <w:gridCol w:w="4410"/>
        <w:gridCol w:w="1795"/>
      </w:tblGrid>
      <w:tr w:rsidR="0010120E" w:rsidRPr="00E57C24" w14:paraId="4B11ADCC" w14:textId="77777777" w:rsidTr="003B12C3">
        <w:trPr>
          <w:cantSplit/>
          <w:trHeight w:val="305"/>
          <w:tblHeader/>
        </w:trPr>
        <w:tc>
          <w:tcPr>
            <w:tcW w:w="3150" w:type="dxa"/>
            <w:shd w:val="clear" w:color="auto" w:fill="F2F2F2" w:themeFill="background1" w:themeFillShade="F2"/>
          </w:tcPr>
          <w:p w14:paraId="281C5B77" w14:textId="77777777" w:rsidR="0010120E" w:rsidRPr="00E57C24" w:rsidRDefault="0010120E" w:rsidP="00586A76">
            <w:pPr>
              <w:spacing w:before="0" w:after="0"/>
              <w:rPr>
                <w:rFonts w:cs="Calibri Light"/>
                <w:b/>
                <w:color w:val="000000"/>
                <w:sz w:val="20"/>
                <w:szCs w:val="22"/>
              </w:rPr>
            </w:pPr>
            <w:r w:rsidRPr="00E57C24">
              <w:rPr>
                <w:rFonts w:cs="Calibri Light"/>
                <w:b/>
                <w:color w:val="000000"/>
                <w:sz w:val="20"/>
                <w:szCs w:val="22"/>
              </w:rPr>
              <w:t>Input</w:t>
            </w:r>
          </w:p>
        </w:tc>
        <w:tc>
          <w:tcPr>
            <w:tcW w:w="4410" w:type="dxa"/>
            <w:shd w:val="clear" w:color="auto" w:fill="F2F2F2" w:themeFill="background1" w:themeFillShade="F2"/>
          </w:tcPr>
          <w:p w14:paraId="62EDB54D" w14:textId="77777777" w:rsidR="0010120E" w:rsidRPr="00E57C24" w:rsidRDefault="0010120E" w:rsidP="00586A76">
            <w:pPr>
              <w:spacing w:before="0" w:after="0"/>
              <w:rPr>
                <w:rFonts w:cs="Calibri Light"/>
                <w:b/>
                <w:color w:val="000000"/>
                <w:sz w:val="20"/>
                <w:szCs w:val="22"/>
              </w:rPr>
            </w:pPr>
            <w:r w:rsidRPr="00E57C24">
              <w:rPr>
                <w:rFonts w:cs="Calibri Light"/>
                <w:b/>
                <w:color w:val="000000"/>
                <w:sz w:val="20"/>
                <w:szCs w:val="22"/>
              </w:rPr>
              <w:t>Calculation</w:t>
            </w:r>
          </w:p>
        </w:tc>
        <w:tc>
          <w:tcPr>
            <w:tcW w:w="1795" w:type="dxa"/>
            <w:shd w:val="clear" w:color="auto" w:fill="F2F2F2" w:themeFill="background1" w:themeFillShade="F2"/>
          </w:tcPr>
          <w:p w14:paraId="54513957" w14:textId="77777777" w:rsidR="0010120E" w:rsidRPr="00E57C24" w:rsidRDefault="0010120E" w:rsidP="00586A76">
            <w:pPr>
              <w:spacing w:before="0" w:after="0"/>
              <w:rPr>
                <w:rFonts w:cs="Calibri Light"/>
                <w:b/>
                <w:color w:val="000000"/>
                <w:sz w:val="20"/>
                <w:szCs w:val="22"/>
              </w:rPr>
            </w:pPr>
            <w:r w:rsidRPr="00E57C24">
              <w:rPr>
                <w:rFonts w:cs="Calibri Light"/>
                <w:b/>
                <w:color w:val="000000"/>
                <w:sz w:val="20"/>
                <w:szCs w:val="22"/>
              </w:rPr>
              <w:t>Calculated Value</w:t>
            </w:r>
          </w:p>
        </w:tc>
      </w:tr>
      <w:tr w:rsidR="00DA0D57" w:rsidRPr="00DA0D57" w14:paraId="551D51A5" w14:textId="77777777" w:rsidTr="003B12C3">
        <w:trPr>
          <w:cantSplit/>
        </w:trPr>
        <w:tc>
          <w:tcPr>
            <w:tcW w:w="3150" w:type="dxa"/>
            <w:vAlign w:val="center"/>
          </w:tcPr>
          <w:p w14:paraId="7656723A" w14:textId="198AD3DC" w:rsidR="00DA0D57" w:rsidRPr="00DA0D57" w:rsidRDefault="00DA0D57" w:rsidP="00586A76">
            <w:pPr>
              <w:spacing w:before="0" w:after="0"/>
              <w:rPr>
                <w:rFonts w:cs="Calibri Light"/>
                <w:color w:val="000000"/>
                <w:sz w:val="20"/>
                <w:szCs w:val="20"/>
              </w:rPr>
            </w:pPr>
            <w:r w:rsidRPr="00DA0D57">
              <w:rPr>
                <w:rFonts w:cs="Calibri Light"/>
                <w:color w:val="000000"/>
                <w:sz w:val="20"/>
                <w:szCs w:val="22"/>
              </w:rPr>
              <w:t>Total Shower Water Savings w/ Tub Spout Leak Weighted</w:t>
            </w:r>
          </w:p>
        </w:tc>
        <w:tc>
          <w:tcPr>
            <w:tcW w:w="4410" w:type="dxa"/>
            <w:vAlign w:val="center"/>
          </w:tcPr>
          <w:p w14:paraId="6D69077D" w14:textId="539EE043" w:rsidR="00DA0D57" w:rsidRPr="00DA0D57" w:rsidRDefault="00DA0D57" w:rsidP="00586A76">
            <w:pPr>
              <w:spacing w:before="0" w:after="0"/>
              <w:rPr>
                <w:rFonts w:ascii="Cambria Math" w:hAnsi="Cambria Math" w:cs="Calibri Light"/>
                <w:i/>
                <w:color w:val="000000"/>
                <w:sz w:val="18"/>
                <w:szCs w:val="20"/>
              </w:rPr>
            </w:pPr>
            <w:r w:rsidRPr="00DA0D57">
              <w:rPr>
                <w:rFonts w:ascii="Cambria Math" w:hAnsi="Cambria Math"/>
                <w:color w:val="000000"/>
                <w:sz w:val="18"/>
                <w:szCs w:val="22"/>
              </w:rPr>
              <w:t>StWtrS + BWtrS + ShtWtrS</w:t>
            </w:r>
          </w:p>
        </w:tc>
        <w:tc>
          <w:tcPr>
            <w:tcW w:w="1795" w:type="dxa"/>
            <w:vAlign w:val="center"/>
          </w:tcPr>
          <w:p w14:paraId="71514051" w14:textId="63374334" w:rsidR="00DA0D57" w:rsidRPr="00DA0D57" w:rsidRDefault="00DA0D57" w:rsidP="00586A76">
            <w:pPr>
              <w:spacing w:before="0" w:after="0"/>
              <w:rPr>
                <w:rFonts w:cs="Calibri Light"/>
                <w:color w:val="000000"/>
                <w:sz w:val="20"/>
                <w:szCs w:val="20"/>
              </w:rPr>
            </w:pPr>
            <w:r>
              <w:rPr>
                <w:rFonts w:cs="Calibri Light"/>
                <w:color w:val="000000"/>
                <w:sz w:val="20"/>
                <w:szCs w:val="20"/>
              </w:rPr>
              <w:t>6.87 gal/shower</w:t>
            </w:r>
          </w:p>
        </w:tc>
      </w:tr>
    </w:tbl>
    <w:p w14:paraId="14CD17BE" w14:textId="77777777" w:rsidR="00523A43" w:rsidRDefault="00523A43" w:rsidP="00FD4F56">
      <w:pPr>
        <w:pStyle w:val="eTRMHeading5"/>
      </w:pPr>
    </w:p>
    <w:p w14:paraId="3B5BD165" w14:textId="44AE8DE7" w:rsidR="00AD0A81" w:rsidRDefault="00AD0A81" w:rsidP="00FD4F56">
      <w:pPr>
        <w:pStyle w:val="eTRMHeading5"/>
      </w:pPr>
      <w:r w:rsidRPr="00A37EBA">
        <w:t>Annual Single</w:t>
      </w:r>
      <w:r w:rsidR="00FD4F56">
        <w:t>-</w:t>
      </w:r>
      <w:r w:rsidRPr="00A37EBA">
        <w:t xml:space="preserve">Family </w:t>
      </w:r>
      <w:r w:rsidR="00035934">
        <w:t>and Multifamily</w:t>
      </w:r>
      <w:r w:rsidR="00081E6E">
        <w:t>/Double-wide Mobile Home</w:t>
      </w:r>
      <w:r w:rsidR="00035934">
        <w:t xml:space="preserve"> </w:t>
      </w:r>
      <w:r w:rsidRPr="00A37EBA">
        <w:t>Water Savings</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70"/>
        <w:gridCol w:w="3690"/>
        <w:gridCol w:w="1795"/>
      </w:tblGrid>
      <w:tr w:rsidR="0010120E" w:rsidRPr="00E57C24" w14:paraId="1B06FC9E" w14:textId="77777777" w:rsidTr="00081E6E">
        <w:trPr>
          <w:cantSplit/>
          <w:trHeight w:val="305"/>
          <w:tblHeader/>
        </w:trPr>
        <w:tc>
          <w:tcPr>
            <w:tcW w:w="3870" w:type="dxa"/>
            <w:shd w:val="clear" w:color="auto" w:fill="F2F2F2" w:themeFill="background1" w:themeFillShade="F2"/>
          </w:tcPr>
          <w:p w14:paraId="4F224F2B" w14:textId="77777777" w:rsidR="0010120E" w:rsidRPr="00E57C24" w:rsidRDefault="0010120E" w:rsidP="00586A76">
            <w:pPr>
              <w:spacing w:before="0" w:after="0"/>
              <w:rPr>
                <w:rFonts w:cs="Calibri Light"/>
                <w:b/>
                <w:color w:val="000000"/>
                <w:sz w:val="20"/>
                <w:szCs w:val="22"/>
              </w:rPr>
            </w:pPr>
            <w:r w:rsidRPr="00E57C24">
              <w:rPr>
                <w:rFonts w:cs="Calibri Light"/>
                <w:b/>
                <w:color w:val="000000"/>
                <w:sz w:val="20"/>
                <w:szCs w:val="22"/>
              </w:rPr>
              <w:t>Input</w:t>
            </w:r>
          </w:p>
        </w:tc>
        <w:tc>
          <w:tcPr>
            <w:tcW w:w="3690" w:type="dxa"/>
            <w:shd w:val="clear" w:color="auto" w:fill="F2F2F2" w:themeFill="background1" w:themeFillShade="F2"/>
          </w:tcPr>
          <w:p w14:paraId="72440A25" w14:textId="77777777" w:rsidR="0010120E" w:rsidRPr="00E57C24" w:rsidRDefault="0010120E" w:rsidP="00586A76">
            <w:pPr>
              <w:spacing w:before="0" w:after="0"/>
              <w:rPr>
                <w:rFonts w:cs="Calibri Light"/>
                <w:b/>
                <w:color w:val="000000"/>
                <w:sz w:val="20"/>
                <w:szCs w:val="22"/>
              </w:rPr>
            </w:pPr>
            <w:r w:rsidRPr="00E57C24">
              <w:rPr>
                <w:rFonts w:cs="Calibri Light"/>
                <w:b/>
                <w:color w:val="000000"/>
                <w:sz w:val="20"/>
                <w:szCs w:val="22"/>
              </w:rPr>
              <w:t>Calculation</w:t>
            </w:r>
          </w:p>
        </w:tc>
        <w:tc>
          <w:tcPr>
            <w:tcW w:w="1795" w:type="dxa"/>
            <w:shd w:val="clear" w:color="auto" w:fill="F2F2F2" w:themeFill="background1" w:themeFillShade="F2"/>
          </w:tcPr>
          <w:p w14:paraId="3746325D" w14:textId="77777777" w:rsidR="0010120E" w:rsidRPr="00E57C24" w:rsidRDefault="0010120E" w:rsidP="00586A76">
            <w:pPr>
              <w:spacing w:before="0" w:after="0"/>
              <w:rPr>
                <w:rFonts w:cs="Calibri Light"/>
                <w:b/>
                <w:color w:val="000000"/>
                <w:sz w:val="20"/>
                <w:szCs w:val="22"/>
              </w:rPr>
            </w:pPr>
            <w:r w:rsidRPr="00E57C24">
              <w:rPr>
                <w:rFonts w:cs="Calibri Light"/>
                <w:b/>
                <w:color w:val="000000"/>
                <w:sz w:val="20"/>
                <w:szCs w:val="22"/>
              </w:rPr>
              <w:t>Calculated Value</w:t>
            </w:r>
          </w:p>
        </w:tc>
      </w:tr>
      <w:tr w:rsidR="0010120E" w:rsidRPr="00DA0D57" w14:paraId="5C6E6879" w14:textId="77777777" w:rsidTr="00523A43">
        <w:trPr>
          <w:cantSplit/>
        </w:trPr>
        <w:tc>
          <w:tcPr>
            <w:tcW w:w="7560" w:type="dxa"/>
            <w:gridSpan w:val="2"/>
            <w:vAlign w:val="center"/>
          </w:tcPr>
          <w:p w14:paraId="45889861" w14:textId="224BAD55" w:rsidR="0010120E" w:rsidRPr="0010120E" w:rsidRDefault="0010120E" w:rsidP="0010120E">
            <w:pPr>
              <w:spacing w:before="0" w:after="0"/>
              <w:rPr>
                <w:rFonts w:ascii="Cambria Math" w:hAnsi="Cambria Math" w:cs="Calibri Light"/>
                <w:color w:val="000000"/>
                <w:sz w:val="18"/>
                <w:szCs w:val="18"/>
              </w:rPr>
            </w:pPr>
            <w:r w:rsidRPr="0010120E">
              <w:rPr>
                <w:rFonts w:cs="Calibri Light"/>
                <w:color w:val="000000"/>
                <w:sz w:val="20"/>
                <w:szCs w:val="22"/>
              </w:rPr>
              <w:t>Single Family Mixed Daily Water</w:t>
            </w:r>
            <w:r>
              <w:rPr>
                <w:rFonts w:cs="Calibri Light"/>
                <w:color w:val="000000"/>
                <w:sz w:val="20"/>
                <w:szCs w:val="22"/>
              </w:rPr>
              <w:t xml:space="preserve"> Usage</w:t>
            </w:r>
          </w:p>
        </w:tc>
        <w:tc>
          <w:tcPr>
            <w:tcW w:w="1795" w:type="dxa"/>
            <w:vAlign w:val="center"/>
          </w:tcPr>
          <w:p w14:paraId="244A9622" w14:textId="1E1133E2" w:rsidR="0010120E" w:rsidRPr="00DA0D57" w:rsidRDefault="0010120E" w:rsidP="00586A76">
            <w:pPr>
              <w:spacing w:before="0" w:after="0"/>
              <w:rPr>
                <w:rFonts w:cs="Calibri Light"/>
                <w:color w:val="000000"/>
                <w:sz w:val="20"/>
                <w:szCs w:val="20"/>
              </w:rPr>
            </w:pPr>
            <w:r>
              <w:rPr>
                <w:rFonts w:cs="Calibri Light"/>
                <w:color w:val="000000"/>
                <w:sz w:val="20"/>
                <w:szCs w:val="20"/>
              </w:rPr>
              <w:t>24.90 gal/day</w:t>
            </w:r>
          </w:p>
        </w:tc>
      </w:tr>
      <w:tr w:rsidR="0010120E" w:rsidRPr="00DA0D57" w14:paraId="118AF6B3" w14:textId="77777777" w:rsidTr="00081E6E">
        <w:trPr>
          <w:cantSplit/>
        </w:trPr>
        <w:tc>
          <w:tcPr>
            <w:tcW w:w="3870" w:type="dxa"/>
            <w:vAlign w:val="center"/>
          </w:tcPr>
          <w:p w14:paraId="12AAC6CC" w14:textId="5D46F136" w:rsidR="0010120E" w:rsidRPr="0010120E" w:rsidRDefault="0010120E" w:rsidP="00081E6E">
            <w:pPr>
              <w:spacing w:before="0" w:after="0"/>
              <w:ind w:left="163"/>
              <w:rPr>
                <w:rFonts w:cs="Calibri Light"/>
                <w:color w:val="000000"/>
                <w:sz w:val="20"/>
                <w:szCs w:val="20"/>
              </w:rPr>
            </w:pPr>
            <w:r w:rsidRPr="0010120E">
              <w:rPr>
                <w:rFonts w:cs="Calibri Light"/>
                <w:color w:val="000000"/>
                <w:sz w:val="20"/>
                <w:szCs w:val="22"/>
              </w:rPr>
              <w:t>SF Showers per Day, per showerhead</w:t>
            </w:r>
          </w:p>
        </w:tc>
        <w:tc>
          <w:tcPr>
            <w:tcW w:w="3690" w:type="dxa"/>
            <w:vAlign w:val="center"/>
          </w:tcPr>
          <w:p w14:paraId="3C99359C" w14:textId="01EEF1F0" w:rsidR="0010120E" w:rsidRPr="0010120E" w:rsidRDefault="0010120E" w:rsidP="0010120E">
            <w:pPr>
              <w:spacing w:before="0" w:after="0"/>
              <w:rPr>
                <w:rFonts w:ascii="Cambria Math" w:hAnsi="Cambria Math" w:cs="Calibri Light"/>
                <w:i/>
                <w:color w:val="000000"/>
                <w:sz w:val="18"/>
                <w:szCs w:val="18"/>
              </w:rPr>
            </w:pPr>
            <w:r w:rsidRPr="0010120E">
              <w:rPr>
                <w:rFonts w:ascii="Cambria Math" w:hAnsi="Cambria Math"/>
                <w:i/>
                <w:color w:val="000000"/>
                <w:sz w:val="18"/>
                <w:szCs w:val="18"/>
              </w:rPr>
              <w:t>SFMDW / (TShWuPr * SFSh)</w:t>
            </w:r>
          </w:p>
        </w:tc>
        <w:tc>
          <w:tcPr>
            <w:tcW w:w="1795" w:type="dxa"/>
            <w:vAlign w:val="center"/>
          </w:tcPr>
          <w:p w14:paraId="5CAA6FAC" w14:textId="5966AF27" w:rsidR="0010120E" w:rsidRPr="00DA0D57" w:rsidRDefault="0010120E" w:rsidP="00586A76">
            <w:pPr>
              <w:spacing w:before="0" w:after="0"/>
              <w:rPr>
                <w:rFonts w:cs="Calibri Light"/>
                <w:color w:val="000000"/>
                <w:sz w:val="20"/>
                <w:szCs w:val="20"/>
              </w:rPr>
            </w:pPr>
            <w:r>
              <w:rPr>
                <w:rFonts w:cs="Calibri Light"/>
                <w:color w:val="000000"/>
                <w:sz w:val="20"/>
                <w:szCs w:val="20"/>
              </w:rPr>
              <w:t>0.72 showers/day</w:t>
            </w:r>
          </w:p>
        </w:tc>
      </w:tr>
      <w:tr w:rsidR="0010120E" w:rsidRPr="00DA0D57" w14:paraId="60D13610" w14:textId="77777777" w:rsidTr="00081E6E">
        <w:trPr>
          <w:cantSplit/>
        </w:trPr>
        <w:tc>
          <w:tcPr>
            <w:tcW w:w="3870" w:type="dxa"/>
            <w:vAlign w:val="center"/>
          </w:tcPr>
          <w:p w14:paraId="1B26E302" w14:textId="559A39C3" w:rsidR="0010120E" w:rsidRPr="0010120E" w:rsidRDefault="0010120E" w:rsidP="00081E6E">
            <w:pPr>
              <w:spacing w:before="0" w:after="0"/>
              <w:ind w:left="163"/>
              <w:rPr>
                <w:rFonts w:cs="Calibri Light"/>
                <w:color w:val="000000"/>
                <w:sz w:val="20"/>
                <w:szCs w:val="20"/>
              </w:rPr>
            </w:pPr>
            <w:r w:rsidRPr="0010120E">
              <w:rPr>
                <w:rFonts w:cs="Calibri Light"/>
                <w:color w:val="000000"/>
                <w:sz w:val="20"/>
                <w:szCs w:val="22"/>
              </w:rPr>
              <w:t>SF Water Savings</w:t>
            </w:r>
          </w:p>
        </w:tc>
        <w:tc>
          <w:tcPr>
            <w:tcW w:w="3690" w:type="dxa"/>
            <w:vAlign w:val="center"/>
          </w:tcPr>
          <w:p w14:paraId="3DDF7D1F" w14:textId="30AE6E6D" w:rsidR="0010120E" w:rsidRPr="0010120E" w:rsidRDefault="0010120E" w:rsidP="0010120E">
            <w:pPr>
              <w:spacing w:before="0" w:after="0"/>
              <w:rPr>
                <w:rFonts w:ascii="Cambria Math" w:hAnsi="Cambria Math" w:cs="Calibri Light"/>
                <w:i/>
                <w:color w:val="000000"/>
                <w:sz w:val="18"/>
                <w:szCs w:val="18"/>
              </w:rPr>
            </w:pPr>
            <w:r w:rsidRPr="0010120E">
              <w:rPr>
                <w:rFonts w:ascii="Cambria Math" w:hAnsi="Cambria Math"/>
                <w:i/>
                <w:color w:val="000000"/>
                <w:sz w:val="18"/>
                <w:szCs w:val="18"/>
              </w:rPr>
              <w:t>TShWtrS * SFSpD * 365 days/year</w:t>
            </w:r>
          </w:p>
        </w:tc>
        <w:tc>
          <w:tcPr>
            <w:tcW w:w="1795" w:type="dxa"/>
            <w:vAlign w:val="center"/>
          </w:tcPr>
          <w:p w14:paraId="41CFED59" w14:textId="3B49BF00" w:rsidR="0010120E" w:rsidRPr="00DA0D57" w:rsidRDefault="0010120E" w:rsidP="00586A76">
            <w:pPr>
              <w:spacing w:before="0" w:after="0"/>
              <w:rPr>
                <w:rFonts w:cs="Calibri Light"/>
                <w:color w:val="000000"/>
                <w:sz w:val="20"/>
                <w:szCs w:val="20"/>
              </w:rPr>
            </w:pPr>
            <w:r>
              <w:rPr>
                <w:rFonts w:cs="Calibri Light"/>
                <w:color w:val="000000"/>
                <w:sz w:val="20"/>
                <w:szCs w:val="20"/>
              </w:rPr>
              <w:t>1,806.95 gal/year</w:t>
            </w:r>
          </w:p>
        </w:tc>
      </w:tr>
      <w:tr w:rsidR="0010120E" w:rsidRPr="00DA0D57" w14:paraId="03851C57" w14:textId="77777777" w:rsidTr="00523A43">
        <w:trPr>
          <w:cantSplit/>
        </w:trPr>
        <w:tc>
          <w:tcPr>
            <w:tcW w:w="7560" w:type="dxa"/>
            <w:gridSpan w:val="2"/>
            <w:vAlign w:val="center"/>
          </w:tcPr>
          <w:p w14:paraId="4677F621" w14:textId="351012D0" w:rsidR="0010120E" w:rsidRPr="0010120E" w:rsidRDefault="0010120E" w:rsidP="00586A76">
            <w:pPr>
              <w:spacing w:before="0" w:after="0"/>
              <w:rPr>
                <w:rFonts w:ascii="Cambria Math" w:hAnsi="Cambria Math" w:cs="Calibri Light"/>
                <w:color w:val="000000"/>
                <w:sz w:val="18"/>
                <w:szCs w:val="18"/>
              </w:rPr>
            </w:pPr>
            <w:r>
              <w:rPr>
                <w:rFonts w:cs="Calibri Light"/>
                <w:color w:val="000000"/>
                <w:sz w:val="20"/>
                <w:szCs w:val="22"/>
              </w:rPr>
              <w:t>Multif</w:t>
            </w:r>
            <w:r w:rsidRPr="0010120E">
              <w:rPr>
                <w:rFonts w:cs="Calibri Light"/>
                <w:color w:val="000000"/>
                <w:sz w:val="20"/>
                <w:szCs w:val="22"/>
              </w:rPr>
              <w:t>amily</w:t>
            </w:r>
            <w:r w:rsidR="00081E6E">
              <w:rPr>
                <w:rFonts w:cs="Calibri Light"/>
                <w:color w:val="000000"/>
                <w:sz w:val="20"/>
                <w:szCs w:val="22"/>
              </w:rPr>
              <w:t>/Double-wide Mobile Home</w:t>
            </w:r>
            <w:r w:rsidRPr="0010120E">
              <w:rPr>
                <w:rFonts w:cs="Calibri Light"/>
                <w:color w:val="000000"/>
                <w:sz w:val="20"/>
                <w:szCs w:val="22"/>
              </w:rPr>
              <w:t xml:space="preserve"> Mixed Daily Water</w:t>
            </w:r>
            <w:r>
              <w:rPr>
                <w:rFonts w:cs="Calibri Light"/>
                <w:color w:val="000000"/>
                <w:sz w:val="20"/>
                <w:szCs w:val="22"/>
              </w:rPr>
              <w:t xml:space="preserve"> Usage</w:t>
            </w:r>
          </w:p>
        </w:tc>
        <w:tc>
          <w:tcPr>
            <w:tcW w:w="1795" w:type="dxa"/>
            <w:vAlign w:val="center"/>
          </w:tcPr>
          <w:p w14:paraId="032A2975" w14:textId="46D81E2F" w:rsidR="0010120E" w:rsidRPr="00DA0D57" w:rsidRDefault="0010120E" w:rsidP="00586A76">
            <w:pPr>
              <w:spacing w:before="0" w:after="0"/>
              <w:rPr>
                <w:rFonts w:cs="Calibri Light"/>
                <w:color w:val="000000"/>
                <w:sz w:val="20"/>
                <w:szCs w:val="20"/>
              </w:rPr>
            </w:pPr>
            <w:r>
              <w:rPr>
                <w:rFonts w:cs="Calibri Light"/>
                <w:color w:val="000000"/>
                <w:sz w:val="20"/>
                <w:szCs w:val="20"/>
              </w:rPr>
              <w:t>20.75 gal/day</w:t>
            </w:r>
          </w:p>
        </w:tc>
      </w:tr>
      <w:tr w:rsidR="0010120E" w:rsidRPr="00DA0D57" w14:paraId="4ADD9AEB" w14:textId="77777777" w:rsidTr="00081E6E">
        <w:trPr>
          <w:cantSplit/>
        </w:trPr>
        <w:tc>
          <w:tcPr>
            <w:tcW w:w="3870" w:type="dxa"/>
            <w:vAlign w:val="center"/>
          </w:tcPr>
          <w:p w14:paraId="249CD6E1" w14:textId="74342EE5" w:rsidR="0010120E" w:rsidRPr="0010120E" w:rsidRDefault="0010120E" w:rsidP="00081E6E">
            <w:pPr>
              <w:spacing w:before="0" w:after="0"/>
              <w:ind w:left="163"/>
              <w:rPr>
                <w:rFonts w:cs="Calibri Light"/>
                <w:color w:val="000000"/>
                <w:sz w:val="20"/>
                <w:szCs w:val="20"/>
              </w:rPr>
            </w:pPr>
            <w:r>
              <w:rPr>
                <w:rFonts w:cs="Calibri Light"/>
                <w:color w:val="000000"/>
                <w:sz w:val="20"/>
                <w:szCs w:val="22"/>
              </w:rPr>
              <w:t>M</w:t>
            </w:r>
            <w:r w:rsidRPr="0010120E">
              <w:rPr>
                <w:rFonts w:cs="Calibri Light"/>
                <w:color w:val="000000"/>
                <w:sz w:val="20"/>
                <w:szCs w:val="22"/>
              </w:rPr>
              <w:t>F Showers per Day, per showerhead</w:t>
            </w:r>
          </w:p>
        </w:tc>
        <w:tc>
          <w:tcPr>
            <w:tcW w:w="3690" w:type="dxa"/>
            <w:vAlign w:val="center"/>
          </w:tcPr>
          <w:p w14:paraId="2FEC32B9" w14:textId="3F6DBC1F" w:rsidR="0010120E" w:rsidRPr="0010120E" w:rsidRDefault="0010120E" w:rsidP="00586A76">
            <w:pPr>
              <w:spacing w:before="0" w:after="0"/>
              <w:rPr>
                <w:rFonts w:ascii="Cambria Math" w:hAnsi="Cambria Math" w:cs="Calibri Light"/>
                <w:i/>
                <w:color w:val="000000"/>
                <w:sz w:val="18"/>
                <w:szCs w:val="18"/>
              </w:rPr>
            </w:pPr>
            <w:r w:rsidRPr="0010120E">
              <w:rPr>
                <w:rFonts w:ascii="Cambria Math" w:hAnsi="Cambria Math"/>
                <w:i/>
                <w:color w:val="000000"/>
                <w:sz w:val="18"/>
                <w:szCs w:val="22"/>
              </w:rPr>
              <w:t>MFMDW / (TShWuPr * MFSh)</w:t>
            </w:r>
          </w:p>
        </w:tc>
        <w:tc>
          <w:tcPr>
            <w:tcW w:w="1795" w:type="dxa"/>
            <w:vAlign w:val="center"/>
          </w:tcPr>
          <w:p w14:paraId="1362A842" w14:textId="0EBF8C54" w:rsidR="0010120E" w:rsidRPr="00DA0D57" w:rsidRDefault="0010120E" w:rsidP="00586A76">
            <w:pPr>
              <w:spacing w:before="0" w:after="0"/>
              <w:rPr>
                <w:rFonts w:cs="Calibri Light"/>
                <w:color w:val="000000"/>
                <w:sz w:val="20"/>
                <w:szCs w:val="20"/>
              </w:rPr>
            </w:pPr>
            <w:r>
              <w:rPr>
                <w:rFonts w:cs="Calibri Light"/>
                <w:color w:val="000000"/>
                <w:sz w:val="20"/>
                <w:szCs w:val="20"/>
              </w:rPr>
              <w:t>0.80 showers/day</w:t>
            </w:r>
          </w:p>
        </w:tc>
      </w:tr>
      <w:tr w:rsidR="0010120E" w:rsidRPr="00DA0D57" w14:paraId="2AC50DA2" w14:textId="77777777" w:rsidTr="00081E6E">
        <w:trPr>
          <w:cantSplit/>
        </w:trPr>
        <w:tc>
          <w:tcPr>
            <w:tcW w:w="3870" w:type="dxa"/>
            <w:vAlign w:val="center"/>
          </w:tcPr>
          <w:p w14:paraId="328D0EA3" w14:textId="7916A875" w:rsidR="0010120E" w:rsidRPr="0010120E" w:rsidRDefault="0010120E" w:rsidP="00081E6E">
            <w:pPr>
              <w:spacing w:before="0" w:after="0"/>
              <w:ind w:left="163"/>
              <w:rPr>
                <w:rFonts w:cs="Calibri Light"/>
                <w:color w:val="000000"/>
                <w:sz w:val="20"/>
                <w:szCs w:val="20"/>
              </w:rPr>
            </w:pPr>
            <w:r>
              <w:rPr>
                <w:rFonts w:cs="Calibri Light"/>
                <w:color w:val="000000"/>
                <w:sz w:val="20"/>
                <w:szCs w:val="22"/>
              </w:rPr>
              <w:t>MF</w:t>
            </w:r>
            <w:r w:rsidRPr="0010120E">
              <w:rPr>
                <w:rFonts w:cs="Calibri Light"/>
                <w:color w:val="000000"/>
                <w:sz w:val="20"/>
                <w:szCs w:val="22"/>
              </w:rPr>
              <w:t xml:space="preserve"> Water Savings</w:t>
            </w:r>
          </w:p>
        </w:tc>
        <w:tc>
          <w:tcPr>
            <w:tcW w:w="3690" w:type="dxa"/>
            <w:vAlign w:val="center"/>
          </w:tcPr>
          <w:p w14:paraId="68775C87" w14:textId="32E647B1" w:rsidR="0010120E" w:rsidRPr="0010120E" w:rsidRDefault="0010120E" w:rsidP="00586A76">
            <w:pPr>
              <w:spacing w:before="0" w:after="0"/>
              <w:rPr>
                <w:rFonts w:ascii="Cambria Math" w:hAnsi="Cambria Math" w:cs="Calibri Light"/>
                <w:i/>
                <w:color w:val="000000"/>
                <w:sz w:val="18"/>
                <w:szCs w:val="18"/>
              </w:rPr>
            </w:pPr>
            <w:r w:rsidRPr="0010120E">
              <w:rPr>
                <w:rFonts w:ascii="Cambria Math" w:hAnsi="Cambria Math"/>
                <w:i/>
                <w:color w:val="000000"/>
                <w:sz w:val="18"/>
                <w:szCs w:val="22"/>
              </w:rPr>
              <w:t>TShWtrS * MFSpD * 365 days/year</w:t>
            </w:r>
          </w:p>
        </w:tc>
        <w:tc>
          <w:tcPr>
            <w:tcW w:w="1795" w:type="dxa"/>
            <w:vAlign w:val="center"/>
          </w:tcPr>
          <w:p w14:paraId="462594AA" w14:textId="29681C76" w:rsidR="0010120E" w:rsidRPr="00DA0D57" w:rsidRDefault="0010120E" w:rsidP="00586A76">
            <w:pPr>
              <w:spacing w:before="0" w:after="0"/>
              <w:rPr>
                <w:rFonts w:cs="Calibri Light"/>
                <w:color w:val="000000"/>
                <w:sz w:val="20"/>
                <w:szCs w:val="20"/>
              </w:rPr>
            </w:pPr>
            <w:r>
              <w:rPr>
                <w:rFonts w:cs="Calibri Light"/>
                <w:color w:val="000000"/>
                <w:sz w:val="20"/>
                <w:szCs w:val="20"/>
              </w:rPr>
              <w:t>2,017.62 gal/year</w:t>
            </w:r>
          </w:p>
        </w:tc>
      </w:tr>
    </w:tbl>
    <w:p w14:paraId="2048FD00" w14:textId="77777777" w:rsidR="00AD0A81" w:rsidRDefault="00AD0A81" w:rsidP="00AD0A81"/>
    <w:p w14:paraId="2B1EBBDF" w14:textId="23693E16" w:rsidR="00AD0A81" w:rsidRDefault="00594F7A" w:rsidP="00FD4F56">
      <w:pPr>
        <w:pStyle w:val="eTRMHeading4"/>
      </w:pPr>
      <w:bookmarkStart w:id="57" w:name="_Toc448135885"/>
      <w:r>
        <w:t>Ca</w:t>
      </w:r>
      <w:r w:rsidR="0081509A">
        <w:t>l</w:t>
      </w:r>
      <w:r>
        <w:t>cu</w:t>
      </w:r>
      <w:r w:rsidR="0081509A">
        <w:t>l</w:t>
      </w:r>
      <w:r>
        <w:t>ate</w:t>
      </w:r>
      <w:r w:rsidR="00AD0A81" w:rsidRPr="008D3C83">
        <w:t xml:space="preserve"> </w:t>
      </w:r>
      <w:r w:rsidR="00FD4F56">
        <w:t xml:space="preserve">Gas </w:t>
      </w:r>
      <w:r w:rsidR="00AD0A81">
        <w:t>Energy S</w:t>
      </w:r>
      <w:r w:rsidR="00AD0A81" w:rsidRPr="008D3C83">
        <w:t>avings</w:t>
      </w:r>
      <w:bookmarkEnd w:id="57"/>
    </w:p>
    <w:p w14:paraId="2E7ADEF2" w14:textId="65906E83" w:rsidR="00AD0A81" w:rsidRDefault="00AD0A81" w:rsidP="00AD0A81">
      <w:r>
        <w:t xml:space="preserve">The </w:t>
      </w:r>
      <w:r w:rsidR="00594F7A">
        <w:t>gas UES</w:t>
      </w:r>
      <w:r>
        <w:t xml:space="preserve"> is equal to the energy required to raise the volume of water saved from ground water temperature to the water temperature at the showerhead. The values and equation used to make the conversion is shown below.</w:t>
      </w:r>
    </w:p>
    <w:p w14:paraId="17E7EBC0" w14:textId="6EE4B678" w:rsidR="00AD0A81" w:rsidRDefault="00D8402E" w:rsidP="00FD4F56">
      <w:pPr>
        <w:ind w:left="720"/>
      </w:pPr>
      <m:oMath>
        <m:sSub>
          <m:sSubPr>
            <m:ctrlPr>
              <w:rPr>
                <w:rFonts w:ascii="Cambria Math" w:hAnsi="Cambria Math"/>
                <w:i/>
                <w:sz w:val="20"/>
              </w:rPr>
            </m:ctrlPr>
          </m:sSubPr>
          <m:e>
            <m:r>
              <w:rPr>
                <w:rFonts w:ascii="Cambria Math" w:hAnsi="Cambria Math"/>
                <w:sz w:val="20"/>
              </w:rPr>
              <m:t>UES</m:t>
            </m:r>
          </m:e>
          <m:sub>
            <m:r>
              <w:rPr>
                <w:rFonts w:ascii="Cambria Math" w:hAnsi="Cambria Math"/>
                <w:sz w:val="20"/>
              </w:rPr>
              <m:t xml:space="preserve">therms </m:t>
            </m:r>
          </m:sub>
        </m:sSub>
        <m:r>
          <w:rPr>
            <w:rFonts w:ascii="Cambria Math" w:hAnsi="Cambria Math"/>
            <w:sz w:val="20"/>
          </w:rPr>
          <m:t>=</m:t>
        </m:r>
        <m:d>
          <m:dPr>
            <m:begChr m:val="["/>
            <m:endChr m:val="]"/>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(W</m:t>
                    </m:r>
                  </m:e>
                  <m:sub>
                    <m:r>
                      <w:rPr>
                        <w:rFonts w:ascii="Cambria Math" w:hAnsi="Cambria Math"/>
                        <w:sz w:val="20"/>
                      </w:rPr>
                      <m:t>savings</m:t>
                    </m:r>
                  </m:sub>
                </m:sSub>
                <m:r>
                  <w:rPr>
                    <w:rFonts w:ascii="Cambria Math" w:hAnsi="Cambria Math"/>
                    <w:sz w:val="20"/>
                  </w:rPr>
                  <m:t xml:space="preserve">* ρ* </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r>
                  <w:rPr>
                    <w:rFonts w:ascii="Cambria Math" w:hAnsi="Cambria Math"/>
                    <w:sz w:val="20"/>
                  </w:rPr>
                  <m:t xml:space="preserve">* </m:t>
                </m:r>
                <m:sSub>
                  <m:sSubPr>
                    <m:ctrlPr>
                      <w:rPr>
                        <w:rFonts w:ascii="Cambria Math" w:hAnsi="Cambria Math"/>
                        <w:i/>
                        <w:sz w:val="20"/>
                      </w:rPr>
                    </m:ctrlPr>
                  </m:sSubPr>
                  <m:e>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rPr>
                              <m:t>mixed</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supply</m:t>
                            </m:r>
                          </m:sub>
                        </m:sSub>
                      </m:e>
                    </m:d>
                  </m:e>
                  <m:sub/>
                </m:sSub>
                <m:r>
                  <w:rPr>
                    <w:rFonts w:ascii="Cambria Math" w:hAnsi="Cambria Math"/>
                    <w:sz w:val="20"/>
                  </w:rPr>
                  <m:t>)</m:t>
                </m:r>
              </m:num>
              <m:den>
                <m:sSub>
                  <m:sSubPr>
                    <m:ctrlPr>
                      <w:rPr>
                        <w:rFonts w:ascii="Cambria Math" w:hAnsi="Cambria Math"/>
                        <w:i/>
                        <w:sz w:val="20"/>
                      </w:rPr>
                    </m:ctrlPr>
                  </m:sSubPr>
                  <m:e>
                    <m:r>
                      <w:rPr>
                        <w:rFonts w:ascii="Cambria Math" w:hAnsi="Cambria Math"/>
                        <w:sz w:val="20"/>
                      </w:rPr>
                      <m:t>RE</m:t>
                    </m:r>
                  </m:e>
                  <m:sub>
                    <m:r>
                      <w:rPr>
                        <w:rFonts w:ascii="Cambria Math" w:hAnsi="Cambria Math"/>
                        <w:sz w:val="20"/>
                      </w:rPr>
                      <m:t>Gas</m:t>
                    </m:r>
                  </m:sub>
                </m:sSub>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volume</m:t>
                    </m:r>
                  </m:sub>
                </m:sSub>
              </m:den>
            </m:f>
          </m:e>
        </m:d>
        <m:r>
          <w:rPr>
            <w:rFonts w:ascii="Cambria Math" w:hAnsi="Cambria Math"/>
            <w:sz w:val="20"/>
          </w:rPr>
          <m:t>*</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1 Therm</m:t>
                </m:r>
              </m:num>
              <m:den>
                <m:sSub>
                  <m:sSubPr>
                    <m:ctrlPr>
                      <w:rPr>
                        <w:rFonts w:ascii="Cambria Math" w:hAnsi="Cambria Math"/>
                        <w:i/>
                        <w:sz w:val="20"/>
                      </w:rPr>
                    </m:ctrlPr>
                  </m:sSubPr>
                  <m:e>
                    <m:r>
                      <w:rPr>
                        <w:rFonts w:ascii="Cambria Math" w:hAnsi="Cambria Math"/>
                        <w:sz w:val="20"/>
                      </w:rPr>
                      <m:t>100,000 BTU</m:t>
                    </m:r>
                  </m:e>
                  <m:sub>
                    <m:r>
                      <w:rPr>
                        <w:rFonts w:ascii="Cambria Math" w:hAnsi="Cambria Math"/>
                        <w:sz w:val="20"/>
                      </w:rPr>
                      <m:t xml:space="preserve"> </m:t>
                    </m:r>
                  </m:sub>
                </m:sSub>
              </m:den>
            </m:f>
          </m:e>
        </m:d>
      </m:oMath>
      <w:r w:rsidR="00AD0A81">
        <w:rPr>
          <w:rFonts w:ascii="Times New Roman" w:hAnsi="Times New Roman"/>
          <w:sz w:val="28"/>
        </w:rPr>
        <w:t xml:space="preserve"> </w:t>
      </w:r>
    </w:p>
    <w:p w14:paraId="3C6EBC1D" w14:textId="77777777" w:rsidR="00594F7A" w:rsidRDefault="00594F7A" w:rsidP="003B12C3"/>
    <w:p w14:paraId="7764B031" w14:textId="25AE37CC" w:rsidR="00AD0A81" w:rsidRPr="00FD4F56" w:rsidRDefault="00D8402E" w:rsidP="003B12C3">
      <w:pPr>
        <w:spacing w:before="0" w:after="0"/>
        <w:ind w:left="1440"/>
        <w:jc w:val="both"/>
        <w:rPr>
          <w:rFonts w:ascii="Cambria Math" w:hAnsi="Cambria Math"/>
          <w:i/>
          <w:sz w:val="18"/>
          <w:szCs w:val="22"/>
        </w:rPr>
      </w:pPr>
      <m:oMathPara>
        <m:oMathParaPr>
          <m:jc m:val="left"/>
        </m:oMathParaPr>
        <m:oMath>
          <m:sSub>
            <m:sSubPr>
              <m:ctrlPr>
                <w:rPr>
                  <w:rFonts w:ascii="Cambria Math" w:hAnsi="Cambria Math"/>
                  <w:i/>
                  <w:sz w:val="18"/>
                  <w:szCs w:val="22"/>
                </w:rPr>
              </m:ctrlPr>
            </m:sSubPr>
            <m:e>
              <m:r>
                <w:rPr>
                  <w:rFonts w:ascii="Cambria Math" w:hAnsi="Cambria Math"/>
                  <w:sz w:val="18"/>
                  <w:szCs w:val="22"/>
                </w:rPr>
                <m:t>W</m:t>
              </m:r>
            </m:e>
            <m:sub>
              <m:r>
                <w:rPr>
                  <w:rFonts w:ascii="Cambria Math" w:hAnsi="Cambria Math"/>
                  <w:sz w:val="18"/>
                  <w:szCs w:val="22"/>
                </w:rPr>
                <m:t>savings</m:t>
              </m:r>
            </m:sub>
          </m:sSub>
          <m:r>
            <w:rPr>
              <w:rFonts w:ascii="Cambria Math" w:hAnsi="Cambria Math"/>
              <w:sz w:val="18"/>
              <w:szCs w:val="22"/>
            </w:rPr>
            <m:t>=Water savings</m:t>
          </m:r>
        </m:oMath>
      </m:oMathPara>
    </w:p>
    <w:p w14:paraId="6CC83A70" w14:textId="28433534" w:rsidR="00AD0A81" w:rsidRPr="00FD4F56" w:rsidRDefault="00AD0A81" w:rsidP="003B12C3">
      <w:pPr>
        <w:spacing w:before="0" w:after="0"/>
        <w:ind w:left="1440"/>
        <w:jc w:val="both"/>
        <w:rPr>
          <w:rFonts w:ascii="Cambria Math" w:hAnsi="Cambria Math"/>
          <w:i/>
          <w:sz w:val="18"/>
          <w:szCs w:val="22"/>
        </w:rPr>
      </w:pPr>
      <m:oMathPara>
        <m:oMathParaPr>
          <m:jc m:val="left"/>
        </m:oMathParaPr>
        <m:oMath>
          <m:r>
            <w:rPr>
              <w:rFonts w:ascii="Cambria Math" w:hAnsi="Cambria Math"/>
              <w:sz w:val="18"/>
              <w:szCs w:val="22"/>
            </w:rPr>
            <m:t>ρ=Water density at 60 °F</m:t>
          </m:r>
        </m:oMath>
      </m:oMathPara>
    </w:p>
    <w:p w14:paraId="5876D798" w14:textId="2CF1FB1C" w:rsidR="00AD0A81" w:rsidRPr="00FD4F56" w:rsidRDefault="00D8402E" w:rsidP="003B12C3">
      <w:pPr>
        <w:spacing w:before="0" w:after="0"/>
        <w:ind w:left="1440"/>
        <w:jc w:val="both"/>
        <w:rPr>
          <w:rFonts w:ascii="Cambria Math" w:hAnsi="Cambria Math"/>
          <w:i/>
          <w:sz w:val="18"/>
          <w:szCs w:val="22"/>
        </w:rPr>
      </w:pPr>
      <m:oMathPara>
        <m:oMathParaPr>
          <m:jc m:val="left"/>
        </m:oMathParaPr>
        <m:oMath>
          <m:sSub>
            <m:sSubPr>
              <m:ctrlPr>
                <w:rPr>
                  <w:rFonts w:ascii="Cambria Math" w:hAnsi="Cambria Math"/>
                  <w:i/>
                  <w:sz w:val="18"/>
                  <w:szCs w:val="22"/>
                </w:rPr>
              </m:ctrlPr>
            </m:sSubPr>
            <m:e>
              <m:r>
                <w:rPr>
                  <w:rFonts w:ascii="Cambria Math" w:hAnsi="Cambria Math"/>
                  <w:sz w:val="18"/>
                  <w:szCs w:val="22"/>
                </w:rPr>
                <m:t>C</m:t>
              </m:r>
            </m:e>
            <m:sub>
              <m:r>
                <w:rPr>
                  <w:rFonts w:ascii="Cambria Math" w:hAnsi="Cambria Math"/>
                  <w:sz w:val="18"/>
                  <w:szCs w:val="22"/>
                </w:rPr>
                <m:t>p</m:t>
              </m:r>
            </m:sub>
          </m:sSub>
          <m:r>
            <w:rPr>
              <w:rFonts w:ascii="Cambria Math" w:hAnsi="Cambria Math"/>
              <w:sz w:val="18"/>
              <w:szCs w:val="22"/>
            </w:rPr>
            <m:t>=Water specific heat at 60 °F</m:t>
          </m:r>
        </m:oMath>
      </m:oMathPara>
    </w:p>
    <w:p w14:paraId="6239B443" w14:textId="55B8769F" w:rsidR="00AD0A81" w:rsidRPr="00FD4F56" w:rsidRDefault="00AD0A81" w:rsidP="003B12C3">
      <w:pPr>
        <w:spacing w:before="0" w:after="0"/>
        <w:ind w:left="1440"/>
        <w:jc w:val="both"/>
        <w:rPr>
          <w:rFonts w:ascii="Cambria Math" w:hAnsi="Cambria Math"/>
          <w:i/>
          <w:sz w:val="18"/>
          <w:szCs w:val="22"/>
        </w:rPr>
      </w:pPr>
      <w:r w:rsidRPr="00FD4F56">
        <w:rPr>
          <w:rFonts w:ascii="Cambria Math" w:hAnsi="Cambria Math"/>
          <w:i/>
          <w:sz w:val="18"/>
          <w:szCs w:val="22"/>
        </w:rPr>
        <w:t>T</w:t>
      </w:r>
      <w:r w:rsidR="00962A47">
        <w:rPr>
          <w:rFonts w:ascii="Cambria Math" w:hAnsi="Cambria Math"/>
          <w:i/>
          <w:sz w:val="18"/>
          <w:szCs w:val="22"/>
          <w:vertAlign w:val="subscript"/>
        </w:rPr>
        <w:t>mixed</w:t>
      </w:r>
      <w:r w:rsidRPr="00FD4F56">
        <w:rPr>
          <w:rFonts w:ascii="Cambria Math" w:hAnsi="Cambria Math"/>
          <w:i/>
          <w:sz w:val="18"/>
          <w:szCs w:val="22"/>
        </w:rPr>
        <w:t xml:space="preserve"> = </w:t>
      </w:r>
      <w:r w:rsidR="00962A47">
        <w:rPr>
          <w:rFonts w:ascii="Cambria Math" w:hAnsi="Cambria Math"/>
          <w:i/>
          <w:sz w:val="18"/>
          <w:szCs w:val="22"/>
        </w:rPr>
        <w:t>Mixed water temperature at</w:t>
      </w:r>
      <w:r w:rsidRPr="00FD4F56">
        <w:rPr>
          <w:rFonts w:ascii="Cambria Math" w:hAnsi="Cambria Math"/>
          <w:i/>
          <w:sz w:val="18"/>
          <w:szCs w:val="22"/>
        </w:rPr>
        <w:t xml:space="preserve"> </w:t>
      </w:r>
      <w:r w:rsidR="00962A47">
        <w:rPr>
          <w:rFonts w:ascii="Cambria Math" w:hAnsi="Cambria Math"/>
          <w:i/>
          <w:sz w:val="18"/>
          <w:szCs w:val="22"/>
        </w:rPr>
        <w:t>s</w:t>
      </w:r>
      <w:r w:rsidRPr="00FD4F56">
        <w:rPr>
          <w:rFonts w:ascii="Cambria Math" w:hAnsi="Cambria Math"/>
          <w:i/>
          <w:sz w:val="18"/>
          <w:szCs w:val="22"/>
        </w:rPr>
        <w:t xml:space="preserve">howerhead </w:t>
      </w:r>
    </w:p>
    <w:p w14:paraId="5AC56A92" w14:textId="2FDAC009" w:rsidR="00AD0A81" w:rsidRPr="00FD4F56" w:rsidRDefault="00AD0A81" w:rsidP="003B12C3">
      <w:pPr>
        <w:spacing w:before="0" w:after="0"/>
        <w:ind w:left="1440"/>
        <w:jc w:val="both"/>
        <w:rPr>
          <w:rFonts w:ascii="Cambria Math" w:hAnsi="Cambria Math"/>
          <w:i/>
          <w:sz w:val="18"/>
          <w:szCs w:val="22"/>
        </w:rPr>
      </w:pPr>
      <w:r w:rsidRPr="00FD4F56">
        <w:rPr>
          <w:rFonts w:ascii="Cambria Math" w:hAnsi="Cambria Math"/>
          <w:i/>
          <w:sz w:val="18"/>
          <w:szCs w:val="22"/>
        </w:rPr>
        <w:lastRenderedPageBreak/>
        <w:t>T</w:t>
      </w:r>
      <w:r w:rsidR="00962A47">
        <w:rPr>
          <w:rFonts w:ascii="Cambria Math" w:hAnsi="Cambria Math"/>
          <w:i/>
          <w:sz w:val="18"/>
          <w:szCs w:val="22"/>
          <w:vertAlign w:val="subscript"/>
        </w:rPr>
        <w:t>ground</w:t>
      </w:r>
      <w:r w:rsidRPr="00FD4F56">
        <w:rPr>
          <w:rFonts w:ascii="Cambria Math" w:hAnsi="Cambria Math"/>
          <w:i/>
          <w:sz w:val="18"/>
          <w:szCs w:val="22"/>
        </w:rPr>
        <w:t xml:space="preserve"> = </w:t>
      </w:r>
      <w:r w:rsidR="00962A47">
        <w:rPr>
          <w:rFonts w:ascii="Cambria Math" w:hAnsi="Cambria Math"/>
          <w:i/>
          <w:sz w:val="18"/>
          <w:szCs w:val="22"/>
        </w:rPr>
        <w:t>Supply water (groundwater)</w:t>
      </w:r>
      <w:r w:rsidRPr="00FD4F56">
        <w:rPr>
          <w:rFonts w:ascii="Cambria Math" w:hAnsi="Cambria Math"/>
          <w:i/>
          <w:sz w:val="18"/>
          <w:szCs w:val="22"/>
        </w:rPr>
        <w:t xml:space="preserve"> </w:t>
      </w:r>
      <w:r w:rsidR="00962A47">
        <w:rPr>
          <w:rFonts w:ascii="Cambria Math" w:hAnsi="Cambria Math"/>
          <w:i/>
          <w:sz w:val="18"/>
          <w:szCs w:val="22"/>
        </w:rPr>
        <w:t>t</w:t>
      </w:r>
      <w:r w:rsidRPr="00FD4F56">
        <w:rPr>
          <w:rFonts w:ascii="Cambria Math" w:hAnsi="Cambria Math"/>
          <w:i/>
          <w:sz w:val="18"/>
          <w:szCs w:val="22"/>
        </w:rPr>
        <w:t xml:space="preserve">emperature </w:t>
      </w:r>
    </w:p>
    <w:p w14:paraId="62964305" w14:textId="2CF7B7E7" w:rsidR="00AD0A81" w:rsidRPr="00FD4F56" w:rsidRDefault="00AD0A81" w:rsidP="003B12C3">
      <w:pPr>
        <w:spacing w:before="0" w:after="0"/>
        <w:ind w:left="1440"/>
        <w:jc w:val="both"/>
        <w:rPr>
          <w:rFonts w:ascii="Cambria Math" w:hAnsi="Cambria Math"/>
          <w:i/>
          <w:sz w:val="18"/>
          <w:szCs w:val="22"/>
        </w:rPr>
      </w:pPr>
      <w:r w:rsidRPr="00FD4F56">
        <w:rPr>
          <w:rFonts w:ascii="Cambria Math" w:hAnsi="Cambria Math"/>
          <w:i/>
          <w:sz w:val="18"/>
          <w:szCs w:val="22"/>
        </w:rPr>
        <w:t>RE</w:t>
      </w:r>
      <w:r w:rsidRPr="00FD4F56">
        <w:rPr>
          <w:rFonts w:ascii="Cambria Math" w:hAnsi="Cambria Math"/>
          <w:i/>
          <w:sz w:val="18"/>
          <w:szCs w:val="22"/>
          <w:vertAlign w:val="subscript"/>
        </w:rPr>
        <w:t>Gas</w:t>
      </w:r>
      <w:r w:rsidRPr="00FD4F56">
        <w:rPr>
          <w:rFonts w:ascii="Cambria Math" w:hAnsi="Cambria Math"/>
          <w:i/>
          <w:sz w:val="18"/>
          <w:szCs w:val="22"/>
        </w:rPr>
        <w:t xml:space="preserve"> = Recovery </w:t>
      </w:r>
      <w:r w:rsidR="003B12C3">
        <w:rPr>
          <w:rFonts w:ascii="Cambria Math" w:hAnsi="Cambria Math"/>
          <w:i/>
          <w:sz w:val="18"/>
          <w:szCs w:val="22"/>
        </w:rPr>
        <w:t>e</w:t>
      </w:r>
      <w:r w:rsidRPr="00FD4F56">
        <w:rPr>
          <w:rFonts w:ascii="Cambria Math" w:hAnsi="Cambria Math"/>
          <w:i/>
          <w:sz w:val="18"/>
          <w:szCs w:val="22"/>
        </w:rPr>
        <w:t xml:space="preserve">fficiency </w:t>
      </w:r>
    </w:p>
    <w:p w14:paraId="39960ACE" w14:textId="37C96DC7" w:rsidR="00AD0A81" w:rsidRPr="00FD4F56" w:rsidRDefault="00D8402E" w:rsidP="003B12C3">
      <w:pPr>
        <w:spacing w:before="0" w:after="0"/>
        <w:ind w:left="1440"/>
        <w:jc w:val="both"/>
        <w:rPr>
          <w:rFonts w:ascii="Cambria Math" w:hAnsi="Cambria Math"/>
          <w:i/>
          <w:sz w:val="18"/>
          <w:szCs w:val="22"/>
        </w:rPr>
      </w:pPr>
      <m:oMathPara>
        <m:oMathParaPr>
          <m:jc m:val="left"/>
        </m:oMathParaPr>
        <m:oMath>
          <m:sSub>
            <m:sSubPr>
              <m:ctrlPr>
                <w:rPr>
                  <w:rFonts w:ascii="Cambria Math" w:hAnsi="Cambria Math"/>
                  <w:i/>
                  <w:sz w:val="18"/>
                  <w:szCs w:val="22"/>
                </w:rPr>
              </m:ctrlPr>
            </m:sSubPr>
            <m:e>
              <m:r>
                <w:rPr>
                  <w:rFonts w:ascii="Cambria Math" w:hAnsi="Cambria Math"/>
                  <w:sz w:val="18"/>
                  <w:szCs w:val="22"/>
                </w:rPr>
                <m:t>C</m:t>
              </m:r>
            </m:e>
            <m:sub>
              <m:r>
                <w:rPr>
                  <w:rFonts w:ascii="Cambria Math" w:hAnsi="Cambria Math"/>
                  <w:sz w:val="18"/>
                  <w:szCs w:val="22"/>
                </w:rPr>
                <m:t>volume</m:t>
              </m:r>
            </m:sub>
          </m:sSub>
          <m:r>
            <w:rPr>
              <w:rFonts w:ascii="Cambria Math" w:hAnsi="Cambria Math"/>
              <w:sz w:val="18"/>
              <w:szCs w:val="22"/>
            </w:rPr>
            <m:t>=Gallons to cubic feet Conversion</m:t>
          </m:r>
        </m:oMath>
      </m:oMathPara>
    </w:p>
    <w:p w14:paraId="6AEBBF71" w14:textId="77777777" w:rsidR="003B12C3" w:rsidRDefault="003B12C3" w:rsidP="006A0BFE">
      <w:pPr>
        <w:rPr>
          <w:highlight w:val="yellow"/>
        </w:rPr>
      </w:pPr>
    </w:p>
    <w:p w14:paraId="325BDF48" w14:textId="77777777" w:rsidR="00081E6E" w:rsidRDefault="00081E6E" w:rsidP="00081E6E">
      <w:r>
        <w:t>Savings for installations in a double-wide m</w:t>
      </w:r>
      <w:r w:rsidRPr="00523A43">
        <w:t xml:space="preserve">obile home </w:t>
      </w:r>
      <w:r>
        <w:t>residence</w:t>
      </w:r>
      <w:r w:rsidRPr="00523A43">
        <w:t xml:space="preserve"> are assumed to equal </w:t>
      </w:r>
      <w:r>
        <w:t xml:space="preserve">the savings derived for installation in a </w:t>
      </w:r>
      <w:r w:rsidRPr="00523A43">
        <w:t xml:space="preserve">multifamily </w:t>
      </w:r>
      <w:r>
        <w:t>residence and</w:t>
      </w:r>
      <w:r w:rsidRPr="00523A43">
        <w:t xml:space="preserve"> will not have a separate energy impact profile.</w:t>
      </w:r>
    </w:p>
    <w:p w14:paraId="4AC86F5D" w14:textId="77777777" w:rsidR="00523A43" w:rsidRDefault="00523A43" w:rsidP="00177EB6"/>
    <w:p w14:paraId="2300E968" w14:textId="3874F086" w:rsidR="00594F7A" w:rsidRDefault="00594F7A" w:rsidP="00594F7A">
      <w:pPr>
        <w:pStyle w:val="eTRMHeading4"/>
      </w:pPr>
      <w:r>
        <w:t>Inputs and Assumptions</w:t>
      </w:r>
    </w:p>
    <w:p w14:paraId="0905A941" w14:textId="3FCA131C" w:rsidR="00633CF2" w:rsidRDefault="00633CF2" w:rsidP="00633CF2">
      <w:pPr>
        <w:pStyle w:val="eTRMHeading5"/>
      </w:pPr>
      <w:r>
        <w:t>Water Usage and Water Savings Inputs</w:t>
      </w:r>
    </w:p>
    <w:p w14:paraId="7506FA3E" w14:textId="3BC17DD8" w:rsidR="00594F7A" w:rsidRDefault="00594F7A" w:rsidP="00594F7A">
      <w:r>
        <w:t xml:space="preserve">The table below </w:t>
      </w:r>
      <w:r w:rsidR="0035267B">
        <w:t>specifies</w:t>
      </w:r>
      <w:r>
        <w:t xml:space="preserve"> the baseline assumptions and all inputs for the </w:t>
      </w:r>
      <w:r w:rsidR="00633CF2">
        <w:t>water usage and water savings</w:t>
      </w:r>
      <w:r>
        <w:t xml:space="preserve"> calculation</w:t>
      </w:r>
      <w:r w:rsidR="00633CF2">
        <w:t>s</w:t>
      </w:r>
      <w:r w:rsidR="0035267B">
        <w:t>; brief explanations of each follow this table.</w:t>
      </w:r>
    </w:p>
    <w:p w14:paraId="3C071321" w14:textId="58F77250" w:rsidR="00586A76" w:rsidRDefault="00035934" w:rsidP="00586A76">
      <w:pPr>
        <w:pStyle w:val="Caption"/>
      </w:pPr>
      <w:r>
        <w:t xml:space="preserve">Water </w:t>
      </w:r>
      <w:r w:rsidR="00633CF2">
        <w:t xml:space="preserve">Usage and Water </w:t>
      </w:r>
      <w:r>
        <w:t>Savings Inputs</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80"/>
        <w:gridCol w:w="2610"/>
        <w:gridCol w:w="1440"/>
        <w:gridCol w:w="4225"/>
      </w:tblGrid>
      <w:tr w:rsidR="004A36E7" w:rsidRPr="00E57C24" w14:paraId="4B2D3653" w14:textId="77777777" w:rsidTr="0079426C">
        <w:trPr>
          <w:cantSplit/>
          <w:trHeight w:val="305"/>
          <w:tblHeader/>
        </w:trPr>
        <w:tc>
          <w:tcPr>
            <w:tcW w:w="1080" w:type="dxa"/>
            <w:shd w:val="clear" w:color="auto" w:fill="F2F2F2" w:themeFill="background1" w:themeFillShade="F2"/>
          </w:tcPr>
          <w:p w14:paraId="39E2D53D" w14:textId="0990523A" w:rsidR="004A36E7" w:rsidRDefault="004A36E7" w:rsidP="00586A76">
            <w:pPr>
              <w:spacing w:before="0" w:after="0"/>
              <w:rPr>
                <w:rFonts w:cs="Calibri Light"/>
                <w:b/>
                <w:color w:val="000000"/>
                <w:sz w:val="20"/>
                <w:szCs w:val="22"/>
              </w:rPr>
            </w:pPr>
            <w:r>
              <w:rPr>
                <w:rFonts w:cs="Calibri Light"/>
                <w:b/>
                <w:color w:val="000000"/>
                <w:sz w:val="20"/>
                <w:szCs w:val="22"/>
              </w:rPr>
              <w:t>Variable</w:t>
            </w:r>
          </w:p>
        </w:tc>
        <w:tc>
          <w:tcPr>
            <w:tcW w:w="2610" w:type="dxa"/>
            <w:shd w:val="clear" w:color="auto" w:fill="F2F2F2" w:themeFill="background1" w:themeFillShade="F2"/>
          </w:tcPr>
          <w:p w14:paraId="71C3F761" w14:textId="1DAE1185" w:rsidR="004A36E7" w:rsidRPr="00E57C24" w:rsidRDefault="004A36E7" w:rsidP="00586A76">
            <w:pPr>
              <w:spacing w:before="0" w:after="0"/>
              <w:rPr>
                <w:rFonts w:cs="Calibri Light"/>
                <w:b/>
                <w:color w:val="000000"/>
                <w:sz w:val="20"/>
                <w:szCs w:val="22"/>
              </w:rPr>
            </w:pPr>
            <w:r>
              <w:rPr>
                <w:rFonts w:cs="Calibri Light"/>
                <w:b/>
                <w:color w:val="000000"/>
                <w:sz w:val="20"/>
                <w:szCs w:val="22"/>
              </w:rPr>
              <w:t>Parameter</w:t>
            </w:r>
          </w:p>
        </w:tc>
        <w:tc>
          <w:tcPr>
            <w:tcW w:w="1440" w:type="dxa"/>
            <w:shd w:val="clear" w:color="auto" w:fill="F2F2F2" w:themeFill="background1" w:themeFillShade="F2"/>
          </w:tcPr>
          <w:p w14:paraId="05F64891" w14:textId="346FF425" w:rsidR="004A36E7" w:rsidRPr="00E57C24" w:rsidRDefault="004A36E7" w:rsidP="00586A76">
            <w:pPr>
              <w:spacing w:before="0" w:after="0"/>
              <w:jc w:val="center"/>
              <w:rPr>
                <w:rFonts w:cs="Calibri Light"/>
                <w:b/>
                <w:color w:val="000000"/>
                <w:sz w:val="20"/>
                <w:szCs w:val="22"/>
              </w:rPr>
            </w:pPr>
            <w:r>
              <w:rPr>
                <w:rFonts w:cs="Calibri Light"/>
                <w:b/>
                <w:color w:val="000000"/>
                <w:sz w:val="20"/>
                <w:szCs w:val="22"/>
              </w:rPr>
              <w:t>Value</w:t>
            </w:r>
          </w:p>
        </w:tc>
        <w:tc>
          <w:tcPr>
            <w:tcW w:w="4225" w:type="dxa"/>
            <w:shd w:val="clear" w:color="auto" w:fill="F2F2F2" w:themeFill="background1" w:themeFillShade="F2"/>
          </w:tcPr>
          <w:p w14:paraId="544A8DC2" w14:textId="4DDE9263" w:rsidR="004A36E7" w:rsidRPr="00F947BF" w:rsidRDefault="004A36E7" w:rsidP="00586A76">
            <w:pPr>
              <w:spacing w:before="0" w:after="0"/>
              <w:rPr>
                <w:rFonts w:cs="Calibri Light"/>
                <w:b/>
                <w:color w:val="000000"/>
                <w:szCs w:val="18"/>
              </w:rPr>
            </w:pPr>
            <w:r w:rsidRPr="00F947BF">
              <w:rPr>
                <w:rFonts w:cs="Calibri Light"/>
                <w:b/>
                <w:color w:val="000000"/>
                <w:szCs w:val="18"/>
              </w:rPr>
              <w:t>Source</w:t>
            </w:r>
          </w:p>
        </w:tc>
      </w:tr>
      <w:tr w:rsidR="004A36E7" w:rsidRPr="00DA0D57" w14:paraId="75725596" w14:textId="77777777" w:rsidTr="0079426C">
        <w:trPr>
          <w:cantSplit/>
        </w:trPr>
        <w:tc>
          <w:tcPr>
            <w:tcW w:w="1080" w:type="dxa"/>
            <w:vAlign w:val="center"/>
          </w:tcPr>
          <w:p w14:paraId="09D94308" w14:textId="529C29CA"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ShFr</w:t>
            </w:r>
          </w:p>
        </w:tc>
        <w:tc>
          <w:tcPr>
            <w:tcW w:w="2610" w:type="dxa"/>
            <w:vAlign w:val="center"/>
          </w:tcPr>
          <w:p w14:paraId="2089E8BE" w14:textId="4E1B56AE" w:rsidR="004A36E7" w:rsidRPr="00586A76" w:rsidRDefault="004A36E7" w:rsidP="00586A76">
            <w:pPr>
              <w:spacing w:before="0" w:after="0"/>
              <w:rPr>
                <w:rFonts w:cs="Calibri Light"/>
                <w:color w:val="000000"/>
                <w:sz w:val="20"/>
                <w:szCs w:val="20"/>
              </w:rPr>
            </w:pPr>
            <w:r w:rsidRPr="00586A76">
              <w:rPr>
                <w:rFonts w:cs="Calibri Light"/>
                <w:color w:val="000000"/>
                <w:sz w:val="20"/>
                <w:szCs w:val="20"/>
              </w:rPr>
              <w:t>Showerhead flow rate (gpm)</w:t>
            </w:r>
          </w:p>
        </w:tc>
        <w:tc>
          <w:tcPr>
            <w:tcW w:w="1440" w:type="dxa"/>
            <w:vAlign w:val="center"/>
          </w:tcPr>
          <w:p w14:paraId="65B28BA6" w14:textId="14B80681" w:rsidR="004A36E7" w:rsidRPr="00586A76" w:rsidRDefault="004A36E7" w:rsidP="00586A76">
            <w:pPr>
              <w:spacing w:before="0" w:after="0"/>
              <w:jc w:val="center"/>
              <w:rPr>
                <w:rFonts w:cs="Calibri Light"/>
                <w:color w:val="000000"/>
                <w:sz w:val="20"/>
                <w:szCs w:val="20"/>
              </w:rPr>
            </w:pPr>
            <w:r w:rsidRPr="00586A76">
              <w:rPr>
                <w:rFonts w:cs="Calibri Light"/>
                <w:color w:val="000000"/>
                <w:sz w:val="20"/>
                <w:szCs w:val="20"/>
              </w:rPr>
              <w:t>2.0</w:t>
            </w:r>
          </w:p>
        </w:tc>
        <w:tc>
          <w:tcPr>
            <w:tcW w:w="4225" w:type="dxa"/>
            <w:vAlign w:val="center"/>
          </w:tcPr>
          <w:p w14:paraId="0DA45C37" w14:textId="6948E896" w:rsidR="004A36E7" w:rsidRPr="00F947BF" w:rsidRDefault="004A36E7" w:rsidP="00586A76">
            <w:pPr>
              <w:spacing w:before="0" w:after="0"/>
              <w:rPr>
                <w:rFonts w:cs="Calibri Light"/>
                <w:color w:val="000000"/>
                <w:sz w:val="18"/>
                <w:szCs w:val="18"/>
              </w:rPr>
            </w:pPr>
            <w:r w:rsidRPr="00F947BF">
              <w:rPr>
                <w:sz w:val="18"/>
                <w:szCs w:val="18"/>
              </w:rPr>
              <w:t xml:space="preserve">California Energy Commission (CEC). 2017. </w:t>
            </w:r>
            <w:r w:rsidRPr="00F947BF">
              <w:rPr>
                <w:i/>
                <w:sz w:val="18"/>
                <w:szCs w:val="18"/>
              </w:rPr>
              <w:t>2016 Appliance Efficiency Regulations</w:t>
            </w:r>
            <w:r w:rsidRPr="00F947BF">
              <w:rPr>
                <w:sz w:val="18"/>
                <w:szCs w:val="18"/>
              </w:rPr>
              <w:t xml:space="preserve">. CEC-400-2017-002. </w:t>
            </w:r>
            <w:r w:rsidRPr="00F947BF">
              <w:rPr>
                <w:rFonts w:cs="Calibri Light"/>
                <w:color w:val="000000"/>
                <w:sz w:val="18"/>
                <w:szCs w:val="18"/>
              </w:rPr>
              <w:t>Section 1605.3</w:t>
            </w:r>
          </w:p>
        </w:tc>
      </w:tr>
      <w:tr w:rsidR="004A36E7" w:rsidRPr="00DA0D57" w14:paraId="1DBAC25E" w14:textId="77777777" w:rsidTr="0079426C">
        <w:trPr>
          <w:cantSplit/>
        </w:trPr>
        <w:tc>
          <w:tcPr>
            <w:tcW w:w="1080" w:type="dxa"/>
            <w:vAlign w:val="center"/>
          </w:tcPr>
          <w:p w14:paraId="1DD75018" w14:textId="4B46EF1D"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Tfr</w:t>
            </w:r>
          </w:p>
        </w:tc>
        <w:tc>
          <w:tcPr>
            <w:tcW w:w="2610" w:type="dxa"/>
            <w:vAlign w:val="center"/>
          </w:tcPr>
          <w:p w14:paraId="3E4A50C1" w14:textId="6EED3A02" w:rsidR="004A36E7" w:rsidRPr="00586A76" w:rsidRDefault="004A36E7" w:rsidP="00586A76">
            <w:pPr>
              <w:spacing w:before="0" w:after="0"/>
              <w:rPr>
                <w:rFonts w:cs="Calibri Light"/>
                <w:color w:val="000000"/>
                <w:sz w:val="20"/>
                <w:szCs w:val="20"/>
              </w:rPr>
            </w:pPr>
            <w:r>
              <w:rPr>
                <w:rFonts w:cs="Calibri Light"/>
                <w:color w:val="000000"/>
                <w:sz w:val="20"/>
                <w:szCs w:val="20"/>
              </w:rPr>
              <w:t>Tub spout flow rate (gpm)</w:t>
            </w:r>
          </w:p>
        </w:tc>
        <w:tc>
          <w:tcPr>
            <w:tcW w:w="1440" w:type="dxa"/>
            <w:vAlign w:val="center"/>
          </w:tcPr>
          <w:p w14:paraId="4408E04B" w14:textId="67529980" w:rsidR="004A36E7" w:rsidRPr="00586A76" w:rsidRDefault="004A36E7" w:rsidP="00586A76">
            <w:pPr>
              <w:spacing w:before="0" w:after="0"/>
              <w:jc w:val="center"/>
              <w:rPr>
                <w:rFonts w:cs="Calibri Light"/>
                <w:color w:val="000000"/>
                <w:sz w:val="20"/>
                <w:szCs w:val="20"/>
              </w:rPr>
            </w:pPr>
            <w:r w:rsidRPr="00586A76">
              <w:rPr>
                <w:rFonts w:cs="Calibri Light"/>
                <w:color w:val="000000"/>
                <w:sz w:val="20"/>
                <w:szCs w:val="20"/>
              </w:rPr>
              <w:t>5.0</w:t>
            </w:r>
          </w:p>
        </w:tc>
        <w:tc>
          <w:tcPr>
            <w:tcW w:w="4225" w:type="dxa"/>
            <w:vAlign w:val="center"/>
          </w:tcPr>
          <w:p w14:paraId="23917178" w14:textId="44B2F5BF" w:rsidR="004A36E7" w:rsidRPr="00F947BF" w:rsidRDefault="004A36E7" w:rsidP="00586A76">
            <w:pPr>
              <w:spacing w:before="0" w:after="0"/>
              <w:rPr>
                <w:rFonts w:cs="Calibri Light"/>
                <w:color w:val="000000"/>
                <w:sz w:val="18"/>
                <w:szCs w:val="18"/>
              </w:rPr>
            </w:pPr>
          </w:p>
        </w:tc>
      </w:tr>
      <w:tr w:rsidR="004A36E7" w:rsidRPr="00DA0D57" w14:paraId="1E1EB31D" w14:textId="77777777" w:rsidTr="0079426C">
        <w:trPr>
          <w:cantSplit/>
        </w:trPr>
        <w:tc>
          <w:tcPr>
            <w:tcW w:w="1080" w:type="dxa"/>
            <w:vAlign w:val="center"/>
          </w:tcPr>
          <w:p w14:paraId="7422C542" w14:textId="774AB52B"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SFMDW</w:t>
            </w:r>
          </w:p>
        </w:tc>
        <w:tc>
          <w:tcPr>
            <w:tcW w:w="2610" w:type="dxa"/>
            <w:vAlign w:val="center"/>
          </w:tcPr>
          <w:p w14:paraId="5FD88370" w14:textId="68287BD0" w:rsidR="004A36E7" w:rsidRPr="00586A76" w:rsidRDefault="004A36E7" w:rsidP="00586A76">
            <w:pPr>
              <w:spacing w:before="0" w:after="0"/>
              <w:rPr>
                <w:rFonts w:cs="Calibri Light"/>
                <w:color w:val="000000"/>
                <w:sz w:val="20"/>
                <w:szCs w:val="20"/>
              </w:rPr>
            </w:pPr>
            <w:r>
              <w:rPr>
                <w:rFonts w:cs="Calibri Light"/>
                <w:color w:val="000000"/>
                <w:sz w:val="20"/>
                <w:szCs w:val="20"/>
              </w:rPr>
              <w:t>Mixed daily water usage, showers – single family (gpd)</w:t>
            </w:r>
          </w:p>
        </w:tc>
        <w:tc>
          <w:tcPr>
            <w:tcW w:w="1440" w:type="dxa"/>
            <w:vAlign w:val="center"/>
          </w:tcPr>
          <w:p w14:paraId="10374871" w14:textId="6DB078B2" w:rsidR="004A36E7" w:rsidRPr="00586A76" w:rsidRDefault="004A36E7" w:rsidP="00586A76">
            <w:pPr>
              <w:spacing w:before="0" w:after="0"/>
              <w:jc w:val="center"/>
              <w:rPr>
                <w:rFonts w:cs="Calibri Light"/>
                <w:color w:val="000000"/>
                <w:sz w:val="20"/>
                <w:szCs w:val="20"/>
              </w:rPr>
            </w:pPr>
            <w:r>
              <w:rPr>
                <w:rFonts w:cs="Calibri Light"/>
                <w:color w:val="000000"/>
                <w:sz w:val="20"/>
                <w:szCs w:val="20"/>
              </w:rPr>
              <w:t xml:space="preserve">28.01 </w:t>
            </w:r>
          </w:p>
        </w:tc>
        <w:tc>
          <w:tcPr>
            <w:tcW w:w="4225" w:type="dxa"/>
            <w:vAlign w:val="center"/>
          </w:tcPr>
          <w:p w14:paraId="33E2C7FB" w14:textId="0EE2ABCB" w:rsidR="004A36E7" w:rsidRPr="00F947BF" w:rsidRDefault="004A36E7" w:rsidP="00586A76">
            <w:pPr>
              <w:spacing w:before="0" w:after="0"/>
              <w:rPr>
                <w:rFonts w:cs="Calibri Light"/>
                <w:color w:val="000000"/>
                <w:sz w:val="18"/>
                <w:szCs w:val="18"/>
                <w:highlight w:val="yellow"/>
              </w:rPr>
            </w:pPr>
            <w:r w:rsidRPr="005C385C">
              <w:rPr>
                <w:sz w:val="18"/>
              </w:rPr>
              <w:t xml:space="preserve">California Public Utilities Commission (CPUC), Energy Division. 2013. </w:t>
            </w:r>
            <w:r w:rsidR="009A6C67">
              <w:rPr>
                <w:sz w:val="18"/>
              </w:rPr>
              <w:t>“</w:t>
            </w:r>
            <w:r w:rsidRPr="009A6C67">
              <w:rPr>
                <w:sz w:val="18"/>
              </w:rPr>
              <w:t>Workpaper Disposition for Water Fixtures.</w:t>
            </w:r>
            <w:r w:rsidR="009A6C67">
              <w:rPr>
                <w:sz w:val="18"/>
              </w:rPr>
              <w:t>”</w:t>
            </w:r>
            <w:r w:rsidRPr="005C385C">
              <w:rPr>
                <w:sz w:val="18"/>
              </w:rPr>
              <w:t xml:space="preserve"> February 22.</w:t>
            </w:r>
          </w:p>
        </w:tc>
      </w:tr>
      <w:tr w:rsidR="004A36E7" w:rsidRPr="00DA0D57" w14:paraId="4439B52B" w14:textId="77777777" w:rsidTr="0079426C">
        <w:trPr>
          <w:cantSplit/>
        </w:trPr>
        <w:tc>
          <w:tcPr>
            <w:tcW w:w="1080" w:type="dxa"/>
            <w:vAlign w:val="center"/>
          </w:tcPr>
          <w:p w14:paraId="2C004E38" w14:textId="5908F383"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MFMDW</w:t>
            </w:r>
          </w:p>
        </w:tc>
        <w:tc>
          <w:tcPr>
            <w:tcW w:w="2610" w:type="dxa"/>
            <w:vAlign w:val="center"/>
          </w:tcPr>
          <w:p w14:paraId="1ACA2B97" w14:textId="74F667FD" w:rsidR="004A36E7" w:rsidRPr="00586A76" w:rsidRDefault="004A36E7" w:rsidP="00586A76">
            <w:pPr>
              <w:spacing w:before="0" w:after="0"/>
              <w:rPr>
                <w:rFonts w:cs="Calibri Light"/>
                <w:color w:val="000000"/>
                <w:sz w:val="20"/>
                <w:szCs w:val="20"/>
              </w:rPr>
            </w:pPr>
            <w:r>
              <w:rPr>
                <w:rFonts w:cs="Calibri Light"/>
                <w:color w:val="000000"/>
                <w:sz w:val="20"/>
                <w:szCs w:val="20"/>
              </w:rPr>
              <w:t>Mixed daily water usage, showers – multifamily (gpd)</w:t>
            </w:r>
          </w:p>
        </w:tc>
        <w:tc>
          <w:tcPr>
            <w:tcW w:w="1440" w:type="dxa"/>
            <w:vAlign w:val="center"/>
          </w:tcPr>
          <w:p w14:paraId="58F70157" w14:textId="3286BAA2" w:rsidR="004A36E7" w:rsidRPr="00586A76" w:rsidRDefault="004A36E7" w:rsidP="00586A76">
            <w:pPr>
              <w:spacing w:before="0" w:after="0"/>
              <w:jc w:val="center"/>
              <w:rPr>
                <w:rFonts w:cs="Calibri Light"/>
                <w:color w:val="000000"/>
                <w:sz w:val="20"/>
                <w:szCs w:val="20"/>
              </w:rPr>
            </w:pPr>
            <w:r>
              <w:rPr>
                <w:rFonts w:cs="Calibri Light"/>
                <w:color w:val="000000"/>
                <w:sz w:val="20"/>
                <w:szCs w:val="20"/>
              </w:rPr>
              <w:t>23.34</w:t>
            </w:r>
          </w:p>
        </w:tc>
        <w:tc>
          <w:tcPr>
            <w:tcW w:w="4225" w:type="dxa"/>
            <w:vAlign w:val="center"/>
          </w:tcPr>
          <w:p w14:paraId="16FB5D5F" w14:textId="6747978A" w:rsidR="004A36E7" w:rsidRPr="00F947BF" w:rsidRDefault="004A36E7" w:rsidP="00586A76">
            <w:pPr>
              <w:spacing w:before="0" w:after="0"/>
              <w:rPr>
                <w:rFonts w:cs="Calibri Light"/>
                <w:color w:val="000000"/>
                <w:sz w:val="18"/>
                <w:szCs w:val="18"/>
                <w:highlight w:val="yellow"/>
              </w:rPr>
            </w:pPr>
            <w:r w:rsidRPr="005C385C">
              <w:rPr>
                <w:sz w:val="18"/>
              </w:rPr>
              <w:t xml:space="preserve">California Public Utilities Commission (CPUC), Energy Division. 2013. </w:t>
            </w:r>
            <w:r w:rsidR="009A6C67">
              <w:rPr>
                <w:sz w:val="18"/>
              </w:rPr>
              <w:t>“</w:t>
            </w:r>
            <w:r w:rsidRPr="009A6C67">
              <w:rPr>
                <w:sz w:val="18"/>
              </w:rPr>
              <w:t>Workpaper Disposition for Water Fixtures.</w:t>
            </w:r>
            <w:r w:rsidR="009A6C67">
              <w:rPr>
                <w:sz w:val="18"/>
              </w:rPr>
              <w:t>”</w:t>
            </w:r>
            <w:r w:rsidRPr="005C385C">
              <w:rPr>
                <w:sz w:val="18"/>
              </w:rPr>
              <w:t xml:space="preserve"> February 22.</w:t>
            </w:r>
          </w:p>
        </w:tc>
      </w:tr>
      <w:tr w:rsidR="004A36E7" w:rsidRPr="00DA0D57" w14:paraId="10FCF82D" w14:textId="77777777" w:rsidTr="0079426C">
        <w:trPr>
          <w:cantSplit/>
        </w:trPr>
        <w:tc>
          <w:tcPr>
            <w:tcW w:w="1080" w:type="dxa"/>
            <w:vAlign w:val="center"/>
          </w:tcPr>
          <w:p w14:paraId="11459B94" w14:textId="2853BD6E"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ShWu</w:t>
            </w:r>
          </w:p>
        </w:tc>
        <w:tc>
          <w:tcPr>
            <w:tcW w:w="2610" w:type="dxa"/>
            <w:vAlign w:val="center"/>
          </w:tcPr>
          <w:p w14:paraId="74E7FA2D" w14:textId="22C5972F" w:rsidR="004A36E7" w:rsidRPr="00586A76" w:rsidRDefault="004A36E7" w:rsidP="00586A76">
            <w:pPr>
              <w:spacing w:before="0" w:after="0"/>
              <w:rPr>
                <w:rFonts w:cs="Calibri Light"/>
                <w:color w:val="000000"/>
                <w:sz w:val="20"/>
                <w:szCs w:val="20"/>
              </w:rPr>
            </w:pPr>
            <w:r>
              <w:rPr>
                <w:rFonts w:cs="Calibri Light"/>
                <w:color w:val="000000"/>
                <w:sz w:val="20"/>
                <w:szCs w:val="20"/>
              </w:rPr>
              <w:t>% Showerhead warm-up</w:t>
            </w:r>
          </w:p>
        </w:tc>
        <w:tc>
          <w:tcPr>
            <w:tcW w:w="1440" w:type="dxa"/>
            <w:vAlign w:val="center"/>
          </w:tcPr>
          <w:p w14:paraId="02757C19" w14:textId="370F252A" w:rsidR="004A36E7" w:rsidRPr="00586A76" w:rsidRDefault="004A36E7" w:rsidP="00586A76">
            <w:pPr>
              <w:spacing w:before="0" w:after="0"/>
              <w:jc w:val="center"/>
              <w:rPr>
                <w:rFonts w:cs="Calibri Light"/>
                <w:color w:val="000000"/>
                <w:sz w:val="20"/>
                <w:szCs w:val="20"/>
              </w:rPr>
            </w:pPr>
            <w:r>
              <w:rPr>
                <w:rFonts w:cs="Calibri Light"/>
                <w:color w:val="000000"/>
                <w:sz w:val="20"/>
                <w:szCs w:val="20"/>
              </w:rPr>
              <w:t>60%</w:t>
            </w:r>
          </w:p>
        </w:tc>
        <w:tc>
          <w:tcPr>
            <w:tcW w:w="4225" w:type="dxa"/>
            <w:vAlign w:val="center"/>
          </w:tcPr>
          <w:p w14:paraId="70268659" w14:textId="21D80DE9" w:rsidR="004A36E7" w:rsidRPr="00F947BF" w:rsidRDefault="004A36E7" w:rsidP="00586A76">
            <w:pPr>
              <w:spacing w:before="0" w:after="0"/>
              <w:rPr>
                <w:rFonts w:cs="Calibri Light"/>
                <w:color w:val="000000"/>
                <w:sz w:val="18"/>
                <w:szCs w:val="18"/>
              </w:rPr>
            </w:pPr>
            <w:r w:rsidRPr="00F947BF">
              <w:rPr>
                <w:rFonts w:eastAsia="Times New Roman" w:cs="Calibri Light"/>
                <w:sz w:val="18"/>
                <w:szCs w:val="18"/>
              </w:rPr>
              <w:t xml:space="preserve">Sherman, T. 2014. </w:t>
            </w:r>
            <w:r w:rsidRPr="00F947BF">
              <w:rPr>
                <w:rFonts w:eastAsia="Times New Roman" w:cs="Calibri Light"/>
                <w:i/>
                <w:sz w:val="18"/>
                <w:szCs w:val="18"/>
              </w:rPr>
              <w:t>Disaggregating Residential Shower Warm-Up Waste: An Understanding and Quantification of Behavioral Waste Based On Data From Lawrence Berkeley National Labs.</w:t>
            </w:r>
            <w:r w:rsidRPr="00F947BF">
              <w:rPr>
                <w:rFonts w:eastAsia="Times New Roman" w:cs="Calibri Light"/>
                <w:sz w:val="18"/>
                <w:szCs w:val="18"/>
              </w:rPr>
              <w:t xml:space="preserve"> Scottsdale: AZ. Evolve Technologies, LLC. </w:t>
            </w:r>
            <w:r w:rsidRPr="00F947BF">
              <w:rPr>
                <w:rFonts w:cs="Calibri Light"/>
                <w:color w:val="000000"/>
                <w:sz w:val="18"/>
                <w:szCs w:val="18"/>
              </w:rPr>
              <w:t>p.8</w:t>
            </w:r>
          </w:p>
        </w:tc>
      </w:tr>
      <w:tr w:rsidR="004A36E7" w:rsidRPr="00DA0D57" w14:paraId="2B7DD031" w14:textId="77777777" w:rsidTr="0079426C">
        <w:trPr>
          <w:cantSplit/>
        </w:trPr>
        <w:tc>
          <w:tcPr>
            <w:tcW w:w="1080" w:type="dxa"/>
            <w:vAlign w:val="center"/>
          </w:tcPr>
          <w:p w14:paraId="3A7760A1" w14:textId="2B10FC47"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TsWu</w:t>
            </w:r>
          </w:p>
        </w:tc>
        <w:tc>
          <w:tcPr>
            <w:tcW w:w="2610" w:type="dxa"/>
            <w:vAlign w:val="center"/>
          </w:tcPr>
          <w:p w14:paraId="53C999DB" w14:textId="366E2467" w:rsidR="004A36E7" w:rsidRPr="00586A76" w:rsidRDefault="004A36E7" w:rsidP="00F947BF">
            <w:pPr>
              <w:spacing w:before="0" w:after="0"/>
              <w:rPr>
                <w:rFonts w:cs="Calibri Light"/>
                <w:color w:val="000000"/>
                <w:sz w:val="20"/>
                <w:szCs w:val="20"/>
              </w:rPr>
            </w:pPr>
            <w:r>
              <w:rPr>
                <w:rFonts w:cs="Calibri Light"/>
                <w:color w:val="000000"/>
                <w:sz w:val="20"/>
                <w:szCs w:val="20"/>
              </w:rPr>
              <w:t>% Tub spout warm-up</w:t>
            </w:r>
          </w:p>
        </w:tc>
        <w:tc>
          <w:tcPr>
            <w:tcW w:w="1440" w:type="dxa"/>
            <w:vAlign w:val="center"/>
          </w:tcPr>
          <w:p w14:paraId="782059A5" w14:textId="4543A9B2" w:rsidR="004A36E7" w:rsidRPr="00586A76" w:rsidRDefault="004A36E7" w:rsidP="00F947BF">
            <w:pPr>
              <w:spacing w:before="0" w:after="0"/>
              <w:jc w:val="center"/>
              <w:rPr>
                <w:rFonts w:cs="Calibri Light"/>
                <w:color w:val="000000"/>
                <w:sz w:val="20"/>
                <w:szCs w:val="20"/>
              </w:rPr>
            </w:pPr>
            <w:r>
              <w:rPr>
                <w:rFonts w:cs="Calibri Light"/>
                <w:color w:val="000000"/>
                <w:sz w:val="20"/>
                <w:szCs w:val="20"/>
              </w:rPr>
              <w:t>40%</w:t>
            </w:r>
          </w:p>
        </w:tc>
        <w:tc>
          <w:tcPr>
            <w:tcW w:w="4225" w:type="dxa"/>
            <w:vAlign w:val="center"/>
          </w:tcPr>
          <w:p w14:paraId="0C1C0F26" w14:textId="7E9121CD" w:rsidR="004A36E7" w:rsidRPr="00F947BF" w:rsidRDefault="004A36E7" w:rsidP="00F947BF">
            <w:pPr>
              <w:spacing w:before="0" w:after="0"/>
              <w:rPr>
                <w:rFonts w:cs="Calibri Light"/>
                <w:color w:val="000000"/>
                <w:sz w:val="18"/>
                <w:szCs w:val="18"/>
              </w:rPr>
            </w:pPr>
            <w:r w:rsidRPr="00F947BF">
              <w:rPr>
                <w:rFonts w:eastAsia="Times New Roman" w:cs="Calibri Light"/>
                <w:sz w:val="18"/>
                <w:szCs w:val="18"/>
              </w:rPr>
              <w:t xml:space="preserve">Sherman, T. 2014. </w:t>
            </w:r>
            <w:r w:rsidRPr="00F947BF">
              <w:rPr>
                <w:rFonts w:eastAsia="Times New Roman" w:cs="Calibri Light"/>
                <w:i/>
                <w:sz w:val="18"/>
                <w:szCs w:val="18"/>
              </w:rPr>
              <w:t>Disaggregating Residential Shower Warm-Up Waste: An Understanding and Quantification of Behavioral Waste Based On Data From Lawrence Berkeley National Labs.</w:t>
            </w:r>
            <w:r w:rsidRPr="00F947BF">
              <w:rPr>
                <w:rFonts w:eastAsia="Times New Roman" w:cs="Calibri Light"/>
                <w:sz w:val="18"/>
                <w:szCs w:val="18"/>
              </w:rPr>
              <w:t xml:space="preserve"> Scottsdale: AZ. Evolve Technologies, LLC. </w:t>
            </w:r>
            <w:r w:rsidRPr="00F947BF">
              <w:rPr>
                <w:rFonts w:cs="Calibri Light"/>
                <w:color w:val="000000"/>
                <w:sz w:val="18"/>
                <w:szCs w:val="18"/>
              </w:rPr>
              <w:t>p.5</w:t>
            </w:r>
          </w:p>
        </w:tc>
      </w:tr>
      <w:tr w:rsidR="004A36E7" w:rsidRPr="00DA0D57" w14:paraId="6F79C263" w14:textId="77777777" w:rsidTr="0079426C">
        <w:trPr>
          <w:cantSplit/>
        </w:trPr>
        <w:tc>
          <w:tcPr>
            <w:tcW w:w="1080" w:type="dxa"/>
            <w:vAlign w:val="center"/>
          </w:tcPr>
          <w:p w14:paraId="1E051CC7" w14:textId="4BDCF1B3"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SP</w:t>
            </w:r>
          </w:p>
        </w:tc>
        <w:tc>
          <w:tcPr>
            <w:tcW w:w="2610" w:type="dxa"/>
            <w:vAlign w:val="center"/>
          </w:tcPr>
          <w:p w14:paraId="20BF455A" w14:textId="10C2D8D5" w:rsidR="004A36E7" w:rsidRPr="00586A76" w:rsidRDefault="004A36E7" w:rsidP="00F947BF">
            <w:pPr>
              <w:spacing w:before="0" w:after="0"/>
              <w:rPr>
                <w:rFonts w:cs="Calibri Light"/>
                <w:color w:val="000000"/>
                <w:sz w:val="20"/>
                <w:szCs w:val="20"/>
              </w:rPr>
            </w:pPr>
            <w:r>
              <w:rPr>
                <w:rFonts w:cs="Calibri Light"/>
                <w:color w:val="000000"/>
                <w:sz w:val="20"/>
                <w:szCs w:val="20"/>
              </w:rPr>
              <w:t xml:space="preserve">Showerhead warm-up pipe water purged </w:t>
            </w:r>
          </w:p>
        </w:tc>
        <w:tc>
          <w:tcPr>
            <w:tcW w:w="1440" w:type="dxa"/>
            <w:vAlign w:val="center"/>
          </w:tcPr>
          <w:p w14:paraId="64D43FD2" w14:textId="363FAB08" w:rsidR="004A36E7" w:rsidRPr="00586A76" w:rsidRDefault="004A36E7" w:rsidP="00F947BF">
            <w:pPr>
              <w:spacing w:before="0" w:after="0"/>
              <w:jc w:val="center"/>
              <w:rPr>
                <w:rFonts w:cs="Calibri Light"/>
                <w:color w:val="000000"/>
                <w:sz w:val="20"/>
                <w:szCs w:val="20"/>
              </w:rPr>
            </w:pPr>
            <w:r>
              <w:rPr>
                <w:rFonts w:cs="Calibri Light"/>
                <w:color w:val="000000"/>
                <w:sz w:val="20"/>
                <w:szCs w:val="20"/>
              </w:rPr>
              <w:t>130%</w:t>
            </w:r>
          </w:p>
        </w:tc>
        <w:tc>
          <w:tcPr>
            <w:tcW w:w="4225" w:type="dxa"/>
            <w:vAlign w:val="center"/>
          </w:tcPr>
          <w:p w14:paraId="3DA148FC" w14:textId="4E0AE126" w:rsidR="004A36E7" w:rsidRPr="00AF2D3B" w:rsidRDefault="004A36E7" w:rsidP="00F947BF">
            <w:pPr>
              <w:spacing w:before="0" w:after="0"/>
              <w:rPr>
                <w:rFonts w:cs="Calibri Light"/>
                <w:color w:val="000000"/>
                <w:sz w:val="18"/>
                <w:szCs w:val="18"/>
                <w:highlight w:val="yellow"/>
              </w:rPr>
            </w:pPr>
            <w:r w:rsidRPr="00AF2D3B">
              <w:rPr>
                <w:noProof/>
                <w:sz w:val="18"/>
              </w:rPr>
              <w:t xml:space="preserve">Koeller, J., and G. Klein. 2007. </w:t>
            </w:r>
            <w:r w:rsidRPr="00AF2D3B">
              <w:rPr>
                <w:i/>
                <w:iCs/>
                <w:noProof/>
                <w:sz w:val="18"/>
              </w:rPr>
              <w:t>Evaluation of Potential Best Managment Practices - Residential Hot Water Distribution.</w:t>
            </w:r>
            <w:r w:rsidRPr="00AF2D3B">
              <w:rPr>
                <w:noProof/>
                <w:sz w:val="18"/>
              </w:rPr>
              <w:t xml:space="preserve"> Sacramento, Ca: California Urban Water Conservation Council. P.44-45.</w:t>
            </w:r>
          </w:p>
        </w:tc>
      </w:tr>
      <w:tr w:rsidR="004A36E7" w:rsidRPr="00DA0D57" w14:paraId="70536BBD" w14:textId="77777777" w:rsidTr="0079426C">
        <w:trPr>
          <w:cantSplit/>
        </w:trPr>
        <w:tc>
          <w:tcPr>
            <w:tcW w:w="1080" w:type="dxa"/>
            <w:vAlign w:val="center"/>
          </w:tcPr>
          <w:p w14:paraId="05D2DB30" w14:textId="7A16760F"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TsWuPWt</w:t>
            </w:r>
          </w:p>
        </w:tc>
        <w:tc>
          <w:tcPr>
            <w:tcW w:w="2610" w:type="dxa"/>
            <w:vAlign w:val="center"/>
          </w:tcPr>
          <w:p w14:paraId="33B85508" w14:textId="452DB704" w:rsidR="004A36E7" w:rsidRDefault="004A36E7" w:rsidP="00AF2D3B">
            <w:pPr>
              <w:spacing w:before="0" w:after="0"/>
              <w:rPr>
                <w:rFonts w:cs="Calibri Light"/>
                <w:color w:val="000000"/>
                <w:sz w:val="20"/>
                <w:szCs w:val="20"/>
              </w:rPr>
            </w:pPr>
            <w:r>
              <w:rPr>
                <w:rFonts w:cs="Calibri Light"/>
                <w:color w:val="000000"/>
                <w:sz w:val="20"/>
                <w:szCs w:val="20"/>
              </w:rPr>
              <w:t>Tub spout warm-up pipe water purged</w:t>
            </w:r>
          </w:p>
        </w:tc>
        <w:tc>
          <w:tcPr>
            <w:tcW w:w="1440" w:type="dxa"/>
            <w:vAlign w:val="center"/>
          </w:tcPr>
          <w:p w14:paraId="41A2E4E7" w14:textId="3B19019E" w:rsidR="004A36E7" w:rsidRDefault="004A36E7" w:rsidP="00AF2D3B">
            <w:pPr>
              <w:spacing w:before="0" w:after="0"/>
              <w:jc w:val="center"/>
              <w:rPr>
                <w:rFonts w:cs="Calibri Light"/>
                <w:color w:val="000000"/>
                <w:sz w:val="20"/>
                <w:szCs w:val="20"/>
              </w:rPr>
            </w:pPr>
            <w:r>
              <w:rPr>
                <w:rFonts w:cs="Calibri Light"/>
                <w:color w:val="000000"/>
                <w:sz w:val="20"/>
                <w:szCs w:val="20"/>
              </w:rPr>
              <w:t>106%</w:t>
            </w:r>
          </w:p>
        </w:tc>
        <w:tc>
          <w:tcPr>
            <w:tcW w:w="4225" w:type="dxa"/>
            <w:vAlign w:val="center"/>
          </w:tcPr>
          <w:p w14:paraId="21345952" w14:textId="279487FB" w:rsidR="004A36E7" w:rsidRPr="00AF2D3B" w:rsidRDefault="004A36E7" w:rsidP="00AF2D3B">
            <w:pPr>
              <w:spacing w:before="0" w:after="0"/>
              <w:rPr>
                <w:rFonts w:cs="Calibri Light"/>
                <w:color w:val="000000"/>
                <w:sz w:val="18"/>
                <w:szCs w:val="18"/>
                <w:highlight w:val="yellow"/>
              </w:rPr>
            </w:pPr>
            <w:r w:rsidRPr="00AF2D3B">
              <w:rPr>
                <w:noProof/>
                <w:sz w:val="18"/>
              </w:rPr>
              <w:t xml:space="preserve">Koeller, J., and G. Klein. 2007. </w:t>
            </w:r>
            <w:r w:rsidRPr="00AF2D3B">
              <w:rPr>
                <w:i/>
                <w:iCs/>
                <w:noProof/>
                <w:sz w:val="18"/>
              </w:rPr>
              <w:t>Evaluation of Potential Best Managment Practices - Residential Hot Water Distribution.</w:t>
            </w:r>
            <w:r w:rsidRPr="00AF2D3B">
              <w:rPr>
                <w:noProof/>
                <w:sz w:val="18"/>
              </w:rPr>
              <w:t xml:space="preserve"> Sacramento, Ca: California Urban Water Conservation Council. P.44-45.</w:t>
            </w:r>
          </w:p>
        </w:tc>
      </w:tr>
      <w:tr w:rsidR="004A36E7" w:rsidRPr="00DA0D57" w14:paraId="4F1EB174" w14:textId="77777777" w:rsidTr="0079426C">
        <w:trPr>
          <w:cantSplit/>
        </w:trPr>
        <w:tc>
          <w:tcPr>
            <w:tcW w:w="1080" w:type="dxa"/>
            <w:vAlign w:val="center"/>
          </w:tcPr>
          <w:p w14:paraId="0B308AA5" w14:textId="74024C0C"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BWt</w:t>
            </w:r>
          </w:p>
        </w:tc>
        <w:tc>
          <w:tcPr>
            <w:tcW w:w="2610" w:type="dxa"/>
            <w:vAlign w:val="center"/>
          </w:tcPr>
          <w:p w14:paraId="4B592067" w14:textId="6D5A5D2C" w:rsidR="004A36E7" w:rsidRDefault="004A36E7" w:rsidP="00F947BF">
            <w:pPr>
              <w:spacing w:before="0" w:after="0"/>
              <w:rPr>
                <w:rFonts w:cs="Calibri Light"/>
                <w:color w:val="000000"/>
                <w:sz w:val="20"/>
                <w:szCs w:val="20"/>
              </w:rPr>
            </w:pPr>
            <w:r>
              <w:rPr>
                <w:rFonts w:cs="Calibri Light"/>
                <w:color w:val="000000"/>
                <w:sz w:val="20"/>
                <w:szCs w:val="20"/>
              </w:rPr>
              <w:t>Behavioral waste time (sec/shower))</w:t>
            </w:r>
          </w:p>
        </w:tc>
        <w:tc>
          <w:tcPr>
            <w:tcW w:w="1440" w:type="dxa"/>
            <w:vAlign w:val="center"/>
          </w:tcPr>
          <w:p w14:paraId="353CFB3E" w14:textId="127D0C6C" w:rsidR="004A36E7" w:rsidRDefault="004A36E7" w:rsidP="00F947BF">
            <w:pPr>
              <w:spacing w:before="0" w:after="0"/>
              <w:jc w:val="center"/>
              <w:rPr>
                <w:rFonts w:cs="Calibri Light"/>
                <w:color w:val="000000"/>
                <w:sz w:val="20"/>
                <w:szCs w:val="20"/>
              </w:rPr>
            </w:pPr>
            <w:r>
              <w:rPr>
                <w:rFonts w:cs="Calibri Light"/>
                <w:color w:val="000000"/>
                <w:sz w:val="20"/>
                <w:szCs w:val="20"/>
              </w:rPr>
              <w:t>47</w:t>
            </w:r>
          </w:p>
        </w:tc>
        <w:tc>
          <w:tcPr>
            <w:tcW w:w="4225" w:type="dxa"/>
            <w:vAlign w:val="center"/>
          </w:tcPr>
          <w:p w14:paraId="7F7F3B9B" w14:textId="0A722941" w:rsidR="004A36E7" w:rsidRPr="00F947BF" w:rsidRDefault="004A36E7" w:rsidP="00F947BF">
            <w:pPr>
              <w:spacing w:before="0" w:after="0"/>
              <w:rPr>
                <w:rFonts w:cs="Calibri Light"/>
                <w:color w:val="000000"/>
                <w:sz w:val="18"/>
                <w:szCs w:val="18"/>
              </w:rPr>
            </w:pPr>
            <w:r w:rsidRPr="00F947BF">
              <w:rPr>
                <w:rFonts w:eastAsia="Times New Roman" w:cs="Calibri Light"/>
                <w:sz w:val="18"/>
                <w:szCs w:val="18"/>
              </w:rPr>
              <w:t xml:space="preserve">Sherman, T. 2014. </w:t>
            </w:r>
            <w:r w:rsidRPr="00F947BF">
              <w:rPr>
                <w:rFonts w:eastAsia="Times New Roman" w:cs="Calibri Light"/>
                <w:i/>
                <w:sz w:val="18"/>
                <w:szCs w:val="18"/>
              </w:rPr>
              <w:t>Disaggregating Residential Shower Warm-Up Waste: An Understanding and Quantification of Behavioral Waste Based On Data From Lawrence Berkeley National Labs.</w:t>
            </w:r>
            <w:r w:rsidRPr="00F947BF">
              <w:rPr>
                <w:rFonts w:eastAsia="Times New Roman" w:cs="Calibri Light"/>
                <w:sz w:val="18"/>
                <w:szCs w:val="18"/>
              </w:rPr>
              <w:t xml:space="preserve"> Scottsdale: AZ. Evolve Technologies, LLC. </w:t>
            </w:r>
            <w:r w:rsidRPr="00F947BF">
              <w:rPr>
                <w:rFonts w:cs="Calibri Light"/>
                <w:color w:val="000000"/>
                <w:sz w:val="18"/>
                <w:szCs w:val="18"/>
              </w:rPr>
              <w:t>p11</w:t>
            </w:r>
          </w:p>
        </w:tc>
      </w:tr>
      <w:tr w:rsidR="004A36E7" w:rsidRPr="00DA0D57" w14:paraId="0A55E4F8" w14:textId="77777777" w:rsidTr="0079426C">
        <w:trPr>
          <w:cantSplit/>
        </w:trPr>
        <w:tc>
          <w:tcPr>
            <w:tcW w:w="1080" w:type="dxa"/>
            <w:vAlign w:val="center"/>
          </w:tcPr>
          <w:p w14:paraId="1C127FD6" w14:textId="67322BE7"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lastRenderedPageBreak/>
              <w:t>BWp</w:t>
            </w:r>
          </w:p>
        </w:tc>
        <w:tc>
          <w:tcPr>
            <w:tcW w:w="2610" w:type="dxa"/>
            <w:vAlign w:val="center"/>
          </w:tcPr>
          <w:p w14:paraId="678A8AA0" w14:textId="6043975C" w:rsidR="004A36E7" w:rsidRDefault="004A36E7" w:rsidP="00F947BF">
            <w:pPr>
              <w:spacing w:before="0" w:after="0"/>
              <w:rPr>
                <w:rFonts w:cs="Calibri Light"/>
                <w:color w:val="000000"/>
                <w:sz w:val="20"/>
                <w:szCs w:val="20"/>
              </w:rPr>
            </w:pPr>
            <w:r>
              <w:rPr>
                <w:rFonts w:cs="Calibri Light"/>
                <w:color w:val="000000"/>
                <w:sz w:val="20"/>
                <w:szCs w:val="20"/>
              </w:rPr>
              <w:t>Behavioral waste, % of warm up waste</w:t>
            </w:r>
          </w:p>
        </w:tc>
        <w:tc>
          <w:tcPr>
            <w:tcW w:w="1440" w:type="dxa"/>
            <w:vAlign w:val="center"/>
          </w:tcPr>
          <w:p w14:paraId="48F51403" w14:textId="4727ED58" w:rsidR="004A36E7" w:rsidRDefault="004A36E7" w:rsidP="00F947BF">
            <w:pPr>
              <w:spacing w:before="0" w:after="0"/>
              <w:jc w:val="center"/>
              <w:rPr>
                <w:rFonts w:cs="Calibri Light"/>
                <w:color w:val="000000"/>
                <w:sz w:val="20"/>
                <w:szCs w:val="20"/>
              </w:rPr>
            </w:pPr>
            <w:r>
              <w:rPr>
                <w:rFonts w:cs="Calibri Light"/>
                <w:color w:val="000000"/>
                <w:sz w:val="20"/>
                <w:szCs w:val="20"/>
              </w:rPr>
              <w:t>59%</w:t>
            </w:r>
          </w:p>
        </w:tc>
        <w:tc>
          <w:tcPr>
            <w:tcW w:w="4225" w:type="dxa"/>
            <w:vAlign w:val="center"/>
          </w:tcPr>
          <w:p w14:paraId="7D0D828A" w14:textId="5BCF34E6" w:rsidR="004A36E7" w:rsidRPr="00F947BF" w:rsidRDefault="004A36E7" w:rsidP="00F947BF">
            <w:pPr>
              <w:spacing w:before="0" w:after="0"/>
              <w:rPr>
                <w:rFonts w:cs="Calibri Light"/>
                <w:color w:val="000000"/>
                <w:sz w:val="18"/>
                <w:szCs w:val="18"/>
              </w:rPr>
            </w:pPr>
            <w:r w:rsidRPr="00F947BF">
              <w:rPr>
                <w:rFonts w:eastAsia="Times New Roman" w:cs="Calibri Light"/>
                <w:sz w:val="18"/>
                <w:szCs w:val="18"/>
              </w:rPr>
              <w:t xml:space="preserve">Sherman, T. 2014. </w:t>
            </w:r>
            <w:r w:rsidRPr="00F947BF">
              <w:rPr>
                <w:rFonts w:eastAsia="Times New Roman" w:cs="Calibri Light"/>
                <w:i/>
                <w:sz w:val="18"/>
                <w:szCs w:val="18"/>
              </w:rPr>
              <w:t>Disaggregating Residential Shower Warm-Up Waste: An Understanding and Quantification of Behavioral Waste Based On Data From Lawrence Berkeley National Labs.</w:t>
            </w:r>
            <w:r w:rsidRPr="00F947BF">
              <w:rPr>
                <w:rFonts w:eastAsia="Times New Roman" w:cs="Calibri Light"/>
                <w:sz w:val="18"/>
                <w:szCs w:val="18"/>
              </w:rPr>
              <w:t xml:space="preserve"> Scottsdale: AZ. Evolve Technologies, LLC. </w:t>
            </w:r>
            <w:r w:rsidRPr="00F947BF">
              <w:rPr>
                <w:rFonts w:cs="Calibri Light"/>
                <w:color w:val="000000"/>
                <w:sz w:val="18"/>
                <w:szCs w:val="18"/>
              </w:rPr>
              <w:t>p11</w:t>
            </w:r>
          </w:p>
        </w:tc>
      </w:tr>
      <w:tr w:rsidR="004A36E7" w:rsidRPr="00DA0D57" w14:paraId="43045BB6" w14:textId="77777777" w:rsidTr="0079426C">
        <w:trPr>
          <w:cantSplit/>
        </w:trPr>
        <w:tc>
          <w:tcPr>
            <w:tcW w:w="1080" w:type="dxa"/>
            <w:vAlign w:val="center"/>
          </w:tcPr>
          <w:p w14:paraId="1654D630" w14:textId="55B5098E"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TMWu</w:t>
            </w:r>
          </w:p>
        </w:tc>
        <w:tc>
          <w:tcPr>
            <w:tcW w:w="2610" w:type="dxa"/>
            <w:vAlign w:val="center"/>
          </w:tcPr>
          <w:p w14:paraId="1C3DA2E3" w14:textId="0CBEFF4D" w:rsidR="004A36E7" w:rsidRDefault="004A36E7" w:rsidP="00F947BF">
            <w:pPr>
              <w:spacing w:before="0" w:after="0"/>
              <w:rPr>
                <w:rFonts w:cs="Calibri Light"/>
                <w:color w:val="000000"/>
                <w:sz w:val="20"/>
                <w:szCs w:val="20"/>
              </w:rPr>
            </w:pPr>
            <w:r>
              <w:rPr>
                <w:rFonts w:cs="Calibri Light"/>
                <w:color w:val="000000"/>
                <w:sz w:val="20"/>
                <w:szCs w:val="20"/>
              </w:rPr>
              <w:t>Tub multi-tasking warm up (%)</w:t>
            </w:r>
          </w:p>
        </w:tc>
        <w:tc>
          <w:tcPr>
            <w:tcW w:w="1440" w:type="dxa"/>
            <w:vAlign w:val="center"/>
          </w:tcPr>
          <w:p w14:paraId="039E9910" w14:textId="06C6C0B5" w:rsidR="004A36E7" w:rsidRDefault="004A36E7" w:rsidP="00F947BF">
            <w:pPr>
              <w:spacing w:before="0" w:after="0"/>
              <w:jc w:val="center"/>
              <w:rPr>
                <w:rFonts w:cs="Calibri Light"/>
                <w:color w:val="000000"/>
                <w:sz w:val="20"/>
                <w:szCs w:val="20"/>
              </w:rPr>
            </w:pPr>
            <w:r>
              <w:rPr>
                <w:rFonts w:cs="Calibri Light"/>
                <w:color w:val="000000"/>
                <w:sz w:val="20"/>
                <w:szCs w:val="20"/>
              </w:rPr>
              <w:t>58%</w:t>
            </w:r>
          </w:p>
        </w:tc>
        <w:tc>
          <w:tcPr>
            <w:tcW w:w="4225" w:type="dxa"/>
            <w:vAlign w:val="center"/>
          </w:tcPr>
          <w:p w14:paraId="7662AFEF" w14:textId="03861DF9" w:rsidR="004A36E7" w:rsidRPr="00F947BF" w:rsidRDefault="004A36E7" w:rsidP="00F947BF">
            <w:pPr>
              <w:spacing w:before="0" w:after="0"/>
              <w:rPr>
                <w:rFonts w:cs="Calibri Light"/>
                <w:color w:val="000000"/>
                <w:sz w:val="18"/>
                <w:szCs w:val="18"/>
              </w:rPr>
            </w:pPr>
            <w:r w:rsidRPr="00F947BF">
              <w:rPr>
                <w:rFonts w:eastAsia="Times New Roman" w:cs="Calibri Light"/>
                <w:sz w:val="18"/>
                <w:szCs w:val="18"/>
              </w:rPr>
              <w:t xml:space="preserve">Sherman, T. 2014. </w:t>
            </w:r>
            <w:r w:rsidRPr="00F947BF">
              <w:rPr>
                <w:rFonts w:eastAsia="Times New Roman" w:cs="Calibri Light"/>
                <w:i/>
                <w:sz w:val="18"/>
                <w:szCs w:val="18"/>
              </w:rPr>
              <w:t>Disaggregating Residential Shower Warm-Up Waste: An Understanding and Quantification of Behavioral Waste Based On Data From Lawrence Berkeley National Labs.</w:t>
            </w:r>
            <w:r w:rsidRPr="00F947BF">
              <w:rPr>
                <w:rFonts w:eastAsia="Times New Roman" w:cs="Calibri Light"/>
                <w:sz w:val="18"/>
                <w:szCs w:val="18"/>
              </w:rPr>
              <w:t xml:space="preserve"> Scottsdale: AZ. Evolve Technologies, LLC. </w:t>
            </w:r>
            <w:r w:rsidRPr="00F947BF">
              <w:rPr>
                <w:rFonts w:cs="Calibri Light"/>
                <w:color w:val="000000"/>
                <w:sz w:val="18"/>
                <w:szCs w:val="18"/>
              </w:rPr>
              <w:t>p5</w:t>
            </w:r>
          </w:p>
        </w:tc>
      </w:tr>
      <w:tr w:rsidR="004A36E7" w:rsidRPr="00DA0D57" w14:paraId="15489E37" w14:textId="77777777" w:rsidTr="0079426C">
        <w:trPr>
          <w:cantSplit/>
        </w:trPr>
        <w:tc>
          <w:tcPr>
            <w:tcW w:w="1080" w:type="dxa"/>
            <w:vAlign w:val="center"/>
          </w:tcPr>
          <w:p w14:paraId="394C0326" w14:textId="734B70B4"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TsIP</w:t>
            </w:r>
          </w:p>
        </w:tc>
        <w:tc>
          <w:tcPr>
            <w:tcW w:w="2610" w:type="dxa"/>
            <w:vAlign w:val="center"/>
          </w:tcPr>
          <w:p w14:paraId="7DE5E876" w14:textId="4FA99F2B" w:rsidR="004A36E7" w:rsidRDefault="004A36E7" w:rsidP="00F947BF">
            <w:pPr>
              <w:spacing w:before="0" w:after="0"/>
              <w:rPr>
                <w:rFonts w:cs="Calibri Light"/>
                <w:color w:val="000000"/>
                <w:sz w:val="20"/>
                <w:szCs w:val="20"/>
              </w:rPr>
            </w:pPr>
            <w:r>
              <w:rPr>
                <w:rFonts w:cs="Calibri Light"/>
                <w:color w:val="000000"/>
                <w:sz w:val="20"/>
                <w:szCs w:val="20"/>
              </w:rPr>
              <w:t>Tub spout leakage (%)</w:t>
            </w:r>
          </w:p>
        </w:tc>
        <w:tc>
          <w:tcPr>
            <w:tcW w:w="1440" w:type="dxa"/>
            <w:vAlign w:val="center"/>
          </w:tcPr>
          <w:p w14:paraId="7813F382" w14:textId="7B915BA3" w:rsidR="004A36E7" w:rsidRDefault="004A36E7" w:rsidP="00F947BF">
            <w:pPr>
              <w:spacing w:before="0" w:after="0"/>
              <w:jc w:val="center"/>
              <w:rPr>
                <w:rFonts w:cs="Calibri Light"/>
                <w:color w:val="000000"/>
                <w:sz w:val="20"/>
                <w:szCs w:val="20"/>
              </w:rPr>
            </w:pPr>
            <w:r>
              <w:rPr>
                <w:rFonts w:cs="Calibri Light"/>
                <w:color w:val="000000"/>
                <w:sz w:val="20"/>
                <w:szCs w:val="20"/>
              </w:rPr>
              <w:t>34%</w:t>
            </w:r>
          </w:p>
        </w:tc>
        <w:tc>
          <w:tcPr>
            <w:tcW w:w="4225" w:type="dxa"/>
            <w:vAlign w:val="center"/>
          </w:tcPr>
          <w:p w14:paraId="3071B565" w14:textId="450C7B0A" w:rsidR="004A36E7" w:rsidRPr="00AF2D3B" w:rsidRDefault="00CF50FF" w:rsidP="00F947BF">
            <w:pPr>
              <w:spacing w:before="0" w:after="0"/>
              <w:rPr>
                <w:rFonts w:cs="Calibri Light"/>
                <w:color w:val="000000"/>
                <w:sz w:val="18"/>
                <w:szCs w:val="18"/>
                <w:highlight w:val="yellow"/>
              </w:rPr>
            </w:pPr>
            <w:r w:rsidRPr="00CF50FF">
              <w:rPr>
                <w:noProof/>
                <w:sz w:val="18"/>
              </w:rPr>
              <w:t xml:space="preserve">Taitem Engineering. 2011. “Leaking Shower Diverters.” </w:t>
            </w:r>
            <w:r w:rsidRPr="00CF50FF">
              <w:rPr>
                <w:i/>
                <w:noProof/>
                <w:sz w:val="18"/>
              </w:rPr>
              <w:t>Tech Tip, New York State Homes &amp; Community Renewal.</w:t>
            </w:r>
          </w:p>
        </w:tc>
      </w:tr>
      <w:tr w:rsidR="004A36E7" w:rsidRPr="00DA0D57" w14:paraId="07CC57B5" w14:textId="77777777" w:rsidTr="0079426C">
        <w:trPr>
          <w:cantSplit/>
        </w:trPr>
        <w:tc>
          <w:tcPr>
            <w:tcW w:w="1080" w:type="dxa"/>
            <w:vAlign w:val="center"/>
          </w:tcPr>
          <w:p w14:paraId="05BA9009" w14:textId="4131DC51" w:rsidR="004A36E7" w:rsidRPr="007B651C" w:rsidRDefault="004A36E7" w:rsidP="004A36E7">
            <w:pPr>
              <w:spacing w:before="0" w:after="0"/>
              <w:rPr>
                <w:rFonts w:cs="Calibri Light"/>
                <w:i/>
                <w:color w:val="000000"/>
                <w:sz w:val="20"/>
                <w:szCs w:val="20"/>
              </w:rPr>
            </w:pPr>
            <w:r w:rsidRPr="007B651C">
              <w:rPr>
                <w:rFonts w:cs="Calibri Light"/>
                <w:i/>
                <w:color w:val="000000"/>
                <w:sz w:val="20"/>
                <w:szCs w:val="20"/>
              </w:rPr>
              <w:t>TsIR</w:t>
            </w:r>
          </w:p>
        </w:tc>
        <w:tc>
          <w:tcPr>
            <w:tcW w:w="2610" w:type="dxa"/>
            <w:vAlign w:val="center"/>
          </w:tcPr>
          <w:p w14:paraId="27591A7E" w14:textId="34218A11" w:rsidR="004A36E7" w:rsidRDefault="004A36E7" w:rsidP="00F947BF">
            <w:pPr>
              <w:spacing w:before="0" w:after="0"/>
              <w:rPr>
                <w:rFonts w:cs="Calibri Light"/>
                <w:color w:val="000000"/>
                <w:sz w:val="20"/>
                <w:szCs w:val="20"/>
              </w:rPr>
            </w:pPr>
            <w:r>
              <w:rPr>
                <w:rFonts w:cs="Calibri Light"/>
                <w:color w:val="000000"/>
                <w:sz w:val="20"/>
                <w:szCs w:val="20"/>
              </w:rPr>
              <w:t>Tub spout leak rate (gpm)</w:t>
            </w:r>
          </w:p>
        </w:tc>
        <w:tc>
          <w:tcPr>
            <w:tcW w:w="1440" w:type="dxa"/>
            <w:vAlign w:val="center"/>
          </w:tcPr>
          <w:p w14:paraId="205A0D05" w14:textId="0C4B34DD" w:rsidR="004A36E7" w:rsidRDefault="004A36E7" w:rsidP="00F947BF">
            <w:pPr>
              <w:spacing w:before="0" w:after="0"/>
              <w:jc w:val="center"/>
              <w:rPr>
                <w:rFonts w:cs="Calibri Light"/>
                <w:color w:val="000000"/>
                <w:sz w:val="20"/>
                <w:szCs w:val="20"/>
              </w:rPr>
            </w:pPr>
            <w:r>
              <w:rPr>
                <w:rFonts w:cs="Calibri Light"/>
                <w:color w:val="000000"/>
                <w:sz w:val="20"/>
                <w:szCs w:val="20"/>
              </w:rPr>
              <w:t>0.8</w:t>
            </w:r>
          </w:p>
        </w:tc>
        <w:tc>
          <w:tcPr>
            <w:tcW w:w="4225" w:type="dxa"/>
            <w:vAlign w:val="center"/>
          </w:tcPr>
          <w:p w14:paraId="39B249F7" w14:textId="4FCAE2C9" w:rsidR="004A36E7" w:rsidRPr="00AF2D3B" w:rsidRDefault="00CF50FF" w:rsidP="00F947BF">
            <w:pPr>
              <w:spacing w:before="0" w:after="0"/>
              <w:rPr>
                <w:rFonts w:cs="Calibri Light"/>
                <w:color w:val="000000"/>
                <w:sz w:val="18"/>
                <w:szCs w:val="18"/>
                <w:highlight w:val="yellow"/>
              </w:rPr>
            </w:pPr>
            <w:r w:rsidRPr="00CF50FF">
              <w:rPr>
                <w:noProof/>
                <w:sz w:val="18"/>
              </w:rPr>
              <w:t xml:space="preserve">Taitem Engineering. 2011. “Leaking Shower Diverters.” </w:t>
            </w:r>
            <w:r w:rsidRPr="00CF50FF">
              <w:rPr>
                <w:i/>
                <w:noProof/>
                <w:sz w:val="18"/>
              </w:rPr>
              <w:t>Tech Tip, New York State Homes &amp; Community Renewal.</w:t>
            </w:r>
          </w:p>
        </w:tc>
      </w:tr>
      <w:tr w:rsidR="004A36E7" w:rsidRPr="00DA0D57" w14:paraId="09F7E62E" w14:textId="77777777" w:rsidTr="0079426C">
        <w:trPr>
          <w:cantSplit/>
        </w:trPr>
        <w:tc>
          <w:tcPr>
            <w:tcW w:w="1080" w:type="dxa"/>
            <w:vAlign w:val="center"/>
          </w:tcPr>
          <w:p w14:paraId="321E8E51" w14:textId="09E5F19D" w:rsidR="004A36E7" w:rsidRPr="007B651C" w:rsidRDefault="0079426C" w:rsidP="004A36E7">
            <w:pPr>
              <w:spacing w:before="0" w:after="0"/>
              <w:rPr>
                <w:rFonts w:cs="Calibri Light"/>
                <w:i/>
                <w:color w:val="000000"/>
                <w:sz w:val="20"/>
                <w:szCs w:val="20"/>
              </w:rPr>
            </w:pPr>
            <w:r w:rsidRPr="007B651C">
              <w:rPr>
                <w:rFonts w:cs="Calibri Light"/>
                <w:i/>
                <w:color w:val="000000"/>
                <w:sz w:val="20"/>
                <w:szCs w:val="20"/>
              </w:rPr>
              <w:t>TShWuPr</w:t>
            </w:r>
          </w:p>
        </w:tc>
        <w:tc>
          <w:tcPr>
            <w:tcW w:w="2610" w:type="dxa"/>
            <w:vAlign w:val="center"/>
          </w:tcPr>
          <w:p w14:paraId="4AB1CF9C" w14:textId="61346549" w:rsidR="004A36E7" w:rsidRDefault="004A36E7" w:rsidP="00F947BF">
            <w:pPr>
              <w:spacing w:before="0" w:after="0"/>
              <w:rPr>
                <w:rFonts w:cs="Calibri Light"/>
                <w:color w:val="000000"/>
                <w:sz w:val="20"/>
                <w:szCs w:val="20"/>
              </w:rPr>
            </w:pPr>
            <w:r>
              <w:rPr>
                <w:rFonts w:cs="Calibri Light"/>
                <w:color w:val="000000"/>
                <w:sz w:val="20"/>
                <w:szCs w:val="20"/>
              </w:rPr>
              <w:t>Total shower water usage, pre-existing (gal/shower)</w:t>
            </w:r>
          </w:p>
        </w:tc>
        <w:tc>
          <w:tcPr>
            <w:tcW w:w="1440" w:type="dxa"/>
            <w:vAlign w:val="center"/>
          </w:tcPr>
          <w:p w14:paraId="22765F80" w14:textId="430098D1" w:rsidR="004A36E7" w:rsidRDefault="004A36E7" w:rsidP="00F947BF">
            <w:pPr>
              <w:spacing w:before="0" w:after="0"/>
              <w:jc w:val="center"/>
              <w:rPr>
                <w:rFonts w:cs="Calibri Light"/>
                <w:color w:val="000000"/>
                <w:sz w:val="20"/>
                <w:szCs w:val="20"/>
              </w:rPr>
            </w:pPr>
            <w:r>
              <w:rPr>
                <w:rFonts w:cs="Calibri Light"/>
                <w:color w:val="000000"/>
                <w:sz w:val="20"/>
                <w:szCs w:val="20"/>
              </w:rPr>
              <w:t>17.2</w:t>
            </w:r>
          </w:p>
        </w:tc>
        <w:tc>
          <w:tcPr>
            <w:tcW w:w="4225" w:type="dxa"/>
            <w:vAlign w:val="center"/>
          </w:tcPr>
          <w:p w14:paraId="323A8472" w14:textId="6702ACE8" w:rsidR="004A36E7" w:rsidRPr="00F907C8" w:rsidRDefault="004A36E7" w:rsidP="00F947BF">
            <w:pPr>
              <w:spacing w:before="0" w:after="0"/>
              <w:rPr>
                <w:rFonts w:cs="Calibri Light"/>
                <w:color w:val="000000"/>
                <w:sz w:val="18"/>
                <w:szCs w:val="18"/>
              </w:rPr>
            </w:pPr>
            <w:r w:rsidRPr="00F907C8">
              <w:rPr>
                <w:rFonts w:cs="Calibri Light"/>
                <w:noProof/>
                <w:sz w:val="18"/>
                <w:szCs w:val="18"/>
              </w:rPr>
              <w:t xml:space="preserve">Mayer, P. D. 1999. </w:t>
            </w:r>
            <w:r w:rsidRPr="00F907C8">
              <w:rPr>
                <w:rFonts w:cs="Calibri Light"/>
                <w:i/>
                <w:iCs/>
                <w:noProof/>
                <w:sz w:val="18"/>
                <w:szCs w:val="18"/>
              </w:rPr>
              <w:t>Residential End Uses of Water.</w:t>
            </w:r>
            <w:r w:rsidRPr="00F907C8">
              <w:rPr>
                <w:rFonts w:cs="Calibri Light"/>
                <w:noProof/>
                <w:sz w:val="18"/>
                <w:szCs w:val="18"/>
              </w:rPr>
              <w:t xml:space="preserve"> Denver, Co: AWWA Research Foundation and American Water Works Association. P. </w:t>
            </w:r>
            <w:r w:rsidRPr="00F907C8">
              <w:rPr>
                <w:rFonts w:cs="Calibri Light"/>
                <w:color w:val="000000"/>
                <w:sz w:val="18"/>
                <w:szCs w:val="18"/>
              </w:rPr>
              <w:t>102</w:t>
            </w:r>
          </w:p>
        </w:tc>
      </w:tr>
      <w:tr w:rsidR="004A36E7" w:rsidRPr="00DA0D57" w14:paraId="6E176C40" w14:textId="77777777" w:rsidTr="0079426C">
        <w:trPr>
          <w:cantSplit/>
        </w:trPr>
        <w:tc>
          <w:tcPr>
            <w:tcW w:w="1080" w:type="dxa"/>
            <w:vAlign w:val="center"/>
          </w:tcPr>
          <w:p w14:paraId="0210FA73" w14:textId="0117A5AE" w:rsidR="004A36E7" w:rsidRPr="007B651C" w:rsidRDefault="0079426C" w:rsidP="004A36E7">
            <w:pPr>
              <w:spacing w:before="0" w:after="0"/>
              <w:rPr>
                <w:rFonts w:cs="Calibri Light"/>
                <w:i/>
                <w:color w:val="000000"/>
                <w:sz w:val="20"/>
                <w:szCs w:val="20"/>
              </w:rPr>
            </w:pPr>
            <w:r w:rsidRPr="007B651C">
              <w:rPr>
                <w:rFonts w:cs="Calibri Light"/>
                <w:i/>
                <w:color w:val="000000"/>
                <w:sz w:val="20"/>
                <w:szCs w:val="20"/>
              </w:rPr>
              <w:t>SFSh</w:t>
            </w:r>
          </w:p>
        </w:tc>
        <w:tc>
          <w:tcPr>
            <w:tcW w:w="2610" w:type="dxa"/>
            <w:vAlign w:val="center"/>
          </w:tcPr>
          <w:p w14:paraId="1AF55BF3" w14:textId="59468960" w:rsidR="004A36E7" w:rsidRDefault="004A36E7" w:rsidP="00F947BF">
            <w:pPr>
              <w:spacing w:before="0" w:after="0"/>
              <w:rPr>
                <w:rFonts w:cs="Calibri Light"/>
                <w:color w:val="000000"/>
                <w:sz w:val="20"/>
                <w:szCs w:val="20"/>
              </w:rPr>
            </w:pPr>
            <w:r>
              <w:rPr>
                <w:rFonts w:cs="Calibri Light"/>
                <w:color w:val="000000"/>
                <w:sz w:val="20"/>
                <w:szCs w:val="20"/>
              </w:rPr>
              <w:t>Number of showerheads per household – single family</w:t>
            </w:r>
          </w:p>
        </w:tc>
        <w:tc>
          <w:tcPr>
            <w:tcW w:w="1440" w:type="dxa"/>
            <w:vAlign w:val="center"/>
          </w:tcPr>
          <w:p w14:paraId="51D52ACE" w14:textId="48E70006" w:rsidR="004A36E7" w:rsidRDefault="004A36E7" w:rsidP="00F947BF">
            <w:pPr>
              <w:spacing w:before="0" w:after="0"/>
              <w:jc w:val="center"/>
              <w:rPr>
                <w:rFonts w:cs="Calibri Light"/>
                <w:color w:val="000000"/>
                <w:sz w:val="20"/>
                <w:szCs w:val="20"/>
              </w:rPr>
            </w:pPr>
            <w:r>
              <w:rPr>
                <w:rFonts w:cs="Calibri Light"/>
                <w:color w:val="000000"/>
                <w:sz w:val="20"/>
                <w:szCs w:val="20"/>
              </w:rPr>
              <w:t>2.01</w:t>
            </w:r>
          </w:p>
        </w:tc>
        <w:tc>
          <w:tcPr>
            <w:tcW w:w="4225" w:type="dxa"/>
            <w:vAlign w:val="center"/>
          </w:tcPr>
          <w:p w14:paraId="79D7FD25" w14:textId="6E6ED5E6" w:rsidR="004A36E7" w:rsidRPr="00AF2D3B" w:rsidRDefault="004A36E7" w:rsidP="00F947BF">
            <w:pPr>
              <w:spacing w:before="0" w:after="0"/>
              <w:rPr>
                <w:rFonts w:cs="Calibri Light"/>
                <w:color w:val="000000"/>
                <w:sz w:val="18"/>
                <w:szCs w:val="18"/>
                <w:highlight w:val="yellow"/>
              </w:rPr>
            </w:pPr>
            <w:r w:rsidRPr="00252C37">
              <w:rPr>
                <w:sz w:val="18"/>
              </w:rPr>
              <w:t>Sempra Energy Utilities (SEU). 2012. “</w:t>
            </w:r>
            <w:r>
              <w:rPr>
                <w:sz w:val="18"/>
              </w:rPr>
              <w:t>SEU</w:t>
            </w:r>
            <w:r w:rsidRPr="00252C37">
              <w:rPr>
                <w:sz w:val="18"/>
              </w:rPr>
              <w:t xml:space="preserve"> 2009 ASW Data REDACTED.xlsx”.</w:t>
            </w:r>
          </w:p>
        </w:tc>
      </w:tr>
      <w:tr w:rsidR="004A36E7" w:rsidRPr="00DA0D57" w14:paraId="1047D66F" w14:textId="77777777" w:rsidTr="0079426C">
        <w:trPr>
          <w:cantSplit/>
        </w:trPr>
        <w:tc>
          <w:tcPr>
            <w:tcW w:w="1080" w:type="dxa"/>
            <w:vAlign w:val="center"/>
          </w:tcPr>
          <w:p w14:paraId="154DE12B" w14:textId="366DE7C1" w:rsidR="004A36E7" w:rsidRPr="007B651C" w:rsidRDefault="0079426C" w:rsidP="004A36E7">
            <w:pPr>
              <w:spacing w:before="0" w:after="0"/>
              <w:rPr>
                <w:rFonts w:cs="Calibri Light"/>
                <w:i/>
                <w:color w:val="000000"/>
                <w:sz w:val="20"/>
                <w:szCs w:val="20"/>
              </w:rPr>
            </w:pPr>
            <w:r w:rsidRPr="007B651C">
              <w:rPr>
                <w:rFonts w:cs="Calibri Light"/>
                <w:i/>
                <w:color w:val="000000"/>
                <w:sz w:val="20"/>
                <w:szCs w:val="20"/>
              </w:rPr>
              <w:t>MFSh</w:t>
            </w:r>
          </w:p>
        </w:tc>
        <w:tc>
          <w:tcPr>
            <w:tcW w:w="2610" w:type="dxa"/>
            <w:vAlign w:val="center"/>
          </w:tcPr>
          <w:p w14:paraId="781E82CD" w14:textId="6064C7B2" w:rsidR="004A36E7" w:rsidRDefault="004A36E7" w:rsidP="00F947BF">
            <w:pPr>
              <w:spacing w:before="0" w:after="0"/>
              <w:rPr>
                <w:rFonts w:cs="Calibri Light"/>
                <w:color w:val="000000"/>
                <w:sz w:val="20"/>
                <w:szCs w:val="20"/>
              </w:rPr>
            </w:pPr>
            <w:r>
              <w:rPr>
                <w:rFonts w:cs="Calibri Light"/>
                <w:color w:val="000000"/>
                <w:sz w:val="20"/>
                <w:szCs w:val="20"/>
              </w:rPr>
              <w:t>Number of showerheads per household – multifamily</w:t>
            </w:r>
          </w:p>
        </w:tc>
        <w:tc>
          <w:tcPr>
            <w:tcW w:w="1440" w:type="dxa"/>
            <w:vAlign w:val="center"/>
          </w:tcPr>
          <w:p w14:paraId="458CF200" w14:textId="19F24A27" w:rsidR="004A36E7" w:rsidRDefault="004A36E7" w:rsidP="00F947BF">
            <w:pPr>
              <w:spacing w:before="0" w:after="0"/>
              <w:jc w:val="center"/>
              <w:rPr>
                <w:rFonts w:cs="Calibri Light"/>
                <w:color w:val="000000"/>
                <w:sz w:val="20"/>
                <w:szCs w:val="20"/>
              </w:rPr>
            </w:pPr>
            <w:r>
              <w:rPr>
                <w:rFonts w:cs="Calibri Light"/>
                <w:color w:val="000000"/>
                <w:sz w:val="20"/>
                <w:szCs w:val="20"/>
              </w:rPr>
              <w:t>1.50</w:t>
            </w:r>
          </w:p>
        </w:tc>
        <w:tc>
          <w:tcPr>
            <w:tcW w:w="4225" w:type="dxa"/>
            <w:vAlign w:val="center"/>
          </w:tcPr>
          <w:p w14:paraId="4B2CC9D5" w14:textId="10F3847F" w:rsidR="004A36E7" w:rsidRPr="00AF2D3B" w:rsidRDefault="004A36E7" w:rsidP="00AF2D3B">
            <w:pPr>
              <w:pStyle w:val="Bibliography"/>
              <w:ind w:left="720" w:hanging="720"/>
              <w:rPr>
                <w:rFonts w:ascii="Calibri Light" w:hAnsi="Calibri Light" w:cs="Calibri Light"/>
                <w:color w:val="000000"/>
                <w:sz w:val="18"/>
                <w:szCs w:val="18"/>
                <w:highlight w:val="yellow"/>
              </w:rPr>
            </w:pPr>
            <w:r w:rsidRPr="00AF2D3B">
              <w:rPr>
                <w:rFonts w:ascii="Calibri Light" w:hAnsi="Calibri Light" w:cs="Calibri Light"/>
                <w:noProof/>
                <w:sz w:val="18"/>
              </w:rPr>
              <w:t xml:space="preserve">U.S. Census. 2014. </w:t>
            </w:r>
            <w:r w:rsidRPr="00AF2D3B">
              <w:rPr>
                <w:rFonts w:ascii="Calibri Light" w:hAnsi="Calibri Light" w:cs="Calibri Light"/>
                <w:i/>
                <w:iCs/>
                <w:noProof/>
                <w:sz w:val="18"/>
              </w:rPr>
              <w:t>Bathrooms Customer.</w:t>
            </w:r>
            <w:r w:rsidRPr="00AF2D3B">
              <w:rPr>
                <w:rFonts w:ascii="Calibri Light" w:hAnsi="Calibri Light" w:cs="Calibri Light"/>
                <w:noProof/>
                <w:sz w:val="18"/>
              </w:rPr>
              <w:t xml:space="preserve"> 2015.</w:t>
            </w:r>
          </w:p>
        </w:tc>
      </w:tr>
      <w:tr w:rsidR="004A36E7" w:rsidRPr="00DA0D57" w14:paraId="25F2737C" w14:textId="77777777" w:rsidTr="0079426C">
        <w:trPr>
          <w:cantSplit/>
        </w:trPr>
        <w:tc>
          <w:tcPr>
            <w:tcW w:w="1080" w:type="dxa"/>
            <w:vAlign w:val="center"/>
          </w:tcPr>
          <w:p w14:paraId="62C8339A" w14:textId="2FB50552" w:rsidR="004A36E7" w:rsidRPr="007B651C" w:rsidRDefault="0079426C" w:rsidP="004A36E7">
            <w:pPr>
              <w:spacing w:before="0" w:after="0"/>
              <w:rPr>
                <w:rFonts w:cs="Calibri Light"/>
                <w:i/>
                <w:color w:val="000000"/>
                <w:sz w:val="20"/>
                <w:szCs w:val="20"/>
              </w:rPr>
            </w:pPr>
            <w:r w:rsidRPr="007B651C">
              <w:rPr>
                <w:rFonts w:cs="Calibri Light"/>
                <w:i/>
                <w:color w:val="000000"/>
                <w:sz w:val="20"/>
                <w:szCs w:val="20"/>
              </w:rPr>
              <w:t>Sht</w:t>
            </w:r>
          </w:p>
        </w:tc>
        <w:tc>
          <w:tcPr>
            <w:tcW w:w="2610" w:type="dxa"/>
            <w:vAlign w:val="center"/>
          </w:tcPr>
          <w:p w14:paraId="55EDCF72" w14:textId="67C3EF82" w:rsidR="004A36E7" w:rsidRDefault="004A36E7" w:rsidP="00AF2D3B">
            <w:pPr>
              <w:spacing w:before="0" w:after="0"/>
              <w:rPr>
                <w:rFonts w:cs="Calibri Light"/>
                <w:color w:val="000000"/>
                <w:sz w:val="20"/>
                <w:szCs w:val="20"/>
              </w:rPr>
            </w:pPr>
            <w:r>
              <w:rPr>
                <w:rFonts w:cs="Calibri Light"/>
                <w:color w:val="000000"/>
                <w:sz w:val="20"/>
                <w:szCs w:val="20"/>
              </w:rPr>
              <w:t>Shower time (min)</w:t>
            </w:r>
          </w:p>
        </w:tc>
        <w:tc>
          <w:tcPr>
            <w:tcW w:w="1440" w:type="dxa"/>
            <w:vAlign w:val="center"/>
          </w:tcPr>
          <w:p w14:paraId="1F3C3A88" w14:textId="5DCB5B9C" w:rsidR="004A36E7" w:rsidRDefault="004A36E7" w:rsidP="00AF2D3B">
            <w:pPr>
              <w:spacing w:before="0" w:after="0"/>
              <w:jc w:val="center"/>
              <w:rPr>
                <w:rFonts w:cs="Calibri Light"/>
                <w:color w:val="000000"/>
                <w:sz w:val="20"/>
                <w:szCs w:val="20"/>
              </w:rPr>
            </w:pPr>
            <w:r>
              <w:rPr>
                <w:rFonts w:cs="Calibri Light"/>
                <w:color w:val="000000"/>
                <w:sz w:val="20"/>
                <w:szCs w:val="20"/>
              </w:rPr>
              <w:t>7.4</w:t>
            </w:r>
          </w:p>
        </w:tc>
        <w:tc>
          <w:tcPr>
            <w:tcW w:w="4225" w:type="dxa"/>
          </w:tcPr>
          <w:p w14:paraId="649E3F62" w14:textId="5A6DBABF" w:rsidR="004A36E7" w:rsidRPr="00AF2D3B" w:rsidRDefault="004A36E7" w:rsidP="00AF2D3B">
            <w:pPr>
              <w:spacing w:before="0" w:after="0"/>
              <w:rPr>
                <w:rFonts w:cs="Calibri Light"/>
                <w:color w:val="000000"/>
                <w:sz w:val="18"/>
                <w:szCs w:val="18"/>
                <w:highlight w:val="yellow"/>
              </w:rPr>
            </w:pPr>
            <w:r w:rsidRPr="006504ED">
              <w:rPr>
                <w:sz w:val="18"/>
                <w:szCs w:val="18"/>
              </w:rPr>
              <w:t xml:space="preserve">DeOreo, W., P. Mayer, and D. Lewis. 2000. </w:t>
            </w:r>
            <w:r w:rsidRPr="006504ED">
              <w:rPr>
                <w:i/>
                <w:sz w:val="18"/>
                <w:szCs w:val="18"/>
              </w:rPr>
              <w:t>Seattle Home Water Conservation Study: The Impacts Of High Efficiency Plumbing Fixture Retrofits In Single-Family Homes.</w:t>
            </w:r>
            <w:r w:rsidRPr="006504ED">
              <w:rPr>
                <w:sz w:val="18"/>
                <w:szCs w:val="18"/>
              </w:rPr>
              <w:t xml:space="preserve"> Prepared for the Seattle Public Utilities and the U.S. Environmental Protection Agency. Boulder, CO: Aquacraft, Inc. Water Engineering and Management.</w:t>
            </w:r>
          </w:p>
        </w:tc>
      </w:tr>
    </w:tbl>
    <w:p w14:paraId="20C99E20" w14:textId="77777777" w:rsidR="00586A76" w:rsidRDefault="00586A76" w:rsidP="00594F7A"/>
    <w:p w14:paraId="0F2CCF68" w14:textId="71A4356C" w:rsidR="00594F7A" w:rsidRDefault="00594F7A" w:rsidP="00594F7A">
      <w:r w:rsidRPr="002142BF">
        <w:rPr>
          <w:b/>
        </w:rPr>
        <w:t>Showerhead Flow Rate</w:t>
      </w:r>
      <w:r>
        <w:rPr>
          <w:b/>
        </w:rPr>
        <w:t xml:space="preserve">. </w:t>
      </w:r>
      <w:r>
        <w:t xml:space="preserve">With </w:t>
      </w:r>
      <w:r w:rsidR="00035934">
        <w:t>the flow rate of</w:t>
      </w:r>
      <w:r>
        <w:t xml:space="preserve"> 2.25 gpm </w:t>
      </w:r>
      <w:r w:rsidR="00035934">
        <w:t xml:space="preserve">for the </w:t>
      </w:r>
      <w:r>
        <w:t>existing condition</w:t>
      </w:r>
      <w:bookmarkStart w:id="58" w:name="_Ref446676608"/>
      <w:r>
        <w:rPr>
          <w:rStyle w:val="FootnoteReference"/>
        </w:rPr>
        <w:footnoteReference w:id="14"/>
      </w:r>
      <w:bookmarkEnd w:id="58"/>
      <w:r>
        <w:t xml:space="preserve"> and the code update to 2.0</w:t>
      </w:r>
      <w:r w:rsidR="002D0487">
        <w:t>0</w:t>
      </w:r>
      <w:r>
        <w:t xml:space="preserve"> gpm</w:t>
      </w:r>
      <w:r w:rsidR="002D0487">
        <w:t>,</w:t>
      </w:r>
      <w:r>
        <w:rPr>
          <w:vertAlign w:val="superscript"/>
        </w:rPr>
        <w:t xml:space="preserve"> </w:t>
      </w:r>
      <w:r>
        <w:t>it was decided to use code as the current code baseline and 1.8</w:t>
      </w:r>
      <w:r w:rsidR="002D0487">
        <w:t>0</w:t>
      </w:r>
      <w:r>
        <w:t xml:space="preserve"> gpm for </w:t>
      </w:r>
      <w:r w:rsidR="00035934" w:rsidRPr="00C81BDE">
        <w:rPr>
          <w:i/>
        </w:rPr>
        <w:t xml:space="preserve">accelerated replacement </w:t>
      </w:r>
      <w:r>
        <w:t xml:space="preserve">code baseline due to the </w:t>
      </w:r>
      <w:r w:rsidR="002D0487">
        <w:t>three</w:t>
      </w:r>
      <w:r>
        <w:t xml:space="preserve">-year </w:t>
      </w:r>
      <w:r w:rsidR="002D0487">
        <w:t>remaining useful life (</w:t>
      </w:r>
      <w:r>
        <w:t>RUL</w:t>
      </w:r>
      <w:r w:rsidR="002D0487">
        <w:t>)</w:t>
      </w:r>
      <w:r>
        <w:t xml:space="preserve"> period.</w:t>
      </w:r>
    </w:p>
    <w:p w14:paraId="451D718B" w14:textId="78D83035" w:rsidR="00594F7A" w:rsidRDefault="00594F7A" w:rsidP="00594F7A">
      <w:r w:rsidRPr="004A61E9">
        <w:rPr>
          <w:b/>
        </w:rPr>
        <w:t>Tub Spout Flow Rates</w:t>
      </w:r>
      <w:r>
        <w:rPr>
          <w:b/>
        </w:rPr>
        <w:t xml:space="preserve">. </w:t>
      </w:r>
      <w:r>
        <w:t>With limited studies on tub spout flow rates a market assessment shows significant spouts available above 5 gpm. Since 5 gpm is the flow rate of the ADTS, it was chosen as the baseline flow rate so no savings would be derived from the tub spout flow rate alone.</w:t>
      </w:r>
    </w:p>
    <w:p w14:paraId="44A0B054" w14:textId="56E5495A" w:rsidR="00594F7A" w:rsidRDefault="00594F7A" w:rsidP="00594F7A">
      <w:r w:rsidRPr="008C45EF">
        <w:rPr>
          <w:b/>
        </w:rPr>
        <w:t>Mixed Daily Water for Showers</w:t>
      </w:r>
      <w:r>
        <w:rPr>
          <w:b/>
        </w:rPr>
        <w:t xml:space="preserve">. </w:t>
      </w:r>
      <w:r>
        <w:t>The 2013-2014 domestic hot water fixture disposition</w:t>
      </w:r>
      <w:bookmarkStart w:id="59" w:name="_Ref447874682"/>
      <w:r w:rsidR="0079426C">
        <w:t xml:space="preserve"> issued by the California Public Utilities Commission</w:t>
      </w:r>
      <w:r>
        <w:rPr>
          <w:rStyle w:val="FootnoteReference"/>
        </w:rPr>
        <w:footnoteReference w:id="15"/>
      </w:r>
      <w:bookmarkEnd w:id="59"/>
      <w:r>
        <w:t xml:space="preserve"> </w:t>
      </w:r>
      <w:r w:rsidR="00035934">
        <w:t>established</w:t>
      </w:r>
      <w:r>
        <w:t xml:space="preserve"> the mixed daily water for shower usage with a 2.25 </w:t>
      </w:r>
      <w:r w:rsidRPr="003B12C3">
        <w:t xml:space="preserve">gpm showerhead. The ratio of the values 2.25 gpm over 2.0 gpm </w:t>
      </w:r>
      <w:r w:rsidR="0079426C" w:rsidRPr="003B12C3">
        <w:t>was</w:t>
      </w:r>
      <w:r w:rsidRPr="003B12C3">
        <w:t xml:space="preserve"> used to calculate the baseline mixed</w:t>
      </w:r>
      <w:r>
        <w:t xml:space="preserve"> daily water usage. Mixed daily water usage is used to calculate the number of showers take per day.</w:t>
      </w:r>
    </w:p>
    <w:p w14:paraId="63996BE4" w14:textId="47E4933F" w:rsidR="00594F7A" w:rsidRDefault="00594F7A" w:rsidP="00594F7A">
      <w:r>
        <w:rPr>
          <w:b/>
        </w:rPr>
        <w:lastRenderedPageBreak/>
        <w:t xml:space="preserve">Structural Waste. </w:t>
      </w:r>
      <w:r>
        <w:t>In</w:t>
      </w:r>
      <w:r w:rsidR="00C81BDE">
        <w:t xml:space="preserve"> a</w:t>
      </w:r>
      <w:r>
        <w:t xml:space="preserve"> tub/shower </w:t>
      </w:r>
      <w:r w:rsidR="0079426C">
        <w:t>combination</w:t>
      </w:r>
      <w:r>
        <w:t xml:space="preserve"> the user has the option to purge the cold water via the showerhead or the tub spout. Tub spout warm-ups are found to save both time and energy when compared to showerhead warm-ups due to the faster </w:t>
      </w:r>
      <w:r w:rsidR="003B12C3">
        <w:t>flow rate</w:t>
      </w:r>
      <w:r w:rsidR="002D0487">
        <w:t>.</w:t>
      </w:r>
      <w:r>
        <w:t xml:space="preserve"> Tub spout warm-ups are found to occur </w:t>
      </w:r>
      <w:r w:rsidRPr="003B12C3">
        <w:t>during 40% of the time in tub/shower combos. Structural waste time is calculated by subtracting the</w:t>
      </w:r>
      <w:r>
        <w:t xml:space="preserve"> behavioral waste time from the total warm-up waste time.</w:t>
      </w:r>
    </w:p>
    <w:p w14:paraId="0FCD00D1" w14:textId="1973593C" w:rsidR="00594F7A" w:rsidRDefault="00594F7A" w:rsidP="00594F7A">
      <w:r w:rsidRPr="00005631">
        <w:rPr>
          <w:b/>
        </w:rPr>
        <w:t>Behavioral Waste</w:t>
      </w:r>
      <w:r>
        <w:rPr>
          <w:b/>
        </w:rPr>
        <w:t xml:space="preserve">. </w:t>
      </w:r>
      <w:r w:rsidR="00516812" w:rsidRPr="00516812">
        <w:t xml:space="preserve">Behavior waste occurs between the </w:t>
      </w:r>
      <w:r w:rsidRPr="00516812">
        <w:t xml:space="preserve">time when the water reaches desired temperature </w:t>
      </w:r>
      <w:r w:rsidR="00516812" w:rsidRPr="00516812">
        <w:t>until</w:t>
      </w:r>
      <w:r w:rsidRPr="00516812">
        <w:t xml:space="preserve"> the user </w:t>
      </w:r>
      <w:r w:rsidR="00516812" w:rsidRPr="00516812">
        <w:t>steps</w:t>
      </w:r>
      <w:r w:rsidRPr="00516812">
        <w:t xml:space="preserve"> in the shower. Because</w:t>
      </w:r>
      <w:r>
        <w:t xml:space="preserve"> of the faster warm-up with a tub spout</w:t>
      </w:r>
      <w:r w:rsidR="00516812">
        <w:t>,</w:t>
      </w:r>
      <w:r>
        <w:t xml:space="preserve"> it is more likely that the user will sit near the tub to wait for hot water before entering the shower. This does not always occur and 58% of users initiating tub spout warm-ups were found to multitask during warm-up. Behavioral waste time </w:t>
      </w:r>
      <w:r w:rsidR="00C81BDE">
        <w:t>varies;</w:t>
      </w:r>
      <w:r w:rsidR="00516812">
        <w:t xml:space="preserve"> </w:t>
      </w:r>
      <w:r w:rsidR="00962A47">
        <w:t>thus,</w:t>
      </w:r>
      <w:r>
        <w:t xml:space="preserve"> a conservative value was </w:t>
      </w:r>
      <w:r w:rsidR="00035934">
        <w:t>adopted for this analysis</w:t>
      </w:r>
      <w:r>
        <w:t>.</w:t>
      </w:r>
    </w:p>
    <w:p w14:paraId="46A5167C" w14:textId="059F1A95" w:rsidR="00594F7A" w:rsidRDefault="00594F7A" w:rsidP="00594F7A">
      <w:r w:rsidRPr="00761101">
        <w:rPr>
          <w:b/>
        </w:rPr>
        <w:t>Weighted Average Showerheads per Household</w:t>
      </w:r>
      <w:r>
        <w:rPr>
          <w:b/>
        </w:rPr>
        <w:t xml:space="preserve">. </w:t>
      </w:r>
      <w:r w:rsidRPr="00761101">
        <w:t xml:space="preserve">The survey data from </w:t>
      </w:r>
      <w:r w:rsidR="00516812">
        <w:t>the Sempra Energy Utilities (</w:t>
      </w:r>
      <w:r w:rsidRPr="00761101">
        <w:t>SEU</w:t>
      </w:r>
      <w:r w:rsidR="00516812">
        <w:t>)</w:t>
      </w:r>
      <w:r w:rsidRPr="00761101">
        <w:t xml:space="preserve"> territories </w:t>
      </w:r>
      <w:r w:rsidR="003B12C3">
        <w:t xml:space="preserve">study </w:t>
      </w:r>
      <w:r w:rsidRPr="00761101">
        <w:t xml:space="preserve">was averaged to be 2.01 showerheads per single-family household. </w:t>
      </w:r>
      <w:r w:rsidR="002D0487">
        <w:t>D</w:t>
      </w:r>
      <w:r w:rsidRPr="00761101">
        <w:t>a</w:t>
      </w:r>
      <w:r>
        <w:t>ta from the U.S. Census Bureau</w:t>
      </w:r>
      <w:r w:rsidRPr="00761101">
        <w:t xml:space="preserve"> was used to calculate the weighted average showerheads per household for the multi-family residences</w:t>
      </w:r>
      <w:r w:rsidR="00BF28B3">
        <w:t>, using the</w:t>
      </w:r>
      <w:r w:rsidRPr="00761101">
        <w:t xml:space="preserve"> number of bathrooms per household for new construction of multifamily u</w:t>
      </w:r>
      <w:r>
        <w:t>nits between the years 1978-2014</w:t>
      </w:r>
      <w:r w:rsidRPr="00761101">
        <w:t xml:space="preserve">. </w:t>
      </w:r>
    </w:p>
    <w:p w14:paraId="465C749A" w14:textId="530F79FC" w:rsidR="00594F7A" w:rsidRDefault="00594F7A" w:rsidP="00594F7A">
      <w:r>
        <w:rPr>
          <w:b/>
        </w:rPr>
        <w:t xml:space="preserve">Shower Duration. </w:t>
      </w:r>
      <w:r w:rsidRPr="003C301A">
        <w:t>Water trace data from ten single family homes in Sea</w:t>
      </w:r>
      <w:r>
        <w:t xml:space="preserve">ttle </w:t>
      </w:r>
      <w:r w:rsidR="00BF28B3">
        <w:t>revealed</w:t>
      </w:r>
      <w:r w:rsidRPr="003C301A">
        <w:t xml:space="preserve"> </w:t>
      </w:r>
      <w:r w:rsidR="00BF28B3">
        <w:t>an average</w:t>
      </w:r>
      <w:r w:rsidRPr="003C301A">
        <w:t xml:space="preserve"> shower duration </w:t>
      </w:r>
      <w:r w:rsidR="00BF28B3">
        <w:t>of</w:t>
      </w:r>
      <w:r w:rsidRPr="003C301A">
        <w:t xml:space="preserve"> 7.4 minutes. Another measurement study of residential end use of wat</w:t>
      </w:r>
      <w:r>
        <w:t xml:space="preserve">er by </w:t>
      </w:r>
      <w:r w:rsidR="00BF28B3">
        <w:t xml:space="preserve">the </w:t>
      </w:r>
      <w:r>
        <w:t xml:space="preserve">AWWA Research Foundation </w:t>
      </w:r>
      <w:r w:rsidR="00BF28B3">
        <w:t>estimated</w:t>
      </w:r>
      <w:r w:rsidRPr="003C301A">
        <w:t xml:space="preserve"> </w:t>
      </w:r>
      <w:r w:rsidR="00BF28B3">
        <w:t>a</w:t>
      </w:r>
      <w:r w:rsidRPr="003C301A">
        <w:t xml:space="preserve"> similar </w:t>
      </w:r>
      <w:r w:rsidR="00BF28B3">
        <w:t>result</w:t>
      </w:r>
      <w:r w:rsidRPr="003C301A">
        <w:t>, a median of 7.2 minutes and a mean of 8.2 minutes. Shower duration of 7.4 minutes, along with other assumptions, results in more realistic baseline shower water consumption that is equivalent to about 33% of the total domestic hot water consumption.</w:t>
      </w:r>
    </w:p>
    <w:p w14:paraId="13C78FB1" w14:textId="77777777" w:rsidR="00633CF2" w:rsidRDefault="00633CF2" w:rsidP="00594F7A"/>
    <w:p w14:paraId="6A632F83" w14:textId="253DE88F" w:rsidR="00633CF2" w:rsidRDefault="00633CF2" w:rsidP="00633CF2">
      <w:pPr>
        <w:pStyle w:val="eTRMHeading5"/>
      </w:pPr>
      <w:r>
        <w:t>Gas UES Inputs</w:t>
      </w:r>
    </w:p>
    <w:p w14:paraId="684BBAD7" w14:textId="5A5047A1" w:rsidR="00633CF2" w:rsidRDefault="00962A47" w:rsidP="00594F7A">
      <w:r>
        <w:t>The inputs and assumptions to derive the gas UES are specified and described below.</w:t>
      </w:r>
    </w:p>
    <w:p w14:paraId="1110DB58" w14:textId="77777777" w:rsidR="00633CF2" w:rsidRPr="008560FF" w:rsidRDefault="00633CF2" w:rsidP="003B12C3">
      <w:pPr>
        <w:pStyle w:val="Caption"/>
        <w:rPr>
          <w:rFonts w:cs="Calibri Light"/>
          <w:szCs w:val="20"/>
        </w:rPr>
      </w:pPr>
      <w:bookmarkStart w:id="60" w:name="_Hlk511921445"/>
      <w:r>
        <w:t xml:space="preserve">Gas </w:t>
      </w:r>
      <w:r>
        <w:rPr>
          <w:rFonts w:cs="Calibri Light"/>
          <w:szCs w:val="20"/>
        </w:rPr>
        <w:t>UES Inputs</w:t>
      </w:r>
      <w:r w:rsidRPr="008560FF">
        <w:rPr>
          <w:rFonts w:cs="Calibri Light"/>
          <w:szCs w:val="20"/>
        </w:rPr>
        <w:t xml:space="preserve"> </w:t>
      </w:r>
    </w:p>
    <w:tbl>
      <w:tblPr>
        <w:tblW w:w="81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505"/>
        <w:gridCol w:w="1170"/>
        <w:gridCol w:w="3460"/>
      </w:tblGrid>
      <w:tr w:rsidR="00633CF2" w:rsidRPr="00D31C65" w14:paraId="23FDD9B1" w14:textId="77777777" w:rsidTr="00EE4691">
        <w:trPr>
          <w:trHeight w:val="260"/>
          <w:tblHeader/>
        </w:trPr>
        <w:tc>
          <w:tcPr>
            <w:tcW w:w="3505" w:type="dxa"/>
            <w:shd w:val="clear" w:color="auto" w:fill="F2F2F2" w:themeFill="background1" w:themeFillShade="F2"/>
            <w:noWrap/>
            <w:vAlign w:val="bottom"/>
            <w:hideMark/>
          </w:tcPr>
          <w:p w14:paraId="4EBB7EF5" w14:textId="77777777" w:rsidR="00633CF2" w:rsidRPr="00D31C65" w:rsidRDefault="00633CF2" w:rsidP="003B12C3">
            <w:pPr>
              <w:keepNext/>
              <w:keepLines/>
              <w:spacing w:before="0" w:after="0" w:line="240" w:lineRule="auto"/>
              <w:rPr>
                <w:rFonts w:eastAsia="Times New Roman" w:cs="Times New Roman"/>
                <w:b/>
                <w:sz w:val="20"/>
                <w:szCs w:val="20"/>
              </w:rPr>
            </w:pPr>
            <w:r>
              <w:rPr>
                <w:rFonts w:eastAsia="Times New Roman" w:cs="Times New Roman"/>
                <w:b/>
                <w:sz w:val="20"/>
                <w:szCs w:val="20"/>
              </w:rPr>
              <w:t>Parameter</w:t>
            </w:r>
          </w:p>
        </w:tc>
        <w:tc>
          <w:tcPr>
            <w:tcW w:w="1170" w:type="dxa"/>
            <w:shd w:val="clear" w:color="auto" w:fill="F2F2F2" w:themeFill="background1" w:themeFillShade="F2"/>
            <w:noWrap/>
            <w:vAlign w:val="bottom"/>
            <w:hideMark/>
          </w:tcPr>
          <w:p w14:paraId="0A025B7E" w14:textId="77777777" w:rsidR="00633CF2" w:rsidRPr="00D31C65" w:rsidRDefault="00633CF2" w:rsidP="003B12C3">
            <w:pPr>
              <w:keepNext/>
              <w:keepLines/>
              <w:spacing w:before="0" w:after="0" w:line="240" w:lineRule="auto"/>
              <w:jc w:val="center"/>
              <w:rPr>
                <w:rFonts w:eastAsia="Times New Roman" w:cs="Times New Roman"/>
                <w:b/>
                <w:sz w:val="20"/>
                <w:szCs w:val="20"/>
              </w:rPr>
            </w:pPr>
            <w:r w:rsidRPr="00D31C65">
              <w:rPr>
                <w:rFonts w:eastAsia="Times New Roman" w:cs="Times New Roman"/>
                <w:b/>
                <w:sz w:val="20"/>
                <w:szCs w:val="20"/>
              </w:rPr>
              <w:t>Value</w:t>
            </w:r>
          </w:p>
        </w:tc>
        <w:tc>
          <w:tcPr>
            <w:tcW w:w="3460" w:type="dxa"/>
            <w:shd w:val="clear" w:color="auto" w:fill="F2F2F2" w:themeFill="background1" w:themeFillShade="F2"/>
            <w:noWrap/>
            <w:vAlign w:val="bottom"/>
            <w:hideMark/>
          </w:tcPr>
          <w:p w14:paraId="177CA620" w14:textId="77777777" w:rsidR="00633CF2" w:rsidRPr="00D31C65" w:rsidRDefault="00633CF2" w:rsidP="003B12C3">
            <w:pPr>
              <w:keepNext/>
              <w:keepLines/>
              <w:spacing w:before="0" w:after="0" w:line="240" w:lineRule="auto"/>
              <w:jc w:val="center"/>
              <w:rPr>
                <w:rFonts w:eastAsia="Times New Roman" w:cs="Times New Roman"/>
                <w:b/>
                <w:sz w:val="20"/>
                <w:szCs w:val="20"/>
              </w:rPr>
            </w:pPr>
            <w:r w:rsidRPr="00D31C65">
              <w:rPr>
                <w:rFonts w:eastAsia="Times New Roman" w:cs="Times New Roman"/>
                <w:b/>
                <w:sz w:val="20"/>
                <w:szCs w:val="20"/>
              </w:rPr>
              <w:t>Source</w:t>
            </w:r>
          </w:p>
        </w:tc>
      </w:tr>
      <w:tr w:rsidR="00633CF2" w:rsidRPr="00D31C65" w14:paraId="19DB8CEB" w14:textId="77777777" w:rsidTr="00523A43">
        <w:trPr>
          <w:trHeight w:val="260"/>
        </w:trPr>
        <w:tc>
          <w:tcPr>
            <w:tcW w:w="3505" w:type="dxa"/>
            <w:shd w:val="clear" w:color="auto" w:fill="FFFFFF" w:themeFill="background1"/>
            <w:noWrap/>
            <w:vAlign w:val="center"/>
            <w:hideMark/>
          </w:tcPr>
          <w:p w14:paraId="5C951A64" w14:textId="77777777" w:rsidR="00633CF2" w:rsidRPr="00D31C65" w:rsidRDefault="00633CF2" w:rsidP="003B12C3">
            <w:pPr>
              <w:keepNext/>
              <w:keepLines/>
              <w:spacing w:before="0" w:after="0" w:line="240" w:lineRule="auto"/>
              <w:rPr>
                <w:rFonts w:eastAsia="Times New Roman" w:cs="Times New Roman"/>
                <w:sz w:val="20"/>
                <w:szCs w:val="20"/>
              </w:rPr>
            </w:pPr>
            <w:r>
              <w:rPr>
                <w:rFonts w:eastAsia="Times New Roman" w:cs="Times New Roman"/>
                <w:sz w:val="20"/>
                <w:szCs w:val="20"/>
              </w:rPr>
              <w:t>Specific Heat Capacity</w:t>
            </w:r>
            <w:r w:rsidRPr="00D31C65">
              <w:rPr>
                <w:rFonts w:eastAsia="Times New Roman" w:cs="Times New Roman"/>
                <w:sz w:val="20"/>
                <w:szCs w:val="20"/>
              </w:rPr>
              <w:t xml:space="preserve"> of </w:t>
            </w:r>
            <w:r>
              <w:rPr>
                <w:rFonts w:eastAsia="Times New Roman" w:cs="Times New Roman"/>
                <w:sz w:val="20"/>
                <w:szCs w:val="20"/>
              </w:rPr>
              <w:t>W</w:t>
            </w:r>
            <w:r w:rsidRPr="00D31C65">
              <w:rPr>
                <w:rFonts w:eastAsia="Times New Roman" w:cs="Times New Roman"/>
                <w:sz w:val="20"/>
                <w:szCs w:val="20"/>
              </w:rPr>
              <w:t>ater</w:t>
            </w:r>
            <w:r>
              <w:rPr>
                <w:rFonts w:eastAsia="Times New Roman" w:cs="Times New Roman"/>
                <w:sz w:val="20"/>
                <w:szCs w:val="20"/>
              </w:rPr>
              <w:t xml:space="preserve"> (Btu</w:t>
            </w:r>
            <w:r w:rsidRPr="00D31C65">
              <w:rPr>
                <w:rFonts w:eastAsia="Times New Roman" w:cs="Times New Roman"/>
                <w:sz w:val="20"/>
                <w:szCs w:val="20"/>
              </w:rPr>
              <w:t>/lb/°F</w:t>
            </w:r>
            <w:r>
              <w:rPr>
                <w:rFonts w:eastAsia="Times New Roman" w:cs="Times New Roman"/>
                <w:sz w:val="20"/>
                <w:szCs w:val="20"/>
              </w:rPr>
              <w:t>)</w:t>
            </w:r>
          </w:p>
        </w:tc>
        <w:tc>
          <w:tcPr>
            <w:tcW w:w="1170" w:type="dxa"/>
            <w:shd w:val="clear" w:color="auto" w:fill="FFFFFF" w:themeFill="background1"/>
            <w:noWrap/>
            <w:vAlign w:val="center"/>
            <w:hideMark/>
          </w:tcPr>
          <w:p w14:paraId="5F2245EB" w14:textId="77777777" w:rsidR="00633CF2" w:rsidRPr="00D31C65" w:rsidRDefault="00633CF2" w:rsidP="00523A43">
            <w:pPr>
              <w:keepNext/>
              <w:keepLines/>
              <w:spacing w:before="0" w:after="0" w:line="240" w:lineRule="auto"/>
              <w:jc w:val="center"/>
              <w:rPr>
                <w:rFonts w:eastAsia="Times New Roman" w:cs="Times New Roman"/>
                <w:sz w:val="20"/>
                <w:szCs w:val="20"/>
              </w:rPr>
            </w:pPr>
            <w:r w:rsidRPr="00D31C65">
              <w:rPr>
                <w:rFonts w:eastAsia="Times New Roman" w:cs="Times New Roman"/>
                <w:sz w:val="20"/>
                <w:szCs w:val="20"/>
              </w:rPr>
              <w:t>1</w:t>
            </w:r>
          </w:p>
        </w:tc>
        <w:tc>
          <w:tcPr>
            <w:tcW w:w="3460" w:type="dxa"/>
            <w:shd w:val="clear" w:color="auto" w:fill="FFFFFF" w:themeFill="background1"/>
            <w:noWrap/>
            <w:vAlign w:val="center"/>
            <w:hideMark/>
          </w:tcPr>
          <w:p w14:paraId="40E12F2C" w14:textId="77777777" w:rsidR="00633CF2" w:rsidRPr="00247D11" w:rsidRDefault="00633CF2" w:rsidP="003B12C3">
            <w:pPr>
              <w:keepNext/>
              <w:keepLines/>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633CF2" w:rsidRPr="00D31C65" w14:paraId="26B77FD0" w14:textId="77777777" w:rsidTr="00523A43">
        <w:trPr>
          <w:trHeight w:val="260"/>
        </w:trPr>
        <w:tc>
          <w:tcPr>
            <w:tcW w:w="3505" w:type="dxa"/>
            <w:shd w:val="clear" w:color="auto" w:fill="FFFFFF" w:themeFill="background1"/>
            <w:noWrap/>
            <w:vAlign w:val="center"/>
            <w:hideMark/>
          </w:tcPr>
          <w:p w14:paraId="16B9D65C" w14:textId="77777777" w:rsidR="00633CF2" w:rsidRPr="00D31C65" w:rsidRDefault="00633CF2" w:rsidP="005B790E">
            <w:pPr>
              <w:spacing w:before="0" w:after="0" w:line="240" w:lineRule="auto"/>
              <w:rPr>
                <w:rFonts w:eastAsia="Times New Roman" w:cs="Times New Roman"/>
                <w:sz w:val="20"/>
                <w:szCs w:val="20"/>
              </w:rPr>
            </w:pPr>
            <w:r w:rsidRPr="00D31C65">
              <w:rPr>
                <w:rFonts w:eastAsia="Times New Roman" w:cs="Times New Roman"/>
                <w:sz w:val="20"/>
                <w:szCs w:val="20"/>
              </w:rPr>
              <w:t xml:space="preserve">Water </w:t>
            </w:r>
            <w:r>
              <w:rPr>
                <w:rFonts w:eastAsia="Times New Roman" w:cs="Times New Roman"/>
                <w:sz w:val="20"/>
                <w:szCs w:val="20"/>
              </w:rPr>
              <w:t>W</w:t>
            </w:r>
            <w:r w:rsidRPr="00D31C65">
              <w:rPr>
                <w:rFonts w:eastAsia="Times New Roman" w:cs="Times New Roman"/>
                <w:sz w:val="20"/>
                <w:szCs w:val="20"/>
              </w:rPr>
              <w:t>eight</w:t>
            </w:r>
            <w:r>
              <w:rPr>
                <w:rFonts w:eastAsia="Times New Roman" w:cs="Times New Roman"/>
                <w:sz w:val="20"/>
                <w:szCs w:val="20"/>
              </w:rPr>
              <w:t xml:space="preserve"> (</w:t>
            </w:r>
            <w:r w:rsidRPr="00D31C65">
              <w:rPr>
                <w:rFonts w:eastAsia="Times New Roman" w:cs="Times New Roman"/>
                <w:sz w:val="20"/>
                <w:szCs w:val="20"/>
              </w:rPr>
              <w:t>lb/gal</w:t>
            </w:r>
            <w:r>
              <w:rPr>
                <w:rFonts w:eastAsia="Times New Roman" w:cs="Times New Roman"/>
                <w:sz w:val="20"/>
                <w:szCs w:val="20"/>
              </w:rPr>
              <w:t>)</w:t>
            </w:r>
          </w:p>
        </w:tc>
        <w:tc>
          <w:tcPr>
            <w:tcW w:w="1170" w:type="dxa"/>
            <w:shd w:val="clear" w:color="auto" w:fill="FFFFFF" w:themeFill="background1"/>
            <w:noWrap/>
            <w:vAlign w:val="center"/>
            <w:hideMark/>
          </w:tcPr>
          <w:p w14:paraId="726149BB" w14:textId="77777777" w:rsidR="00633CF2" w:rsidRPr="00D31C65" w:rsidRDefault="00633CF2" w:rsidP="00523A43">
            <w:pPr>
              <w:spacing w:before="0" w:after="0" w:line="240" w:lineRule="auto"/>
              <w:jc w:val="center"/>
              <w:rPr>
                <w:rFonts w:eastAsia="Times New Roman" w:cs="Times New Roman"/>
                <w:sz w:val="20"/>
                <w:szCs w:val="20"/>
              </w:rPr>
            </w:pPr>
            <w:r w:rsidRPr="00D31C65">
              <w:rPr>
                <w:rFonts w:eastAsia="Times New Roman" w:cs="Times New Roman"/>
                <w:sz w:val="20"/>
                <w:szCs w:val="20"/>
              </w:rPr>
              <w:t>8.34</w:t>
            </w:r>
          </w:p>
        </w:tc>
        <w:tc>
          <w:tcPr>
            <w:tcW w:w="3460" w:type="dxa"/>
            <w:shd w:val="clear" w:color="auto" w:fill="FFFFFF" w:themeFill="background1"/>
            <w:noWrap/>
            <w:vAlign w:val="center"/>
            <w:hideMark/>
          </w:tcPr>
          <w:p w14:paraId="1956819F" w14:textId="77777777" w:rsidR="00633CF2" w:rsidRPr="00247D11" w:rsidRDefault="00633CF2" w:rsidP="005B790E">
            <w:pPr>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962A47" w:rsidRPr="00D31C65" w14:paraId="21D90ACC" w14:textId="77777777" w:rsidTr="00523A43">
        <w:trPr>
          <w:trHeight w:val="260"/>
        </w:trPr>
        <w:tc>
          <w:tcPr>
            <w:tcW w:w="3505" w:type="dxa"/>
            <w:shd w:val="clear" w:color="auto" w:fill="FFFFFF" w:themeFill="background1"/>
            <w:noWrap/>
            <w:vAlign w:val="center"/>
          </w:tcPr>
          <w:p w14:paraId="2756559F" w14:textId="3BD66460" w:rsidR="00962A47" w:rsidRPr="00D31C65" w:rsidRDefault="00962A47" w:rsidP="00962A47">
            <w:pPr>
              <w:spacing w:before="0" w:after="0" w:line="240" w:lineRule="auto"/>
              <w:rPr>
                <w:rFonts w:eastAsia="Times New Roman" w:cs="Times New Roman"/>
                <w:sz w:val="20"/>
                <w:szCs w:val="20"/>
              </w:rPr>
            </w:pPr>
            <w:r>
              <w:rPr>
                <w:rFonts w:eastAsia="Times New Roman" w:cs="Times New Roman"/>
                <w:sz w:val="20"/>
                <w:szCs w:val="20"/>
              </w:rPr>
              <w:t>Gallons to cubic feet conversion (gal/ft</w:t>
            </w:r>
            <w:r w:rsidRPr="00962A47">
              <w:rPr>
                <w:rFonts w:eastAsia="Times New Roman" w:cs="Times New Roman"/>
                <w:sz w:val="20"/>
                <w:szCs w:val="20"/>
                <w:vertAlign w:val="superscript"/>
              </w:rPr>
              <w:t>3</w:t>
            </w:r>
            <w:r>
              <w:rPr>
                <w:rFonts w:eastAsia="Times New Roman" w:cs="Times New Roman"/>
                <w:sz w:val="20"/>
                <w:szCs w:val="20"/>
              </w:rPr>
              <w:t>)</w:t>
            </w:r>
          </w:p>
        </w:tc>
        <w:tc>
          <w:tcPr>
            <w:tcW w:w="1170" w:type="dxa"/>
            <w:shd w:val="clear" w:color="auto" w:fill="FFFFFF" w:themeFill="background1"/>
            <w:noWrap/>
            <w:vAlign w:val="center"/>
          </w:tcPr>
          <w:p w14:paraId="361F7C18" w14:textId="283FD1BD" w:rsidR="00962A47" w:rsidRPr="00D31C65" w:rsidRDefault="00962A47" w:rsidP="00523A43">
            <w:pPr>
              <w:spacing w:before="0" w:after="0" w:line="240" w:lineRule="auto"/>
              <w:jc w:val="center"/>
              <w:rPr>
                <w:rFonts w:eastAsia="Times New Roman" w:cs="Times New Roman"/>
                <w:sz w:val="20"/>
                <w:szCs w:val="20"/>
              </w:rPr>
            </w:pPr>
            <w:r>
              <w:rPr>
                <w:rFonts w:eastAsia="Times New Roman" w:cs="Times New Roman"/>
                <w:sz w:val="20"/>
                <w:szCs w:val="20"/>
              </w:rPr>
              <w:t>7.5</w:t>
            </w:r>
          </w:p>
        </w:tc>
        <w:tc>
          <w:tcPr>
            <w:tcW w:w="3460" w:type="dxa"/>
            <w:shd w:val="clear" w:color="auto" w:fill="FFFFFF" w:themeFill="background1"/>
            <w:noWrap/>
            <w:vAlign w:val="center"/>
          </w:tcPr>
          <w:p w14:paraId="70E87B8F" w14:textId="60C00014" w:rsidR="00962A47" w:rsidRPr="00247D11" w:rsidRDefault="00962A47" w:rsidP="00962A47">
            <w:pPr>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962A47" w:rsidRPr="00D31C65" w14:paraId="77C4FE63" w14:textId="77777777" w:rsidTr="00523A43">
        <w:trPr>
          <w:trHeight w:val="260"/>
        </w:trPr>
        <w:tc>
          <w:tcPr>
            <w:tcW w:w="3505" w:type="dxa"/>
            <w:shd w:val="clear" w:color="auto" w:fill="FFFFFF" w:themeFill="background1"/>
            <w:noWrap/>
            <w:vAlign w:val="center"/>
          </w:tcPr>
          <w:p w14:paraId="489125FF" w14:textId="28AE5681" w:rsidR="00962A47" w:rsidRDefault="00962A47" w:rsidP="00962A47">
            <w:pPr>
              <w:spacing w:before="0" w:after="0" w:line="240" w:lineRule="auto"/>
              <w:rPr>
                <w:rFonts w:eastAsia="Times New Roman" w:cs="Times New Roman"/>
                <w:sz w:val="20"/>
                <w:szCs w:val="20"/>
              </w:rPr>
            </w:pPr>
            <w:r>
              <w:rPr>
                <w:rFonts w:eastAsia="Times New Roman" w:cs="Times New Roman"/>
                <w:sz w:val="20"/>
                <w:szCs w:val="20"/>
              </w:rPr>
              <w:t>Water density (lbm/ft</w:t>
            </w:r>
            <w:r w:rsidRPr="00962A47">
              <w:rPr>
                <w:rFonts w:eastAsia="Times New Roman" w:cs="Times New Roman"/>
                <w:sz w:val="20"/>
                <w:szCs w:val="20"/>
                <w:vertAlign w:val="subscript"/>
              </w:rPr>
              <w:t>3</w:t>
            </w:r>
            <w:r>
              <w:rPr>
                <w:rFonts w:eastAsia="Times New Roman" w:cs="Times New Roman"/>
                <w:sz w:val="20"/>
                <w:szCs w:val="20"/>
              </w:rPr>
              <w:t>)</w:t>
            </w:r>
          </w:p>
        </w:tc>
        <w:tc>
          <w:tcPr>
            <w:tcW w:w="1170" w:type="dxa"/>
            <w:shd w:val="clear" w:color="auto" w:fill="FFFFFF" w:themeFill="background1"/>
            <w:noWrap/>
            <w:vAlign w:val="center"/>
          </w:tcPr>
          <w:p w14:paraId="036B7604" w14:textId="13745843" w:rsidR="00962A47" w:rsidRDefault="00962A47" w:rsidP="00523A43">
            <w:pPr>
              <w:spacing w:before="0" w:after="0" w:line="240" w:lineRule="auto"/>
              <w:jc w:val="center"/>
              <w:rPr>
                <w:rFonts w:eastAsia="Times New Roman" w:cs="Times New Roman"/>
                <w:sz w:val="20"/>
                <w:szCs w:val="20"/>
              </w:rPr>
            </w:pPr>
            <w:r>
              <w:rPr>
                <w:rFonts w:eastAsia="Times New Roman" w:cs="Times New Roman"/>
                <w:sz w:val="20"/>
                <w:szCs w:val="20"/>
              </w:rPr>
              <w:t>62.37</w:t>
            </w:r>
          </w:p>
        </w:tc>
        <w:tc>
          <w:tcPr>
            <w:tcW w:w="3460" w:type="dxa"/>
            <w:shd w:val="clear" w:color="auto" w:fill="FFFFFF" w:themeFill="background1"/>
            <w:noWrap/>
            <w:vAlign w:val="center"/>
          </w:tcPr>
          <w:p w14:paraId="4C9B2AC7" w14:textId="270CA49F" w:rsidR="00962A47" w:rsidRPr="00247D11" w:rsidRDefault="00962A47" w:rsidP="00962A47">
            <w:pPr>
              <w:spacing w:before="0" w:after="0" w:line="240" w:lineRule="auto"/>
              <w:rPr>
                <w:rFonts w:eastAsia="Times New Roman" w:cs="Times New Roman"/>
                <w:sz w:val="18"/>
                <w:szCs w:val="20"/>
              </w:rPr>
            </w:pPr>
            <w:r>
              <w:rPr>
                <w:rFonts w:eastAsia="Times New Roman" w:cs="Times New Roman"/>
                <w:sz w:val="18"/>
                <w:szCs w:val="20"/>
              </w:rPr>
              <w:t>Fixed constant</w:t>
            </w:r>
          </w:p>
        </w:tc>
      </w:tr>
      <w:tr w:rsidR="00962A47" w:rsidRPr="00D31C65" w14:paraId="6AB74749" w14:textId="77777777" w:rsidTr="00523A43">
        <w:trPr>
          <w:trHeight w:val="260"/>
        </w:trPr>
        <w:tc>
          <w:tcPr>
            <w:tcW w:w="3505" w:type="dxa"/>
            <w:shd w:val="clear" w:color="auto" w:fill="FFFFFF" w:themeFill="background1"/>
            <w:noWrap/>
            <w:vAlign w:val="center"/>
            <w:hideMark/>
          </w:tcPr>
          <w:p w14:paraId="68AF1A3D" w14:textId="77777777" w:rsidR="00962A47" w:rsidRPr="00D31C65" w:rsidRDefault="00962A47" w:rsidP="00962A47">
            <w:pPr>
              <w:spacing w:before="0" w:after="0" w:line="240" w:lineRule="auto"/>
              <w:rPr>
                <w:rFonts w:eastAsia="Times New Roman" w:cs="Times New Roman"/>
                <w:sz w:val="20"/>
                <w:szCs w:val="20"/>
              </w:rPr>
            </w:pPr>
            <w:r>
              <w:rPr>
                <w:rFonts w:eastAsia="Times New Roman" w:cs="Times New Roman"/>
                <w:sz w:val="20"/>
                <w:szCs w:val="20"/>
              </w:rPr>
              <w:t>Average Make-up (Groundwater) W</w:t>
            </w:r>
            <w:r w:rsidRPr="00D31C65">
              <w:rPr>
                <w:rFonts w:eastAsia="Times New Roman" w:cs="Times New Roman"/>
                <w:sz w:val="20"/>
                <w:szCs w:val="20"/>
              </w:rPr>
              <w:t xml:space="preserve">ater </w:t>
            </w:r>
            <w:r>
              <w:rPr>
                <w:rFonts w:eastAsia="Times New Roman" w:cs="Times New Roman"/>
                <w:sz w:val="20"/>
                <w:szCs w:val="20"/>
              </w:rPr>
              <w:t>T</w:t>
            </w:r>
            <w:r w:rsidRPr="00D31C65">
              <w:rPr>
                <w:rFonts w:eastAsia="Times New Roman" w:cs="Times New Roman"/>
                <w:sz w:val="20"/>
                <w:szCs w:val="20"/>
              </w:rPr>
              <w:t>emperature</w:t>
            </w:r>
            <w:r>
              <w:rPr>
                <w:rFonts w:eastAsia="Times New Roman" w:cs="Times New Roman"/>
                <w:sz w:val="20"/>
                <w:szCs w:val="20"/>
              </w:rPr>
              <w:t xml:space="preserve"> (</w:t>
            </w:r>
            <w:r w:rsidRPr="00D31C65">
              <w:rPr>
                <w:rFonts w:eastAsia="Times New Roman" w:cs="Times New Roman"/>
                <w:sz w:val="20"/>
                <w:szCs w:val="20"/>
              </w:rPr>
              <w:t>°F</w:t>
            </w:r>
            <w:r>
              <w:rPr>
                <w:rFonts w:eastAsia="Times New Roman" w:cs="Times New Roman"/>
                <w:sz w:val="20"/>
                <w:szCs w:val="20"/>
              </w:rPr>
              <w:t>)</w:t>
            </w:r>
          </w:p>
        </w:tc>
        <w:tc>
          <w:tcPr>
            <w:tcW w:w="1170" w:type="dxa"/>
            <w:shd w:val="clear" w:color="auto" w:fill="FFFFFF" w:themeFill="background1"/>
            <w:noWrap/>
            <w:vAlign w:val="center"/>
            <w:hideMark/>
          </w:tcPr>
          <w:p w14:paraId="208E8189" w14:textId="77777777" w:rsidR="00962A47" w:rsidRPr="00523A43" w:rsidRDefault="00962A47" w:rsidP="00523A43">
            <w:pPr>
              <w:spacing w:before="0" w:after="0" w:line="240" w:lineRule="auto"/>
              <w:jc w:val="center"/>
              <w:rPr>
                <w:rFonts w:eastAsia="Times New Roman" w:cs="Times New Roman"/>
                <w:sz w:val="18"/>
                <w:szCs w:val="20"/>
              </w:rPr>
            </w:pPr>
            <w:r w:rsidRPr="00523A43">
              <w:rPr>
                <w:rFonts w:eastAsia="Times New Roman" w:cs="Times New Roman"/>
                <w:sz w:val="18"/>
                <w:szCs w:val="20"/>
              </w:rPr>
              <w:t>Varies by climate zone</w:t>
            </w:r>
          </w:p>
        </w:tc>
        <w:tc>
          <w:tcPr>
            <w:tcW w:w="3460" w:type="dxa"/>
            <w:shd w:val="clear" w:color="auto" w:fill="FFFFFF" w:themeFill="background1"/>
            <w:noWrap/>
            <w:vAlign w:val="center"/>
          </w:tcPr>
          <w:p w14:paraId="160C236A" w14:textId="1D510268" w:rsidR="00962A47" w:rsidRPr="003B12C3" w:rsidRDefault="003B12C3" w:rsidP="00962A47">
            <w:pPr>
              <w:spacing w:before="0" w:after="0" w:line="240" w:lineRule="auto"/>
              <w:rPr>
                <w:rFonts w:eastAsia="Times New Roman" w:cs="Times New Roman"/>
                <w:sz w:val="18"/>
                <w:szCs w:val="20"/>
              </w:rPr>
            </w:pPr>
            <w:r w:rsidRPr="003B12C3">
              <w:rPr>
                <w:rFonts w:eastAsia="Times New Roman" w:cs="Times New Roman"/>
                <w:sz w:val="18"/>
                <w:szCs w:val="20"/>
              </w:rPr>
              <w:t>See below.</w:t>
            </w:r>
          </w:p>
        </w:tc>
      </w:tr>
      <w:tr w:rsidR="00962A47" w:rsidRPr="00D31C65" w14:paraId="45B39C63" w14:textId="77777777" w:rsidTr="00523A43">
        <w:trPr>
          <w:trHeight w:val="260"/>
        </w:trPr>
        <w:tc>
          <w:tcPr>
            <w:tcW w:w="3505" w:type="dxa"/>
            <w:shd w:val="clear" w:color="auto" w:fill="FFFFFF" w:themeFill="background1"/>
            <w:noWrap/>
            <w:vAlign w:val="center"/>
            <w:hideMark/>
          </w:tcPr>
          <w:p w14:paraId="1436BB0D" w14:textId="77777777" w:rsidR="00962A47" w:rsidRPr="00D31C65" w:rsidRDefault="00962A47" w:rsidP="00962A47">
            <w:pPr>
              <w:spacing w:before="0" w:after="0" w:line="240" w:lineRule="auto"/>
              <w:rPr>
                <w:rFonts w:eastAsia="Times New Roman" w:cs="Times New Roman"/>
                <w:sz w:val="20"/>
                <w:szCs w:val="20"/>
              </w:rPr>
            </w:pPr>
            <w:r>
              <w:rPr>
                <w:rFonts w:eastAsia="Times New Roman" w:cs="Times New Roman"/>
                <w:sz w:val="20"/>
                <w:szCs w:val="20"/>
              </w:rPr>
              <w:t xml:space="preserve">Mixed </w:t>
            </w:r>
            <w:r w:rsidRPr="00D31C65">
              <w:rPr>
                <w:rFonts w:eastAsia="Times New Roman" w:cs="Times New Roman"/>
                <w:sz w:val="20"/>
                <w:szCs w:val="20"/>
              </w:rPr>
              <w:t xml:space="preserve">Water </w:t>
            </w:r>
            <w:r>
              <w:rPr>
                <w:rFonts w:eastAsia="Times New Roman" w:cs="Times New Roman"/>
                <w:sz w:val="20"/>
                <w:szCs w:val="20"/>
              </w:rPr>
              <w:t>T</w:t>
            </w:r>
            <w:r w:rsidRPr="00D31C65">
              <w:rPr>
                <w:rFonts w:eastAsia="Times New Roman" w:cs="Times New Roman"/>
                <w:sz w:val="20"/>
                <w:szCs w:val="20"/>
              </w:rPr>
              <w:t>emp</w:t>
            </w:r>
            <w:r>
              <w:rPr>
                <w:rFonts w:eastAsia="Times New Roman" w:cs="Times New Roman"/>
                <w:sz w:val="20"/>
                <w:szCs w:val="20"/>
              </w:rPr>
              <w:t>erature</w:t>
            </w:r>
            <w:r w:rsidRPr="00D31C65">
              <w:rPr>
                <w:rFonts w:eastAsia="Times New Roman" w:cs="Times New Roman"/>
                <w:sz w:val="20"/>
                <w:szCs w:val="20"/>
              </w:rPr>
              <w:t xml:space="preserve"> @ Faucet</w:t>
            </w:r>
            <w:r>
              <w:rPr>
                <w:rFonts w:eastAsia="Times New Roman" w:cs="Times New Roman"/>
                <w:sz w:val="20"/>
                <w:szCs w:val="20"/>
              </w:rPr>
              <w:t xml:space="preserve"> (</w:t>
            </w:r>
            <w:r w:rsidRPr="00D31C65">
              <w:rPr>
                <w:rFonts w:eastAsia="Times New Roman" w:cs="Times New Roman"/>
                <w:sz w:val="20"/>
                <w:szCs w:val="20"/>
              </w:rPr>
              <w:t>°F</w:t>
            </w:r>
            <w:r>
              <w:rPr>
                <w:rFonts w:eastAsia="Times New Roman" w:cs="Times New Roman"/>
                <w:sz w:val="20"/>
                <w:szCs w:val="20"/>
              </w:rPr>
              <w:t>)</w:t>
            </w:r>
          </w:p>
        </w:tc>
        <w:tc>
          <w:tcPr>
            <w:tcW w:w="1170" w:type="dxa"/>
            <w:shd w:val="clear" w:color="auto" w:fill="FFFFFF" w:themeFill="background1"/>
            <w:noWrap/>
            <w:vAlign w:val="center"/>
            <w:hideMark/>
          </w:tcPr>
          <w:p w14:paraId="12B29B0C" w14:textId="77777777" w:rsidR="00962A47" w:rsidRPr="00DB79BE" w:rsidRDefault="00962A47" w:rsidP="00523A43">
            <w:pPr>
              <w:spacing w:before="0" w:after="0" w:line="240" w:lineRule="auto"/>
              <w:jc w:val="center"/>
              <w:rPr>
                <w:rFonts w:eastAsia="Times New Roman" w:cs="Times New Roman"/>
                <w:sz w:val="20"/>
                <w:szCs w:val="20"/>
              </w:rPr>
            </w:pPr>
            <w:r w:rsidRPr="00DB79BE">
              <w:rPr>
                <w:rFonts w:eastAsia="Times New Roman" w:cs="Times New Roman"/>
                <w:sz w:val="20"/>
                <w:szCs w:val="20"/>
              </w:rPr>
              <w:t>106</w:t>
            </w:r>
          </w:p>
        </w:tc>
        <w:tc>
          <w:tcPr>
            <w:tcW w:w="3460" w:type="dxa"/>
            <w:shd w:val="clear" w:color="auto" w:fill="FFFFFF" w:themeFill="background1"/>
            <w:noWrap/>
            <w:vAlign w:val="center"/>
          </w:tcPr>
          <w:p w14:paraId="68F2CD1C" w14:textId="77777777" w:rsidR="00962A47" w:rsidRPr="00325626" w:rsidRDefault="00962A47" w:rsidP="00962A47">
            <w:pPr>
              <w:spacing w:before="0" w:after="0" w:line="240" w:lineRule="auto"/>
              <w:rPr>
                <w:rFonts w:eastAsia="Times New Roman" w:cs="Times New Roman"/>
                <w:b/>
                <w:sz w:val="20"/>
                <w:szCs w:val="20"/>
                <w:highlight w:val="yellow"/>
              </w:rPr>
            </w:pPr>
            <w:r w:rsidRPr="00247D11">
              <w:rPr>
                <w:sz w:val="18"/>
              </w:rPr>
              <w:t>Sempra Energy Utilities (SEU). 2012. “</w:t>
            </w:r>
            <w:r>
              <w:rPr>
                <w:sz w:val="18"/>
              </w:rPr>
              <w:t>SEU</w:t>
            </w:r>
            <w:r w:rsidRPr="00247D11">
              <w:rPr>
                <w:sz w:val="18"/>
              </w:rPr>
              <w:t xml:space="preserve"> 2009 ASW Data REDACTED.xlsx”.</w:t>
            </w:r>
          </w:p>
        </w:tc>
      </w:tr>
      <w:tr w:rsidR="00962A47" w:rsidRPr="00D31C65" w14:paraId="5646A5BA" w14:textId="77777777" w:rsidTr="00523A43">
        <w:trPr>
          <w:trHeight w:val="260"/>
        </w:trPr>
        <w:tc>
          <w:tcPr>
            <w:tcW w:w="3505" w:type="dxa"/>
            <w:shd w:val="clear" w:color="auto" w:fill="FFFFFF" w:themeFill="background1"/>
            <w:noWrap/>
            <w:vAlign w:val="center"/>
          </w:tcPr>
          <w:p w14:paraId="16836D6A" w14:textId="77777777" w:rsidR="00962A47" w:rsidRPr="00D31C65" w:rsidRDefault="00962A47" w:rsidP="00962A47">
            <w:pPr>
              <w:spacing w:before="0" w:after="0" w:line="240" w:lineRule="auto"/>
              <w:rPr>
                <w:rFonts w:eastAsia="Times New Roman" w:cs="Times New Roman"/>
                <w:sz w:val="20"/>
                <w:szCs w:val="20"/>
              </w:rPr>
            </w:pPr>
            <w:r w:rsidRPr="00D31C65">
              <w:rPr>
                <w:rFonts w:eastAsia="Times New Roman" w:cs="Times New Roman"/>
                <w:sz w:val="20"/>
                <w:szCs w:val="20"/>
              </w:rPr>
              <w:t xml:space="preserve">Gas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170" w:type="dxa"/>
            <w:shd w:val="clear" w:color="auto" w:fill="FFFFFF" w:themeFill="background1"/>
            <w:noWrap/>
            <w:vAlign w:val="center"/>
          </w:tcPr>
          <w:p w14:paraId="4B09411E" w14:textId="77777777" w:rsidR="00962A47" w:rsidRPr="00DB79BE" w:rsidRDefault="00962A47" w:rsidP="00523A43">
            <w:pPr>
              <w:spacing w:before="0" w:after="0" w:line="240" w:lineRule="auto"/>
              <w:jc w:val="center"/>
              <w:rPr>
                <w:rFonts w:eastAsia="Times New Roman" w:cs="Times New Roman"/>
                <w:sz w:val="20"/>
                <w:szCs w:val="20"/>
              </w:rPr>
            </w:pPr>
            <w:r w:rsidRPr="00DB79BE">
              <w:rPr>
                <w:rFonts w:eastAsia="Times New Roman" w:cs="Times New Roman"/>
                <w:sz w:val="20"/>
                <w:szCs w:val="20"/>
              </w:rPr>
              <w:t>0.77</w:t>
            </w:r>
          </w:p>
        </w:tc>
        <w:tc>
          <w:tcPr>
            <w:tcW w:w="3460" w:type="dxa"/>
            <w:shd w:val="clear" w:color="auto" w:fill="FFFFFF" w:themeFill="background1"/>
            <w:noWrap/>
            <w:vAlign w:val="center"/>
          </w:tcPr>
          <w:p w14:paraId="3D13EBEC" w14:textId="77777777" w:rsidR="00962A47" w:rsidRDefault="00962A47" w:rsidP="00962A47">
            <w:pPr>
              <w:spacing w:before="0" w:after="0" w:line="240" w:lineRule="auto"/>
              <w:rPr>
                <w:rFonts w:eastAsia="Times New Roman" w:cs="Times New Roman"/>
                <w:sz w:val="18"/>
                <w:szCs w:val="18"/>
              </w:rPr>
            </w:pPr>
            <w:r w:rsidRPr="00780884">
              <w:rPr>
                <w:rFonts w:eastAsia="Times New Roman" w:cs="Times New Roman"/>
                <w:sz w:val="18"/>
                <w:szCs w:val="18"/>
              </w:rPr>
              <w:t>Southern California Gas Company (SCG). 2010. “Gas Fired Storage Water Heater Extract from CEC Appliance Data 07.07.2010.xlsx.”</w:t>
            </w:r>
          </w:p>
          <w:p w14:paraId="404E9646" w14:textId="77777777" w:rsidR="00962A47" w:rsidRPr="00332F5E" w:rsidRDefault="00962A47" w:rsidP="00962A47">
            <w:pPr>
              <w:spacing w:before="0" w:after="0" w:line="240" w:lineRule="auto"/>
              <w:rPr>
                <w:rFonts w:eastAsia="Times New Roman" w:cs="Times New Roman"/>
                <w:sz w:val="20"/>
                <w:szCs w:val="20"/>
                <w:highlight w:val="yellow"/>
              </w:rPr>
            </w:pPr>
          </w:p>
          <w:p w14:paraId="21E7D798" w14:textId="77777777" w:rsidR="00962A47" w:rsidRPr="00325626" w:rsidRDefault="00962A47" w:rsidP="00962A47">
            <w:pPr>
              <w:spacing w:before="0" w:after="0" w:line="240" w:lineRule="auto"/>
              <w:rPr>
                <w:rFonts w:eastAsia="Times New Roman" w:cs="Times New Roman"/>
                <w:b/>
                <w:sz w:val="20"/>
                <w:szCs w:val="20"/>
                <w:highlight w:val="yellow"/>
              </w:rPr>
            </w:pPr>
            <w:r w:rsidRPr="00E540D1">
              <w:rPr>
                <w:rFonts w:eastAsia="Times New Roman" w:cs="Times New Roman"/>
                <w:sz w:val="18"/>
                <w:szCs w:val="18"/>
              </w:rPr>
              <w:t xml:space="preserve">California Public Utilities Commission (CPUC), Energy Division. 2010. </w:t>
            </w:r>
            <w:r w:rsidRPr="00E540D1">
              <w:rPr>
                <w:rFonts w:eastAsia="Times New Roman" w:cs="Times New Roman"/>
                <w:i/>
                <w:sz w:val="18"/>
                <w:szCs w:val="18"/>
              </w:rPr>
              <w:t>Non-DEER Measure Review Template: PGECODHW113 – Low Flow Showerhead and Thermstatic Shower Restriction Valve.</w:t>
            </w:r>
            <w:r w:rsidRPr="00E540D1">
              <w:rPr>
                <w:rFonts w:eastAsia="Times New Roman" w:cs="Times New Roman"/>
                <w:sz w:val="18"/>
                <w:szCs w:val="18"/>
              </w:rPr>
              <w:t xml:space="preserve"> April 27.</w:t>
            </w:r>
          </w:p>
        </w:tc>
      </w:tr>
      <w:bookmarkEnd w:id="60"/>
    </w:tbl>
    <w:p w14:paraId="3E902AA9" w14:textId="77777777" w:rsidR="00633CF2" w:rsidRDefault="00633CF2" w:rsidP="00962A47"/>
    <w:p w14:paraId="04664D9A" w14:textId="34792921" w:rsidR="00BF28B3" w:rsidRDefault="00BF28B3" w:rsidP="00594F7A">
      <w:r>
        <w:rPr>
          <w:b/>
        </w:rPr>
        <w:lastRenderedPageBreak/>
        <w:t>Mixed Water</w:t>
      </w:r>
      <w:r w:rsidR="00594F7A" w:rsidRPr="00761101">
        <w:rPr>
          <w:b/>
        </w:rPr>
        <w:t xml:space="preserve"> Temperature</w:t>
      </w:r>
      <w:r w:rsidR="00594F7A">
        <w:rPr>
          <w:b/>
        </w:rPr>
        <w:t xml:space="preserve">. </w:t>
      </w:r>
      <w:r w:rsidR="00594F7A" w:rsidRPr="00962A47">
        <w:t>For low</w:t>
      </w:r>
      <w:r w:rsidR="002D0487" w:rsidRPr="00962A47">
        <w:t>-</w:t>
      </w:r>
      <w:r w:rsidR="00594F7A" w:rsidRPr="00962A47">
        <w:t>flow showerheads, the outlet water heater temperature account</w:t>
      </w:r>
      <w:r w:rsidR="00962A47" w:rsidRPr="00962A47">
        <w:t>s</w:t>
      </w:r>
      <w:r w:rsidR="00594F7A" w:rsidRPr="00962A47">
        <w:t xml:space="preserve"> for tempering of the hot water with cold water to establish full shower flow. Hot</w:t>
      </w:r>
      <w:r w:rsidR="00594F7A" w:rsidRPr="00761101">
        <w:t xml:space="preserve"> water does not comprise the entire shower flow, so evaluating a smaller water heater temperature rise limits the water heater energy attributable to entire shower flow.</w:t>
      </w:r>
    </w:p>
    <w:p w14:paraId="63F224D0" w14:textId="25CC4033" w:rsidR="00594F7A" w:rsidRDefault="00BF28B3" w:rsidP="00594F7A">
      <w:r w:rsidRPr="00523A43">
        <w:rPr>
          <w:b/>
        </w:rPr>
        <w:t>Supply (Groundwater) Water Temperature.</w:t>
      </w:r>
      <w:r w:rsidR="00594F7A" w:rsidRPr="00523A43">
        <w:t xml:space="preserve"> The water temperature entering the </w:t>
      </w:r>
      <w:r w:rsidR="00523A43" w:rsidRPr="00523A43">
        <w:t xml:space="preserve">water </w:t>
      </w:r>
      <w:r w:rsidR="00594F7A" w:rsidRPr="00523A43">
        <w:t xml:space="preserve">heater varies </w:t>
      </w:r>
      <w:r w:rsidRPr="00523A43">
        <w:t>by</w:t>
      </w:r>
      <w:r w:rsidR="00594F7A" w:rsidRPr="00523A43">
        <w:t xml:space="preserve"> climate zone</w:t>
      </w:r>
      <w:r w:rsidR="00523A43" w:rsidRPr="00523A43">
        <w:t>; average groundwater temperatures by climate zone are provided below.</w:t>
      </w:r>
      <w:r w:rsidRPr="00523A43">
        <w:t xml:space="preserve"> </w:t>
      </w:r>
      <w:r w:rsidR="00594F7A" w:rsidRPr="00523A43">
        <w:t xml:space="preserve"> </w:t>
      </w:r>
    </w:p>
    <w:p w14:paraId="07A3FE88" w14:textId="77777777" w:rsidR="00633CF2" w:rsidRPr="00BA632F" w:rsidRDefault="00633CF2" w:rsidP="00633CF2">
      <w:pPr>
        <w:pStyle w:val="Caption"/>
        <w:keepNext w:val="0"/>
        <w:keepLines w:val="0"/>
        <w:rPr>
          <w:i/>
        </w:rPr>
      </w:pPr>
      <w:bookmarkStart w:id="61" w:name="_Hlk511642499"/>
      <w:r>
        <w:t>Make-up (Groundwater) Water Temperatures by Climate Zone</w:t>
      </w:r>
    </w:p>
    <w:tbl>
      <w:tblPr>
        <w:tblW w:w="611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08"/>
        <w:gridCol w:w="2496"/>
        <w:gridCol w:w="2607"/>
      </w:tblGrid>
      <w:tr w:rsidR="00633CF2" w:rsidRPr="001A2534" w14:paraId="261D34D6" w14:textId="77777777" w:rsidTr="005B790E">
        <w:trPr>
          <w:cantSplit/>
          <w:trHeight w:val="20"/>
          <w:tblHeader/>
        </w:trPr>
        <w:tc>
          <w:tcPr>
            <w:tcW w:w="1008" w:type="dxa"/>
            <w:tcBorders>
              <w:right w:val="dashed" w:sz="4" w:space="0" w:color="A6A6A6" w:themeColor="background1" w:themeShade="A6"/>
            </w:tcBorders>
            <w:shd w:val="clear" w:color="auto" w:fill="F2F2F2" w:themeFill="background1" w:themeFillShade="F2"/>
            <w:hideMark/>
          </w:tcPr>
          <w:p w14:paraId="39685603" w14:textId="77777777" w:rsidR="00633CF2" w:rsidRPr="001A2534" w:rsidRDefault="00633CF2" w:rsidP="005B790E">
            <w:pPr>
              <w:spacing w:before="0" w:after="0" w:line="240" w:lineRule="auto"/>
              <w:jc w:val="center"/>
              <w:rPr>
                <w:rFonts w:eastAsia="Times New Roman" w:cs="Calibri Light"/>
                <w:b/>
                <w:color w:val="000000"/>
                <w:sz w:val="20"/>
                <w:szCs w:val="20"/>
              </w:rPr>
            </w:pPr>
            <w:r w:rsidRPr="001A2534">
              <w:rPr>
                <w:rFonts w:eastAsia="Times New Roman" w:cs="Calibri Light"/>
                <w:b/>
                <w:color w:val="000000"/>
                <w:sz w:val="20"/>
                <w:szCs w:val="20"/>
              </w:rPr>
              <w:t>Climate Zone</w:t>
            </w:r>
          </w:p>
        </w:tc>
        <w:tc>
          <w:tcPr>
            <w:tcW w:w="2496" w:type="dxa"/>
            <w:tcBorders>
              <w:left w:val="dashed" w:sz="4" w:space="0" w:color="A6A6A6" w:themeColor="background1" w:themeShade="A6"/>
              <w:right w:val="single" w:sz="4" w:space="0" w:color="A6A6A6" w:themeColor="background1" w:themeShade="A6"/>
            </w:tcBorders>
            <w:shd w:val="clear" w:color="auto" w:fill="F2F2F2" w:themeFill="background1" w:themeFillShade="F2"/>
            <w:hideMark/>
          </w:tcPr>
          <w:p w14:paraId="72B88A2D" w14:textId="77777777" w:rsidR="00633CF2" w:rsidRPr="001A2534" w:rsidRDefault="00633CF2" w:rsidP="005B790E">
            <w:pPr>
              <w:spacing w:before="0" w:after="0" w:line="240" w:lineRule="auto"/>
              <w:jc w:val="center"/>
              <w:rPr>
                <w:rFonts w:eastAsia="Times New Roman" w:cs="Calibri Light"/>
                <w:b/>
                <w:color w:val="000000"/>
                <w:sz w:val="20"/>
                <w:szCs w:val="20"/>
              </w:rPr>
            </w:pPr>
            <w:r w:rsidRPr="001A2534">
              <w:rPr>
                <w:rFonts w:eastAsia="Times New Roman" w:cs="Calibri Light"/>
                <w:b/>
                <w:color w:val="000000"/>
                <w:sz w:val="20"/>
                <w:szCs w:val="20"/>
              </w:rPr>
              <w:t xml:space="preserve">Make-up (Groundwater) Temperature </w:t>
            </w:r>
            <w:r w:rsidRPr="001A2534">
              <w:rPr>
                <w:b/>
                <w:sz w:val="20"/>
                <w:szCs w:val="20"/>
              </w:rPr>
              <w:t>(</w:t>
            </w:r>
            <w:r>
              <w:rPr>
                <w:rFonts w:cs="Calibri Light"/>
                <w:b/>
                <w:sz w:val="20"/>
                <w:szCs w:val="20"/>
              </w:rPr>
              <w:t>°</w:t>
            </w:r>
            <w:r>
              <w:rPr>
                <w:b/>
                <w:sz w:val="20"/>
                <w:szCs w:val="20"/>
              </w:rPr>
              <w:t>F</w:t>
            </w:r>
            <w:r w:rsidRPr="001A2534">
              <w:rPr>
                <w:b/>
                <w:sz w:val="20"/>
                <w:szCs w:val="20"/>
              </w:rPr>
              <w:t>)</w:t>
            </w:r>
          </w:p>
        </w:tc>
        <w:tc>
          <w:tcPr>
            <w:tcW w:w="2607" w:type="dxa"/>
            <w:shd w:val="clear" w:color="auto" w:fill="F2F2F2" w:themeFill="background1" w:themeFillShade="F2"/>
            <w:vAlign w:val="bottom"/>
          </w:tcPr>
          <w:p w14:paraId="2C99DF6D" w14:textId="77777777" w:rsidR="00633CF2" w:rsidRPr="001A2534" w:rsidRDefault="00633CF2" w:rsidP="005B790E">
            <w:pPr>
              <w:spacing w:before="0" w:after="0" w:line="240" w:lineRule="auto"/>
              <w:jc w:val="center"/>
              <w:rPr>
                <w:rFonts w:eastAsia="Times New Roman" w:cs="Calibri Light"/>
                <w:b/>
                <w:color w:val="000000"/>
                <w:sz w:val="20"/>
                <w:szCs w:val="20"/>
              </w:rPr>
            </w:pPr>
            <w:r>
              <w:rPr>
                <w:rFonts w:eastAsia="Times New Roman" w:cs="Calibri Light"/>
                <w:b/>
                <w:color w:val="000000"/>
                <w:sz w:val="20"/>
                <w:szCs w:val="20"/>
              </w:rPr>
              <w:t>Source</w:t>
            </w:r>
          </w:p>
        </w:tc>
      </w:tr>
      <w:tr w:rsidR="00633CF2" w:rsidRPr="00BA632F" w14:paraId="579077F1"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980C038" w14:textId="77777777" w:rsidR="00633CF2" w:rsidRPr="001A2534" w:rsidRDefault="00633CF2" w:rsidP="005B790E">
            <w:pPr>
              <w:spacing w:before="0" w:after="0" w:line="240" w:lineRule="auto"/>
              <w:rPr>
                <w:rFonts w:eastAsia="Times New Roman" w:cs="Calibri Light"/>
                <w:color w:val="000000"/>
                <w:sz w:val="20"/>
                <w:szCs w:val="20"/>
              </w:rPr>
            </w:pPr>
            <w:r>
              <w:rPr>
                <w:rFonts w:cs="Calibri"/>
                <w:sz w:val="20"/>
                <w:szCs w:val="20"/>
              </w:rPr>
              <w:t xml:space="preserve">CZ </w:t>
            </w:r>
            <w:r w:rsidRPr="001A2534">
              <w:rPr>
                <w:rFonts w:cs="Calibri"/>
                <w:sz w:val="20"/>
                <w:szCs w:val="20"/>
              </w:rPr>
              <w:t>1</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6B5B134F" w14:textId="77777777" w:rsidR="00633CF2" w:rsidRPr="001A2534" w:rsidRDefault="00633CF2" w:rsidP="005B790E">
            <w:pPr>
              <w:spacing w:before="0" w:after="0" w:line="240" w:lineRule="auto"/>
              <w:jc w:val="center"/>
              <w:rPr>
                <w:rFonts w:eastAsia="Times New Roman" w:cs="Calibri Light"/>
                <w:color w:val="000000"/>
                <w:sz w:val="20"/>
                <w:szCs w:val="20"/>
              </w:rPr>
            </w:pPr>
            <w:r w:rsidRPr="001A2534">
              <w:rPr>
                <w:sz w:val="20"/>
                <w:szCs w:val="20"/>
              </w:rPr>
              <w:t>51.</w:t>
            </w:r>
            <w:r>
              <w:rPr>
                <w:sz w:val="20"/>
                <w:szCs w:val="20"/>
              </w:rPr>
              <w:t>4</w:t>
            </w:r>
          </w:p>
        </w:tc>
        <w:tc>
          <w:tcPr>
            <w:tcW w:w="26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2000BE47" w14:textId="77777777" w:rsidR="00633CF2" w:rsidRPr="00B853CA" w:rsidRDefault="00633CF2" w:rsidP="005B790E">
            <w:pPr>
              <w:spacing w:before="0" w:after="0" w:line="240" w:lineRule="auto"/>
              <w:rPr>
                <w:rFonts w:cs="Calibri"/>
                <w:sz w:val="18"/>
                <w:szCs w:val="20"/>
              </w:rPr>
            </w:pPr>
            <w:r w:rsidRPr="00620282">
              <w:rPr>
                <w:rFonts w:cs="Calibri"/>
                <w:sz w:val="18"/>
                <w:szCs w:val="20"/>
              </w:rPr>
              <w:t>Reeves, P. (Consultant to California Public Utilities Commission, Energy Division). 2013. "Comparison-of-Ground-Temperatures-v2_byPaulReeves.xlsx."</w:t>
            </w:r>
          </w:p>
        </w:tc>
      </w:tr>
      <w:tr w:rsidR="00633CF2" w:rsidRPr="00BA632F" w14:paraId="2D82B665"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C5643B2" w14:textId="77777777" w:rsidR="00633CF2" w:rsidRPr="001A2534" w:rsidRDefault="00633CF2" w:rsidP="005B790E">
            <w:pPr>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2</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46FFA1F" w14:textId="77777777" w:rsidR="00633CF2" w:rsidRPr="001A2534" w:rsidRDefault="00633CF2" w:rsidP="005B790E">
            <w:pPr>
              <w:spacing w:before="0" w:after="0" w:line="240" w:lineRule="auto"/>
              <w:jc w:val="center"/>
              <w:rPr>
                <w:rFonts w:eastAsia="Times New Roman" w:cs="Calibri Light"/>
                <w:color w:val="000000"/>
                <w:sz w:val="20"/>
                <w:szCs w:val="20"/>
              </w:rPr>
            </w:pPr>
            <w:r w:rsidRPr="001A2534">
              <w:rPr>
                <w:sz w:val="20"/>
                <w:szCs w:val="20"/>
              </w:rPr>
              <w:t>57.</w:t>
            </w:r>
            <w:r>
              <w:rPr>
                <w:sz w:val="20"/>
                <w:szCs w:val="20"/>
              </w:rPr>
              <w:t>3</w:t>
            </w:r>
          </w:p>
        </w:tc>
        <w:tc>
          <w:tcPr>
            <w:tcW w:w="2607" w:type="dxa"/>
            <w:vMerge/>
            <w:tcBorders>
              <w:left w:val="single" w:sz="4" w:space="0" w:color="A6A6A6" w:themeColor="background1" w:themeShade="A6"/>
              <w:right w:val="single" w:sz="4" w:space="0" w:color="A6A6A6" w:themeColor="background1" w:themeShade="A6"/>
            </w:tcBorders>
          </w:tcPr>
          <w:p w14:paraId="06DB7E23" w14:textId="77777777" w:rsidR="00633CF2" w:rsidRPr="001A2534" w:rsidRDefault="00633CF2" w:rsidP="005B790E">
            <w:pPr>
              <w:spacing w:before="0" w:after="0" w:line="240" w:lineRule="auto"/>
              <w:jc w:val="center"/>
              <w:rPr>
                <w:rFonts w:cs="Calibri"/>
                <w:sz w:val="20"/>
                <w:szCs w:val="20"/>
              </w:rPr>
            </w:pPr>
          </w:p>
        </w:tc>
      </w:tr>
      <w:tr w:rsidR="00633CF2" w:rsidRPr="00BA632F" w14:paraId="77B434D8"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0A9C0494" w14:textId="77777777" w:rsidR="00633CF2" w:rsidRPr="001A2534" w:rsidRDefault="00633CF2" w:rsidP="005B790E">
            <w:pPr>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3</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1E686AF9" w14:textId="77777777" w:rsidR="00633CF2" w:rsidRPr="001A2534" w:rsidRDefault="00633CF2" w:rsidP="005B790E">
            <w:pPr>
              <w:spacing w:before="0" w:after="0" w:line="240" w:lineRule="auto"/>
              <w:jc w:val="center"/>
              <w:rPr>
                <w:rFonts w:eastAsia="Times New Roman" w:cs="Calibri Light"/>
                <w:color w:val="000000"/>
                <w:sz w:val="20"/>
                <w:szCs w:val="20"/>
              </w:rPr>
            </w:pPr>
            <w:r w:rsidRPr="001A2534">
              <w:rPr>
                <w:sz w:val="20"/>
                <w:szCs w:val="20"/>
              </w:rPr>
              <w:t>57.</w:t>
            </w:r>
            <w:r>
              <w:rPr>
                <w:sz w:val="20"/>
                <w:szCs w:val="20"/>
              </w:rPr>
              <w:t>1</w:t>
            </w:r>
          </w:p>
        </w:tc>
        <w:tc>
          <w:tcPr>
            <w:tcW w:w="2607" w:type="dxa"/>
            <w:vMerge/>
            <w:tcBorders>
              <w:left w:val="single" w:sz="4" w:space="0" w:color="A6A6A6" w:themeColor="background1" w:themeShade="A6"/>
              <w:right w:val="single" w:sz="4" w:space="0" w:color="A6A6A6" w:themeColor="background1" w:themeShade="A6"/>
            </w:tcBorders>
          </w:tcPr>
          <w:p w14:paraId="26DC97B1" w14:textId="77777777" w:rsidR="00633CF2" w:rsidRPr="001A2534" w:rsidRDefault="00633CF2" w:rsidP="005B790E">
            <w:pPr>
              <w:spacing w:before="0" w:after="0" w:line="240" w:lineRule="auto"/>
              <w:jc w:val="center"/>
              <w:rPr>
                <w:rFonts w:cs="Calibri"/>
                <w:sz w:val="20"/>
                <w:szCs w:val="20"/>
              </w:rPr>
            </w:pPr>
          </w:p>
        </w:tc>
      </w:tr>
      <w:tr w:rsidR="00633CF2" w:rsidRPr="00BA632F" w14:paraId="648A3BDF"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75C309D" w14:textId="77777777" w:rsidR="00633CF2" w:rsidRPr="001A2534" w:rsidRDefault="00633CF2" w:rsidP="005B790E">
            <w:pPr>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4</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6C1D17A" w14:textId="77777777" w:rsidR="00633CF2" w:rsidRPr="001A2534" w:rsidRDefault="00633CF2" w:rsidP="005B790E">
            <w:pPr>
              <w:spacing w:before="0" w:after="0" w:line="240" w:lineRule="auto"/>
              <w:jc w:val="center"/>
              <w:rPr>
                <w:rFonts w:eastAsia="Times New Roman" w:cs="Calibri Light"/>
                <w:color w:val="000000"/>
                <w:sz w:val="20"/>
                <w:szCs w:val="20"/>
              </w:rPr>
            </w:pPr>
            <w:r w:rsidRPr="001A2534">
              <w:rPr>
                <w:sz w:val="20"/>
                <w:szCs w:val="20"/>
              </w:rPr>
              <w:t>59.5</w:t>
            </w:r>
          </w:p>
        </w:tc>
        <w:tc>
          <w:tcPr>
            <w:tcW w:w="2607" w:type="dxa"/>
            <w:vMerge/>
            <w:tcBorders>
              <w:left w:val="single" w:sz="4" w:space="0" w:color="A6A6A6" w:themeColor="background1" w:themeShade="A6"/>
              <w:right w:val="single" w:sz="4" w:space="0" w:color="A6A6A6" w:themeColor="background1" w:themeShade="A6"/>
            </w:tcBorders>
          </w:tcPr>
          <w:p w14:paraId="548DF203" w14:textId="77777777" w:rsidR="00633CF2" w:rsidRPr="001A2534" w:rsidRDefault="00633CF2" w:rsidP="005B790E">
            <w:pPr>
              <w:spacing w:before="0" w:after="0" w:line="240" w:lineRule="auto"/>
              <w:jc w:val="center"/>
              <w:rPr>
                <w:rFonts w:cs="Calibri"/>
                <w:sz w:val="20"/>
                <w:szCs w:val="20"/>
              </w:rPr>
            </w:pPr>
          </w:p>
        </w:tc>
      </w:tr>
      <w:tr w:rsidR="00633CF2" w:rsidRPr="00BA632F" w14:paraId="2B7C6F5C"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2627D199" w14:textId="77777777" w:rsidR="00633CF2" w:rsidRPr="001A2534" w:rsidRDefault="00633CF2" w:rsidP="005B790E">
            <w:pPr>
              <w:spacing w:before="0" w:after="0" w:line="240" w:lineRule="auto"/>
              <w:rPr>
                <w:sz w:val="20"/>
                <w:szCs w:val="20"/>
              </w:rPr>
            </w:pPr>
            <w:r>
              <w:rPr>
                <w:rFonts w:cs="Calibri"/>
                <w:sz w:val="20"/>
                <w:szCs w:val="20"/>
              </w:rPr>
              <w:t>CZ</w:t>
            </w:r>
            <w:r w:rsidRPr="001A2534">
              <w:rPr>
                <w:rFonts w:cs="Calibri"/>
                <w:sz w:val="20"/>
                <w:szCs w:val="20"/>
              </w:rPr>
              <w:t xml:space="preserve"> 5</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60A0B086" w14:textId="77777777" w:rsidR="00633CF2" w:rsidRPr="001A2534" w:rsidRDefault="00633CF2" w:rsidP="005B790E">
            <w:pPr>
              <w:spacing w:before="0" w:after="0" w:line="240" w:lineRule="auto"/>
              <w:jc w:val="center"/>
              <w:rPr>
                <w:rFonts w:eastAsia="Times New Roman" w:cs="Calibri Light"/>
                <w:color w:val="000000"/>
                <w:sz w:val="20"/>
                <w:szCs w:val="20"/>
              </w:rPr>
            </w:pPr>
            <w:r w:rsidRPr="001A2534">
              <w:rPr>
                <w:rFonts w:cs="Calibri"/>
                <w:sz w:val="20"/>
                <w:szCs w:val="20"/>
              </w:rPr>
              <w:t>55.8</w:t>
            </w:r>
          </w:p>
        </w:tc>
        <w:tc>
          <w:tcPr>
            <w:tcW w:w="2607" w:type="dxa"/>
            <w:vMerge/>
            <w:tcBorders>
              <w:left w:val="single" w:sz="4" w:space="0" w:color="A6A6A6" w:themeColor="background1" w:themeShade="A6"/>
              <w:right w:val="single" w:sz="4" w:space="0" w:color="A6A6A6" w:themeColor="background1" w:themeShade="A6"/>
            </w:tcBorders>
          </w:tcPr>
          <w:p w14:paraId="0FA0EBA2" w14:textId="77777777" w:rsidR="00633CF2" w:rsidRPr="001A2534" w:rsidRDefault="00633CF2" w:rsidP="005B790E">
            <w:pPr>
              <w:spacing w:before="0" w:after="0" w:line="240" w:lineRule="auto"/>
              <w:jc w:val="center"/>
              <w:rPr>
                <w:rFonts w:cs="Calibri"/>
                <w:sz w:val="20"/>
                <w:szCs w:val="20"/>
              </w:rPr>
            </w:pPr>
          </w:p>
        </w:tc>
      </w:tr>
      <w:tr w:rsidR="00633CF2" w:rsidRPr="00BA632F" w14:paraId="7A015EC2"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FC8D72A" w14:textId="77777777" w:rsidR="00633CF2" w:rsidRPr="001A2534" w:rsidRDefault="00633CF2" w:rsidP="005B790E">
            <w:pPr>
              <w:spacing w:before="0" w:after="0" w:line="240" w:lineRule="auto"/>
              <w:rPr>
                <w:sz w:val="20"/>
                <w:szCs w:val="20"/>
              </w:rPr>
            </w:pPr>
            <w:r>
              <w:rPr>
                <w:rFonts w:cs="Calibri"/>
                <w:sz w:val="20"/>
                <w:szCs w:val="20"/>
              </w:rPr>
              <w:t>CZ</w:t>
            </w:r>
            <w:r w:rsidRPr="001A2534">
              <w:rPr>
                <w:rFonts w:cs="Calibri"/>
                <w:sz w:val="20"/>
                <w:szCs w:val="20"/>
              </w:rPr>
              <w:t xml:space="preserve"> 6</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6F34FAF" w14:textId="77777777" w:rsidR="00633CF2" w:rsidRPr="001A2534" w:rsidRDefault="00633CF2" w:rsidP="005B790E">
            <w:pPr>
              <w:spacing w:before="0" w:after="0" w:line="240" w:lineRule="auto"/>
              <w:jc w:val="center"/>
              <w:rPr>
                <w:rFonts w:eastAsia="Times New Roman" w:cs="Calibri Light"/>
                <w:color w:val="000000"/>
                <w:sz w:val="20"/>
                <w:szCs w:val="20"/>
              </w:rPr>
            </w:pPr>
            <w:r w:rsidRPr="001A2534">
              <w:rPr>
                <w:rFonts w:cs="Calibri"/>
                <w:sz w:val="20"/>
                <w:szCs w:val="20"/>
              </w:rPr>
              <w:t>61.</w:t>
            </w:r>
            <w:r>
              <w:rPr>
                <w:rFonts w:cs="Calibri"/>
                <w:sz w:val="20"/>
                <w:szCs w:val="20"/>
              </w:rPr>
              <w:t>8</w:t>
            </w:r>
          </w:p>
        </w:tc>
        <w:tc>
          <w:tcPr>
            <w:tcW w:w="2607" w:type="dxa"/>
            <w:vMerge/>
            <w:tcBorders>
              <w:left w:val="single" w:sz="4" w:space="0" w:color="A6A6A6" w:themeColor="background1" w:themeShade="A6"/>
              <w:right w:val="single" w:sz="4" w:space="0" w:color="A6A6A6" w:themeColor="background1" w:themeShade="A6"/>
            </w:tcBorders>
          </w:tcPr>
          <w:p w14:paraId="2F44B5DB" w14:textId="77777777" w:rsidR="00633CF2" w:rsidRPr="001A2534" w:rsidRDefault="00633CF2" w:rsidP="005B790E">
            <w:pPr>
              <w:spacing w:before="0" w:after="0" w:line="240" w:lineRule="auto"/>
              <w:jc w:val="center"/>
              <w:rPr>
                <w:rFonts w:cs="Calibri"/>
                <w:sz w:val="20"/>
                <w:szCs w:val="20"/>
              </w:rPr>
            </w:pPr>
          </w:p>
        </w:tc>
      </w:tr>
      <w:tr w:rsidR="00633CF2" w:rsidRPr="00BA632F" w14:paraId="6781BAD0" w14:textId="77777777" w:rsidTr="005B790E">
        <w:trPr>
          <w:cantSplit/>
          <w:trHeight w:val="27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219D2E44" w14:textId="77777777" w:rsidR="00633CF2" w:rsidRPr="001A2534" w:rsidRDefault="00633CF2" w:rsidP="005B790E">
            <w:pPr>
              <w:spacing w:before="0" w:after="0" w:line="240" w:lineRule="auto"/>
              <w:rPr>
                <w:rFonts w:eastAsia="Times New Roman" w:cs="Calibri Light"/>
                <w:color w:val="000000"/>
                <w:sz w:val="20"/>
                <w:szCs w:val="20"/>
              </w:rPr>
            </w:pPr>
            <w:r>
              <w:rPr>
                <w:rFonts w:cs="Calibri"/>
                <w:sz w:val="20"/>
                <w:szCs w:val="20"/>
              </w:rPr>
              <w:t>CZ</w:t>
            </w:r>
            <w:r w:rsidRPr="001A2534">
              <w:rPr>
                <w:rFonts w:cs="Calibri"/>
                <w:sz w:val="20"/>
                <w:szCs w:val="20"/>
              </w:rPr>
              <w:t xml:space="preserve"> 7</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2604AEDC" w14:textId="77777777" w:rsidR="00633CF2" w:rsidRPr="001A2534" w:rsidRDefault="00633CF2" w:rsidP="005B790E">
            <w:pPr>
              <w:spacing w:before="0" w:after="0" w:line="240" w:lineRule="auto"/>
              <w:jc w:val="center"/>
              <w:rPr>
                <w:rFonts w:eastAsia="Times New Roman" w:cs="Calibri Light"/>
                <w:color w:val="000000"/>
                <w:sz w:val="20"/>
                <w:szCs w:val="20"/>
              </w:rPr>
            </w:pPr>
            <w:r w:rsidRPr="001A2534">
              <w:rPr>
                <w:rFonts w:cs="Calibri"/>
                <w:sz w:val="20"/>
                <w:szCs w:val="20"/>
              </w:rPr>
              <w:t>62.</w:t>
            </w:r>
            <w:r>
              <w:rPr>
                <w:rFonts w:cs="Calibri"/>
                <w:sz w:val="20"/>
                <w:szCs w:val="20"/>
              </w:rPr>
              <w:t>6</w:t>
            </w:r>
          </w:p>
        </w:tc>
        <w:tc>
          <w:tcPr>
            <w:tcW w:w="2607" w:type="dxa"/>
            <w:vMerge/>
            <w:tcBorders>
              <w:left w:val="single" w:sz="4" w:space="0" w:color="A6A6A6" w:themeColor="background1" w:themeShade="A6"/>
              <w:right w:val="single" w:sz="4" w:space="0" w:color="A6A6A6" w:themeColor="background1" w:themeShade="A6"/>
            </w:tcBorders>
          </w:tcPr>
          <w:p w14:paraId="1CB504B1" w14:textId="77777777" w:rsidR="00633CF2" w:rsidRPr="001A2534" w:rsidRDefault="00633CF2" w:rsidP="005B790E">
            <w:pPr>
              <w:spacing w:before="0" w:after="0" w:line="240" w:lineRule="auto"/>
              <w:jc w:val="center"/>
              <w:rPr>
                <w:rFonts w:cs="Calibri"/>
                <w:sz w:val="20"/>
                <w:szCs w:val="20"/>
              </w:rPr>
            </w:pPr>
          </w:p>
        </w:tc>
      </w:tr>
      <w:tr w:rsidR="00633CF2" w:rsidRPr="00BA632F" w14:paraId="13D3813E"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6E8A676" w14:textId="77777777" w:rsidR="00633CF2" w:rsidRPr="001A2534" w:rsidRDefault="00633CF2" w:rsidP="005B790E">
            <w:pPr>
              <w:spacing w:before="0" w:after="0" w:line="240" w:lineRule="auto"/>
              <w:rPr>
                <w:sz w:val="20"/>
                <w:szCs w:val="20"/>
              </w:rPr>
            </w:pPr>
            <w:r>
              <w:rPr>
                <w:rFonts w:cs="Calibri"/>
                <w:sz w:val="20"/>
                <w:szCs w:val="20"/>
              </w:rPr>
              <w:t>CZ</w:t>
            </w:r>
            <w:r w:rsidRPr="001A2534">
              <w:rPr>
                <w:rFonts w:cs="Calibri"/>
                <w:sz w:val="20"/>
                <w:szCs w:val="20"/>
              </w:rPr>
              <w:t xml:space="preserve"> 8</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5646E218" w14:textId="77777777" w:rsidR="00633CF2" w:rsidRPr="001A2534" w:rsidRDefault="00633CF2" w:rsidP="005B790E">
            <w:pPr>
              <w:spacing w:before="0" w:after="0" w:line="240" w:lineRule="auto"/>
              <w:jc w:val="center"/>
              <w:rPr>
                <w:rFonts w:eastAsia="Times New Roman" w:cs="Calibri Light"/>
                <w:color w:val="000000"/>
                <w:sz w:val="20"/>
                <w:szCs w:val="20"/>
              </w:rPr>
            </w:pPr>
            <w:r w:rsidRPr="001A2534">
              <w:rPr>
                <w:rFonts w:cs="Calibri"/>
                <w:sz w:val="20"/>
                <w:szCs w:val="20"/>
              </w:rPr>
              <w:t>63.7</w:t>
            </w:r>
          </w:p>
        </w:tc>
        <w:tc>
          <w:tcPr>
            <w:tcW w:w="2607" w:type="dxa"/>
            <w:vMerge/>
            <w:tcBorders>
              <w:left w:val="single" w:sz="4" w:space="0" w:color="A6A6A6" w:themeColor="background1" w:themeShade="A6"/>
              <w:right w:val="single" w:sz="4" w:space="0" w:color="A6A6A6" w:themeColor="background1" w:themeShade="A6"/>
            </w:tcBorders>
          </w:tcPr>
          <w:p w14:paraId="785C9BD7" w14:textId="77777777" w:rsidR="00633CF2" w:rsidRPr="001A2534" w:rsidRDefault="00633CF2" w:rsidP="005B790E">
            <w:pPr>
              <w:spacing w:before="0" w:after="0" w:line="240" w:lineRule="auto"/>
              <w:jc w:val="center"/>
              <w:rPr>
                <w:rFonts w:cs="Calibri"/>
                <w:sz w:val="20"/>
                <w:szCs w:val="20"/>
              </w:rPr>
            </w:pPr>
          </w:p>
        </w:tc>
      </w:tr>
      <w:tr w:rsidR="00633CF2" w:rsidRPr="00BA632F" w14:paraId="528B0AB6"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411DDFF" w14:textId="77777777" w:rsidR="00633CF2" w:rsidRPr="00837472" w:rsidRDefault="00633CF2" w:rsidP="005B790E">
            <w:pPr>
              <w:spacing w:before="0" w:after="0" w:line="240" w:lineRule="auto"/>
              <w:rPr>
                <w:rFonts w:cs="Calibri"/>
                <w:sz w:val="20"/>
                <w:szCs w:val="20"/>
              </w:rPr>
            </w:pPr>
            <w:r>
              <w:rPr>
                <w:rFonts w:cs="Calibri"/>
                <w:sz w:val="20"/>
                <w:szCs w:val="20"/>
              </w:rPr>
              <w:t>CZ</w:t>
            </w:r>
            <w:r w:rsidRPr="001A2534">
              <w:rPr>
                <w:rFonts w:cs="Calibri"/>
                <w:sz w:val="20"/>
                <w:szCs w:val="20"/>
              </w:rPr>
              <w:t xml:space="preserve"> 9</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2C7E5B80" w14:textId="77777777" w:rsidR="00633CF2" w:rsidRPr="00837472" w:rsidRDefault="00633CF2" w:rsidP="005B790E">
            <w:pPr>
              <w:spacing w:before="0" w:after="0" w:line="240" w:lineRule="auto"/>
              <w:jc w:val="center"/>
              <w:rPr>
                <w:rFonts w:cs="Calibri"/>
                <w:sz w:val="20"/>
                <w:szCs w:val="20"/>
              </w:rPr>
            </w:pPr>
            <w:r w:rsidRPr="001A2534">
              <w:rPr>
                <w:rFonts w:cs="Calibri"/>
                <w:sz w:val="20"/>
                <w:szCs w:val="20"/>
              </w:rPr>
              <w:t>63.8</w:t>
            </w:r>
          </w:p>
        </w:tc>
        <w:tc>
          <w:tcPr>
            <w:tcW w:w="2607" w:type="dxa"/>
            <w:vMerge/>
            <w:tcBorders>
              <w:left w:val="single" w:sz="4" w:space="0" w:color="A6A6A6" w:themeColor="background1" w:themeShade="A6"/>
              <w:right w:val="single" w:sz="4" w:space="0" w:color="A6A6A6" w:themeColor="background1" w:themeShade="A6"/>
            </w:tcBorders>
          </w:tcPr>
          <w:p w14:paraId="06890B81" w14:textId="77777777" w:rsidR="00633CF2" w:rsidRPr="00B853CA" w:rsidRDefault="00633CF2" w:rsidP="005B790E">
            <w:pPr>
              <w:spacing w:before="0" w:after="0" w:line="240" w:lineRule="auto"/>
              <w:rPr>
                <w:rFonts w:cs="Calibri"/>
                <w:sz w:val="18"/>
                <w:szCs w:val="20"/>
              </w:rPr>
            </w:pPr>
          </w:p>
        </w:tc>
      </w:tr>
      <w:tr w:rsidR="00633CF2" w:rsidRPr="00BA632F" w14:paraId="5C6F2954"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B26C075" w14:textId="77777777" w:rsidR="00633CF2" w:rsidRPr="00837472" w:rsidRDefault="00633CF2" w:rsidP="005B790E">
            <w:pPr>
              <w:spacing w:before="0" w:after="0" w:line="240" w:lineRule="auto"/>
              <w:rPr>
                <w:rFonts w:cs="Calibri"/>
                <w:sz w:val="20"/>
                <w:szCs w:val="20"/>
              </w:rPr>
            </w:pPr>
            <w:r>
              <w:rPr>
                <w:rFonts w:cs="Calibri"/>
                <w:sz w:val="20"/>
                <w:szCs w:val="20"/>
              </w:rPr>
              <w:t>CZ</w:t>
            </w:r>
            <w:r w:rsidRPr="001A2534">
              <w:rPr>
                <w:rFonts w:cs="Calibri"/>
                <w:sz w:val="20"/>
                <w:szCs w:val="20"/>
              </w:rPr>
              <w:t xml:space="preserve"> 10</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58B22843" w14:textId="77777777" w:rsidR="00633CF2" w:rsidRPr="00837472" w:rsidRDefault="00633CF2" w:rsidP="005B790E">
            <w:pPr>
              <w:spacing w:before="0" w:after="0" w:line="240" w:lineRule="auto"/>
              <w:jc w:val="center"/>
              <w:rPr>
                <w:rFonts w:cs="Calibri"/>
                <w:sz w:val="20"/>
                <w:szCs w:val="20"/>
              </w:rPr>
            </w:pPr>
            <w:r w:rsidRPr="001A2534">
              <w:rPr>
                <w:rFonts w:cs="Calibri"/>
                <w:sz w:val="20"/>
                <w:szCs w:val="20"/>
              </w:rPr>
              <w:t>64.</w:t>
            </w:r>
            <w:r>
              <w:rPr>
                <w:rFonts w:cs="Calibri"/>
                <w:sz w:val="20"/>
                <w:szCs w:val="20"/>
              </w:rPr>
              <w:t>2</w:t>
            </w:r>
          </w:p>
        </w:tc>
        <w:tc>
          <w:tcPr>
            <w:tcW w:w="2607" w:type="dxa"/>
            <w:vMerge/>
            <w:tcBorders>
              <w:left w:val="single" w:sz="4" w:space="0" w:color="A6A6A6" w:themeColor="background1" w:themeShade="A6"/>
              <w:right w:val="single" w:sz="4" w:space="0" w:color="A6A6A6" w:themeColor="background1" w:themeShade="A6"/>
            </w:tcBorders>
          </w:tcPr>
          <w:p w14:paraId="45BF716C" w14:textId="77777777" w:rsidR="00633CF2" w:rsidRPr="001A2534" w:rsidRDefault="00633CF2" w:rsidP="005B790E">
            <w:pPr>
              <w:spacing w:before="0" w:after="0" w:line="240" w:lineRule="auto"/>
              <w:jc w:val="center"/>
              <w:rPr>
                <w:rFonts w:cs="Calibri"/>
                <w:sz w:val="20"/>
                <w:szCs w:val="20"/>
              </w:rPr>
            </w:pPr>
          </w:p>
        </w:tc>
      </w:tr>
      <w:tr w:rsidR="00633CF2" w:rsidRPr="00BA632F" w14:paraId="043F2F1F"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2F916757" w14:textId="77777777" w:rsidR="00633CF2" w:rsidRPr="00837472" w:rsidRDefault="00633CF2" w:rsidP="005B790E">
            <w:pPr>
              <w:spacing w:before="0" w:after="0" w:line="240" w:lineRule="auto"/>
              <w:rPr>
                <w:rFonts w:cs="Calibri"/>
                <w:sz w:val="20"/>
                <w:szCs w:val="20"/>
              </w:rPr>
            </w:pPr>
            <w:r>
              <w:rPr>
                <w:rFonts w:cs="Calibri"/>
                <w:sz w:val="20"/>
                <w:szCs w:val="20"/>
              </w:rPr>
              <w:t>CZ</w:t>
            </w:r>
            <w:r w:rsidRPr="001A2534">
              <w:rPr>
                <w:rFonts w:cs="Calibri"/>
                <w:sz w:val="20"/>
                <w:szCs w:val="20"/>
              </w:rPr>
              <w:t xml:space="preserve"> 11</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83636B0" w14:textId="77777777" w:rsidR="00633CF2" w:rsidRPr="00837472" w:rsidRDefault="00633CF2" w:rsidP="005B790E">
            <w:pPr>
              <w:spacing w:before="0" w:after="0" w:line="240" w:lineRule="auto"/>
              <w:jc w:val="center"/>
              <w:rPr>
                <w:rFonts w:cs="Calibri"/>
                <w:sz w:val="20"/>
                <w:szCs w:val="20"/>
              </w:rPr>
            </w:pPr>
            <w:r w:rsidRPr="001A2534">
              <w:rPr>
                <w:rFonts w:cs="Calibri"/>
                <w:sz w:val="20"/>
                <w:szCs w:val="20"/>
              </w:rPr>
              <w:t>63.</w:t>
            </w:r>
            <w:r>
              <w:rPr>
                <w:rFonts w:cs="Calibri"/>
                <w:sz w:val="20"/>
                <w:szCs w:val="20"/>
              </w:rPr>
              <w:t>2</w:t>
            </w:r>
          </w:p>
        </w:tc>
        <w:tc>
          <w:tcPr>
            <w:tcW w:w="2607" w:type="dxa"/>
            <w:vMerge/>
            <w:tcBorders>
              <w:left w:val="single" w:sz="4" w:space="0" w:color="A6A6A6" w:themeColor="background1" w:themeShade="A6"/>
              <w:right w:val="single" w:sz="4" w:space="0" w:color="A6A6A6" w:themeColor="background1" w:themeShade="A6"/>
            </w:tcBorders>
          </w:tcPr>
          <w:p w14:paraId="52DD0615" w14:textId="77777777" w:rsidR="00633CF2" w:rsidRPr="001A2534" w:rsidRDefault="00633CF2" w:rsidP="005B790E">
            <w:pPr>
              <w:spacing w:before="0" w:after="0" w:line="240" w:lineRule="auto"/>
              <w:jc w:val="center"/>
              <w:rPr>
                <w:rFonts w:cs="Calibri"/>
                <w:sz w:val="20"/>
                <w:szCs w:val="20"/>
              </w:rPr>
            </w:pPr>
          </w:p>
        </w:tc>
      </w:tr>
      <w:tr w:rsidR="00633CF2" w:rsidRPr="00BA632F" w14:paraId="400637C9"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06FF636D" w14:textId="77777777" w:rsidR="00633CF2" w:rsidRPr="00837472" w:rsidRDefault="00633CF2" w:rsidP="005B790E">
            <w:pPr>
              <w:spacing w:before="0" w:after="0" w:line="240" w:lineRule="auto"/>
              <w:rPr>
                <w:rFonts w:cs="Calibri"/>
                <w:sz w:val="20"/>
                <w:szCs w:val="20"/>
              </w:rPr>
            </w:pPr>
            <w:r>
              <w:rPr>
                <w:rFonts w:cs="Calibri"/>
                <w:sz w:val="20"/>
                <w:szCs w:val="20"/>
              </w:rPr>
              <w:t>CZ</w:t>
            </w:r>
            <w:r w:rsidRPr="001A2534">
              <w:rPr>
                <w:rFonts w:cs="Calibri"/>
                <w:sz w:val="20"/>
                <w:szCs w:val="20"/>
              </w:rPr>
              <w:t xml:space="preserve"> 12</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E95F1B1" w14:textId="77777777" w:rsidR="00633CF2" w:rsidRPr="00837472" w:rsidRDefault="00633CF2" w:rsidP="005B790E">
            <w:pPr>
              <w:spacing w:before="0" w:after="0" w:line="240" w:lineRule="auto"/>
              <w:jc w:val="center"/>
              <w:rPr>
                <w:rFonts w:cs="Calibri"/>
                <w:sz w:val="20"/>
                <w:szCs w:val="20"/>
              </w:rPr>
            </w:pPr>
            <w:r w:rsidRPr="001A2534">
              <w:rPr>
                <w:rFonts w:cs="Calibri"/>
                <w:sz w:val="20"/>
                <w:szCs w:val="20"/>
              </w:rPr>
              <w:t>60.</w:t>
            </w:r>
            <w:r>
              <w:rPr>
                <w:rFonts w:cs="Calibri"/>
                <w:sz w:val="20"/>
                <w:szCs w:val="20"/>
              </w:rPr>
              <w:t>9</w:t>
            </w:r>
          </w:p>
        </w:tc>
        <w:tc>
          <w:tcPr>
            <w:tcW w:w="2607" w:type="dxa"/>
            <w:vMerge/>
            <w:tcBorders>
              <w:left w:val="single" w:sz="4" w:space="0" w:color="A6A6A6" w:themeColor="background1" w:themeShade="A6"/>
              <w:right w:val="single" w:sz="4" w:space="0" w:color="A6A6A6" w:themeColor="background1" w:themeShade="A6"/>
            </w:tcBorders>
          </w:tcPr>
          <w:p w14:paraId="2965C368" w14:textId="77777777" w:rsidR="00633CF2" w:rsidRPr="001A2534" w:rsidRDefault="00633CF2" w:rsidP="005B790E">
            <w:pPr>
              <w:spacing w:before="0" w:after="0" w:line="240" w:lineRule="auto"/>
              <w:jc w:val="center"/>
              <w:rPr>
                <w:rFonts w:cs="Calibri"/>
                <w:sz w:val="20"/>
                <w:szCs w:val="20"/>
              </w:rPr>
            </w:pPr>
          </w:p>
        </w:tc>
      </w:tr>
      <w:tr w:rsidR="00633CF2" w:rsidRPr="00BA632F" w14:paraId="56D75C72"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996ED0A" w14:textId="77777777" w:rsidR="00633CF2" w:rsidRPr="00837472" w:rsidRDefault="00633CF2" w:rsidP="005B790E">
            <w:pPr>
              <w:spacing w:before="0" w:after="0" w:line="240" w:lineRule="auto"/>
              <w:rPr>
                <w:rFonts w:cs="Calibri"/>
                <w:sz w:val="20"/>
                <w:szCs w:val="20"/>
              </w:rPr>
            </w:pPr>
            <w:r>
              <w:rPr>
                <w:rFonts w:cs="Calibri"/>
                <w:sz w:val="20"/>
                <w:szCs w:val="20"/>
              </w:rPr>
              <w:t>CZ</w:t>
            </w:r>
            <w:r w:rsidRPr="001A2534">
              <w:rPr>
                <w:rFonts w:cs="Calibri"/>
                <w:sz w:val="20"/>
                <w:szCs w:val="20"/>
              </w:rPr>
              <w:t xml:space="preserve"> 13</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E107C5D" w14:textId="77777777" w:rsidR="00633CF2" w:rsidRPr="00837472" w:rsidRDefault="00633CF2" w:rsidP="005B790E">
            <w:pPr>
              <w:spacing w:before="0" w:after="0" w:line="240" w:lineRule="auto"/>
              <w:jc w:val="center"/>
              <w:rPr>
                <w:rFonts w:cs="Calibri"/>
                <w:sz w:val="20"/>
                <w:szCs w:val="20"/>
              </w:rPr>
            </w:pPr>
            <w:r w:rsidRPr="001A2534">
              <w:rPr>
                <w:rFonts w:cs="Calibri"/>
                <w:sz w:val="20"/>
                <w:szCs w:val="20"/>
              </w:rPr>
              <w:t>64.1</w:t>
            </w:r>
          </w:p>
        </w:tc>
        <w:tc>
          <w:tcPr>
            <w:tcW w:w="2607" w:type="dxa"/>
            <w:vMerge/>
            <w:tcBorders>
              <w:left w:val="single" w:sz="4" w:space="0" w:color="A6A6A6" w:themeColor="background1" w:themeShade="A6"/>
              <w:right w:val="single" w:sz="4" w:space="0" w:color="A6A6A6" w:themeColor="background1" w:themeShade="A6"/>
            </w:tcBorders>
          </w:tcPr>
          <w:p w14:paraId="197FCC8F" w14:textId="77777777" w:rsidR="00633CF2" w:rsidRPr="001A2534" w:rsidRDefault="00633CF2" w:rsidP="005B790E">
            <w:pPr>
              <w:spacing w:before="0" w:after="0" w:line="240" w:lineRule="auto"/>
              <w:jc w:val="center"/>
              <w:rPr>
                <w:rFonts w:cs="Calibri"/>
                <w:sz w:val="20"/>
                <w:szCs w:val="20"/>
              </w:rPr>
            </w:pPr>
          </w:p>
        </w:tc>
      </w:tr>
      <w:tr w:rsidR="00633CF2" w:rsidRPr="00BA632F" w14:paraId="74009A73"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1F025ABB" w14:textId="77777777" w:rsidR="00633CF2" w:rsidRPr="00837472" w:rsidRDefault="00633CF2" w:rsidP="005B790E">
            <w:pPr>
              <w:spacing w:before="0" w:after="0" w:line="240" w:lineRule="auto"/>
              <w:rPr>
                <w:rFonts w:cs="Calibri"/>
                <w:sz w:val="20"/>
                <w:szCs w:val="20"/>
              </w:rPr>
            </w:pPr>
            <w:r>
              <w:rPr>
                <w:rFonts w:cs="Calibri"/>
                <w:sz w:val="20"/>
                <w:szCs w:val="20"/>
              </w:rPr>
              <w:t>CZ</w:t>
            </w:r>
            <w:r w:rsidRPr="001A2534">
              <w:rPr>
                <w:rFonts w:cs="Calibri"/>
                <w:sz w:val="20"/>
                <w:szCs w:val="20"/>
              </w:rPr>
              <w:t xml:space="preserve"> 14</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85F7F31" w14:textId="77777777" w:rsidR="00633CF2" w:rsidRPr="00837472" w:rsidRDefault="00633CF2" w:rsidP="005B790E">
            <w:pPr>
              <w:spacing w:before="0" w:after="0" w:line="240" w:lineRule="auto"/>
              <w:jc w:val="center"/>
              <w:rPr>
                <w:rFonts w:cs="Calibri"/>
                <w:sz w:val="20"/>
                <w:szCs w:val="20"/>
              </w:rPr>
            </w:pPr>
            <w:r w:rsidRPr="001A2534">
              <w:rPr>
                <w:rFonts w:cs="Calibri"/>
                <w:sz w:val="20"/>
                <w:szCs w:val="20"/>
              </w:rPr>
              <w:t>62.</w:t>
            </w:r>
            <w:r>
              <w:rPr>
                <w:rFonts w:cs="Calibri"/>
                <w:sz w:val="20"/>
                <w:szCs w:val="20"/>
              </w:rPr>
              <w:t>7</w:t>
            </w:r>
          </w:p>
        </w:tc>
        <w:tc>
          <w:tcPr>
            <w:tcW w:w="2607" w:type="dxa"/>
            <w:vMerge/>
            <w:tcBorders>
              <w:left w:val="single" w:sz="4" w:space="0" w:color="A6A6A6" w:themeColor="background1" w:themeShade="A6"/>
              <w:right w:val="single" w:sz="4" w:space="0" w:color="A6A6A6" w:themeColor="background1" w:themeShade="A6"/>
            </w:tcBorders>
          </w:tcPr>
          <w:p w14:paraId="429F4AAD" w14:textId="77777777" w:rsidR="00633CF2" w:rsidRPr="001A2534" w:rsidRDefault="00633CF2" w:rsidP="005B790E">
            <w:pPr>
              <w:spacing w:before="0" w:after="0" w:line="240" w:lineRule="auto"/>
              <w:jc w:val="center"/>
              <w:rPr>
                <w:rFonts w:cs="Calibri"/>
                <w:sz w:val="20"/>
                <w:szCs w:val="20"/>
              </w:rPr>
            </w:pPr>
          </w:p>
        </w:tc>
      </w:tr>
      <w:tr w:rsidR="00633CF2" w:rsidRPr="00BA632F" w14:paraId="1B5CFE47"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632122E" w14:textId="77777777" w:rsidR="00633CF2" w:rsidRPr="00837472" w:rsidRDefault="00633CF2" w:rsidP="005B790E">
            <w:pPr>
              <w:spacing w:before="0" w:after="0" w:line="240" w:lineRule="auto"/>
              <w:rPr>
                <w:rFonts w:cs="Calibri"/>
                <w:sz w:val="20"/>
                <w:szCs w:val="20"/>
              </w:rPr>
            </w:pPr>
            <w:r>
              <w:rPr>
                <w:rFonts w:cs="Calibri"/>
                <w:sz w:val="20"/>
                <w:szCs w:val="20"/>
              </w:rPr>
              <w:t>CZ</w:t>
            </w:r>
            <w:r w:rsidRPr="001A2534">
              <w:rPr>
                <w:rFonts w:cs="Calibri"/>
                <w:sz w:val="20"/>
                <w:szCs w:val="20"/>
              </w:rPr>
              <w:t xml:space="preserve"> 15</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59F057D6" w14:textId="77777777" w:rsidR="00633CF2" w:rsidRPr="00837472" w:rsidRDefault="00633CF2" w:rsidP="005B790E">
            <w:pPr>
              <w:spacing w:before="0" w:after="0" w:line="240" w:lineRule="auto"/>
              <w:jc w:val="center"/>
              <w:rPr>
                <w:rFonts w:cs="Calibri"/>
                <w:sz w:val="20"/>
                <w:szCs w:val="20"/>
              </w:rPr>
            </w:pPr>
            <w:r w:rsidRPr="001A2534">
              <w:rPr>
                <w:rFonts w:cs="Calibri"/>
                <w:sz w:val="20"/>
                <w:szCs w:val="20"/>
              </w:rPr>
              <w:t>75.</w:t>
            </w:r>
            <w:r>
              <w:rPr>
                <w:rFonts w:cs="Calibri"/>
                <w:sz w:val="20"/>
                <w:szCs w:val="20"/>
              </w:rPr>
              <w:t>5</w:t>
            </w:r>
          </w:p>
        </w:tc>
        <w:tc>
          <w:tcPr>
            <w:tcW w:w="2607" w:type="dxa"/>
            <w:vMerge/>
            <w:tcBorders>
              <w:left w:val="single" w:sz="4" w:space="0" w:color="A6A6A6" w:themeColor="background1" w:themeShade="A6"/>
              <w:right w:val="single" w:sz="4" w:space="0" w:color="A6A6A6" w:themeColor="background1" w:themeShade="A6"/>
            </w:tcBorders>
          </w:tcPr>
          <w:p w14:paraId="74668082" w14:textId="77777777" w:rsidR="00633CF2" w:rsidRPr="001A2534" w:rsidRDefault="00633CF2" w:rsidP="005B790E">
            <w:pPr>
              <w:spacing w:before="0" w:after="0" w:line="240" w:lineRule="auto"/>
              <w:jc w:val="center"/>
              <w:rPr>
                <w:rFonts w:cs="Calibri"/>
                <w:sz w:val="20"/>
                <w:szCs w:val="20"/>
              </w:rPr>
            </w:pPr>
          </w:p>
        </w:tc>
      </w:tr>
      <w:tr w:rsidR="00633CF2" w:rsidRPr="00BA632F" w14:paraId="54531DBA" w14:textId="77777777" w:rsidTr="005B790E">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993B7CB" w14:textId="77777777" w:rsidR="00633CF2" w:rsidRPr="00837472" w:rsidRDefault="00633CF2" w:rsidP="005B790E">
            <w:pPr>
              <w:spacing w:before="0" w:after="0" w:line="240" w:lineRule="auto"/>
              <w:rPr>
                <w:rFonts w:cs="Calibri"/>
                <w:sz w:val="20"/>
                <w:szCs w:val="20"/>
              </w:rPr>
            </w:pPr>
            <w:r>
              <w:rPr>
                <w:rFonts w:cs="Calibri"/>
                <w:sz w:val="20"/>
                <w:szCs w:val="20"/>
              </w:rPr>
              <w:t>CZ</w:t>
            </w:r>
            <w:r w:rsidRPr="001A2534">
              <w:rPr>
                <w:rFonts w:cs="Calibri"/>
                <w:sz w:val="20"/>
                <w:szCs w:val="20"/>
              </w:rPr>
              <w:t xml:space="preserve"> 16</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12FEC3F6" w14:textId="77777777" w:rsidR="00633CF2" w:rsidRPr="00837472" w:rsidRDefault="00633CF2" w:rsidP="005B790E">
            <w:pPr>
              <w:spacing w:before="0" w:after="0" w:line="240" w:lineRule="auto"/>
              <w:jc w:val="center"/>
              <w:rPr>
                <w:rFonts w:cs="Calibri"/>
                <w:sz w:val="20"/>
                <w:szCs w:val="20"/>
              </w:rPr>
            </w:pPr>
            <w:r w:rsidRPr="001A2534">
              <w:rPr>
                <w:rFonts w:cs="Calibri"/>
                <w:sz w:val="20"/>
                <w:szCs w:val="20"/>
              </w:rPr>
              <w:t>51.</w:t>
            </w:r>
            <w:r>
              <w:rPr>
                <w:rFonts w:cs="Calibri"/>
                <w:sz w:val="20"/>
                <w:szCs w:val="20"/>
              </w:rPr>
              <w:t>8</w:t>
            </w:r>
          </w:p>
        </w:tc>
        <w:tc>
          <w:tcPr>
            <w:tcW w:w="26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52B06658" w14:textId="77777777" w:rsidR="00633CF2" w:rsidRPr="001A2534" w:rsidRDefault="00633CF2" w:rsidP="005B790E">
            <w:pPr>
              <w:spacing w:before="0" w:after="0" w:line="240" w:lineRule="auto"/>
              <w:jc w:val="center"/>
              <w:rPr>
                <w:rFonts w:cs="Calibri"/>
                <w:sz w:val="20"/>
                <w:szCs w:val="20"/>
              </w:rPr>
            </w:pPr>
          </w:p>
        </w:tc>
      </w:tr>
    </w:tbl>
    <w:p w14:paraId="13A847A8" w14:textId="77777777" w:rsidR="00633CF2" w:rsidRDefault="00633CF2" w:rsidP="00633CF2"/>
    <w:bookmarkEnd w:id="61"/>
    <w:p w14:paraId="7B05E08D" w14:textId="77777777" w:rsidR="00962A47" w:rsidRDefault="00962A47" w:rsidP="00962A47">
      <w:r w:rsidRPr="00310349">
        <w:rPr>
          <w:b/>
        </w:rPr>
        <w:t xml:space="preserve">Recovery Efficiency: </w:t>
      </w:r>
      <w:r w:rsidRPr="00310349">
        <w:t>To convert the water heating load to gas energy use at the water heater, the recovery efficiency (RE) is used. Recovery efficiency is a measure of how efficiently the heat from the energy source is transferred to the water (the ratio of energy output used to heat the water divided by energy input). A weighted RE value was derived from the natural-gas fired, storage-type water heaters extracted from the California Energy Commission</w:t>
      </w:r>
      <w:r>
        <w:t xml:space="preserve"> (CEC)</w:t>
      </w:r>
      <w:r w:rsidRPr="00310349">
        <w:t xml:space="preserve"> database of certified equipment (without limit to the listed equipment energy factor, EF).</w:t>
      </w:r>
      <w:r>
        <w:t xml:space="preserve"> RE was subsequently stipulated by the Energy Division of the CPUC.</w:t>
      </w:r>
      <w:r>
        <w:rPr>
          <w:rStyle w:val="FootnoteReference"/>
        </w:rPr>
        <w:footnoteReference w:id="16"/>
      </w:r>
    </w:p>
    <w:p w14:paraId="31D8A698" w14:textId="77777777" w:rsidR="00E20A67" w:rsidRDefault="00E20A67" w:rsidP="00177EB6"/>
    <w:p w14:paraId="4DDCD51F" w14:textId="4F2BBAD7" w:rsidR="007D230B" w:rsidRPr="004B06E3" w:rsidRDefault="00245AFF" w:rsidP="00462BB6">
      <w:pPr>
        <w:pStyle w:val="eTRMHeading3"/>
      </w:pPr>
      <w:bookmarkStart w:id="62" w:name="_Toc23509271"/>
      <w:bookmarkStart w:id="63" w:name="_Toc486490859"/>
      <w:bookmarkStart w:id="64" w:name="_Toc486580930"/>
      <w:r w:rsidRPr="004B06E3">
        <w:t>Life Cycle</w:t>
      </w:r>
      <w:bookmarkEnd w:id="62"/>
      <w:r w:rsidR="007D230B" w:rsidRPr="004B06E3">
        <w:t xml:space="preserve"> </w:t>
      </w:r>
      <w:bookmarkEnd w:id="63"/>
      <w:bookmarkEnd w:id="64"/>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lastRenderedPageBreak/>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2BE8EC3E" w14:textId="3B7998E1" w:rsidR="007D230B" w:rsidRDefault="007F669E" w:rsidP="004142EF">
      <w:r>
        <w:t xml:space="preserve">The EUL and RUL specified </w:t>
      </w:r>
      <w:r w:rsidR="00985D9F">
        <w:t xml:space="preserve">below is the estimated lifetime of a low-flow showerhead because the tub spout and showerhead technologies are subjected to similar conditions and </w:t>
      </w:r>
      <w:r w:rsidR="00B85B77">
        <w:t>are assumed to</w:t>
      </w:r>
      <w:r w:rsidR="00985D9F">
        <w:t xml:space="preserve"> have approximately the same useful life. </w:t>
      </w:r>
    </w:p>
    <w:p w14:paraId="7D542FEF" w14:textId="6A671446" w:rsidR="00FD2C54" w:rsidRPr="00920905" w:rsidRDefault="00FD2C54" w:rsidP="00EA057C">
      <w:pPr>
        <w:pStyle w:val="Caption"/>
      </w:pPr>
      <w:r>
        <w:t>Effective Useful Life</w:t>
      </w:r>
      <w:r w:rsidR="00BB4F22">
        <w:t xml:space="preserve"> and Remaining Useful Life</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1"/>
        <w:gridCol w:w="1566"/>
        <w:gridCol w:w="1567"/>
        <w:gridCol w:w="4251"/>
      </w:tblGrid>
      <w:tr w:rsidR="00985D9F" w:rsidRPr="002005AE" w14:paraId="78712F30" w14:textId="77777777" w:rsidTr="00D55362">
        <w:trPr>
          <w:cantSplit/>
          <w:trHeight w:val="20"/>
        </w:trPr>
        <w:tc>
          <w:tcPr>
            <w:tcW w:w="1971" w:type="dxa"/>
            <w:shd w:val="clear" w:color="auto" w:fill="F2F2F2" w:themeFill="background1" w:themeFillShade="F2"/>
            <w:vAlign w:val="bottom"/>
          </w:tcPr>
          <w:p w14:paraId="12182B7F" w14:textId="77777777" w:rsidR="00985D9F" w:rsidRPr="002005AE" w:rsidRDefault="00985D9F" w:rsidP="00D55362">
            <w:pPr>
              <w:keepNext/>
              <w:keepLines/>
              <w:spacing w:before="20" w:after="20"/>
              <w:jc w:val="center"/>
              <w:rPr>
                <w:rFonts w:cstheme="minorHAnsi"/>
                <w:b/>
                <w:sz w:val="20"/>
                <w:szCs w:val="20"/>
              </w:rPr>
            </w:pPr>
            <w:r w:rsidRPr="002005AE">
              <w:rPr>
                <w:rFonts w:cstheme="minorHAnsi"/>
                <w:b/>
                <w:sz w:val="20"/>
                <w:szCs w:val="20"/>
              </w:rPr>
              <w:t>Type</w:t>
            </w:r>
          </w:p>
        </w:tc>
        <w:tc>
          <w:tcPr>
            <w:tcW w:w="1566" w:type="dxa"/>
            <w:shd w:val="clear" w:color="auto" w:fill="F2F2F2" w:themeFill="background1" w:themeFillShade="F2"/>
            <w:vAlign w:val="bottom"/>
          </w:tcPr>
          <w:p w14:paraId="444968D9" w14:textId="77777777" w:rsidR="00985D9F" w:rsidRPr="002005AE" w:rsidRDefault="00985D9F" w:rsidP="00D55362">
            <w:pPr>
              <w:keepNext/>
              <w:keepLines/>
              <w:spacing w:before="20" w:after="20"/>
              <w:jc w:val="center"/>
              <w:rPr>
                <w:rFonts w:cstheme="minorHAnsi"/>
                <w:b/>
                <w:sz w:val="20"/>
                <w:szCs w:val="20"/>
              </w:rPr>
            </w:pPr>
            <w:r>
              <w:rPr>
                <w:rFonts w:cstheme="minorHAnsi"/>
                <w:b/>
                <w:sz w:val="20"/>
                <w:szCs w:val="20"/>
              </w:rPr>
              <w:t>Gas</w:t>
            </w:r>
          </w:p>
        </w:tc>
        <w:tc>
          <w:tcPr>
            <w:tcW w:w="1567" w:type="dxa"/>
            <w:shd w:val="clear" w:color="auto" w:fill="F2F2F2" w:themeFill="background1" w:themeFillShade="F2"/>
            <w:vAlign w:val="bottom"/>
          </w:tcPr>
          <w:p w14:paraId="4F483222" w14:textId="77777777" w:rsidR="00985D9F" w:rsidRPr="002005AE" w:rsidRDefault="00985D9F" w:rsidP="00D55362">
            <w:pPr>
              <w:keepNext/>
              <w:keepLines/>
              <w:spacing w:before="20" w:after="20"/>
              <w:jc w:val="center"/>
              <w:rPr>
                <w:rFonts w:cstheme="minorHAnsi"/>
                <w:b/>
                <w:sz w:val="20"/>
                <w:szCs w:val="20"/>
              </w:rPr>
            </w:pPr>
            <w:r>
              <w:rPr>
                <w:rFonts w:cstheme="minorHAnsi"/>
                <w:b/>
                <w:sz w:val="20"/>
                <w:szCs w:val="20"/>
              </w:rPr>
              <w:t>Electric</w:t>
            </w:r>
          </w:p>
        </w:tc>
        <w:tc>
          <w:tcPr>
            <w:tcW w:w="4251" w:type="dxa"/>
            <w:shd w:val="clear" w:color="auto" w:fill="F2F2F2" w:themeFill="background1" w:themeFillShade="F2"/>
            <w:vAlign w:val="bottom"/>
          </w:tcPr>
          <w:p w14:paraId="1FB8325F" w14:textId="77777777" w:rsidR="00985D9F" w:rsidRPr="002005AE" w:rsidRDefault="00985D9F" w:rsidP="00D55362">
            <w:pPr>
              <w:keepNext/>
              <w:keepLines/>
              <w:spacing w:before="20" w:after="20"/>
              <w:jc w:val="center"/>
              <w:rPr>
                <w:rFonts w:cstheme="minorHAnsi"/>
                <w:b/>
                <w:sz w:val="20"/>
                <w:szCs w:val="20"/>
              </w:rPr>
            </w:pPr>
            <w:r w:rsidRPr="002005AE">
              <w:rPr>
                <w:rFonts w:cstheme="minorHAnsi"/>
                <w:b/>
                <w:sz w:val="20"/>
                <w:szCs w:val="20"/>
              </w:rPr>
              <w:t>Source</w:t>
            </w:r>
          </w:p>
        </w:tc>
      </w:tr>
      <w:tr w:rsidR="00985D9F" w:rsidRPr="002005AE" w14:paraId="7996EECB" w14:textId="77777777" w:rsidTr="00D55362">
        <w:trPr>
          <w:cantSplit/>
          <w:trHeight w:val="20"/>
        </w:trPr>
        <w:tc>
          <w:tcPr>
            <w:tcW w:w="5104" w:type="dxa"/>
            <w:gridSpan w:val="3"/>
            <w:vAlign w:val="bottom"/>
          </w:tcPr>
          <w:p w14:paraId="292C4BFC" w14:textId="24BDAAD7" w:rsidR="00985D9F" w:rsidRPr="002005AE" w:rsidRDefault="00985D9F" w:rsidP="00D55362">
            <w:pPr>
              <w:keepNext/>
              <w:keepLines/>
              <w:spacing w:before="20" w:after="20"/>
              <w:rPr>
                <w:sz w:val="20"/>
                <w:szCs w:val="20"/>
              </w:rPr>
            </w:pPr>
            <w:r w:rsidRPr="002005AE">
              <w:rPr>
                <w:b/>
                <w:sz w:val="20"/>
                <w:szCs w:val="20"/>
              </w:rPr>
              <w:t xml:space="preserve">Single Baseline for </w:t>
            </w:r>
            <w:r w:rsidR="00BA36BE">
              <w:rPr>
                <w:b/>
                <w:sz w:val="20"/>
                <w:szCs w:val="20"/>
              </w:rPr>
              <w:t>Normal Replacement</w:t>
            </w:r>
            <w:r w:rsidRPr="002005AE">
              <w:rPr>
                <w:b/>
                <w:sz w:val="20"/>
                <w:szCs w:val="20"/>
              </w:rPr>
              <w:t xml:space="preserve"> </w:t>
            </w:r>
          </w:p>
        </w:tc>
        <w:tc>
          <w:tcPr>
            <w:tcW w:w="4251" w:type="dxa"/>
            <w:vMerge w:val="restart"/>
            <w:vAlign w:val="center"/>
          </w:tcPr>
          <w:p w14:paraId="236BCCA7" w14:textId="77777777" w:rsidR="00985D9F" w:rsidRPr="00AC7BD9" w:rsidRDefault="00985D9F" w:rsidP="00D55362">
            <w:pPr>
              <w:keepNext/>
              <w:keepLines/>
              <w:spacing w:before="20" w:after="20"/>
              <w:rPr>
                <w:sz w:val="18"/>
                <w:szCs w:val="20"/>
                <w:highlight w:val="yellow"/>
              </w:rPr>
            </w:pPr>
            <w:r>
              <w:t xml:space="preserve"> </w:t>
            </w:r>
            <w:r w:rsidRPr="00FA48C3">
              <w:rPr>
                <w:sz w:val="18"/>
                <w:szCs w:val="18"/>
              </w:rPr>
              <w:t>California Public Utilities Commission (CPUC). 2014. “DEER2014-EUL-table-update_2014-02-05.xlsx.”</w:t>
            </w:r>
          </w:p>
        </w:tc>
      </w:tr>
      <w:tr w:rsidR="00985D9F" w:rsidRPr="002005AE" w14:paraId="3421ADAE" w14:textId="77777777" w:rsidTr="00D55362">
        <w:trPr>
          <w:cantSplit/>
          <w:trHeight w:val="20"/>
        </w:trPr>
        <w:tc>
          <w:tcPr>
            <w:tcW w:w="1971" w:type="dxa"/>
            <w:vAlign w:val="bottom"/>
          </w:tcPr>
          <w:p w14:paraId="2E53D091" w14:textId="77777777" w:rsidR="00985D9F" w:rsidRPr="002005AE" w:rsidRDefault="00985D9F" w:rsidP="00D55362">
            <w:pPr>
              <w:keepNext/>
              <w:keepLines/>
              <w:spacing w:before="20" w:after="20"/>
              <w:ind w:left="154"/>
              <w:rPr>
                <w:sz w:val="20"/>
                <w:szCs w:val="20"/>
              </w:rPr>
            </w:pPr>
            <w:r w:rsidRPr="002005AE">
              <w:rPr>
                <w:sz w:val="20"/>
                <w:szCs w:val="20"/>
              </w:rPr>
              <w:t>EUL</w:t>
            </w:r>
          </w:p>
        </w:tc>
        <w:tc>
          <w:tcPr>
            <w:tcW w:w="1566" w:type="dxa"/>
            <w:vAlign w:val="center"/>
          </w:tcPr>
          <w:p w14:paraId="60751707" w14:textId="77777777" w:rsidR="00985D9F" w:rsidRPr="00BA36BE" w:rsidRDefault="00985D9F" w:rsidP="00D55362">
            <w:pPr>
              <w:keepNext/>
              <w:keepLines/>
              <w:spacing w:before="20" w:after="20"/>
              <w:jc w:val="right"/>
              <w:rPr>
                <w:sz w:val="20"/>
                <w:szCs w:val="20"/>
              </w:rPr>
            </w:pPr>
            <w:r w:rsidRPr="00BA36BE">
              <w:rPr>
                <w:sz w:val="20"/>
                <w:szCs w:val="20"/>
              </w:rPr>
              <w:t>10.00</w:t>
            </w:r>
          </w:p>
        </w:tc>
        <w:tc>
          <w:tcPr>
            <w:tcW w:w="1567" w:type="dxa"/>
            <w:vAlign w:val="center"/>
          </w:tcPr>
          <w:p w14:paraId="070144E8" w14:textId="77777777" w:rsidR="00985D9F" w:rsidRPr="00BA36BE" w:rsidRDefault="00985D9F" w:rsidP="00D55362">
            <w:pPr>
              <w:keepNext/>
              <w:keepLines/>
              <w:spacing w:before="20" w:after="20"/>
              <w:jc w:val="right"/>
              <w:rPr>
                <w:sz w:val="20"/>
                <w:szCs w:val="20"/>
              </w:rPr>
            </w:pPr>
            <w:r w:rsidRPr="00BA36BE">
              <w:rPr>
                <w:sz w:val="20"/>
                <w:szCs w:val="20"/>
              </w:rPr>
              <w:t xml:space="preserve">10.00 </w:t>
            </w:r>
          </w:p>
        </w:tc>
        <w:tc>
          <w:tcPr>
            <w:tcW w:w="4251" w:type="dxa"/>
            <w:vMerge/>
          </w:tcPr>
          <w:p w14:paraId="56BD3832" w14:textId="77777777" w:rsidR="00985D9F" w:rsidRPr="002005AE" w:rsidRDefault="00985D9F" w:rsidP="00D55362">
            <w:pPr>
              <w:keepNext/>
              <w:keepLines/>
              <w:spacing w:before="20" w:after="20"/>
              <w:jc w:val="center"/>
              <w:rPr>
                <w:sz w:val="20"/>
                <w:szCs w:val="20"/>
              </w:rPr>
            </w:pPr>
          </w:p>
        </w:tc>
      </w:tr>
      <w:tr w:rsidR="00985D9F" w:rsidRPr="002005AE" w14:paraId="7B1887D4" w14:textId="77777777" w:rsidTr="00D55362">
        <w:trPr>
          <w:cantSplit/>
          <w:trHeight w:val="20"/>
        </w:trPr>
        <w:tc>
          <w:tcPr>
            <w:tcW w:w="1971" w:type="dxa"/>
            <w:vAlign w:val="bottom"/>
          </w:tcPr>
          <w:p w14:paraId="0B10CC0C" w14:textId="77777777" w:rsidR="00985D9F" w:rsidRPr="002005AE" w:rsidRDefault="00985D9F" w:rsidP="00D55362">
            <w:pPr>
              <w:keepNext/>
              <w:keepLines/>
              <w:spacing w:before="20" w:after="20"/>
              <w:ind w:left="154"/>
              <w:rPr>
                <w:sz w:val="20"/>
                <w:szCs w:val="20"/>
              </w:rPr>
            </w:pPr>
            <w:r w:rsidRPr="002005AE">
              <w:rPr>
                <w:sz w:val="20"/>
                <w:szCs w:val="20"/>
              </w:rPr>
              <w:t>RUL</w:t>
            </w:r>
          </w:p>
        </w:tc>
        <w:tc>
          <w:tcPr>
            <w:tcW w:w="1566" w:type="dxa"/>
            <w:vAlign w:val="center"/>
          </w:tcPr>
          <w:p w14:paraId="1E70A80D" w14:textId="77777777" w:rsidR="00985D9F" w:rsidRPr="00BA36BE" w:rsidRDefault="00985D9F" w:rsidP="00D55362">
            <w:pPr>
              <w:keepNext/>
              <w:keepLines/>
              <w:spacing w:before="20" w:after="20"/>
              <w:jc w:val="right"/>
              <w:rPr>
                <w:sz w:val="20"/>
                <w:szCs w:val="20"/>
              </w:rPr>
            </w:pPr>
            <w:r w:rsidRPr="00BA36BE">
              <w:rPr>
                <w:sz w:val="20"/>
                <w:szCs w:val="20"/>
              </w:rPr>
              <w:t>n/a</w:t>
            </w:r>
          </w:p>
        </w:tc>
        <w:tc>
          <w:tcPr>
            <w:tcW w:w="1567" w:type="dxa"/>
            <w:vAlign w:val="center"/>
          </w:tcPr>
          <w:p w14:paraId="62EBBD55" w14:textId="77777777" w:rsidR="00985D9F" w:rsidRPr="00BA36BE" w:rsidRDefault="00985D9F" w:rsidP="00D55362">
            <w:pPr>
              <w:keepNext/>
              <w:keepLines/>
              <w:spacing w:before="20" w:after="20"/>
              <w:jc w:val="right"/>
              <w:rPr>
                <w:sz w:val="20"/>
                <w:szCs w:val="20"/>
              </w:rPr>
            </w:pPr>
            <w:r w:rsidRPr="00BA36BE">
              <w:rPr>
                <w:sz w:val="20"/>
                <w:szCs w:val="20"/>
              </w:rPr>
              <w:t>n/a</w:t>
            </w:r>
          </w:p>
        </w:tc>
        <w:tc>
          <w:tcPr>
            <w:tcW w:w="4251" w:type="dxa"/>
            <w:vMerge/>
          </w:tcPr>
          <w:p w14:paraId="08CB5214" w14:textId="77777777" w:rsidR="00985D9F" w:rsidRPr="002005AE" w:rsidRDefault="00985D9F" w:rsidP="00D55362">
            <w:pPr>
              <w:keepNext/>
              <w:keepLines/>
              <w:spacing w:before="20" w:after="20"/>
              <w:jc w:val="center"/>
              <w:rPr>
                <w:sz w:val="20"/>
                <w:szCs w:val="20"/>
              </w:rPr>
            </w:pPr>
          </w:p>
        </w:tc>
      </w:tr>
      <w:tr w:rsidR="00985D9F" w:rsidRPr="002005AE" w14:paraId="7FDA3922" w14:textId="77777777" w:rsidTr="00D55362">
        <w:trPr>
          <w:cantSplit/>
          <w:trHeight w:val="20"/>
        </w:trPr>
        <w:tc>
          <w:tcPr>
            <w:tcW w:w="5104" w:type="dxa"/>
            <w:gridSpan w:val="3"/>
            <w:vAlign w:val="bottom"/>
          </w:tcPr>
          <w:p w14:paraId="771FC38D" w14:textId="6BB04633" w:rsidR="00985D9F" w:rsidRPr="00BA36BE" w:rsidRDefault="00985D9F" w:rsidP="00D55362">
            <w:pPr>
              <w:keepNext/>
              <w:keepLines/>
              <w:spacing w:before="20" w:after="20"/>
              <w:rPr>
                <w:sz w:val="20"/>
                <w:szCs w:val="20"/>
              </w:rPr>
            </w:pPr>
            <w:r w:rsidRPr="00BA36BE">
              <w:rPr>
                <w:b/>
                <w:sz w:val="20"/>
                <w:szCs w:val="20"/>
              </w:rPr>
              <w:t xml:space="preserve">Dual Baseline for </w:t>
            </w:r>
            <w:r w:rsidR="00BA36BE">
              <w:rPr>
                <w:b/>
                <w:sz w:val="20"/>
                <w:szCs w:val="20"/>
              </w:rPr>
              <w:t>Accelerated Replacement</w:t>
            </w:r>
            <w:r w:rsidRPr="00BA36BE">
              <w:rPr>
                <w:b/>
                <w:sz w:val="20"/>
                <w:szCs w:val="20"/>
              </w:rPr>
              <w:t xml:space="preserve"> </w:t>
            </w:r>
          </w:p>
        </w:tc>
        <w:tc>
          <w:tcPr>
            <w:tcW w:w="4251" w:type="dxa"/>
            <w:vMerge w:val="restart"/>
            <w:vAlign w:val="center"/>
          </w:tcPr>
          <w:p w14:paraId="189DFC06" w14:textId="77777777" w:rsidR="00985D9F" w:rsidRPr="00C36AD1" w:rsidRDefault="00985D9F" w:rsidP="00D55362">
            <w:pPr>
              <w:keepNext/>
              <w:keepLines/>
              <w:spacing w:before="20" w:after="20"/>
              <w:rPr>
                <w:sz w:val="18"/>
                <w:szCs w:val="20"/>
                <w:highlight w:val="yellow"/>
              </w:rPr>
            </w:pPr>
            <w:r w:rsidRPr="00C36AD1">
              <w:rPr>
                <w:sz w:val="18"/>
              </w:rPr>
              <w:t xml:space="preserve">California Public Utilities Commission (CPUC), Energy Division. 2013. </w:t>
            </w:r>
            <w:r w:rsidRPr="00C36AD1">
              <w:rPr>
                <w:i/>
                <w:sz w:val="18"/>
              </w:rPr>
              <w:t>Energy Efficiency Policy Manual Version 5</w:t>
            </w:r>
            <w:r w:rsidRPr="00C36AD1">
              <w:rPr>
                <w:sz w:val="18"/>
              </w:rPr>
              <w:t>. Page 32.</w:t>
            </w:r>
          </w:p>
        </w:tc>
      </w:tr>
      <w:tr w:rsidR="00985D9F" w:rsidRPr="002005AE" w14:paraId="2AE32F82" w14:textId="77777777" w:rsidTr="00D55362">
        <w:trPr>
          <w:cantSplit/>
          <w:trHeight w:val="20"/>
        </w:trPr>
        <w:tc>
          <w:tcPr>
            <w:tcW w:w="19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14:paraId="71CECE13" w14:textId="77777777" w:rsidR="00985D9F" w:rsidRPr="002005AE" w:rsidRDefault="00985D9F" w:rsidP="00D55362">
            <w:pPr>
              <w:keepNext/>
              <w:keepLines/>
              <w:spacing w:before="20" w:after="20"/>
              <w:ind w:left="154"/>
              <w:rPr>
                <w:sz w:val="20"/>
                <w:szCs w:val="20"/>
              </w:rPr>
            </w:pPr>
            <w:r w:rsidRPr="002005AE">
              <w:rPr>
                <w:sz w:val="20"/>
                <w:szCs w:val="20"/>
              </w:rPr>
              <w:t>RUL</w:t>
            </w:r>
            <w:r>
              <w:rPr>
                <w:sz w:val="20"/>
                <w:szCs w:val="20"/>
              </w:rPr>
              <w:t xml:space="preserve"> =1/3 EUL </w:t>
            </w:r>
          </w:p>
        </w:tc>
        <w:tc>
          <w:tcPr>
            <w:tcW w:w="1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C4B181" w14:textId="77777777" w:rsidR="00985D9F" w:rsidRPr="00BA36BE" w:rsidRDefault="00985D9F" w:rsidP="00D55362">
            <w:pPr>
              <w:keepNext/>
              <w:keepLines/>
              <w:spacing w:before="20" w:after="20"/>
              <w:jc w:val="right"/>
              <w:rPr>
                <w:sz w:val="20"/>
                <w:szCs w:val="20"/>
              </w:rPr>
            </w:pPr>
            <w:r w:rsidRPr="00BA36BE">
              <w:rPr>
                <w:sz w:val="20"/>
                <w:szCs w:val="20"/>
              </w:rPr>
              <w:t>3.33</w:t>
            </w:r>
          </w:p>
        </w:tc>
        <w:tc>
          <w:tcPr>
            <w:tcW w:w="1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DA6C6C" w14:textId="77777777" w:rsidR="00985D9F" w:rsidRPr="00BA36BE" w:rsidRDefault="00985D9F" w:rsidP="00D55362">
            <w:pPr>
              <w:keepNext/>
              <w:keepLines/>
              <w:spacing w:before="20" w:after="20"/>
              <w:jc w:val="right"/>
              <w:rPr>
                <w:sz w:val="20"/>
                <w:szCs w:val="20"/>
              </w:rPr>
            </w:pPr>
            <w:r w:rsidRPr="00BA36BE">
              <w:rPr>
                <w:sz w:val="20"/>
                <w:szCs w:val="20"/>
              </w:rPr>
              <w:t>3.33</w:t>
            </w:r>
          </w:p>
        </w:tc>
        <w:tc>
          <w:tcPr>
            <w:tcW w:w="4251" w:type="dxa"/>
            <w:vMerge/>
          </w:tcPr>
          <w:p w14:paraId="277E1472" w14:textId="77777777" w:rsidR="00985D9F" w:rsidRPr="002005AE" w:rsidRDefault="00985D9F" w:rsidP="00D55362">
            <w:pPr>
              <w:keepNext/>
              <w:keepLines/>
              <w:spacing w:before="20" w:after="20"/>
              <w:jc w:val="center"/>
              <w:rPr>
                <w:sz w:val="20"/>
                <w:szCs w:val="20"/>
              </w:rPr>
            </w:pPr>
          </w:p>
        </w:tc>
      </w:tr>
      <w:tr w:rsidR="00985D9F" w:rsidRPr="002005AE" w14:paraId="1E8B12DC" w14:textId="77777777" w:rsidTr="00D55362">
        <w:trPr>
          <w:cantSplit/>
          <w:trHeight w:val="20"/>
        </w:trPr>
        <w:tc>
          <w:tcPr>
            <w:tcW w:w="19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14:paraId="68A25CC0" w14:textId="77777777" w:rsidR="00985D9F" w:rsidRPr="002005AE" w:rsidRDefault="00985D9F" w:rsidP="00D55362">
            <w:pPr>
              <w:keepNext/>
              <w:keepLines/>
              <w:spacing w:before="20" w:after="20"/>
              <w:ind w:left="154"/>
              <w:rPr>
                <w:sz w:val="20"/>
                <w:szCs w:val="20"/>
              </w:rPr>
            </w:pPr>
            <w:r w:rsidRPr="002005AE">
              <w:rPr>
                <w:sz w:val="20"/>
                <w:szCs w:val="20"/>
              </w:rPr>
              <w:t>EUL</w:t>
            </w:r>
            <w:r>
              <w:rPr>
                <w:sz w:val="20"/>
                <w:szCs w:val="20"/>
              </w:rPr>
              <w:t xml:space="preserve"> - RUL</w:t>
            </w:r>
          </w:p>
        </w:tc>
        <w:tc>
          <w:tcPr>
            <w:tcW w:w="1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CD1960" w14:textId="77777777" w:rsidR="00985D9F" w:rsidRPr="00BA36BE" w:rsidRDefault="00985D9F" w:rsidP="00D55362">
            <w:pPr>
              <w:keepNext/>
              <w:keepLines/>
              <w:spacing w:before="20" w:after="20"/>
              <w:jc w:val="right"/>
              <w:rPr>
                <w:sz w:val="20"/>
                <w:szCs w:val="20"/>
              </w:rPr>
            </w:pPr>
            <w:r w:rsidRPr="00BA36BE">
              <w:rPr>
                <w:sz w:val="20"/>
                <w:szCs w:val="20"/>
              </w:rPr>
              <w:t xml:space="preserve">6.67 </w:t>
            </w:r>
          </w:p>
        </w:tc>
        <w:tc>
          <w:tcPr>
            <w:tcW w:w="1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5359BB" w14:textId="77777777" w:rsidR="00985D9F" w:rsidRPr="00BA36BE" w:rsidRDefault="00985D9F" w:rsidP="00D55362">
            <w:pPr>
              <w:keepNext/>
              <w:keepLines/>
              <w:spacing w:before="20" w:after="20"/>
              <w:jc w:val="right"/>
              <w:rPr>
                <w:sz w:val="20"/>
                <w:szCs w:val="20"/>
              </w:rPr>
            </w:pPr>
            <w:r w:rsidRPr="00BA36BE">
              <w:rPr>
                <w:sz w:val="20"/>
                <w:szCs w:val="20"/>
              </w:rPr>
              <w:t xml:space="preserve">6.67 </w:t>
            </w:r>
          </w:p>
        </w:tc>
        <w:tc>
          <w:tcPr>
            <w:tcW w:w="4251" w:type="dxa"/>
            <w:vMerge/>
          </w:tcPr>
          <w:p w14:paraId="62A63D50" w14:textId="77777777" w:rsidR="00985D9F" w:rsidRPr="002005AE" w:rsidRDefault="00985D9F" w:rsidP="00D55362">
            <w:pPr>
              <w:keepNext/>
              <w:keepLines/>
              <w:spacing w:before="20" w:after="20"/>
              <w:jc w:val="center"/>
              <w:rPr>
                <w:sz w:val="20"/>
                <w:szCs w:val="20"/>
              </w:rPr>
            </w:pPr>
          </w:p>
        </w:tc>
      </w:tr>
    </w:tbl>
    <w:p w14:paraId="254D37E0" w14:textId="77777777" w:rsidR="00985D9F" w:rsidRPr="004B06E3" w:rsidRDefault="00985D9F" w:rsidP="004142EF"/>
    <w:p w14:paraId="3B14B593" w14:textId="77777777" w:rsidR="007D230B" w:rsidRPr="004B06E3" w:rsidRDefault="007D230B" w:rsidP="00462BB6">
      <w:pPr>
        <w:pStyle w:val="eTRMHeading3"/>
      </w:pPr>
      <w:bookmarkStart w:id="65" w:name="_Toc486490860"/>
      <w:bookmarkStart w:id="66" w:name="_Toc486580931"/>
      <w:bookmarkStart w:id="67" w:name="_Toc23509272"/>
      <w:r w:rsidRPr="004B06E3">
        <w:t>Base Case Material Cost ($/unit)</w:t>
      </w:r>
      <w:bookmarkEnd w:id="65"/>
      <w:bookmarkEnd w:id="66"/>
      <w:bookmarkEnd w:id="67"/>
    </w:p>
    <w:p w14:paraId="56651581" w14:textId="1E918206" w:rsidR="00061C2F" w:rsidRDefault="00524A46" w:rsidP="00061C2F">
      <w:r>
        <w:t xml:space="preserve">Base case </w:t>
      </w:r>
      <w:r w:rsidR="00A856D2">
        <w:t xml:space="preserve">cost data was obtained </w:t>
      </w:r>
      <w:r>
        <w:t xml:space="preserve">in March and April of 2016 </w:t>
      </w:r>
      <w:r w:rsidR="00A856D2">
        <w:t>from online retailers of</w:t>
      </w:r>
      <w:r w:rsidR="00061C2F">
        <w:t xml:space="preserve"> showerhead</w:t>
      </w:r>
      <w:r w:rsidR="00A856D2">
        <w:t>s</w:t>
      </w:r>
      <w:r w:rsidR="00061C2F">
        <w:t xml:space="preserve"> and tub spout</w:t>
      </w:r>
      <w:r w:rsidR="00A856D2">
        <w:t>s (Home Depot and Lowes)</w:t>
      </w:r>
      <w:r w:rsidR="00061C2F">
        <w:t>.</w:t>
      </w:r>
      <w:r w:rsidR="00061C2F">
        <w:rPr>
          <w:rStyle w:val="FootnoteReference"/>
        </w:rPr>
        <w:footnoteReference w:id="17"/>
      </w:r>
      <w:r>
        <w:t xml:space="preserve"> (Note that the cost data for low flow showerheads in the Database of Energy Efficient Resources, DEER, originated in DEER 2008 and does not provide the showerhead flow rate.)</w:t>
      </w:r>
    </w:p>
    <w:p w14:paraId="1B983E21" w14:textId="77777777" w:rsidR="00A856D2" w:rsidRDefault="00A856D2" w:rsidP="00061C2F"/>
    <w:p w14:paraId="44E8DBEB" w14:textId="77777777" w:rsidR="007D230B" w:rsidRPr="004B06E3" w:rsidRDefault="007D230B" w:rsidP="00462BB6">
      <w:pPr>
        <w:pStyle w:val="eTRMHeading3"/>
      </w:pPr>
      <w:bookmarkStart w:id="68" w:name="_Toc486490861"/>
      <w:bookmarkStart w:id="69" w:name="_Toc486580932"/>
      <w:bookmarkStart w:id="70" w:name="_Toc23509273"/>
      <w:r w:rsidRPr="004B06E3">
        <w:t>Measure Case Material Cost ($/unit)</w:t>
      </w:r>
      <w:bookmarkEnd w:id="68"/>
      <w:bookmarkEnd w:id="69"/>
      <w:bookmarkEnd w:id="70"/>
    </w:p>
    <w:p w14:paraId="346F6390" w14:textId="1C1A975F" w:rsidR="00061C2F" w:rsidRDefault="00061C2F" w:rsidP="00061C2F">
      <w:bookmarkStart w:id="71" w:name="_Toc486490862"/>
      <w:bookmarkStart w:id="72" w:name="_Toc486580933"/>
      <w:r>
        <w:t xml:space="preserve">The measure case material cost </w:t>
      </w:r>
      <w:r w:rsidR="00524A46">
        <w:t>data was obtained in March and April of 2016 from online retailers of showerheads and tub spouts (Home Depot and Lowes).</w:t>
      </w:r>
      <w:r w:rsidRPr="00061C2F">
        <w:rPr>
          <w:rStyle w:val="FootnoteReference"/>
        </w:rPr>
        <w:t xml:space="preserve"> </w:t>
      </w:r>
      <w:r>
        <w:rPr>
          <w:rStyle w:val="FootnoteReference"/>
        </w:rPr>
        <w:footnoteReference w:id="18"/>
      </w:r>
      <w:r>
        <w:t xml:space="preserve"> </w:t>
      </w:r>
    </w:p>
    <w:p w14:paraId="3BF92165" w14:textId="77777777" w:rsidR="00061C2F" w:rsidRDefault="00061C2F" w:rsidP="00061C2F"/>
    <w:p w14:paraId="02691007" w14:textId="5F8300DF" w:rsidR="007D230B" w:rsidRDefault="002E5874" w:rsidP="00462BB6">
      <w:pPr>
        <w:pStyle w:val="eTRMHeading3"/>
      </w:pPr>
      <w:bookmarkStart w:id="73" w:name="_Toc23509274"/>
      <w:r>
        <w:t xml:space="preserve">Base Case </w:t>
      </w:r>
      <w:r w:rsidR="007D230B" w:rsidRPr="004B06E3">
        <w:t>Labor Cost ($/unit)</w:t>
      </w:r>
      <w:bookmarkEnd w:id="71"/>
      <w:bookmarkEnd w:id="72"/>
      <w:bookmarkEnd w:id="73"/>
    </w:p>
    <w:p w14:paraId="3FC55B68" w14:textId="22EC3CE5" w:rsidR="00061C2F" w:rsidRDefault="006766C1" w:rsidP="006766C1">
      <w:r>
        <w:t>The base case installation labor cost was obtained from the 2010-2012 Ex Ante Measure Cost Update Study conducted by Itron, Inc.</w:t>
      </w:r>
      <w:r>
        <w:rPr>
          <w:rStyle w:val="FootnoteReference"/>
        </w:rPr>
        <w:footnoteReference w:id="19"/>
      </w:r>
      <w:r>
        <w:t xml:space="preserve"> </w:t>
      </w:r>
    </w:p>
    <w:p w14:paraId="6472B291" w14:textId="77777777" w:rsidR="006766C1" w:rsidRPr="004B06E3" w:rsidRDefault="006766C1" w:rsidP="006766C1"/>
    <w:p w14:paraId="5E89BC5E" w14:textId="13EC511E" w:rsidR="002E5874" w:rsidRPr="004B06E3" w:rsidRDefault="002E5874" w:rsidP="002E5874">
      <w:pPr>
        <w:pStyle w:val="eTRMHeading3"/>
      </w:pPr>
      <w:bookmarkStart w:id="74" w:name="_Toc23509275"/>
      <w:r>
        <w:lastRenderedPageBreak/>
        <w:t xml:space="preserve">Measure Case </w:t>
      </w:r>
      <w:r w:rsidRPr="004B06E3">
        <w:t>Labor Cost ($/unit)</w:t>
      </w:r>
      <w:bookmarkEnd w:id="74"/>
    </w:p>
    <w:p w14:paraId="35CA668B" w14:textId="2AD6DA9A" w:rsidR="00061C2F" w:rsidRDefault="00061C2F" w:rsidP="00061C2F">
      <w:r>
        <w:t xml:space="preserve">The measure case labor cost </w:t>
      </w:r>
      <w:r w:rsidR="00524A46">
        <w:t>data was obtained in March and April of 2016 from online retailers of showerheads and tub spouts (Home Depot and Lowes)</w:t>
      </w:r>
      <w:r>
        <w:t>.</w:t>
      </w:r>
      <w:r w:rsidRPr="00061C2F">
        <w:rPr>
          <w:rStyle w:val="FootnoteReference"/>
        </w:rPr>
        <w:t xml:space="preserve"> </w:t>
      </w:r>
      <w:r>
        <w:rPr>
          <w:rStyle w:val="FootnoteReference"/>
        </w:rPr>
        <w:footnoteReference w:id="20"/>
      </w:r>
      <w:r>
        <w:t xml:space="preserve"> </w:t>
      </w:r>
    </w:p>
    <w:p w14:paraId="5FCE367F" w14:textId="77777777" w:rsidR="007D230B" w:rsidRPr="004B06E3" w:rsidRDefault="007D230B" w:rsidP="004142EF"/>
    <w:p w14:paraId="050D9183" w14:textId="7ABF5C13" w:rsidR="007D230B" w:rsidRPr="004B06E3" w:rsidRDefault="004B06E3" w:rsidP="00462BB6">
      <w:pPr>
        <w:pStyle w:val="eTRMHeading3"/>
      </w:pPr>
      <w:bookmarkStart w:id="75" w:name="_Toc486490863"/>
      <w:bookmarkStart w:id="76" w:name="_Toc486580934"/>
      <w:bookmarkStart w:id="77" w:name="_Toc23509276"/>
      <w:r>
        <w:t>Net-to-Gross</w:t>
      </w:r>
      <w:bookmarkEnd w:id="75"/>
      <w:bookmarkEnd w:id="76"/>
      <w:r w:rsidR="008D4652">
        <w:t xml:space="preserve"> (NTG)</w:t>
      </w:r>
      <w:bookmarkEnd w:id="77"/>
    </w:p>
    <w:p w14:paraId="74940D3A" w14:textId="353E6405" w:rsidR="007D230B" w:rsidRPr="004B06E3" w:rsidRDefault="00AA3E2A" w:rsidP="004142EF">
      <w:r w:rsidRPr="00860FEC">
        <w:t xml:space="preserve">The net-to-gross (NTG) ratio represents the portion of gross impacts that are determined to be directly attributed to a specific program intervention. </w:t>
      </w:r>
      <w:r w:rsidR="00BA36BE">
        <w:t>The</w:t>
      </w:r>
      <w:r w:rsidR="00BA36BE" w:rsidRPr="00AF3038">
        <w:t xml:space="preserve"> </w:t>
      </w:r>
      <w:r w:rsidR="001F5408">
        <w:t xml:space="preserve">residential default </w:t>
      </w:r>
      <w:r w:rsidR="00BA36BE" w:rsidRPr="00AF3038">
        <w:t xml:space="preserve">NTG </w:t>
      </w:r>
      <w:r w:rsidR="00DE0BD6">
        <w:t>ratio is</w:t>
      </w:r>
      <w:r w:rsidR="00BA36BE" w:rsidRPr="00AF3038">
        <w:t xml:space="preserve"> based upon the average of all NTG ratios for all evaluated 2006 – 2008 </w:t>
      </w:r>
      <w:r w:rsidR="00BA36BE">
        <w:t>residential</w:t>
      </w:r>
      <w:r w:rsidR="00BA36BE" w:rsidRPr="00AF3038">
        <w:t xml:space="preserve"> programs, as documented in the 2011 DEER Update Study conducted by Itron, Inc. </w:t>
      </w:r>
      <w:r w:rsidR="00DE0BD6">
        <w:t>This</w:t>
      </w:r>
      <w:r w:rsidR="00BA36BE" w:rsidRPr="00AF3038">
        <w:t xml:space="preserve"> sector average NTG (“default NTG”) </w:t>
      </w:r>
      <w:r w:rsidR="00DE0BD6">
        <w:t>is</w:t>
      </w:r>
      <w:r w:rsidR="00BA36BE" w:rsidRPr="00AF3038">
        <w:t xml:space="preserve"> applicable </w:t>
      </w:r>
      <w:r w:rsidR="00BA36BE">
        <w:t xml:space="preserve">to </w:t>
      </w:r>
      <w:r w:rsidR="00BA36BE" w:rsidRPr="00AF3038">
        <w:t xml:space="preserve">all energy efficiency measures that have been offered </w:t>
      </w:r>
      <w:r w:rsidR="00BA36BE">
        <w:t>through</w:t>
      </w:r>
      <w:r w:rsidR="00BA36BE" w:rsidRPr="00AF3038">
        <w:t xml:space="preserve"> </w:t>
      </w:r>
      <w:r w:rsidR="00BA36BE">
        <w:t xml:space="preserve">residential </w:t>
      </w:r>
      <w:r w:rsidR="00BA36BE" w:rsidRPr="00AF3038">
        <w:t>programs for more than two years and for which impact evaluation results are not available.</w:t>
      </w:r>
      <w:r w:rsidR="00BA36BE" w:rsidRPr="00765218">
        <w:t> </w:t>
      </w:r>
      <w:r w:rsidR="001F5408">
        <w:t xml:space="preserve"> Additionally, a NTG </w:t>
      </w:r>
      <w:r w:rsidR="00523A43">
        <w:t xml:space="preserve">ratio </w:t>
      </w:r>
      <w:r w:rsidR="001F5408">
        <w:t xml:space="preserve">is specified for direct installation </w:t>
      </w:r>
      <w:r w:rsidR="00523A43">
        <w:t xml:space="preserve">delivery if a </w:t>
      </w:r>
      <w:r w:rsidR="001F5408">
        <w:t>customer meet the qualifications of hard-to-reach (HTR) customer</w:t>
      </w:r>
      <w:r w:rsidR="00523A43">
        <w:t xml:space="preserve"> established by the California Public Utilities Commission (CPUC)</w:t>
      </w:r>
      <w:r w:rsidR="001F5408">
        <w:t xml:space="preserve">. </w:t>
      </w:r>
    </w:p>
    <w:p w14:paraId="0D1CEED6" w14:textId="6481FB80" w:rsidR="00DE1A0F" w:rsidRPr="0059426D" w:rsidRDefault="00DE1A0F" w:rsidP="00EA057C">
      <w:pPr>
        <w:pStyle w:val="Caption"/>
      </w:pPr>
      <w:r>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291"/>
        <w:gridCol w:w="1744"/>
        <w:gridCol w:w="4500"/>
      </w:tblGrid>
      <w:tr w:rsidR="00AA3E2A" w:rsidRPr="0059426D" w14:paraId="0D2B92AF" w14:textId="662FBAEE" w:rsidTr="00043DF6">
        <w:trPr>
          <w:cantSplit/>
          <w:trHeight w:val="20"/>
        </w:trPr>
        <w:tc>
          <w:tcPr>
            <w:tcW w:w="3291"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744"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450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AC46A1" w:rsidRPr="0059426D" w14:paraId="682BF062" w14:textId="72E696E9" w:rsidTr="001F5408">
        <w:trPr>
          <w:cantSplit/>
          <w:trHeight w:val="323"/>
        </w:trPr>
        <w:tc>
          <w:tcPr>
            <w:tcW w:w="3291" w:type="dxa"/>
            <w:vAlign w:val="center"/>
          </w:tcPr>
          <w:p w14:paraId="5BA6FA92" w14:textId="1A234331" w:rsidR="00AC46A1" w:rsidRPr="00177EB6" w:rsidRDefault="00AC46A1" w:rsidP="00524A46">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residential default </w:t>
            </w:r>
          </w:p>
        </w:tc>
        <w:tc>
          <w:tcPr>
            <w:tcW w:w="1744" w:type="dxa"/>
            <w:shd w:val="clear" w:color="auto" w:fill="auto"/>
            <w:noWrap/>
            <w:vAlign w:val="center"/>
          </w:tcPr>
          <w:p w14:paraId="62F18FF1" w14:textId="55D5795A" w:rsidR="00AC46A1" w:rsidRPr="005523F8" w:rsidRDefault="00AC46A1" w:rsidP="00524A46">
            <w:pPr>
              <w:keepNext/>
              <w:keepLines/>
              <w:spacing w:before="0" w:after="0" w:line="200" w:lineRule="atLeast"/>
              <w:jc w:val="center"/>
              <w:rPr>
                <w:sz w:val="20"/>
                <w:szCs w:val="20"/>
              </w:rPr>
            </w:pPr>
            <w:r w:rsidRPr="005523F8">
              <w:rPr>
                <w:sz w:val="20"/>
                <w:szCs w:val="20"/>
              </w:rPr>
              <w:t>0.55</w:t>
            </w:r>
          </w:p>
        </w:tc>
        <w:tc>
          <w:tcPr>
            <w:tcW w:w="4500" w:type="dxa"/>
            <w:vMerge w:val="restart"/>
          </w:tcPr>
          <w:p w14:paraId="133857EB" w14:textId="2537E5E0" w:rsidR="00AC46A1" w:rsidRPr="005523F8" w:rsidRDefault="00AC46A1" w:rsidP="00DE0BD6">
            <w:pPr>
              <w:keepNext/>
              <w:keepLines/>
              <w:spacing w:before="0" w:after="0" w:line="200" w:lineRule="atLeast"/>
              <w:rPr>
                <w:sz w:val="20"/>
                <w:szCs w:val="20"/>
              </w:rPr>
            </w:pPr>
            <w:r w:rsidRPr="005523F8">
              <w:rPr>
                <w:rFonts w:eastAsia="Times New Roman" w:cs="Times New Roman"/>
                <w:sz w:val="18"/>
                <w:szCs w:val="18"/>
              </w:rPr>
              <w:t xml:space="preserve">Itron, Inc. 2011. </w:t>
            </w:r>
            <w:r w:rsidRPr="005523F8">
              <w:rPr>
                <w:rFonts w:eastAsia="Times New Roman" w:cs="Times New Roman"/>
                <w:i/>
                <w:sz w:val="18"/>
                <w:szCs w:val="18"/>
              </w:rPr>
              <w:t>DEER Database 2011 Update Documentation.</w:t>
            </w:r>
            <w:r w:rsidRPr="005523F8">
              <w:rPr>
                <w:rFonts w:eastAsia="Times New Roman" w:cs="Times New Roman"/>
                <w:sz w:val="18"/>
                <w:szCs w:val="18"/>
              </w:rPr>
              <w:t xml:space="preserve"> Prepared for the California Public Utilities Commission. Table 15-3 Page 15-4.</w:t>
            </w:r>
          </w:p>
        </w:tc>
      </w:tr>
      <w:tr w:rsidR="00AC46A1" w:rsidRPr="0059426D" w14:paraId="72065972" w14:textId="77777777" w:rsidTr="001F5408">
        <w:trPr>
          <w:cantSplit/>
          <w:trHeight w:val="20"/>
        </w:trPr>
        <w:tc>
          <w:tcPr>
            <w:tcW w:w="3291" w:type="dxa"/>
            <w:shd w:val="clear" w:color="auto" w:fill="auto"/>
            <w:vAlign w:val="center"/>
          </w:tcPr>
          <w:p w14:paraId="3A6A88CD" w14:textId="2B2B31B7" w:rsidR="00AC46A1" w:rsidRPr="001F5408" w:rsidRDefault="00AC46A1" w:rsidP="00524A46">
            <w:pPr>
              <w:keepNext/>
              <w:keepLines/>
              <w:spacing w:before="0" w:after="0" w:line="200" w:lineRule="atLeast"/>
              <w:rPr>
                <w:rFonts w:cs="Arial"/>
                <w:color w:val="000000"/>
                <w:sz w:val="20"/>
                <w:szCs w:val="20"/>
              </w:rPr>
            </w:pPr>
            <w:r w:rsidRPr="001F5408">
              <w:rPr>
                <w:rFonts w:cs="Arial"/>
                <w:color w:val="000000"/>
                <w:sz w:val="20"/>
                <w:szCs w:val="20"/>
              </w:rPr>
              <w:t>NTG – direct install for hard-to-reach</w:t>
            </w:r>
          </w:p>
        </w:tc>
        <w:tc>
          <w:tcPr>
            <w:tcW w:w="1744" w:type="dxa"/>
            <w:shd w:val="clear" w:color="auto" w:fill="auto"/>
            <w:noWrap/>
            <w:vAlign w:val="center"/>
          </w:tcPr>
          <w:p w14:paraId="240EFEBC" w14:textId="5330343D" w:rsidR="00AC46A1" w:rsidRPr="001F5408" w:rsidRDefault="00AC46A1" w:rsidP="00524A46">
            <w:pPr>
              <w:keepNext/>
              <w:keepLines/>
              <w:spacing w:before="0" w:after="0" w:line="200" w:lineRule="atLeast"/>
              <w:jc w:val="center"/>
              <w:rPr>
                <w:sz w:val="20"/>
                <w:szCs w:val="20"/>
              </w:rPr>
            </w:pPr>
            <w:r w:rsidRPr="001F5408">
              <w:rPr>
                <w:sz w:val="20"/>
                <w:szCs w:val="20"/>
              </w:rPr>
              <w:t>0.85</w:t>
            </w:r>
          </w:p>
        </w:tc>
        <w:tc>
          <w:tcPr>
            <w:tcW w:w="4500" w:type="dxa"/>
            <w:vMerge/>
            <w:shd w:val="clear" w:color="auto" w:fill="auto"/>
          </w:tcPr>
          <w:p w14:paraId="6E4F4491" w14:textId="77777777" w:rsidR="00AC46A1" w:rsidRPr="005523F8" w:rsidRDefault="00AC46A1" w:rsidP="00DE0BD6">
            <w:pPr>
              <w:keepNext/>
              <w:keepLines/>
              <w:spacing w:before="0" w:after="0" w:line="200" w:lineRule="atLeast"/>
              <w:rPr>
                <w:rFonts w:eastAsia="Times New Roman" w:cs="Times New Roman"/>
                <w:sz w:val="18"/>
                <w:szCs w:val="18"/>
              </w:rPr>
            </w:pPr>
          </w:p>
        </w:tc>
      </w:tr>
    </w:tbl>
    <w:p w14:paraId="6ECC6493" w14:textId="5E017620" w:rsidR="007D230B" w:rsidRDefault="007D230B" w:rsidP="004142EF"/>
    <w:p w14:paraId="323B5B02" w14:textId="4C4B13DC" w:rsidR="007D230B" w:rsidRPr="004B06E3" w:rsidRDefault="00D02C36" w:rsidP="00462BB6">
      <w:pPr>
        <w:pStyle w:val="eTRMHeading3"/>
      </w:pPr>
      <w:bookmarkStart w:id="78" w:name="_Toc486490864"/>
      <w:bookmarkStart w:id="79" w:name="_Toc486580935"/>
      <w:bookmarkStart w:id="80" w:name="_Toc23509277"/>
      <w:r>
        <w:t>Gross Savings Installation Adjustment (</w:t>
      </w:r>
      <w:r w:rsidR="007D230B" w:rsidRPr="004B06E3">
        <w:t>GSIA</w:t>
      </w:r>
      <w:bookmarkEnd w:id="78"/>
      <w:bookmarkEnd w:id="79"/>
      <w:r>
        <w:t>)</w:t>
      </w:r>
      <w:bookmarkEnd w:id="80"/>
    </w:p>
    <w:p w14:paraId="1802ED82" w14:textId="206557BE" w:rsidR="00347D79" w:rsidRPr="006A66DA" w:rsidRDefault="00347D79" w:rsidP="00347D79">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The GSIA rate specified this measure </w:t>
      </w:r>
      <w:bookmarkStart w:id="81" w:name="_Hlk505693433"/>
      <w:r>
        <w:t>is the current “default” rate specified for measures for which an alternative GSIA has not been estimated and approved.</w:t>
      </w:r>
    </w:p>
    <w:bookmarkEnd w:id="81"/>
    <w:p w14:paraId="435E58DC" w14:textId="77777777" w:rsidR="00347D79" w:rsidRPr="0059426D" w:rsidRDefault="00347D79" w:rsidP="00347D79">
      <w:pPr>
        <w:pStyle w:val="Caption"/>
      </w:pPr>
      <w:r>
        <w:t>Gross Saving Installation Adjustment Rate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1"/>
        <w:gridCol w:w="5849"/>
      </w:tblGrid>
      <w:tr w:rsidR="00347D79" w:rsidRPr="0059426D" w14:paraId="2D86EC3A" w14:textId="77777777" w:rsidTr="00D55362">
        <w:trPr>
          <w:cantSplit/>
          <w:trHeight w:val="20"/>
        </w:trPr>
        <w:tc>
          <w:tcPr>
            <w:tcW w:w="1130" w:type="pct"/>
            <w:shd w:val="clear" w:color="000000" w:fill="F2F2F2" w:themeFill="background1" w:themeFillShade="F2"/>
            <w:vAlign w:val="bottom"/>
          </w:tcPr>
          <w:p w14:paraId="1583D873" w14:textId="77777777" w:rsidR="00347D79" w:rsidRPr="0059426D" w:rsidRDefault="00347D79" w:rsidP="00D55362">
            <w:pPr>
              <w:spacing w:before="0" w:after="0" w:line="200" w:lineRule="atLeast"/>
              <w:jc w:val="center"/>
              <w:rPr>
                <w:rFonts w:cs="Arial"/>
                <w:b/>
                <w:color w:val="000000"/>
                <w:sz w:val="20"/>
                <w:szCs w:val="20"/>
              </w:rPr>
            </w:pPr>
            <w:r>
              <w:rPr>
                <w:rFonts w:cs="Arial"/>
                <w:b/>
                <w:color w:val="000000"/>
                <w:sz w:val="20"/>
                <w:szCs w:val="20"/>
              </w:rPr>
              <w:t>Parameter</w:t>
            </w:r>
          </w:p>
        </w:tc>
        <w:tc>
          <w:tcPr>
            <w:tcW w:w="803" w:type="pct"/>
            <w:shd w:val="clear" w:color="000000" w:fill="F2F2F2" w:themeFill="background1" w:themeFillShade="F2"/>
            <w:vAlign w:val="center"/>
          </w:tcPr>
          <w:p w14:paraId="7E137629" w14:textId="77777777" w:rsidR="00347D79" w:rsidRPr="0059426D" w:rsidRDefault="00347D79" w:rsidP="00D55362">
            <w:pPr>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68" w:type="pct"/>
            <w:shd w:val="clear" w:color="000000" w:fill="F2F2F2" w:themeFill="background1" w:themeFillShade="F2"/>
          </w:tcPr>
          <w:p w14:paraId="4BA9008D" w14:textId="77777777" w:rsidR="00347D79" w:rsidRPr="00D02DA8" w:rsidRDefault="00347D79" w:rsidP="00D55362">
            <w:pPr>
              <w:spacing w:before="0" w:after="0" w:line="200" w:lineRule="atLeast"/>
              <w:jc w:val="center"/>
              <w:rPr>
                <w:rFonts w:cs="Arial"/>
                <w:b/>
                <w:sz w:val="20"/>
                <w:szCs w:val="20"/>
              </w:rPr>
            </w:pPr>
            <w:r>
              <w:rPr>
                <w:rFonts w:cs="Arial"/>
                <w:b/>
                <w:sz w:val="20"/>
                <w:szCs w:val="20"/>
              </w:rPr>
              <w:t>Source</w:t>
            </w:r>
          </w:p>
        </w:tc>
      </w:tr>
      <w:tr w:rsidR="00347D79" w:rsidRPr="0059426D" w14:paraId="642423B3" w14:textId="77777777" w:rsidTr="00D55362">
        <w:trPr>
          <w:cantSplit/>
          <w:trHeight w:val="20"/>
        </w:trPr>
        <w:tc>
          <w:tcPr>
            <w:tcW w:w="1130" w:type="pct"/>
            <w:vAlign w:val="center"/>
          </w:tcPr>
          <w:p w14:paraId="2C214018" w14:textId="77777777" w:rsidR="00347D79" w:rsidRPr="0059426D" w:rsidRDefault="00347D79" w:rsidP="00D55362">
            <w:pPr>
              <w:spacing w:before="0" w:after="0" w:line="200" w:lineRule="atLeast"/>
              <w:rPr>
                <w:rFonts w:cstheme="minorHAnsi"/>
                <w:sz w:val="20"/>
                <w:szCs w:val="20"/>
              </w:rPr>
            </w:pPr>
            <w:r>
              <w:rPr>
                <w:rFonts w:cstheme="minorHAnsi"/>
                <w:sz w:val="20"/>
                <w:szCs w:val="20"/>
              </w:rPr>
              <w:t>GSIA - Default</w:t>
            </w:r>
          </w:p>
        </w:tc>
        <w:tc>
          <w:tcPr>
            <w:tcW w:w="803" w:type="pct"/>
            <w:vAlign w:val="center"/>
          </w:tcPr>
          <w:p w14:paraId="12A49617" w14:textId="77777777" w:rsidR="00347D79" w:rsidRPr="0059426D" w:rsidRDefault="00347D79" w:rsidP="00D55362">
            <w:pPr>
              <w:spacing w:before="0" w:after="0" w:line="200" w:lineRule="atLeast"/>
              <w:jc w:val="center"/>
              <w:rPr>
                <w:color w:val="000000"/>
                <w:sz w:val="20"/>
                <w:szCs w:val="20"/>
              </w:rPr>
            </w:pPr>
            <w:r w:rsidRPr="00DE0BD6">
              <w:rPr>
                <w:sz w:val="20"/>
                <w:szCs w:val="20"/>
              </w:rPr>
              <w:t>1.0</w:t>
            </w:r>
          </w:p>
        </w:tc>
        <w:tc>
          <w:tcPr>
            <w:tcW w:w="3068" w:type="pct"/>
          </w:tcPr>
          <w:p w14:paraId="4F1E9AC4" w14:textId="77777777" w:rsidR="00347D79" w:rsidRPr="00DE0BD6" w:rsidRDefault="00347D79" w:rsidP="00D55362">
            <w:pPr>
              <w:spacing w:before="0" w:after="0" w:line="200" w:lineRule="atLeast"/>
              <w:rPr>
                <w:sz w:val="20"/>
                <w:szCs w:val="20"/>
              </w:rPr>
            </w:pPr>
            <w:r w:rsidRPr="00DE0BD6">
              <w:rPr>
                <w:rFonts w:eastAsia="Times New Roman" w:cs="Times New Roman"/>
                <w:sz w:val="18"/>
                <w:szCs w:val="18"/>
              </w:rPr>
              <w:t xml:space="preserve">California Public Utilities Commission (CPUC), Energy Division. 2013. </w:t>
            </w:r>
            <w:r w:rsidRPr="00DE0BD6">
              <w:rPr>
                <w:rFonts w:eastAsia="Times New Roman" w:cs="Times New Roman"/>
                <w:i/>
                <w:sz w:val="18"/>
                <w:szCs w:val="18"/>
              </w:rPr>
              <w:t>Energy Efficiency Policy Manual Version 5</w:t>
            </w:r>
            <w:r w:rsidRPr="00DE0BD6">
              <w:rPr>
                <w:rFonts w:eastAsia="Times New Roman" w:cs="Times New Roman"/>
                <w:sz w:val="18"/>
                <w:szCs w:val="18"/>
              </w:rPr>
              <w:t>.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462BB6">
      <w:pPr>
        <w:pStyle w:val="eTRMHeading3"/>
      </w:pPr>
      <w:bookmarkStart w:id="82" w:name="_Toc486490865"/>
      <w:bookmarkStart w:id="83" w:name="_Toc486580936"/>
      <w:bookmarkStart w:id="84" w:name="_Toc23509278"/>
      <w:r w:rsidRPr="004B06E3">
        <w:t xml:space="preserve">Non-Energy </w:t>
      </w:r>
      <w:bookmarkEnd w:id="82"/>
      <w:bookmarkEnd w:id="83"/>
      <w:r w:rsidR="00DA6B7E">
        <w:t>Impacts</w:t>
      </w:r>
      <w:bookmarkEnd w:id="84"/>
    </w:p>
    <w:p w14:paraId="0D73FC70" w14:textId="7A9E7098" w:rsidR="00697A88" w:rsidRDefault="00463B80" w:rsidP="00697A88">
      <w:pPr>
        <w:rPr>
          <w:rFonts w:cs="Arial"/>
          <w:sz w:val="20"/>
          <w:szCs w:val="20"/>
        </w:rPr>
      </w:pPr>
      <w:r>
        <w:rPr>
          <w:rFonts w:cs="Arial"/>
          <w:sz w:val="20"/>
          <w:szCs w:val="20"/>
        </w:rPr>
        <w:t>The n</w:t>
      </w:r>
      <w:r w:rsidR="00697A88">
        <w:rPr>
          <w:rFonts w:cs="Arial"/>
          <w:sz w:val="20"/>
          <w:szCs w:val="20"/>
        </w:rPr>
        <w:t xml:space="preserve">on-energy </w:t>
      </w:r>
      <w:r>
        <w:rPr>
          <w:rFonts w:cs="Arial"/>
          <w:sz w:val="20"/>
          <w:szCs w:val="20"/>
        </w:rPr>
        <w:t>impacts</w:t>
      </w:r>
      <w:r w:rsidR="00697A88">
        <w:rPr>
          <w:rFonts w:cs="Arial"/>
          <w:sz w:val="20"/>
          <w:szCs w:val="20"/>
        </w:rPr>
        <w:t xml:space="preserve"> for this measure have not been </w:t>
      </w:r>
      <w:r w:rsidR="009D7F4D">
        <w:rPr>
          <w:rFonts w:cs="Arial"/>
          <w:sz w:val="20"/>
          <w:szCs w:val="20"/>
        </w:rPr>
        <w:t>quantified</w:t>
      </w:r>
      <w:r w:rsidR="00697A88">
        <w:rPr>
          <w:rFonts w:cs="Arial"/>
          <w:sz w:val="20"/>
          <w:szCs w:val="20"/>
        </w:rPr>
        <w:t>.</w:t>
      </w:r>
    </w:p>
    <w:p w14:paraId="0C37F289" w14:textId="77777777" w:rsidR="00697A88" w:rsidRDefault="00697A88" w:rsidP="004142EF"/>
    <w:p w14:paraId="7D8551BB" w14:textId="760F7D39" w:rsidR="009C31A4" w:rsidRPr="004B06E3" w:rsidRDefault="009C31A4" w:rsidP="00462BB6">
      <w:pPr>
        <w:pStyle w:val="eTRMHeading3"/>
      </w:pPr>
      <w:bookmarkStart w:id="85" w:name="_Toc23509279"/>
      <w:r>
        <w:lastRenderedPageBreak/>
        <w:t>DEER Differences Analysis</w:t>
      </w:r>
      <w:bookmarkEnd w:id="85"/>
    </w:p>
    <w:p w14:paraId="575E579E" w14:textId="11E5F509" w:rsidR="002C67DF" w:rsidRDefault="003F21D2" w:rsidP="004142EF">
      <w:r>
        <w:t>This section provides a summary of DEER-based inputs and methods, and the rationale for inputs and methods that are not DEER-based.</w:t>
      </w:r>
    </w:p>
    <w:p w14:paraId="756C62FB" w14:textId="7EAC4E0A" w:rsidR="00EA057C" w:rsidRPr="00920905" w:rsidRDefault="00EA057C" w:rsidP="00B85B77">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EB1A6F" w14:paraId="59D017C8" w14:textId="77777777" w:rsidTr="00C70240">
        <w:trPr>
          <w:trHeight w:val="20"/>
          <w:tblHeader/>
        </w:trPr>
        <w:tc>
          <w:tcPr>
            <w:tcW w:w="1730" w:type="pct"/>
            <w:shd w:val="clear" w:color="auto" w:fill="F2F2F2" w:themeFill="background1" w:themeFillShade="F2"/>
          </w:tcPr>
          <w:p w14:paraId="5A1E2CE5" w14:textId="77777777" w:rsidR="00EA057C" w:rsidRPr="00EB1A6F" w:rsidRDefault="00EA057C" w:rsidP="00B85B77">
            <w:pPr>
              <w:keepNext/>
              <w:keepLines/>
              <w:tabs>
                <w:tab w:val="right" w:pos="2957"/>
              </w:tabs>
              <w:spacing w:before="20" w:after="20"/>
              <w:rPr>
                <w:rFonts w:cs="Arial"/>
                <w:b/>
                <w:sz w:val="20"/>
                <w:szCs w:val="20"/>
              </w:rPr>
            </w:pPr>
            <w:r w:rsidRPr="00EB1A6F">
              <w:rPr>
                <w:rFonts w:cs="Arial"/>
                <w:b/>
                <w:sz w:val="20"/>
                <w:szCs w:val="20"/>
              </w:rPr>
              <w:t>DEER Item</w:t>
            </w:r>
          </w:p>
        </w:tc>
        <w:tc>
          <w:tcPr>
            <w:tcW w:w="3270" w:type="pct"/>
            <w:shd w:val="clear" w:color="auto" w:fill="F2F2F2" w:themeFill="background1" w:themeFillShade="F2"/>
          </w:tcPr>
          <w:p w14:paraId="52AD34D1" w14:textId="0CFF441B" w:rsidR="00EA057C" w:rsidRPr="00EB1A6F" w:rsidRDefault="00EA057C" w:rsidP="00B85B77">
            <w:pPr>
              <w:keepNext/>
              <w:keepLines/>
              <w:spacing w:before="20" w:after="20"/>
              <w:rPr>
                <w:rFonts w:cs="Arial"/>
                <w:b/>
                <w:sz w:val="20"/>
                <w:szCs w:val="20"/>
              </w:rPr>
            </w:pPr>
            <w:r w:rsidRPr="00EB1A6F">
              <w:rPr>
                <w:rFonts w:cs="Arial"/>
                <w:b/>
                <w:sz w:val="20"/>
                <w:szCs w:val="20"/>
              </w:rPr>
              <w:t>Comment / Used for Workpaper</w:t>
            </w:r>
          </w:p>
        </w:tc>
      </w:tr>
      <w:tr w:rsidR="005F1FB9" w:rsidRPr="00EB1A6F" w14:paraId="33003020" w14:textId="77777777" w:rsidTr="00EA057C">
        <w:trPr>
          <w:trHeight w:val="20"/>
        </w:trPr>
        <w:tc>
          <w:tcPr>
            <w:tcW w:w="1730" w:type="pct"/>
          </w:tcPr>
          <w:p w14:paraId="1F2D360A" w14:textId="77777777" w:rsidR="005F1FB9" w:rsidRPr="00EB1A6F" w:rsidRDefault="005F1FB9" w:rsidP="00B85B77">
            <w:pPr>
              <w:keepNext/>
              <w:keepLines/>
              <w:spacing w:before="20" w:after="20"/>
              <w:rPr>
                <w:rFonts w:cs="Arial"/>
                <w:sz w:val="20"/>
                <w:szCs w:val="20"/>
              </w:rPr>
            </w:pPr>
            <w:r w:rsidRPr="00EB1A6F">
              <w:rPr>
                <w:rFonts w:cs="Arial"/>
                <w:sz w:val="20"/>
                <w:szCs w:val="20"/>
              </w:rPr>
              <w:t>Modified DEER methodology</w:t>
            </w:r>
          </w:p>
        </w:tc>
        <w:tc>
          <w:tcPr>
            <w:tcW w:w="3270" w:type="pct"/>
          </w:tcPr>
          <w:p w14:paraId="247EE411" w14:textId="3351F510" w:rsidR="005F1FB9" w:rsidRPr="00803C0A" w:rsidRDefault="005F1FB9" w:rsidP="00B85B77">
            <w:pPr>
              <w:keepNext/>
              <w:keepLines/>
              <w:spacing w:before="20" w:after="20"/>
              <w:rPr>
                <w:rFonts w:cs="Arial"/>
                <w:sz w:val="20"/>
                <w:szCs w:val="20"/>
              </w:rPr>
            </w:pPr>
            <w:r w:rsidRPr="00803C0A">
              <w:rPr>
                <w:rFonts w:cs="Arial"/>
                <w:sz w:val="20"/>
                <w:szCs w:val="20"/>
              </w:rPr>
              <w:t>No</w:t>
            </w:r>
          </w:p>
        </w:tc>
      </w:tr>
      <w:tr w:rsidR="005F1FB9" w:rsidRPr="00EB1A6F" w14:paraId="507422EA" w14:textId="77777777" w:rsidTr="00EA057C">
        <w:trPr>
          <w:trHeight w:val="20"/>
        </w:trPr>
        <w:tc>
          <w:tcPr>
            <w:tcW w:w="1730" w:type="pct"/>
          </w:tcPr>
          <w:p w14:paraId="29430E33" w14:textId="77777777" w:rsidR="005F1FB9" w:rsidRPr="00EB1A6F" w:rsidRDefault="005F1FB9" w:rsidP="001F5408">
            <w:pPr>
              <w:spacing w:before="20" w:after="20"/>
              <w:rPr>
                <w:rFonts w:cs="Arial"/>
                <w:sz w:val="20"/>
                <w:szCs w:val="20"/>
              </w:rPr>
            </w:pPr>
            <w:r w:rsidRPr="00EB1A6F">
              <w:rPr>
                <w:rFonts w:cs="Arial"/>
                <w:sz w:val="20"/>
                <w:szCs w:val="20"/>
              </w:rPr>
              <w:t>Scaled DEER measure</w:t>
            </w:r>
          </w:p>
        </w:tc>
        <w:tc>
          <w:tcPr>
            <w:tcW w:w="3270" w:type="pct"/>
          </w:tcPr>
          <w:p w14:paraId="0C847473" w14:textId="6A334811" w:rsidR="005F1FB9" w:rsidRPr="00803C0A" w:rsidRDefault="005F1FB9" w:rsidP="001F5408">
            <w:pPr>
              <w:spacing w:before="20" w:after="20"/>
              <w:rPr>
                <w:rFonts w:cs="Arial"/>
                <w:sz w:val="20"/>
                <w:szCs w:val="20"/>
              </w:rPr>
            </w:pPr>
            <w:r w:rsidRPr="00803C0A">
              <w:rPr>
                <w:rFonts w:cs="Arial"/>
                <w:sz w:val="20"/>
                <w:szCs w:val="20"/>
              </w:rPr>
              <w:t>No</w:t>
            </w:r>
          </w:p>
        </w:tc>
      </w:tr>
      <w:tr w:rsidR="005F1FB9" w:rsidRPr="00EB1A6F" w14:paraId="335CDE40" w14:textId="77777777" w:rsidTr="00EA057C">
        <w:trPr>
          <w:trHeight w:val="20"/>
        </w:trPr>
        <w:tc>
          <w:tcPr>
            <w:tcW w:w="1730" w:type="pct"/>
          </w:tcPr>
          <w:p w14:paraId="126C3B42" w14:textId="77777777" w:rsidR="005F1FB9" w:rsidRPr="00EB1A6F" w:rsidRDefault="005F1FB9" w:rsidP="001F5408">
            <w:pPr>
              <w:spacing w:before="20" w:after="20"/>
              <w:rPr>
                <w:rFonts w:cs="Arial"/>
                <w:sz w:val="20"/>
                <w:szCs w:val="20"/>
              </w:rPr>
            </w:pPr>
            <w:r w:rsidRPr="00EB1A6F">
              <w:rPr>
                <w:rFonts w:cs="Arial"/>
                <w:sz w:val="20"/>
                <w:szCs w:val="20"/>
              </w:rPr>
              <w:t>DEER Base Case</w:t>
            </w:r>
          </w:p>
        </w:tc>
        <w:tc>
          <w:tcPr>
            <w:tcW w:w="3270" w:type="pct"/>
          </w:tcPr>
          <w:p w14:paraId="5D2A1B0E" w14:textId="4C60AB89" w:rsidR="005F1FB9" w:rsidRPr="00803C0A" w:rsidRDefault="005F1FB9" w:rsidP="001F5408">
            <w:pPr>
              <w:spacing w:before="20" w:after="20"/>
              <w:rPr>
                <w:rFonts w:cs="Arial"/>
                <w:sz w:val="20"/>
                <w:szCs w:val="20"/>
              </w:rPr>
            </w:pPr>
            <w:r w:rsidRPr="00803C0A">
              <w:rPr>
                <w:rFonts w:cs="Arial"/>
                <w:sz w:val="20"/>
                <w:szCs w:val="20"/>
              </w:rPr>
              <w:t>No</w:t>
            </w:r>
          </w:p>
        </w:tc>
      </w:tr>
      <w:tr w:rsidR="005F1FB9" w:rsidRPr="00EB1A6F" w14:paraId="1F8399E1" w14:textId="77777777" w:rsidTr="00EA057C">
        <w:trPr>
          <w:trHeight w:val="20"/>
        </w:trPr>
        <w:tc>
          <w:tcPr>
            <w:tcW w:w="1730" w:type="pct"/>
          </w:tcPr>
          <w:p w14:paraId="0CC701E3" w14:textId="77777777" w:rsidR="005F1FB9" w:rsidRPr="00EB1A6F" w:rsidRDefault="005F1FB9" w:rsidP="001F5408">
            <w:pPr>
              <w:spacing w:before="20" w:after="20"/>
              <w:rPr>
                <w:rFonts w:cs="Arial"/>
                <w:sz w:val="20"/>
                <w:szCs w:val="20"/>
              </w:rPr>
            </w:pPr>
            <w:r w:rsidRPr="00EB1A6F">
              <w:rPr>
                <w:rFonts w:cs="Arial"/>
                <w:sz w:val="20"/>
                <w:szCs w:val="20"/>
              </w:rPr>
              <w:t>DEER Measure Case</w:t>
            </w:r>
          </w:p>
        </w:tc>
        <w:tc>
          <w:tcPr>
            <w:tcW w:w="3270" w:type="pct"/>
          </w:tcPr>
          <w:p w14:paraId="49A023A0" w14:textId="33A18E2C" w:rsidR="005F1FB9" w:rsidRPr="00803C0A" w:rsidRDefault="005F1FB9" w:rsidP="001F5408">
            <w:pPr>
              <w:spacing w:before="20" w:after="20"/>
              <w:rPr>
                <w:rFonts w:cs="Arial"/>
                <w:sz w:val="20"/>
                <w:szCs w:val="20"/>
              </w:rPr>
            </w:pPr>
            <w:r w:rsidRPr="00803C0A">
              <w:rPr>
                <w:rFonts w:cs="Arial"/>
                <w:sz w:val="20"/>
                <w:szCs w:val="20"/>
              </w:rPr>
              <w:t>No</w:t>
            </w:r>
          </w:p>
        </w:tc>
      </w:tr>
      <w:tr w:rsidR="005F1FB9" w:rsidRPr="00EB1A6F" w14:paraId="663742C6" w14:textId="77777777" w:rsidTr="00EA057C">
        <w:trPr>
          <w:trHeight w:val="20"/>
        </w:trPr>
        <w:tc>
          <w:tcPr>
            <w:tcW w:w="1730" w:type="pct"/>
          </w:tcPr>
          <w:p w14:paraId="16B2FDAB" w14:textId="77777777" w:rsidR="005F1FB9" w:rsidRPr="00EB1A6F" w:rsidRDefault="005F1FB9" w:rsidP="001F5408">
            <w:pPr>
              <w:spacing w:before="20" w:after="20"/>
              <w:rPr>
                <w:rFonts w:cs="Arial"/>
                <w:sz w:val="20"/>
                <w:szCs w:val="20"/>
              </w:rPr>
            </w:pPr>
            <w:r w:rsidRPr="00EB1A6F">
              <w:rPr>
                <w:rFonts w:cs="Arial"/>
                <w:sz w:val="20"/>
                <w:szCs w:val="20"/>
              </w:rPr>
              <w:t>DEER Building Types</w:t>
            </w:r>
          </w:p>
        </w:tc>
        <w:tc>
          <w:tcPr>
            <w:tcW w:w="3270" w:type="pct"/>
          </w:tcPr>
          <w:p w14:paraId="6BBA540C" w14:textId="57D7FAEF" w:rsidR="005F1FB9" w:rsidRPr="00803C0A" w:rsidRDefault="005F1FB9" w:rsidP="001F5408">
            <w:pPr>
              <w:spacing w:before="20" w:after="20"/>
              <w:rPr>
                <w:rFonts w:cs="Arial"/>
                <w:sz w:val="20"/>
                <w:szCs w:val="20"/>
              </w:rPr>
            </w:pPr>
            <w:r w:rsidRPr="00803C0A">
              <w:rPr>
                <w:rFonts w:cs="Arial"/>
                <w:sz w:val="20"/>
                <w:szCs w:val="20"/>
              </w:rPr>
              <w:t>Yes</w:t>
            </w:r>
          </w:p>
        </w:tc>
      </w:tr>
      <w:tr w:rsidR="005F1FB9" w:rsidRPr="00EB1A6F" w14:paraId="424F1325" w14:textId="77777777" w:rsidTr="00EA057C">
        <w:trPr>
          <w:trHeight w:val="20"/>
        </w:trPr>
        <w:tc>
          <w:tcPr>
            <w:tcW w:w="1730" w:type="pct"/>
          </w:tcPr>
          <w:p w14:paraId="71098DDA" w14:textId="77777777" w:rsidR="005F1FB9" w:rsidRPr="00EB1A6F" w:rsidRDefault="005F1FB9" w:rsidP="001F5408">
            <w:pPr>
              <w:spacing w:before="20" w:after="20"/>
              <w:rPr>
                <w:rFonts w:cs="Arial"/>
                <w:sz w:val="20"/>
                <w:szCs w:val="20"/>
              </w:rPr>
            </w:pPr>
            <w:r w:rsidRPr="00EB1A6F">
              <w:rPr>
                <w:rFonts w:cs="Arial"/>
                <w:sz w:val="20"/>
                <w:szCs w:val="20"/>
              </w:rPr>
              <w:t>DEER Operating Hours</w:t>
            </w:r>
          </w:p>
        </w:tc>
        <w:tc>
          <w:tcPr>
            <w:tcW w:w="3270" w:type="pct"/>
          </w:tcPr>
          <w:p w14:paraId="1693E1EE" w14:textId="13C29192" w:rsidR="005F1FB9" w:rsidRPr="00803C0A" w:rsidRDefault="005F1FB9" w:rsidP="001F5408">
            <w:pPr>
              <w:spacing w:before="20" w:after="20"/>
              <w:rPr>
                <w:rFonts w:cs="Arial"/>
                <w:sz w:val="20"/>
                <w:szCs w:val="20"/>
              </w:rPr>
            </w:pPr>
            <w:r w:rsidRPr="00803C0A">
              <w:rPr>
                <w:rFonts w:cs="Arial"/>
                <w:sz w:val="20"/>
                <w:szCs w:val="20"/>
              </w:rPr>
              <w:t>No</w:t>
            </w:r>
          </w:p>
        </w:tc>
      </w:tr>
      <w:tr w:rsidR="005F1FB9" w:rsidRPr="00EB1A6F" w14:paraId="0B93AD47" w14:textId="77777777" w:rsidTr="00EA057C">
        <w:trPr>
          <w:trHeight w:val="20"/>
        </w:trPr>
        <w:tc>
          <w:tcPr>
            <w:tcW w:w="1730" w:type="pct"/>
          </w:tcPr>
          <w:p w14:paraId="6E9E484F" w14:textId="77777777" w:rsidR="005F1FB9" w:rsidRPr="00EB1A6F" w:rsidRDefault="005F1FB9" w:rsidP="001F5408">
            <w:pPr>
              <w:spacing w:before="20" w:after="20"/>
              <w:rPr>
                <w:rFonts w:cs="Arial"/>
                <w:sz w:val="20"/>
                <w:szCs w:val="20"/>
              </w:rPr>
            </w:pPr>
            <w:r w:rsidRPr="00EB1A6F">
              <w:rPr>
                <w:rFonts w:cs="Arial"/>
                <w:sz w:val="20"/>
                <w:szCs w:val="20"/>
              </w:rPr>
              <w:t>DEER eQUEST Prototypes</w:t>
            </w:r>
          </w:p>
        </w:tc>
        <w:tc>
          <w:tcPr>
            <w:tcW w:w="3270" w:type="pct"/>
          </w:tcPr>
          <w:p w14:paraId="4948DEAF" w14:textId="2A575359" w:rsidR="005F1FB9" w:rsidRPr="00803C0A" w:rsidDel="00505CEC" w:rsidRDefault="005F1FB9" w:rsidP="001F5408">
            <w:pPr>
              <w:spacing w:before="20" w:after="20"/>
              <w:rPr>
                <w:rFonts w:cs="Arial"/>
                <w:sz w:val="20"/>
                <w:szCs w:val="20"/>
              </w:rPr>
            </w:pPr>
            <w:r w:rsidRPr="00803C0A">
              <w:rPr>
                <w:rFonts w:cs="Arial"/>
                <w:sz w:val="20"/>
                <w:szCs w:val="20"/>
              </w:rPr>
              <w:t>No</w:t>
            </w:r>
          </w:p>
        </w:tc>
      </w:tr>
      <w:tr w:rsidR="005F1FB9" w:rsidRPr="00EB1A6F" w14:paraId="2CFDE9D3" w14:textId="77777777" w:rsidTr="00EA057C">
        <w:trPr>
          <w:trHeight w:val="180"/>
        </w:trPr>
        <w:tc>
          <w:tcPr>
            <w:tcW w:w="1730" w:type="pct"/>
          </w:tcPr>
          <w:p w14:paraId="3B6B3E22" w14:textId="77777777" w:rsidR="005F1FB9" w:rsidRPr="00EB1A6F" w:rsidRDefault="005F1FB9" w:rsidP="001F5408">
            <w:pPr>
              <w:spacing w:before="20" w:after="20"/>
              <w:rPr>
                <w:rFonts w:cs="Arial"/>
                <w:sz w:val="20"/>
                <w:szCs w:val="20"/>
              </w:rPr>
            </w:pPr>
            <w:r w:rsidRPr="00EB1A6F">
              <w:rPr>
                <w:rFonts w:cs="Arial"/>
                <w:sz w:val="20"/>
                <w:szCs w:val="20"/>
              </w:rPr>
              <w:t>DEER Version</w:t>
            </w:r>
          </w:p>
        </w:tc>
        <w:tc>
          <w:tcPr>
            <w:tcW w:w="3270" w:type="pct"/>
          </w:tcPr>
          <w:p w14:paraId="1C3B60D1" w14:textId="2A234A70" w:rsidR="005F1FB9" w:rsidRPr="00803C0A" w:rsidRDefault="00803C0A" w:rsidP="001F5408">
            <w:pPr>
              <w:spacing w:before="20" w:after="20"/>
              <w:rPr>
                <w:rFonts w:cs="Arial"/>
                <w:sz w:val="20"/>
                <w:szCs w:val="20"/>
              </w:rPr>
            </w:pPr>
            <w:r>
              <w:rPr>
                <w:rFonts w:cstheme="minorHAnsi"/>
                <w:sz w:val="20"/>
                <w:szCs w:val="20"/>
              </w:rPr>
              <w:t>DEER 2016</w:t>
            </w:r>
          </w:p>
        </w:tc>
      </w:tr>
      <w:tr w:rsidR="005F1FB9" w:rsidRPr="00EB1A6F" w14:paraId="3B7464D7" w14:textId="77777777" w:rsidTr="00EA057C">
        <w:trPr>
          <w:trHeight w:val="20"/>
        </w:trPr>
        <w:tc>
          <w:tcPr>
            <w:tcW w:w="1730" w:type="pct"/>
          </w:tcPr>
          <w:p w14:paraId="24000A76" w14:textId="77777777" w:rsidR="005F1FB9" w:rsidRPr="00EB1A6F" w:rsidRDefault="005F1FB9" w:rsidP="001F5408">
            <w:pPr>
              <w:spacing w:before="20" w:after="20"/>
              <w:rPr>
                <w:rFonts w:cs="Arial"/>
                <w:sz w:val="20"/>
                <w:szCs w:val="20"/>
              </w:rPr>
            </w:pPr>
            <w:r w:rsidRPr="00EB1A6F">
              <w:rPr>
                <w:rFonts w:cs="Arial"/>
                <w:sz w:val="20"/>
                <w:szCs w:val="20"/>
              </w:rPr>
              <w:t>Reason for Deviation from DEER</w:t>
            </w:r>
          </w:p>
        </w:tc>
        <w:tc>
          <w:tcPr>
            <w:tcW w:w="3270" w:type="pct"/>
          </w:tcPr>
          <w:p w14:paraId="125AAB90" w14:textId="7AA7E37D" w:rsidR="005F1FB9" w:rsidRPr="00803C0A" w:rsidRDefault="005F1FB9" w:rsidP="001F5408">
            <w:pPr>
              <w:spacing w:before="20" w:after="20"/>
              <w:rPr>
                <w:rFonts w:cs="Arial"/>
                <w:sz w:val="20"/>
                <w:szCs w:val="20"/>
              </w:rPr>
            </w:pPr>
            <w:r w:rsidRPr="00803C0A">
              <w:rPr>
                <w:rFonts w:cs="Arial"/>
                <w:sz w:val="20"/>
                <w:szCs w:val="20"/>
              </w:rPr>
              <w:t>DEER does not contain this type of measure.</w:t>
            </w:r>
          </w:p>
        </w:tc>
      </w:tr>
      <w:tr w:rsidR="005F1FB9" w:rsidRPr="00EB1A6F" w14:paraId="4A7EE859" w14:textId="77777777" w:rsidTr="00EA057C">
        <w:trPr>
          <w:trHeight w:val="20"/>
        </w:trPr>
        <w:tc>
          <w:tcPr>
            <w:tcW w:w="1730" w:type="pct"/>
          </w:tcPr>
          <w:p w14:paraId="7B4D686A" w14:textId="77777777" w:rsidR="005F1FB9" w:rsidRPr="00EB1A6F" w:rsidRDefault="005F1FB9" w:rsidP="001F5408">
            <w:pPr>
              <w:spacing w:before="20" w:after="20"/>
              <w:rPr>
                <w:rFonts w:cs="Arial"/>
                <w:sz w:val="20"/>
                <w:szCs w:val="20"/>
              </w:rPr>
            </w:pPr>
            <w:r w:rsidRPr="00EB1A6F">
              <w:rPr>
                <w:rFonts w:cs="Arial"/>
                <w:sz w:val="20"/>
                <w:szCs w:val="20"/>
              </w:rPr>
              <w:t>DEER Measure IDs Used</w:t>
            </w:r>
          </w:p>
        </w:tc>
        <w:tc>
          <w:tcPr>
            <w:tcW w:w="3270" w:type="pct"/>
          </w:tcPr>
          <w:p w14:paraId="63ABA251" w14:textId="2AD0F9C8" w:rsidR="005F1FB9" w:rsidRPr="00803C0A" w:rsidRDefault="00EB1A6F" w:rsidP="001F5408">
            <w:pPr>
              <w:spacing w:before="20" w:after="20"/>
              <w:rPr>
                <w:rFonts w:cs="Arial"/>
                <w:sz w:val="20"/>
                <w:szCs w:val="20"/>
              </w:rPr>
            </w:pPr>
            <w:r w:rsidRPr="00803C0A">
              <w:rPr>
                <w:rFonts w:cs="Arial"/>
                <w:sz w:val="20"/>
                <w:szCs w:val="20"/>
              </w:rPr>
              <w:t>n/a</w:t>
            </w:r>
          </w:p>
        </w:tc>
      </w:tr>
      <w:tr w:rsidR="00EA057C" w:rsidRPr="00EB1A6F" w14:paraId="5A83EC74" w14:textId="77777777" w:rsidTr="00EA057C">
        <w:trPr>
          <w:trHeight w:val="20"/>
        </w:trPr>
        <w:tc>
          <w:tcPr>
            <w:tcW w:w="1730" w:type="pct"/>
          </w:tcPr>
          <w:p w14:paraId="2C82A9E0" w14:textId="121308D7" w:rsidR="00EA057C" w:rsidRPr="00EB1A6F" w:rsidRDefault="00EA057C" w:rsidP="001F5408">
            <w:pPr>
              <w:spacing w:before="20" w:after="20"/>
              <w:rPr>
                <w:rFonts w:cs="Arial"/>
                <w:sz w:val="20"/>
                <w:szCs w:val="20"/>
              </w:rPr>
            </w:pPr>
            <w:r w:rsidRPr="00EB1A6F">
              <w:rPr>
                <w:rFonts w:cs="Arial"/>
                <w:sz w:val="20"/>
                <w:szCs w:val="20"/>
              </w:rPr>
              <w:t>NTG</w:t>
            </w:r>
          </w:p>
        </w:tc>
        <w:tc>
          <w:tcPr>
            <w:tcW w:w="3270" w:type="pct"/>
          </w:tcPr>
          <w:p w14:paraId="2BBBB10C" w14:textId="1428CCFA" w:rsidR="00EA057C" w:rsidRPr="00803C0A" w:rsidRDefault="005A74DC" w:rsidP="001F5408">
            <w:pPr>
              <w:spacing w:before="20" w:after="20"/>
              <w:rPr>
                <w:rFonts w:cs="Arial"/>
                <w:sz w:val="20"/>
                <w:szCs w:val="20"/>
              </w:rPr>
            </w:pPr>
            <w:r w:rsidRPr="00803C0A">
              <w:rPr>
                <w:rFonts w:cs="Arial"/>
                <w:sz w:val="20"/>
                <w:szCs w:val="20"/>
              </w:rPr>
              <w:t xml:space="preserve">Source: </w:t>
            </w:r>
            <w:r w:rsidR="00043DF6" w:rsidRPr="00803C0A">
              <w:rPr>
                <w:rFonts w:cs="Arial"/>
                <w:sz w:val="20"/>
                <w:szCs w:val="20"/>
              </w:rPr>
              <w:t>DEER</w:t>
            </w:r>
            <w:r w:rsidRPr="00803C0A">
              <w:rPr>
                <w:rFonts w:cs="Arial"/>
                <w:sz w:val="20"/>
                <w:szCs w:val="20"/>
              </w:rPr>
              <w:t xml:space="preserve">. The NTG of </w:t>
            </w:r>
            <w:r w:rsidR="00043DF6" w:rsidRPr="00803C0A">
              <w:rPr>
                <w:rFonts w:cs="Arial"/>
                <w:sz w:val="20"/>
                <w:szCs w:val="20"/>
              </w:rPr>
              <w:t>0.</w:t>
            </w:r>
            <w:r w:rsidR="00DE0BD6" w:rsidRPr="00803C0A">
              <w:rPr>
                <w:rFonts w:cs="Arial"/>
                <w:sz w:val="20"/>
                <w:szCs w:val="20"/>
              </w:rPr>
              <w:t xml:space="preserve">55 </w:t>
            </w:r>
            <w:r w:rsidRPr="00803C0A">
              <w:rPr>
                <w:rFonts w:cs="Arial"/>
                <w:sz w:val="20"/>
                <w:szCs w:val="20"/>
              </w:rPr>
              <w:t xml:space="preserve">is associated with NTG ID: </w:t>
            </w:r>
            <w:r w:rsidR="00DE0BD6" w:rsidRPr="00803C0A">
              <w:rPr>
                <w:i/>
                <w:sz w:val="20"/>
                <w:szCs w:val="20"/>
              </w:rPr>
              <w:t>Res-Default&gt;2</w:t>
            </w:r>
            <w:r w:rsidR="00AC46A1">
              <w:rPr>
                <w:i/>
                <w:sz w:val="20"/>
                <w:szCs w:val="20"/>
              </w:rPr>
              <w:t xml:space="preserve">. </w:t>
            </w:r>
            <w:r w:rsidR="00AC46A1" w:rsidRPr="001F5408">
              <w:rPr>
                <w:sz w:val="20"/>
                <w:szCs w:val="20"/>
              </w:rPr>
              <w:t>The NTG of 0.85 is associated with NTG ID</w:t>
            </w:r>
            <w:r w:rsidR="00AC46A1">
              <w:rPr>
                <w:i/>
                <w:sz w:val="20"/>
                <w:szCs w:val="20"/>
              </w:rPr>
              <w:t xml:space="preserve">: </w:t>
            </w:r>
            <w:r w:rsidR="001F5408">
              <w:rPr>
                <w:i/>
                <w:sz w:val="20"/>
                <w:szCs w:val="20"/>
              </w:rPr>
              <w:t>Res-Default-HTR-di</w:t>
            </w:r>
          </w:p>
        </w:tc>
      </w:tr>
      <w:tr w:rsidR="00EA057C" w:rsidRPr="00EB1A6F" w14:paraId="131D1F9D" w14:textId="77777777" w:rsidTr="00EA057C">
        <w:trPr>
          <w:trHeight w:val="20"/>
        </w:trPr>
        <w:tc>
          <w:tcPr>
            <w:tcW w:w="1730" w:type="pct"/>
          </w:tcPr>
          <w:p w14:paraId="45FFA983" w14:textId="5F527A83" w:rsidR="00EA057C" w:rsidRPr="00EB1A6F" w:rsidRDefault="00EA057C" w:rsidP="001F5408">
            <w:pPr>
              <w:spacing w:before="20" w:after="20"/>
              <w:rPr>
                <w:rFonts w:cs="Arial"/>
                <w:sz w:val="20"/>
                <w:szCs w:val="20"/>
              </w:rPr>
            </w:pPr>
            <w:r w:rsidRPr="00EB1A6F">
              <w:rPr>
                <w:rFonts w:cs="Arial"/>
                <w:sz w:val="20"/>
                <w:szCs w:val="20"/>
              </w:rPr>
              <w:t>GSIA</w:t>
            </w:r>
          </w:p>
        </w:tc>
        <w:tc>
          <w:tcPr>
            <w:tcW w:w="3270" w:type="pct"/>
          </w:tcPr>
          <w:p w14:paraId="7C16D603" w14:textId="2DFA9643" w:rsidR="00EA057C" w:rsidRPr="00803C0A" w:rsidRDefault="005A74DC" w:rsidP="001F5408">
            <w:pPr>
              <w:spacing w:before="20" w:after="20"/>
              <w:rPr>
                <w:rFonts w:cs="Arial"/>
                <w:sz w:val="20"/>
                <w:szCs w:val="20"/>
              </w:rPr>
            </w:pPr>
            <w:r w:rsidRPr="00803C0A">
              <w:rPr>
                <w:rFonts w:cs="Arial"/>
                <w:sz w:val="20"/>
                <w:szCs w:val="20"/>
              </w:rPr>
              <w:t xml:space="preserve">Source: </w:t>
            </w:r>
            <w:r w:rsidR="00EB1A6F" w:rsidRPr="00803C0A">
              <w:rPr>
                <w:rFonts w:cs="Arial"/>
                <w:sz w:val="20"/>
                <w:szCs w:val="20"/>
              </w:rPr>
              <w:t>DEER</w:t>
            </w:r>
            <w:r w:rsidRPr="00803C0A">
              <w:rPr>
                <w:rFonts w:cs="Arial"/>
                <w:sz w:val="20"/>
                <w:szCs w:val="20"/>
              </w:rPr>
              <w:t xml:space="preserve">. The GSIA of </w:t>
            </w:r>
            <w:r w:rsidR="00EB1A6F" w:rsidRPr="00803C0A">
              <w:rPr>
                <w:rFonts w:cs="Arial"/>
                <w:sz w:val="20"/>
                <w:szCs w:val="20"/>
              </w:rPr>
              <w:t>1.0</w:t>
            </w:r>
            <w:r w:rsidRPr="00803C0A">
              <w:rPr>
                <w:rFonts w:cs="Arial"/>
                <w:sz w:val="20"/>
                <w:szCs w:val="20"/>
              </w:rPr>
              <w:t xml:space="preserve"> is associated with GSIA ID: </w:t>
            </w:r>
            <w:r w:rsidR="00EB1A6F" w:rsidRPr="00803C0A">
              <w:rPr>
                <w:rFonts w:cs="Arial"/>
                <w:i/>
                <w:sz w:val="20"/>
                <w:szCs w:val="20"/>
              </w:rPr>
              <w:t>Def-GSIA</w:t>
            </w:r>
          </w:p>
        </w:tc>
      </w:tr>
      <w:tr w:rsidR="00EA057C" w:rsidRPr="00EB1A6F" w14:paraId="4D0F7E1B" w14:textId="77777777" w:rsidTr="00EA057C">
        <w:trPr>
          <w:trHeight w:val="20"/>
        </w:trPr>
        <w:tc>
          <w:tcPr>
            <w:tcW w:w="1730" w:type="pct"/>
          </w:tcPr>
          <w:p w14:paraId="103BA947" w14:textId="6665B2EA" w:rsidR="00EA057C" w:rsidRPr="00EB1A6F" w:rsidRDefault="00EA057C" w:rsidP="001F5408">
            <w:pPr>
              <w:spacing w:before="20" w:after="20"/>
              <w:rPr>
                <w:rFonts w:cs="Arial"/>
                <w:sz w:val="20"/>
                <w:szCs w:val="20"/>
              </w:rPr>
            </w:pPr>
            <w:r w:rsidRPr="00EB1A6F">
              <w:rPr>
                <w:rFonts w:cs="Arial"/>
                <w:sz w:val="20"/>
                <w:szCs w:val="20"/>
              </w:rPr>
              <w:t>EUL/RUL</w:t>
            </w:r>
          </w:p>
        </w:tc>
        <w:tc>
          <w:tcPr>
            <w:tcW w:w="3270" w:type="pct"/>
          </w:tcPr>
          <w:p w14:paraId="5BD9C961" w14:textId="2E4DDD7E" w:rsidR="00EA057C" w:rsidRPr="00803C0A" w:rsidRDefault="005A74DC" w:rsidP="001F5408">
            <w:pPr>
              <w:spacing w:before="20" w:after="20"/>
              <w:rPr>
                <w:rFonts w:cs="Arial"/>
                <w:sz w:val="20"/>
                <w:szCs w:val="20"/>
              </w:rPr>
            </w:pPr>
            <w:r w:rsidRPr="00803C0A">
              <w:rPr>
                <w:rFonts w:cs="Arial"/>
                <w:sz w:val="20"/>
                <w:szCs w:val="20"/>
              </w:rPr>
              <w:t xml:space="preserve">Source: </w:t>
            </w:r>
            <w:r w:rsidR="008E7C7F" w:rsidRPr="00803C0A">
              <w:rPr>
                <w:rFonts w:cs="Arial"/>
                <w:sz w:val="20"/>
                <w:szCs w:val="20"/>
              </w:rPr>
              <w:t>DEER</w:t>
            </w:r>
            <w:r w:rsidRPr="00803C0A">
              <w:rPr>
                <w:rFonts w:cs="Arial"/>
                <w:sz w:val="20"/>
                <w:szCs w:val="20"/>
              </w:rPr>
              <w:t xml:space="preserve">. The value of </w:t>
            </w:r>
            <w:r w:rsidR="008E7C7F" w:rsidRPr="00803C0A">
              <w:rPr>
                <w:rFonts w:cs="Arial"/>
                <w:sz w:val="20"/>
                <w:szCs w:val="20"/>
              </w:rPr>
              <w:t>10</w:t>
            </w:r>
            <w:r w:rsidRPr="00803C0A">
              <w:rPr>
                <w:rFonts w:cs="Arial"/>
                <w:sz w:val="20"/>
                <w:szCs w:val="20"/>
              </w:rPr>
              <w:t xml:space="preserve"> years is associated with EUL ID: </w:t>
            </w:r>
            <w:r w:rsidR="008E7C7F" w:rsidRPr="00803C0A">
              <w:rPr>
                <w:rFonts w:cs="Arial"/>
                <w:i/>
                <w:sz w:val="20"/>
                <w:szCs w:val="20"/>
              </w:rPr>
              <w:t>WtrHt-WH-Shrhd</w:t>
            </w:r>
            <w:r w:rsidRPr="00803C0A">
              <w:rPr>
                <w:rFonts w:cs="Arial"/>
                <w:i/>
                <w:sz w:val="20"/>
                <w:szCs w:val="20"/>
              </w:rPr>
              <w:t>.</w:t>
            </w:r>
            <w:r w:rsidR="0095396E" w:rsidRPr="00803C0A">
              <w:rPr>
                <w:rFonts w:cs="Arial"/>
                <w:sz w:val="20"/>
                <w:szCs w:val="20"/>
              </w:rPr>
              <w:t xml:space="preserve"> </w:t>
            </w:r>
          </w:p>
        </w:tc>
      </w:tr>
    </w:tbl>
    <w:p w14:paraId="3D440479" w14:textId="77777777" w:rsidR="00EA057C" w:rsidRDefault="00EA057C" w:rsidP="004142EF">
      <w:bookmarkStart w:id="86" w:name="_Hlk516051142"/>
    </w:p>
    <w:p w14:paraId="59542C0D" w14:textId="77777777" w:rsidR="007D230B" w:rsidRDefault="007D230B" w:rsidP="00462BB6">
      <w:pPr>
        <w:pStyle w:val="eTRMHeading3"/>
      </w:pPr>
      <w:bookmarkStart w:id="87" w:name="_Toc486490866"/>
      <w:bookmarkStart w:id="88" w:name="_Toc486580937"/>
      <w:bookmarkStart w:id="89" w:name="_Toc23509280"/>
      <w:bookmarkStart w:id="90" w:name="_Hlk516047558"/>
      <w:r w:rsidRPr="004B06E3">
        <w:t>Revision History</w:t>
      </w:r>
      <w:bookmarkEnd w:id="87"/>
      <w:bookmarkEnd w:id="88"/>
      <w:bookmarkEnd w:id="89"/>
    </w:p>
    <w:p w14:paraId="3661732B" w14:textId="2E23729C" w:rsidR="00CA1CB3" w:rsidRDefault="00742F88" w:rsidP="001F5408">
      <w:pPr>
        <w:pStyle w:val="Caption"/>
        <w:keepNext w:val="0"/>
        <w:keepLines w:val="0"/>
      </w:pPr>
      <w:bookmarkStart w:id="91"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CA1CB3" w:rsidRPr="00500C4E" w14:paraId="1904D58C" w14:textId="6E96D877" w:rsidTr="00CA1CB3">
        <w:trPr>
          <w:trHeight w:val="20"/>
        </w:trPr>
        <w:tc>
          <w:tcPr>
            <w:tcW w:w="503" w:type="pct"/>
            <w:shd w:val="clear" w:color="auto" w:fill="F2F2F2" w:themeFill="background1" w:themeFillShade="F2"/>
            <w:vAlign w:val="bottom"/>
          </w:tcPr>
          <w:p w14:paraId="5365A71C" w14:textId="5EB86E00" w:rsidR="00CA1CB3" w:rsidRPr="00EA057C" w:rsidRDefault="00CA1CB3" w:rsidP="001F5408">
            <w:pPr>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EA057C" w:rsidRDefault="00CA1CB3" w:rsidP="001F5408">
            <w:pPr>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10DC2402" w14:textId="63223EB6" w:rsidR="00CA1CB3" w:rsidRDefault="00CA1CB3" w:rsidP="001F5408">
            <w:pPr>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7C17E65" w14:textId="222C519C" w:rsidR="00CA1CB3" w:rsidRDefault="00CA1CB3" w:rsidP="001F5408">
            <w:pPr>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1F5408">
            <w:pPr>
              <w:spacing w:before="20" w:after="20"/>
              <w:rPr>
                <w:rFonts w:cs="Arial"/>
                <w:b/>
                <w:sz w:val="20"/>
                <w:szCs w:val="20"/>
              </w:rPr>
            </w:pPr>
            <w:r>
              <w:rPr>
                <w:rFonts w:cs="Arial"/>
                <w:b/>
                <w:sz w:val="20"/>
                <w:szCs w:val="20"/>
              </w:rPr>
              <w:t>Effective Date and Approved By</w:t>
            </w:r>
          </w:p>
        </w:tc>
      </w:tr>
      <w:tr w:rsidR="00017288" w:rsidRPr="00CA1CB3" w14:paraId="0A9DBD7D" w14:textId="04A29668" w:rsidTr="00CA1CB3">
        <w:trPr>
          <w:trHeight w:val="20"/>
        </w:trPr>
        <w:tc>
          <w:tcPr>
            <w:tcW w:w="503" w:type="pct"/>
            <w:vMerge w:val="restart"/>
          </w:tcPr>
          <w:p w14:paraId="38788C98" w14:textId="650C945D" w:rsidR="00017288" w:rsidRPr="00CA1CB3" w:rsidRDefault="00017288" w:rsidP="001F5408">
            <w:pPr>
              <w:spacing w:before="20" w:after="20"/>
              <w:rPr>
                <w:rFonts w:cs="Arial"/>
                <w:sz w:val="20"/>
                <w:szCs w:val="20"/>
              </w:rPr>
            </w:pPr>
            <w:r w:rsidRPr="00CA1CB3">
              <w:rPr>
                <w:rFonts w:cs="Arial"/>
                <w:sz w:val="20"/>
                <w:szCs w:val="20"/>
              </w:rPr>
              <w:t>0</w:t>
            </w:r>
            <w:r>
              <w:rPr>
                <w:rFonts w:cs="Arial"/>
                <w:sz w:val="20"/>
                <w:szCs w:val="20"/>
              </w:rPr>
              <w:t>1</w:t>
            </w:r>
          </w:p>
        </w:tc>
        <w:tc>
          <w:tcPr>
            <w:tcW w:w="722" w:type="pct"/>
          </w:tcPr>
          <w:p w14:paraId="03B67B1D" w14:textId="13390665" w:rsidR="00017288" w:rsidRPr="00463B80" w:rsidRDefault="00017288" w:rsidP="001F5408">
            <w:pPr>
              <w:spacing w:before="20" w:after="20"/>
              <w:rPr>
                <w:rFonts w:cs="Arial"/>
                <w:sz w:val="20"/>
                <w:szCs w:val="20"/>
              </w:rPr>
            </w:pPr>
            <w:r w:rsidRPr="00463B80">
              <w:rPr>
                <w:rFonts w:cs="Arial"/>
                <w:sz w:val="20"/>
                <w:szCs w:val="20"/>
              </w:rPr>
              <w:t>06/30/2018</w:t>
            </w:r>
          </w:p>
        </w:tc>
        <w:tc>
          <w:tcPr>
            <w:tcW w:w="842" w:type="pct"/>
          </w:tcPr>
          <w:p w14:paraId="24160CE8" w14:textId="61A30013" w:rsidR="00017288" w:rsidRPr="00463B80" w:rsidRDefault="00017288" w:rsidP="001F5408">
            <w:pPr>
              <w:spacing w:before="20" w:after="20"/>
              <w:rPr>
                <w:rFonts w:cs="Arial"/>
                <w:sz w:val="20"/>
                <w:szCs w:val="20"/>
              </w:rPr>
            </w:pPr>
            <w:r w:rsidRPr="00463B80">
              <w:rPr>
                <w:rFonts w:cs="Arial"/>
                <w:sz w:val="20"/>
                <w:szCs w:val="20"/>
              </w:rPr>
              <w:t>Jennifer Holmes</w:t>
            </w:r>
          </w:p>
          <w:p w14:paraId="32D154D7" w14:textId="0FB8154E" w:rsidR="00017288" w:rsidRPr="00463B80" w:rsidRDefault="00017288" w:rsidP="001F5408">
            <w:pPr>
              <w:spacing w:before="20" w:after="20"/>
              <w:rPr>
                <w:rFonts w:cs="Arial"/>
                <w:sz w:val="20"/>
                <w:szCs w:val="20"/>
              </w:rPr>
            </w:pPr>
            <w:r w:rsidRPr="00463B80">
              <w:rPr>
                <w:rFonts w:cs="Arial"/>
                <w:sz w:val="20"/>
                <w:szCs w:val="20"/>
              </w:rPr>
              <w:t>Cal TF Staff</w:t>
            </w:r>
          </w:p>
        </w:tc>
        <w:tc>
          <w:tcPr>
            <w:tcW w:w="2933" w:type="pct"/>
          </w:tcPr>
          <w:p w14:paraId="0C93091A" w14:textId="77777777" w:rsidR="00017288" w:rsidRDefault="00017288" w:rsidP="001F5408">
            <w:pPr>
              <w:spacing w:before="20" w:after="20"/>
              <w:rPr>
                <w:rFonts w:cs="Arial"/>
                <w:sz w:val="20"/>
                <w:szCs w:val="20"/>
              </w:rPr>
            </w:pPr>
            <w:r>
              <w:rPr>
                <w:rFonts w:cs="Arial"/>
                <w:sz w:val="20"/>
                <w:szCs w:val="20"/>
              </w:rPr>
              <w:t>Draft of consolidated text for this statewide measure is based upon:</w:t>
            </w:r>
          </w:p>
          <w:p w14:paraId="631B06C1" w14:textId="32FC75C0" w:rsidR="00017288" w:rsidRDefault="00017288" w:rsidP="001F5408">
            <w:pPr>
              <w:spacing w:before="20" w:after="20"/>
              <w:rPr>
                <w:rFonts w:cs="Arial"/>
                <w:sz w:val="20"/>
                <w:szCs w:val="20"/>
              </w:rPr>
            </w:pPr>
            <w:r>
              <w:rPr>
                <w:rFonts w:cs="Arial"/>
                <w:sz w:val="20"/>
                <w:szCs w:val="20"/>
              </w:rPr>
              <w:t>SWWH001v00, Revision 0 (April 25, 2016</w:t>
            </w:r>
          </w:p>
          <w:p w14:paraId="6C70C36F" w14:textId="1A3E1CB2" w:rsidR="00017288" w:rsidRPr="00CA1CB3" w:rsidRDefault="00017288" w:rsidP="001F5408">
            <w:pPr>
              <w:spacing w:before="20" w:after="20"/>
              <w:rPr>
                <w:rFonts w:cs="Arial"/>
                <w:sz w:val="20"/>
                <w:szCs w:val="20"/>
              </w:rPr>
            </w:pPr>
            <w:r>
              <w:rPr>
                <w:rFonts w:cs="Arial"/>
                <w:sz w:val="20"/>
                <w:szCs w:val="20"/>
              </w:rPr>
              <w:t>Consensus reached among Cal TF members.</w:t>
            </w:r>
          </w:p>
        </w:tc>
      </w:tr>
      <w:tr w:rsidR="00017288" w:rsidRPr="00CA1CB3" w14:paraId="2075B367" w14:textId="77777777" w:rsidTr="00CA1CB3">
        <w:trPr>
          <w:trHeight w:val="20"/>
        </w:trPr>
        <w:tc>
          <w:tcPr>
            <w:tcW w:w="503" w:type="pct"/>
            <w:vMerge/>
          </w:tcPr>
          <w:p w14:paraId="63BE31A8" w14:textId="77777777" w:rsidR="00017288" w:rsidRPr="00CA1CB3" w:rsidRDefault="00017288" w:rsidP="001F5408">
            <w:pPr>
              <w:spacing w:before="20" w:after="20"/>
              <w:rPr>
                <w:rFonts w:cs="Arial"/>
                <w:sz w:val="20"/>
                <w:szCs w:val="20"/>
              </w:rPr>
            </w:pPr>
          </w:p>
        </w:tc>
        <w:tc>
          <w:tcPr>
            <w:tcW w:w="722" w:type="pct"/>
          </w:tcPr>
          <w:p w14:paraId="1283F01F" w14:textId="480FF774" w:rsidR="00017288" w:rsidRPr="00463B80" w:rsidRDefault="00017288" w:rsidP="001F5408">
            <w:pPr>
              <w:spacing w:before="20" w:after="20"/>
              <w:rPr>
                <w:rFonts w:cs="Arial"/>
                <w:sz w:val="20"/>
                <w:szCs w:val="20"/>
              </w:rPr>
            </w:pPr>
            <w:r>
              <w:rPr>
                <w:rFonts w:cs="Arial"/>
                <w:sz w:val="20"/>
                <w:szCs w:val="20"/>
              </w:rPr>
              <w:t>01/31/2019</w:t>
            </w:r>
          </w:p>
        </w:tc>
        <w:tc>
          <w:tcPr>
            <w:tcW w:w="842" w:type="pct"/>
          </w:tcPr>
          <w:p w14:paraId="18F0D878" w14:textId="77777777" w:rsidR="00017288" w:rsidRPr="00463B80" w:rsidRDefault="00017288" w:rsidP="001F5408">
            <w:pPr>
              <w:spacing w:before="20" w:after="20"/>
              <w:rPr>
                <w:rFonts w:cs="Arial"/>
                <w:sz w:val="20"/>
                <w:szCs w:val="20"/>
              </w:rPr>
            </w:pPr>
            <w:r w:rsidRPr="00463B80">
              <w:rPr>
                <w:rFonts w:cs="Arial"/>
                <w:sz w:val="20"/>
                <w:szCs w:val="20"/>
              </w:rPr>
              <w:t>Jennifer Holmes</w:t>
            </w:r>
          </w:p>
          <w:p w14:paraId="6A9F92ED" w14:textId="6AAD3BE6" w:rsidR="00017288" w:rsidRPr="00463B80" w:rsidRDefault="00017288" w:rsidP="001F5408">
            <w:pPr>
              <w:spacing w:before="20" w:after="20"/>
              <w:rPr>
                <w:rFonts w:cs="Arial"/>
                <w:sz w:val="20"/>
                <w:szCs w:val="20"/>
              </w:rPr>
            </w:pPr>
            <w:r w:rsidRPr="00463B80">
              <w:rPr>
                <w:rFonts w:cs="Arial"/>
                <w:sz w:val="20"/>
                <w:szCs w:val="20"/>
              </w:rPr>
              <w:t>Cal TF Staff</w:t>
            </w:r>
          </w:p>
        </w:tc>
        <w:tc>
          <w:tcPr>
            <w:tcW w:w="2933" w:type="pct"/>
          </w:tcPr>
          <w:p w14:paraId="06D47ABF" w14:textId="6766B1F9" w:rsidR="00017288" w:rsidRDefault="00017288" w:rsidP="001F5408">
            <w:pPr>
              <w:spacing w:before="20" w:after="20"/>
              <w:rPr>
                <w:rFonts w:cs="Arial"/>
                <w:sz w:val="20"/>
                <w:szCs w:val="20"/>
              </w:rPr>
            </w:pPr>
            <w:r>
              <w:rPr>
                <w:rFonts w:cs="Arial"/>
                <w:sz w:val="20"/>
                <w:szCs w:val="20"/>
              </w:rPr>
              <w:t>Revisions for submittal of version 01</w:t>
            </w:r>
          </w:p>
        </w:tc>
      </w:tr>
      <w:tr w:rsidR="00017288" w:rsidRPr="00CA1CB3" w14:paraId="5934FBA8" w14:textId="77777777" w:rsidTr="00CA1CB3">
        <w:trPr>
          <w:trHeight w:val="20"/>
        </w:trPr>
        <w:tc>
          <w:tcPr>
            <w:tcW w:w="503" w:type="pct"/>
            <w:vMerge/>
          </w:tcPr>
          <w:p w14:paraId="30663DF6" w14:textId="77777777" w:rsidR="00017288" w:rsidRPr="00CA1CB3" w:rsidRDefault="00017288" w:rsidP="001F5408">
            <w:pPr>
              <w:spacing w:before="20" w:after="20"/>
              <w:rPr>
                <w:rFonts w:cs="Arial"/>
                <w:sz w:val="20"/>
                <w:szCs w:val="20"/>
              </w:rPr>
            </w:pPr>
          </w:p>
        </w:tc>
        <w:tc>
          <w:tcPr>
            <w:tcW w:w="722" w:type="pct"/>
          </w:tcPr>
          <w:p w14:paraId="5D63CB26" w14:textId="1F3D30F0" w:rsidR="00017288" w:rsidRDefault="00017288" w:rsidP="001F5408">
            <w:pPr>
              <w:spacing w:before="20" w:after="20"/>
              <w:rPr>
                <w:rFonts w:cs="Arial"/>
                <w:sz w:val="20"/>
                <w:szCs w:val="20"/>
              </w:rPr>
            </w:pPr>
            <w:r>
              <w:rPr>
                <w:rFonts w:cs="Arial"/>
                <w:sz w:val="20"/>
                <w:szCs w:val="20"/>
              </w:rPr>
              <w:t>11/01/2019</w:t>
            </w:r>
          </w:p>
        </w:tc>
        <w:tc>
          <w:tcPr>
            <w:tcW w:w="842" w:type="pct"/>
          </w:tcPr>
          <w:p w14:paraId="6890BB9F" w14:textId="77777777" w:rsidR="00017288" w:rsidRDefault="00017288" w:rsidP="001F5408">
            <w:pPr>
              <w:spacing w:before="20" w:after="20"/>
              <w:rPr>
                <w:rFonts w:cs="Arial"/>
                <w:sz w:val="20"/>
                <w:szCs w:val="20"/>
              </w:rPr>
            </w:pPr>
            <w:r>
              <w:rPr>
                <w:rFonts w:cs="Arial"/>
                <w:sz w:val="20"/>
                <w:szCs w:val="20"/>
              </w:rPr>
              <w:t>Ayad Al-Shaikh</w:t>
            </w:r>
          </w:p>
          <w:p w14:paraId="58756744" w14:textId="7096DE66" w:rsidR="00017288" w:rsidRPr="00463B80" w:rsidRDefault="00017288" w:rsidP="001F5408">
            <w:pPr>
              <w:spacing w:before="20" w:after="20"/>
              <w:rPr>
                <w:rFonts w:cs="Arial"/>
                <w:sz w:val="20"/>
                <w:szCs w:val="20"/>
              </w:rPr>
            </w:pPr>
            <w:r>
              <w:rPr>
                <w:rFonts w:cs="Arial"/>
                <w:sz w:val="20"/>
                <w:szCs w:val="20"/>
              </w:rPr>
              <w:t>Cal TF Staff</w:t>
            </w:r>
          </w:p>
        </w:tc>
        <w:tc>
          <w:tcPr>
            <w:tcW w:w="2933" w:type="pct"/>
          </w:tcPr>
          <w:p w14:paraId="0A4623ED" w14:textId="77777777" w:rsidR="00017288" w:rsidRDefault="00017288" w:rsidP="001F5408">
            <w:pPr>
              <w:spacing w:before="20" w:after="20"/>
              <w:rPr>
                <w:rFonts w:cs="Arial"/>
                <w:sz w:val="20"/>
                <w:szCs w:val="20"/>
              </w:rPr>
            </w:pPr>
            <w:r>
              <w:rPr>
                <w:rFonts w:cs="Arial"/>
                <w:sz w:val="20"/>
                <w:szCs w:val="20"/>
              </w:rPr>
              <w:t>Corrected calculation error in conversion from Gas to Electric savings.</w:t>
            </w:r>
          </w:p>
          <w:p w14:paraId="2B077C36" w14:textId="3FC0D4B8" w:rsidR="00017288" w:rsidRDefault="00017288" w:rsidP="001F5408">
            <w:pPr>
              <w:spacing w:before="20" w:after="20"/>
              <w:rPr>
                <w:rFonts w:cs="Arial"/>
                <w:sz w:val="20"/>
                <w:szCs w:val="20"/>
              </w:rPr>
            </w:pPr>
            <w:r>
              <w:rPr>
                <w:rFonts w:cs="Arial"/>
                <w:sz w:val="20"/>
                <w:szCs w:val="20"/>
              </w:rPr>
              <w:t>Removed text references to NTG Adjustment Factor.</w:t>
            </w:r>
          </w:p>
        </w:tc>
      </w:tr>
      <w:tr w:rsidR="00017288" w:rsidRPr="00CA1CB3" w14:paraId="3A024B38" w14:textId="77777777" w:rsidTr="00CA1CB3">
        <w:trPr>
          <w:trHeight w:val="20"/>
        </w:trPr>
        <w:tc>
          <w:tcPr>
            <w:tcW w:w="503" w:type="pct"/>
            <w:vMerge/>
          </w:tcPr>
          <w:p w14:paraId="631C91AE" w14:textId="77777777" w:rsidR="00017288" w:rsidRPr="00CA1CB3" w:rsidRDefault="00017288" w:rsidP="00017288">
            <w:pPr>
              <w:spacing w:before="20" w:after="20"/>
              <w:rPr>
                <w:rFonts w:cs="Arial"/>
                <w:sz w:val="20"/>
                <w:szCs w:val="20"/>
              </w:rPr>
            </w:pPr>
          </w:p>
        </w:tc>
        <w:tc>
          <w:tcPr>
            <w:tcW w:w="722" w:type="pct"/>
          </w:tcPr>
          <w:p w14:paraId="5A0DB998" w14:textId="61D73161" w:rsidR="00017288" w:rsidRDefault="00017288" w:rsidP="00017288">
            <w:pPr>
              <w:spacing w:before="20" w:after="20"/>
              <w:rPr>
                <w:rFonts w:cs="Arial"/>
                <w:sz w:val="20"/>
                <w:szCs w:val="20"/>
              </w:rPr>
            </w:pPr>
            <w:r>
              <w:rPr>
                <w:rFonts w:ascii="Times New Roman"/>
                <w:sz w:val="18"/>
              </w:rPr>
              <w:t xml:space="preserve"> </w:t>
            </w:r>
            <w:r w:rsidRPr="001B6DA2">
              <w:rPr>
                <w:sz w:val="20"/>
                <w:szCs w:val="20"/>
              </w:rPr>
              <w:t>0</w:t>
            </w:r>
            <w:r w:rsidR="006F0911">
              <w:rPr>
                <w:sz w:val="20"/>
                <w:szCs w:val="20"/>
              </w:rPr>
              <w:t>4</w:t>
            </w:r>
            <w:r w:rsidRPr="001B6DA2">
              <w:rPr>
                <w:sz w:val="20"/>
                <w:szCs w:val="20"/>
              </w:rPr>
              <w:t>/</w:t>
            </w:r>
            <w:r w:rsidR="00657E1E">
              <w:rPr>
                <w:sz w:val="20"/>
                <w:szCs w:val="20"/>
              </w:rPr>
              <w:t>0</w:t>
            </w:r>
            <w:r w:rsidR="006F0911">
              <w:rPr>
                <w:sz w:val="20"/>
                <w:szCs w:val="20"/>
              </w:rPr>
              <w:t>2</w:t>
            </w:r>
            <w:r w:rsidRPr="001B6DA2">
              <w:rPr>
                <w:sz w:val="20"/>
                <w:szCs w:val="20"/>
              </w:rPr>
              <w:t>/2021</w:t>
            </w:r>
          </w:p>
        </w:tc>
        <w:tc>
          <w:tcPr>
            <w:tcW w:w="842" w:type="pct"/>
          </w:tcPr>
          <w:p w14:paraId="161F354D" w14:textId="77777777" w:rsidR="00017288" w:rsidRDefault="00017288" w:rsidP="00017288">
            <w:pPr>
              <w:pStyle w:val="TableParagraph"/>
              <w:spacing w:line="234" w:lineRule="exact"/>
              <w:rPr>
                <w:sz w:val="20"/>
              </w:rPr>
            </w:pPr>
            <w:r>
              <w:rPr>
                <w:sz w:val="20"/>
              </w:rPr>
              <w:t>Soe K Hla</w:t>
            </w:r>
          </w:p>
          <w:p w14:paraId="5B95DFF2" w14:textId="464C79CE" w:rsidR="00017288" w:rsidRDefault="00017288" w:rsidP="00017288">
            <w:pPr>
              <w:spacing w:before="20" w:after="20"/>
              <w:rPr>
                <w:rFonts w:cs="Arial"/>
                <w:sz w:val="20"/>
                <w:szCs w:val="20"/>
              </w:rPr>
            </w:pPr>
            <w:r>
              <w:rPr>
                <w:sz w:val="20"/>
              </w:rPr>
              <w:t>PG&amp;E</w:t>
            </w:r>
          </w:p>
        </w:tc>
        <w:tc>
          <w:tcPr>
            <w:tcW w:w="2933" w:type="pct"/>
          </w:tcPr>
          <w:p w14:paraId="208DC7AA" w14:textId="77777777" w:rsidR="00017288" w:rsidRDefault="00017288" w:rsidP="00017288">
            <w:pPr>
              <w:spacing w:before="20" w:after="20"/>
              <w:rPr>
                <w:sz w:val="20"/>
                <w:szCs w:val="20"/>
              </w:rPr>
            </w:pPr>
            <w:r>
              <w:rPr>
                <w:rFonts w:ascii="Times New Roman"/>
                <w:sz w:val="18"/>
              </w:rPr>
              <w:t xml:space="preserve"> </w:t>
            </w:r>
            <w:r>
              <w:rPr>
                <w:sz w:val="20"/>
                <w:szCs w:val="20"/>
              </w:rPr>
              <w:t>Adopted all measures for PG&amp;</w:t>
            </w:r>
            <w:r w:rsidR="00657E1E">
              <w:rPr>
                <w:sz w:val="20"/>
                <w:szCs w:val="20"/>
              </w:rPr>
              <w:t>E</w:t>
            </w:r>
          </w:p>
          <w:p w14:paraId="46AB6439" w14:textId="5BB3DCA2" w:rsidR="00D7768B" w:rsidRDefault="00D7768B" w:rsidP="00017288">
            <w:pPr>
              <w:spacing w:before="20" w:after="20"/>
              <w:rPr>
                <w:rFonts w:cs="Arial"/>
                <w:sz w:val="20"/>
                <w:szCs w:val="20"/>
              </w:rPr>
            </w:pPr>
            <w:r>
              <w:rPr>
                <w:rFonts w:cs="Arial"/>
                <w:sz w:val="20"/>
                <w:szCs w:val="20"/>
              </w:rPr>
              <w:t xml:space="preserve"> Fixed spelling error DnDeemDI</w:t>
            </w:r>
            <w:r w:rsidR="00F10A26">
              <w:rPr>
                <w:rFonts w:cs="Arial"/>
                <w:sz w:val="20"/>
                <w:szCs w:val="20"/>
              </w:rPr>
              <w:t xml:space="preserve">, </w:t>
            </w:r>
            <w:r w:rsidR="00AA5581">
              <w:rPr>
                <w:rFonts w:cs="Arial"/>
                <w:sz w:val="20"/>
                <w:szCs w:val="20"/>
              </w:rPr>
              <w:t>incorrect MeasCostID and St</w:t>
            </w:r>
            <w:r w:rsidR="00F10A26">
              <w:rPr>
                <w:rFonts w:cs="Arial"/>
                <w:sz w:val="20"/>
                <w:szCs w:val="20"/>
              </w:rPr>
              <w:t>dCostID</w:t>
            </w:r>
            <w:r w:rsidR="00C539B3">
              <w:rPr>
                <w:rFonts w:cs="Arial"/>
                <w:sz w:val="20"/>
                <w:szCs w:val="20"/>
              </w:rPr>
              <w:t xml:space="preserve">, incorrect </w:t>
            </w:r>
            <w:r w:rsidR="00A1735B">
              <w:rPr>
                <w:rFonts w:cs="Arial"/>
                <w:sz w:val="20"/>
                <w:szCs w:val="20"/>
              </w:rPr>
              <w:t>ElecImpact</w:t>
            </w:r>
            <w:r w:rsidR="00693526">
              <w:rPr>
                <w:rFonts w:cs="Arial"/>
                <w:sz w:val="20"/>
                <w:szCs w:val="20"/>
              </w:rPr>
              <w:t xml:space="preserve">Profile ID </w:t>
            </w:r>
            <w:r w:rsidR="00AC6546">
              <w:rPr>
                <w:rFonts w:cs="Arial"/>
                <w:sz w:val="20"/>
                <w:szCs w:val="20"/>
              </w:rPr>
              <w:t>and incorrect NTG ID for SCE Implementation</w:t>
            </w:r>
            <w:r w:rsidR="00F10A26">
              <w:rPr>
                <w:rFonts w:cs="Arial"/>
                <w:sz w:val="20"/>
                <w:szCs w:val="20"/>
              </w:rPr>
              <w:t xml:space="preserve"> in EAD</w:t>
            </w:r>
          </w:p>
          <w:p w14:paraId="1FBD3E0D" w14:textId="49D3352A" w:rsidR="00683761" w:rsidRDefault="00683761" w:rsidP="00017288">
            <w:pPr>
              <w:spacing w:before="20" w:after="20"/>
              <w:rPr>
                <w:rFonts w:cs="Arial"/>
                <w:sz w:val="20"/>
                <w:szCs w:val="20"/>
              </w:rPr>
            </w:pPr>
          </w:p>
        </w:tc>
      </w:tr>
      <w:bookmarkEnd w:id="86"/>
      <w:bookmarkEnd w:id="90"/>
      <w:bookmarkEnd w:id="91"/>
    </w:tbl>
    <w:p w14:paraId="5C9CAB2A" w14:textId="77777777" w:rsidR="00085726" w:rsidRDefault="00085726" w:rsidP="00387072"/>
    <w:sectPr w:rsidR="00085726" w:rsidSect="005F505E">
      <w:headerReference w:type="default" r:id="rId15"/>
      <w:headerReference w:type="first" r:id="rId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11F84" w14:textId="77777777" w:rsidR="00D8402E" w:rsidRDefault="00D8402E" w:rsidP="00A2690C">
      <w:r>
        <w:separator/>
      </w:r>
    </w:p>
    <w:p w14:paraId="5ED2CACA" w14:textId="77777777" w:rsidR="00D8402E" w:rsidRDefault="00D8402E"/>
  </w:endnote>
  <w:endnote w:type="continuationSeparator" w:id="0">
    <w:p w14:paraId="2D578734" w14:textId="77777777" w:rsidR="00D8402E" w:rsidRDefault="00D8402E" w:rsidP="00A2690C">
      <w:r>
        <w:continuationSeparator/>
      </w:r>
    </w:p>
    <w:p w14:paraId="11EA9535" w14:textId="77777777" w:rsidR="00D8402E" w:rsidRDefault="00D84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802AB2" w:rsidRDefault="00802AB2"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802AB2" w:rsidRPr="00B837C1" w:rsidRDefault="00802AB2"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802AB2" w:rsidRDefault="00802AB2"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802AB2" w:rsidRPr="00B837C1" w:rsidRDefault="00802AB2"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17</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802AB2" w:rsidRDefault="00802AB2"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802AB2" w:rsidRPr="005F505E" w:rsidRDefault="00802AB2"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917FE" w14:textId="77777777" w:rsidR="00D8402E" w:rsidRDefault="00D8402E" w:rsidP="00A2690C">
      <w:r>
        <w:separator/>
      </w:r>
    </w:p>
    <w:p w14:paraId="58EA4E41" w14:textId="77777777" w:rsidR="00D8402E" w:rsidRDefault="00D8402E"/>
  </w:footnote>
  <w:footnote w:type="continuationSeparator" w:id="0">
    <w:p w14:paraId="49FCB04E" w14:textId="77777777" w:rsidR="00D8402E" w:rsidRDefault="00D8402E" w:rsidP="00A2690C">
      <w:r>
        <w:continuationSeparator/>
      </w:r>
    </w:p>
    <w:p w14:paraId="7E0475E7" w14:textId="77777777" w:rsidR="00D8402E" w:rsidRDefault="00D8402E"/>
  </w:footnote>
  <w:footnote w:id="1">
    <w:p w14:paraId="1DDC6C20" w14:textId="5AB6E5C6" w:rsidR="00802AB2" w:rsidRDefault="00802AB2" w:rsidP="00516812">
      <w:pPr>
        <w:pStyle w:val="FootnoteText"/>
        <w:rPr>
          <w:rFonts w:eastAsia="Times New Roman" w:cs="Calibri Light"/>
          <w:szCs w:val="18"/>
        </w:rPr>
      </w:pPr>
      <w:r>
        <w:rPr>
          <w:rStyle w:val="FootnoteReference"/>
        </w:rPr>
        <w:footnoteRef/>
      </w:r>
      <w:r>
        <w:t xml:space="preserve"> </w:t>
      </w:r>
      <w:r w:rsidRPr="000B624C">
        <w:rPr>
          <w:rFonts w:eastAsia="Times New Roman" w:cs="Calibri Light"/>
          <w:szCs w:val="18"/>
        </w:rPr>
        <w:t xml:space="preserve">Sherman, T. 2014. </w:t>
      </w:r>
      <w:r w:rsidRPr="000B624C">
        <w:rPr>
          <w:rFonts w:eastAsia="Times New Roman" w:cs="Calibri Light"/>
          <w:i/>
          <w:szCs w:val="18"/>
        </w:rPr>
        <w:t>Disaggregating Residential Shower Warm-Up Waste: An Understanding and Quantification of Behavioral Waste Based On Data From Lawrence Berkeley National Labs.</w:t>
      </w:r>
      <w:r w:rsidRPr="000B624C">
        <w:rPr>
          <w:rFonts w:eastAsia="Times New Roman" w:cs="Calibri Light"/>
          <w:szCs w:val="18"/>
        </w:rPr>
        <w:t xml:space="preserve"> Scottsdale: AZ. Evolve Technologies, LLC.</w:t>
      </w:r>
    </w:p>
    <w:p w14:paraId="3599B6D8" w14:textId="2712BA8E" w:rsidR="00802AB2" w:rsidRDefault="00802AB2" w:rsidP="00516812">
      <w:pPr>
        <w:pStyle w:val="FootnoteText"/>
      </w:pPr>
      <w:r>
        <w:rPr>
          <w:noProof/>
        </w:rPr>
        <w:t xml:space="preserve">Taitem Engineering. 2011. “Leaking Shower Diverters.” </w:t>
      </w:r>
      <w:r w:rsidRPr="00C81BDE">
        <w:rPr>
          <w:i/>
          <w:iCs/>
          <w:noProof/>
        </w:rPr>
        <w:t>Tech Tip</w:t>
      </w:r>
      <w:r w:rsidRPr="00C81BDE">
        <w:rPr>
          <w:i/>
          <w:noProof/>
        </w:rPr>
        <w:t>, New York State Homes &amp; Community Renewal.</w:t>
      </w:r>
      <w:r>
        <w:rPr>
          <w:noProof/>
        </w:rPr>
        <w:t xml:space="preserve"> </w:t>
      </w:r>
    </w:p>
  </w:footnote>
  <w:footnote w:id="2">
    <w:p w14:paraId="013D23BD" w14:textId="48D43463" w:rsidR="00802AB2" w:rsidRDefault="00802AB2" w:rsidP="00BD2073">
      <w:pPr>
        <w:pStyle w:val="FootnoteText"/>
      </w:pPr>
      <w:r>
        <w:rPr>
          <w:rStyle w:val="FootnoteReference"/>
        </w:rPr>
        <w:footnoteRef/>
      </w:r>
      <w:r>
        <w:t xml:space="preserve"> </w:t>
      </w:r>
      <w:r w:rsidRPr="000B624C">
        <w:rPr>
          <w:rFonts w:eastAsia="Times New Roman" w:cs="Calibri Light"/>
          <w:szCs w:val="18"/>
        </w:rPr>
        <w:t xml:space="preserve">Sherman, T. 2014. </w:t>
      </w:r>
      <w:r w:rsidRPr="000B624C">
        <w:rPr>
          <w:rFonts w:eastAsia="Times New Roman" w:cs="Calibri Light"/>
          <w:i/>
          <w:szCs w:val="18"/>
        </w:rPr>
        <w:t>Disaggregating Residential Shower Warm-Up Waste: An Understanding and Quantification of Behavioral Waste Based On Data From Lawrence Berkeley National Labs.</w:t>
      </w:r>
      <w:r w:rsidRPr="000B624C">
        <w:rPr>
          <w:rFonts w:eastAsia="Times New Roman" w:cs="Calibri Light"/>
          <w:szCs w:val="18"/>
        </w:rPr>
        <w:t xml:space="preserve"> Scottsdale: AZ. Evolve Technologies, LLC.</w:t>
      </w:r>
    </w:p>
  </w:footnote>
  <w:footnote w:id="3">
    <w:p w14:paraId="46EDDCC5" w14:textId="3AC439D9" w:rsidR="00802AB2" w:rsidRDefault="00802AB2" w:rsidP="00BD2073">
      <w:pPr>
        <w:pStyle w:val="FootnoteText"/>
      </w:pPr>
      <w:r>
        <w:rPr>
          <w:rStyle w:val="FootnoteReference"/>
        </w:rPr>
        <w:footnoteRef/>
      </w:r>
      <w:r>
        <w:t xml:space="preserve"> </w:t>
      </w:r>
      <w:r>
        <w:rPr>
          <w:noProof/>
        </w:rPr>
        <w:t xml:space="preserve">Taitem Engineering. 2011. “Leaking Shower Diverters.” </w:t>
      </w:r>
      <w:r w:rsidRPr="00C81BDE">
        <w:rPr>
          <w:i/>
          <w:iCs/>
          <w:noProof/>
        </w:rPr>
        <w:t>Tech Tip</w:t>
      </w:r>
      <w:r w:rsidRPr="00C81BDE">
        <w:rPr>
          <w:i/>
          <w:noProof/>
        </w:rPr>
        <w:t>, New York State Homes &amp; Community Renewal.</w:t>
      </w:r>
    </w:p>
  </w:footnote>
  <w:footnote w:id="4">
    <w:p w14:paraId="5F251E93" w14:textId="77777777" w:rsidR="00802AB2" w:rsidRDefault="00802AB2" w:rsidP="00D55362">
      <w:pPr>
        <w:pStyle w:val="FootnoteText"/>
      </w:pPr>
      <w:r>
        <w:rPr>
          <w:rStyle w:val="FootnoteReference"/>
        </w:rPr>
        <w:footnoteRef/>
      </w:r>
      <w:r>
        <w:t xml:space="preserve"> </w:t>
      </w:r>
      <w:r w:rsidRPr="000B624C">
        <w:rPr>
          <w:rFonts w:eastAsia="Times New Roman" w:cs="Calibri Light"/>
          <w:szCs w:val="18"/>
        </w:rPr>
        <w:t xml:space="preserve">Sherman, T. 2014. </w:t>
      </w:r>
      <w:r w:rsidRPr="000B624C">
        <w:rPr>
          <w:rFonts w:eastAsia="Times New Roman" w:cs="Calibri Light"/>
          <w:i/>
          <w:szCs w:val="18"/>
        </w:rPr>
        <w:t>Disaggregating Residential Shower Warm-Up Waste: An Understanding and Quantification of Behavioral Waste Based On Data From Lawrence Berkeley National Labs.</w:t>
      </w:r>
      <w:r w:rsidRPr="000B624C">
        <w:rPr>
          <w:rFonts w:eastAsia="Times New Roman" w:cs="Calibri Light"/>
          <w:szCs w:val="18"/>
        </w:rPr>
        <w:t xml:space="preserve"> Scottsdale: AZ. Evolve Technologies, LLC.</w:t>
      </w:r>
    </w:p>
  </w:footnote>
  <w:footnote w:id="5">
    <w:p w14:paraId="4235BA22" w14:textId="648FB31B" w:rsidR="00802AB2" w:rsidRPr="00AF2D3B" w:rsidRDefault="00802AB2" w:rsidP="00AF2D3B">
      <w:pPr>
        <w:spacing w:before="0" w:after="0"/>
        <w:rPr>
          <w:rFonts w:cs="Calibri Light"/>
          <w:color w:val="000000"/>
          <w:sz w:val="18"/>
          <w:szCs w:val="18"/>
          <w:highlight w:val="yellow"/>
        </w:rPr>
      </w:pPr>
      <w:r>
        <w:rPr>
          <w:rStyle w:val="FootnoteReference"/>
        </w:rPr>
        <w:footnoteRef/>
      </w:r>
      <w:r>
        <w:t xml:space="preserve"> </w:t>
      </w:r>
      <w:r w:rsidRPr="00AF2D3B">
        <w:rPr>
          <w:noProof/>
          <w:sz w:val="18"/>
        </w:rPr>
        <w:t xml:space="preserve">Koeller, J., and G. Klein. 2007. </w:t>
      </w:r>
      <w:r w:rsidRPr="00AF2D3B">
        <w:rPr>
          <w:i/>
          <w:iCs/>
          <w:noProof/>
          <w:sz w:val="18"/>
        </w:rPr>
        <w:t>Evaluation of Potential Best Managment Practices - Residential Hot Water Distribution.</w:t>
      </w:r>
      <w:r w:rsidRPr="00AF2D3B">
        <w:rPr>
          <w:noProof/>
          <w:sz w:val="18"/>
        </w:rPr>
        <w:t xml:space="preserve"> Sacramento, Ca: California Urban Water Conservation Council. </w:t>
      </w:r>
    </w:p>
  </w:footnote>
  <w:footnote w:id="6">
    <w:p w14:paraId="44FDBD40" w14:textId="3F232603" w:rsidR="00802AB2" w:rsidRDefault="00802AB2" w:rsidP="003A7776">
      <w:pPr>
        <w:pStyle w:val="FootnoteText"/>
      </w:pPr>
      <w:r>
        <w:rPr>
          <w:rStyle w:val="FootnoteReference"/>
        </w:rPr>
        <w:footnoteRef/>
      </w:r>
      <w:r>
        <w:t xml:space="preserve"> </w:t>
      </w:r>
      <w:r>
        <w:rPr>
          <w:noProof/>
        </w:rPr>
        <w:t xml:space="preserve">Taitem Engineering. 2011. “Leaking Shower Diverters.” </w:t>
      </w:r>
      <w:r w:rsidRPr="00C81BDE">
        <w:rPr>
          <w:i/>
          <w:iCs/>
          <w:noProof/>
        </w:rPr>
        <w:t>Tech Tip</w:t>
      </w:r>
      <w:r w:rsidRPr="00C81BDE">
        <w:rPr>
          <w:i/>
          <w:noProof/>
        </w:rPr>
        <w:t>, New York State Homes &amp; Community Renewal.</w:t>
      </w:r>
    </w:p>
  </w:footnote>
  <w:footnote w:id="7">
    <w:p w14:paraId="1CE4E379" w14:textId="285C58CA" w:rsidR="00802AB2" w:rsidRDefault="00802AB2" w:rsidP="003A7776">
      <w:pPr>
        <w:pStyle w:val="FootnoteText"/>
      </w:pPr>
      <w:r>
        <w:rPr>
          <w:rStyle w:val="FootnoteReference"/>
        </w:rPr>
        <w:footnoteRef/>
      </w:r>
      <w:r>
        <w:t xml:space="preserve"> </w:t>
      </w:r>
      <w:r w:rsidRPr="009A6C67">
        <w:rPr>
          <w:rFonts w:cs="Calibri Light"/>
          <w:noProof/>
          <w:szCs w:val="18"/>
        </w:rPr>
        <w:t>Mayer, P. and W. DeOreo. 1999. Residential End Uses of Water 1999, Subject Area: Water Resources. Denver, CO: American Water Works Association (AWWA) Research Foundation.</w:t>
      </w:r>
    </w:p>
  </w:footnote>
  <w:footnote w:id="8">
    <w:p w14:paraId="17F0B912" w14:textId="2FB546FB" w:rsidR="00802AB2" w:rsidRDefault="00802AB2" w:rsidP="003A7776">
      <w:pPr>
        <w:pStyle w:val="FootnoteText"/>
      </w:pPr>
      <w:r>
        <w:rPr>
          <w:rStyle w:val="FootnoteReference"/>
        </w:rPr>
        <w:footnoteRef/>
      </w:r>
      <w:r>
        <w:t xml:space="preserve"> </w:t>
      </w:r>
      <w:r w:rsidRPr="00252C37">
        <w:t>Sempra Energy Utilities (SEU). 2012. “</w:t>
      </w:r>
      <w:r>
        <w:t>SEU</w:t>
      </w:r>
      <w:r w:rsidRPr="00252C37">
        <w:t xml:space="preserve"> 2009 ASW Data REDACTED.xlsx”.</w:t>
      </w:r>
    </w:p>
  </w:footnote>
  <w:footnote w:id="9">
    <w:p w14:paraId="5A8404BE" w14:textId="70750283" w:rsidR="00802AB2" w:rsidRDefault="00802AB2" w:rsidP="003A7776">
      <w:pPr>
        <w:pStyle w:val="FootnoteText"/>
      </w:pPr>
      <w:r>
        <w:rPr>
          <w:rStyle w:val="FootnoteReference"/>
        </w:rPr>
        <w:footnoteRef/>
      </w:r>
      <w:r>
        <w:t xml:space="preserve"> </w:t>
      </w:r>
      <w:r w:rsidRPr="00F907C8">
        <w:rPr>
          <w:rStyle w:val="eTRMFootnoteTextChar"/>
        </w:rPr>
        <w:t>DeOreo, W., P. Mayer, and D. Lewis. 2000. </w:t>
      </w:r>
      <w:r w:rsidRPr="0081135E">
        <w:rPr>
          <w:rStyle w:val="eTRMFootnoteTextChar"/>
          <w:i/>
        </w:rPr>
        <w:t>Seattle Home Water Conservation Study: The Impacts Of High Efficiency Plumbing Fixture Retrofits In Single-Family Homes.</w:t>
      </w:r>
      <w:r w:rsidRPr="00F907C8">
        <w:rPr>
          <w:rStyle w:val="eTRMFootnoteTextChar"/>
        </w:rPr>
        <w:t> Prepared for the Seattle Public Utilities and the U.S. Environmental Protection Agency. Boulder, CO: Aquacraft, Inc. Water Engineering and Management.</w:t>
      </w:r>
    </w:p>
  </w:footnote>
  <w:footnote w:id="10">
    <w:p w14:paraId="670D9C01" w14:textId="3223304C" w:rsidR="00802AB2" w:rsidRPr="00F907C8" w:rsidRDefault="00802AB2" w:rsidP="00466A5D">
      <w:pPr>
        <w:spacing w:before="0" w:after="0"/>
        <w:rPr>
          <w:rFonts w:cs="Calibri Light"/>
          <w:color w:val="000000"/>
          <w:sz w:val="18"/>
          <w:szCs w:val="18"/>
        </w:rPr>
      </w:pPr>
      <w:r>
        <w:rPr>
          <w:rStyle w:val="FootnoteReference"/>
        </w:rPr>
        <w:footnoteRef/>
      </w:r>
      <w:r>
        <w:t xml:space="preserve"> </w:t>
      </w:r>
      <w:r w:rsidRPr="009A6C67">
        <w:rPr>
          <w:rFonts w:cs="Calibri Light"/>
          <w:noProof/>
          <w:sz w:val="18"/>
          <w:szCs w:val="18"/>
        </w:rPr>
        <w:t xml:space="preserve">Mayer, P. and W. DeOreo. 1999. Residential End Uses of Water 1999, Subject Area: Water Resources. Denver, CO: American Water Works Association (AWWA) Research Foundation. </w:t>
      </w:r>
      <w:r w:rsidRPr="00F907C8">
        <w:rPr>
          <w:rFonts w:cs="Calibri Light"/>
          <w:noProof/>
          <w:sz w:val="18"/>
          <w:szCs w:val="18"/>
        </w:rPr>
        <w:t xml:space="preserve">P. </w:t>
      </w:r>
      <w:r w:rsidRPr="00F907C8">
        <w:rPr>
          <w:rFonts w:cs="Calibri Light"/>
          <w:color w:val="000000"/>
          <w:sz w:val="18"/>
          <w:szCs w:val="18"/>
        </w:rPr>
        <w:t>102</w:t>
      </w:r>
    </w:p>
  </w:footnote>
  <w:footnote w:id="11">
    <w:p w14:paraId="586FCC1B" w14:textId="77777777" w:rsidR="00802AB2" w:rsidRDefault="00802AB2" w:rsidP="00BA465F">
      <w:pPr>
        <w:pStyle w:val="FootnoteText"/>
      </w:pPr>
      <w:r>
        <w:rPr>
          <w:rStyle w:val="FootnoteReference"/>
        </w:rPr>
        <w:footnoteRef/>
      </w:r>
      <w:r>
        <w:t xml:space="preserve"> </w:t>
      </w:r>
      <w:r w:rsidRPr="003813B5">
        <w:rPr>
          <w:szCs w:val="18"/>
        </w:rPr>
        <w:t xml:space="preserve">California Energy Commission (CEC). 2014. </w:t>
      </w:r>
      <w:r w:rsidRPr="003813B5">
        <w:rPr>
          <w:i/>
          <w:szCs w:val="18"/>
        </w:rPr>
        <w:t xml:space="preserve">2014 Appliance Efficiency Regulations. </w:t>
      </w:r>
      <w:r w:rsidRPr="003813B5">
        <w:rPr>
          <w:szCs w:val="18"/>
        </w:rPr>
        <w:t>CEC-400-2014-009-CMF. Section 1605.3.</w:t>
      </w:r>
    </w:p>
  </w:footnote>
  <w:footnote w:id="12">
    <w:p w14:paraId="359A8EC5" w14:textId="77777777" w:rsidR="00802AB2" w:rsidRDefault="00802AB2" w:rsidP="005115F0">
      <w:pPr>
        <w:pStyle w:val="FootnoteText"/>
      </w:pPr>
      <w:r>
        <w:rPr>
          <w:rStyle w:val="FootnoteReference"/>
        </w:rPr>
        <w:footnoteRef/>
      </w:r>
      <w:r>
        <w:t xml:space="preserve"> </w:t>
      </w:r>
      <w:r w:rsidRPr="002A6A34">
        <w:t>H.R.776 – 102</w:t>
      </w:r>
      <w:r w:rsidRPr="002A6A34">
        <w:rPr>
          <w:vertAlign w:val="superscript"/>
        </w:rPr>
        <w:t>nd</w:t>
      </w:r>
      <w:r w:rsidRPr="002A6A34">
        <w:t xml:space="preserve"> Congress. Energy Policy Act of 1992. Pub. L. 102-486. </w:t>
      </w:r>
      <w:r w:rsidRPr="008C3747">
        <w:t xml:space="preserve">Stat. 2776. </w:t>
      </w:r>
    </w:p>
  </w:footnote>
  <w:footnote w:id="13">
    <w:p w14:paraId="3BE63B44" w14:textId="41AABA07" w:rsidR="00802AB2" w:rsidRDefault="00802AB2" w:rsidP="00AD0A81">
      <w:pPr>
        <w:pStyle w:val="FootnoteText"/>
      </w:pPr>
      <w:r>
        <w:rPr>
          <w:rStyle w:val="FootnoteReference"/>
        </w:rPr>
        <w:footnoteRef/>
      </w:r>
      <w:r>
        <w:t xml:space="preserve"> </w:t>
      </w:r>
      <w:r w:rsidRPr="00466A5D">
        <w:t>Sherman, T. (Evolve Technologies). 2015. “Calculating Savings for Auto-Diverting Tub Spout System with ShowerStart TSV.” May 18.</w:t>
      </w:r>
    </w:p>
  </w:footnote>
  <w:footnote w:id="14">
    <w:p w14:paraId="1E9A6A53" w14:textId="44DE52D7" w:rsidR="00802AB2" w:rsidRDefault="00802AB2" w:rsidP="00594F7A">
      <w:pPr>
        <w:pStyle w:val="FootnoteText"/>
      </w:pPr>
      <w:r>
        <w:rPr>
          <w:rStyle w:val="FootnoteReference"/>
        </w:rPr>
        <w:footnoteRef/>
      </w:r>
      <w:r>
        <w:t xml:space="preserve"> </w:t>
      </w:r>
      <w:r w:rsidRPr="00035934">
        <w:rPr>
          <w:rStyle w:val="eTRMFootnoteTextChar"/>
        </w:rPr>
        <w:t>Sempra Energy Utilities (SEU). 2012. “SEU 2009 ASW Data REDACTED.xlsx”</w:t>
      </w:r>
    </w:p>
  </w:footnote>
  <w:footnote w:id="15">
    <w:p w14:paraId="24EDBC1C" w14:textId="3CF68D90" w:rsidR="00802AB2" w:rsidRDefault="00802AB2" w:rsidP="00035934">
      <w:pPr>
        <w:pStyle w:val="eTRMFootnoteText"/>
        <w:ind w:left="0"/>
      </w:pPr>
      <w:r>
        <w:rPr>
          <w:rStyle w:val="FootnoteReference"/>
        </w:rPr>
        <w:footnoteRef/>
      </w:r>
      <w:r>
        <w:t xml:space="preserve"> </w:t>
      </w:r>
      <w:r w:rsidRPr="00035934">
        <w:t>California Public Utilities Commission (CPUC), Energy Division. 2013. “Workpaper Disposition for Water Fixtures.” February 22.</w:t>
      </w:r>
    </w:p>
    <w:p w14:paraId="657865C6" w14:textId="77777777" w:rsidR="00802AB2" w:rsidRDefault="00802AB2" w:rsidP="00035934">
      <w:pPr>
        <w:pStyle w:val="eTRMFootnoteText"/>
        <w:ind w:left="0"/>
      </w:pPr>
    </w:p>
    <w:p w14:paraId="59A193E5" w14:textId="711C4B0F" w:rsidR="00802AB2" w:rsidRDefault="00802AB2" w:rsidP="00035934">
      <w:pPr>
        <w:pStyle w:val="eTRMFootnoteText"/>
        <w:ind w:left="0"/>
      </w:pPr>
      <w:r w:rsidRPr="00035934">
        <w:t>California Public Utilities Commission (CPUC), Energy Division. 2013. “2013-2014_DHWFixtureMeasures_Disposition-1March2013.xls.” February 22.</w:t>
      </w:r>
    </w:p>
  </w:footnote>
  <w:footnote w:id="16">
    <w:p w14:paraId="2B848912" w14:textId="60F1FC97" w:rsidR="00802AB2" w:rsidRDefault="00802AB2" w:rsidP="00962A47">
      <w:pPr>
        <w:pStyle w:val="FootnoteText"/>
      </w:pPr>
      <w:r>
        <w:rPr>
          <w:rStyle w:val="FootnoteReference"/>
        </w:rPr>
        <w:footnoteRef/>
      </w:r>
      <w:r>
        <w:t xml:space="preserve"> </w:t>
      </w:r>
      <w:r w:rsidRPr="005C385C">
        <w:t xml:space="preserve">California Public Utilities Commission (CPUC), Energy Division. 2013. </w:t>
      </w:r>
      <w:r w:rsidRPr="00523A43">
        <w:t>“Workpaper Disposition for Water Fixtures.”</w:t>
      </w:r>
      <w:r w:rsidRPr="005C385C">
        <w:t xml:space="preserve"> February 22.</w:t>
      </w:r>
    </w:p>
  </w:footnote>
  <w:footnote w:id="17">
    <w:p w14:paraId="3DD08B08" w14:textId="53E8A7C3" w:rsidR="00802AB2" w:rsidRDefault="00802AB2">
      <w:pPr>
        <w:pStyle w:val="FootnoteText"/>
      </w:pPr>
      <w:r>
        <w:rPr>
          <w:rStyle w:val="FootnoteReference"/>
        </w:rPr>
        <w:footnoteRef/>
      </w:r>
      <w:r>
        <w:t xml:space="preserve"> Southern California Gas Company (SCG). 2016. “</w:t>
      </w:r>
      <w:r w:rsidRPr="00061C2F">
        <w:t>Tub Spout and Showerhead Cost Data 2016</w:t>
      </w:r>
      <w:r>
        <w:t>.xlsx”</w:t>
      </w:r>
    </w:p>
  </w:footnote>
  <w:footnote w:id="18">
    <w:p w14:paraId="1DDD57CF" w14:textId="13199CB7" w:rsidR="00802AB2" w:rsidRDefault="00802AB2" w:rsidP="00061C2F">
      <w:pPr>
        <w:pStyle w:val="FootnoteText"/>
      </w:pPr>
      <w:r>
        <w:rPr>
          <w:rStyle w:val="FootnoteReference"/>
        </w:rPr>
        <w:footnoteRef/>
      </w:r>
      <w:r>
        <w:t xml:space="preserve"> Southern California Gas Company (SCG). 2016. “</w:t>
      </w:r>
      <w:r w:rsidRPr="00061C2F">
        <w:t>Tub Spout and Showerhead Cost Data 2016</w:t>
      </w:r>
      <w:r>
        <w:t xml:space="preserve">.xlsx”. </w:t>
      </w:r>
    </w:p>
  </w:footnote>
  <w:footnote w:id="19">
    <w:p w14:paraId="764BD357" w14:textId="396CEDAB" w:rsidR="00802AB2" w:rsidRPr="00AC46A1" w:rsidRDefault="00802AB2" w:rsidP="00AC46A1">
      <w:pPr>
        <w:pStyle w:val="NormalWeb"/>
        <w:spacing w:before="0" w:beforeAutospacing="0" w:after="150" w:afterAutospacing="0"/>
        <w:rPr>
          <w:rFonts w:ascii="Calibri Light" w:hAnsi="Calibri Light"/>
          <w:sz w:val="18"/>
        </w:rPr>
      </w:pPr>
      <w:r w:rsidRPr="005523F8">
        <w:rPr>
          <w:rStyle w:val="FootnoteReference"/>
          <w:rFonts w:ascii="Calibri Light" w:hAnsi="Calibri Light" w:cs="Calibri Light"/>
          <w:sz w:val="18"/>
        </w:rPr>
        <w:footnoteRef/>
      </w:r>
      <w:r w:rsidRPr="005523F8">
        <w:rPr>
          <w:rStyle w:val="FootnoteReference"/>
        </w:rPr>
        <w:t xml:space="preserve"> </w:t>
      </w:r>
      <w:r w:rsidRPr="005523F8">
        <w:rPr>
          <w:rStyle w:val="eTRMFootnoteTextChar"/>
        </w:rPr>
        <w:t xml:space="preserve">Itron, Inc. 2014. </w:t>
      </w:r>
      <w:r w:rsidRPr="005523F8">
        <w:rPr>
          <w:rStyle w:val="eTRMFootnoteTextChar"/>
          <w:i/>
        </w:rPr>
        <w:t>2010-2012 WO017 Ex Ante Measure Cost Study Final Report</w:t>
      </w:r>
      <w:r w:rsidRPr="005523F8">
        <w:rPr>
          <w:rStyle w:val="eTRMFootnoteTextChar"/>
        </w:rPr>
        <w:t>. Prepared for the California Public Utilities Commission. </w:t>
      </w:r>
    </w:p>
  </w:footnote>
  <w:footnote w:id="20">
    <w:p w14:paraId="30CCA57C" w14:textId="77777777" w:rsidR="00802AB2" w:rsidRDefault="00802AB2" w:rsidP="00061C2F">
      <w:pPr>
        <w:pStyle w:val="FootnoteText"/>
      </w:pPr>
      <w:r>
        <w:rPr>
          <w:rStyle w:val="FootnoteReference"/>
        </w:rPr>
        <w:footnoteRef/>
      </w:r>
      <w:r>
        <w:t xml:space="preserve"> Southern California Gas Company (SCG). 2016. “</w:t>
      </w:r>
      <w:r w:rsidRPr="00061C2F">
        <w:t>Tub Spout and Showerhead Cost Data 2016</w:t>
      </w:r>
      <w:r>
        <w:t xml:space="preserve">.xlsx”.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802AB2" w:rsidRPr="000220A0" w:rsidRDefault="00802AB2"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802AB2" w:rsidRDefault="00802AB2">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802AB2" w:rsidRDefault="00802A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802AB2" w:rsidRDefault="00802AB2" w:rsidP="00BD221D">
    <w:pPr>
      <w:jc w:val="center"/>
    </w:pPr>
  </w:p>
  <w:p w14:paraId="342310D5" w14:textId="5BACBCD8" w:rsidR="00802AB2" w:rsidRDefault="00802AB2"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6FA1FC69" w:rsidR="00802AB2" w:rsidRDefault="00802AB2" w:rsidP="001D7A57">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Diverting Tub Spout with TSV</w:t>
    </w:r>
  </w:p>
  <w:p w14:paraId="2AC97B25" w14:textId="77777777" w:rsidR="00802AB2" w:rsidRDefault="00802AB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802AB2" w:rsidRDefault="00802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570C1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6A66F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6C72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448B7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C9894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C76A7A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A89D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C6E0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FAB8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8E02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427A0"/>
    <w:multiLevelType w:val="hybridMultilevel"/>
    <w:tmpl w:val="684CB4D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3D4A10F5"/>
    <w:multiLevelType w:val="hybridMultilevel"/>
    <w:tmpl w:val="A8A084A2"/>
    <w:lvl w:ilvl="0" w:tplc="7D16587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081C3C"/>
    <w:multiLevelType w:val="hybridMultilevel"/>
    <w:tmpl w:val="D214FFD0"/>
    <w:lvl w:ilvl="0" w:tplc="82DA597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4" w15:restartNumberingAfterBreak="0">
    <w:nsid w:val="60B83DF7"/>
    <w:multiLevelType w:val="hybridMultilevel"/>
    <w:tmpl w:val="CEB80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1B0D34"/>
    <w:multiLevelType w:val="hybridMultilevel"/>
    <w:tmpl w:val="684CB4D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FA2A70"/>
    <w:multiLevelType w:val="hybridMultilevel"/>
    <w:tmpl w:val="6DCA4EB0"/>
    <w:lvl w:ilvl="0" w:tplc="CD8E4418">
      <w:start w:val="1"/>
      <w:numFmt w:val="decimal"/>
      <w:pStyle w:val="Figure"/>
      <w:lvlText w:val="Figure %1 -"/>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0"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681D2C"/>
    <w:multiLevelType w:val="hybridMultilevel"/>
    <w:tmpl w:val="E30024E8"/>
    <w:lvl w:ilvl="0" w:tplc="42008DBC">
      <w:start w:val="1"/>
      <w:numFmt w:val="decimal"/>
      <w:lvlText w:val="Table %1 -"/>
      <w:lvlJc w:val="center"/>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8"/>
  </w:num>
  <w:num w:numId="2">
    <w:abstractNumId w:val="29"/>
  </w:num>
  <w:num w:numId="3">
    <w:abstractNumId w:val="32"/>
  </w:num>
  <w:num w:numId="4">
    <w:abstractNumId w:val="32"/>
  </w:num>
  <w:num w:numId="5">
    <w:abstractNumId w:val="23"/>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0"/>
  </w:num>
  <w:num w:numId="7">
    <w:abstractNumId w:val="13"/>
  </w:num>
  <w:num w:numId="8">
    <w:abstractNumId w:val="28"/>
  </w:num>
  <w:num w:numId="9">
    <w:abstractNumId w:val="9"/>
  </w:num>
  <w:num w:numId="10">
    <w:abstractNumId w:val="30"/>
  </w:num>
  <w:num w:numId="11">
    <w:abstractNumId w:val="15"/>
  </w:num>
  <w:num w:numId="12">
    <w:abstractNumId w:val="11"/>
  </w:num>
  <w:num w:numId="13">
    <w:abstractNumId w:val="25"/>
  </w:num>
  <w:num w:numId="14">
    <w:abstractNumId w:val="21"/>
  </w:num>
  <w:num w:numId="15">
    <w:abstractNumId w:val="12"/>
  </w:num>
  <w:num w:numId="16">
    <w:abstractNumId w:val="22"/>
  </w:num>
  <w:num w:numId="17">
    <w:abstractNumId w:val="27"/>
  </w:num>
  <w:num w:numId="18">
    <w:abstractNumId w:val="16"/>
  </w:num>
  <w:num w:numId="19">
    <w:abstractNumId w:val="26"/>
  </w:num>
  <w:num w:numId="20">
    <w:abstractNumId w:val="31"/>
  </w:num>
  <w:num w:numId="21">
    <w:abstractNumId w:val="19"/>
  </w:num>
  <w:num w:numId="22">
    <w:abstractNumId w:val="24"/>
  </w:num>
  <w:num w:numId="23">
    <w:abstractNumId w:val="14"/>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5B06"/>
    <w:rsid w:val="000063B0"/>
    <w:rsid w:val="000110D9"/>
    <w:rsid w:val="000111AF"/>
    <w:rsid w:val="00016928"/>
    <w:rsid w:val="00017288"/>
    <w:rsid w:val="000220A0"/>
    <w:rsid w:val="000229F1"/>
    <w:rsid w:val="0002389A"/>
    <w:rsid w:val="00026D58"/>
    <w:rsid w:val="000302DF"/>
    <w:rsid w:val="00031184"/>
    <w:rsid w:val="00035934"/>
    <w:rsid w:val="00037A06"/>
    <w:rsid w:val="00043DF6"/>
    <w:rsid w:val="00046BB0"/>
    <w:rsid w:val="00051DBB"/>
    <w:rsid w:val="00052C95"/>
    <w:rsid w:val="000530E4"/>
    <w:rsid w:val="0005587A"/>
    <w:rsid w:val="00061C2F"/>
    <w:rsid w:val="00061D34"/>
    <w:rsid w:val="000621A8"/>
    <w:rsid w:val="00065E54"/>
    <w:rsid w:val="000672E5"/>
    <w:rsid w:val="00074E3E"/>
    <w:rsid w:val="000767E9"/>
    <w:rsid w:val="0008108C"/>
    <w:rsid w:val="00081E6E"/>
    <w:rsid w:val="000841AA"/>
    <w:rsid w:val="00084C87"/>
    <w:rsid w:val="00085726"/>
    <w:rsid w:val="00087FD4"/>
    <w:rsid w:val="00090BBF"/>
    <w:rsid w:val="000910B7"/>
    <w:rsid w:val="00091581"/>
    <w:rsid w:val="00094517"/>
    <w:rsid w:val="00096485"/>
    <w:rsid w:val="000978C8"/>
    <w:rsid w:val="000A270E"/>
    <w:rsid w:val="000A4D3A"/>
    <w:rsid w:val="000A62EF"/>
    <w:rsid w:val="000A66B7"/>
    <w:rsid w:val="000A7058"/>
    <w:rsid w:val="000B139B"/>
    <w:rsid w:val="000B6004"/>
    <w:rsid w:val="000C36B4"/>
    <w:rsid w:val="000C72C1"/>
    <w:rsid w:val="000C7B77"/>
    <w:rsid w:val="000E044A"/>
    <w:rsid w:val="000F1833"/>
    <w:rsid w:val="0010120E"/>
    <w:rsid w:val="00103399"/>
    <w:rsid w:val="0010471F"/>
    <w:rsid w:val="00104933"/>
    <w:rsid w:val="00111A53"/>
    <w:rsid w:val="0011498C"/>
    <w:rsid w:val="00120592"/>
    <w:rsid w:val="001217DF"/>
    <w:rsid w:val="0012187D"/>
    <w:rsid w:val="00124BFE"/>
    <w:rsid w:val="00126433"/>
    <w:rsid w:val="00126809"/>
    <w:rsid w:val="00126B25"/>
    <w:rsid w:val="00131C5A"/>
    <w:rsid w:val="00142D3C"/>
    <w:rsid w:val="001451AB"/>
    <w:rsid w:val="00151B9F"/>
    <w:rsid w:val="00153BB7"/>
    <w:rsid w:val="00154391"/>
    <w:rsid w:val="001564FC"/>
    <w:rsid w:val="00157985"/>
    <w:rsid w:val="00161DF1"/>
    <w:rsid w:val="001648F6"/>
    <w:rsid w:val="00171BB8"/>
    <w:rsid w:val="00174707"/>
    <w:rsid w:val="00177EB6"/>
    <w:rsid w:val="00180DAD"/>
    <w:rsid w:val="00181672"/>
    <w:rsid w:val="00181E01"/>
    <w:rsid w:val="00185689"/>
    <w:rsid w:val="001944A0"/>
    <w:rsid w:val="001944B4"/>
    <w:rsid w:val="00195B03"/>
    <w:rsid w:val="00196649"/>
    <w:rsid w:val="001A09C4"/>
    <w:rsid w:val="001A11C7"/>
    <w:rsid w:val="001A152A"/>
    <w:rsid w:val="001A4BE1"/>
    <w:rsid w:val="001A7A21"/>
    <w:rsid w:val="001B0D29"/>
    <w:rsid w:val="001B1D23"/>
    <w:rsid w:val="001B426F"/>
    <w:rsid w:val="001C2ACE"/>
    <w:rsid w:val="001C6C9B"/>
    <w:rsid w:val="001C7134"/>
    <w:rsid w:val="001D656F"/>
    <w:rsid w:val="001D65A6"/>
    <w:rsid w:val="001D7A57"/>
    <w:rsid w:val="001E19A3"/>
    <w:rsid w:val="001E4C3F"/>
    <w:rsid w:val="001E6273"/>
    <w:rsid w:val="001F00E9"/>
    <w:rsid w:val="001F5408"/>
    <w:rsid w:val="001F735E"/>
    <w:rsid w:val="002005A8"/>
    <w:rsid w:val="002006B6"/>
    <w:rsid w:val="00205BAF"/>
    <w:rsid w:val="00207F85"/>
    <w:rsid w:val="0021226A"/>
    <w:rsid w:val="0021230E"/>
    <w:rsid w:val="00224A16"/>
    <w:rsid w:val="00225142"/>
    <w:rsid w:val="00226694"/>
    <w:rsid w:val="00227BDD"/>
    <w:rsid w:val="002318A4"/>
    <w:rsid w:val="002335FF"/>
    <w:rsid w:val="00233D87"/>
    <w:rsid w:val="0023666C"/>
    <w:rsid w:val="00236692"/>
    <w:rsid w:val="00236E0A"/>
    <w:rsid w:val="00237964"/>
    <w:rsid w:val="002434DE"/>
    <w:rsid w:val="00245AFF"/>
    <w:rsid w:val="0024628D"/>
    <w:rsid w:val="0024690E"/>
    <w:rsid w:val="00251ABC"/>
    <w:rsid w:val="002524CF"/>
    <w:rsid w:val="00256400"/>
    <w:rsid w:val="00257A8C"/>
    <w:rsid w:val="0026382D"/>
    <w:rsid w:val="002652D2"/>
    <w:rsid w:val="00271B18"/>
    <w:rsid w:val="00273D2D"/>
    <w:rsid w:val="00276F9B"/>
    <w:rsid w:val="002942B0"/>
    <w:rsid w:val="0029555D"/>
    <w:rsid w:val="00296242"/>
    <w:rsid w:val="0029781E"/>
    <w:rsid w:val="002A1953"/>
    <w:rsid w:val="002A2471"/>
    <w:rsid w:val="002A2A94"/>
    <w:rsid w:val="002B107C"/>
    <w:rsid w:val="002B2C97"/>
    <w:rsid w:val="002B3BF4"/>
    <w:rsid w:val="002B6DED"/>
    <w:rsid w:val="002B6F2A"/>
    <w:rsid w:val="002C06FC"/>
    <w:rsid w:val="002C1117"/>
    <w:rsid w:val="002C4E12"/>
    <w:rsid w:val="002C67DF"/>
    <w:rsid w:val="002D0036"/>
    <w:rsid w:val="002D0487"/>
    <w:rsid w:val="002D17CE"/>
    <w:rsid w:val="002D29F8"/>
    <w:rsid w:val="002D40EE"/>
    <w:rsid w:val="002D4993"/>
    <w:rsid w:val="002D50E9"/>
    <w:rsid w:val="002D5CFA"/>
    <w:rsid w:val="002E0550"/>
    <w:rsid w:val="002E5874"/>
    <w:rsid w:val="002F036B"/>
    <w:rsid w:val="00302A82"/>
    <w:rsid w:val="00304892"/>
    <w:rsid w:val="003103FB"/>
    <w:rsid w:val="00313E1D"/>
    <w:rsid w:val="003144B0"/>
    <w:rsid w:val="003247FA"/>
    <w:rsid w:val="003309DA"/>
    <w:rsid w:val="00333809"/>
    <w:rsid w:val="00336313"/>
    <w:rsid w:val="00337D1D"/>
    <w:rsid w:val="00347D79"/>
    <w:rsid w:val="0035060F"/>
    <w:rsid w:val="0035267B"/>
    <w:rsid w:val="00352864"/>
    <w:rsid w:val="00352D22"/>
    <w:rsid w:val="00353B67"/>
    <w:rsid w:val="00362F9E"/>
    <w:rsid w:val="00363BE8"/>
    <w:rsid w:val="00370B5D"/>
    <w:rsid w:val="00372F61"/>
    <w:rsid w:val="00385069"/>
    <w:rsid w:val="00387072"/>
    <w:rsid w:val="00392097"/>
    <w:rsid w:val="00392684"/>
    <w:rsid w:val="003A7776"/>
    <w:rsid w:val="003B00AE"/>
    <w:rsid w:val="003B12C3"/>
    <w:rsid w:val="003B7200"/>
    <w:rsid w:val="003B7610"/>
    <w:rsid w:val="003C1018"/>
    <w:rsid w:val="003C12CF"/>
    <w:rsid w:val="003C2CC3"/>
    <w:rsid w:val="003C7721"/>
    <w:rsid w:val="003D1FB8"/>
    <w:rsid w:val="003D7104"/>
    <w:rsid w:val="003E2013"/>
    <w:rsid w:val="003E50CF"/>
    <w:rsid w:val="003E5605"/>
    <w:rsid w:val="003E7BC6"/>
    <w:rsid w:val="003F1D3C"/>
    <w:rsid w:val="003F21D2"/>
    <w:rsid w:val="003F269E"/>
    <w:rsid w:val="003F4964"/>
    <w:rsid w:val="003F65F3"/>
    <w:rsid w:val="00401C43"/>
    <w:rsid w:val="004046FF"/>
    <w:rsid w:val="00410790"/>
    <w:rsid w:val="00411BFD"/>
    <w:rsid w:val="00411EF4"/>
    <w:rsid w:val="004133BB"/>
    <w:rsid w:val="004142EF"/>
    <w:rsid w:val="00416A54"/>
    <w:rsid w:val="00420958"/>
    <w:rsid w:val="00420EF1"/>
    <w:rsid w:val="00421920"/>
    <w:rsid w:val="00423D33"/>
    <w:rsid w:val="00423D40"/>
    <w:rsid w:val="004249A0"/>
    <w:rsid w:val="0043155E"/>
    <w:rsid w:val="00432D49"/>
    <w:rsid w:val="004339EA"/>
    <w:rsid w:val="00433E8F"/>
    <w:rsid w:val="00434145"/>
    <w:rsid w:val="0044577B"/>
    <w:rsid w:val="00451588"/>
    <w:rsid w:val="004517F1"/>
    <w:rsid w:val="00451FF6"/>
    <w:rsid w:val="004556DF"/>
    <w:rsid w:val="00461AE3"/>
    <w:rsid w:val="00462BB6"/>
    <w:rsid w:val="00463B80"/>
    <w:rsid w:val="00464A63"/>
    <w:rsid w:val="00466A5D"/>
    <w:rsid w:val="00466DD6"/>
    <w:rsid w:val="00470670"/>
    <w:rsid w:val="00472286"/>
    <w:rsid w:val="00475A47"/>
    <w:rsid w:val="00475D57"/>
    <w:rsid w:val="00484536"/>
    <w:rsid w:val="00486585"/>
    <w:rsid w:val="0049615E"/>
    <w:rsid w:val="00497289"/>
    <w:rsid w:val="004A06AE"/>
    <w:rsid w:val="004A36E7"/>
    <w:rsid w:val="004A510D"/>
    <w:rsid w:val="004B06E3"/>
    <w:rsid w:val="004B35DC"/>
    <w:rsid w:val="004B5888"/>
    <w:rsid w:val="004B6780"/>
    <w:rsid w:val="004B7CAA"/>
    <w:rsid w:val="004C2A36"/>
    <w:rsid w:val="004C3663"/>
    <w:rsid w:val="004C54D2"/>
    <w:rsid w:val="004C57EC"/>
    <w:rsid w:val="004C69F2"/>
    <w:rsid w:val="004D0C20"/>
    <w:rsid w:val="004D1461"/>
    <w:rsid w:val="004D3A71"/>
    <w:rsid w:val="004D3CE4"/>
    <w:rsid w:val="004D7E51"/>
    <w:rsid w:val="004E04EE"/>
    <w:rsid w:val="004E1B37"/>
    <w:rsid w:val="004E2704"/>
    <w:rsid w:val="004E3F72"/>
    <w:rsid w:val="004E4D01"/>
    <w:rsid w:val="004F705B"/>
    <w:rsid w:val="00500964"/>
    <w:rsid w:val="00500A3D"/>
    <w:rsid w:val="00500C66"/>
    <w:rsid w:val="00505B94"/>
    <w:rsid w:val="005115F0"/>
    <w:rsid w:val="005130EC"/>
    <w:rsid w:val="005146E6"/>
    <w:rsid w:val="00516812"/>
    <w:rsid w:val="00523A43"/>
    <w:rsid w:val="00524425"/>
    <w:rsid w:val="00524A46"/>
    <w:rsid w:val="00526F3D"/>
    <w:rsid w:val="00535A42"/>
    <w:rsid w:val="0053748E"/>
    <w:rsid w:val="005449C6"/>
    <w:rsid w:val="005523F8"/>
    <w:rsid w:val="0056177B"/>
    <w:rsid w:val="00566B42"/>
    <w:rsid w:val="0057165C"/>
    <w:rsid w:val="00571D95"/>
    <w:rsid w:val="005722C6"/>
    <w:rsid w:val="00580FF8"/>
    <w:rsid w:val="00585C8D"/>
    <w:rsid w:val="005862CC"/>
    <w:rsid w:val="00586596"/>
    <w:rsid w:val="00586A76"/>
    <w:rsid w:val="005911FE"/>
    <w:rsid w:val="0059312F"/>
    <w:rsid w:val="00593220"/>
    <w:rsid w:val="0059380C"/>
    <w:rsid w:val="00594F7A"/>
    <w:rsid w:val="00595758"/>
    <w:rsid w:val="00596081"/>
    <w:rsid w:val="005A3943"/>
    <w:rsid w:val="005A51E6"/>
    <w:rsid w:val="005A632E"/>
    <w:rsid w:val="005A74DC"/>
    <w:rsid w:val="005B4ACE"/>
    <w:rsid w:val="005B7418"/>
    <w:rsid w:val="005B790E"/>
    <w:rsid w:val="005C03A9"/>
    <w:rsid w:val="005C2BFC"/>
    <w:rsid w:val="005C324B"/>
    <w:rsid w:val="005C43E2"/>
    <w:rsid w:val="005C454A"/>
    <w:rsid w:val="005C74C9"/>
    <w:rsid w:val="005D1B14"/>
    <w:rsid w:val="005D257B"/>
    <w:rsid w:val="005E1D5C"/>
    <w:rsid w:val="005E25DC"/>
    <w:rsid w:val="005E52AE"/>
    <w:rsid w:val="005E5607"/>
    <w:rsid w:val="005E567C"/>
    <w:rsid w:val="005E73D4"/>
    <w:rsid w:val="005F1FB9"/>
    <w:rsid w:val="005F505E"/>
    <w:rsid w:val="00600968"/>
    <w:rsid w:val="00602976"/>
    <w:rsid w:val="0060388D"/>
    <w:rsid w:val="00604231"/>
    <w:rsid w:val="006068F3"/>
    <w:rsid w:val="00610C2F"/>
    <w:rsid w:val="0062187C"/>
    <w:rsid w:val="006239BC"/>
    <w:rsid w:val="00625805"/>
    <w:rsid w:val="00627AC4"/>
    <w:rsid w:val="006319E8"/>
    <w:rsid w:val="0063253B"/>
    <w:rsid w:val="00633CF2"/>
    <w:rsid w:val="006363C8"/>
    <w:rsid w:val="00637AB8"/>
    <w:rsid w:val="0064370D"/>
    <w:rsid w:val="00643771"/>
    <w:rsid w:val="00644946"/>
    <w:rsid w:val="00646AB8"/>
    <w:rsid w:val="00647BD9"/>
    <w:rsid w:val="00654A3E"/>
    <w:rsid w:val="00657C37"/>
    <w:rsid w:val="00657E1E"/>
    <w:rsid w:val="006624A7"/>
    <w:rsid w:val="0066515F"/>
    <w:rsid w:val="006663E9"/>
    <w:rsid w:val="006668AF"/>
    <w:rsid w:val="00670A7E"/>
    <w:rsid w:val="0067278C"/>
    <w:rsid w:val="006766C1"/>
    <w:rsid w:val="00676DAA"/>
    <w:rsid w:val="00677D80"/>
    <w:rsid w:val="00683761"/>
    <w:rsid w:val="00686439"/>
    <w:rsid w:val="00693526"/>
    <w:rsid w:val="00697A88"/>
    <w:rsid w:val="00697CF1"/>
    <w:rsid w:val="006A0BFE"/>
    <w:rsid w:val="006A12DE"/>
    <w:rsid w:val="006A6051"/>
    <w:rsid w:val="006B1492"/>
    <w:rsid w:val="006B31D9"/>
    <w:rsid w:val="006C0102"/>
    <w:rsid w:val="006C07D4"/>
    <w:rsid w:val="006C41AD"/>
    <w:rsid w:val="006D04BD"/>
    <w:rsid w:val="006D47EF"/>
    <w:rsid w:val="006D6644"/>
    <w:rsid w:val="006D7180"/>
    <w:rsid w:val="006E0236"/>
    <w:rsid w:val="006E433B"/>
    <w:rsid w:val="006E7899"/>
    <w:rsid w:val="006E7C78"/>
    <w:rsid w:val="006F0911"/>
    <w:rsid w:val="006F27F4"/>
    <w:rsid w:val="006F2E23"/>
    <w:rsid w:val="006F4C30"/>
    <w:rsid w:val="006F7024"/>
    <w:rsid w:val="00703A7C"/>
    <w:rsid w:val="007076DA"/>
    <w:rsid w:val="00707860"/>
    <w:rsid w:val="00717131"/>
    <w:rsid w:val="00717AA0"/>
    <w:rsid w:val="007207BF"/>
    <w:rsid w:val="0072221C"/>
    <w:rsid w:val="007255B1"/>
    <w:rsid w:val="00725CB0"/>
    <w:rsid w:val="0073517D"/>
    <w:rsid w:val="0073685C"/>
    <w:rsid w:val="00737603"/>
    <w:rsid w:val="00737EA5"/>
    <w:rsid w:val="007400AE"/>
    <w:rsid w:val="00741F3E"/>
    <w:rsid w:val="00742F88"/>
    <w:rsid w:val="00743AA8"/>
    <w:rsid w:val="00745D0A"/>
    <w:rsid w:val="00750840"/>
    <w:rsid w:val="0075140A"/>
    <w:rsid w:val="00757617"/>
    <w:rsid w:val="00763AD8"/>
    <w:rsid w:val="00765016"/>
    <w:rsid w:val="00767EDE"/>
    <w:rsid w:val="0077100C"/>
    <w:rsid w:val="00776C39"/>
    <w:rsid w:val="00781D00"/>
    <w:rsid w:val="007900F3"/>
    <w:rsid w:val="00791B69"/>
    <w:rsid w:val="0079426C"/>
    <w:rsid w:val="0079498E"/>
    <w:rsid w:val="00796F10"/>
    <w:rsid w:val="007A6AB5"/>
    <w:rsid w:val="007A6C67"/>
    <w:rsid w:val="007B14D9"/>
    <w:rsid w:val="007B2B46"/>
    <w:rsid w:val="007B30F2"/>
    <w:rsid w:val="007B377F"/>
    <w:rsid w:val="007B4274"/>
    <w:rsid w:val="007B443D"/>
    <w:rsid w:val="007B5117"/>
    <w:rsid w:val="007B599D"/>
    <w:rsid w:val="007B651C"/>
    <w:rsid w:val="007B6650"/>
    <w:rsid w:val="007B6A74"/>
    <w:rsid w:val="007C2DC8"/>
    <w:rsid w:val="007D097E"/>
    <w:rsid w:val="007D230B"/>
    <w:rsid w:val="007D2D80"/>
    <w:rsid w:val="007D3681"/>
    <w:rsid w:val="007D3824"/>
    <w:rsid w:val="007D49A1"/>
    <w:rsid w:val="007D59DD"/>
    <w:rsid w:val="007E1F66"/>
    <w:rsid w:val="007E2CB5"/>
    <w:rsid w:val="007E4C10"/>
    <w:rsid w:val="007E6501"/>
    <w:rsid w:val="007E6C25"/>
    <w:rsid w:val="007F2B24"/>
    <w:rsid w:val="007F32D7"/>
    <w:rsid w:val="007F4F97"/>
    <w:rsid w:val="007F669E"/>
    <w:rsid w:val="00801632"/>
    <w:rsid w:val="00802AB2"/>
    <w:rsid w:val="00803C0A"/>
    <w:rsid w:val="0080520B"/>
    <w:rsid w:val="00807B3E"/>
    <w:rsid w:val="00810D4A"/>
    <w:rsid w:val="0081135E"/>
    <w:rsid w:val="00812F82"/>
    <w:rsid w:val="008146FD"/>
    <w:rsid w:val="0081509A"/>
    <w:rsid w:val="00816AAB"/>
    <w:rsid w:val="00820402"/>
    <w:rsid w:val="008243B2"/>
    <w:rsid w:val="00824F08"/>
    <w:rsid w:val="008310DF"/>
    <w:rsid w:val="00831105"/>
    <w:rsid w:val="00835487"/>
    <w:rsid w:val="00844A4B"/>
    <w:rsid w:val="00854676"/>
    <w:rsid w:val="00865296"/>
    <w:rsid w:val="00867086"/>
    <w:rsid w:val="00871123"/>
    <w:rsid w:val="00874663"/>
    <w:rsid w:val="008811A6"/>
    <w:rsid w:val="00881B95"/>
    <w:rsid w:val="008831CA"/>
    <w:rsid w:val="00887FDA"/>
    <w:rsid w:val="0089272A"/>
    <w:rsid w:val="00894890"/>
    <w:rsid w:val="00895E3A"/>
    <w:rsid w:val="00897247"/>
    <w:rsid w:val="008B08F0"/>
    <w:rsid w:val="008B262C"/>
    <w:rsid w:val="008B2DAD"/>
    <w:rsid w:val="008B6FC8"/>
    <w:rsid w:val="008C19E9"/>
    <w:rsid w:val="008C26E9"/>
    <w:rsid w:val="008C774E"/>
    <w:rsid w:val="008D4652"/>
    <w:rsid w:val="008D6D9D"/>
    <w:rsid w:val="008E7C7F"/>
    <w:rsid w:val="008F1691"/>
    <w:rsid w:val="008F1E73"/>
    <w:rsid w:val="008F22E2"/>
    <w:rsid w:val="008F270A"/>
    <w:rsid w:val="008F5698"/>
    <w:rsid w:val="008F639E"/>
    <w:rsid w:val="00901EF2"/>
    <w:rsid w:val="00903EB6"/>
    <w:rsid w:val="00904906"/>
    <w:rsid w:val="0090702F"/>
    <w:rsid w:val="009079D0"/>
    <w:rsid w:val="00913D0A"/>
    <w:rsid w:val="009148A1"/>
    <w:rsid w:val="00924972"/>
    <w:rsid w:val="009309D7"/>
    <w:rsid w:val="00932E1E"/>
    <w:rsid w:val="00934068"/>
    <w:rsid w:val="009352B1"/>
    <w:rsid w:val="00936348"/>
    <w:rsid w:val="00936B74"/>
    <w:rsid w:val="00937854"/>
    <w:rsid w:val="009400F4"/>
    <w:rsid w:val="009469E0"/>
    <w:rsid w:val="00951C4D"/>
    <w:rsid w:val="00952E03"/>
    <w:rsid w:val="0095396E"/>
    <w:rsid w:val="009547E2"/>
    <w:rsid w:val="00956488"/>
    <w:rsid w:val="00956F5F"/>
    <w:rsid w:val="009610DC"/>
    <w:rsid w:val="00962A47"/>
    <w:rsid w:val="009669D2"/>
    <w:rsid w:val="0097154F"/>
    <w:rsid w:val="00977BE2"/>
    <w:rsid w:val="0098457F"/>
    <w:rsid w:val="00985996"/>
    <w:rsid w:val="00985D9F"/>
    <w:rsid w:val="00986978"/>
    <w:rsid w:val="00994F74"/>
    <w:rsid w:val="0099563A"/>
    <w:rsid w:val="009A13F4"/>
    <w:rsid w:val="009A44BE"/>
    <w:rsid w:val="009A6C67"/>
    <w:rsid w:val="009B029F"/>
    <w:rsid w:val="009B27F8"/>
    <w:rsid w:val="009B4A8B"/>
    <w:rsid w:val="009B74FB"/>
    <w:rsid w:val="009C0660"/>
    <w:rsid w:val="009C31A4"/>
    <w:rsid w:val="009C4845"/>
    <w:rsid w:val="009C51BA"/>
    <w:rsid w:val="009C7314"/>
    <w:rsid w:val="009D213D"/>
    <w:rsid w:val="009D2442"/>
    <w:rsid w:val="009D5D9F"/>
    <w:rsid w:val="009D7F4D"/>
    <w:rsid w:val="009E0FA2"/>
    <w:rsid w:val="009E2244"/>
    <w:rsid w:val="009E26F2"/>
    <w:rsid w:val="009E2D42"/>
    <w:rsid w:val="009E57DF"/>
    <w:rsid w:val="009F150B"/>
    <w:rsid w:val="009F57FD"/>
    <w:rsid w:val="009F7F9F"/>
    <w:rsid w:val="00A01972"/>
    <w:rsid w:val="00A01A24"/>
    <w:rsid w:val="00A01E02"/>
    <w:rsid w:val="00A02E26"/>
    <w:rsid w:val="00A05BA0"/>
    <w:rsid w:val="00A10C74"/>
    <w:rsid w:val="00A159C9"/>
    <w:rsid w:val="00A167FB"/>
    <w:rsid w:val="00A1735B"/>
    <w:rsid w:val="00A21B70"/>
    <w:rsid w:val="00A21D02"/>
    <w:rsid w:val="00A21DDB"/>
    <w:rsid w:val="00A23CF6"/>
    <w:rsid w:val="00A2690C"/>
    <w:rsid w:val="00A2792F"/>
    <w:rsid w:val="00A30970"/>
    <w:rsid w:val="00A315E4"/>
    <w:rsid w:val="00A31D96"/>
    <w:rsid w:val="00A31FEE"/>
    <w:rsid w:val="00A33722"/>
    <w:rsid w:val="00A33C55"/>
    <w:rsid w:val="00A34B16"/>
    <w:rsid w:val="00A36966"/>
    <w:rsid w:val="00A406C3"/>
    <w:rsid w:val="00A42875"/>
    <w:rsid w:val="00A44DC1"/>
    <w:rsid w:val="00A47168"/>
    <w:rsid w:val="00A47A98"/>
    <w:rsid w:val="00A47EE7"/>
    <w:rsid w:val="00A50B43"/>
    <w:rsid w:val="00A51C87"/>
    <w:rsid w:val="00A54197"/>
    <w:rsid w:val="00A61821"/>
    <w:rsid w:val="00A61E3A"/>
    <w:rsid w:val="00A631BA"/>
    <w:rsid w:val="00A639F4"/>
    <w:rsid w:val="00A65C27"/>
    <w:rsid w:val="00A67CA5"/>
    <w:rsid w:val="00A75CCD"/>
    <w:rsid w:val="00A80506"/>
    <w:rsid w:val="00A806AE"/>
    <w:rsid w:val="00A8118F"/>
    <w:rsid w:val="00A83458"/>
    <w:rsid w:val="00A856D2"/>
    <w:rsid w:val="00A86C41"/>
    <w:rsid w:val="00A90148"/>
    <w:rsid w:val="00A904E2"/>
    <w:rsid w:val="00A917F8"/>
    <w:rsid w:val="00AA0D8C"/>
    <w:rsid w:val="00AA25BC"/>
    <w:rsid w:val="00AA3077"/>
    <w:rsid w:val="00AA3E2A"/>
    <w:rsid w:val="00AA46AF"/>
    <w:rsid w:val="00AA5581"/>
    <w:rsid w:val="00AA5AE7"/>
    <w:rsid w:val="00AB4E9E"/>
    <w:rsid w:val="00AB6C99"/>
    <w:rsid w:val="00AC11D5"/>
    <w:rsid w:val="00AC15E5"/>
    <w:rsid w:val="00AC22BB"/>
    <w:rsid w:val="00AC4080"/>
    <w:rsid w:val="00AC46A1"/>
    <w:rsid w:val="00AC5A6D"/>
    <w:rsid w:val="00AC5D73"/>
    <w:rsid w:val="00AC6546"/>
    <w:rsid w:val="00AC73AD"/>
    <w:rsid w:val="00AC7BED"/>
    <w:rsid w:val="00AD067D"/>
    <w:rsid w:val="00AD0A81"/>
    <w:rsid w:val="00AD5FFD"/>
    <w:rsid w:val="00AD705A"/>
    <w:rsid w:val="00AD78F9"/>
    <w:rsid w:val="00AE008D"/>
    <w:rsid w:val="00AE30E0"/>
    <w:rsid w:val="00AE346F"/>
    <w:rsid w:val="00AE3A68"/>
    <w:rsid w:val="00AE3AD5"/>
    <w:rsid w:val="00AF2329"/>
    <w:rsid w:val="00AF2D3B"/>
    <w:rsid w:val="00AF3660"/>
    <w:rsid w:val="00AF7A20"/>
    <w:rsid w:val="00B01312"/>
    <w:rsid w:val="00B02D98"/>
    <w:rsid w:val="00B06685"/>
    <w:rsid w:val="00B14AF0"/>
    <w:rsid w:val="00B15D2F"/>
    <w:rsid w:val="00B16399"/>
    <w:rsid w:val="00B1760F"/>
    <w:rsid w:val="00B2586D"/>
    <w:rsid w:val="00B25AE4"/>
    <w:rsid w:val="00B265C9"/>
    <w:rsid w:val="00B26909"/>
    <w:rsid w:val="00B27664"/>
    <w:rsid w:val="00B31169"/>
    <w:rsid w:val="00B31828"/>
    <w:rsid w:val="00B41E25"/>
    <w:rsid w:val="00B42BEE"/>
    <w:rsid w:val="00B452B7"/>
    <w:rsid w:val="00B458E3"/>
    <w:rsid w:val="00B518FF"/>
    <w:rsid w:val="00B54F17"/>
    <w:rsid w:val="00B561EE"/>
    <w:rsid w:val="00B57D47"/>
    <w:rsid w:val="00B6210E"/>
    <w:rsid w:val="00B632E3"/>
    <w:rsid w:val="00B64DC8"/>
    <w:rsid w:val="00B70688"/>
    <w:rsid w:val="00B75FD9"/>
    <w:rsid w:val="00B77091"/>
    <w:rsid w:val="00B774A4"/>
    <w:rsid w:val="00B837C1"/>
    <w:rsid w:val="00B841E0"/>
    <w:rsid w:val="00B85B77"/>
    <w:rsid w:val="00B860BA"/>
    <w:rsid w:val="00B865F5"/>
    <w:rsid w:val="00B870A0"/>
    <w:rsid w:val="00B91DFE"/>
    <w:rsid w:val="00B92858"/>
    <w:rsid w:val="00B966E9"/>
    <w:rsid w:val="00B96BC7"/>
    <w:rsid w:val="00B97229"/>
    <w:rsid w:val="00BA08A3"/>
    <w:rsid w:val="00BA36BE"/>
    <w:rsid w:val="00BA3D7D"/>
    <w:rsid w:val="00BA465F"/>
    <w:rsid w:val="00BA5AB3"/>
    <w:rsid w:val="00BA5D2D"/>
    <w:rsid w:val="00BB227E"/>
    <w:rsid w:val="00BB4F22"/>
    <w:rsid w:val="00BB7E3D"/>
    <w:rsid w:val="00BC2A32"/>
    <w:rsid w:val="00BC3CD1"/>
    <w:rsid w:val="00BC5EC6"/>
    <w:rsid w:val="00BC5F0E"/>
    <w:rsid w:val="00BD2073"/>
    <w:rsid w:val="00BD2211"/>
    <w:rsid w:val="00BD221D"/>
    <w:rsid w:val="00BD3E65"/>
    <w:rsid w:val="00BD5934"/>
    <w:rsid w:val="00BD7785"/>
    <w:rsid w:val="00BE3B2E"/>
    <w:rsid w:val="00BE7DE8"/>
    <w:rsid w:val="00BF1CBD"/>
    <w:rsid w:val="00BF28A1"/>
    <w:rsid w:val="00BF28B3"/>
    <w:rsid w:val="00BF52C4"/>
    <w:rsid w:val="00BF62EC"/>
    <w:rsid w:val="00C006BE"/>
    <w:rsid w:val="00C05B8E"/>
    <w:rsid w:val="00C06713"/>
    <w:rsid w:val="00C078A8"/>
    <w:rsid w:val="00C1026A"/>
    <w:rsid w:val="00C1063D"/>
    <w:rsid w:val="00C15E0E"/>
    <w:rsid w:val="00C177EC"/>
    <w:rsid w:val="00C23FB5"/>
    <w:rsid w:val="00C24A1A"/>
    <w:rsid w:val="00C331BB"/>
    <w:rsid w:val="00C40B87"/>
    <w:rsid w:val="00C41A08"/>
    <w:rsid w:val="00C422B9"/>
    <w:rsid w:val="00C4240A"/>
    <w:rsid w:val="00C4241E"/>
    <w:rsid w:val="00C504EC"/>
    <w:rsid w:val="00C50EFE"/>
    <w:rsid w:val="00C539B3"/>
    <w:rsid w:val="00C615A3"/>
    <w:rsid w:val="00C6198D"/>
    <w:rsid w:val="00C635DA"/>
    <w:rsid w:val="00C639E7"/>
    <w:rsid w:val="00C659BE"/>
    <w:rsid w:val="00C70240"/>
    <w:rsid w:val="00C76010"/>
    <w:rsid w:val="00C80300"/>
    <w:rsid w:val="00C81BDE"/>
    <w:rsid w:val="00C82307"/>
    <w:rsid w:val="00C8613B"/>
    <w:rsid w:val="00C900DE"/>
    <w:rsid w:val="00C92622"/>
    <w:rsid w:val="00C97228"/>
    <w:rsid w:val="00C9780D"/>
    <w:rsid w:val="00CA02DA"/>
    <w:rsid w:val="00CA1A54"/>
    <w:rsid w:val="00CA1CB3"/>
    <w:rsid w:val="00CA655A"/>
    <w:rsid w:val="00CC0E46"/>
    <w:rsid w:val="00CC46B2"/>
    <w:rsid w:val="00CC5718"/>
    <w:rsid w:val="00CD1352"/>
    <w:rsid w:val="00CD1CBE"/>
    <w:rsid w:val="00CD1E3E"/>
    <w:rsid w:val="00CD2EDC"/>
    <w:rsid w:val="00CD32E2"/>
    <w:rsid w:val="00CD4B0B"/>
    <w:rsid w:val="00CD6698"/>
    <w:rsid w:val="00CE1E5B"/>
    <w:rsid w:val="00CF1D92"/>
    <w:rsid w:val="00CF2D92"/>
    <w:rsid w:val="00CF50FF"/>
    <w:rsid w:val="00CF5D91"/>
    <w:rsid w:val="00D0025C"/>
    <w:rsid w:val="00D004FB"/>
    <w:rsid w:val="00D02BBC"/>
    <w:rsid w:val="00D02C36"/>
    <w:rsid w:val="00D06FE7"/>
    <w:rsid w:val="00D12172"/>
    <w:rsid w:val="00D12B8C"/>
    <w:rsid w:val="00D16306"/>
    <w:rsid w:val="00D200F6"/>
    <w:rsid w:val="00D21646"/>
    <w:rsid w:val="00D2171F"/>
    <w:rsid w:val="00D36A3A"/>
    <w:rsid w:val="00D454F2"/>
    <w:rsid w:val="00D466E8"/>
    <w:rsid w:val="00D47CE9"/>
    <w:rsid w:val="00D52995"/>
    <w:rsid w:val="00D55362"/>
    <w:rsid w:val="00D60425"/>
    <w:rsid w:val="00D72ADE"/>
    <w:rsid w:val="00D75233"/>
    <w:rsid w:val="00D7728F"/>
    <w:rsid w:val="00D77302"/>
    <w:rsid w:val="00D7768B"/>
    <w:rsid w:val="00D77696"/>
    <w:rsid w:val="00D81CC4"/>
    <w:rsid w:val="00D8402E"/>
    <w:rsid w:val="00D9765E"/>
    <w:rsid w:val="00DA0D57"/>
    <w:rsid w:val="00DA1473"/>
    <w:rsid w:val="00DA253F"/>
    <w:rsid w:val="00DA4591"/>
    <w:rsid w:val="00DA6430"/>
    <w:rsid w:val="00DA681A"/>
    <w:rsid w:val="00DA6B7E"/>
    <w:rsid w:val="00DB63BE"/>
    <w:rsid w:val="00DB63DB"/>
    <w:rsid w:val="00DB7824"/>
    <w:rsid w:val="00DC1597"/>
    <w:rsid w:val="00DC308E"/>
    <w:rsid w:val="00DC5E0F"/>
    <w:rsid w:val="00DC6C76"/>
    <w:rsid w:val="00DC7F73"/>
    <w:rsid w:val="00DE0BD6"/>
    <w:rsid w:val="00DE191A"/>
    <w:rsid w:val="00DE1A0F"/>
    <w:rsid w:val="00DE3123"/>
    <w:rsid w:val="00DE339F"/>
    <w:rsid w:val="00DE65D3"/>
    <w:rsid w:val="00DF1535"/>
    <w:rsid w:val="00DF53F5"/>
    <w:rsid w:val="00DF61FD"/>
    <w:rsid w:val="00DF6D25"/>
    <w:rsid w:val="00E00FE3"/>
    <w:rsid w:val="00E03C6D"/>
    <w:rsid w:val="00E11EE3"/>
    <w:rsid w:val="00E135F9"/>
    <w:rsid w:val="00E14349"/>
    <w:rsid w:val="00E20A67"/>
    <w:rsid w:val="00E20C28"/>
    <w:rsid w:val="00E22A77"/>
    <w:rsid w:val="00E22E84"/>
    <w:rsid w:val="00E24B18"/>
    <w:rsid w:val="00E3016C"/>
    <w:rsid w:val="00E348BC"/>
    <w:rsid w:val="00E35B8D"/>
    <w:rsid w:val="00E4307D"/>
    <w:rsid w:val="00E4318F"/>
    <w:rsid w:val="00E4392E"/>
    <w:rsid w:val="00E50B9E"/>
    <w:rsid w:val="00E54395"/>
    <w:rsid w:val="00E54741"/>
    <w:rsid w:val="00E568E5"/>
    <w:rsid w:val="00E57AAD"/>
    <w:rsid w:val="00E57C24"/>
    <w:rsid w:val="00E6453F"/>
    <w:rsid w:val="00E659EF"/>
    <w:rsid w:val="00E677A6"/>
    <w:rsid w:val="00E70CBD"/>
    <w:rsid w:val="00E717E8"/>
    <w:rsid w:val="00E72BAF"/>
    <w:rsid w:val="00E73D81"/>
    <w:rsid w:val="00E754F4"/>
    <w:rsid w:val="00E865D1"/>
    <w:rsid w:val="00EA057C"/>
    <w:rsid w:val="00EA14BE"/>
    <w:rsid w:val="00EA2D3D"/>
    <w:rsid w:val="00EA37FD"/>
    <w:rsid w:val="00EA5B84"/>
    <w:rsid w:val="00EB1A6F"/>
    <w:rsid w:val="00EB20F9"/>
    <w:rsid w:val="00EB24EB"/>
    <w:rsid w:val="00EB34AF"/>
    <w:rsid w:val="00EC4235"/>
    <w:rsid w:val="00ED06CC"/>
    <w:rsid w:val="00ED2C8E"/>
    <w:rsid w:val="00ED379E"/>
    <w:rsid w:val="00ED7680"/>
    <w:rsid w:val="00EE0424"/>
    <w:rsid w:val="00EE0D47"/>
    <w:rsid w:val="00EE4691"/>
    <w:rsid w:val="00EE5358"/>
    <w:rsid w:val="00EF1B6A"/>
    <w:rsid w:val="00EF3C59"/>
    <w:rsid w:val="00EF54D8"/>
    <w:rsid w:val="00EF71E9"/>
    <w:rsid w:val="00F006D2"/>
    <w:rsid w:val="00F00BD1"/>
    <w:rsid w:val="00F01FD9"/>
    <w:rsid w:val="00F04B07"/>
    <w:rsid w:val="00F05BA8"/>
    <w:rsid w:val="00F10A26"/>
    <w:rsid w:val="00F16F13"/>
    <w:rsid w:val="00F20AEA"/>
    <w:rsid w:val="00F219C3"/>
    <w:rsid w:val="00F23E9A"/>
    <w:rsid w:val="00F242D9"/>
    <w:rsid w:val="00F259FE"/>
    <w:rsid w:val="00F3715D"/>
    <w:rsid w:val="00F44B62"/>
    <w:rsid w:val="00F5072C"/>
    <w:rsid w:val="00F51CBF"/>
    <w:rsid w:val="00F526D5"/>
    <w:rsid w:val="00F5411D"/>
    <w:rsid w:val="00F56D2B"/>
    <w:rsid w:val="00F57D2D"/>
    <w:rsid w:val="00F606D8"/>
    <w:rsid w:val="00F62A49"/>
    <w:rsid w:val="00F64F0D"/>
    <w:rsid w:val="00F7026A"/>
    <w:rsid w:val="00F71826"/>
    <w:rsid w:val="00F71F74"/>
    <w:rsid w:val="00F72B45"/>
    <w:rsid w:val="00F73B00"/>
    <w:rsid w:val="00F764EE"/>
    <w:rsid w:val="00F84737"/>
    <w:rsid w:val="00F84FCE"/>
    <w:rsid w:val="00F87B69"/>
    <w:rsid w:val="00F907C8"/>
    <w:rsid w:val="00F90C95"/>
    <w:rsid w:val="00F9103E"/>
    <w:rsid w:val="00F947BF"/>
    <w:rsid w:val="00F95923"/>
    <w:rsid w:val="00F96A39"/>
    <w:rsid w:val="00F96DB3"/>
    <w:rsid w:val="00F97463"/>
    <w:rsid w:val="00FA47A8"/>
    <w:rsid w:val="00FA4B50"/>
    <w:rsid w:val="00FA4DC6"/>
    <w:rsid w:val="00FA5D99"/>
    <w:rsid w:val="00FB030E"/>
    <w:rsid w:val="00FB571F"/>
    <w:rsid w:val="00FC42BA"/>
    <w:rsid w:val="00FC6166"/>
    <w:rsid w:val="00FC77BB"/>
    <w:rsid w:val="00FD08C1"/>
    <w:rsid w:val="00FD2C54"/>
    <w:rsid w:val="00FD4F56"/>
    <w:rsid w:val="00FD7A7A"/>
    <w:rsid w:val="00FE10C1"/>
    <w:rsid w:val="00FE190E"/>
    <w:rsid w:val="00FE20A9"/>
    <w:rsid w:val="00FE48A9"/>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table" w:customStyle="1" w:styleId="TableGrid1">
    <w:name w:val="Table Grid1"/>
    <w:basedOn w:val="TableNormal"/>
    <w:next w:val="TableGrid"/>
    <w:rsid w:val="008E7C7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5B4ACE"/>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5B4ACE"/>
    <w:rPr>
      <w:rFonts w:ascii="Trebuchet MS" w:eastAsia="Times New Roman" w:hAnsi="Trebuchet MS" w:cs="Times New Roman"/>
      <w:i/>
      <w:color w:val="FF0000"/>
      <w:sz w:val="22"/>
    </w:rPr>
  </w:style>
  <w:style w:type="paragraph" w:styleId="NoSpacing">
    <w:name w:val="No Spacing"/>
    <w:uiPriority w:val="1"/>
    <w:qFormat/>
    <w:rsid w:val="005B4ACE"/>
    <w:rPr>
      <w:rFonts w:eastAsiaTheme="minorHAnsi"/>
      <w:sz w:val="22"/>
      <w:szCs w:val="22"/>
    </w:rPr>
  </w:style>
  <w:style w:type="paragraph" w:customStyle="1" w:styleId="Figure">
    <w:name w:val="Figure"/>
    <w:rsid w:val="005B4ACE"/>
    <w:pPr>
      <w:numPr>
        <w:numId w:val="17"/>
      </w:numPr>
    </w:pPr>
    <w:rPr>
      <w:rFonts w:eastAsiaTheme="minorHAnsi"/>
      <w:b/>
      <w:sz w:val="22"/>
      <w:szCs w:val="22"/>
    </w:rPr>
  </w:style>
  <w:style w:type="paragraph" w:styleId="Bibliography">
    <w:name w:val="Bibliography"/>
    <w:basedOn w:val="Normal"/>
    <w:next w:val="Normal"/>
    <w:uiPriority w:val="37"/>
    <w:unhideWhenUsed/>
    <w:rsid w:val="00AF2D3B"/>
    <w:pPr>
      <w:spacing w:before="0" w:after="0" w:line="240" w:lineRule="auto"/>
    </w:pPr>
    <w:rPr>
      <w:rFonts w:asciiTheme="minorHAnsi" w:eastAsia="Times New Roman" w:hAnsiTheme="minorHAnsi" w:cs="Times New Roman"/>
    </w:rPr>
  </w:style>
  <w:style w:type="paragraph" w:styleId="NormalWeb">
    <w:name w:val="Normal (Web)"/>
    <w:basedOn w:val="Normal"/>
    <w:uiPriority w:val="99"/>
    <w:unhideWhenUsed/>
    <w:rsid w:val="005523F8"/>
    <w:pPr>
      <w:spacing w:before="100" w:beforeAutospacing="1" w:after="100" w:afterAutospacing="1" w:line="240" w:lineRule="auto"/>
    </w:pPr>
    <w:rPr>
      <w:rFonts w:ascii="Times New Roman" w:eastAsia="Times New Roman" w:hAnsi="Times New Roman" w:cs="Times New Roman"/>
      <w:sz w:val="24"/>
    </w:rPr>
  </w:style>
  <w:style w:type="paragraph" w:customStyle="1" w:styleId="TableParagraph">
    <w:name w:val="Table Paragraph"/>
    <w:basedOn w:val="Normal"/>
    <w:uiPriority w:val="1"/>
    <w:qFormat/>
    <w:rsid w:val="00017288"/>
    <w:pPr>
      <w:widowControl w:val="0"/>
      <w:autoSpaceDE w:val="0"/>
      <w:autoSpaceDN w:val="0"/>
      <w:spacing w:before="0" w:after="0" w:line="240" w:lineRule="auto"/>
    </w:pPr>
    <w:rPr>
      <w:rFonts w:eastAsia="Calibri Light" w:cs="Calibri Light"/>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07493494">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11C7A6F7-ED9D-4785-8E36-8666A0834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76</TotalTime>
  <Pages>17</Pages>
  <Words>5092</Words>
  <Characters>29031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34055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23</cp:revision>
  <cp:lastPrinted>2021-04-02T12:08:00Z</cp:lastPrinted>
  <dcterms:created xsi:type="dcterms:W3CDTF">2019-11-01T20:47:00Z</dcterms:created>
  <dcterms:modified xsi:type="dcterms:W3CDTF">2021-04-02T12:08:00Z</dcterms:modified>
  <cp:category/>
</cp:coreProperties>
</file>