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7F9EAC18" w:rsidR="00BD221D" w:rsidRPr="00AC7CE2" w:rsidRDefault="006D5F2C" w:rsidP="00BD221D">
            <w:pPr>
              <w:pStyle w:val="eTRMHeading1"/>
              <w:jc w:val="center"/>
              <w:rPr>
                <w:sz w:val="28"/>
              </w:rPr>
            </w:pPr>
            <w:r w:rsidRPr="00AC7CE2">
              <w:rPr>
                <w:sz w:val="28"/>
              </w:rPr>
              <w:t>Water Heating</w:t>
            </w:r>
          </w:p>
          <w:p w14:paraId="1804FFF3" w14:textId="77777777" w:rsidR="00BD221D" w:rsidRPr="00AC7CE2" w:rsidRDefault="00F350CD" w:rsidP="00B561EE">
            <w:pPr>
              <w:pStyle w:val="eTRMHeading2"/>
              <w:rPr>
                <w:color w:val="FFFFFF" w:themeColor="background1"/>
                <w:spacing w:val="60"/>
                <w:sz w:val="32"/>
              </w:rPr>
            </w:pPr>
            <w:r w:rsidRPr="00AC7CE2">
              <w:rPr>
                <w:color w:val="FFFFFF" w:themeColor="background1"/>
                <w:spacing w:val="60"/>
                <w:sz w:val="32"/>
              </w:rPr>
              <w:t>Smart Pump, Residential</w:t>
            </w:r>
          </w:p>
          <w:p w14:paraId="10BE1877" w14:textId="49D27943" w:rsidR="00AC7CE2" w:rsidRPr="00AC7CE2" w:rsidRDefault="00AC7CE2" w:rsidP="00B561EE">
            <w:pPr>
              <w:pStyle w:val="eTRMHeading2"/>
              <w:rPr>
                <w:color w:val="FFFFFF" w:themeColor="background1"/>
                <w:spacing w:val="0"/>
              </w:rPr>
            </w:pPr>
            <w:r w:rsidRPr="00AC7CE2">
              <w:rPr>
                <w:color w:val="FFFFFF" w:themeColor="background1"/>
                <w:spacing w:val="0"/>
                <w:sz w:val="28"/>
              </w:rPr>
              <w:t>SWWH022-01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4DA5B0CC" w14:textId="480DC82F" w:rsidR="001376D7"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1376D7">
        <w:rPr>
          <w:noProof/>
        </w:rPr>
        <w:t>Measure Name</w:t>
      </w:r>
      <w:r w:rsidR="001376D7">
        <w:rPr>
          <w:noProof/>
        </w:rPr>
        <w:tab/>
      </w:r>
      <w:r w:rsidR="001376D7">
        <w:rPr>
          <w:noProof/>
        </w:rPr>
        <w:fldChar w:fldCharType="begin"/>
      </w:r>
      <w:r w:rsidR="001376D7">
        <w:rPr>
          <w:noProof/>
        </w:rPr>
        <w:instrText xml:space="preserve"> PAGEREF _Toc2251822 \h </w:instrText>
      </w:r>
      <w:r w:rsidR="001376D7">
        <w:rPr>
          <w:noProof/>
        </w:rPr>
      </w:r>
      <w:r w:rsidR="001376D7">
        <w:rPr>
          <w:noProof/>
        </w:rPr>
        <w:fldChar w:fldCharType="separate"/>
      </w:r>
      <w:r w:rsidR="003E06DB">
        <w:rPr>
          <w:noProof/>
        </w:rPr>
        <w:t>2</w:t>
      </w:r>
      <w:r w:rsidR="001376D7">
        <w:rPr>
          <w:noProof/>
        </w:rPr>
        <w:fldChar w:fldCharType="end"/>
      </w:r>
    </w:p>
    <w:p w14:paraId="687C5727" w14:textId="5EEC4576" w:rsidR="001376D7" w:rsidRDefault="001376D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_Toc2251823 \h </w:instrText>
      </w:r>
      <w:r>
        <w:rPr>
          <w:noProof/>
        </w:rPr>
      </w:r>
      <w:r>
        <w:rPr>
          <w:noProof/>
        </w:rPr>
        <w:fldChar w:fldCharType="separate"/>
      </w:r>
      <w:r w:rsidR="003E06DB">
        <w:rPr>
          <w:noProof/>
        </w:rPr>
        <w:t>2</w:t>
      </w:r>
      <w:r>
        <w:rPr>
          <w:noProof/>
        </w:rPr>
        <w:fldChar w:fldCharType="end"/>
      </w:r>
    </w:p>
    <w:p w14:paraId="0528533B" w14:textId="6F1EE3B5" w:rsidR="001376D7" w:rsidRDefault="001376D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_Toc2251824 \h </w:instrText>
      </w:r>
      <w:r>
        <w:rPr>
          <w:noProof/>
        </w:rPr>
      </w:r>
      <w:r>
        <w:rPr>
          <w:noProof/>
        </w:rPr>
        <w:fldChar w:fldCharType="separate"/>
      </w:r>
      <w:r w:rsidR="003E06DB">
        <w:rPr>
          <w:noProof/>
        </w:rPr>
        <w:t>2</w:t>
      </w:r>
      <w:r>
        <w:rPr>
          <w:noProof/>
        </w:rPr>
        <w:fldChar w:fldCharType="end"/>
      </w:r>
    </w:p>
    <w:p w14:paraId="770DACA9" w14:textId="55AC388B" w:rsidR="001376D7" w:rsidRDefault="001376D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_Toc2251825 \h </w:instrText>
      </w:r>
      <w:r>
        <w:rPr>
          <w:noProof/>
        </w:rPr>
      </w:r>
      <w:r>
        <w:rPr>
          <w:noProof/>
        </w:rPr>
        <w:fldChar w:fldCharType="separate"/>
      </w:r>
      <w:r w:rsidR="003E06DB">
        <w:rPr>
          <w:noProof/>
        </w:rPr>
        <w:t>3</w:t>
      </w:r>
      <w:r>
        <w:rPr>
          <w:noProof/>
        </w:rPr>
        <w:fldChar w:fldCharType="end"/>
      </w:r>
    </w:p>
    <w:p w14:paraId="62A5D25E" w14:textId="281E7E64" w:rsidR="001376D7" w:rsidRDefault="001376D7">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_Toc2251826 \h </w:instrText>
      </w:r>
      <w:r>
        <w:rPr>
          <w:noProof/>
        </w:rPr>
      </w:r>
      <w:r>
        <w:rPr>
          <w:noProof/>
        </w:rPr>
        <w:fldChar w:fldCharType="separate"/>
      </w:r>
      <w:r w:rsidR="003E06DB">
        <w:rPr>
          <w:noProof/>
        </w:rPr>
        <w:t>4</w:t>
      </w:r>
      <w:r>
        <w:rPr>
          <w:noProof/>
        </w:rPr>
        <w:fldChar w:fldCharType="end"/>
      </w:r>
    </w:p>
    <w:p w14:paraId="0E844D79" w14:textId="167B8261" w:rsidR="001376D7" w:rsidRDefault="001376D7">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_Toc2251827 \h </w:instrText>
      </w:r>
      <w:r>
        <w:rPr>
          <w:noProof/>
        </w:rPr>
      </w:r>
      <w:r>
        <w:rPr>
          <w:noProof/>
        </w:rPr>
        <w:fldChar w:fldCharType="separate"/>
      </w:r>
      <w:r w:rsidR="003E06DB">
        <w:rPr>
          <w:noProof/>
        </w:rPr>
        <w:t>4</w:t>
      </w:r>
      <w:r>
        <w:rPr>
          <w:noProof/>
        </w:rPr>
        <w:fldChar w:fldCharType="end"/>
      </w:r>
    </w:p>
    <w:p w14:paraId="049CCEF6" w14:textId="55522059" w:rsidR="001376D7" w:rsidRDefault="001376D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_Toc2251828 \h </w:instrText>
      </w:r>
      <w:r>
        <w:rPr>
          <w:noProof/>
        </w:rPr>
      </w:r>
      <w:r>
        <w:rPr>
          <w:noProof/>
        </w:rPr>
        <w:fldChar w:fldCharType="separate"/>
      </w:r>
      <w:r w:rsidR="003E06DB">
        <w:rPr>
          <w:noProof/>
        </w:rPr>
        <w:t>5</w:t>
      </w:r>
      <w:r>
        <w:rPr>
          <w:noProof/>
        </w:rPr>
        <w:fldChar w:fldCharType="end"/>
      </w:r>
    </w:p>
    <w:p w14:paraId="0EBC6918" w14:textId="5533E0C5" w:rsidR="001376D7" w:rsidRDefault="001376D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_Toc2251829 \h </w:instrText>
      </w:r>
      <w:r>
        <w:rPr>
          <w:noProof/>
        </w:rPr>
      </w:r>
      <w:r>
        <w:rPr>
          <w:noProof/>
        </w:rPr>
        <w:fldChar w:fldCharType="separate"/>
      </w:r>
      <w:r w:rsidR="003E06DB">
        <w:rPr>
          <w:noProof/>
        </w:rPr>
        <w:t>5</w:t>
      </w:r>
      <w:r>
        <w:rPr>
          <w:noProof/>
        </w:rPr>
        <w:fldChar w:fldCharType="end"/>
      </w:r>
    </w:p>
    <w:p w14:paraId="6D187A42" w14:textId="151D714F" w:rsidR="001376D7" w:rsidRDefault="001376D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_Toc2251830 \h </w:instrText>
      </w:r>
      <w:r>
        <w:rPr>
          <w:noProof/>
        </w:rPr>
      </w:r>
      <w:r>
        <w:rPr>
          <w:noProof/>
        </w:rPr>
        <w:fldChar w:fldCharType="separate"/>
      </w:r>
      <w:r w:rsidR="003E06DB">
        <w:rPr>
          <w:noProof/>
        </w:rPr>
        <w:t>6</w:t>
      </w:r>
      <w:r>
        <w:rPr>
          <w:noProof/>
        </w:rPr>
        <w:fldChar w:fldCharType="end"/>
      </w:r>
    </w:p>
    <w:p w14:paraId="5F172D30" w14:textId="3AEF9DE3" w:rsidR="001376D7" w:rsidRDefault="001376D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_Toc2251831 \h </w:instrText>
      </w:r>
      <w:r>
        <w:rPr>
          <w:noProof/>
        </w:rPr>
      </w:r>
      <w:r>
        <w:rPr>
          <w:noProof/>
        </w:rPr>
        <w:fldChar w:fldCharType="separate"/>
      </w:r>
      <w:r w:rsidR="003E06DB">
        <w:rPr>
          <w:noProof/>
        </w:rPr>
        <w:t>6</w:t>
      </w:r>
      <w:r>
        <w:rPr>
          <w:noProof/>
        </w:rPr>
        <w:fldChar w:fldCharType="end"/>
      </w:r>
    </w:p>
    <w:p w14:paraId="172D63FB" w14:textId="3D3BAE3F" w:rsidR="001376D7" w:rsidRDefault="001376D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_Toc2251832 \h </w:instrText>
      </w:r>
      <w:r>
        <w:rPr>
          <w:noProof/>
        </w:rPr>
      </w:r>
      <w:r>
        <w:rPr>
          <w:noProof/>
        </w:rPr>
        <w:fldChar w:fldCharType="separate"/>
      </w:r>
      <w:r w:rsidR="003E06DB">
        <w:rPr>
          <w:noProof/>
        </w:rPr>
        <w:t>6</w:t>
      </w:r>
      <w:r>
        <w:rPr>
          <w:noProof/>
        </w:rPr>
        <w:fldChar w:fldCharType="end"/>
      </w:r>
    </w:p>
    <w:p w14:paraId="436149FB" w14:textId="343C2C03" w:rsidR="001376D7" w:rsidRDefault="001376D7">
      <w:pPr>
        <w:pStyle w:val="TOC3"/>
        <w:rPr>
          <w:rFonts w:asciiTheme="minorHAnsi" w:hAnsiTheme="minorHAnsi"/>
          <w:noProof/>
          <w:szCs w:val="22"/>
        </w:rPr>
      </w:pPr>
      <w:r>
        <w:rPr>
          <w:noProof/>
        </w:rPr>
        <w:t>Electric Savings (</w:t>
      </w:r>
      <w:r w:rsidRPr="0097346C">
        <w:rPr>
          <w:noProof/>
        </w:rPr>
        <w:t>kWh</w:t>
      </w:r>
      <w:r>
        <w:rPr>
          <w:noProof/>
        </w:rPr>
        <w:t>)</w:t>
      </w:r>
      <w:r>
        <w:rPr>
          <w:noProof/>
        </w:rPr>
        <w:tab/>
      </w:r>
      <w:r>
        <w:rPr>
          <w:noProof/>
        </w:rPr>
        <w:fldChar w:fldCharType="begin"/>
      </w:r>
      <w:r>
        <w:rPr>
          <w:noProof/>
        </w:rPr>
        <w:instrText xml:space="preserve"> PAGEREF _Toc2251833 \h </w:instrText>
      </w:r>
      <w:r>
        <w:rPr>
          <w:noProof/>
        </w:rPr>
      </w:r>
      <w:r>
        <w:rPr>
          <w:noProof/>
        </w:rPr>
        <w:fldChar w:fldCharType="separate"/>
      </w:r>
      <w:r w:rsidR="003E06DB">
        <w:rPr>
          <w:noProof/>
        </w:rPr>
        <w:t>6</w:t>
      </w:r>
      <w:r>
        <w:rPr>
          <w:noProof/>
        </w:rPr>
        <w:fldChar w:fldCharType="end"/>
      </w:r>
    </w:p>
    <w:p w14:paraId="06600C10" w14:textId="2D523543" w:rsidR="001376D7" w:rsidRDefault="001376D7">
      <w:pPr>
        <w:pStyle w:val="TOC3"/>
        <w:rPr>
          <w:rFonts w:asciiTheme="minorHAnsi" w:hAnsiTheme="minorHAnsi"/>
          <w:noProof/>
          <w:szCs w:val="22"/>
        </w:rPr>
      </w:pPr>
      <w:r>
        <w:rPr>
          <w:noProof/>
        </w:rPr>
        <w:t>Peak Electric Demand Reduction (</w:t>
      </w:r>
      <w:r w:rsidRPr="0097346C">
        <w:rPr>
          <w:noProof/>
        </w:rPr>
        <w:t>kW</w:t>
      </w:r>
      <w:r>
        <w:rPr>
          <w:noProof/>
        </w:rPr>
        <w:t>)</w:t>
      </w:r>
      <w:r>
        <w:rPr>
          <w:noProof/>
        </w:rPr>
        <w:tab/>
      </w:r>
      <w:r>
        <w:rPr>
          <w:noProof/>
        </w:rPr>
        <w:fldChar w:fldCharType="begin"/>
      </w:r>
      <w:r>
        <w:rPr>
          <w:noProof/>
        </w:rPr>
        <w:instrText xml:space="preserve"> PAGEREF _Toc2251834 \h </w:instrText>
      </w:r>
      <w:r>
        <w:rPr>
          <w:noProof/>
        </w:rPr>
      </w:r>
      <w:r>
        <w:rPr>
          <w:noProof/>
        </w:rPr>
        <w:fldChar w:fldCharType="separate"/>
      </w:r>
      <w:r w:rsidR="003E06DB">
        <w:rPr>
          <w:noProof/>
        </w:rPr>
        <w:t>7</w:t>
      </w:r>
      <w:r>
        <w:rPr>
          <w:noProof/>
        </w:rPr>
        <w:fldChar w:fldCharType="end"/>
      </w:r>
    </w:p>
    <w:p w14:paraId="2DBB682D" w14:textId="27CF9F92" w:rsidR="001376D7" w:rsidRDefault="001376D7">
      <w:pPr>
        <w:pStyle w:val="TOC3"/>
        <w:rPr>
          <w:rFonts w:asciiTheme="minorHAnsi" w:hAnsiTheme="minorHAnsi"/>
          <w:noProof/>
          <w:szCs w:val="22"/>
        </w:rPr>
      </w:pPr>
      <w:r>
        <w:rPr>
          <w:noProof/>
        </w:rPr>
        <w:t>Gas Savings (</w:t>
      </w:r>
      <w:r w:rsidRPr="0097346C">
        <w:rPr>
          <w:noProof/>
        </w:rPr>
        <w:t>Therms</w:t>
      </w:r>
      <w:r>
        <w:rPr>
          <w:noProof/>
        </w:rPr>
        <w:t>)</w:t>
      </w:r>
      <w:r>
        <w:rPr>
          <w:noProof/>
        </w:rPr>
        <w:tab/>
      </w:r>
      <w:r>
        <w:rPr>
          <w:noProof/>
        </w:rPr>
        <w:fldChar w:fldCharType="begin"/>
      </w:r>
      <w:r>
        <w:rPr>
          <w:noProof/>
        </w:rPr>
        <w:instrText xml:space="preserve"> PAGEREF _Toc2251835 \h </w:instrText>
      </w:r>
      <w:r>
        <w:rPr>
          <w:noProof/>
        </w:rPr>
      </w:r>
      <w:r>
        <w:rPr>
          <w:noProof/>
        </w:rPr>
        <w:fldChar w:fldCharType="separate"/>
      </w:r>
      <w:r w:rsidR="003E06DB">
        <w:rPr>
          <w:noProof/>
        </w:rPr>
        <w:t>8</w:t>
      </w:r>
      <w:r>
        <w:rPr>
          <w:noProof/>
        </w:rPr>
        <w:fldChar w:fldCharType="end"/>
      </w:r>
    </w:p>
    <w:p w14:paraId="09986031" w14:textId="447F4F95" w:rsidR="001376D7" w:rsidRDefault="001376D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_Toc2251836 \h </w:instrText>
      </w:r>
      <w:r>
        <w:rPr>
          <w:noProof/>
        </w:rPr>
      </w:r>
      <w:r>
        <w:rPr>
          <w:noProof/>
        </w:rPr>
        <w:fldChar w:fldCharType="separate"/>
      </w:r>
      <w:r w:rsidR="003E06DB">
        <w:rPr>
          <w:noProof/>
        </w:rPr>
        <w:t>8</w:t>
      </w:r>
      <w:r>
        <w:rPr>
          <w:noProof/>
        </w:rPr>
        <w:fldChar w:fldCharType="end"/>
      </w:r>
    </w:p>
    <w:p w14:paraId="35AEE31C" w14:textId="64C74916" w:rsidR="001376D7" w:rsidRDefault="001376D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_Toc2251837 \h </w:instrText>
      </w:r>
      <w:r>
        <w:rPr>
          <w:noProof/>
        </w:rPr>
      </w:r>
      <w:r>
        <w:rPr>
          <w:noProof/>
        </w:rPr>
        <w:fldChar w:fldCharType="separate"/>
      </w:r>
      <w:r w:rsidR="003E06DB">
        <w:rPr>
          <w:noProof/>
        </w:rPr>
        <w:t>9</w:t>
      </w:r>
      <w:r>
        <w:rPr>
          <w:noProof/>
        </w:rPr>
        <w:fldChar w:fldCharType="end"/>
      </w:r>
    </w:p>
    <w:p w14:paraId="114B8291" w14:textId="0E331B90" w:rsidR="001376D7" w:rsidRDefault="001376D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_Toc2251838 \h </w:instrText>
      </w:r>
      <w:r>
        <w:rPr>
          <w:noProof/>
        </w:rPr>
      </w:r>
      <w:r>
        <w:rPr>
          <w:noProof/>
        </w:rPr>
        <w:fldChar w:fldCharType="separate"/>
      </w:r>
      <w:r w:rsidR="003E06DB">
        <w:rPr>
          <w:noProof/>
        </w:rPr>
        <w:t>9</w:t>
      </w:r>
      <w:r>
        <w:rPr>
          <w:noProof/>
        </w:rPr>
        <w:fldChar w:fldCharType="end"/>
      </w:r>
    </w:p>
    <w:p w14:paraId="18DC9C8A" w14:textId="13B96F3D" w:rsidR="001376D7" w:rsidRDefault="001376D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_Toc2251839 \h </w:instrText>
      </w:r>
      <w:r>
        <w:rPr>
          <w:noProof/>
        </w:rPr>
      </w:r>
      <w:r>
        <w:rPr>
          <w:noProof/>
        </w:rPr>
        <w:fldChar w:fldCharType="separate"/>
      </w:r>
      <w:r w:rsidR="003E06DB">
        <w:rPr>
          <w:noProof/>
        </w:rPr>
        <w:t>10</w:t>
      </w:r>
      <w:r>
        <w:rPr>
          <w:noProof/>
        </w:rPr>
        <w:fldChar w:fldCharType="end"/>
      </w:r>
    </w:p>
    <w:p w14:paraId="626E25E2" w14:textId="656C96AB" w:rsidR="001376D7" w:rsidRDefault="001376D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_Toc2251840 \h </w:instrText>
      </w:r>
      <w:r>
        <w:rPr>
          <w:noProof/>
        </w:rPr>
      </w:r>
      <w:r>
        <w:rPr>
          <w:noProof/>
        </w:rPr>
        <w:fldChar w:fldCharType="separate"/>
      </w:r>
      <w:r w:rsidR="003E06DB">
        <w:rPr>
          <w:noProof/>
        </w:rPr>
        <w:t>10</w:t>
      </w:r>
      <w:r>
        <w:rPr>
          <w:noProof/>
        </w:rPr>
        <w:fldChar w:fldCharType="end"/>
      </w:r>
    </w:p>
    <w:p w14:paraId="36B04171" w14:textId="680428CD" w:rsidR="001376D7" w:rsidRDefault="001376D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_Toc2251841 \h </w:instrText>
      </w:r>
      <w:r>
        <w:rPr>
          <w:noProof/>
        </w:rPr>
      </w:r>
      <w:r>
        <w:rPr>
          <w:noProof/>
        </w:rPr>
        <w:fldChar w:fldCharType="separate"/>
      </w:r>
      <w:r w:rsidR="003E06DB">
        <w:rPr>
          <w:noProof/>
        </w:rPr>
        <w:t>10</w:t>
      </w:r>
      <w:r>
        <w:rPr>
          <w:noProof/>
        </w:rPr>
        <w:fldChar w:fldCharType="end"/>
      </w:r>
    </w:p>
    <w:p w14:paraId="22CB6CEF" w14:textId="0894C785" w:rsidR="001376D7" w:rsidRDefault="001376D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_Toc2251842 \h </w:instrText>
      </w:r>
      <w:r>
        <w:rPr>
          <w:noProof/>
        </w:rPr>
      </w:r>
      <w:r>
        <w:rPr>
          <w:noProof/>
        </w:rPr>
        <w:fldChar w:fldCharType="separate"/>
      </w:r>
      <w:r w:rsidR="003E06DB">
        <w:rPr>
          <w:noProof/>
        </w:rPr>
        <w:t>11</w:t>
      </w:r>
      <w:r>
        <w:rPr>
          <w:noProof/>
        </w:rPr>
        <w:fldChar w:fldCharType="end"/>
      </w:r>
    </w:p>
    <w:p w14:paraId="711EE157" w14:textId="5AE36DB2" w:rsidR="001376D7" w:rsidRDefault="001376D7">
      <w:pPr>
        <w:pStyle w:val="TOC3"/>
        <w:rPr>
          <w:rFonts w:asciiTheme="minorHAnsi" w:hAnsiTheme="minorHAnsi"/>
          <w:noProof/>
          <w:szCs w:val="22"/>
        </w:rPr>
      </w:pPr>
      <w:r>
        <w:rPr>
          <w:noProof/>
        </w:rPr>
        <w:t>Non-Energy Benefits</w:t>
      </w:r>
      <w:r>
        <w:rPr>
          <w:noProof/>
        </w:rPr>
        <w:tab/>
      </w:r>
      <w:r>
        <w:rPr>
          <w:noProof/>
        </w:rPr>
        <w:fldChar w:fldCharType="begin"/>
      </w:r>
      <w:r>
        <w:rPr>
          <w:noProof/>
        </w:rPr>
        <w:instrText xml:space="preserve"> PAGEREF _Toc2251843 \h </w:instrText>
      </w:r>
      <w:r>
        <w:rPr>
          <w:noProof/>
        </w:rPr>
      </w:r>
      <w:r>
        <w:rPr>
          <w:noProof/>
        </w:rPr>
        <w:fldChar w:fldCharType="separate"/>
      </w:r>
      <w:r w:rsidR="003E06DB">
        <w:rPr>
          <w:noProof/>
        </w:rPr>
        <w:t>12</w:t>
      </w:r>
      <w:r>
        <w:rPr>
          <w:noProof/>
        </w:rPr>
        <w:fldChar w:fldCharType="end"/>
      </w:r>
    </w:p>
    <w:p w14:paraId="48B7C29D" w14:textId="6DF92311" w:rsidR="001376D7" w:rsidRDefault="001376D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_Toc2251844 \h </w:instrText>
      </w:r>
      <w:r>
        <w:rPr>
          <w:noProof/>
        </w:rPr>
      </w:r>
      <w:r>
        <w:rPr>
          <w:noProof/>
        </w:rPr>
        <w:fldChar w:fldCharType="separate"/>
      </w:r>
      <w:r w:rsidR="003E06DB">
        <w:rPr>
          <w:noProof/>
        </w:rPr>
        <w:t>12</w:t>
      </w:r>
      <w:r>
        <w:rPr>
          <w:noProof/>
        </w:rPr>
        <w:fldChar w:fldCharType="end"/>
      </w:r>
    </w:p>
    <w:p w14:paraId="4CB1CC30" w14:textId="20C94B56" w:rsidR="001376D7" w:rsidRDefault="001376D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_Toc2251845 \h </w:instrText>
      </w:r>
      <w:r>
        <w:rPr>
          <w:noProof/>
        </w:rPr>
      </w:r>
      <w:r>
        <w:rPr>
          <w:noProof/>
        </w:rPr>
        <w:fldChar w:fldCharType="separate"/>
      </w:r>
      <w:r w:rsidR="003E06DB">
        <w:rPr>
          <w:noProof/>
        </w:rPr>
        <w:t>13</w:t>
      </w:r>
      <w:r>
        <w:rPr>
          <w:noProof/>
        </w:rPr>
        <w:fldChar w:fldCharType="end"/>
      </w:r>
    </w:p>
    <w:p w14:paraId="4C194BAF" w14:textId="688B937A"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4A850774" w14:textId="6C7BBECF" w:rsidR="00E14349" w:rsidRDefault="00E14349"/>
    <w:p w14:paraId="0CBCEFCC" w14:textId="77777777" w:rsidR="00AC7CE2" w:rsidRPr="007E1F66" w:rsidRDefault="00AC7CE2" w:rsidP="00462BB6">
      <w:pPr>
        <w:pStyle w:val="eTRMHeading3"/>
        <w:spacing w:before="20" w:after="20"/>
      </w:pPr>
      <w:bookmarkStart w:id="0" w:name="_Toc486490839"/>
      <w:bookmarkStart w:id="1" w:name="_Toc486580912"/>
      <w:bookmarkStart w:id="2" w:name="_Toc2251822"/>
      <w:r w:rsidRPr="007E1F66">
        <w:t>Measure Name</w:t>
      </w:r>
      <w:bookmarkEnd w:id="0"/>
      <w:bookmarkEnd w:id="1"/>
      <w:bookmarkEnd w:id="2"/>
    </w:p>
    <w:p w14:paraId="47482B64" w14:textId="59C94A96" w:rsidR="00AC7CE2" w:rsidRDefault="00AC7CE2" w:rsidP="00462BB6">
      <w:pPr>
        <w:spacing w:before="20" w:after="20" w:line="280" w:lineRule="exact"/>
      </w:pPr>
      <w:r>
        <w:t>Smart Pump, Residential</w:t>
      </w:r>
    </w:p>
    <w:p w14:paraId="1A3F48EB" w14:textId="77777777" w:rsidR="00AC7CE2" w:rsidRPr="00401C43" w:rsidRDefault="00AC7CE2" w:rsidP="00462BB6">
      <w:pPr>
        <w:spacing w:before="20" w:after="20" w:line="280" w:lineRule="exact"/>
      </w:pPr>
    </w:p>
    <w:p w14:paraId="36B583B4" w14:textId="77777777" w:rsidR="00AC7CE2" w:rsidRPr="00074E3E" w:rsidRDefault="00AC7CE2" w:rsidP="00462BB6">
      <w:pPr>
        <w:pStyle w:val="eTRMHeading3"/>
        <w:spacing w:before="20" w:after="20"/>
      </w:pPr>
      <w:bookmarkStart w:id="3" w:name="_Toc486490840"/>
      <w:bookmarkStart w:id="4" w:name="_Toc486580913"/>
      <w:bookmarkStart w:id="5" w:name="_Toc2251823"/>
      <w:r>
        <w:t>Statewide Measure ID</w:t>
      </w:r>
      <w:bookmarkEnd w:id="3"/>
      <w:bookmarkEnd w:id="4"/>
      <w:bookmarkEnd w:id="5"/>
    </w:p>
    <w:p w14:paraId="3B9E7E7E" w14:textId="0D631B69" w:rsidR="00AC7CE2" w:rsidRDefault="00AC7CE2" w:rsidP="00AC7CE2">
      <w:pPr>
        <w:spacing w:before="20" w:after="20" w:line="280" w:lineRule="exact"/>
      </w:pPr>
      <w:bookmarkStart w:id="6" w:name="_Toc486490847"/>
      <w:bookmarkStart w:id="7" w:name="_Toc486580918"/>
      <w:r>
        <w:t>SWWH022-01</w:t>
      </w:r>
    </w:p>
    <w:p w14:paraId="4A678CDA" w14:textId="77777777" w:rsidR="00AC7CE2" w:rsidRPr="00401C43" w:rsidRDefault="00AC7CE2" w:rsidP="00AC7CE2">
      <w:pPr>
        <w:spacing w:before="20" w:after="20" w:line="280" w:lineRule="exact"/>
      </w:pPr>
    </w:p>
    <w:p w14:paraId="0F7CA2E6" w14:textId="77777777" w:rsidR="00E70CBD" w:rsidRPr="00154391" w:rsidRDefault="00E70CBD" w:rsidP="00462BB6">
      <w:pPr>
        <w:pStyle w:val="eTRMHeading3"/>
      </w:pPr>
      <w:bookmarkStart w:id="8" w:name="_Toc2251824"/>
      <w:r w:rsidRPr="00154391">
        <w:t>Technology Summary</w:t>
      </w:r>
      <w:bookmarkEnd w:id="6"/>
      <w:bookmarkEnd w:id="7"/>
      <w:bookmarkEnd w:id="8"/>
      <w:r w:rsidRPr="00154391">
        <w:t xml:space="preserve"> </w:t>
      </w:r>
    </w:p>
    <w:p w14:paraId="41D0B92E" w14:textId="3D868D36" w:rsidR="00917F14" w:rsidRDefault="00975938" w:rsidP="00917F14">
      <w:pPr>
        <w:rPr>
          <w:iCs/>
        </w:rPr>
      </w:pPr>
      <w:r>
        <w:t>This measure pertains to a h</w:t>
      </w:r>
      <w:r w:rsidR="00972FA4" w:rsidRPr="00FF5C40">
        <w:t>igh</w:t>
      </w:r>
      <w:r>
        <w:t xml:space="preserve">-performance circulator </w:t>
      </w:r>
      <w:r w:rsidR="00972FA4" w:rsidRPr="00FF5C40">
        <w:t>(HPC)</w:t>
      </w:r>
      <w:r w:rsidR="00972FA4">
        <w:t xml:space="preserve"> </w:t>
      </w:r>
      <w:r>
        <w:t>pump</w:t>
      </w:r>
      <w:r w:rsidR="00972FA4" w:rsidRPr="00FF5C40">
        <w:t xml:space="preserve"> for </w:t>
      </w:r>
      <w:r w:rsidR="005B15DB">
        <w:t>single family and multifamily</w:t>
      </w:r>
      <w:r w:rsidR="005B15DB" w:rsidRPr="00FF5C40">
        <w:t xml:space="preserve"> </w:t>
      </w:r>
      <w:r w:rsidR="00972FA4" w:rsidRPr="00FF5C40">
        <w:t>residential</w:t>
      </w:r>
      <w:r w:rsidR="00972FA4">
        <w:t xml:space="preserve"> domestic hot water </w:t>
      </w:r>
      <w:r w:rsidR="00972FA4" w:rsidRPr="00FF5C40">
        <w:t>applications.</w:t>
      </w:r>
      <w:r>
        <w:t xml:space="preserve"> </w:t>
      </w:r>
      <w:r w:rsidR="00917F14" w:rsidRPr="002E6229">
        <w:rPr>
          <w:iCs/>
        </w:rPr>
        <w:t>A circulator pump is a specific type of pump used to circulate</w:t>
      </w:r>
      <w:r w:rsidR="00917F14">
        <w:rPr>
          <w:iCs/>
        </w:rPr>
        <w:t xml:space="preserve"> liquids in open or closed loop systems. </w:t>
      </w:r>
    </w:p>
    <w:p w14:paraId="7F5CFD36" w14:textId="78E24FFC" w:rsidR="00917F14" w:rsidRDefault="00917F14" w:rsidP="00C41F87">
      <w:pPr>
        <w:pStyle w:val="eTRMBulletedText"/>
      </w:pPr>
      <w:r w:rsidRPr="005B15DB">
        <w:rPr>
          <w:b/>
        </w:rPr>
        <w:t>Open Loop.</w:t>
      </w:r>
      <w:r w:rsidRPr="005B15DB">
        <w:t xml:space="preserve"> </w:t>
      </w:r>
      <w:r>
        <w:t>In an open loop system</w:t>
      </w:r>
      <w:r w:rsidR="005B15DB">
        <w:t>,</w:t>
      </w:r>
      <w:r>
        <w:t xml:space="preserve"> fresh water is introduced into the hot water recirculation system. Stainless steel or bronze bodied pumps are used in this application to negate the opportunity for rust due to fresh water (oxygen) being introduced into the system. Stainless steel or bronze bodied pumps have a higher initial cost compared to cast iron bodied pumps. In open loop systems, friction head and static head losses need to be overcome to deliver hot water. </w:t>
      </w:r>
    </w:p>
    <w:p w14:paraId="4C9656E4" w14:textId="77777777" w:rsidR="00C41F87" w:rsidRDefault="00917F14" w:rsidP="00C41F87">
      <w:pPr>
        <w:pStyle w:val="eTRMBulletedText"/>
        <w:rPr>
          <w:i/>
        </w:rPr>
      </w:pPr>
      <w:r w:rsidRPr="005B15DB">
        <w:rPr>
          <w:b/>
        </w:rPr>
        <w:t>Closed Loop.</w:t>
      </w:r>
      <w:r>
        <w:t xml:space="preserve"> In a closed loop system, no fresh water is introduced into the system, for hydronic heating or cooling for example. Cast</w:t>
      </w:r>
      <w:r w:rsidR="005B15DB">
        <w:t>-</w:t>
      </w:r>
      <w:r>
        <w:t xml:space="preserve">iron bodied pumps are used in </w:t>
      </w:r>
      <w:r w:rsidR="005B15DB">
        <w:t>closed-loop</w:t>
      </w:r>
      <w:r>
        <w:t xml:space="preserve"> applications</w:t>
      </w:r>
      <w:r w:rsidR="005B15DB">
        <w:t>;</w:t>
      </w:r>
      <w:r>
        <w:t xml:space="preserve"> they are the most cost-effective option due to no risk of rust because no fresh water (oxygen) </w:t>
      </w:r>
      <w:r w:rsidR="005B15DB">
        <w:t>will enter</w:t>
      </w:r>
      <w:r>
        <w:t xml:space="preserve"> the system (compared to open loop systems). Friction head losses are the only losses that need to be overcome so inherently these pumps are smaller in horsepower (hp</w:t>
      </w:r>
      <w:r w:rsidRPr="000019CB">
        <w:rPr>
          <w:i/>
        </w:rPr>
        <w:t>).</w:t>
      </w:r>
      <w:r w:rsidR="000019CB" w:rsidRPr="000019CB">
        <w:rPr>
          <w:i/>
        </w:rPr>
        <w:t xml:space="preserve"> </w:t>
      </w:r>
    </w:p>
    <w:p w14:paraId="2D6B0937" w14:textId="7100F3D0" w:rsidR="00917F14" w:rsidRPr="00131ABD" w:rsidRDefault="000019CB" w:rsidP="00C41F87">
      <w:pPr>
        <w:pStyle w:val="eTRMBulletedText"/>
        <w:numPr>
          <w:ilvl w:val="0"/>
          <w:numId w:val="0"/>
        </w:numPr>
        <w:ind w:left="720"/>
        <w:rPr>
          <w:i/>
        </w:rPr>
      </w:pPr>
      <w:r w:rsidRPr="00131ABD">
        <w:rPr>
          <w:i/>
        </w:rPr>
        <w:t>Note that closed loop systems are not applicable to this measure, because this measure is only applicable to domestic hot water recirculation.</w:t>
      </w:r>
    </w:p>
    <w:p w14:paraId="41152A21" w14:textId="5A4BEB66" w:rsidR="00972FA4" w:rsidRDefault="003B63FD" w:rsidP="00CA66EC">
      <w:r>
        <w:t>A c</w:t>
      </w:r>
      <w:r w:rsidR="00972FA4" w:rsidRPr="009D330B">
        <w:t xml:space="preserve">irculating pump </w:t>
      </w:r>
      <w:r>
        <w:t xml:space="preserve">is </w:t>
      </w:r>
      <w:r w:rsidR="00972FA4" w:rsidRPr="009D330B">
        <w:t xml:space="preserve">often used to circulate domestic hot water </w:t>
      </w:r>
      <w:r w:rsidR="00972FA4">
        <w:t>(DHW) so that</w:t>
      </w:r>
      <w:r w:rsidR="00972FA4" w:rsidRPr="009D330B">
        <w:t xml:space="preserve"> </w:t>
      </w:r>
      <w:r w:rsidR="00131ABD">
        <w:t xml:space="preserve">a </w:t>
      </w:r>
      <w:r w:rsidR="00972FA4" w:rsidRPr="009D330B">
        <w:t xml:space="preserve">faucet will provide hot water instantly or </w:t>
      </w:r>
      <w:r w:rsidR="00972FA4">
        <w:t xml:space="preserve">in </w:t>
      </w:r>
      <w:r w:rsidR="00972FA4" w:rsidRPr="009D330B">
        <w:t xml:space="preserve">a short time after </w:t>
      </w:r>
      <w:r>
        <w:t>the</w:t>
      </w:r>
      <w:r w:rsidR="00972FA4" w:rsidRPr="009D330B">
        <w:t xml:space="preserve"> user's</w:t>
      </w:r>
      <w:r w:rsidR="00972FA4">
        <w:t xml:space="preserve"> “on demand”</w:t>
      </w:r>
      <w:r w:rsidR="00972FA4" w:rsidRPr="009D330B">
        <w:t xml:space="preserve"> request</w:t>
      </w:r>
      <w:r w:rsidR="00972FA4">
        <w:t xml:space="preserve">. The latter “on-demand” system conserves more energy </w:t>
      </w:r>
      <w:r w:rsidR="00975938">
        <w:t>and</w:t>
      </w:r>
      <w:r w:rsidR="00972FA4">
        <w:t xml:space="preserve"> </w:t>
      </w:r>
      <w:r w:rsidR="00917F14">
        <w:t>water but</w:t>
      </w:r>
      <w:r w:rsidR="00972FA4">
        <w:t xml:space="preserve"> is less popular in replacement applications</w:t>
      </w:r>
      <w:r w:rsidR="00280280">
        <w:t xml:space="preserve"> because</w:t>
      </w:r>
      <w:r w:rsidR="00972FA4">
        <w:t xml:space="preserve"> it is less convenient for the user</w:t>
      </w:r>
      <w:r w:rsidR="00280280">
        <w:t xml:space="preserve"> and is </w:t>
      </w:r>
      <w:r w:rsidR="00972FA4">
        <w:t xml:space="preserve">much more expensive than </w:t>
      </w:r>
      <w:r w:rsidR="00280280">
        <w:t xml:space="preserve">a </w:t>
      </w:r>
      <w:r w:rsidR="00972FA4">
        <w:t xml:space="preserve">direct replacement as a </w:t>
      </w:r>
      <w:r w:rsidR="00280280" w:rsidRPr="00280280">
        <w:rPr>
          <w:i/>
        </w:rPr>
        <w:t>normal replacement</w:t>
      </w:r>
      <w:r w:rsidR="00972FA4">
        <w:t xml:space="preserve"> measure. With rising concerns over water conservation</w:t>
      </w:r>
      <w:r w:rsidR="00917F14">
        <w:t>,</w:t>
      </w:r>
      <w:r w:rsidR="00972FA4">
        <w:t xml:space="preserve"> DHW systems </w:t>
      </w:r>
      <w:r w:rsidR="00917F14">
        <w:t>with</w:t>
      </w:r>
      <w:r w:rsidR="00972FA4">
        <w:t xml:space="preserve"> circulator pumps are becoming more popular</w:t>
      </w:r>
      <w:r w:rsidR="00972FA4" w:rsidRPr="009D330B">
        <w:t xml:space="preserve">. </w:t>
      </w:r>
    </w:p>
    <w:p w14:paraId="092DEBD5" w14:textId="50A6C552" w:rsidR="00917F14" w:rsidRDefault="00972FA4" w:rsidP="00CA66EC">
      <w:r w:rsidRPr="009D330B">
        <w:t xml:space="preserve">In </w:t>
      </w:r>
      <w:r w:rsidR="00917F14">
        <w:t xml:space="preserve">a </w:t>
      </w:r>
      <w:r w:rsidRPr="009D330B">
        <w:t>typical one-way plumbing</w:t>
      </w:r>
      <w:r w:rsidR="00917F14">
        <w:t xml:space="preserve"> system</w:t>
      </w:r>
      <w:r w:rsidRPr="009D330B">
        <w:t xml:space="preserve"> without a circulation pump, water is piped from the water heater through the pipes to the tap. Once the tap is shut </w:t>
      </w:r>
      <w:r w:rsidR="00BA2AC9">
        <w:t>OFF</w:t>
      </w:r>
      <w:r w:rsidRPr="009D330B">
        <w:t xml:space="preserve">, the water remaining in the pipes </w:t>
      </w:r>
      <w:r w:rsidR="00BA2AC9">
        <w:t>will cool</w:t>
      </w:r>
      <w:r>
        <w:t>,</w:t>
      </w:r>
      <w:r w:rsidRPr="009D330B">
        <w:t xml:space="preserve"> producing the familiar </w:t>
      </w:r>
      <w:r w:rsidR="00BA2AC9">
        <w:t>“</w:t>
      </w:r>
      <w:r w:rsidRPr="009D330B">
        <w:t>wait for hot water</w:t>
      </w:r>
      <w:r w:rsidR="00BA2AC9">
        <w:t>”</w:t>
      </w:r>
      <w:r>
        <w:t xml:space="preserve"> effect</w:t>
      </w:r>
      <w:r w:rsidRPr="009D330B">
        <w:t xml:space="preserve"> the next time the tap is opened. </w:t>
      </w:r>
      <w:r>
        <w:t xml:space="preserve">A </w:t>
      </w:r>
      <w:r w:rsidRPr="009D330B">
        <w:t>circulator pump constantly circula</w:t>
      </w:r>
      <w:r>
        <w:t>tes</w:t>
      </w:r>
      <w:r w:rsidRPr="009D330B">
        <w:t xml:space="preserve"> a small amount of hot water through the pipes from the heater to the farthest</w:t>
      </w:r>
      <w:r>
        <w:t xml:space="preserve"> fixture and back to the heater. This results in </w:t>
      </w:r>
      <w:r w:rsidR="00BA2AC9">
        <w:t xml:space="preserve">hot </w:t>
      </w:r>
      <w:r>
        <w:t xml:space="preserve">water </w:t>
      </w:r>
      <w:r w:rsidR="00BA2AC9">
        <w:t xml:space="preserve">continuously available </w:t>
      </w:r>
      <w:r>
        <w:t>at the faucets and in the hot water distribution pipes.</w:t>
      </w:r>
      <w:r w:rsidRPr="009D330B">
        <w:t xml:space="preserve"> </w:t>
      </w:r>
    </w:p>
    <w:p w14:paraId="2229496D" w14:textId="1BAAD02E" w:rsidR="00972FA4" w:rsidRDefault="00972FA4" w:rsidP="00CA66EC">
      <w:r>
        <w:t xml:space="preserve">With on-demand </w:t>
      </w:r>
      <w:r w:rsidR="00917F14">
        <w:t>DHW</w:t>
      </w:r>
      <w:r>
        <w:t xml:space="preserve">, no water is wasted </w:t>
      </w:r>
      <w:r w:rsidR="00BA2AC9">
        <w:t>because the user does not need to wait</w:t>
      </w:r>
      <w:r>
        <w:t xml:space="preserve"> for the water temperature </w:t>
      </w:r>
      <w:r w:rsidR="00BA2AC9">
        <w:t xml:space="preserve">at the tap </w:t>
      </w:r>
      <w:r>
        <w:t xml:space="preserve">to </w:t>
      </w:r>
      <w:r w:rsidR="00BA2AC9">
        <w:t>reach the desired temperature;</w:t>
      </w:r>
      <w:r>
        <w:t xml:space="preserve"> </w:t>
      </w:r>
      <w:r w:rsidR="00BA2AC9">
        <w:t xml:space="preserve">however, </w:t>
      </w:r>
      <w:r>
        <w:t xml:space="preserve">this option is less popular as hot water is not automatically dispensed from the faucet </w:t>
      </w:r>
      <w:r w:rsidRPr="00346EA6">
        <w:t xml:space="preserve">when </w:t>
      </w:r>
      <w:r w:rsidR="00BA2AC9" w:rsidRPr="00346EA6">
        <w:t>requested</w:t>
      </w:r>
      <w:r w:rsidRPr="00346EA6">
        <w:t xml:space="preserve"> by the user</w:t>
      </w:r>
      <w:r>
        <w:t>.</w:t>
      </w:r>
      <w:r w:rsidRPr="009D330B">
        <w:t xml:space="preserve"> </w:t>
      </w:r>
    </w:p>
    <w:p w14:paraId="47550A72" w14:textId="0A625E13" w:rsidR="00972FA4" w:rsidRPr="00577E21" w:rsidRDefault="00972FA4" w:rsidP="00CA66EC">
      <w:pPr>
        <w:rPr>
          <w:i/>
        </w:rPr>
      </w:pPr>
      <w:r w:rsidRPr="00577E21">
        <w:t>Pumps in the measure case are driven by an</w:t>
      </w:r>
      <w:r>
        <w:t xml:space="preserve"> electrically commutated motor</w:t>
      </w:r>
      <w:r w:rsidRPr="00577E21">
        <w:t xml:space="preserve"> (ECM), have integrated variable frequency drives (VFD)</w:t>
      </w:r>
      <w:r>
        <w:t>, and controlling logic</w:t>
      </w:r>
      <w:r w:rsidRPr="00577E21">
        <w:t xml:space="preserve"> </w:t>
      </w:r>
      <w:r>
        <w:t>which</w:t>
      </w:r>
      <w:r w:rsidRPr="00577E21">
        <w:t xml:space="preserve"> allow</w:t>
      </w:r>
      <w:r>
        <w:t>s</w:t>
      </w:r>
      <w:r w:rsidRPr="00577E21">
        <w:t xml:space="preserve"> the pump to match the demand of the system. </w:t>
      </w:r>
      <w:r w:rsidR="00917F14">
        <w:t>These features are summarized below:</w:t>
      </w:r>
    </w:p>
    <w:p w14:paraId="247E9095" w14:textId="566778C7" w:rsidR="00972FA4" w:rsidRPr="00380BC7" w:rsidRDefault="00917F14" w:rsidP="00C41F87">
      <w:pPr>
        <w:pStyle w:val="eTRMBulletedText"/>
        <w:rPr>
          <w:i/>
        </w:rPr>
      </w:pPr>
      <w:r w:rsidRPr="00917F14">
        <w:rPr>
          <w:b/>
        </w:rPr>
        <w:t>Electrically commutated motor (ECM)</w:t>
      </w:r>
      <w:r w:rsidR="000019CB">
        <w:rPr>
          <w:b/>
        </w:rPr>
        <w:t>.</w:t>
      </w:r>
      <w:r w:rsidR="00972FA4">
        <w:t xml:space="preserve"> </w:t>
      </w:r>
      <w:r w:rsidR="000019CB">
        <w:t xml:space="preserve">An ECM </w:t>
      </w:r>
      <w:r w:rsidR="000C7788">
        <w:t>will reduce energy consumption by approximately</w:t>
      </w:r>
      <w:r w:rsidR="00972FA4" w:rsidRPr="00577E21">
        <w:t>0%</w:t>
      </w:r>
      <w:r w:rsidR="00972FA4">
        <w:t xml:space="preserve"> </w:t>
      </w:r>
      <w:r w:rsidR="00972FA4" w:rsidRPr="00577E21">
        <w:t xml:space="preserve">compared to a </w:t>
      </w:r>
      <w:r w:rsidR="00972FA4">
        <w:t xml:space="preserve">non-regulated, inefficient </w:t>
      </w:r>
      <w:r w:rsidR="00972FA4" w:rsidRPr="00577E21">
        <w:t>induction type of motor.</w:t>
      </w:r>
    </w:p>
    <w:p w14:paraId="267D5D73" w14:textId="0036296F" w:rsidR="00972FA4" w:rsidRPr="00577E21" w:rsidRDefault="00917F14" w:rsidP="00C41F87">
      <w:pPr>
        <w:pStyle w:val="eTRMBulletedText"/>
        <w:rPr>
          <w:i/>
        </w:rPr>
      </w:pPr>
      <w:r>
        <w:rPr>
          <w:b/>
        </w:rPr>
        <w:lastRenderedPageBreak/>
        <w:t>Variable Frequency Drive (VFD)</w:t>
      </w:r>
      <w:r w:rsidR="000019CB">
        <w:t>.</w:t>
      </w:r>
      <w:r w:rsidR="00972FA4" w:rsidRPr="00577E21">
        <w:t xml:space="preserve"> Many utilities</w:t>
      </w:r>
      <w:r>
        <w:t>,</w:t>
      </w:r>
      <w:r w:rsidR="00972FA4">
        <w:t xml:space="preserve"> such as Pacific Gas &amp; Electric and Southern California Edison</w:t>
      </w:r>
      <w:r w:rsidR="00972FA4" w:rsidRPr="00577E21">
        <w:t xml:space="preserve"> </w:t>
      </w:r>
      <w:r w:rsidR="00972FA4">
        <w:t>recognize</w:t>
      </w:r>
      <w:r w:rsidR="00972FA4" w:rsidRPr="00577E21">
        <w:t xml:space="preserve"> the energy savings potential that VFDs offer in pumping systems </w:t>
      </w:r>
      <w:r>
        <w:t>and have</w:t>
      </w:r>
      <w:r w:rsidR="00972FA4" w:rsidRPr="00577E21">
        <w:t xml:space="preserve"> </w:t>
      </w:r>
      <w:r>
        <w:t>included the technology in their energy efficiency program portfolios</w:t>
      </w:r>
      <w:r w:rsidR="00972FA4" w:rsidRPr="00577E21">
        <w:t xml:space="preserve">. However, </w:t>
      </w:r>
      <w:r w:rsidR="00972FA4">
        <w:t xml:space="preserve">end-users </w:t>
      </w:r>
      <w:r>
        <w:t xml:space="preserve">often </w:t>
      </w:r>
      <w:r w:rsidR="00972FA4">
        <w:t xml:space="preserve">will only apply for these incentives for </w:t>
      </w:r>
      <w:r w:rsidR="00972FA4" w:rsidRPr="00577E21">
        <w:t xml:space="preserve">larger </w:t>
      </w:r>
      <w:r w:rsidR="00972FA4">
        <w:t xml:space="preserve">horsepower </w:t>
      </w:r>
      <w:r w:rsidR="00972FA4" w:rsidRPr="00577E21">
        <w:t>systems</w:t>
      </w:r>
      <w:r w:rsidR="00972FA4">
        <w:t xml:space="preserve">, typically greater than 25 </w:t>
      </w:r>
      <w:r>
        <w:t>hp</w:t>
      </w:r>
      <w:r w:rsidR="00972FA4">
        <w:t xml:space="preserve">, because of the small incentive amount or </w:t>
      </w:r>
      <w:r>
        <w:t xml:space="preserve">prohibitive </w:t>
      </w:r>
      <w:r w:rsidR="00972FA4">
        <w:t>cost</w:t>
      </w:r>
      <w:r w:rsidR="00972FA4" w:rsidRPr="00577E21">
        <w:t xml:space="preserve">. </w:t>
      </w:r>
      <w:r>
        <w:t xml:space="preserve">The </w:t>
      </w:r>
      <w:r w:rsidR="00972FA4">
        <w:t xml:space="preserve">HPC </w:t>
      </w:r>
      <w:r>
        <w:t>p</w:t>
      </w:r>
      <w:r w:rsidR="00972FA4">
        <w:t>ump</w:t>
      </w:r>
      <w:r w:rsidR="00972FA4" w:rsidRPr="00577E21">
        <w:t xml:space="preserve"> technology </w:t>
      </w:r>
      <w:r w:rsidR="00972FA4">
        <w:t>extends</w:t>
      </w:r>
      <w:r w:rsidR="00972FA4" w:rsidRPr="00577E21">
        <w:t xml:space="preserve"> the energy saving</w:t>
      </w:r>
      <w:r w:rsidR="00972FA4">
        <w:t xml:space="preserve"> opportunity</w:t>
      </w:r>
      <w:r w:rsidR="00972FA4" w:rsidRPr="00577E21">
        <w:t xml:space="preserve"> of VFD</w:t>
      </w:r>
      <w:r w:rsidR="00972FA4">
        <w:t>s</w:t>
      </w:r>
      <w:r w:rsidR="00972FA4" w:rsidRPr="00577E21">
        <w:t xml:space="preserve"> to the fractional </w:t>
      </w:r>
      <w:r>
        <w:t>horsepower</w:t>
      </w:r>
      <w:r w:rsidR="00972FA4" w:rsidRPr="00577E21">
        <w:t xml:space="preserve"> realm</w:t>
      </w:r>
      <w:r w:rsidR="00972FA4">
        <w:t>,</w:t>
      </w:r>
      <w:r w:rsidR="00972FA4" w:rsidRPr="00577E21">
        <w:t xml:space="preserve"> which has previously been overlooked.</w:t>
      </w:r>
    </w:p>
    <w:p w14:paraId="3276DCE5" w14:textId="0CE38029" w:rsidR="00972FA4" w:rsidRPr="003A64CD" w:rsidRDefault="00972FA4" w:rsidP="00C41F87">
      <w:pPr>
        <w:pStyle w:val="eTRMBulletedText"/>
        <w:rPr>
          <w:i/>
        </w:rPr>
      </w:pPr>
      <w:r w:rsidRPr="00917F14">
        <w:rPr>
          <w:b/>
        </w:rPr>
        <w:t>Controlling Logic</w:t>
      </w:r>
      <w:r w:rsidR="000019CB">
        <w:rPr>
          <w:b/>
        </w:rPr>
        <w:t>.</w:t>
      </w:r>
      <w:r w:rsidRPr="00577E21">
        <w:t xml:space="preserve"> The </w:t>
      </w:r>
      <w:r>
        <w:t>inclusion</w:t>
      </w:r>
      <w:r w:rsidRPr="00577E21">
        <w:t xml:space="preserve"> of controlling logic offers additional energy savings by allowing the pump to only consume as much energy as is need</w:t>
      </w:r>
      <w:r>
        <w:t>ed</w:t>
      </w:r>
      <w:r w:rsidRPr="00577E21">
        <w:t xml:space="preserve"> to perform the duty</w:t>
      </w:r>
      <w:r>
        <w:t xml:space="preserve"> the system requires.  </w:t>
      </w:r>
      <w:r w:rsidR="00F229B6">
        <w:t>A VFD enables the</w:t>
      </w:r>
      <w:r w:rsidRPr="00577E21">
        <w:t xml:space="preserve"> </w:t>
      </w:r>
      <w:r w:rsidR="00F229B6">
        <w:t xml:space="preserve">HPC pump </w:t>
      </w:r>
      <w:r w:rsidR="00F229B6" w:rsidRPr="00577E21">
        <w:t xml:space="preserve">to </w:t>
      </w:r>
      <w:r w:rsidRPr="00577E21">
        <w:t>speed up and slow down according to</w:t>
      </w:r>
      <w:r>
        <w:t xml:space="preserve"> needs of the system</w:t>
      </w:r>
      <w:r w:rsidRPr="00577E21">
        <w:t xml:space="preserve">, </w:t>
      </w:r>
      <w:r>
        <w:t>resulting in higher energy savings</w:t>
      </w:r>
      <w:r w:rsidRPr="00577E21">
        <w:t>. The Grundfos Alpha 15-55 controlling logic utilizes an operational mode called "</w:t>
      </w:r>
      <w:proofErr w:type="spellStart"/>
      <w:r w:rsidRPr="00577E21">
        <w:t>AutoAdapt</w:t>
      </w:r>
      <w:proofErr w:type="spellEnd"/>
      <w:r w:rsidRPr="00577E21">
        <w:t xml:space="preserve">" where the pump will measure </w:t>
      </w:r>
      <w:r>
        <w:t>input current into the ECM driver</w:t>
      </w:r>
      <w:r w:rsidRPr="00577E21">
        <w:t xml:space="preserve"> to detect </w:t>
      </w:r>
      <w:r>
        <w:t>changes in the system pressure</w:t>
      </w:r>
      <w:r w:rsidRPr="00577E21">
        <w:t xml:space="preserve"> (i.e. hot water demand) and </w:t>
      </w:r>
      <w:r>
        <w:t>adjust flow rates accordingly</w:t>
      </w:r>
      <w:r w:rsidRPr="00577E21">
        <w:t xml:space="preserve">. The logic allows the pump to operate along a system specific proportional pressure curve </w:t>
      </w:r>
      <w:r>
        <w:t>closely mirroring</w:t>
      </w:r>
      <w:r w:rsidRPr="00577E21">
        <w:t xml:space="preserve"> the specific system curve into which the pump is installed</w:t>
      </w:r>
      <w:r>
        <w:t>.</w:t>
      </w:r>
      <w:r w:rsidRPr="00577E21">
        <w:t xml:space="preserve"> </w:t>
      </w:r>
      <w:r>
        <w:t xml:space="preserve">This is done first by measuring time-weighted external inputs (current, flow across pump, pressure drop across pump) to identify current operating conditions and power draw in the system. These actual operating conditions are compared with built-in knowledge of optimized proportional pressure curves to determine the operating point and proportional pressure curve </w:t>
      </w:r>
      <w:r w:rsidRPr="003A64CD">
        <w:t>that uses the least amount of power while sustaining enough flow and head to operate effectively</w:t>
      </w:r>
      <w:r w:rsidR="00F229B6">
        <w:t>.</w:t>
      </w:r>
      <w:r w:rsidRPr="003A64CD">
        <w:rPr>
          <w:rStyle w:val="FootnoteReference"/>
          <w:rFonts w:cs="Arial"/>
          <w:sz w:val="20"/>
          <w:szCs w:val="20"/>
        </w:rPr>
        <w:footnoteReference w:id="1"/>
      </w:r>
      <w:r w:rsidRPr="003A64CD">
        <w:t xml:space="preserve"> </w:t>
      </w:r>
      <w:r>
        <w:t>A</w:t>
      </w:r>
      <w:r w:rsidRPr="00577E21">
        <w:t>ll without end user interaction.</w:t>
      </w:r>
      <w:r>
        <w:t xml:space="preserve"> </w:t>
      </w:r>
    </w:p>
    <w:p w14:paraId="0CDDB6AE" w14:textId="407E6464" w:rsidR="00EF29C6" w:rsidRPr="00D77056" w:rsidRDefault="00F229B6" w:rsidP="00F229B6">
      <w:r>
        <w:t>Additionally, t</w:t>
      </w:r>
      <w:r w:rsidR="00EF29C6">
        <w:t>he “right-sizing” ability of an HPC</w:t>
      </w:r>
      <w:r>
        <w:t xml:space="preserve"> pump</w:t>
      </w:r>
      <w:r w:rsidR="00EF29C6">
        <w:t xml:space="preserve"> </w:t>
      </w:r>
      <w:r w:rsidR="009D5AAD">
        <w:t>offers</w:t>
      </w:r>
      <w:r w:rsidR="00EF29C6">
        <w:t xml:space="preserve"> a tremendous energy savings advantage over the market standard. This </w:t>
      </w:r>
      <w:r>
        <w:t>measure</w:t>
      </w:r>
      <w:r w:rsidR="00EF29C6">
        <w:t xml:space="preserve"> targets </w:t>
      </w:r>
      <w:r w:rsidR="009D5AAD">
        <w:t>normal replacement</w:t>
      </w:r>
      <w:r w:rsidR="00EF29C6">
        <w:t xml:space="preserve"> applications </w:t>
      </w:r>
      <w:r>
        <w:t>for which</w:t>
      </w:r>
      <w:r w:rsidR="00EF29C6">
        <w:t xml:space="preserve"> a contractor </w:t>
      </w:r>
      <w:r w:rsidR="009D5AAD">
        <w:t>will replace</w:t>
      </w:r>
      <w:r w:rsidR="00EF29C6">
        <w:t xml:space="preserve"> a pump </w:t>
      </w:r>
      <w:r w:rsidR="009D5AAD">
        <w:t>at</w:t>
      </w:r>
      <w:r w:rsidR="00EF29C6">
        <w:t xml:space="preserve"> the end of its useful life. </w:t>
      </w:r>
      <w:r>
        <w:t>Typically, a</w:t>
      </w:r>
      <w:r w:rsidR="00EF29C6" w:rsidRPr="00D77056">
        <w:t xml:space="preserve"> contractor </w:t>
      </w:r>
      <w:r>
        <w:t>will</w:t>
      </w:r>
      <w:r w:rsidR="00EF29C6" w:rsidRPr="00D77056">
        <w:t xml:space="preserve"> replace the old pump with the current version of the new pump (</w:t>
      </w:r>
      <w:r w:rsidR="00F56DFB" w:rsidRPr="00D77056">
        <w:t>considering</w:t>
      </w:r>
      <w:r w:rsidR="00EF29C6" w:rsidRPr="00D77056">
        <w:t xml:space="preserve"> the </w:t>
      </w:r>
      <w:r>
        <w:t>horsepower</w:t>
      </w:r>
      <w:r w:rsidR="00EF29C6" w:rsidRPr="00D77056">
        <w:t xml:space="preserve"> or wattage rating as the only sizing parameter). </w:t>
      </w:r>
      <w:r>
        <w:t xml:space="preserve">Moreover, </w:t>
      </w:r>
      <w:r w:rsidR="00EF29C6" w:rsidRPr="00D77056">
        <w:t xml:space="preserve">if </w:t>
      </w:r>
      <w:r>
        <w:t>the old</w:t>
      </w:r>
      <w:r w:rsidR="00EF29C6" w:rsidRPr="00D77056">
        <w:t xml:space="preserve"> pump </w:t>
      </w:r>
      <w:r w:rsidR="009D5AAD">
        <w:t>was</w:t>
      </w:r>
      <w:r w:rsidR="00EF29C6" w:rsidRPr="00D77056">
        <w:t xml:space="preserve"> oversized</w:t>
      </w:r>
      <w:r>
        <w:t xml:space="preserve">, the replacement will also likely be </w:t>
      </w:r>
      <w:r w:rsidR="00EF29C6" w:rsidRPr="00D77056">
        <w:t>oversized</w:t>
      </w:r>
      <w:r>
        <w:t>.</w:t>
      </w:r>
      <w:r w:rsidR="00EF29C6" w:rsidRPr="00D77056">
        <w:t xml:space="preserve"> </w:t>
      </w:r>
      <w:r>
        <w:t>I</w:t>
      </w:r>
      <w:r w:rsidR="00EF29C6" w:rsidRPr="00D77056">
        <w:t>n a retrofit application the contractor does not have access to the information needed to properly size the “right-sized” circulator pump</w:t>
      </w:r>
      <w:r>
        <w:t xml:space="preserve">: </w:t>
      </w:r>
      <w:r w:rsidR="00EF29C6" w:rsidRPr="00D77056">
        <w:t>the length and diameter of the pipe used in the piping system as well as the number of valves and fittings in the system</w:t>
      </w:r>
      <w:r>
        <w:t xml:space="preserve"> are not accessible</w:t>
      </w:r>
      <w:r w:rsidR="00EF29C6" w:rsidRPr="00D77056">
        <w:t xml:space="preserve"> as the walls in which these pumps are installed are covered with sheetrock. </w:t>
      </w:r>
      <w:r>
        <w:t>To</w:t>
      </w:r>
      <w:r w:rsidR="00EF29C6" w:rsidRPr="00D77056">
        <w:t xml:space="preserve"> accurately “right-size” the pump, the contractor will need to remove sheetrock and/or enter the crawl space or attic which is not practical for contractors to do. </w:t>
      </w:r>
      <w:r w:rsidR="009D5AAD">
        <w:t>As such, t</w:t>
      </w:r>
      <w:r w:rsidR="00EF29C6" w:rsidRPr="00D77056">
        <w:t>he “right-sizing” HPC</w:t>
      </w:r>
      <w:r>
        <w:t xml:space="preserve"> pump</w:t>
      </w:r>
      <w:r w:rsidR="00EF29C6" w:rsidRPr="00D77056">
        <w:t xml:space="preserve"> presents the best opportunity for wide-spread market adoption.   </w:t>
      </w:r>
    </w:p>
    <w:p w14:paraId="5E4B5C5B" w14:textId="3D97B033" w:rsidR="009D5AAD" w:rsidRDefault="009156B2" w:rsidP="009D5AAD">
      <w:r>
        <w:t>A</w:t>
      </w:r>
      <w:r w:rsidR="009D5AAD">
        <w:t xml:space="preserve"> variety of manufacturers produce pumps that comply with the measure case specification. At the time of this measure analysis, approximately 519 wholesale distribution locations throughout California sell these pumps.</w:t>
      </w:r>
    </w:p>
    <w:p w14:paraId="16E7A4E8" w14:textId="77777777" w:rsidR="000F146D" w:rsidRDefault="000F146D" w:rsidP="000F146D"/>
    <w:p w14:paraId="5AF18021" w14:textId="77777777" w:rsidR="007D230B" w:rsidRPr="004B06E3" w:rsidRDefault="007D230B" w:rsidP="00462BB6">
      <w:pPr>
        <w:pStyle w:val="eTRMHeading3"/>
      </w:pPr>
      <w:bookmarkStart w:id="9" w:name="_Toc486490848"/>
      <w:bookmarkStart w:id="10" w:name="_Toc486580919"/>
      <w:bookmarkStart w:id="11" w:name="_Toc2251825"/>
      <w:r w:rsidRPr="004B06E3">
        <w:t>Measure Case Description</w:t>
      </w:r>
      <w:bookmarkEnd w:id="9"/>
      <w:bookmarkEnd w:id="10"/>
      <w:bookmarkEnd w:id="11"/>
    </w:p>
    <w:p w14:paraId="7340581D" w14:textId="34BCFDBA" w:rsidR="002942B0" w:rsidRPr="00972FA4" w:rsidRDefault="000019CB" w:rsidP="00CA66EC">
      <w:pPr>
        <w:rPr>
          <w:b/>
        </w:rPr>
      </w:pPr>
      <w:r>
        <w:t>This measure is defined as a</w:t>
      </w:r>
      <w:r w:rsidR="00F67E87">
        <w:t xml:space="preserve"> h</w:t>
      </w:r>
      <w:r w:rsidR="00F67E87" w:rsidRPr="00FF5C40">
        <w:t>igh</w:t>
      </w:r>
      <w:r w:rsidR="00F67E87">
        <w:t xml:space="preserve">-performance circulator </w:t>
      </w:r>
      <w:r w:rsidR="00F67E87" w:rsidRPr="00FF5C40">
        <w:t>(HPC)</w:t>
      </w:r>
      <w:r w:rsidR="00F67E87">
        <w:t xml:space="preserve"> pump</w:t>
      </w:r>
      <w:r>
        <w:t xml:space="preserve"> which i</w:t>
      </w:r>
      <w:r w:rsidR="00164EF4">
        <w:t>s a p</w:t>
      </w:r>
      <w:r w:rsidR="008F5D95" w:rsidRPr="00B85E1F">
        <w:t xml:space="preserve">roperly sized, high-efficiency ECM pump for domestic </w:t>
      </w:r>
      <w:r w:rsidR="008F5D95">
        <w:t>hot water</w:t>
      </w:r>
      <w:r w:rsidR="008F5D95" w:rsidRPr="00B85E1F">
        <w:t xml:space="preserve"> </w:t>
      </w:r>
      <w:r w:rsidR="002375AE">
        <w:t xml:space="preserve">(DHW) </w:t>
      </w:r>
      <w:r w:rsidR="008F5D95">
        <w:t>re</w:t>
      </w:r>
      <w:r w:rsidR="008F5D95" w:rsidRPr="00B85E1F">
        <w:t xml:space="preserve">circulation with variable speed </w:t>
      </w:r>
      <w:r w:rsidR="008F5D95">
        <w:t xml:space="preserve">controls </w:t>
      </w:r>
      <w:r w:rsidR="008F5D95" w:rsidRPr="00B85E1F">
        <w:t xml:space="preserve">to </w:t>
      </w:r>
      <w:r w:rsidR="002375AE">
        <w:lastRenderedPageBreak/>
        <w:t>accommodate</w:t>
      </w:r>
      <w:r w:rsidR="008F5D95" w:rsidRPr="00B85E1F">
        <w:t xml:space="preserve"> demand.</w:t>
      </w:r>
      <w:r w:rsidR="008F5D95">
        <w:t xml:space="preserve"> While not required, </w:t>
      </w:r>
      <w:r w:rsidR="002375AE">
        <w:t>the</w:t>
      </w:r>
      <w:r w:rsidR="00F67E87">
        <w:t xml:space="preserve"> HPC</w:t>
      </w:r>
      <w:r w:rsidR="008F5D95">
        <w:t xml:space="preserve"> pump </w:t>
      </w:r>
      <w:r w:rsidR="00BC4330">
        <w:t>can</w:t>
      </w:r>
      <w:r w:rsidR="008F5D95">
        <w:t xml:space="preserve"> </w:t>
      </w:r>
      <w:r w:rsidR="00BC4330">
        <w:t>accommodate</w:t>
      </w:r>
      <w:r w:rsidR="008F5D95">
        <w:t xml:space="preserve"> external controls that limit operating hours.</w:t>
      </w:r>
      <w:r w:rsidR="008F5D95" w:rsidRPr="001B6F89">
        <w:rPr>
          <w:i/>
        </w:rPr>
        <w:t xml:space="preserve"> </w:t>
      </w:r>
    </w:p>
    <w:p w14:paraId="027C2465" w14:textId="77777777" w:rsidR="00994F74" w:rsidRPr="004B06E3" w:rsidRDefault="00994F74" w:rsidP="008F5D95"/>
    <w:p w14:paraId="21DD26B3" w14:textId="77777777" w:rsidR="00E32649" w:rsidRPr="00171BB8" w:rsidRDefault="00E32649" w:rsidP="00E32649">
      <w:pPr>
        <w:pStyle w:val="eTRMHeading3"/>
      </w:pPr>
      <w:bookmarkStart w:id="12" w:name="_Toc486490849"/>
      <w:bookmarkStart w:id="13" w:name="_Toc486580920"/>
      <w:bookmarkStart w:id="14" w:name="_Toc2251826"/>
      <w:bookmarkStart w:id="15" w:name="_Toc486490850"/>
      <w:bookmarkStart w:id="16" w:name="_Toc486580921"/>
      <w:r w:rsidRPr="004B06E3">
        <w:t>Base Case Description</w:t>
      </w:r>
      <w:bookmarkEnd w:id="12"/>
      <w:bookmarkEnd w:id="13"/>
      <w:bookmarkEnd w:id="14"/>
      <w:r w:rsidRPr="00171BB8">
        <w:t xml:space="preserve"> </w:t>
      </w:r>
    </w:p>
    <w:p w14:paraId="007A9547" w14:textId="61BFCB74" w:rsidR="00E32649" w:rsidRDefault="00F67E87" w:rsidP="008F5D95">
      <w:r>
        <w:t>The base case</w:t>
      </w:r>
      <w:r w:rsidR="000019CB">
        <w:t xml:space="preserve"> is defined as </w:t>
      </w:r>
      <w:r w:rsidR="008F5D95">
        <w:t>standard circulator</w:t>
      </w:r>
      <w:r>
        <w:t xml:space="preserve"> pump </w:t>
      </w:r>
      <w:r w:rsidR="002375AE">
        <w:t xml:space="preserve">that is </w:t>
      </w:r>
      <w:r w:rsidR="008F5D95">
        <w:t xml:space="preserve">driven by </w:t>
      </w:r>
      <w:r w:rsidR="000019CB">
        <w:t xml:space="preserve">a </w:t>
      </w:r>
      <w:r w:rsidR="008F5D95">
        <w:t xml:space="preserve">non-regulated, low-efficiency induction type motor, </w:t>
      </w:r>
      <w:r w:rsidR="002375AE">
        <w:t xml:space="preserve">that </w:t>
      </w:r>
      <w:r w:rsidR="008F5D95">
        <w:t>do</w:t>
      </w:r>
      <w:r>
        <w:t>es</w:t>
      </w:r>
      <w:r w:rsidR="008F5D95">
        <w:t xml:space="preserve"> not utilize variable frequency drives (VFD</w:t>
      </w:r>
      <w:r w:rsidR="001E7E45">
        <w:t>s</w:t>
      </w:r>
      <w:r w:rsidR="00DC6BBC">
        <w:t>) and</w:t>
      </w:r>
      <w:r w:rsidR="008F5D95">
        <w:t xml:space="preserve"> do</w:t>
      </w:r>
      <w:r>
        <w:t>es</w:t>
      </w:r>
      <w:r w:rsidR="008F5D95">
        <w:t xml:space="preserve"> not have the control capability to match demand. </w:t>
      </w:r>
      <w:r>
        <w:t>Standard</w:t>
      </w:r>
      <w:r w:rsidR="008F5D95">
        <w:t xml:space="preserve"> pumps </w:t>
      </w:r>
      <w:r w:rsidR="004C3FBD">
        <w:t xml:space="preserve">can accommodate </w:t>
      </w:r>
      <w:r w:rsidR="008F5D95">
        <w:t>external controls installed that can limit operating hours.</w:t>
      </w:r>
    </w:p>
    <w:p w14:paraId="0689BB97" w14:textId="77777777" w:rsidR="00F56DFB" w:rsidRPr="002942B0" w:rsidRDefault="00F56DFB" w:rsidP="00E32649"/>
    <w:p w14:paraId="7D9DA4A6" w14:textId="77777777" w:rsidR="007D230B" w:rsidRPr="00171BB8" w:rsidRDefault="007D230B" w:rsidP="000F146D">
      <w:pPr>
        <w:pStyle w:val="eTRMHeading3"/>
        <w:keepNext w:val="0"/>
        <w:keepLines w:val="0"/>
      </w:pPr>
      <w:bookmarkStart w:id="17" w:name="_Toc2251827"/>
      <w:r w:rsidRPr="004B06E3">
        <w:t>Code Requirements</w:t>
      </w:r>
      <w:bookmarkEnd w:id="15"/>
      <w:bookmarkEnd w:id="16"/>
      <w:bookmarkEnd w:id="17"/>
    </w:p>
    <w:p w14:paraId="77B15D50" w14:textId="6F7E806C" w:rsidR="007D230B" w:rsidRDefault="00A604ED" w:rsidP="000F146D">
      <w:r w:rsidRPr="00402A45">
        <w:rPr>
          <w:szCs w:val="22"/>
        </w:rPr>
        <w:t>This measure is not governed by either state or federal codes and standards</w:t>
      </w:r>
      <w:r>
        <w:rPr>
          <w:szCs w:val="22"/>
        </w:rPr>
        <w:t xml:space="preserve">. However, the California Building Energy Efficiency Standards </w:t>
      </w:r>
      <w:r w:rsidR="00D46FE2">
        <w:rPr>
          <w:szCs w:val="22"/>
        </w:rPr>
        <w:t>(Title 24)</w:t>
      </w:r>
      <w:r w:rsidR="0048155D">
        <w:rPr>
          <w:rStyle w:val="FootnoteReference"/>
          <w:szCs w:val="22"/>
        </w:rPr>
        <w:footnoteReference w:id="2"/>
      </w:r>
      <w:r w:rsidR="00D46FE2">
        <w:rPr>
          <w:szCs w:val="22"/>
        </w:rPr>
        <w:t xml:space="preserve"> </w:t>
      </w:r>
      <w:r>
        <w:rPr>
          <w:szCs w:val="22"/>
        </w:rPr>
        <w:t>govern new construction requirements, as noted below.</w:t>
      </w:r>
    </w:p>
    <w:p w14:paraId="7E96141F" w14:textId="515E9CDD" w:rsidR="00FD2C54" w:rsidRDefault="00FD2C54" w:rsidP="00EA057C">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154391" w:rsidRDefault="00FC77BB" w:rsidP="004F705B">
            <w:pPr>
              <w:keepNext/>
              <w:keepLines/>
              <w:spacing w:before="20" w:after="20"/>
              <w:rPr>
                <w:b/>
                <w:sz w:val="20"/>
                <w:szCs w:val="20"/>
              </w:rPr>
            </w:pPr>
            <w:r w:rsidRPr="0079498E">
              <w:rPr>
                <w:b/>
                <w:sz w:val="20"/>
              </w:rPr>
              <w:t>Code</w:t>
            </w:r>
          </w:p>
        </w:tc>
        <w:tc>
          <w:tcPr>
            <w:tcW w:w="2340" w:type="dxa"/>
            <w:shd w:val="clear" w:color="auto" w:fill="F2F2F2" w:themeFill="background1" w:themeFillShade="F2"/>
            <w:vAlign w:val="bottom"/>
          </w:tcPr>
          <w:p w14:paraId="2A51DAFB" w14:textId="77777777" w:rsidR="00FC77BB" w:rsidRPr="00154391" w:rsidRDefault="00FC77BB" w:rsidP="004F705B">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4F705B">
            <w:pPr>
              <w:keepNext/>
              <w:keepLines/>
              <w:spacing w:before="20" w:after="20"/>
              <w:jc w:val="center"/>
              <w:rPr>
                <w:b/>
                <w:sz w:val="20"/>
                <w:szCs w:val="20"/>
              </w:rPr>
            </w:pPr>
            <w:r w:rsidRPr="0079498E">
              <w:rPr>
                <w:b/>
                <w:sz w:val="20"/>
              </w:rPr>
              <w:t>Effective Date</w:t>
            </w:r>
          </w:p>
        </w:tc>
      </w:tr>
      <w:tr w:rsidR="00FC77BB" w:rsidRPr="00FB030E" w14:paraId="782F7264" w14:textId="345CFA23" w:rsidTr="00FC77BB">
        <w:trPr>
          <w:cantSplit/>
          <w:trHeight w:val="20"/>
        </w:trPr>
        <w:tc>
          <w:tcPr>
            <w:tcW w:w="4765" w:type="dxa"/>
            <w:shd w:val="clear" w:color="auto" w:fill="auto"/>
          </w:tcPr>
          <w:p w14:paraId="67BA833F" w14:textId="0FA193AE" w:rsidR="00FC77BB" w:rsidRPr="00BD6838" w:rsidRDefault="00FC77BB" w:rsidP="004F705B">
            <w:pPr>
              <w:keepNext/>
              <w:keepLines/>
              <w:spacing w:before="20" w:after="20"/>
              <w:rPr>
                <w:sz w:val="20"/>
                <w:szCs w:val="20"/>
              </w:rPr>
            </w:pPr>
            <w:r w:rsidRPr="00BD6838">
              <w:rPr>
                <w:sz w:val="20"/>
              </w:rPr>
              <w:t xml:space="preserve">CA Appliance Efficiency Regulations – Title 20 </w:t>
            </w:r>
          </w:p>
        </w:tc>
        <w:tc>
          <w:tcPr>
            <w:tcW w:w="2340" w:type="dxa"/>
            <w:shd w:val="clear" w:color="auto" w:fill="auto"/>
          </w:tcPr>
          <w:p w14:paraId="794A0264" w14:textId="591F5A7C" w:rsidR="00FC77BB" w:rsidRPr="00FB030E" w:rsidRDefault="00A0302D" w:rsidP="004F705B">
            <w:pPr>
              <w:keepNext/>
              <w:keepLines/>
              <w:spacing w:before="20" w:after="20"/>
              <w:rPr>
                <w:sz w:val="20"/>
                <w:szCs w:val="20"/>
              </w:rPr>
            </w:pPr>
            <w:r>
              <w:rPr>
                <w:sz w:val="20"/>
                <w:szCs w:val="20"/>
              </w:rPr>
              <w:t>None.</w:t>
            </w:r>
          </w:p>
        </w:tc>
        <w:tc>
          <w:tcPr>
            <w:tcW w:w="2430" w:type="dxa"/>
            <w:shd w:val="clear" w:color="auto" w:fill="auto"/>
          </w:tcPr>
          <w:p w14:paraId="274AB5DC" w14:textId="4C9D411F" w:rsidR="00FC77BB" w:rsidRPr="00FB030E" w:rsidRDefault="00A0302D" w:rsidP="004F705B">
            <w:pPr>
              <w:keepNext/>
              <w:keepLines/>
              <w:spacing w:before="20" w:after="20"/>
              <w:jc w:val="center"/>
              <w:rPr>
                <w:sz w:val="20"/>
                <w:szCs w:val="20"/>
              </w:rPr>
            </w:pPr>
            <w:r>
              <w:rPr>
                <w:sz w:val="20"/>
                <w:szCs w:val="20"/>
              </w:rPr>
              <w:t>n/a</w:t>
            </w:r>
          </w:p>
        </w:tc>
      </w:tr>
      <w:tr w:rsidR="00FC77BB" w:rsidRPr="00FB030E" w14:paraId="1238F946" w14:textId="64CC1E4E" w:rsidTr="00FC77BB">
        <w:trPr>
          <w:cantSplit/>
          <w:trHeight w:val="20"/>
        </w:trPr>
        <w:tc>
          <w:tcPr>
            <w:tcW w:w="4765" w:type="dxa"/>
            <w:shd w:val="clear" w:color="auto" w:fill="auto"/>
          </w:tcPr>
          <w:p w14:paraId="4F444C61" w14:textId="5FBC7A0E" w:rsidR="00FC77BB" w:rsidRPr="00BD6838" w:rsidRDefault="00FC77BB" w:rsidP="00FD2C54">
            <w:pPr>
              <w:keepNext/>
              <w:keepLines/>
              <w:spacing w:before="20" w:after="20"/>
              <w:rPr>
                <w:sz w:val="20"/>
                <w:szCs w:val="20"/>
              </w:rPr>
            </w:pPr>
            <w:r w:rsidRPr="00BD6838">
              <w:rPr>
                <w:sz w:val="20"/>
              </w:rPr>
              <w:t xml:space="preserve">CA Building Energy Efficiency Standards – Title 24 </w:t>
            </w:r>
            <w:r w:rsidR="0048155D">
              <w:rPr>
                <w:sz w:val="20"/>
              </w:rPr>
              <w:t>(2016)</w:t>
            </w:r>
          </w:p>
        </w:tc>
        <w:tc>
          <w:tcPr>
            <w:tcW w:w="2340" w:type="dxa"/>
            <w:shd w:val="clear" w:color="auto" w:fill="auto"/>
          </w:tcPr>
          <w:p w14:paraId="0A330E5E" w14:textId="18848211" w:rsidR="00FC77BB" w:rsidRPr="00FB030E" w:rsidRDefault="00A0302D" w:rsidP="00BA3D7D">
            <w:pPr>
              <w:keepNext/>
              <w:keepLines/>
              <w:spacing w:before="20" w:after="20"/>
              <w:rPr>
                <w:sz w:val="20"/>
                <w:szCs w:val="20"/>
              </w:rPr>
            </w:pPr>
            <w:r>
              <w:rPr>
                <w:sz w:val="20"/>
                <w:szCs w:val="20"/>
              </w:rPr>
              <w:t>None</w:t>
            </w:r>
            <w:r w:rsidR="00A604ED">
              <w:rPr>
                <w:sz w:val="20"/>
                <w:szCs w:val="20"/>
              </w:rPr>
              <w:t>.</w:t>
            </w:r>
          </w:p>
        </w:tc>
        <w:tc>
          <w:tcPr>
            <w:tcW w:w="2430" w:type="dxa"/>
            <w:shd w:val="clear" w:color="auto" w:fill="auto"/>
          </w:tcPr>
          <w:p w14:paraId="63BAD98E" w14:textId="026BB344" w:rsidR="00FC77BB" w:rsidRPr="00FB030E" w:rsidRDefault="00A604ED" w:rsidP="00BA3D7D">
            <w:pPr>
              <w:keepNext/>
              <w:keepLines/>
              <w:spacing w:before="20" w:after="20"/>
              <w:jc w:val="center"/>
              <w:rPr>
                <w:sz w:val="20"/>
                <w:szCs w:val="20"/>
              </w:rPr>
            </w:pPr>
            <w:r>
              <w:rPr>
                <w:sz w:val="20"/>
                <w:szCs w:val="20"/>
              </w:rPr>
              <w:t>n/a</w:t>
            </w:r>
          </w:p>
        </w:tc>
      </w:tr>
      <w:tr w:rsidR="00FC77BB" w:rsidRPr="00FB030E" w14:paraId="23FB50B6" w14:textId="5078B94B" w:rsidTr="00FC77BB">
        <w:trPr>
          <w:cantSplit/>
          <w:trHeight w:val="20"/>
        </w:trPr>
        <w:tc>
          <w:tcPr>
            <w:tcW w:w="4765" w:type="dxa"/>
            <w:shd w:val="clear" w:color="auto" w:fill="auto"/>
          </w:tcPr>
          <w:p w14:paraId="2EBFC05B" w14:textId="77777777" w:rsidR="00FC77BB" w:rsidRPr="00BD6838" w:rsidRDefault="00FC77BB" w:rsidP="00BA3D7D">
            <w:pPr>
              <w:keepNext/>
              <w:keepLines/>
              <w:spacing w:before="20" w:after="20"/>
              <w:rPr>
                <w:sz w:val="20"/>
                <w:szCs w:val="20"/>
              </w:rPr>
            </w:pPr>
            <w:r w:rsidRPr="00BD6838">
              <w:rPr>
                <w:sz w:val="20"/>
              </w:rPr>
              <w:t>Federal Standards</w:t>
            </w:r>
          </w:p>
        </w:tc>
        <w:tc>
          <w:tcPr>
            <w:tcW w:w="2340" w:type="dxa"/>
            <w:shd w:val="clear" w:color="auto" w:fill="auto"/>
          </w:tcPr>
          <w:p w14:paraId="0D43394E" w14:textId="3F31DD97" w:rsidR="00FC77BB" w:rsidRPr="00FB030E" w:rsidRDefault="00A604ED" w:rsidP="00BA3D7D">
            <w:pPr>
              <w:keepNext/>
              <w:keepLines/>
              <w:spacing w:before="20" w:after="20"/>
              <w:rPr>
                <w:sz w:val="20"/>
                <w:szCs w:val="20"/>
              </w:rPr>
            </w:pPr>
            <w:r>
              <w:rPr>
                <w:sz w:val="20"/>
                <w:szCs w:val="20"/>
              </w:rPr>
              <w:t xml:space="preserve">None. </w:t>
            </w:r>
          </w:p>
        </w:tc>
        <w:tc>
          <w:tcPr>
            <w:tcW w:w="2430" w:type="dxa"/>
            <w:shd w:val="clear" w:color="auto" w:fill="auto"/>
          </w:tcPr>
          <w:p w14:paraId="66FA1B6F" w14:textId="07296CBC" w:rsidR="00FC77BB" w:rsidRPr="00FB030E" w:rsidRDefault="00A604ED" w:rsidP="00BA3D7D">
            <w:pPr>
              <w:keepNext/>
              <w:keepLines/>
              <w:spacing w:before="20" w:after="20"/>
              <w:jc w:val="center"/>
              <w:rPr>
                <w:sz w:val="20"/>
                <w:szCs w:val="20"/>
              </w:rPr>
            </w:pPr>
            <w:r>
              <w:rPr>
                <w:sz w:val="20"/>
                <w:szCs w:val="20"/>
              </w:rPr>
              <w:t>n/a</w:t>
            </w:r>
          </w:p>
        </w:tc>
      </w:tr>
    </w:tbl>
    <w:p w14:paraId="0063CB1F" w14:textId="77777777" w:rsidR="0053469E" w:rsidRDefault="0053469E" w:rsidP="0053469E">
      <w:pPr>
        <w:rPr>
          <w:b/>
        </w:rPr>
      </w:pPr>
    </w:p>
    <w:p w14:paraId="42C74BE4" w14:textId="3F9D5CFE" w:rsidR="0053469E" w:rsidRPr="00950686" w:rsidRDefault="00A604ED" w:rsidP="00F56DFB">
      <w:r w:rsidRPr="00A604ED">
        <w:rPr>
          <w:b/>
        </w:rPr>
        <w:t xml:space="preserve">Title 24, </w:t>
      </w:r>
      <w:r w:rsidR="0053469E" w:rsidRPr="00A604ED">
        <w:rPr>
          <w:b/>
        </w:rPr>
        <w:t>Section 150.1(c)8</w:t>
      </w:r>
      <w:r>
        <w:rPr>
          <w:b/>
        </w:rPr>
        <w:t>.</w:t>
      </w:r>
      <w:r w:rsidR="0053469E" w:rsidRPr="00950686">
        <w:t xml:space="preserve"> For recirculation distribution systems serving individual dwelling units, only demand recirculation systems with manual control pumps (as specified in T</w:t>
      </w:r>
      <w:r>
        <w:t xml:space="preserve">itle </w:t>
      </w:r>
      <w:r w:rsidR="0053469E" w:rsidRPr="00950686">
        <w:t>24 reference appendix RA4.4.9) shall be used.</w:t>
      </w:r>
    </w:p>
    <w:p w14:paraId="7CDF5AF4" w14:textId="104B79E2" w:rsidR="0053469E" w:rsidRDefault="00A604ED" w:rsidP="00F56DFB">
      <w:r w:rsidRPr="00A604ED">
        <w:rPr>
          <w:b/>
        </w:rPr>
        <w:t xml:space="preserve">Title 24, </w:t>
      </w:r>
      <w:r w:rsidR="0053469E" w:rsidRPr="00A604ED">
        <w:rPr>
          <w:b/>
        </w:rPr>
        <w:t>Section 150.1(c)8b</w:t>
      </w:r>
      <w:r>
        <w:rPr>
          <w:b/>
        </w:rPr>
        <w:t>.</w:t>
      </w:r>
      <w:r w:rsidR="0053469E" w:rsidRPr="00950686">
        <w:t xml:space="preserve"> </w:t>
      </w:r>
      <w:r>
        <w:t>Requires</w:t>
      </w:r>
      <w:r w:rsidR="0053469E" w:rsidRPr="00950686">
        <w:t xml:space="preserve"> central-heating systems in multiple dwelling units to have a water heating recirculation loop that meets the requirements of sections 110.3(c)2 and 110.3(c)5 and is equipped with an automatic control system that controls the recirculation pump operation based on measurement of hot water demand and hot water return temperature. </w:t>
      </w:r>
    </w:p>
    <w:p w14:paraId="4441DF65" w14:textId="5F5A28ED" w:rsidR="0053469E" w:rsidRPr="00884606" w:rsidRDefault="00A604ED" w:rsidP="00F56DFB">
      <w:r w:rsidRPr="00A604ED">
        <w:rPr>
          <w:b/>
        </w:rPr>
        <w:t xml:space="preserve">Title 24, </w:t>
      </w:r>
      <w:r w:rsidR="0053469E" w:rsidRPr="00A604ED">
        <w:rPr>
          <w:b/>
        </w:rPr>
        <w:t>Section 150.2(b)1Gii</w:t>
      </w:r>
      <w:r>
        <w:t>. I</w:t>
      </w:r>
      <w:r w:rsidR="0053469E">
        <w:t xml:space="preserve">n reference to </w:t>
      </w:r>
      <w:r w:rsidR="00537374">
        <w:t xml:space="preserve">the </w:t>
      </w:r>
      <w:r w:rsidR="0053469E">
        <w:t>prescriptive approach for additions and alterations to existing low-rise residential buildings</w:t>
      </w:r>
      <w:r>
        <w:t>,</w:t>
      </w:r>
      <w:r w:rsidR="0053469E">
        <w:t xml:space="preserve"> “</w:t>
      </w:r>
      <w:r>
        <w:t>[f]</w:t>
      </w:r>
      <w:r w:rsidR="0053469E">
        <w:t xml:space="preserve">or recirculation systems, only demand recirculation systems with manual control pumps” shall be used unless a water heating system is installed that is shown to </w:t>
      </w:r>
      <w:r>
        <w:t xml:space="preserve">use </w:t>
      </w:r>
      <w:r w:rsidR="0053469E">
        <w:t>no more energy that the prescribed methods.</w:t>
      </w:r>
      <w:r>
        <w:t xml:space="preserve"> Additionally, i</w:t>
      </w:r>
      <w:r w:rsidR="0053469E">
        <w:t xml:space="preserve">f a larger replacement of the domestic hot water system is occurring that triggers </w:t>
      </w:r>
      <w:r>
        <w:t>Title 24,</w:t>
      </w:r>
      <w:r w:rsidR="0053469E">
        <w:t xml:space="preserve"> a manually controlled </w:t>
      </w:r>
      <w:r w:rsidR="00FB6050">
        <w:t>demand-based</w:t>
      </w:r>
      <w:r w:rsidR="0053469E">
        <w:t xml:space="preserve"> recirculation pump would be required. The replacement of a circulator pump is considered a “repair” and would not trigger Title 24.</w:t>
      </w:r>
      <w:r>
        <w:rPr>
          <w:rStyle w:val="FootnoteReference"/>
        </w:rPr>
        <w:footnoteReference w:id="3"/>
      </w:r>
      <w:r w:rsidR="0053469E">
        <w:t xml:space="preserve"> </w:t>
      </w:r>
    </w:p>
    <w:p w14:paraId="28A93655" w14:textId="77777777" w:rsidR="00FD2C54" w:rsidRDefault="00FD2C54" w:rsidP="0011498C"/>
    <w:p w14:paraId="1EE16D20" w14:textId="77777777" w:rsidR="007D230B" w:rsidRPr="00171BB8" w:rsidRDefault="007D230B" w:rsidP="00462BB6">
      <w:pPr>
        <w:pStyle w:val="eTRMHeading3"/>
      </w:pPr>
      <w:bookmarkStart w:id="18" w:name="_Toc486490851"/>
      <w:bookmarkStart w:id="19" w:name="_Toc486580922"/>
      <w:bookmarkStart w:id="20" w:name="_Toc2251828"/>
      <w:r w:rsidRPr="00A83458">
        <w:lastRenderedPageBreak/>
        <w:t>Normalizing</w:t>
      </w:r>
      <w:r w:rsidRPr="00171BB8">
        <w:t xml:space="preserve"> Unit</w:t>
      </w:r>
      <w:bookmarkEnd w:id="18"/>
      <w:bookmarkEnd w:id="19"/>
      <w:bookmarkEnd w:id="20"/>
    </w:p>
    <w:p w14:paraId="085E9363" w14:textId="0506DF05" w:rsidR="007D230B" w:rsidRDefault="00CF35ED" w:rsidP="00486585">
      <w:r>
        <w:t>Each</w:t>
      </w:r>
    </w:p>
    <w:p w14:paraId="0115BB45" w14:textId="77777777" w:rsidR="009C31A4" w:rsidRPr="007D230B" w:rsidRDefault="009C31A4" w:rsidP="00486585"/>
    <w:p w14:paraId="2F4904E6" w14:textId="77777777" w:rsidR="007D230B" w:rsidRPr="004B06E3" w:rsidRDefault="007D230B" w:rsidP="002375AE">
      <w:pPr>
        <w:pStyle w:val="eTRMHeading3"/>
        <w:keepNext w:val="0"/>
        <w:keepLines w:val="0"/>
      </w:pPr>
      <w:bookmarkStart w:id="21" w:name="_Toc486490852"/>
      <w:bookmarkStart w:id="22" w:name="_Toc486580923"/>
      <w:bookmarkStart w:id="23" w:name="_Toc2251829"/>
      <w:r w:rsidRPr="004B06E3">
        <w:t>Program Requirements</w:t>
      </w:r>
      <w:bookmarkEnd w:id="21"/>
      <w:bookmarkEnd w:id="22"/>
      <w:bookmarkEnd w:id="23"/>
      <w:r w:rsidRPr="004B06E3">
        <w:t xml:space="preserve"> </w:t>
      </w:r>
    </w:p>
    <w:p w14:paraId="3D782A32" w14:textId="77777777" w:rsidR="002375AE" w:rsidRDefault="002375AE" w:rsidP="002375AE">
      <w:pPr>
        <w:pStyle w:val="eTRMHeading5"/>
        <w:keepNext/>
        <w:keepLines/>
      </w:pPr>
      <w:bookmarkStart w:id="24" w:name="_Hlk516047641"/>
      <w:r>
        <w:t>Measure Implementation Eligibility</w:t>
      </w:r>
    </w:p>
    <w:p w14:paraId="45F7865F" w14:textId="77777777" w:rsidR="002375AE" w:rsidRDefault="002375AE" w:rsidP="002375AE">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43EACBEB" w14:textId="77777777" w:rsidR="002375AE" w:rsidRPr="00CC4643" w:rsidRDefault="002375AE" w:rsidP="002375AE">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62AD3A75" w14:textId="5772D085" w:rsidR="000F0695" w:rsidRDefault="000F0695" w:rsidP="002375AE">
      <w:pPr>
        <w:pStyle w:val="Caption"/>
        <w:keepNext w:val="0"/>
        <w:keepLines w:val="0"/>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0F0695" w:rsidRPr="00A47168" w14:paraId="79B0DC10" w14:textId="77777777" w:rsidTr="003B63FD">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AA87851" w14:textId="77777777" w:rsidR="000F0695" w:rsidRPr="00A47168" w:rsidRDefault="000F0695" w:rsidP="002375AE">
            <w:pPr>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1C1C7ECA" w14:textId="77777777" w:rsidR="000F0695" w:rsidRPr="00A47168" w:rsidRDefault="000F0695" w:rsidP="002375AE">
            <w:pPr>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C38CA2D" w14:textId="77777777" w:rsidR="000F0695" w:rsidRPr="00A47168" w:rsidRDefault="000F0695" w:rsidP="002375AE">
            <w:pPr>
              <w:spacing w:before="0" w:after="0"/>
              <w:rPr>
                <w:b/>
                <w:bCs/>
                <w:sz w:val="20"/>
              </w:rPr>
            </w:pPr>
            <w:r w:rsidRPr="00A47168">
              <w:rPr>
                <w:b/>
                <w:bCs/>
                <w:sz w:val="20"/>
              </w:rPr>
              <w:t>Sector</w:t>
            </w:r>
          </w:p>
        </w:tc>
      </w:tr>
      <w:tr w:rsidR="000F0695" w:rsidRPr="00A47168" w14:paraId="23E7ADB3" w14:textId="77777777" w:rsidTr="003B63FD">
        <w:trPr>
          <w:trHeight w:val="290"/>
        </w:trPr>
        <w:tc>
          <w:tcPr>
            <w:tcW w:w="3024" w:type="dxa"/>
            <w:noWrap/>
            <w:tcMar>
              <w:top w:w="0" w:type="dxa"/>
              <w:left w:w="108" w:type="dxa"/>
              <w:bottom w:w="0" w:type="dxa"/>
              <w:right w:w="108" w:type="dxa"/>
            </w:tcMar>
            <w:vAlign w:val="bottom"/>
          </w:tcPr>
          <w:p w14:paraId="10F7491A" w14:textId="657BF4F5" w:rsidR="000F0695" w:rsidRPr="00A47168" w:rsidRDefault="003A32FD" w:rsidP="002375AE">
            <w:pPr>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79BC2483" w14:textId="4122C668" w:rsidR="000F0695" w:rsidRPr="00A47168" w:rsidRDefault="003A32FD" w:rsidP="002375AE">
            <w:pPr>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41D1AD07" w14:textId="2A9BD9A9" w:rsidR="000F0695" w:rsidRPr="00A47168" w:rsidRDefault="002375AE" w:rsidP="002375AE">
            <w:pPr>
              <w:spacing w:before="0" w:after="0"/>
              <w:rPr>
                <w:color w:val="000000"/>
                <w:sz w:val="20"/>
              </w:rPr>
            </w:pPr>
            <w:r>
              <w:rPr>
                <w:color w:val="000000"/>
                <w:sz w:val="20"/>
              </w:rPr>
              <w:t>Res</w:t>
            </w:r>
          </w:p>
        </w:tc>
      </w:tr>
      <w:tr w:rsidR="004D26D0" w:rsidRPr="00A47168" w14:paraId="29180DF0" w14:textId="77777777" w:rsidTr="003B63FD">
        <w:trPr>
          <w:trHeight w:val="290"/>
        </w:trPr>
        <w:tc>
          <w:tcPr>
            <w:tcW w:w="3024" w:type="dxa"/>
            <w:noWrap/>
            <w:tcMar>
              <w:top w:w="0" w:type="dxa"/>
              <w:left w:w="108" w:type="dxa"/>
              <w:bottom w:w="0" w:type="dxa"/>
              <w:right w:w="108" w:type="dxa"/>
            </w:tcMar>
            <w:vAlign w:val="bottom"/>
          </w:tcPr>
          <w:p w14:paraId="51611A52" w14:textId="2F3DEB2B" w:rsidR="004D26D0" w:rsidRDefault="004D26D0" w:rsidP="004D26D0">
            <w:pPr>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153BAC7C" w14:textId="3033E45F" w:rsidR="004D26D0" w:rsidRDefault="004D26D0" w:rsidP="004D26D0">
            <w:pPr>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2D54CBB8" w14:textId="59433FA3" w:rsidR="004D26D0" w:rsidRDefault="004D26D0" w:rsidP="004D26D0">
            <w:pPr>
              <w:spacing w:before="0" w:after="0"/>
              <w:rPr>
                <w:color w:val="000000"/>
                <w:sz w:val="20"/>
              </w:rPr>
            </w:pPr>
            <w:r>
              <w:rPr>
                <w:color w:val="000000"/>
                <w:sz w:val="20"/>
              </w:rPr>
              <w:t>Res</w:t>
            </w:r>
          </w:p>
        </w:tc>
      </w:tr>
      <w:tr w:rsidR="004D26D0" w:rsidRPr="00A47168" w14:paraId="28E3E97F" w14:textId="77777777" w:rsidTr="003B63FD">
        <w:trPr>
          <w:trHeight w:val="290"/>
        </w:trPr>
        <w:tc>
          <w:tcPr>
            <w:tcW w:w="3024" w:type="dxa"/>
            <w:noWrap/>
            <w:tcMar>
              <w:top w:w="0" w:type="dxa"/>
              <w:left w:w="108" w:type="dxa"/>
              <w:bottom w:w="0" w:type="dxa"/>
              <w:right w:w="108" w:type="dxa"/>
            </w:tcMar>
            <w:vAlign w:val="bottom"/>
          </w:tcPr>
          <w:p w14:paraId="54956427" w14:textId="115A20D4" w:rsidR="004D26D0" w:rsidRDefault="004D26D0" w:rsidP="004D26D0">
            <w:pPr>
              <w:spacing w:before="0" w:after="0"/>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02300809" w14:textId="2D92A021" w:rsidR="004D26D0" w:rsidRDefault="004D26D0" w:rsidP="004D26D0">
            <w:pPr>
              <w:spacing w:before="0" w:after="0"/>
              <w:rPr>
                <w:color w:val="000000"/>
                <w:sz w:val="20"/>
              </w:rPr>
            </w:pPr>
            <w:proofErr w:type="spellStart"/>
            <w:r>
              <w:rPr>
                <w:color w:val="000000"/>
                <w:sz w:val="20"/>
              </w:rPr>
              <w:t>DnDeem</w:t>
            </w:r>
            <w:r w:rsidR="00131ABD">
              <w:rPr>
                <w:color w:val="000000"/>
                <w:sz w:val="20"/>
              </w:rPr>
              <w:t>e</w:t>
            </w:r>
            <w:r>
              <w:rPr>
                <w:color w:val="000000"/>
                <w:sz w:val="20"/>
              </w:rPr>
              <w:t>d</w:t>
            </w:r>
            <w:proofErr w:type="spellEnd"/>
          </w:p>
        </w:tc>
        <w:tc>
          <w:tcPr>
            <w:tcW w:w="3024" w:type="dxa"/>
            <w:noWrap/>
            <w:tcMar>
              <w:top w:w="0" w:type="dxa"/>
              <w:left w:w="108" w:type="dxa"/>
              <w:bottom w:w="0" w:type="dxa"/>
              <w:right w:w="108" w:type="dxa"/>
            </w:tcMar>
            <w:vAlign w:val="bottom"/>
          </w:tcPr>
          <w:p w14:paraId="07B0E8E9" w14:textId="03ED4867" w:rsidR="004D26D0" w:rsidRDefault="004D26D0" w:rsidP="004D26D0">
            <w:pPr>
              <w:spacing w:before="0" w:after="0"/>
              <w:rPr>
                <w:color w:val="000000"/>
                <w:sz w:val="20"/>
              </w:rPr>
            </w:pPr>
            <w:r>
              <w:rPr>
                <w:color w:val="000000"/>
                <w:sz w:val="20"/>
              </w:rPr>
              <w:t>Res</w:t>
            </w:r>
          </w:p>
        </w:tc>
      </w:tr>
      <w:tr w:rsidR="004D26D0" w:rsidRPr="00A47168" w14:paraId="3489264F" w14:textId="77777777" w:rsidTr="004D26D0">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114B183" w14:textId="60767B4E" w:rsidR="004D26D0" w:rsidRPr="00A47168" w:rsidRDefault="004D26D0" w:rsidP="003029E2">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1EAD551" w14:textId="77777777" w:rsidR="004D26D0" w:rsidRPr="00A47168" w:rsidRDefault="004D26D0" w:rsidP="003029E2">
            <w:pPr>
              <w:spacing w:before="0" w:after="0"/>
              <w:rPr>
                <w:color w:val="000000"/>
                <w:sz w:val="20"/>
              </w:rPr>
            </w:pPr>
            <w:proofErr w:type="spellStart"/>
            <w:r>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065F76" w14:textId="77777777" w:rsidR="004D26D0" w:rsidRPr="00A47168" w:rsidRDefault="004D26D0" w:rsidP="003029E2">
            <w:pPr>
              <w:spacing w:before="0" w:after="0"/>
              <w:rPr>
                <w:color w:val="000000"/>
                <w:sz w:val="20"/>
              </w:rPr>
            </w:pPr>
            <w:r>
              <w:rPr>
                <w:color w:val="000000"/>
                <w:sz w:val="20"/>
              </w:rPr>
              <w:t>Res</w:t>
            </w:r>
          </w:p>
        </w:tc>
      </w:tr>
      <w:tr w:rsidR="004D26D0" w:rsidRPr="00A47168" w14:paraId="2217588A" w14:textId="77777777" w:rsidTr="004D26D0">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C8F6285" w14:textId="6F8FAE8F" w:rsidR="004D26D0" w:rsidRDefault="004D26D0" w:rsidP="004D26D0">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3C3362B" w14:textId="77777777" w:rsidR="004D26D0" w:rsidRDefault="004D26D0" w:rsidP="004D26D0">
            <w:pPr>
              <w:spacing w:before="0" w:after="0"/>
              <w:rPr>
                <w:color w:val="000000"/>
                <w:sz w:val="20"/>
              </w:rPr>
            </w:pPr>
            <w:proofErr w:type="spellStart"/>
            <w:r>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302161F" w14:textId="77777777" w:rsidR="004D26D0" w:rsidRDefault="004D26D0" w:rsidP="004D26D0">
            <w:pPr>
              <w:spacing w:before="0" w:after="0"/>
              <w:rPr>
                <w:color w:val="000000"/>
                <w:sz w:val="20"/>
              </w:rPr>
            </w:pPr>
            <w:r>
              <w:rPr>
                <w:color w:val="000000"/>
                <w:sz w:val="20"/>
              </w:rPr>
              <w:t>Res</w:t>
            </w:r>
          </w:p>
        </w:tc>
      </w:tr>
      <w:tr w:rsidR="004D26D0" w:rsidRPr="00A47168" w14:paraId="667F3AB9" w14:textId="77777777" w:rsidTr="004D26D0">
        <w:trPr>
          <w:trHeight w:val="29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4AC5F3A" w14:textId="0F034B5E" w:rsidR="004D26D0" w:rsidRDefault="004D26D0" w:rsidP="004D26D0">
            <w:pPr>
              <w:spacing w:before="0" w:after="0"/>
              <w:rPr>
                <w:color w:val="000000"/>
                <w:sz w:val="20"/>
              </w:rPr>
            </w:pPr>
            <w:r>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3CE1DA6" w14:textId="6D15DBB7" w:rsidR="004D26D0" w:rsidRDefault="004D26D0" w:rsidP="004D26D0">
            <w:pPr>
              <w:spacing w:before="0" w:after="0"/>
              <w:rPr>
                <w:color w:val="000000"/>
                <w:sz w:val="20"/>
              </w:rPr>
            </w:pPr>
            <w:proofErr w:type="spellStart"/>
            <w:r>
              <w:rPr>
                <w:color w:val="000000"/>
                <w:sz w:val="20"/>
              </w:rPr>
              <w:t>DnDeem</w:t>
            </w:r>
            <w:r w:rsidR="00131ABD">
              <w:rPr>
                <w:color w:val="000000"/>
                <w:sz w:val="20"/>
              </w:rPr>
              <w:t>e</w:t>
            </w:r>
            <w:r>
              <w:rPr>
                <w:color w:val="000000"/>
                <w:sz w:val="20"/>
              </w:rPr>
              <w:t>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541A3B" w14:textId="77777777" w:rsidR="004D26D0" w:rsidRDefault="004D26D0" w:rsidP="004D26D0">
            <w:pPr>
              <w:spacing w:before="0" w:after="0"/>
              <w:rPr>
                <w:color w:val="000000"/>
                <w:sz w:val="20"/>
              </w:rPr>
            </w:pPr>
            <w:r>
              <w:rPr>
                <w:color w:val="000000"/>
                <w:sz w:val="20"/>
              </w:rPr>
              <w:t>Res</w:t>
            </w:r>
          </w:p>
        </w:tc>
      </w:tr>
    </w:tbl>
    <w:p w14:paraId="113C30ED" w14:textId="77777777" w:rsidR="006C2673" w:rsidRDefault="006C2673" w:rsidP="000F0695"/>
    <w:bookmarkEnd w:id="24"/>
    <w:p w14:paraId="50711562" w14:textId="0613EF1B" w:rsidR="00AA46AF" w:rsidRDefault="00196649" w:rsidP="00154391">
      <w:pPr>
        <w:pStyle w:val="eTRMHeading5"/>
      </w:pPr>
      <w:r>
        <w:t>Eligible Products</w:t>
      </w:r>
    </w:p>
    <w:p w14:paraId="41DC8BD0" w14:textId="5A1B8CB9" w:rsidR="00474E4C" w:rsidRDefault="008F5D95" w:rsidP="00CA66EC">
      <w:r>
        <w:t>T</w:t>
      </w:r>
      <w:r w:rsidR="00474E4C">
        <w:t xml:space="preserve">his measure </w:t>
      </w:r>
      <w:r w:rsidR="001C2A8A">
        <w:t>is eligible for</w:t>
      </w:r>
      <w:r w:rsidR="00474E4C">
        <w:t xml:space="preserve"> domestic hot water recirculation.</w:t>
      </w:r>
    </w:p>
    <w:p w14:paraId="4AF90B6B" w14:textId="335FD19B" w:rsidR="00972FA4" w:rsidRDefault="00131ABD" w:rsidP="00FB6050">
      <w:r>
        <w:t>A</w:t>
      </w:r>
      <w:r w:rsidR="00FB6050">
        <w:t xml:space="preserve"> b</w:t>
      </w:r>
      <w:r w:rsidR="00972FA4">
        <w:t xml:space="preserve">rass or stainless circulator pump from any manufacturer </w:t>
      </w:r>
      <w:r w:rsidR="00FB6050">
        <w:t>that meet</w:t>
      </w:r>
      <w:r>
        <w:t>s</w:t>
      </w:r>
      <w:r w:rsidR="00972FA4">
        <w:t xml:space="preserve"> the following criteria</w:t>
      </w:r>
      <w:r w:rsidR="00FB6050">
        <w:t xml:space="preserve"> </w:t>
      </w:r>
      <w:r>
        <w:t>is</w:t>
      </w:r>
      <w:r w:rsidR="00FB6050">
        <w:t xml:space="preserve"> eligible</w:t>
      </w:r>
      <w:r w:rsidR="00972FA4">
        <w:t>:</w:t>
      </w:r>
    </w:p>
    <w:p w14:paraId="4F37D26D" w14:textId="7DF8F947" w:rsidR="00972FA4" w:rsidRPr="00FB6050" w:rsidRDefault="00972FA4" w:rsidP="00C41F87">
      <w:pPr>
        <w:pStyle w:val="eTRMBulletedText"/>
      </w:pPr>
      <w:r w:rsidRPr="00FB6050">
        <w:t>Utilize</w:t>
      </w:r>
      <w:r w:rsidR="00131ABD">
        <w:t>s</w:t>
      </w:r>
      <w:r w:rsidRPr="00FB6050">
        <w:t xml:space="preserve"> an electrically-commutated motor (ECM)</w:t>
      </w:r>
    </w:p>
    <w:p w14:paraId="2B906F2C" w14:textId="26229CDF" w:rsidR="00972FA4" w:rsidRPr="00FB6050" w:rsidRDefault="00131ABD" w:rsidP="00C41F87">
      <w:pPr>
        <w:pStyle w:val="eTRMBulletedText"/>
      </w:pPr>
      <w:r>
        <w:t>Has</w:t>
      </w:r>
      <w:r w:rsidR="00972FA4" w:rsidRPr="00FB6050">
        <w:t xml:space="preserve"> an integrated variable frequency drive (VFD) </w:t>
      </w:r>
    </w:p>
    <w:p w14:paraId="5F05C113" w14:textId="3DCD0CB5" w:rsidR="00972FA4" w:rsidRPr="00FB6050" w:rsidRDefault="00131ABD" w:rsidP="00C41F87">
      <w:pPr>
        <w:pStyle w:val="eTRMBulletedText"/>
      </w:pPr>
      <w:r>
        <w:t>Has</w:t>
      </w:r>
      <w:r w:rsidR="00972FA4" w:rsidRPr="00FB6050">
        <w:t xml:space="preserve"> onboard pump controlling logic with self-optimizing programing </w:t>
      </w:r>
      <w:r w:rsidR="00F56DFB">
        <w:t>to allow</w:t>
      </w:r>
      <w:r w:rsidR="00972FA4" w:rsidRPr="00FB6050">
        <w:t xml:space="preserve"> the pump to learn and operate at the best efficiency point on the pump curve.  </w:t>
      </w:r>
    </w:p>
    <w:p w14:paraId="7ACCEACA" w14:textId="6DF2872C" w:rsidR="00972FA4" w:rsidRPr="00DB646E" w:rsidRDefault="00972FA4" w:rsidP="00CA66EC">
      <w:r w:rsidRPr="00DB646E">
        <w:t>These features must be utilized without any end user interaction</w:t>
      </w:r>
      <w:r w:rsidR="00FB6050">
        <w:t>.</w:t>
      </w:r>
    </w:p>
    <w:p w14:paraId="1D62512A" w14:textId="77777777" w:rsidR="002942B0" w:rsidRDefault="002942B0" w:rsidP="002942B0"/>
    <w:p w14:paraId="7CE938DA" w14:textId="2434378C" w:rsidR="007B6A74" w:rsidRPr="00401C43" w:rsidRDefault="007B6A74" w:rsidP="00401C43">
      <w:pPr>
        <w:pStyle w:val="eTRMHeading5"/>
      </w:pPr>
      <w:r w:rsidRPr="00401C43">
        <w:t>Eligible Building Types</w:t>
      </w:r>
      <w:r w:rsidR="00E57AAD">
        <w:t xml:space="preserve"> and Vintages</w:t>
      </w:r>
    </w:p>
    <w:p w14:paraId="517B1A07" w14:textId="2E580FD2" w:rsidR="00571D95" w:rsidRDefault="005622C9" w:rsidP="00D46FE2">
      <w:r w:rsidRPr="00043586">
        <w:t xml:space="preserve">The </w:t>
      </w:r>
      <w:r w:rsidR="00D46FE2">
        <w:t xml:space="preserve">measure is applicable for </w:t>
      </w:r>
      <w:r w:rsidR="0048155D">
        <w:t xml:space="preserve">any existing </w:t>
      </w:r>
      <w:r w:rsidR="00D46FE2">
        <w:t>single family and multifamily residence</w:t>
      </w:r>
      <w:r w:rsidR="0048155D">
        <w:t xml:space="preserve"> of any vintage</w:t>
      </w:r>
      <w:r w:rsidR="00D46FE2">
        <w:t>.</w:t>
      </w:r>
      <w:r w:rsidRPr="00043586">
        <w:t xml:space="preserve">  </w:t>
      </w:r>
    </w:p>
    <w:p w14:paraId="7AA25502" w14:textId="77777777" w:rsidR="00571D95" w:rsidRPr="00571D95" w:rsidRDefault="00571D95" w:rsidP="00571D95"/>
    <w:p w14:paraId="1A3705F3" w14:textId="4BC0985D" w:rsidR="007B6A74" w:rsidRPr="004B06E3" w:rsidRDefault="00196649" w:rsidP="00BD67CA">
      <w:pPr>
        <w:pStyle w:val="eTRMHeading5"/>
        <w:keepNext/>
        <w:keepLines/>
      </w:pPr>
      <w:r>
        <w:lastRenderedPageBreak/>
        <w:t>Eligible Climate Zones</w:t>
      </w:r>
    </w:p>
    <w:p w14:paraId="4A9FD22A" w14:textId="3505DF3C" w:rsidR="004B6780" w:rsidRDefault="004B6780" w:rsidP="00BD67CA">
      <w:pPr>
        <w:keepNext/>
        <w:keepLines/>
      </w:pPr>
      <w:r>
        <w:t xml:space="preserve">This measure is applicable </w:t>
      </w:r>
      <w:r w:rsidR="0048155D">
        <w:t>in</w:t>
      </w:r>
      <w:r>
        <w:t xml:space="preserve"> </w:t>
      </w:r>
      <w:r w:rsidR="00BE7DE8">
        <w:t>any</w:t>
      </w:r>
      <w:r>
        <w:t xml:space="preserve"> California climate zones.</w:t>
      </w:r>
    </w:p>
    <w:p w14:paraId="34FF761D" w14:textId="77777777" w:rsidR="006C41AD" w:rsidRPr="004B06E3" w:rsidRDefault="006C41AD" w:rsidP="004B06E3"/>
    <w:p w14:paraId="47630D60" w14:textId="77777777" w:rsidR="007D230B" w:rsidRPr="004B06E3" w:rsidRDefault="007D230B" w:rsidP="00462BB6">
      <w:pPr>
        <w:pStyle w:val="eTRMHeading3"/>
      </w:pPr>
      <w:bookmarkStart w:id="27" w:name="_Toc486490853"/>
      <w:bookmarkStart w:id="28" w:name="_Toc486580924"/>
      <w:bookmarkStart w:id="29" w:name="_Toc2251830"/>
      <w:r w:rsidRPr="004B06E3">
        <w:t>Program Exclusions</w:t>
      </w:r>
      <w:bookmarkEnd w:id="27"/>
      <w:bookmarkEnd w:id="28"/>
      <w:bookmarkEnd w:id="29"/>
      <w:r w:rsidRPr="004B06E3">
        <w:t xml:space="preserve"> </w:t>
      </w:r>
    </w:p>
    <w:p w14:paraId="58015471" w14:textId="727AD71E" w:rsidR="00065E54" w:rsidRDefault="00474E4C" w:rsidP="00065E54">
      <w:r>
        <w:t xml:space="preserve">This measure excludes hydronic heating applications. </w:t>
      </w:r>
    </w:p>
    <w:p w14:paraId="76A9A64F" w14:textId="77777777" w:rsidR="007B6A74" w:rsidRPr="004B06E3" w:rsidRDefault="007B6A74" w:rsidP="004B06E3"/>
    <w:p w14:paraId="655E299F" w14:textId="77777777" w:rsidR="007D230B" w:rsidRPr="004B06E3" w:rsidRDefault="007D230B" w:rsidP="00462BB6">
      <w:pPr>
        <w:pStyle w:val="eTRMHeading3"/>
      </w:pPr>
      <w:bookmarkStart w:id="30" w:name="_Toc486490854"/>
      <w:bookmarkStart w:id="31" w:name="_Toc486580925"/>
      <w:bookmarkStart w:id="32" w:name="_Toc2251831"/>
      <w:r w:rsidRPr="004B06E3">
        <w:t>Data Collection Requirements</w:t>
      </w:r>
      <w:bookmarkEnd w:id="30"/>
      <w:bookmarkEnd w:id="31"/>
      <w:bookmarkEnd w:id="32"/>
      <w:r w:rsidRPr="004B06E3">
        <w:t xml:space="preserve"> </w:t>
      </w:r>
    </w:p>
    <w:p w14:paraId="49298D4E" w14:textId="70204F88" w:rsidR="00750840" w:rsidRDefault="001C2A8A" w:rsidP="004B06E3">
      <w:r>
        <w:t>Data collection requirements are to be determined.</w:t>
      </w:r>
    </w:p>
    <w:p w14:paraId="2298119D" w14:textId="77777777" w:rsidR="001C2A8A" w:rsidRPr="004B06E3" w:rsidRDefault="001C2A8A" w:rsidP="004B06E3"/>
    <w:p w14:paraId="4891FCAB" w14:textId="77777777" w:rsidR="007D230B" w:rsidRPr="004B06E3" w:rsidRDefault="007D230B" w:rsidP="00462BB6">
      <w:pPr>
        <w:pStyle w:val="eTRMHeading3"/>
      </w:pPr>
      <w:bookmarkStart w:id="33" w:name="_Toc486490855"/>
      <w:bookmarkStart w:id="34" w:name="_Toc486580926"/>
      <w:bookmarkStart w:id="35" w:name="_Toc2251832"/>
      <w:r w:rsidRPr="004B06E3">
        <w:t>Use Category</w:t>
      </w:r>
      <w:bookmarkEnd w:id="33"/>
      <w:bookmarkEnd w:id="34"/>
      <w:bookmarkEnd w:id="35"/>
    </w:p>
    <w:p w14:paraId="13382FF9" w14:textId="1B3FA7BE" w:rsidR="004142EF" w:rsidRDefault="00C43625" w:rsidP="004B06E3">
      <w:r>
        <w:t xml:space="preserve">Service </w:t>
      </w:r>
      <w:r w:rsidR="001C2A8A">
        <w:t xml:space="preserve">&amp; domestic </w:t>
      </w:r>
      <w:r>
        <w:t xml:space="preserve">hot water </w:t>
      </w:r>
    </w:p>
    <w:p w14:paraId="58C32948" w14:textId="77777777" w:rsidR="00CF35ED" w:rsidRPr="004B06E3" w:rsidRDefault="00CF35ED" w:rsidP="004B06E3"/>
    <w:p w14:paraId="4B62D367" w14:textId="370A839E" w:rsidR="007D230B" w:rsidRPr="004B06E3" w:rsidRDefault="007D230B" w:rsidP="00462BB6">
      <w:pPr>
        <w:pStyle w:val="eTRMHeading3"/>
      </w:pPr>
      <w:bookmarkStart w:id="36" w:name="_Toc486490857"/>
      <w:bookmarkStart w:id="37" w:name="_Toc486580928"/>
      <w:bookmarkStart w:id="38" w:name="_Toc2251833"/>
      <w:r w:rsidRPr="004B06E3">
        <w:t>Electric Savings</w:t>
      </w:r>
      <w:r w:rsidR="00245AFF" w:rsidRPr="004B06E3">
        <w:t xml:space="preserve"> (</w:t>
      </w:r>
      <w:r w:rsidR="00E14349" w:rsidRPr="00F66C96">
        <w:rPr>
          <w:caps w:val="0"/>
        </w:rPr>
        <w:t>k</w:t>
      </w:r>
      <w:r w:rsidR="00245AFF" w:rsidRPr="00F66C96">
        <w:rPr>
          <w:caps w:val="0"/>
        </w:rPr>
        <w:t>Wh</w:t>
      </w:r>
      <w:r w:rsidR="00245AFF" w:rsidRPr="004B06E3">
        <w:t>)</w:t>
      </w:r>
      <w:bookmarkEnd w:id="36"/>
      <w:bookmarkEnd w:id="37"/>
      <w:bookmarkEnd w:id="38"/>
    </w:p>
    <w:p w14:paraId="4E2E8209" w14:textId="77777777" w:rsidR="00E530DE" w:rsidRDefault="001D2FA8" w:rsidP="001D2FA8">
      <w:r>
        <w:t xml:space="preserve">Fundamentally, the annual electric unit energy savings (UES) is calculated as the different between the annual unit energy consumption (UEC) of the measure case and base case pumps. </w:t>
      </w:r>
    </w:p>
    <w:p w14:paraId="004F6A7F" w14:textId="77777777" w:rsidR="00E530DE" w:rsidRPr="00315D7B" w:rsidRDefault="008C117D" w:rsidP="00E530DE">
      <w:pPr>
        <w:ind w:left="720"/>
        <w:rPr>
          <w:rFonts w:ascii="Arial" w:hAnsi="Arial" w:cs="Arial"/>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UES</m:t>
              </m:r>
            </m:e>
            <m:sub>
              <m:r>
                <w:rPr>
                  <w:rFonts w:ascii="Cambria Math" w:hAnsi="Cambria Math"/>
                  <w:sz w:val="18"/>
                  <w:szCs w:val="18"/>
                </w:rPr>
                <m:t>elec</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UEC</m:t>
              </m:r>
            </m:e>
            <m:sub>
              <m:r>
                <w:rPr>
                  <w:rFonts w:ascii="Cambria Math" w:hAnsi="Cambria Math"/>
                  <w:sz w:val="18"/>
                  <w:szCs w:val="18"/>
                </w:rPr>
                <m:t>measure</m:t>
              </m:r>
            </m:sub>
          </m:sSub>
          <m:r>
            <w:rPr>
              <w:rFonts w:ascii="Cambria Math" w:hAnsi="Cambria Math"/>
              <w:sz w:val="18"/>
              <w:szCs w:val="18"/>
            </w:rPr>
            <m:t xml:space="preserve"> </m:t>
          </m:r>
        </m:oMath>
      </m:oMathPara>
    </w:p>
    <w:p w14:paraId="404128BE" w14:textId="77777777" w:rsidR="00E530DE" w:rsidRDefault="00E530DE" w:rsidP="001D2FA8"/>
    <w:p w14:paraId="44EBCDB5" w14:textId="338D3A41" w:rsidR="001D2FA8" w:rsidRDefault="001D2FA8" w:rsidP="001D2FA8">
      <w:r>
        <w:t>The annual UEC of either the base or measure case pump is equal to the product of the power (kW) and the assumed operating hours.</w:t>
      </w:r>
      <w:r w:rsidR="00742995">
        <w:t xml:space="preserve"> The key parameters of </w:t>
      </w:r>
      <w:r w:rsidR="00E530DE">
        <w:t xml:space="preserve">this calculation are specified and </w:t>
      </w:r>
      <w:r w:rsidR="00742995">
        <w:t>explained below.</w:t>
      </w:r>
    </w:p>
    <w:p w14:paraId="34DEE915" w14:textId="20CC6D44" w:rsidR="001D2FA8" w:rsidRPr="00315D7B" w:rsidRDefault="008C117D" w:rsidP="001D2FA8">
      <w:pPr>
        <w:ind w:left="720"/>
        <w:rPr>
          <w:rFonts w:ascii="Arial" w:hAnsi="Arial" w:cs="Arial"/>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UEC</m:t>
              </m:r>
            </m:e>
            <m:sub>
              <m:r>
                <w:rPr>
                  <w:rFonts w:ascii="Cambria Math" w:hAnsi="Cambria Math"/>
                  <w:sz w:val="18"/>
                  <w:szCs w:val="18"/>
                </w:rPr>
                <m:t>elec</m:t>
              </m:r>
            </m:sub>
          </m:sSub>
          <m:r>
            <w:rPr>
              <w:rFonts w:ascii="Cambria Math" w:hAnsi="Cambria Math"/>
              <w:sz w:val="18"/>
              <w:szCs w:val="18"/>
            </w:rPr>
            <m:t xml:space="preserve">=Power(kW)×OpHours </m:t>
          </m:r>
        </m:oMath>
      </m:oMathPara>
    </w:p>
    <w:p w14:paraId="5D8D75C7" w14:textId="0D324340" w:rsidR="001D2FA8" w:rsidRDefault="001D2FA8" w:rsidP="001D2FA8"/>
    <w:p w14:paraId="2CCAEACF" w14:textId="331D3EB6" w:rsidR="008F5D95" w:rsidRDefault="00E530DE" w:rsidP="001D6F5E">
      <w:pPr>
        <w:pStyle w:val="Caption"/>
        <w:keepNext w:val="0"/>
        <w:keepLines w:val="0"/>
      </w:pPr>
      <w:r>
        <w:t>UES Inputs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5"/>
        <w:gridCol w:w="1350"/>
        <w:gridCol w:w="5310"/>
      </w:tblGrid>
      <w:tr w:rsidR="00E530DE" w:rsidRPr="00CD020C" w14:paraId="6BDA8F12" w14:textId="2595B8B4" w:rsidTr="001D6F5E">
        <w:trPr>
          <w:trHeight w:val="260"/>
          <w:tblHeader/>
        </w:trPr>
        <w:tc>
          <w:tcPr>
            <w:tcW w:w="2875" w:type="dxa"/>
            <w:shd w:val="clear" w:color="auto" w:fill="F2F2F2" w:themeFill="background1" w:themeFillShade="F2"/>
            <w:noWrap/>
            <w:vAlign w:val="bottom"/>
            <w:hideMark/>
          </w:tcPr>
          <w:p w14:paraId="129E40CE" w14:textId="12FCA416" w:rsidR="00E530DE" w:rsidRPr="00CF35ED" w:rsidRDefault="00E530DE" w:rsidP="001D6F5E">
            <w:pPr>
              <w:spacing w:before="0" w:after="0" w:line="240" w:lineRule="auto"/>
              <w:rPr>
                <w:rFonts w:eastAsia="Times New Roman" w:cs="Calibri Light"/>
                <w:b/>
                <w:sz w:val="20"/>
                <w:szCs w:val="20"/>
              </w:rPr>
            </w:pPr>
            <w:r>
              <w:rPr>
                <w:rFonts w:eastAsia="Times New Roman" w:cs="Calibri Light"/>
                <w:b/>
                <w:sz w:val="20"/>
                <w:szCs w:val="20"/>
              </w:rPr>
              <w:t>Parameter</w:t>
            </w:r>
          </w:p>
        </w:tc>
        <w:tc>
          <w:tcPr>
            <w:tcW w:w="1350" w:type="dxa"/>
            <w:shd w:val="clear" w:color="auto" w:fill="F2F2F2" w:themeFill="background1" w:themeFillShade="F2"/>
            <w:noWrap/>
            <w:vAlign w:val="bottom"/>
            <w:hideMark/>
          </w:tcPr>
          <w:p w14:paraId="283DF486" w14:textId="77777777" w:rsidR="00E530DE" w:rsidRPr="00CF35ED" w:rsidRDefault="00E530DE" w:rsidP="001D6F5E">
            <w:pPr>
              <w:spacing w:before="0" w:after="0" w:line="240" w:lineRule="auto"/>
              <w:jc w:val="center"/>
              <w:rPr>
                <w:rFonts w:eastAsia="Times New Roman" w:cs="Calibri Light"/>
                <w:b/>
                <w:sz w:val="20"/>
                <w:szCs w:val="20"/>
              </w:rPr>
            </w:pPr>
            <w:r w:rsidRPr="00CF35ED">
              <w:rPr>
                <w:rFonts w:eastAsia="Times New Roman" w:cs="Calibri Light"/>
                <w:b/>
                <w:sz w:val="20"/>
                <w:szCs w:val="20"/>
              </w:rPr>
              <w:t>Value</w:t>
            </w:r>
          </w:p>
        </w:tc>
        <w:tc>
          <w:tcPr>
            <w:tcW w:w="5310" w:type="dxa"/>
            <w:shd w:val="clear" w:color="auto" w:fill="F2F2F2" w:themeFill="background1" w:themeFillShade="F2"/>
          </w:tcPr>
          <w:p w14:paraId="7BDBA010" w14:textId="16B5CB7F" w:rsidR="00E530DE" w:rsidRPr="00CD020C" w:rsidRDefault="00E530DE" w:rsidP="001D6F5E">
            <w:pPr>
              <w:spacing w:before="0" w:after="0" w:line="240" w:lineRule="auto"/>
              <w:jc w:val="center"/>
              <w:rPr>
                <w:rFonts w:eastAsia="Times New Roman" w:cs="Calibri Light"/>
                <w:b/>
                <w:sz w:val="20"/>
                <w:szCs w:val="20"/>
              </w:rPr>
            </w:pPr>
            <w:r w:rsidRPr="00CD020C">
              <w:rPr>
                <w:rFonts w:eastAsia="Times New Roman" w:cs="Calibri Light"/>
                <w:b/>
                <w:sz w:val="20"/>
                <w:szCs w:val="20"/>
              </w:rPr>
              <w:t>Source</w:t>
            </w:r>
          </w:p>
        </w:tc>
      </w:tr>
      <w:tr w:rsidR="00E530DE" w:rsidRPr="00CF35ED" w14:paraId="78F2BD74" w14:textId="33987B60" w:rsidTr="00E530DE">
        <w:trPr>
          <w:trHeight w:val="260"/>
        </w:trPr>
        <w:tc>
          <w:tcPr>
            <w:tcW w:w="2875" w:type="dxa"/>
            <w:shd w:val="clear" w:color="auto" w:fill="auto"/>
            <w:noWrap/>
            <w:vAlign w:val="center"/>
            <w:hideMark/>
          </w:tcPr>
          <w:p w14:paraId="3AAF8FF0" w14:textId="5B3752C9" w:rsidR="00E530DE" w:rsidRPr="0057635D" w:rsidRDefault="00E530DE" w:rsidP="001D6F5E">
            <w:pPr>
              <w:spacing w:before="0" w:after="0" w:line="240" w:lineRule="auto"/>
              <w:rPr>
                <w:rFonts w:eastAsia="Times New Roman" w:cs="Calibri Light"/>
                <w:sz w:val="20"/>
                <w:szCs w:val="20"/>
              </w:rPr>
            </w:pPr>
            <w:r w:rsidRPr="0057635D">
              <w:rPr>
                <w:rFonts w:eastAsia="Times New Roman" w:cs="Calibri Light"/>
                <w:sz w:val="20"/>
                <w:szCs w:val="20"/>
              </w:rPr>
              <w:t xml:space="preserve">Base Case Power </w:t>
            </w:r>
            <w:r>
              <w:rPr>
                <w:rFonts w:eastAsia="Times New Roman" w:cs="Calibri Light"/>
                <w:sz w:val="20"/>
                <w:szCs w:val="20"/>
              </w:rPr>
              <w:t>(kW)</w:t>
            </w:r>
            <w:r>
              <w:rPr>
                <w:rFonts w:eastAsia="Times New Roman" w:cs="Calibri Light"/>
                <w:sz w:val="20"/>
                <w:szCs w:val="20"/>
              </w:rPr>
              <w:br/>
            </w:r>
            <w:r w:rsidRPr="0057635D">
              <w:rPr>
                <w:rFonts w:eastAsia="Times New Roman" w:cs="Calibri Light"/>
                <w:sz w:val="20"/>
                <w:szCs w:val="20"/>
              </w:rPr>
              <w:t>(</w:t>
            </w:r>
            <w:r w:rsidRPr="0057635D">
              <w:rPr>
                <w:rFonts w:cs="Arial"/>
                <w:sz w:val="20"/>
                <w:szCs w:val="20"/>
              </w:rPr>
              <w:t>Grundfos UP 15-29 SU/LC)</w:t>
            </w:r>
          </w:p>
        </w:tc>
        <w:tc>
          <w:tcPr>
            <w:tcW w:w="1350" w:type="dxa"/>
            <w:shd w:val="clear" w:color="auto" w:fill="auto"/>
            <w:noWrap/>
            <w:vAlign w:val="center"/>
            <w:hideMark/>
          </w:tcPr>
          <w:p w14:paraId="1BD296E0" w14:textId="77777777" w:rsidR="00E530DE" w:rsidRPr="00CF35ED" w:rsidRDefault="00E530DE" w:rsidP="001D6F5E">
            <w:pPr>
              <w:spacing w:before="0" w:after="0" w:line="240" w:lineRule="auto"/>
              <w:jc w:val="right"/>
              <w:rPr>
                <w:rFonts w:eastAsia="Times New Roman" w:cs="Calibri Light"/>
                <w:sz w:val="20"/>
                <w:szCs w:val="20"/>
              </w:rPr>
            </w:pPr>
            <w:r w:rsidRPr="00CF35ED">
              <w:rPr>
                <w:rFonts w:eastAsia="Times New Roman" w:cs="Calibri Light"/>
                <w:sz w:val="20"/>
                <w:szCs w:val="20"/>
              </w:rPr>
              <w:t>0.0842</w:t>
            </w:r>
          </w:p>
        </w:tc>
        <w:tc>
          <w:tcPr>
            <w:tcW w:w="5310" w:type="dxa"/>
            <w:shd w:val="clear" w:color="auto" w:fill="auto"/>
            <w:vAlign w:val="center"/>
          </w:tcPr>
          <w:p w14:paraId="587DB883" w14:textId="77777777" w:rsidR="00E530DE" w:rsidRPr="00A92548" w:rsidRDefault="00E530DE" w:rsidP="001D6F5E">
            <w:pPr>
              <w:spacing w:before="0" w:after="0" w:line="240" w:lineRule="auto"/>
              <w:rPr>
                <w:rFonts w:cs="Arial"/>
                <w:i/>
                <w:sz w:val="18"/>
                <w:szCs w:val="18"/>
              </w:rPr>
            </w:pPr>
            <w:r w:rsidRPr="00A92548">
              <w:rPr>
                <w:rFonts w:cs="Arial"/>
                <w:i/>
                <w:sz w:val="18"/>
                <w:szCs w:val="18"/>
              </w:rPr>
              <w:t>Derived from:</w:t>
            </w:r>
          </w:p>
          <w:p w14:paraId="7BC1EB90" w14:textId="05718442" w:rsidR="00E530DE" w:rsidRPr="00A303E4" w:rsidRDefault="00E530DE" w:rsidP="001D6F5E">
            <w:pPr>
              <w:spacing w:before="0" w:after="0" w:line="240" w:lineRule="auto"/>
              <w:rPr>
                <w:rFonts w:eastAsia="Times New Roman" w:cs="Calibri Light"/>
                <w:sz w:val="18"/>
                <w:szCs w:val="18"/>
              </w:rPr>
            </w:pPr>
            <w:proofErr w:type="spellStart"/>
            <w:r w:rsidRPr="00A303E4">
              <w:rPr>
                <w:rFonts w:eastAsia="Times New Roman" w:cs="Calibri Light"/>
                <w:sz w:val="18"/>
                <w:szCs w:val="18"/>
              </w:rPr>
              <w:t>Grunfos</w:t>
            </w:r>
            <w:proofErr w:type="spellEnd"/>
            <w:r w:rsidRPr="00A303E4">
              <w:rPr>
                <w:rFonts w:eastAsia="Times New Roman" w:cs="Calibri Light"/>
                <w:sz w:val="18"/>
                <w:szCs w:val="18"/>
              </w:rPr>
              <w:t>. 2017. “UP 15-29 SU/LC Circulator Pumps.”</w:t>
            </w:r>
          </w:p>
        </w:tc>
      </w:tr>
      <w:tr w:rsidR="00E530DE" w:rsidRPr="00CF35ED" w14:paraId="427B59E3" w14:textId="5976DD69" w:rsidTr="001D6F5E">
        <w:trPr>
          <w:cantSplit/>
          <w:trHeight w:val="260"/>
        </w:trPr>
        <w:tc>
          <w:tcPr>
            <w:tcW w:w="2875" w:type="dxa"/>
            <w:shd w:val="clear" w:color="auto" w:fill="auto"/>
            <w:noWrap/>
            <w:vAlign w:val="center"/>
            <w:hideMark/>
          </w:tcPr>
          <w:p w14:paraId="135B002F" w14:textId="5A46E27A" w:rsidR="00E530DE" w:rsidRPr="0057635D" w:rsidRDefault="00E530DE" w:rsidP="001D6F5E">
            <w:pPr>
              <w:spacing w:before="0" w:after="0" w:line="240" w:lineRule="auto"/>
              <w:rPr>
                <w:rFonts w:eastAsia="Times New Roman" w:cs="Calibri Light"/>
                <w:sz w:val="20"/>
                <w:szCs w:val="20"/>
              </w:rPr>
            </w:pPr>
            <w:r w:rsidRPr="0057635D">
              <w:rPr>
                <w:rFonts w:eastAsia="Times New Roman" w:cs="Calibri Light"/>
                <w:sz w:val="20"/>
                <w:szCs w:val="20"/>
              </w:rPr>
              <w:t xml:space="preserve">Measure Case Power </w:t>
            </w:r>
            <w:r>
              <w:rPr>
                <w:rFonts w:eastAsia="Times New Roman" w:cs="Calibri Light"/>
                <w:sz w:val="20"/>
                <w:szCs w:val="20"/>
              </w:rPr>
              <w:t>(kW)</w:t>
            </w:r>
          </w:p>
        </w:tc>
        <w:tc>
          <w:tcPr>
            <w:tcW w:w="1350" w:type="dxa"/>
            <w:shd w:val="clear" w:color="auto" w:fill="auto"/>
            <w:noWrap/>
            <w:vAlign w:val="center"/>
            <w:hideMark/>
          </w:tcPr>
          <w:p w14:paraId="3F628B00" w14:textId="77777777" w:rsidR="00E530DE" w:rsidRPr="00CF35ED" w:rsidRDefault="00E530DE" w:rsidP="001D6F5E">
            <w:pPr>
              <w:spacing w:before="0" w:after="0" w:line="240" w:lineRule="auto"/>
              <w:jc w:val="right"/>
              <w:rPr>
                <w:rFonts w:eastAsia="Times New Roman" w:cs="Calibri Light"/>
                <w:sz w:val="20"/>
                <w:szCs w:val="20"/>
              </w:rPr>
            </w:pPr>
            <w:r w:rsidRPr="00CF35ED">
              <w:rPr>
                <w:rFonts w:eastAsia="Times New Roman" w:cs="Calibri Light"/>
                <w:sz w:val="20"/>
                <w:szCs w:val="20"/>
              </w:rPr>
              <w:t>0.0267</w:t>
            </w:r>
          </w:p>
        </w:tc>
        <w:tc>
          <w:tcPr>
            <w:tcW w:w="5310" w:type="dxa"/>
            <w:shd w:val="clear" w:color="auto" w:fill="auto"/>
            <w:vAlign w:val="center"/>
          </w:tcPr>
          <w:p w14:paraId="5B6CB087" w14:textId="77777777" w:rsidR="00E530DE" w:rsidRPr="00A92548" w:rsidRDefault="00E530DE" w:rsidP="001D6F5E">
            <w:pPr>
              <w:spacing w:before="0" w:after="0" w:line="240" w:lineRule="auto"/>
              <w:rPr>
                <w:rFonts w:eastAsia="Times New Roman" w:cs="Calibri Light"/>
                <w:bCs/>
                <w:i/>
                <w:color w:val="000000"/>
                <w:sz w:val="18"/>
              </w:rPr>
            </w:pPr>
            <w:r w:rsidRPr="00A92548">
              <w:rPr>
                <w:rFonts w:eastAsia="Times New Roman" w:cs="Calibri Light"/>
                <w:bCs/>
                <w:i/>
                <w:color w:val="000000"/>
                <w:sz w:val="18"/>
              </w:rPr>
              <w:t>Derived from:</w:t>
            </w:r>
          </w:p>
          <w:p w14:paraId="4018E6C7" w14:textId="1199FC31" w:rsidR="00E530DE" w:rsidRPr="005D2DD0" w:rsidRDefault="00E530DE" w:rsidP="001D6F5E">
            <w:pPr>
              <w:spacing w:before="0" w:after="0" w:line="240" w:lineRule="auto"/>
              <w:rPr>
                <w:rFonts w:eastAsia="Times New Roman" w:cs="Calibri Light"/>
                <w:sz w:val="18"/>
                <w:szCs w:val="18"/>
                <w:highlight w:val="yellow"/>
              </w:rPr>
            </w:pPr>
            <w:r w:rsidRPr="00394AB2">
              <w:rPr>
                <w:rFonts w:eastAsia="Times New Roman" w:cs="Calibri Light"/>
                <w:bCs/>
                <w:color w:val="000000"/>
                <w:sz w:val="18"/>
              </w:rPr>
              <w:t xml:space="preserve">Pacific Gas and Electric (PG&amp;E). 2017. “Appendix 6 – Alpha Measure Field Test Documents &amp; Details.” </w:t>
            </w:r>
            <w:r w:rsidRPr="00394AB2">
              <w:rPr>
                <w:rFonts w:eastAsia="Times New Roman" w:cs="Calibri Light"/>
                <w:bCs/>
                <w:i/>
                <w:color w:val="000000"/>
                <w:sz w:val="18"/>
              </w:rPr>
              <w:t>Workpaper PGECOPUM107: High Performance Circulator (HPC) Pumps Revision #0</w:t>
            </w:r>
            <w:r w:rsidRPr="00394AB2">
              <w:rPr>
                <w:rFonts w:eastAsia="Times New Roman" w:cs="Calibri Light"/>
                <w:bCs/>
                <w:color w:val="000000"/>
                <w:sz w:val="18"/>
              </w:rPr>
              <w:t>. May 29.</w:t>
            </w:r>
          </w:p>
        </w:tc>
      </w:tr>
      <w:tr w:rsidR="00E530DE" w:rsidRPr="00CF35ED" w14:paraId="12F21E65" w14:textId="165A2DC6" w:rsidTr="00E530DE">
        <w:trPr>
          <w:trHeight w:val="260"/>
        </w:trPr>
        <w:tc>
          <w:tcPr>
            <w:tcW w:w="2875" w:type="dxa"/>
            <w:shd w:val="clear" w:color="auto" w:fill="auto"/>
            <w:noWrap/>
            <w:vAlign w:val="center"/>
            <w:hideMark/>
          </w:tcPr>
          <w:p w14:paraId="11343FF8" w14:textId="40BC644E" w:rsidR="00E530DE" w:rsidRPr="00CF35ED" w:rsidRDefault="00E530DE" w:rsidP="001D6F5E">
            <w:pPr>
              <w:spacing w:before="0" w:after="0" w:line="240" w:lineRule="auto"/>
              <w:rPr>
                <w:rFonts w:eastAsia="Times New Roman" w:cs="Calibri Light"/>
                <w:sz w:val="20"/>
                <w:szCs w:val="20"/>
              </w:rPr>
            </w:pPr>
            <w:r w:rsidRPr="00CF35ED">
              <w:rPr>
                <w:rFonts w:eastAsia="Times New Roman" w:cs="Calibri Light"/>
                <w:sz w:val="20"/>
                <w:szCs w:val="20"/>
              </w:rPr>
              <w:t>Operating Hours</w:t>
            </w:r>
            <w:r>
              <w:rPr>
                <w:rFonts w:eastAsia="Times New Roman" w:cs="Calibri Light"/>
                <w:sz w:val="20"/>
                <w:szCs w:val="20"/>
              </w:rPr>
              <w:t xml:space="preserve"> (hours/</w:t>
            </w:r>
            <w:proofErr w:type="spellStart"/>
            <w:r>
              <w:rPr>
                <w:rFonts w:eastAsia="Times New Roman" w:cs="Calibri Light"/>
                <w:sz w:val="20"/>
                <w:szCs w:val="20"/>
              </w:rPr>
              <w:t>hr</w:t>
            </w:r>
            <w:proofErr w:type="spellEnd"/>
            <w:r>
              <w:rPr>
                <w:rFonts w:eastAsia="Times New Roman" w:cs="Calibri Light"/>
                <w:sz w:val="20"/>
                <w:szCs w:val="20"/>
              </w:rPr>
              <w:t>)</w:t>
            </w:r>
          </w:p>
        </w:tc>
        <w:tc>
          <w:tcPr>
            <w:tcW w:w="1350" w:type="dxa"/>
            <w:shd w:val="clear" w:color="auto" w:fill="auto"/>
            <w:noWrap/>
            <w:vAlign w:val="center"/>
            <w:hideMark/>
          </w:tcPr>
          <w:p w14:paraId="7B5F52A3" w14:textId="0311AF9D" w:rsidR="00E530DE" w:rsidRPr="00CF35ED" w:rsidRDefault="00E530DE" w:rsidP="001D6F5E">
            <w:pPr>
              <w:spacing w:before="0" w:after="0" w:line="240" w:lineRule="auto"/>
              <w:jc w:val="right"/>
              <w:rPr>
                <w:rFonts w:eastAsia="Times New Roman" w:cs="Calibri Light"/>
                <w:sz w:val="20"/>
                <w:szCs w:val="20"/>
              </w:rPr>
            </w:pPr>
            <w:r w:rsidRPr="00CF35ED">
              <w:rPr>
                <w:rFonts w:eastAsia="Times New Roman" w:cs="Calibri Light"/>
                <w:sz w:val="20"/>
                <w:szCs w:val="20"/>
              </w:rPr>
              <w:t xml:space="preserve">5,885 </w:t>
            </w:r>
          </w:p>
        </w:tc>
        <w:tc>
          <w:tcPr>
            <w:tcW w:w="5310" w:type="dxa"/>
            <w:shd w:val="clear" w:color="auto" w:fill="auto"/>
            <w:vAlign w:val="center"/>
          </w:tcPr>
          <w:p w14:paraId="1C9AB15D" w14:textId="1E991497" w:rsidR="00E530DE" w:rsidRPr="00BD4EB5" w:rsidRDefault="00E530DE" w:rsidP="001D6F5E">
            <w:pPr>
              <w:spacing w:before="0" w:after="0" w:line="240" w:lineRule="auto"/>
              <w:rPr>
                <w:rFonts w:eastAsia="Times New Roman" w:cs="Calibri Light"/>
                <w:sz w:val="18"/>
                <w:szCs w:val="18"/>
              </w:rPr>
            </w:pPr>
            <w:r w:rsidRPr="00BD4EB5">
              <w:rPr>
                <w:sz w:val="18"/>
                <w:szCs w:val="18"/>
              </w:rPr>
              <w:t xml:space="preserve">See </w:t>
            </w:r>
            <w:r w:rsidR="00D552C9">
              <w:rPr>
                <w:sz w:val="18"/>
                <w:szCs w:val="18"/>
              </w:rPr>
              <w:t>below.</w:t>
            </w:r>
          </w:p>
        </w:tc>
      </w:tr>
    </w:tbl>
    <w:p w14:paraId="25EE4742" w14:textId="045CE29E" w:rsidR="00CF35ED" w:rsidRDefault="00CF35ED" w:rsidP="004B06E3"/>
    <w:p w14:paraId="2551F761" w14:textId="7E08933F" w:rsidR="0048155D" w:rsidRDefault="0048155D" w:rsidP="004B06E3">
      <w:r w:rsidRPr="0048155D">
        <w:rPr>
          <w:b/>
        </w:rPr>
        <w:t>Power</w:t>
      </w:r>
      <w:r>
        <w:t>. The base</w:t>
      </w:r>
      <w:r w:rsidR="00E530DE">
        <w:t>line</w:t>
      </w:r>
      <w:r>
        <w:t xml:space="preserve"> and measure case power </w:t>
      </w:r>
      <w:r w:rsidR="00E530DE">
        <w:t>represent</w:t>
      </w:r>
      <w:r>
        <w:t xml:space="preserve"> the running wattage derived from the power input of the assumed base case and measure case pumps. </w:t>
      </w:r>
    </w:p>
    <w:p w14:paraId="39A54016" w14:textId="544A3257" w:rsidR="00F56DFB" w:rsidRPr="00FC6946" w:rsidRDefault="00F56DFB" w:rsidP="00BB5AE2">
      <w:pPr>
        <w:rPr>
          <w:i/>
        </w:rPr>
      </w:pPr>
      <w:r w:rsidRPr="00F56DFB">
        <w:rPr>
          <w:b/>
        </w:rPr>
        <w:lastRenderedPageBreak/>
        <w:t>Operating Hours.</w:t>
      </w:r>
      <w:r>
        <w:rPr>
          <w:i/>
        </w:rPr>
        <w:t xml:space="preserve"> </w:t>
      </w:r>
      <w:r w:rsidR="00742995">
        <w:t>Three data</w:t>
      </w:r>
      <w:r w:rsidR="00D46FE2">
        <w:t xml:space="preserve"> sources </w:t>
      </w:r>
      <w:r w:rsidR="00971B8D">
        <w:t>were</w:t>
      </w:r>
      <w:r w:rsidR="00D46FE2">
        <w:t xml:space="preserve"> utilized t</w:t>
      </w:r>
      <w:r w:rsidRPr="00D46FE2">
        <w:t xml:space="preserve">o </w:t>
      </w:r>
      <w:r>
        <w:t xml:space="preserve">establish the </w:t>
      </w:r>
      <w:r w:rsidRPr="00FC6946">
        <w:t xml:space="preserve">operating hours </w:t>
      </w:r>
      <w:r>
        <w:t xml:space="preserve">for the </w:t>
      </w:r>
      <w:r w:rsidR="00D46FE2">
        <w:t>base</w:t>
      </w:r>
      <w:r>
        <w:t xml:space="preserve"> and measure case</w:t>
      </w:r>
      <w:r w:rsidR="00D46FE2">
        <w:t xml:space="preserve"> scenarios</w:t>
      </w:r>
      <w:r>
        <w:t xml:space="preserve"> </w:t>
      </w:r>
      <w:r w:rsidR="00D46FE2">
        <w:t>of this measure</w:t>
      </w:r>
      <w:r w:rsidR="00BB5AE2">
        <w:t>:</w:t>
      </w:r>
      <w:r w:rsidR="00971B8D">
        <w:rPr>
          <w:rStyle w:val="FootnoteReference"/>
        </w:rPr>
        <w:footnoteReference w:id="4"/>
      </w:r>
      <w:r w:rsidR="00971B8D">
        <w:t xml:space="preserve"> </w:t>
      </w:r>
      <w:r w:rsidR="00BB5AE2">
        <w:t xml:space="preserve">1) the </w:t>
      </w:r>
      <w:r>
        <w:t>California Lighting and Appliance Saturation Survey</w:t>
      </w:r>
      <w:r w:rsidR="00BB5AE2">
        <w:t xml:space="preserve"> (CLASS</w:t>
      </w:r>
      <w:r>
        <w:t>)</w:t>
      </w:r>
      <w:r w:rsidR="00BB5AE2">
        <w:t>, 2) the Alpha field survey, and 3)</w:t>
      </w:r>
      <w:r>
        <w:t xml:space="preserve"> the</w:t>
      </w:r>
      <w:r w:rsidR="0057635D">
        <w:t xml:space="preserve"> </w:t>
      </w:r>
      <w:r w:rsidR="0057635D" w:rsidRPr="0057635D">
        <w:rPr>
          <w:szCs w:val="22"/>
        </w:rPr>
        <w:t>U.S. Department of Ener</w:t>
      </w:r>
      <w:r w:rsidR="0057635D" w:rsidRPr="00A303E4">
        <w:rPr>
          <w:szCs w:val="22"/>
        </w:rPr>
        <w:t>gy (</w:t>
      </w:r>
      <w:r w:rsidRPr="00A303E4">
        <w:rPr>
          <w:szCs w:val="22"/>
        </w:rPr>
        <w:t>DOE</w:t>
      </w:r>
      <w:r w:rsidR="0057635D" w:rsidRPr="00A303E4">
        <w:rPr>
          <w:szCs w:val="22"/>
        </w:rPr>
        <w:t>)</w:t>
      </w:r>
      <w:r w:rsidRPr="00A303E4">
        <w:rPr>
          <w:szCs w:val="22"/>
        </w:rPr>
        <w:t xml:space="preserve"> </w:t>
      </w:r>
      <w:r w:rsidR="0057635D" w:rsidRPr="00A303E4">
        <w:rPr>
          <w:szCs w:val="22"/>
        </w:rPr>
        <w:t xml:space="preserve">rulemaking </w:t>
      </w:r>
      <w:hyperlink r:id="rId14" w:anchor="!docketDetail;D=EERE-2016-BT-STD-0004" w:history="1">
        <w:r w:rsidR="0057635D" w:rsidRPr="0057635D">
          <w:rPr>
            <w:rStyle w:val="Hyperlink"/>
            <w:rFonts w:cs="Calibri Light"/>
            <w:color w:val="auto"/>
            <w:szCs w:val="22"/>
            <w:u w:val="none"/>
            <w:shd w:val="clear" w:color="auto" w:fill="FFFFFF"/>
          </w:rPr>
          <w:t>EERE-2016-BT-STD-0004</w:t>
        </w:r>
      </w:hyperlink>
      <w:r w:rsidR="0057635D">
        <w:rPr>
          <w:rFonts w:cs="Calibri Light"/>
          <w:szCs w:val="22"/>
        </w:rPr>
        <w:t xml:space="preserve"> for circulator pumps</w:t>
      </w:r>
      <w:r w:rsidRPr="0057635D">
        <w:rPr>
          <w:szCs w:val="22"/>
        </w:rPr>
        <w:t xml:space="preserve">. </w:t>
      </w:r>
      <w:r w:rsidR="00A303E4">
        <w:rPr>
          <w:szCs w:val="22"/>
        </w:rPr>
        <w:t>T</w:t>
      </w:r>
      <w:r w:rsidRPr="0057635D">
        <w:rPr>
          <w:szCs w:val="22"/>
        </w:rPr>
        <w:t>he</w:t>
      </w:r>
      <w:r>
        <w:t xml:space="preserve"> </w:t>
      </w:r>
      <w:r w:rsidR="008000AC">
        <w:t>computation assumed the following</w:t>
      </w:r>
      <w:r w:rsidRPr="00FC6946">
        <w:t>:</w:t>
      </w:r>
    </w:p>
    <w:p w14:paraId="13984EB8" w14:textId="40EF8AF5" w:rsidR="00F56DFB" w:rsidRPr="00553B82" w:rsidRDefault="00BB5AE2" w:rsidP="00C41F87">
      <w:pPr>
        <w:pStyle w:val="eTRMBulletedText"/>
      </w:pPr>
      <w:r>
        <w:t>The operating hours of</w:t>
      </w:r>
      <w:r w:rsidR="00F56DFB" w:rsidRPr="00C37E55">
        <w:t xml:space="preserve"> </w:t>
      </w:r>
      <w:r w:rsidR="00F56DFB">
        <w:t>pumps installed with</w:t>
      </w:r>
      <w:r w:rsidR="00F56DFB" w:rsidRPr="00553B82">
        <w:t xml:space="preserve"> timer</w:t>
      </w:r>
      <w:r w:rsidR="00F56DFB">
        <w:t>s</w:t>
      </w:r>
      <w:r>
        <w:t xml:space="preserve"> </w:t>
      </w:r>
      <w:r w:rsidRPr="00553B82">
        <w:t xml:space="preserve">found in the Alpha field test </w:t>
      </w:r>
      <w:r>
        <w:t xml:space="preserve">were weighted </w:t>
      </w:r>
      <w:r w:rsidR="00F56DFB" w:rsidRPr="00553B82">
        <w:t>to represent the overall timer category of the CLASS results.</w:t>
      </w:r>
    </w:p>
    <w:p w14:paraId="5510A5FC" w14:textId="75423F1A" w:rsidR="00F56DFB" w:rsidRPr="00553B82" w:rsidRDefault="00F56DFB" w:rsidP="00C41F87">
      <w:pPr>
        <w:pStyle w:val="eTRMBulletedText"/>
        <w:rPr>
          <w:i/>
        </w:rPr>
      </w:pPr>
      <w:r w:rsidRPr="00553B82">
        <w:t>As aquastat operating hours are unknown, the DOE accepted value of 1</w:t>
      </w:r>
      <w:r w:rsidR="00A303E4">
        <w:t>,</w:t>
      </w:r>
      <w:r w:rsidRPr="00553B82">
        <w:t>095 hours</w:t>
      </w:r>
      <w:r w:rsidR="00A303E4">
        <w:t xml:space="preserve"> per </w:t>
      </w:r>
      <w:r w:rsidRPr="00553B82">
        <w:t xml:space="preserve">year or </w:t>
      </w:r>
      <w:r w:rsidR="00A303E4">
        <w:t xml:space="preserve">three </w:t>
      </w:r>
      <w:r w:rsidRPr="00553B82">
        <w:t>hours</w:t>
      </w:r>
      <w:r w:rsidR="00A303E4">
        <w:t xml:space="preserve"> per </w:t>
      </w:r>
      <w:r w:rsidRPr="00553B82">
        <w:t>day</w:t>
      </w:r>
      <w:r w:rsidR="00BB5AE2">
        <w:t xml:space="preserve"> was adopted for the</w:t>
      </w:r>
      <w:r w:rsidRPr="00104493">
        <w:t xml:space="preserve"> timer + aquastat and aquastat</w:t>
      </w:r>
      <w:r w:rsidR="00BB5AE2">
        <w:t>-only</w:t>
      </w:r>
      <w:r w:rsidRPr="00104493">
        <w:t xml:space="preserve"> control categories from CLASS</w:t>
      </w:r>
      <w:r w:rsidRPr="00553B82">
        <w:t xml:space="preserve">. </w:t>
      </w:r>
    </w:p>
    <w:p w14:paraId="7ABC96C6" w14:textId="3686846F" w:rsidR="00F56DFB" w:rsidRPr="00FC6946" w:rsidRDefault="00E530DE" w:rsidP="00F56DFB">
      <w:pPr>
        <w:rPr>
          <w:i/>
        </w:rPr>
      </w:pPr>
      <w:r>
        <w:t>The</w:t>
      </w:r>
      <w:r w:rsidR="00F56DFB">
        <w:t xml:space="preserve"> weighted operating hours</w:t>
      </w:r>
      <w:r w:rsidR="00D46FE2">
        <w:t xml:space="preserve"> adopted for </w:t>
      </w:r>
      <w:r w:rsidR="003029E2">
        <w:t>this</w:t>
      </w:r>
      <w:r w:rsidR="005D2DD0">
        <w:t xml:space="preserve"> </w:t>
      </w:r>
      <w:r w:rsidR="00394AB2">
        <w:t>measure analysis</w:t>
      </w:r>
      <w:r>
        <w:t xml:space="preserve"> are specified in the following tables</w:t>
      </w:r>
      <w:r w:rsidR="00F56DFB">
        <w:t xml:space="preserve">. </w:t>
      </w:r>
    </w:p>
    <w:p w14:paraId="3A596FA2" w14:textId="3698B286" w:rsidR="00F56DFB" w:rsidRPr="00D77056" w:rsidRDefault="00F56DFB" w:rsidP="00D207DF">
      <w:pPr>
        <w:pStyle w:val="Caption"/>
        <w:keepNext w:val="0"/>
        <w:keepLines w:val="0"/>
        <w:rPr>
          <w:szCs w:val="20"/>
        </w:rPr>
      </w:pPr>
      <w:r>
        <w:rPr>
          <w:szCs w:val="20"/>
        </w:rPr>
        <w:t xml:space="preserve">Installed </w:t>
      </w:r>
      <w:r w:rsidR="00D46FE2">
        <w:rPr>
          <w:szCs w:val="20"/>
        </w:rPr>
        <w:t>C</w:t>
      </w:r>
      <w:r>
        <w:rPr>
          <w:szCs w:val="20"/>
        </w:rPr>
        <w:t xml:space="preserve">ontrols </w:t>
      </w:r>
      <w:r w:rsidR="00D46FE2">
        <w:rPr>
          <w:szCs w:val="20"/>
        </w:rPr>
        <w:t>W</w:t>
      </w:r>
      <w:r>
        <w:rPr>
          <w:szCs w:val="20"/>
        </w:rPr>
        <w:t>eight</w:t>
      </w:r>
      <w:r w:rsidR="00D46FE2">
        <w:rPr>
          <w:szCs w:val="20"/>
        </w:rPr>
        <w:t>ing</w:t>
      </w:r>
      <w:r>
        <w:rPr>
          <w:szCs w:val="20"/>
        </w:rPr>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50"/>
        <w:gridCol w:w="950"/>
        <w:gridCol w:w="950"/>
        <w:gridCol w:w="950"/>
        <w:gridCol w:w="950"/>
        <w:gridCol w:w="915"/>
        <w:gridCol w:w="3870"/>
      </w:tblGrid>
      <w:tr w:rsidR="00E530DE" w:rsidRPr="0076321E" w14:paraId="03FF47FA" w14:textId="36291B2D" w:rsidTr="00967D84">
        <w:trPr>
          <w:trHeight w:val="20"/>
        </w:trPr>
        <w:tc>
          <w:tcPr>
            <w:tcW w:w="5665" w:type="dxa"/>
            <w:gridSpan w:val="6"/>
            <w:shd w:val="clear" w:color="auto" w:fill="F2F2F2" w:themeFill="background1" w:themeFillShade="F2"/>
            <w:vAlign w:val="bottom"/>
          </w:tcPr>
          <w:p w14:paraId="299CEB65" w14:textId="02DE5E9B" w:rsidR="00E530DE" w:rsidRPr="0076321E" w:rsidRDefault="00E530DE" w:rsidP="00D207DF">
            <w:pPr>
              <w:spacing w:before="0" w:after="0" w:line="240" w:lineRule="auto"/>
              <w:jc w:val="center"/>
              <w:rPr>
                <w:rFonts w:eastAsia="Times New Roman" w:cs="Calibri Light"/>
                <w:b/>
                <w:color w:val="000000"/>
                <w:sz w:val="20"/>
              </w:rPr>
            </w:pPr>
            <w:r w:rsidRPr="0076321E">
              <w:rPr>
                <w:rFonts w:eastAsia="Times New Roman" w:cs="Calibri Light"/>
                <w:b/>
                <w:color w:val="000000"/>
                <w:sz w:val="20"/>
              </w:rPr>
              <w:t>Control Option</w:t>
            </w:r>
          </w:p>
        </w:tc>
        <w:tc>
          <w:tcPr>
            <w:tcW w:w="3870" w:type="dxa"/>
            <w:vMerge w:val="restart"/>
            <w:shd w:val="clear" w:color="auto" w:fill="F2F2F2" w:themeFill="background1" w:themeFillShade="F2"/>
            <w:vAlign w:val="bottom"/>
          </w:tcPr>
          <w:p w14:paraId="62044FF5" w14:textId="7AC86B10" w:rsidR="00E530DE" w:rsidRPr="0076321E" w:rsidRDefault="00E530DE" w:rsidP="00D207DF">
            <w:pPr>
              <w:spacing w:before="0" w:after="0" w:line="240" w:lineRule="auto"/>
              <w:jc w:val="center"/>
              <w:rPr>
                <w:rFonts w:eastAsia="Times New Roman" w:cs="Calibri Light"/>
                <w:b/>
                <w:color w:val="000000"/>
                <w:sz w:val="20"/>
              </w:rPr>
            </w:pPr>
            <w:r w:rsidRPr="0076321E">
              <w:rPr>
                <w:rFonts w:eastAsia="Times New Roman" w:cs="Calibri Light"/>
                <w:b/>
                <w:bCs/>
                <w:color w:val="000000"/>
                <w:sz w:val="20"/>
              </w:rPr>
              <w:t>Source</w:t>
            </w:r>
          </w:p>
        </w:tc>
      </w:tr>
      <w:tr w:rsidR="00E530DE" w:rsidRPr="0076321E" w14:paraId="173F23B2" w14:textId="5A7C5633" w:rsidTr="00967D84">
        <w:trPr>
          <w:trHeight w:val="20"/>
        </w:trPr>
        <w:tc>
          <w:tcPr>
            <w:tcW w:w="950" w:type="dxa"/>
            <w:shd w:val="clear" w:color="auto" w:fill="F2F2F2" w:themeFill="background1" w:themeFillShade="F2"/>
            <w:vAlign w:val="bottom"/>
            <w:hideMark/>
          </w:tcPr>
          <w:p w14:paraId="1BF726D0" w14:textId="77777777" w:rsidR="00E530DE" w:rsidRPr="0076321E" w:rsidRDefault="00E530DE" w:rsidP="00D207DF">
            <w:pPr>
              <w:spacing w:before="0" w:after="0" w:line="240" w:lineRule="auto"/>
              <w:jc w:val="center"/>
              <w:rPr>
                <w:rFonts w:eastAsia="Times New Roman" w:cs="Calibri Light"/>
                <w:b/>
                <w:color w:val="000000"/>
                <w:sz w:val="20"/>
                <w:szCs w:val="20"/>
              </w:rPr>
            </w:pPr>
            <w:r w:rsidRPr="0076321E">
              <w:rPr>
                <w:rFonts w:eastAsia="Times New Roman" w:cs="Calibri Light"/>
                <w:b/>
                <w:color w:val="000000"/>
                <w:sz w:val="20"/>
              </w:rPr>
              <w:t>No Controls</w:t>
            </w:r>
          </w:p>
        </w:tc>
        <w:tc>
          <w:tcPr>
            <w:tcW w:w="950" w:type="dxa"/>
            <w:shd w:val="clear" w:color="auto" w:fill="F2F2F2" w:themeFill="background1" w:themeFillShade="F2"/>
            <w:vAlign w:val="bottom"/>
            <w:hideMark/>
          </w:tcPr>
          <w:p w14:paraId="7398B0DB" w14:textId="77777777" w:rsidR="00E530DE" w:rsidRPr="0076321E" w:rsidRDefault="00E530DE" w:rsidP="00D207DF">
            <w:pPr>
              <w:spacing w:before="0" w:after="0" w:line="240" w:lineRule="auto"/>
              <w:jc w:val="center"/>
              <w:rPr>
                <w:rFonts w:eastAsia="Times New Roman" w:cs="Calibri Light"/>
                <w:b/>
                <w:color w:val="000000"/>
                <w:sz w:val="20"/>
                <w:szCs w:val="20"/>
              </w:rPr>
            </w:pPr>
            <w:r w:rsidRPr="0076321E">
              <w:rPr>
                <w:rFonts w:eastAsia="Times New Roman" w:cs="Calibri Light"/>
                <w:b/>
                <w:color w:val="000000"/>
                <w:sz w:val="20"/>
              </w:rPr>
              <w:t>Timer w/ Hours</w:t>
            </w:r>
          </w:p>
        </w:tc>
        <w:tc>
          <w:tcPr>
            <w:tcW w:w="950" w:type="dxa"/>
            <w:shd w:val="clear" w:color="auto" w:fill="F2F2F2" w:themeFill="background1" w:themeFillShade="F2"/>
            <w:vAlign w:val="bottom"/>
            <w:hideMark/>
          </w:tcPr>
          <w:p w14:paraId="43C5C3B6" w14:textId="77777777" w:rsidR="00E530DE" w:rsidRPr="0076321E" w:rsidRDefault="00E530DE" w:rsidP="00D207DF">
            <w:pPr>
              <w:spacing w:before="0" w:after="0" w:line="240" w:lineRule="auto"/>
              <w:jc w:val="center"/>
              <w:rPr>
                <w:rFonts w:eastAsia="Times New Roman" w:cs="Calibri Light"/>
                <w:b/>
                <w:color w:val="000000"/>
                <w:sz w:val="20"/>
                <w:szCs w:val="20"/>
              </w:rPr>
            </w:pPr>
            <w:r w:rsidRPr="0076321E">
              <w:rPr>
                <w:rFonts w:eastAsia="Times New Roman" w:cs="Calibri Light"/>
                <w:b/>
                <w:color w:val="000000"/>
                <w:sz w:val="20"/>
              </w:rPr>
              <w:t>Timer w/o Hours</w:t>
            </w:r>
          </w:p>
        </w:tc>
        <w:tc>
          <w:tcPr>
            <w:tcW w:w="950" w:type="dxa"/>
            <w:shd w:val="clear" w:color="auto" w:fill="F2F2F2" w:themeFill="background1" w:themeFillShade="F2"/>
            <w:vAlign w:val="bottom"/>
            <w:hideMark/>
          </w:tcPr>
          <w:p w14:paraId="14F1E43A" w14:textId="77777777" w:rsidR="00E530DE" w:rsidRPr="0076321E" w:rsidRDefault="00E530DE" w:rsidP="00D207DF">
            <w:pPr>
              <w:spacing w:before="0" w:after="0" w:line="240" w:lineRule="auto"/>
              <w:jc w:val="center"/>
              <w:rPr>
                <w:rFonts w:eastAsia="Times New Roman" w:cs="Calibri Light"/>
                <w:b/>
                <w:color w:val="000000"/>
                <w:sz w:val="20"/>
                <w:szCs w:val="20"/>
              </w:rPr>
            </w:pPr>
            <w:r w:rsidRPr="0076321E">
              <w:rPr>
                <w:rFonts w:eastAsia="Times New Roman" w:cs="Calibri Light"/>
                <w:b/>
                <w:color w:val="000000"/>
                <w:sz w:val="20"/>
              </w:rPr>
              <w:t>Timer + Aquastat</w:t>
            </w:r>
          </w:p>
        </w:tc>
        <w:tc>
          <w:tcPr>
            <w:tcW w:w="950" w:type="dxa"/>
            <w:shd w:val="clear" w:color="auto" w:fill="F2F2F2" w:themeFill="background1" w:themeFillShade="F2"/>
            <w:vAlign w:val="bottom"/>
            <w:hideMark/>
          </w:tcPr>
          <w:p w14:paraId="1ECD4702" w14:textId="005B0187" w:rsidR="00E530DE" w:rsidRPr="0076321E" w:rsidRDefault="00E530DE" w:rsidP="00D207DF">
            <w:pPr>
              <w:spacing w:before="0" w:after="0" w:line="240" w:lineRule="auto"/>
              <w:jc w:val="center"/>
              <w:rPr>
                <w:rFonts w:eastAsia="Times New Roman" w:cs="Calibri Light"/>
                <w:b/>
                <w:color w:val="000000"/>
                <w:sz w:val="20"/>
                <w:szCs w:val="20"/>
              </w:rPr>
            </w:pPr>
            <w:r w:rsidRPr="0076321E">
              <w:rPr>
                <w:rFonts w:eastAsia="Times New Roman" w:cs="Calibri Light"/>
                <w:b/>
                <w:color w:val="000000"/>
                <w:sz w:val="20"/>
              </w:rPr>
              <w:t>Aquastat</w:t>
            </w:r>
            <w:r>
              <w:rPr>
                <w:rFonts w:eastAsia="Times New Roman" w:cs="Calibri Light"/>
                <w:b/>
                <w:color w:val="000000"/>
                <w:sz w:val="20"/>
              </w:rPr>
              <w:t xml:space="preserve"> </w:t>
            </w:r>
            <w:r w:rsidRPr="0076321E">
              <w:rPr>
                <w:rFonts w:eastAsia="Times New Roman" w:cs="Calibri Light"/>
                <w:b/>
                <w:color w:val="000000"/>
                <w:sz w:val="20"/>
              </w:rPr>
              <w:t>only</w:t>
            </w:r>
          </w:p>
        </w:tc>
        <w:tc>
          <w:tcPr>
            <w:tcW w:w="915" w:type="dxa"/>
            <w:shd w:val="clear" w:color="auto" w:fill="F2F2F2" w:themeFill="background1" w:themeFillShade="F2"/>
            <w:vAlign w:val="bottom"/>
            <w:hideMark/>
          </w:tcPr>
          <w:p w14:paraId="4429EB92" w14:textId="77777777" w:rsidR="00E530DE" w:rsidRPr="0076321E" w:rsidRDefault="00E530DE" w:rsidP="00D207DF">
            <w:pPr>
              <w:spacing w:before="0" w:after="0" w:line="240" w:lineRule="auto"/>
              <w:jc w:val="center"/>
              <w:rPr>
                <w:rFonts w:eastAsia="Times New Roman" w:cs="Calibri Light"/>
                <w:b/>
                <w:color w:val="000000"/>
                <w:sz w:val="20"/>
                <w:szCs w:val="20"/>
              </w:rPr>
            </w:pPr>
            <w:r w:rsidRPr="0076321E">
              <w:rPr>
                <w:rFonts w:eastAsia="Times New Roman" w:cs="Calibri Light"/>
                <w:b/>
                <w:color w:val="000000"/>
                <w:sz w:val="20"/>
              </w:rPr>
              <w:t>On-Demand</w:t>
            </w:r>
          </w:p>
        </w:tc>
        <w:tc>
          <w:tcPr>
            <w:tcW w:w="3870" w:type="dxa"/>
            <w:vMerge/>
            <w:shd w:val="clear" w:color="auto" w:fill="F2F2F2" w:themeFill="background1" w:themeFillShade="F2"/>
            <w:vAlign w:val="bottom"/>
          </w:tcPr>
          <w:p w14:paraId="6F03C774" w14:textId="52BB696D" w:rsidR="00E530DE" w:rsidRPr="0076321E" w:rsidRDefault="00E530DE" w:rsidP="00D207DF">
            <w:pPr>
              <w:spacing w:before="0" w:after="0" w:line="240" w:lineRule="auto"/>
              <w:jc w:val="center"/>
              <w:rPr>
                <w:rFonts w:eastAsia="Times New Roman" w:cs="Calibri Light"/>
                <w:b/>
                <w:color w:val="000000"/>
                <w:sz w:val="20"/>
              </w:rPr>
            </w:pPr>
          </w:p>
        </w:tc>
      </w:tr>
      <w:tr w:rsidR="00967D84" w:rsidRPr="001D2FA8" w14:paraId="00527A86" w14:textId="7F07A0AD" w:rsidTr="00967D84">
        <w:trPr>
          <w:trHeight w:val="20"/>
        </w:trPr>
        <w:tc>
          <w:tcPr>
            <w:tcW w:w="950" w:type="dxa"/>
            <w:shd w:val="clear" w:color="auto" w:fill="auto"/>
            <w:vAlign w:val="center"/>
            <w:hideMark/>
          </w:tcPr>
          <w:p w14:paraId="4E622B36" w14:textId="15136921"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33.0%</w:t>
            </w:r>
          </w:p>
        </w:tc>
        <w:tc>
          <w:tcPr>
            <w:tcW w:w="950" w:type="dxa"/>
            <w:shd w:val="clear" w:color="auto" w:fill="auto"/>
            <w:vAlign w:val="center"/>
            <w:hideMark/>
          </w:tcPr>
          <w:p w14:paraId="27208F8F" w14:textId="7B1177BA"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39.0%</w:t>
            </w:r>
          </w:p>
        </w:tc>
        <w:tc>
          <w:tcPr>
            <w:tcW w:w="950" w:type="dxa"/>
            <w:shd w:val="clear" w:color="auto" w:fill="auto"/>
            <w:vAlign w:val="center"/>
            <w:hideMark/>
          </w:tcPr>
          <w:p w14:paraId="27302BBB" w14:textId="5DAEFD45"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39.0%</w:t>
            </w:r>
          </w:p>
        </w:tc>
        <w:tc>
          <w:tcPr>
            <w:tcW w:w="950" w:type="dxa"/>
            <w:shd w:val="clear" w:color="auto" w:fill="auto"/>
            <w:vAlign w:val="center"/>
            <w:hideMark/>
          </w:tcPr>
          <w:p w14:paraId="7E0A630C" w14:textId="3C142053"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11.0%</w:t>
            </w:r>
          </w:p>
        </w:tc>
        <w:tc>
          <w:tcPr>
            <w:tcW w:w="950" w:type="dxa"/>
            <w:shd w:val="clear" w:color="auto" w:fill="auto"/>
            <w:vAlign w:val="center"/>
            <w:hideMark/>
          </w:tcPr>
          <w:p w14:paraId="6F86B373" w14:textId="67ED1BBA"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17.0%</w:t>
            </w:r>
          </w:p>
        </w:tc>
        <w:tc>
          <w:tcPr>
            <w:tcW w:w="915" w:type="dxa"/>
            <w:shd w:val="clear" w:color="auto" w:fill="auto"/>
            <w:vAlign w:val="center"/>
            <w:hideMark/>
          </w:tcPr>
          <w:p w14:paraId="1D9F38CB" w14:textId="01BE70E8"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0.0%</w:t>
            </w:r>
          </w:p>
        </w:tc>
        <w:tc>
          <w:tcPr>
            <w:tcW w:w="3870" w:type="dxa"/>
            <w:vAlign w:val="center"/>
          </w:tcPr>
          <w:p w14:paraId="62AC10A5" w14:textId="2E7E05D1" w:rsidR="001D2FA8" w:rsidRPr="00297EA4" w:rsidRDefault="009B3823" w:rsidP="00D207DF">
            <w:pPr>
              <w:spacing w:before="0" w:after="0" w:line="240" w:lineRule="auto"/>
              <w:rPr>
                <w:rFonts w:eastAsia="Times New Roman" w:cs="Calibri Light"/>
                <w:color w:val="000000"/>
                <w:sz w:val="18"/>
                <w:highlight w:val="yellow"/>
              </w:rPr>
            </w:pPr>
            <w:r w:rsidRPr="00E24071">
              <w:rPr>
                <w:rFonts w:eastAsia="Times New Roman" w:cs="Calibri Light"/>
                <w:bCs/>
                <w:color w:val="000000"/>
                <w:sz w:val="18"/>
              </w:rPr>
              <w:t xml:space="preserve">DNV GL. 2014. WO21: </w:t>
            </w:r>
            <w:r w:rsidRPr="00E24071">
              <w:rPr>
                <w:rFonts w:eastAsia="Times New Roman" w:cs="Calibri Light"/>
                <w:bCs/>
                <w:i/>
                <w:color w:val="000000"/>
                <w:sz w:val="18"/>
              </w:rPr>
              <w:t xml:space="preserve">Residential On-site Study: California Lighting and Appliance Saturation Study (CLASS 2012). </w:t>
            </w:r>
            <w:r w:rsidRPr="00E24071">
              <w:rPr>
                <w:rFonts w:eastAsia="Times New Roman" w:cs="Calibri Light"/>
                <w:bCs/>
                <w:color w:val="000000"/>
                <w:sz w:val="18"/>
              </w:rPr>
              <w:t>Prepared for the California Public Utilities Commission, Energy Division. CALMAC Study ID: CPU0095.01.</w:t>
            </w:r>
          </w:p>
        </w:tc>
      </w:tr>
      <w:tr w:rsidR="00967D84" w:rsidRPr="001D2FA8" w14:paraId="5C019EB0" w14:textId="7E077742" w:rsidTr="00967D84">
        <w:trPr>
          <w:trHeight w:val="20"/>
        </w:trPr>
        <w:tc>
          <w:tcPr>
            <w:tcW w:w="950" w:type="dxa"/>
            <w:shd w:val="clear" w:color="auto" w:fill="auto"/>
            <w:vAlign w:val="center"/>
            <w:hideMark/>
          </w:tcPr>
          <w:p w14:paraId="7D3A70D1" w14:textId="24B4CE4A"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31.0%</w:t>
            </w:r>
          </w:p>
        </w:tc>
        <w:tc>
          <w:tcPr>
            <w:tcW w:w="950" w:type="dxa"/>
            <w:shd w:val="clear" w:color="auto" w:fill="auto"/>
            <w:vAlign w:val="center"/>
            <w:hideMark/>
          </w:tcPr>
          <w:p w14:paraId="4606EF19" w14:textId="682B2243"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23.0%</w:t>
            </w:r>
          </w:p>
        </w:tc>
        <w:tc>
          <w:tcPr>
            <w:tcW w:w="950" w:type="dxa"/>
            <w:shd w:val="clear" w:color="auto" w:fill="auto"/>
            <w:vAlign w:val="center"/>
            <w:hideMark/>
          </w:tcPr>
          <w:p w14:paraId="130F5E96" w14:textId="1D372FA3"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15.0%</w:t>
            </w:r>
          </w:p>
        </w:tc>
        <w:tc>
          <w:tcPr>
            <w:tcW w:w="950" w:type="dxa"/>
            <w:shd w:val="clear" w:color="auto" w:fill="auto"/>
            <w:vAlign w:val="center"/>
            <w:hideMark/>
          </w:tcPr>
          <w:p w14:paraId="4FAC656D" w14:textId="6B28D7EE"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31.0%</w:t>
            </w:r>
          </w:p>
        </w:tc>
        <w:tc>
          <w:tcPr>
            <w:tcW w:w="950" w:type="dxa"/>
            <w:shd w:val="clear" w:color="auto" w:fill="auto"/>
            <w:vAlign w:val="center"/>
            <w:hideMark/>
          </w:tcPr>
          <w:p w14:paraId="23BBE4A2" w14:textId="0E4D9C92"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0.0%</w:t>
            </w:r>
          </w:p>
        </w:tc>
        <w:tc>
          <w:tcPr>
            <w:tcW w:w="915" w:type="dxa"/>
            <w:shd w:val="clear" w:color="auto" w:fill="auto"/>
            <w:vAlign w:val="center"/>
            <w:hideMark/>
          </w:tcPr>
          <w:p w14:paraId="7A3EF31D" w14:textId="01FE3433"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0.0%</w:t>
            </w:r>
          </w:p>
        </w:tc>
        <w:tc>
          <w:tcPr>
            <w:tcW w:w="3870" w:type="dxa"/>
            <w:vAlign w:val="center"/>
          </w:tcPr>
          <w:p w14:paraId="7F771FB3" w14:textId="6F7798BC" w:rsidR="001D2FA8" w:rsidRPr="00394AB2" w:rsidRDefault="00394AB2" w:rsidP="00D207DF">
            <w:pPr>
              <w:spacing w:before="0" w:after="0" w:line="240" w:lineRule="auto"/>
              <w:rPr>
                <w:rFonts w:eastAsia="Times New Roman" w:cs="Calibri Light"/>
                <w:color w:val="000000"/>
                <w:sz w:val="18"/>
              </w:rPr>
            </w:pPr>
            <w:r w:rsidRPr="00394AB2">
              <w:rPr>
                <w:rFonts w:eastAsia="Times New Roman" w:cs="Calibri Light"/>
                <w:bCs/>
                <w:color w:val="000000"/>
                <w:sz w:val="18"/>
              </w:rPr>
              <w:t xml:space="preserve">Pacific Gas and Electric (PG&amp;E). 2017. “Appendix 6 – </w:t>
            </w:r>
            <w:r w:rsidR="001D2FA8" w:rsidRPr="00394AB2">
              <w:rPr>
                <w:rFonts w:eastAsia="Times New Roman" w:cs="Calibri Light"/>
                <w:bCs/>
                <w:color w:val="000000"/>
                <w:sz w:val="18"/>
              </w:rPr>
              <w:t>Alpha</w:t>
            </w:r>
            <w:r w:rsidRPr="00394AB2">
              <w:rPr>
                <w:rFonts w:eastAsia="Times New Roman" w:cs="Calibri Light"/>
                <w:bCs/>
                <w:color w:val="000000"/>
                <w:sz w:val="18"/>
              </w:rPr>
              <w:t xml:space="preserve"> Measure</w:t>
            </w:r>
            <w:r w:rsidR="001D2FA8" w:rsidRPr="00394AB2">
              <w:rPr>
                <w:rFonts w:eastAsia="Times New Roman" w:cs="Calibri Light"/>
                <w:bCs/>
                <w:color w:val="000000"/>
                <w:sz w:val="18"/>
              </w:rPr>
              <w:t xml:space="preserve"> Field Test</w:t>
            </w:r>
            <w:r w:rsidRPr="00394AB2">
              <w:rPr>
                <w:rFonts w:eastAsia="Times New Roman" w:cs="Calibri Light"/>
                <w:bCs/>
                <w:color w:val="000000"/>
                <w:sz w:val="18"/>
              </w:rPr>
              <w:t xml:space="preserve"> Documents &amp; Details.” </w:t>
            </w:r>
            <w:r w:rsidRPr="00394AB2">
              <w:rPr>
                <w:rFonts w:eastAsia="Times New Roman" w:cs="Calibri Light"/>
                <w:bCs/>
                <w:i/>
                <w:color w:val="000000"/>
                <w:sz w:val="18"/>
              </w:rPr>
              <w:t>Workpaper PGECOPUM107: High Performance Circulator (HPC) Pumps Revision #0</w:t>
            </w:r>
            <w:r w:rsidRPr="00394AB2">
              <w:rPr>
                <w:rFonts w:eastAsia="Times New Roman" w:cs="Calibri Light"/>
                <w:bCs/>
                <w:color w:val="000000"/>
                <w:sz w:val="18"/>
              </w:rPr>
              <w:t>. May 29.</w:t>
            </w:r>
          </w:p>
        </w:tc>
      </w:tr>
      <w:tr w:rsidR="00967D84" w:rsidRPr="001D2FA8" w14:paraId="0B87CE0B" w14:textId="180818A1" w:rsidTr="00967D84">
        <w:trPr>
          <w:trHeight w:val="20"/>
        </w:trPr>
        <w:tc>
          <w:tcPr>
            <w:tcW w:w="950" w:type="dxa"/>
            <w:shd w:val="clear" w:color="auto" w:fill="auto"/>
            <w:vAlign w:val="center"/>
            <w:hideMark/>
          </w:tcPr>
          <w:p w14:paraId="1D3596AC" w14:textId="475AA24E"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50.0%</w:t>
            </w:r>
          </w:p>
        </w:tc>
        <w:tc>
          <w:tcPr>
            <w:tcW w:w="950" w:type="dxa"/>
            <w:shd w:val="clear" w:color="auto" w:fill="auto"/>
            <w:vAlign w:val="center"/>
            <w:hideMark/>
          </w:tcPr>
          <w:p w14:paraId="2BE20958" w14:textId="59CE62BE"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12.5%</w:t>
            </w:r>
          </w:p>
        </w:tc>
        <w:tc>
          <w:tcPr>
            <w:tcW w:w="950" w:type="dxa"/>
            <w:shd w:val="clear" w:color="auto" w:fill="auto"/>
            <w:vAlign w:val="center"/>
            <w:hideMark/>
          </w:tcPr>
          <w:p w14:paraId="198D4C0A" w14:textId="692B4572"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12.5%</w:t>
            </w:r>
          </w:p>
        </w:tc>
        <w:tc>
          <w:tcPr>
            <w:tcW w:w="950" w:type="dxa"/>
            <w:shd w:val="clear" w:color="auto" w:fill="auto"/>
            <w:vAlign w:val="center"/>
            <w:hideMark/>
          </w:tcPr>
          <w:p w14:paraId="5CAAD1A8" w14:textId="18F0C61E"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0.0%</w:t>
            </w:r>
          </w:p>
        </w:tc>
        <w:tc>
          <w:tcPr>
            <w:tcW w:w="950" w:type="dxa"/>
            <w:shd w:val="clear" w:color="auto" w:fill="auto"/>
            <w:vAlign w:val="center"/>
            <w:hideMark/>
          </w:tcPr>
          <w:p w14:paraId="2039F273" w14:textId="527C3307"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20.0%</w:t>
            </w:r>
          </w:p>
        </w:tc>
        <w:tc>
          <w:tcPr>
            <w:tcW w:w="915" w:type="dxa"/>
            <w:shd w:val="clear" w:color="auto" w:fill="auto"/>
            <w:vAlign w:val="center"/>
            <w:hideMark/>
          </w:tcPr>
          <w:p w14:paraId="6A16E623" w14:textId="102539B0" w:rsidR="001D2FA8" w:rsidRPr="001D2FA8" w:rsidRDefault="001D2FA8" w:rsidP="00D207DF">
            <w:pPr>
              <w:spacing w:before="0" w:after="0" w:line="240" w:lineRule="auto"/>
              <w:jc w:val="right"/>
              <w:rPr>
                <w:rFonts w:eastAsia="Times New Roman" w:cs="Calibri Light"/>
                <w:color w:val="000000"/>
                <w:sz w:val="20"/>
                <w:szCs w:val="20"/>
              </w:rPr>
            </w:pPr>
            <w:r w:rsidRPr="001D2FA8">
              <w:rPr>
                <w:rFonts w:eastAsia="Times New Roman" w:cs="Calibri Light"/>
                <w:color w:val="000000"/>
                <w:sz w:val="20"/>
              </w:rPr>
              <w:t>5.0%</w:t>
            </w:r>
          </w:p>
        </w:tc>
        <w:tc>
          <w:tcPr>
            <w:tcW w:w="3870" w:type="dxa"/>
            <w:vAlign w:val="center"/>
          </w:tcPr>
          <w:p w14:paraId="09A5A30C" w14:textId="3D7A14DD" w:rsidR="00E51D92" w:rsidRPr="001F5164" w:rsidRDefault="00F044BB" w:rsidP="00D207DF">
            <w:pPr>
              <w:spacing w:before="0" w:after="0" w:line="240" w:lineRule="auto"/>
              <w:rPr>
                <w:rFonts w:cs="Calibri Light"/>
                <w:sz w:val="18"/>
              </w:rPr>
            </w:pPr>
            <w:r w:rsidRPr="00E519B6">
              <w:rPr>
                <w:rFonts w:eastAsia="Times New Roman" w:cs="Calibri Light"/>
                <w:bCs/>
                <w:sz w:val="18"/>
              </w:rPr>
              <w:t>U.S. Department of Energy (</w:t>
            </w:r>
            <w:r w:rsidR="001D2FA8" w:rsidRPr="00E519B6">
              <w:rPr>
                <w:rFonts w:eastAsia="Times New Roman" w:cs="Calibri Light"/>
                <w:bCs/>
                <w:sz w:val="18"/>
              </w:rPr>
              <w:t>DOE</w:t>
            </w:r>
            <w:r w:rsidRPr="00E519B6">
              <w:rPr>
                <w:rFonts w:eastAsia="Times New Roman" w:cs="Calibri Light"/>
                <w:bCs/>
                <w:sz w:val="18"/>
              </w:rPr>
              <w:t>)</w:t>
            </w:r>
            <w:r w:rsidR="0057635D">
              <w:rPr>
                <w:rFonts w:eastAsia="Times New Roman" w:cs="Calibri Light"/>
                <w:bCs/>
                <w:sz w:val="18"/>
              </w:rPr>
              <w:t>, Appliance Standards and R</w:t>
            </w:r>
            <w:r w:rsidR="00AF20F7">
              <w:rPr>
                <w:rFonts w:eastAsia="Times New Roman" w:cs="Calibri Light"/>
                <w:bCs/>
                <w:sz w:val="18"/>
              </w:rPr>
              <w:t>ulemaking</w:t>
            </w:r>
            <w:r w:rsidRPr="00E519B6">
              <w:rPr>
                <w:rFonts w:eastAsia="Times New Roman" w:cs="Calibri Light"/>
                <w:bCs/>
                <w:sz w:val="18"/>
              </w:rPr>
              <w:t xml:space="preserve">. </w:t>
            </w:r>
            <w:r w:rsidR="0057635D">
              <w:rPr>
                <w:rFonts w:eastAsia="Times New Roman" w:cs="Calibri Light"/>
                <w:bCs/>
                <w:sz w:val="18"/>
              </w:rPr>
              <w:t>Rulemaking</w:t>
            </w:r>
            <w:r w:rsidRPr="00E519B6">
              <w:rPr>
                <w:rFonts w:eastAsia="Times New Roman" w:cs="Calibri Light"/>
                <w:bCs/>
                <w:sz w:val="18"/>
              </w:rPr>
              <w:t xml:space="preserve"> </w:t>
            </w:r>
            <w:hyperlink r:id="rId15" w:anchor="!docketDetail;D=EERE-2016-BT-STD-0004" w:history="1">
              <w:r w:rsidR="00D25441" w:rsidRPr="00E519B6">
                <w:rPr>
                  <w:rStyle w:val="Hyperlink"/>
                  <w:rFonts w:cs="Calibri Light"/>
                  <w:color w:val="auto"/>
                  <w:sz w:val="18"/>
                  <w:u w:val="none"/>
                  <w:shd w:val="clear" w:color="auto" w:fill="FFFFFF"/>
                </w:rPr>
                <w:t>EERE-2016-BT-STD-0004</w:t>
              </w:r>
            </w:hyperlink>
            <w:r w:rsidR="00E519B6">
              <w:rPr>
                <w:rFonts w:cs="Calibri Light"/>
                <w:sz w:val="18"/>
              </w:rPr>
              <w:t>.</w:t>
            </w:r>
            <w:r w:rsidRPr="00E519B6">
              <w:rPr>
                <w:rFonts w:cs="Calibri Light"/>
                <w:sz w:val="18"/>
              </w:rPr>
              <w:t xml:space="preserve"> </w:t>
            </w:r>
            <w:r w:rsidR="00BB55D1" w:rsidRPr="00BB55D1">
              <w:rPr>
                <w:rFonts w:cs="Calibri Light"/>
                <w:i/>
                <w:sz w:val="18"/>
              </w:rPr>
              <w:t>(Reference file unknown.)</w:t>
            </w:r>
          </w:p>
        </w:tc>
      </w:tr>
    </w:tbl>
    <w:p w14:paraId="4A954AAD" w14:textId="1B059BBE" w:rsidR="00F56DFB" w:rsidRPr="009B72E9" w:rsidRDefault="00F56DFB" w:rsidP="00D207DF">
      <w:pPr>
        <w:pStyle w:val="Caption"/>
        <w:rPr>
          <w:szCs w:val="20"/>
        </w:rPr>
      </w:pPr>
      <w:r>
        <w:rPr>
          <w:szCs w:val="20"/>
        </w:rPr>
        <w:t xml:space="preserve">Installed </w:t>
      </w:r>
      <w:r w:rsidR="00D46FE2">
        <w:rPr>
          <w:szCs w:val="20"/>
        </w:rPr>
        <w:t>C</w:t>
      </w:r>
      <w:r>
        <w:rPr>
          <w:szCs w:val="20"/>
        </w:rPr>
        <w:t xml:space="preserve">ontrols </w:t>
      </w:r>
      <w:r w:rsidR="00D46FE2">
        <w:rPr>
          <w:szCs w:val="20"/>
        </w:rPr>
        <w:t>Weighted O</w:t>
      </w:r>
      <w:r>
        <w:rPr>
          <w:szCs w:val="20"/>
        </w:rPr>
        <w:t xml:space="preserve">perating </w:t>
      </w:r>
      <w:r w:rsidR="00D46FE2">
        <w:rPr>
          <w:szCs w:val="20"/>
        </w:rPr>
        <w:t>H</w:t>
      </w:r>
      <w:r>
        <w:rPr>
          <w:szCs w:val="20"/>
        </w:rPr>
        <w:t>ours</w:t>
      </w:r>
    </w:p>
    <w:tbl>
      <w:tblPr>
        <w:tblW w:w="69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744"/>
        <w:gridCol w:w="1584"/>
        <w:gridCol w:w="1584"/>
      </w:tblGrid>
      <w:tr w:rsidR="00E530DE" w:rsidRPr="006F54E3" w14:paraId="7BB787E7" w14:textId="77777777" w:rsidTr="00E530DE">
        <w:trPr>
          <w:trHeight w:val="20"/>
        </w:trPr>
        <w:tc>
          <w:tcPr>
            <w:tcW w:w="3744" w:type="dxa"/>
            <w:shd w:val="clear" w:color="auto" w:fill="F2F2F2" w:themeFill="background1" w:themeFillShade="F2"/>
            <w:vAlign w:val="bottom"/>
            <w:hideMark/>
          </w:tcPr>
          <w:p w14:paraId="5C5EBABE" w14:textId="77777777" w:rsidR="00F56DFB" w:rsidRPr="006F54E3" w:rsidRDefault="00F56DFB" w:rsidP="00D207DF">
            <w:pPr>
              <w:keepNext/>
              <w:keepLines/>
              <w:spacing w:before="0" w:after="0"/>
              <w:jc w:val="center"/>
              <w:rPr>
                <w:rFonts w:cs="Calibri Light"/>
                <w:b/>
                <w:bCs/>
                <w:color w:val="000000"/>
                <w:sz w:val="20"/>
              </w:rPr>
            </w:pPr>
            <w:r w:rsidRPr="006F54E3">
              <w:rPr>
                <w:rFonts w:cs="Calibri Light"/>
                <w:b/>
                <w:bCs/>
                <w:color w:val="000000"/>
                <w:sz w:val="20"/>
              </w:rPr>
              <w:t>Control Option</w:t>
            </w:r>
          </w:p>
        </w:tc>
        <w:tc>
          <w:tcPr>
            <w:tcW w:w="1584" w:type="dxa"/>
            <w:shd w:val="clear" w:color="auto" w:fill="F2F2F2" w:themeFill="background1" w:themeFillShade="F2"/>
            <w:vAlign w:val="bottom"/>
            <w:hideMark/>
          </w:tcPr>
          <w:p w14:paraId="392EFA71" w14:textId="77777777" w:rsidR="00F56DFB" w:rsidRPr="006F54E3" w:rsidRDefault="00F56DFB" w:rsidP="00D207DF">
            <w:pPr>
              <w:keepNext/>
              <w:keepLines/>
              <w:spacing w:before="0" w:after="0"/>
              <w:jc w:val="center"/>
              <w:rPr>
                <w:rFonts w:cs="Calibri Light"/>
                <w:b/>
                <w:bCs/>
                <w:color w:val="000000"/>
                <w:sz w:val="20"/>
              </w:rPr>
            </w:pPr>
            <w:r w:rsidRPr="006F54E3">
              <w:rPr>
                <w:rFonts w:cs="Calibri Light"/>
                <w:b/>
                <w:bCs/>
                <w:color w:val="000000"/>
                <w:sz w:val="20"/>
              </w:rPr>
              <w:t>Weight</w:t>
            </w:r>
          </w:p>
        </w:tc>
        <w:tc>
          <w:tcPr>
            <w:tcW w:w="1584" w:type="dxa"/>
            <w:shd w:val="clear" w:color="auto" w:fill="F2F2F2" w:themeFill="background1" w:themeFillShade="F2"/>
            <w:vAlign w:val="bottom"/>
            <w:hideMark/>
          </w:tcPr>
          <w:p w14:paraId="5A4A9EB6" w14:textId="77777777" w:rsidR="00F56DFB" w:rsidRPr="006F54E3" w:rsidRDefault="00F56DFB" w:rsidP="00D207DF">
            <w:pPr>
              <w:keepNext/>
              <w:keepLines/>
              <w:spacing w:before="0" w:after="0"/>
              <w:jc w:val="center"/>
              <w:rPr>
                <w:rFonts w:cs="Calibri Light"/>
                <w:b/>
                <w:bCs/>
                <w:color w:val="000000"/>
                <w:sz w:val="20"/>
              </w:rPr>
            </w:pPr>
            <w:r w:rsidRPr="006F54E3">
              <w:rPr>
                <w:rFonts w:cs="Calibri Light"/>
                <w:b/>
                <w:bCs/>
                <w:color w:val="000000"/>
                <w:sz w:val="20"/>
              </w:rPr>
              <w:t>Operating Hours</w:t>
            </w:r>
          </w:p>
        </w:tc>
      </w:tr>
      <w:tr w:rsidR="00E530DE" w:rsidRPr="006F54E3" w14:paraId="55841E4F" w14:textId="77777777" w:rsidTr="00E530DE">
        <w:trPr>
          <w:trHeight w:val="20"/>
        </w:trPr>
        <w:tc>
          <w:tcPr>
            <w:tcW w:w="3744" w:type="dxa"/>
            <w:shd w:val="clear" w:color="auto" w:fill="auto"/>
            <w:vAlign w:val="center"/>
            <w:hideMark/>
          </w:tcPr>
          <w:p w14:paraId="4AE59650" w14:textId="77777777" w:rsidR="00F56DFB" w:rsidRPr="006F54E3" w:rsidRDefault="00F56DFB" w:rsidP="00D207DF">
            <w:pPr>
              <w:spacing w:before="0" w:after="0"/>
              <w:rPr>
                <w:rFonts w:cs="Calibri Light"/>
                <w:color w:val="000000"/>
                <w:sz w:val="20"/>
              </w:rPr>
            </w:pPr>
            <w:r w:rsidRPr="006F54E3">
              <w:rPr>
                <w:rFonts w:cs="Calibri Light"/>
                <w:color w:val="000000"/>
                <w:sz w:val="20"/>
              </w:rPr>
              <w:t>No Controls</w:t>
            </w:r>
          </w:p>
        </w:tc>
        <w:tc>
          <w:tcPr>
            <w:tcW w:w="1584" w:type="dxa"/>
            <w:shd w:val="clear" w:color="auto" w:fill="auto"/>
            <w:vAlign w:val="center"/>
            <w:hideMark/>
          </w:tcPr>
          <w:p w14:paraId="64C45C64" w14:textId="702956D0"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33</w:t>
            </w:r>
            <w:r w:rsidR="006F54E3" w:rsidRPr="006F54E3">
              <w:rPr>
                <w:rFonts w:cs="Calibri Light"/>
                <w:color w:val="000000"/>
                <w:sz w:val="20"/>
              </w:rPr>
              <w:t>.0%</w:t>
            </w:r>
          </w:p>
        </w:tc>
        <w:tc>
          <w:tcPr>
            <w:tcW w:w="1584" w:type="dxa"/>
            <w:shd w:val="clear" w:color="auto" w:fill="auto"/>
            <w:vAlign w:val="center"/>
            <w:hideMark/>
          </w:tcPr>
          <w:p w14:paraId="5C1966A8" w14:textId="77777777"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8,760</w:t>
            </w:r>
          </w:p>
        </w:tc>
      </w:tr>
      <w:tr w:rsidR="00E530DE" w:rsidRPr="006F54E3" w14:paraId="4C191240" w14:textId="77777777" w:rsidTr="00E530DE">
        <w:trPr>
          <w:trHeight w:val="20"/>
        </w:trPr>
        <w:tc>
          <w:tcPr>
            <w:tcW w:w="3744" w:type="dxa"/>
            <w:shd w:val="clear" w:color="auto" w:fill="auto"/>
            <w:vAlign w:val="center"/>
            <w:hideMark/>
          </w:tcPr>
          <w:p w14:paraId="488BB063" w14:textId="3C83FD78" w:rsidR="00F56DFB" w:rsidRPr="006F54E3" w:rsidRDefault="00F56DFB" w:rsidP="00D207DF">
            <w:pPr>
              <w:spacing w:before="0" w:after="0"/>
              <w:rPr>
                <w:rFonts w:cs="Calibri Light"/>
                <w:color w:val="000000"/>
                <w:sz w:val="20"/>
              </w:rPr>
            </w:pPr>
            <w:r w:rsidRPr="006F54E3">
              <w:rPr>
                <w:rFonts w:cs="Calibri Light"/>
                <w:color w:val="000000"/>
                <w:sz w:val="20"/>
              </w:rPr>
              <w:t>Timer</w:t>
            </w:r>
            <w:r w:rsidR="006F54E3">
              <w:rPr>
                <w:rFonts w:cs="Calibri Light"/>
                <w:color w:val="000000"/>
                <w:sz w:val="20"/>
              </w:rPr>
              <w:t xml:space="preserve"> </w:t>
            </w:r>
            <w:r w:rsidR="006F54E3" w:rsidRPr="006F54E3">
              <w:rPr>
                <w:rFonts w:cs="Calibri Light"/>
                <w:color w:val="000000"/>
                <w:sz w:val="20"/>
                <w:vertAlign w:val="superscript"/>
              </w:rPr>
              <w:t>a</w:t>
            </w:r>
          </w:p>
        </w:tc>
        <w:tc>
          <w:tcPr>
            <w:tcW w:w="1584" w:type="dxa"/>
            <w:shd w:val="clear" w:color="auto" w:fill="auto"/>
            <w:vAlign w:val="center"/>
            <w:hideMark/>
          </w:tcPr>
          <w:p w14:paraId="31FAB130" w14:textId="473419D4"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39</w:t>
            </w:r>
            <w:r w:rsidR="006F54E3" w:rsidRPr="006F54E3">
              <w:rPr>
                <w:rFonts w:cs="Calibri Light"/>
                <w:color w:val="000000"/>
                <w:sz w:val="20"/>
              </w:rPr>
              <w:t>.0</w:t>
            </w:r>
            <w:r w:rsidRPr="006F54E3">
              <w:rPr>
                <w:rFonts w:cs="Calibri Light"/>
                <w:color w:val="000000"/>
                <w:sz w:val="20"/>
              </w:rPr>
              <w:t>%</w:t>
            </w:r>
          </w:p>
        </w:tc>
        <w:tc>
          <w:tcPr>
            <w:tcW w:w="1584" w:type="dxa"/>
            <w:shd w:val="clear" w:color="auto" w:fill="auto"/>
            <w:vAlign w:val="center"/>
            <w:hideMark/>
          </w:tcPr>
          <w:p w14:paraId="796C5580" w14:textId="5BC1FC97"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6,891</w:t>
            </w:r>
          </w:p>
        </w:tc>
      </w:tr>
      <w:tr w:rsidR="00E530DE" w:rsidRPr="006F54E3" w14:paraId="6B447779" w14:textId="77777777" w:rsidTr="00E530DE">
        <w:trPr>
          <w:trHeight w:val="20"/>
        </w:trPr>
        <w:tc>
          <w:tcPr>
            <w:tcW w:w="3744" w:type="dxa"/>
            <w:shd w:val="clear" w:color="auto" w:fill="auto"/>
            <w:vAlign w:val="center"/>
            <w:hideMark/>
          </w:tcPr>
          <w:p w14:paraId="78DDF9BD" w14:textId="77777777" w:rsidR="00F56DFB" w:rsidRPr="006F54E3" w:rsidRDefault="00F56DFB" w:rsidP="00D207DF">
            <w:pPr>
              <w:spacing w:before="0" w:after="0"/>
              <w:rPr>
                <w:rFonts w:cs="Calibri Light"/>
                <w:color w:val="000000"/>
                <w:sz w:val="20"/>
              </w:rPr>
            </w:pPr>
            <w:r w:rsidRPr="006F54E3">
              <w:rPr>
                <w:rFonts w:cs="Calibri Light"/>
                <w:color w:val="000000"/>
                <w:sz w:val="20"/>
              </w:rPr>
              <w:t>Timer + Aquastat</w:t>
            </w:r>
          </w:p>
        </w:tc>
        <w:tc>
          <w:tcPr>
            <w:tcW w:w="1584" w:type="dxa"/>
            <w:shd w:val="clear" w:color="auto" w:fill="auto"/>
            <w:vAlign w:val="center"/>
            <w:hideMark/>
          </w:tcPr>
          <w:p w14:paraId="76C2B55A" w14:textId="2178501C"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11</w:t>
            </w:r>
            <w:r w:rsidR="006F54E3" w:rsidRPr="006F54E3">
              <w:rPr>
                <w:rFonts w:cs="Calibri Light"/>
                <w:color w:val="000000"/>
                <w:sz w:val="20"/>
              </w:rPr>
              <w:t>.0</w:t>
            </w:r>
            <w:r w:rsidRPr="006F54E3">
              <w:rPr>
                <w:rFonts w:cs="Calibri Light"/>
                <w:color w:val="000000"/>
                <w:sz w:val="20"/>
              </w:rPr>
              <w:t>%</w:t>
            </w:r>
          </w:p>
        </w:tc>
        <w:tc>
          <w:tcPr>
            <w:tcW w:w="1584" w:type="dxa"/>
            <w:shd w:val="clear" w:color="auto" w:fill="auto"/>
            <w:vAlign w:val="center"/>
            <w:hideMark/>
          </w:tcPr>
          <w:p w14:paraId="26B43AE7" w14:textId="77777777"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1,095</w:t>
            </w:r>
          </w:p>
        </w:tc>
      </w:tr>
      <w:tr w:rsidR="00E530DE" w:rsidRPr="006F54E3" w14:paraId="1B3561D4" w14:textId="77777777" w:rsidTr="00E530DE">
        <w:trPr>
          <w:trHeight w:val="20"/>
        </w:trPr>
        <w:tc>
          <w:tcPr>
            <w:tcW w:w="3744" w:type="dxa"/>
            <w:shd w:val="clear" w:color="auto" w:fill="auto"/>
            <w:vAlign w:val="center"/>
            <w:hideMark/>
          </w:tcPr>
          <w:p w14:paraId="3CA848B4" w14:textId="1FD8F451" w:rsidR="00F56DFB" w:rsidRPr="006F54E3" w:rsidRDefault="00F56DFB" w:rsidP="00D207DF">
            <w:pPr>
              <w:spacing w:before="0" w:after="0"/>
              <w:rPr>
                <w:rFonts w:cs="Calibri Light"/>
                <w:color w:val="000000"/>
                <w:sz w:val="20"/>
              </w:rPr>
            </w:pPr>
            <w:r w:rsidRPr="006F54E3">
              <w:rPr>
                <w:rFonts w:cs="Calibri Light"/>
                <w:color w:val="000000"/>
                <w:sz w:val="20"/>
              </w:rPr>
              <w:t>Aquastat</w:t>
            </w:r>
            <w:r w:rsidR="00BB5AE2">
              <w:rPr>
                <w:rFonts w:cs="Calibri Light"/>
                <w:color w:val="000000"/>
                <w:sz w:val="20"/>
              </w:rPr>
              <w:t>-only</w:t>
            </w:r>
          </w:p>
        </w:tc>
        <w:tc>
          <w:tcPr>
            <w:tcW w:w="1584" w:type="dxa"/>
            <w:shd w:val="clear" w:color="auto" w:fill="auto"/>
            <w:vAlign w:val="center"/>
            <w:hideMark/>
          </w:tcPr>
          <w:p w14:paraId="1EFA0306" w14:textId="3E771FD6"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17</w:t>
            </w:r>
            <w:r w:rsidR="006F54E3" w:rsidRPr="006F54E3">
              <w:rPr>
                <w:rFonts w:cs="Calibri Light"/>
                <w:color w:val="000000"/>
                <w:sz w:val="20"/>
              </w:rPr>
              <w:t>.0</w:t>
            </w:r>
            <w:r w:rsidRPr="006F54E3">
              <w:rPr>
                <w:rFonts w:cs="Calibri Light"/>
                <w:color w:val="000000"/>
                <w:sz w:val="20"/>
              </w:rPr>
              <w:t>%</w:t>
            </w:r>
          </w:p>
        </w:tc>
        <w:tc>
          <w:tcPr>
            <w:tcW w:w="1584" w:type="dxa"/>
            <w:shd w:val="clear" w:color="auto" w:fill="auto"/>
            <w:vAlign w:val="center"/>
            <w:hideMark/>
          </w:tcPr>
          <w:p w14:paraId="7852CAA7" w14:textId="77777777" w:rsidR="00F56DFB" w:rsidRPr="006F54E3" w:rsidRDefault="00F56DFB" w:rsidP="00D207DF">
            <w:pPr>
              <w:spacing w:before="0" w:after="0"/>
              <w:ind w:right="250"/>
              <w:jc w:val="right"/>
              <w:rPr>
                <w:rFonts w:cs="Calibri Light"/>
                <w:color w:val="000000"/>
                <w:sz w:val="20"/>
              </w:rPr>
            </w:pPr>
            <w:r w:rsidRPr="006F54E3">
              <w:rPr>
                <w:rFonts w:cs="Calibri Light"/>
                <w:color w:val="000000"/>
                <w:sz w:val="20"/>
              </w:rPr>
              <w:t>1,095</w:t>
            </w:r>
          </w:p>
        </w:tc>
      </w:tr>
      <w:tr w:rsidR="00E530DE" w:rsidRPr="00F044BB" w14:paraId="5BBDE146" w14:textId="77777777" w:rsidTr="002D170C">
        <w:trPr>
          <w:trHeight w:val="20"/>
        </w:trPr>
        <w:tc>
          <w:tcPr>
            <w:tcW w:w="3744" w:type="dxa"/>
            <w:shd w:val="clear" w:color="auto" w:fill="auto"/>
            <w:vAlign w:val="center"/>
            <w:hideMark/>
          </w:tcPr>
          <w:p w14:paraId="69F6D0EA" w14:textId="444B1D56" w:rsidR="00F56DFB" w:rsidRPr="00F044BB" w:rsidRDefault="00F56DFB" w:rsidP="00D207DF">
            <w:pPr>
              <w:spacing w:before="0" w:after="0"/>
              <w:rPr>
                <w:rFonts w:cs="Calibri Light"/>
                <w:b/>
                <w:bCs/>
                <w:sz w:val="20"/>
              </w:rPr>
            </w:pPr>
            <w:r w:rsidRPr="00F044BB">
              <w:rPr>
                <w:rFonts w:cs="Calibri Light"/>
                <w:b/>
                <w:bCs/>
                <w:sz w:val="20"/>
              </w:rPr>
              <w:t xml:space="preserve">Total w/ Alpha Field Results Timer </w:t>
            </w:r>
            <w:r w:rsidR="00971B8D" w:rsidRPr="00F044BB">
              <w:rPr>
                <w:rFonts w:cs="Calibri Light"/>
                <w:b/>
                <w:bCs/>
                <w:sz w:val="20"/>
              </w:rPr>
              <w:t>Avg.</w:t>
            </w:r>
          </w:p>
        </w:tc>
        <w:tc>
          <w:tcPr>
            <w:tcW w:w="1584" w:type="dxa"/>
            <w:shd w:val="clear" w:color="auto" w:fill="auto"/>
            <w:vAlign w:val="center"/>
            <w:hideMark/>
          </w:tcPr>
          <w:p w14:paraId="3CB9851D" w14:textId="444515DA" w:rsidR="00F56DFB" w:rsidRPr="00F044BB" w:rsidRDefault="00F56DFB" w:rsidP="00D207DF">
            <w:pPr>
              <w:spacing w:before="0" w:after="0"/>
              <w:ind w:right="250"/>
              <w:jc w:val="right"/>
              <w:rPr>
                <w:rFonts w:cs="Calibri Light"/>
                <w:b/>
                <w:bCs/>
                <w:color w:val="000000"/>
                <w:sz w:val="20"/>
              </w:rPr>
            </w:pPr>
            <w:r w:rsidRPr="00F044BB">
              <w:rPr>
                <w:rFonts w:cs="Calibri Light"/>
                <w:b/>
                <w:bCs/>
                <w:color w:val="000000"/>
                <w:sz w:val="20"/>
              </w:rPr>
              <w:t>100</w:t>
            </w:r>
            <w:r w:rsidR="006F54E3" w:rsidRPr="00F044BB">
              <w:rPr>
                <w:rFonts w:cs="Calibri Light"/>
                <w:b/>
                <w:bCs/>
                <w:color w:val="000000"/>
                <w:sz w:val="20"/>
              </w:rPr>
              <w:t>.0</w:t>
            </w:r>
            <w:r w:rsidRPr="00F044BB">
              <w:rPr>
                <w:rFonts w:cs="Calibri Light"/>
                <w:b/>
                <w:bCs/>
                <w:color w:val="000000"/>
                <w:sz w:val="20"/>
              </w:rPr>
              <w:t>%</w:t>
            </w:r>
          </w:p>
        </w:tc>
        <w:tc>
          <w:tcPr>
            <w:tcW w:w="1584" w:type="dxa"/>
            <w:shd w:val="clear" w:color="auto" w:fill="auto"/>
            <w:vAlign w:val="center"/>
            <w:hideMark/>
          </w:tcPr>
          <w:p w14:paraId="343476CA" w14:textId="77777777" w:rsidR="00F56DFB" w:rsidRPr="00F044BB" w:rsidRDefault="00F56DFB" w:rsidP="00D207DF">
            <w:pPr>
              <w:spacing w:before="0" w:after="0"/>
              <w:ind w:right="250"/>
              <w:jc w:val="right"/>
              <w:rPr>
                <w:rFonts w:cs="Calibri Light"/>
                <w:b/>
                <w:bCs/>
                <w:color w:val="000000"/>
                <w:sz w:val="20"/>
              </w:rPr>
            </w:pPr>
            <w:r w:rsidRPr="00F044BB">
              <w:rPr>
                <w:rFonts w:cs="Calibri Light"/>
                <w:b/>
                <w:bCs/>
                <w:color w:val="000000"/>
                <w:sz w:val="20"/>
              </w:rPr>
              <w:t>5,885</w:t>
            </w:r>
          </w:p>
        </w:tc>
      </w:tr>
    </w:tbl>
    <w:p w14:paraId="70318E65" w14:textId="161F111D" w:rsidR="006F54E3" w:rsidRPr="00C51A3C" w:rsidRDefault="006F54E3" w:rsidP="00F044BB">
      <w:pPr>
        <w:pStyle w:val="eTRMTableFootnote"/>
        <w:keepNext/>
        <w:keepLines/>
      </w:pPr>
      <w:r>
        <w:t xml:space="preserve">a. </w:t>
      </w:r>
      <w:r w:rsidRPr="00C51A3C">
        <w:t xml:space="preserve">In the Alpha field test, </w:t>
      </w:r>
      <w:r w:rsidR="00E530DE">
        <w:t>five</w:t>
      </w:r>
      <w:r w:rsidRPr="00C51A3C">
        <w:t xml:space="preserve"> pumps with timers were found</w:t>
      </w:r>
      <w:r>
        <w:t>;</w:t>
      </w:r>
      <w:r w:rsidRPr="00C51A3C">
        <w:t xml:space="preserve"> </w:t>
      </w:r>
      <w:r>
        <w:t>t</w:t>
      </w:r>
      <w:r w:rsidRPr="00C51A3C">
        <w:t>wo were set to operate 24/7 while three had limited schedules.</w:t>
      </w:r>
    </w:p>
    <w:p w14:paraId="2281DA15" w14:textId="77777777" w:rsidR="00F56DFB" w:rsidRDefault="00F56DFB" w:rsidP="00F56DFB">
      <w:pPr>
        <w:rPr>
          <w:rFonts w:cs="Arial"/>
          <w:sz w:val="20"/>
          <w:szCs w:val="20"/>
        </w:rPr>
      </w:pPr>
    </w:p>
    <w:p w14:paraId="46B7702E" w14:textId="77777777" w:rsidR="00BB4F22" w:rsidRPr="004B06E3" w:rsidRDefault="00BB4F22" w:rsidP="00BB4F22">
      <w:pPr>
        <w:pStyle w:val="eTRMHeading3"/>
      </w:pPr>
      <w:bookmarkStart w:id="39" w:name="_Toc486490856"/>
      <w:bookmarkStart w:id="40" w:name="_Toc486580927"/>
      <w:bookmarkStart w:id="41" w:name="_Toc2251834"/>
      <w:r w:rsidRPr="004B06E3">
        <w:t>Peak Electric Demand Reduction (</w:t>
      </w:r>
      <w:r w:rsidRPr="00F66C96">
        <w:rPr>
          <w:caps w:val="0"/>
        </w:rPr>
        <w:t>kW</w:t>
      </w:r>
      <w:r w:rsidRPr="004B06E3">
        <w:t>)</w:t>
      </w:r>
      <w:bookmarkEnd w:id="39"/>
      <w:bookmarkEnd w:id="40"/>
      <w:bookmarkEnd w:id="41"/>
    </w:p>
    <w:p w14:paraId="4F13283B" w14:textId="723AACE5" w:rsidR="00E530DE" w:rsidRDefault="008000AC" w:rsidP="00BB4F22">
      <w:r>
        <w:t xml:space="preserve">Peak demand reduction is calculated as the different between the </w:t>
      </w:r>
      <w:r w:rsidR="00E530DE">
        <w:t>baseline</w:t>
      </w:r>
      <w:r>
        <w:t xml:space="preserve"> and measure case running wattage, multiplied by the coincident demand factor (CDF), as shown </w:t>
      </w:r>
      <w:r w:rsidR="00E530DE">
        <w:t>below</w:t>
      </w:r>
      <w:r>
        <w:t xml:space="preserve">. </w:t>
      </w:r>
    </w:p>
    <w:p w14:paraId="553FFA5F" w14:textId="77777777" w:rsidR="00E530DE" w:rsidRPr="00315D7B" w:rsidRDefault="00E530DE" w:rsidP="00E530DE">
      <w:pPr>
        <w:ind w:left="720"/>
        <w:rPr>
          <w:rFonts w:ascii="Arial" w:hAnsi="Arial" w:cs="Arial"/>
          <w:i/>
          <w:sz w:val="18"/>
          <w:szCs w:val="18"/>
        </w:rPr>
      </w:pPr>
      <m:oMathPara>
        <m:oMathParaPr>
          <m:jc m:val="left"/>
        </m:oMathParaPr>
        <m:oMath>
          <m:r>
            <w:rPr>
              <w:rFonts w:ascii="Cambria Math" w:hAnsi="Cambria Math"/>
              <w:sz w:val="18"/>
              <w:szCs w:val="18"/>
            </w:rPr>
            <w:lastRenderedPageBreak/>
            <m:t>DemandReduction(kW)=</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kW</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kW</m:t>
                  </m:r>
                </m:e>
                <m:sub>
                  <m:r>
                    <w:rPr>
                      <w:rFonts w:ascii="Cambria Math" w:hAnsi="Cambria Math"/>
                      <w:sz w:val="18"/>
                      <w:szCs w:val="18"/>
                    </w:rPr>
                    <m:t>measure</m:t>
                  </m:r>
                </m:sub>
              </m:sSub>
            </m:e>
          </m:d>
          <m:r>
            <w:rPr>
              <w:rFonts w:ascii="Cambria Math" w:hAnsi="Cambria Math"/>
              <w:sz w:val="18"/>
              <w:szCs w:val="18"/>
            </w:rPr>
            <m:t>×CDF</m:t>
          </m:r>
        </m:oMath>
      </m:oMathPara>
    </w:p>
    <w:p w14:paraId="5007C5E6" w14:textId="77777777" w:rsidR="00E530DE" w:rsidRDefault="00E530DE" w:rsidP="00BB4F22"/>
    <w:p w14:paraId="6544115B" w14:textId="39CA0F3D" w:rsidR="00BB4F22" w:rsidRDefault="00967D84" w:rsidP="00BB4F22">
      <w:r>
        <w:t xml:space="preserve">See the Electric Savings section for an explanation of the </w:t>
      </w:r>
      <w:r w:rsidR="00E530DE">
        <w:t>baseline</w:t>
      </w:r>
      <w:r>
        <w:t xml:space="preserve"> and measure case wattage and operating hours. The CDF represents the portion of hours the pump is in operation, or the operating hours divided by 8,760.</w:t>
      </w:r>
    </w:p>
    <w:p w14:paraId="58DD538A" w14:textId="4EFC7385" w:rsidR="00CD020C" w:rsidRDefault="00CD020C" w:rsidP="00D552C9">
      <w:pPr>
        <w:pStyle w:val="Caption"/>
        <w:keepNext w:val="0"/>
        <w:keepLines w:val="0"/>
      </w:pPr>
      <w:r>
        <w:t>Peak Demand Reduction Input</w:t>
      </w:r>
      <w:r w:rsidR="00E530DE">
        <w:t>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5"/>
        <w:gridCol w:w="1350"/>
        <w:gridCol w:w="5310"/>
      </w:tblGrid>
      <w:tr w:rsidR="00E530DE" w:rsidRPr="00CD020C" w14:paraId="13FFB7EA" w14:textId="77777777" w:rsidTr="00D552C9">
        <w:trPr>
          <w:trHeight w:val="260"/>
          <w:tblHeader/>
        </w:trPr>
        <w:tc>
          <w:tcPr>
            <w:tcW w:w="2875" w:type="dxa"/>
            <w:shd w:val="clear" w:color="auto" w:fill="F2F2F2" w:themeFill="background1" w:themeFillShade="F2"/>
            <w:noWrap/>
            <w:vAlign w:val="bottom"/>
            <w:hideMark/>
          </w:tcPr>
          <w:p w14:paraId="3C36CE07" w14:textId="77777777" w:rsidR="00E530DE" w:rsidRPr="00CF35ED" w:rsidRDefault="00E530DE" w:rsidP="00D552C9">
            <w:pPr>
              <w:spacing w:before="0" w:after="0" w:line="240" w:lineRule="auto"/>
              <w:rPr>
                <w:rFonts w:eastAsia="Times New Roman" w:cs="Calibri Light"/>
                <w:b/>
                <w:sz w:val="20"/>
                <w:szCs w:val="20"/>
              </w:rPr>
            </w:pPr>
            <w:r>
              <w:rPr>
                <w:rFonts w:eastAsia="Times New Roman" w:cs="Calibri Light"/>
                <w:b/>
                <w:sz w:val="20"/>
                <w:szCs w:val="20"/>
              </w:rPr>
              <w:t>Parameter</w:t>
            </w:r>
          </w:p>
        </w:tc>
        <w:tc>
          <w:tcPr>
            <w:tcW w:w="1350" w:type="dxa"/>
            <w:shd w:val="clear" w:color="auto" w:fill="F2F2F2" w:themeFill="background1" w:themeFillShade="F2"/>
            <w:noWrap/>
            <w:vAlign w:val="bottom"/>
            <w:hideMark/>
          </w:tcPr>
          <w:p w14:paraId="6F35E417" w14:textId="77777777" w:rsidR="00E530DE" w:rsidRPr="00CF35ED" w:rsidRDefault="00E530DE" w:rsidP="00D552C9">
            <w:pPr>
              <w:spacing w:before="0" w:after="0" w:line="240" w:lineRule="auto"/>
              <w:jc w:val="center"/>
              <w:rPr>
                <w:rFonts w:eastAsia="Times New Roman" w:cs="Calibri Light"/>
                <w:b/>
                <w:sz w:val="20"/>
                <w:szCs w:val="20"/>
              </w:rPr>
            </w:pPr>
            <w:r w:rsidRPr="00CF35ED">
              <w:rPr>
                <w:rFonts w:eastAsia="Times New Roman" w:cs="Calibri Light"/>
                <w:b/>
                <w:sz w:val="20"/>
                <w:szCs w:val="20"/>
              </w:rPr>
              <w:t>Value</w:t>
            </w:r>
          </w:p>
        </w:tc>
        <w:tc>
          <w:tcPr>
            <w:tcW w:w="5310" w:type="dxa"/>
            <w:shd w:val="clear" w:color="auto" w:fill="F2F2F2" w:themeFill="background1" w:themeFillShade="F2"/>
          </w:tcPr>
          <w:p w14:paraId="017C2E0F" w14:textId="77777777" w:rsidR="00E530DE" w:rsidRPr="00CD020C" w:rsidRDefault="00E530DE" w:rsidP="00D552C9">
            <w:pPr>
              <w:spacing w:before="0" w:after="0" w:line="240" w:lineRule="auto"/>
              <w:jc w:val="center"/>
              <w:rPr>
                <w:rFonts w:eastAsia="Times New Roman" w:cs="Calibri Light"/>
                <w:b/>
                <w:sz w:val="20"/>
                <w:szCs w:val="20"/>
              </w:rPr>
            </w:pPr>
            <w:r w:rsidRPr="00CD020C">
              <w:rPr>
                <w:rFonts w:eastAsia="Times New Roman" w:cs="Calibri Light"/>
                <w:b/>
                <w:sz w:val="20"/>
                <w:szCs w:val="20"/>
              </w:rPr>
              <w:t>Source</w:t>
            </w:r>
          </w:p>
        </w:tc>
      </w:tr>
      <w:tr w:rsidR="00E530DE" w:rsidRPr="00CF35ED" w14:paraId="2078F5C6" w14:textId="77777777" w:rsidTr="00E530DE">
        <w:trPr>
          <w:trHeight w:val="260"/>
        </w:trPr>
        <w:tc>
          <w:tcPr>
            <w:tcW w:w="2875" w:type="dxa"/>
            <w:shd w:val="clear" w:color="auto" w:fill="auto"/>
            <w:noWrap/>
            <w:vAlign w:val="center"/>
            <w:hideMark/>
          </w:tcPr>
          <w:p w14:paraId="543F43E8" w14:textId="65C7B844" w:rsidR="00E530DE" w:rsidRPr="00CF35ED" w:rsidRDefault="00E530DE" w:rsidP="00D552C9">
            <w:pPr>
              <w:spacing w:before="0" w:after="0" w:line="240" w:lineRule="auto"/>
              <w:rPr>
                <w:rFonts w:eastAsia="Times New Roman" w:cs="Calibri Light"/>
                <w:sz w:val="20"/>
                <w:szCs w:val="20"/>
              </w:rPr>
            </w:pPr>
            <w:r w:rsidRPr="00CF35ED">
              <w:rPr>
                <w:rFonts w:eastAsia="Times New Roman" w:cs="Calibri Light"/>
                <w:sz w:val="20"/>
                <w:szCs w:val="20"/>
              </w:rPr>
              <w:t>Base Case Power</w:t>
            </w:r>
            <w:r>
              <w:rPr>
                <w:rFonts w:eastAsia="Times New Roman" w:cs="Calibri Light"/>
                <w:sz w:val="20"/>
                <w:szCs w:val="20"/>
              </w:rPr>
              <w:t xml:space="preserve"> (kW)</w:t>
            </w:r>
          </w:p>
        </w:tc>
        <w:tc>
          <w:tcPr>
            <w:tcW w:w="1350" w:type="dxa"/>
            <w:shd w:val="clear" w:color="auto" w:fill="auto"/>
            <w:noWrap/>
            <w:vAlign w:val="center"/>
            <w:hideMark/>
          </w:tcPr>
          <w:p w14:paraId="62D394F7" w14:textId="77777777" w:rsidR="00E530DE" w:rsidRPr="00CF35ED" w:rsidRDefault="00E530DE" w:rsidP="00D552C9">
            <w:pPr>
              <w:spacing w:before="0" w:after="0" w:line="240" w:lineRule="auto"/>
              <w:jc w:val="right"/>
              <w:rPr>
                <w:rFonts w:eastAsia="Times New Roman" w:cs="Calibri Light"/>
                <w:sz w:val="20"/>
                <w:szCs w:val="20"/>
              </w:rPr>
            </w:pPr>
            <w:r w:rsidRPr="00CF35ED">
              <w:rPr>
                <w:rFonts w:eastAsia="Times New Roman" w:cs="Calibri Light"/>
                <w:sz w:val="20"/>
                <w:szCs w:val="20"/>
              </w:rPr>
              <w:t>0.0842</w:t>
            </w:r>
          </w:p>
        </w:tc>
        <w:tc>
          <w:tcPr>
            <w:tcW w:w="5310" w:type="dxa"/>
            <w:shd w:val="clear" w:color="auto" w:fill="auto"/>
            <w:vAlign w:val="center"/>
          </w:tcPr>
          <w:p w14:paraId="03039DAC" w14:textId="77777777" w:rsidR="00E530DE" w:rsidRPr="00A92548" w:rsidRDefault="00E530DE" w:rsidP="00D552C9">
            <w:pPr>
              <w:spacing w:before="0" w:after="0" w:line="240" w:lineRule="auto"/>
              <w:rPr>
                <w:rFonts w:cs="Arial"/>
                <w:i/>
                <w:sz w:val="18"/>
                <w:szCs w:val="18"/>
              </w:rPr>
            </w:pPr>
            <w:r w:rsidRPr="00A92548">
              <w:rPr>
                <w:rFonts w:cs="Arial"/>
                <w:i/>
                <w:sz w:val="18"/>
                <w:szCs w:val="18"/>
              </w:rPr>
              <w:t>Derived from:</w:t>
            </w:r>
          </w:p>
          <w:p w14:paraId="6A06C323" w14:textId="3CC46F2E" w:rsidR="00E530DE" w:rsidRPr="00CD020C" w:rsidRDefault="00E530DE" w:rsidP="00D552C9">
            <w:pPr>
              <w:spacing w:before="0" w:after="0" w:line="240" w:lineRule="auto"/>
              <w:rPr>
                <w:rFonts w:eastAsia="Times New Roman" w:cs="Calibri Light"/>
                <w:sz w:val="18"/>
                <w:szCs w:val="20"/>
                <w:highlight w:val="yellow"/>
              </w:rPr>
            </w:pPr>
            <w:proofErr w:type="spellStart"/>
            <w:r w:rsidRPr="00A303E4">
              <w:rPr>
                <w:rFonts w:eastAsia="Times New Roman" w:cs="Calibri Light"/>
                <w:sz w:val="18"/>
                <w:szCs w:val="18"/>
              </w:rPr>
              <w:t>Grunfos</w:t>
            </w:r>
            <w:proofErr w:type="spellEnd"/>
            <w:r w:rsidRPr="00A303E4">
              <w:rPr>
                <w:rFonts w:eastAsia="Times New Roman" w:cs="Calibri Light"/>
                <w:sz w:val="18"/>
                <w:szCs w:val="18"/>
              </w:rPr>
              <w:t>. 2017. “UP 15-29 SU/LC Circulator Pumps.”</w:t>
            </w:r>
          </w:p>
        </w:tc>
      </w:tr>
      <w:tr w:rsidR="00E530DE" w:rsidRPr="00CF35ED" w14:paraId="16E9B4B4" w14:textId="77777777" w:rsidTr="00E530DE">
        <w:trPr>
          <w:trHeight w:val="260"/>
        </w:trPr>
        <w:tc>
          <w:tcPr>
            <w:tcW w:w="2875" w:type="dxa"/>
            <w:shd w:val="clear" w:color="auto" w:fill="auto"/>
            <w:noWrap/>
            <w:vAlign w:val="center"/>
            <w:hideMark/>
          </w:tcPr>
          <w:p w14:paraId="5B798186" w14:textId="3CAE2575" w:rsidR="00E530DE" w:rsidRPr="00E530DE" w:rsidRDefault="00E530DE" w:rsidP="00D552C9">
            <w:pPr>
              <w:spacing w:before="0" w:after="0" w:line="240" w:lineRule="auto"/>
              <w:rPr>
                <w:rFonts w:eastAsia="Times New Roman" w:cs="Calibri Light"/>
                <w:sz w:val="20"/>
                <w:szCs w:val="20"/>
              </w:rPr>
            </w:pPr>
            <w:r w:rsidRPr="00CF35ED">
              <w:rPr>
                <w:rFonts w:eastAsia="Times New Roman" w:cs="Calibri Light"/>
                <w:sz w:val="20"/>
                <w:szCs w:val="20"/>
              </w:rPr>
              <w:t>Measure Case Power</w:t>
            </w:r>
            <w:r w:rsidRPr="008000AC">
              <w:rPr>
                <w:rFonts w:eastAsia="Times New Roman" w:cs="Calibri Light"/>
                <w:sz w:val="20"/>
                <w:szCs w:val="20"/>
                <w:vertAlign w:val="superscript"/>
              </w:rPr>
              <w:t xml:space="preserve"> </w:t>
            </w:r>
            <w:proofErr w:type="gramStart"/>
            <w:r w:rsidRPr="008000AC">
              <w:rPr>
                <w:rFonts w:eastAsia="Times New Roman" w:cs="Calibri Light"/>
                <w:sz w:val="20"/>
                <w:szCs w:val="20"/>
                <w:vertAlign w:val="superscript"/>
              </w:rPr>
              <w:t>a</w:t>
            </w:r>
            <w:r>
              <w:rPr>
                <w:rFonts w:eastAsia="Times New Roman" w:cs="Calibri Light"/>
                <w:sz w:val="20"/>
                <w:szCs w:val="20"/>
                <w:vertAlign w:val="superscript"/>
              </w:rPr>
              <w:t xml:space="preserve"> </w:t>
            </w:r>
            <w:r>
              <w:rPr>
                <w:rFonts w:eastAsia="Times New Roman" w:cs="Calibri Light"/>
                <w:sz w:val="20"/>
                <w:szCs w:val="20"/>
              </w:rPr>
              <w:t xml:space="preserve"> (</w:t>
            </w:r>
            <w:proofErr w:type="gramEnd"/>
            <w:r>
              <w:rPr>
                <w:rFonts w:eastAsia="Times New Roman" w:cs="Calibri Light"/>
                <w:sz w:val="20"/>
                <w:szCs w:val="20"/>
              </w:rPr>
              <w:t>kW)</w:t>
            </w:r>
          </w:p>
        </w:tc>
        <w:tc>
          <w:tcPr>
            <w:tcW w:w="1350" w:type="dxa"/>
            <w:shd w:val="clear" w:color="auto" w:fill="auto"/>
            <w:noWrap/>
            <w:vAlign w:val="center"/>
            <w:hideMark/>
          </w:tcPr>
          <w:p w14:paraId="1F78DA35" w14:textId="77777777" w:rsidR="00E530DE" w:rsidRPr="00CF35ED" w:rsidRDefault="00E530DE" w:rsidP="00D552C9">
            <w:pPr>
              <w:spacing w:before="0" w:after="0" w:line="240" w:lineRule="auto"/>
              <w:jc w:val="right"/>
              <w:rPr>
                <w:rFonts w:eastAsia="Times New Roman" w:cs="Calibri Light"/>
                <w:sz w:val="20"/>
                <w:szCs w:val="20"/>
              </w:rPr>
            </w:pPr>
            <w:r w:rsidRPr="00CF35ED">
              <w:rPr>
                <w:rFonts w:eastAsia="Times New Roman" w:cs="Calibri Light"/>
                <w:sz w:val="20"/>
                <w:szCs w:val="20"/>
              </w:rPr>
              <w:t>0.0267</w:t>
            </w:r>
          </w:p>
        </w:tc>
        <w:tc>
          <w:tcPr>
            <w:tcW w:w="5310" w:type="dxa"/>
            <w:shd w:val="clear" w:color="auto" w:fill="auto"/>
            <w:vAlign w:val="center"/>
          </w:tcPr>
          <w:p w14:paraId="6BBBE1E3" w14:textId="77777777" w:rsidR="00E530DE" w:rsidRPr="00A92548" w:rsidRDefault="00E530DE" w:rsidP="00D552C9">
            <w:pPr>
              <w:spacing w:before="0" w:after="0" w:line="240" w:lineRule="auto"/>
              <w:rPr>
                <w:rFonts w:eastAsia="Times New Roman" w:cs="Calibri Light"/>
                <w:bCs/>
                <w:i/>
                <w:color w:val="000000"/>
                <w:sz w:val="18"/>
              </w:rPr>
            </w:pPr>
            <w:r w:rsidRPr="00A92548">
              <w:rPr>
                <w:rFonts w:eastAsia="Times New Roman" w:cs="Calibri Light"/>
                <w:bCs/>
                <w:i/>
                <w:color w:val="000000"/>
                <w:sz w:val="18"/>
              </w:rPr>
              <w:t>Derived from:</w:t>
            </w:r>
          </w:p>
          <w:p w14:paraId="7A57D740" w14:textId="21D5BD2C" w:rsidR="00E530DE" w:rsidRPr="00CD020C" w:rsidRDefault="00E530DE" w:rsidP="00D552C9">
            <w:pPr>
              <w:spacing w:before="0" w:after="0" w:line="240" w:lineRule="auto"/>
              <w:rPr>
                <w:rFonts w:eastAsia="Times New Roman" w:cs="Calibri Light"/>
                <w:sz w:val="18"/>
                <w:szCs w:val="20"/>
                <w:highlight w:val="yellow"/>
              </w:rPr>
            </w:pPr>
            <w:r w:rsidRPr="00394AB2">
              <w:rPr>
                <w:rFonts w:eastAsia="Times New Roman" w:cs="Calibri Light"/>
                <w:bCs/>
                <w:color w:val="000000"/>
                <w:sz w:val="18"/>
              </w:rPr>
              <w:t xml:space="preserve">Pacific Gas and Electric (PG&amp;E). 2017. “Appendix 6 – Alpha Measure Field Test Documents &amp; Details.” </w:t>
            </w:r>
            <w:r w:rsidRPr="00394AB2">
              <w:rPr>
                <w:rFonts w:eastAsia="Times New Roman" w:cs="Calibri Light"/>
                <w:bCs/>
                <w:i/>
                <w:color w:val="000000"/>
                <w:sz w:val="18"/>
              </w:rPr>
              <w:t>Workpaper PGECOPUM107: High Performance Circulator (HPC) Pumps Revision #0</w:t>
            </w:r>
            <w:r w:rsidRPr="00394AB2">
              <w:rPr>
                <w:rFonts w:eastAsia="Times New Roman" w:cs="Calibri Light"/>
                <w:bCs/>
                <w:color w:val="000000"/>
                <w:sz w:val="18"/>
              </w:rPr>
              <w:t>. May 29.</w:t>
            </w:r>
          </w:p>
        </w:tc>
      </w:tr>
      <w:tr w:rsidR="00E530DE" w:rsidRPr="00CF35ED" w14:paraId="743808F4" w14:textId="77777777" w:rsidTr="00E530DE">
        <w:trPr>
          <w:trHeight w:val="260"/>
        </w:trPr>
        <w:tc>
          <w:tcPr>
            <w:tcW w:w="2875" w:type="dxa"/>
            <w:shd w:val="clear" w:color="auto" w:fill="auto"/>
            <w:noWrap/>
            <w:vAlign w:val="center"/>
            <w:hideMark/>
          </w:tcPr>
          <w:p w14:paraId="1EC61A03" w14:textId="707B4A17" w:rsidR="00E530DE" w:rsidRPr="00CF35ED" w:rsidRDefault="00E530DE" w:rsidP="00D552C9">
            <w:pPr>
              <w:spacing w:before="0" w:after="0" w:line="240" w:lineRule="auto"/>
              <w:rPr>
                <w:rFonts w:eastAsia="Times New Roman" w:cs="Calibri Light"/>
                <w:sz w:val="20"/>
                <w:szCs w:val="20"/>
              </w:rPr>
            </w:pPr>
            <w:r w:rsidRPr="00CF35ED">
              <w:rPr>
                <w:rFonts w:eastAsia="Times New Roman" w:cs="Calibri Light"/>
                <w:sz w:val="20"/>
                <w:szCs w:val="20"/>
              </w:rPr>
              <w:t>Operating Hours</w:t>
            </w:r>
            <w:r>
              <w:rPr>
                <w:rFonts w:eastAsia="Times New Roman" w:cs="Calibri Light"/>
                <w:sz w:val="20"/>
                <w:szCs w:val="20"/>
              </w:rPr>
              <w:t xml:space="preserve"> (hours/</w:t>
            </w:r>
            <w:proofErr w:type="spellStart"/>
            <w:r>
              <w:rPr>
                <w:rFonts w:eastAsia="Times New Roman" w:cs="Calibri Light"/>
                <w:sz w:val="20"/>
                <w:szCs w:val="20"/>
              </w:rPr>
              <w:t>yr</w:t>
            </w:r>
            <w:proofErr w:type="spellEnd"/>
            <w:r>
              <w:rPr>
                <w:rFonts w:eastAsia="Times New Roman" w:cs="Calibri Light"/>
                <w:sz w:val="20"/>
                <w:szCs w:val="20"/>
              </w:rPr>
              <w:t>)</w:t>
            </w:r>
          </w:p>
        </w:tc>
        <w:tc>
          <w:tcPr>
            <w:tcW w:w="1350" w:type="dxa"/>
            <w:shd w:val="clear" w:color="auto" w:fill="auto"/>
            <w:noWrap/>
            <w:vAlign w:val="center"/>
            <w:hideMark/>
          </w:tcPr>
          <w:p w14:paraId="32FC27D7" w14:textId="77777777" w:rsidR="00E530DE" w:rsidRPr="00CF35ED" w:rsidRDefault="00E530DE" w:rsidP="00D552C9">
            <w:pPr>
              <w:spacing w:before="0" w:after="0" w:line="240" w:lineRule="auto"/>
              <w:jc w:val="right"/>
              <w:rPr>
                <w:rFonts w:eastAsia="Times New Roman" w:cs="Calibri Light"/>
                <w:sz w:val="20"/>
                <w:szCs w:val="20"/>
              </w:rPr>
            </w:pPr>
            <w:r w:rsidRPr="00CF35ED">
              <w:rPr>
                <w:rFonts w:eastAsia="Times New Roman" w:cs="Calibri Light"/>
                <w:sz w:val="20"/>
                <w:szCs w:val="20"/>
              </w:rPr>
              <w:t xml:space="preserve">5,885 </w:t>
            </w:r>
          </w:p>
        </w:tc>
        <w:tc>
          <w:tcPr>
            <w:tcW w:w="5310" w:type="dxa"/>
            <w:shd w:val="clear" w:color="auto" w:fill="auto"/>
            <w:vAlign w:val="center"/>
          </w:tcPr>
          <w:p w14:paraId="0E9138AD" w14:textId="56E6DCBC" w:rsidR="00E530DE" w:rsidRPr="00CD020C" w:rsidRDefault="00E530DE" w:rsidP="00D552C9">
            <w:pPr>
              <w:spacing w:before="0" w:after="0" w:line="240" w:lineRule="auto"/>
              <w:rPr>
                <w:rFonts w:eastAsia="Times New Roman" w:cs="Calibri Light"/>
                <w:sz w:val="18"/>
                <w:szCs w:val="20"/>
              </w:rPr>
            </w:pPr>
            <w:r w:rsidRPr="00BD4EB5">
              <w:rPr>
                <w:sz w:val="18"/>
                <w:szCs w:val="18"/>
              </w:rPr>
              <w:t xml:space="preserve">See </w:t>
            </w:r>
            <w:r w:rsidR="0081317E">
              <w:rPr>
                <w:sz w:val="18"/>
                <w:szCs w:val="18"/>
              </w:rPr>
              <w:t>Energy Savings</w:t>
            </w:r>
            <w:r w:rsidRPr="00BD4EB5">
              <w:rPr>
                <w:sz w:val="18"/>
                <w:szCs w:val="18"/>
              </w:rPr>
              <w:t>.</w:t>
            </w:r>
          </w:p>
        </w:tc>
      </w:tr>
      <w:tr w:rsidR="00E530DE" w:rsidRPr="00CF35ED" w14:paraId="614D25BF" w14:textId="77777777" w:rsidTr="00E530DE">
        <w:trPr>
          <w:trHeight w:val="260"/>
        </w:trPr>
        <w:tc>
          <w:tcPr>
            <w:tcW w:w="2875" w:type="dxa"/>
            <w:shd w:val="clear" w:color="auto" w:fill="auto"/>
            <w:noWrap/>
            <w:vAlign w:val="center"/>
          </w:tcPr>
          <w:p w14:paraId="64911247" w14:textId="1F9E70E4" w:rsidR="00E530DE" w:rsidRPr="00CF35ED" w:rsidRDefault="00E530DE" w:rsidP="00D552C9">
            <w:pPr>
              <w:keepNext/>
              <w:keepLines/>
              <w:spacing w:before="0" w:after="0" w:line="240" w:lineRule="auto"/>
              <w:rPr>
                <w:rFonts w:eastAsia="Times New Roman" w:cs="Calibri Light"/>
                <w:sz w:val="20"/>
                <w:szCs w:val="20"/>
              </w:rPr>
            </w:pPr>
            <w:r>
              <w:rPr>
                <w:rFonts w:eastAsia="Times New Roman" w:cs="Calibri Light"/>
                <w:sz w:val="20"/>
                <w:szCs w:val="20"/>
              </w:rPr>
              <w:t>Coincident Demand Factor</w:t>
            </w:r>
          </w:p>
        </w:tc>
        <w:tc>
          <w:tcPr>
            <w:tcW w:w="1350" w:type="dxa"/>
            <w:shd w:val="clear" w:color="auto" w:fill="auto"/>
            <w:noWrap/>
            <w:vAlign w:val="center"/>
          </w:tcPr>
          <w:p w14:paraId="704C826A" w14:textId="4EDF5C8E" w:rsidR="00E530DE" w:rsidRPr="00CF35ED" w:rsidRDefault="00E530DE" w:rsidP="00D552C9">
            <w:pPr>
              <w:keepNext/>
              <w:keepLines/>
              <w:spacing w:before="0" w:after="0" w:line="240" w:lineRule="auto"/>
              <w:jc w:val="right"/>
              <w:rPr>
                <w:rFonts w:eastAsia="Times New Roman" w:cs="Calibri Light"/>
                <w:sz w:val="20"/>
                <w:szCs w:val="20"/>
              </w:rPr>
            </w:pPr>
            <w:r>
              <w:rPr>
                <w:rFonts w:eastAsia="Times New Roman" w:cs="Calibri Light"/>
                <w:sz w:val="20"/>
                <w:szCs w:val="20"/>
              </w:rPr>
              <w:t>0.67</w:t>
            </w:r>
          </w:p>
        </w:tc>
        <w:tc>
          <w:tcPr>
            <w:tcW w:w="5310" w:type="dxa"/>
            <w:shd w:val="clear" w:color="auto" w:fill="auto"/>
            <w:vAlign w:val="center"/>
          </w:tcPr>
          <w:p w14:paraId="493D0E5E" w14:textId="77777777" w:rsidR="00E530DE" w:rsidRPr="00A92548" w:rsidRDefault="00E530DE" w:rsidP="00D552C9">
            <w:pPr>
              <w:keepNext/>
              <w:keepLines/>
              <w:spacing w:before="0" w:after="0" w:line="240" w:lineRule="auto"/>
              <w:rPr>
                <w:rFonts w:cs="Arial"/>
                <w:i/>
                <w:sz w:val="18"/>
                <w:szCs w:val="18"/>
              </w:rPr>
            </w:pPr>
            <w:r w:rsidRPr="00A92548">
              <w:rPr>
                <w:rFonts w:cs="Arial"/>
                <w:i/>
                <w:sz w:val="18"/>
                <w:szCs w:val="18"/>
              </w:rPr>
              <w:t>Derived from:</w:t>
            </w:r>
          </w:p>
          <w:p w14:paraId="42340914" w14:textId="465CFD4C" w:rsidR="00E530DE" w:rsidRPr="00CA4E77" w:rsidRDefault="00E530DE" w:rsidP="00D552C9">
            <w:pPr>
              <w:keepNext/>
              <w:keepLines/>
              <w:spacing w:before="0" w:after="0" w:line="240" w:lineRule="auto"/>
              <w:rPr>
                <w:rFonts w:eastAsia="Times New Roman" w:cs="Calibri Light"/>
                <w:sz w:val="18"/>
                <w:szCs w:val="20"/>
              </w:rPr>
            </w:pPr>
            <w:proofErr w:type="spellStart"/>
            <w:r w:rsidRPr="00A303E4">
              <w:rPr>
                <w:rFonts w:eastAsia="Times New Roman" w:cs="Calibri Light"/>
                <w:sz w:val="18"/>
                <w:szCs w:val="18"/>
              </w:rPr>
              <w:t>Grunfos</w:t>
            </w:r>
            <w:proofErr w:type="spellEnd"/>
            <w:r w:rsidRPr="00A303E4">
              <w:rPr>
                <w:rFonts w:eastAsia="Times New Roman" w:cs="Calibri Light"/>
                <w:sz w:val="18"/>
                <w:szCs w:val="18"/>
              </w:rPr>
              <w:t>. 2017. “UP 15-29 SU/LC Circulator Pumps.”</w:t>
            </w:r>
          </w:p>
        </w:tc>
      </w:tr>
    </w:tbl>
    <w:p w14:paraId="78F33FD6" w14:textId="1E263552" w:rsidR="008F5D95" w:rsidRDefault="008000AC" w:rsidP="00457B33">
      <w:pPr>
        <w:pStyle w:val="eTRMTableFootnote"/>
      </w:pPr>
      <w:r>
        <w:t xml:space="preserve">a. </w:t>
      </w:r>
      <w:r w:rsidR="008F5D95">
        <w:t xml:space="preserve">Field survey results were conducted over an average of </w:t>
      </w:r>
      <w:r>
        <w:t>seven</w:t>
      </w:r>
      <w:r w:rsidR="008F5D95">
        <w:t xml:space="preserve"> days</w:t>
      </w:r>
      <w:r>
        <w:t xml:space="preserve">; </w:t>
      </w:r>
      <w:r w:rsidR="008F5D95">
        <w:t>the c</w:t>
      </w:r>
      <w:r w:rsidR="008F5D95" w:rsidRPr="007B6D76">
        <w:t xml:space="preserve">alculated running </w:t>
      </w:r>
      <w:r w:rsidR="008F5D95">
        <w:t xml:space="preserve">wattage </w:t>
      </w:r>
      <w:r>
        <w:t>was</w:t>
      </w:r>
      <w:r w:rsidR="008F5D95">
        <w:t xml:space="preserve"> </w:t>
      </w:r>
      <w:r w:rsidR="008F5D95" w:rsidRPr="007B6D76">
        <w:t>12.1 after full optimization</w:t>
      </w:r>
      <w:r w:rsidR="00DC6BBC">
        <w:t>.</w:t>
      </w:r>
    </w:p>
    <w:p w14:paraId="375ECD99" w14:textId="1711F9BA" w:rsidR="008F5D95" w:rsidRDefault="008F5D95" w:rsidP="008F5D95"/>
    <w:p w14:paraId="02E97124" w14:textId="77777777" w:rsidR="00177EB6" w:rsidRPr="004B06E3" w:rsidRDefault="00177EB6" w:rsidP="00177EB6">
      <w:pPr>
        <w:pStyle w:val="eTRMHeading3"/>
      </w:pPr>
      <w:bookmarkStart w:id="42" w:name="_Toc486490858"/>
      <w:bookmarkStart w:id="43" w:name="_Toc486580929"/>
      <w:bookmarkStart w:id="44" w:name="_Toc2251835"/>
      <w:r w:rsidRPr="004B06E3">
        <w:t>Gas Savings (</w:t>
      </w:r>
      <w:r w:rsidRPr="00F66C96">
        <w:rPr>
          <w:caps w:val="0"/>
        </w:rPr>
        <w:t>Therms</w:t>
      </w:r>
      <w:r w:rsidRPr="004B06E3">
        <w:t>)</w:t>
      </w:r>
      <w:bookmarkEnd w:id="42"/>
      <w:bookmarkEnd w:id="43"/>
      <w:bookmarkEnd w:id="44"/>
    </w:p>
    <w:p w14:paraId="1285588C" w14:textId="61937572" w:rsidR="00177EB6" w:rsidRDefault="00F56DFB" w:rsidP="009156B2">
      <w:r>
        <w:t>Gas savings were not calculated</w:t>
      </w:r>
      <w:r w:rsidR="00DE1BDE">
        <w:t xml:space="preserve"> for this measure</w:t>
      </w:r>
      <w:r>
        <w:t xml:space="preserve">; the gas consumption for the measure case is assumed to equal the gas consumption of the base case. </w:t>
      </w:r>
      <w:r w:rsidR="008F5D95">
        <w:t>There is a possibility that with temperature control, and/or a lower flow rate that gas usage may be reduced, but this has not been calculated and is not being claimed.</w:t>
      </w:r>
    </w:p>
    <w:p w14:paraId="20A2A164" w14:textId="77777777" w:rsidR="00177EB6" w:rsidRDefault="00177EB6" w:rsidP="00177EB6"/>
    <w:p w14:paraId="4DDCD51F" w14:textId="465DBC49" w:rsidR="007D230B" w:rsidRPr="004B06E3" w:rsidRDefault="00245AFF" w:rsidP="00462BB6">
      <w:pPr>
        <w:pStyle w:val="eTRMHeading3"/>
      </w:pPr>
      <w:bookmarkStart w:id="45" w:name="_Toc2251836"/>
      <w:bookmarkStart w:id="46" w:name="_Toc486490859"/>
      <w:bookmarkStart w:id="47" w:name="_Toc486580930"/>
      <w:r w:rsidRPr="004B06E3">
        <w:t>Life Cycle</w:t>
      </w:r>
      <w:bookmarkEnd w:id="45"/>
      <w:r w:rsidR="007D230B" w:rsidRPr="004B06E3">
        <w:t xml:space="preserve"> </w:t>
      </w:r>
      <w:bookmarkEnd w:id="46"/>
      <w:bookmarkEnd w:id="47"/>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FE4EEA4" w14:textId="60CA00C1" w:rsidR="001C5B62" w:rsidRDefault="001C5B62" w:rsidP="001C5B62">
      <w:r>
        <w:rPr>
          <w:rFonts w:eastAsia="Times New Roman"/>
        </w:rPr>
        <w:t>A</w:t>
      </w:r>
      <w:r w:rsidRPr="00951F20">
        <w:t>s per Resolution E-4807, the California Public Utilities Commission (CPUC)</w:t>
      </w:r>
      <w:r>
        <w:t xml:space="preserve"> defined the EUL of </w:t>
      </w:r>
      <w:r w:rsidR="00DE1BDE">
        <w:t xml:space="preserve">an add-on equipment </w:t>
      </w:r>
      <w:r>
        <w:t>measure as the minimum of the EUL of the measure itself and the RUL of the host equipment.</w:t>
      </w:r>
      <w:r>
        <w:rPr>
          <w:rStyle w:val="FootnoteReference"/>
        </w:rPr>
        <w:footnoteReference w:id="5"/>
      </w:r>
      <w:r>
        <w:t xml:space="preserve"> The RUL of the host equipment</w:t>
      </w:r>
      <w:r>
        <w:rPr>
          <w:rFonts w:cs="Arial"/>
        </w:rPr>
        <w:t xml:space="preserve"> is calculated as one-third of the EUL of a pump motor. </w:t>
      </w:r>
      <w:r>
        <w:t>T</w:t>
      </w:r>
      <w:r>
        <w:rPr>
          <w:rFonts w:cs="Arial"/>
        </w:rPr>
        <w:t>he methodology to calculate the RUL of the host equipment conforms with Version 5 of the Energy Efficiency Policy Manual, which recommends “o</w:t>
      </w:r>
      <w:r>
        <w:t xml:space="preserve">ne-third of the effective useful life in DEER as the remaining useful life until further study results are available to establish more accurate values.” </w:t>
      </w:r>
      <w:r w:rsidRPr="008F087F">
        <w:rPr>
          <w:rFonts w:eastAsia="Times New Roman"/>
        </w:rPr>
        <w:t>This approach provides a reasonable RUL estimate without the requiring any a prior knowledge about the age of the equipment being replaced.</w:t>
      </w:r>
      <w:r>
        <w:rPr>
          <w:rStyle w:val="FootnoteReference"/>
          <w:rFonts w:eastAsia="Times New Roman"/>
        </w:rPr>
        <w:footnoteReference w:id="6"/>
      </w:r>
      <w:r w:rsidRPr="00951F20">
        <w:t xml:space="preserve"> </w:t>
      </w:r>
    </w:p>
    <w:p w14:paraId="2BE8EC3E" w14:textId="3A1D3916" w:rsidR="007D230B" w:rsidRDefault="007F669E" w:rsidP="004142EF">
      <w:r>
        <w:lastRenderedPageBreak/>
        <w:t xml:space="preserve">The EUL and RUL specified for </w:t>
      </w:r>
      <w:r w:rsidR="002F6473">
        <w:t>the</w:t>
      </w:r>
      <w:r w:rsidR="002D0DED">
        <w:t xml:space="preserve"> h</w:t>
      </w:r>
      <w:r w:rsidR="002D0DED" w:rsidRPr="00FF5C40">
        <w:t>igh</w:t>
      </w:r>
      <w:r w:rsidR="002D0DED">
        <w:t xml:space="preserve">-performance circulator </w:t>
      </w:r>
      <w:r w:rsidR="002D0DED" w:rsidRPr="00FF5C40">
        <w:t>(HPC)</w:t>
      </w:r>
      <w:r w:rsidR="002D0DED">
        <w:t xml:space="preserve"> </w:t>
      </w:r>
      <w:r w:rsidR="002F6473">
        <w:t>pump</w:t>
      </w:r>
      <w:r>
        <w:t xml:space="preserve"> are </w:t>
      </w:r>
      <w:r w:rsidR="002D0DED">
        <w:t>specified below</w:t>
      </w:r>
      <w:r>
        <w:t>.</w:t>
      </w:r>
      <w:r w:rsidR="006247FD">
        <w:rPr>
          <w:rStyle w:val="FootnoteReference"/>
        </w:rPr>
        <w:footnoteReference w:id="7"/>
      </w:r>
      <w:r>
        <w:t xml:space="preserve"> </w:t>
      </w:r>
      <w:r w:rsidR="002469C1">
        <w:t>Insofar as this is a normal replacement measure, the RUL is not applicable.</w:t>
      </w:r>
    </w:p>
    <w:p w14:paraId="7D542FEF" w14:textId="570B59AD" w:rsidR="00FD2C54" w:rsidRPr="00920905" w:rsidRDefault="00FD2C54" w:rsidP="00277AA5">
      <w:pPr>
        <w:pStyle w:val="Caption"/>
        <w:keepNext w:val="0"/>
        <w:keepLines w:val="0"/>
      </w:pPr>
      <w:r>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1C5B62" w:rsidRPr="00500C4E" w14:paraId="6AD4F3AB" w14:textId="77777777" w:rsidTr="00277AA5">
        <w:trPr>
          <w:cantSplit/>
          <w:trHeight w:val="20"/>
          <w:tblHeader/>
        </w:trPr>
        <w:tc>
          <w:tcPr>
            <w:tcW w:w="2877" w:type="dxa"/>
            <w:shd w:val="clear" w:color="auto" w:fill="F2F2F2" w:themeFill="background1" w:themeFillShade="F2"/>
            <w:vAlign w:val="bottom"/>
          </w:tcPr>
          <w:p w14:paraId="00197470" w14:textId="77777777" w:rsidR="001C5B62" w:rsidRPr="00694410" w:rsidRDefault="001C5B62" w:rsidP="00277AA5">
            <w:pPr>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6B94A016" w14:textId="77777777" w:rsidR="001C5B62" w:rsidRPr="00694410" w:rsidRDefault="001C5B62" w:rsidP="00277AA5">
            <w:pPr>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3FCE5D10" w14:textId="77777777" w:rsidR="001C5B62" w:rsidRPr="00694410" w:rsidRDefault="001C5B62" w:rsidP="00277AA5">
            <w:pPr>
              <w:spacing w:before="20" w:after="20"/>
              <w:jc w:val="center"/>
              <w:rPr>
                <w:rFonts w:cstheme="minorHAnsi"/>
                <w:b/>
                <w:sz w:val="20"/>
                <w:szCs w:val="20"/>
              </w:rPr>
            </w:pPr>
            <w:r>
              <w:rPr>
                <w:rFonts w:cstheme="minorHAnsi"/>
                <w:b/>
                <w:sz w:val="20"/>
                <w:szCs w:val="20"/>
              </w:rPr>
              <w:t>Source</w:t>
            </w:r>
          </w:p>
        </w:tc>
      </w:tr>
      <w:tr w:rsidR="001C5B62" w:rsidRPr="00500C4E" w14:paraId="3BBCD480" w14:textId="77777777" w:rsidTr="00145376">
        <w:trPr>
          <w:cantSplit/>
          <w:trHeight w:val="20"/>
        </w:trPr>
        <w:tc>
          <w:tcPr>
            <w:tcW w:w="2877" w:type="dxa"/>
            <w:vAlign w:val="center"/>
          </w:tcPr>
          <w:p w14:paraId="0694E48E" w14:textId="671BF191" w:rsidR="001C5B62" w:rsidRPr="00694410" w:rsidRDefault="001C5B62" w:rsidP="00277AA5">
            <w:pPr>
              <w:spacing w:before="20" w:after="20"/>
              <w:rPr>
                <w:sz w:val="20"/>
                <w:szCs w:val="20"/>
              </w:rPr>
            </w:pPr>
            <w:r>
              <w:rPr>
                <w:sz w:val="20"/>
                <w:szCs w:val="20"/>
              </w:rPr>
              <w:t>EUL (</w:t>
            </w:r>
            <w:proofErr w:type="spellStart"/>
            <w:r>
              <w:rPr>
                <w:sz w:val="20"/>
                <w:szCs w:val="20"/>
              </w:rPr>
              <w:t>yrs</w:t>
            </w:r>
            <w:proofErr w:type="spellEnd"/>
            <w:r>
              <w:rPr>
                <w:sz w:val="20"/>
                <w:szCs w:val="20"/>
              </w:rPr>
              <w:t xml:space="preserve">) – HPC pump </w:t>
            </w:r>
          </w:p>
        </w:tc>
        <w:tc>
          <w:tcPr>
            <w:tcW w:w="1438" w:type="dxa"/>
            <w:vAlign w:val="center"/>
          </w:tcPr>
          <w:p w14:paraId="1910D1C3" w14:textId="77777777" w:rsidR="001C5B62" w:rsidRPr="002D0DED" w:rsidRDefault="001C5B62" w:rsidP="00277AA5">
            <w:pPr>
              <w:spacing w:before="20" w:after="20"/>
              <w:jc w:val="center"/>
              <w:rPr>
                <w:sz w:val="20"/>
                <w:szCs w:val="20"/>
              </w:rPr>
            </w:pPr>
            <w:r w:rsidRPr="002D0DED">
              <w:rPr>
                <w:sz w:val="20"/>
                <w:szCs w:val="20"/>
              </w:rPr>
              <w:t>15.0</w:t>
            </w:r>
          </w:p>
        </w:tc>
        <w:tc>
          <w:tcPr>
            <w:tcW w:w="5220" w:type="dxa"/>
            <w:vAlign w:val="center"/>
          </w:tcPr>
          <w:p w14:paraId="354BE5D4" w14:textId="6177153F" w:rsidR="001C5B62" w:rsidRPr="00F92CD1" w:rsidRDefault="001C5B62" w:rsidP="00277AA5">
            <w:pPr>
              <w:spacing w:before="20" w:after="20"/>
              <w:rPr>
                <w:sz w:val="18"/>
                <w:szCs w:val="18"/>
                <w:highlight w:val="yellow"/>
              </w:rPr>
            </w:pPr>
            <w:r w:rsidRPr="00060F2E">
              <w:rPr>
                <w:sz w:val="18"/>
              </w:rPr>
              <w:t>California Public Utilities Commission (CPUC). 2014. “DEER2014-EUL-table-update_2014-02-05.xlsx.”</w:t>
            </w:r>
          </w:p>
        </w:tc>
      </w:tr>
      <w:tr w:rsidR="001C5B62" w:rsidRPr="00500C4E" w14:paraId="7DCCEC9E" w14:textId="77777777" w:rsidTr="003B63FD">
        <w:trPr>
          <w:cantSplit/>
          <w:trHeight w:val="20"/>
        </w:trPr>
        <w:tc>
          <w:tcPr>
            <w:tcW w:w="2877" w:type="dxa"/>
          </w:tcPr>
          <w:p w14:paraId="3E6B6AF3" w14:textId="6358B3DD" w:rsidR="001C5B62" w:rsidRPr="00694410" w:rsidRDefault="001C5B62" w:rsidP="00277AA5">
            <w:pPr>
              <w:spacing w:before="20" w:after="20"/>
              <w:rPr>
                <w:sz w:val="20"/>
                <w:szCs w:val="20"/>
              </w:rPr>
            </w:pPr>
            <w:r>
              <w:rPr>
                <w:sz w:val="20"/>
                <w:szCs w:val="20"/>
              </w:rPr>
              <w:t>RUL (</w:t>
            </w:r>
            <w:proofErr w:type="spellStart"/>
            <w:r>
              <w:rPr>
                <w:sz w:val="20"/>
                <w:szCs w:val="20"/>
              </w:rPr>
              <w:t>yrs</w:t>
            </w:r>
            <w:proofErr w:type="spellEnd"/>
            <w:r>
              <w:rPr>
                <w:sz w:val="20"/>
                <w:szCs w:val="20"/>
              </w:rPr>
              <w:t xml:space="preserve">) </w:t>
            </w:r>
          </w:p>
        </w:tc>
        <w:tc>
          <w:tcPr>
            <w:tcW w:w="1438" w:type="dxa"/>
          </w:tcPr>
          <w:p w14:paraId="39F2CE36" w14:textId="189700FB" w:rsidR="001C5B62" w:rsidRPr="002D0DED" w:rsidRDefault="00145376" w:rsidP="00277AA5">
            <w:pPr>
              <w:spacing w:before="20" w:after="20"/>
              <w:ind w:right="402"/>
              <w:jc w:val="right"/>
              <w:rPr>
                <w:sz w:val="20"/>
                <w:szCs w:val="20"/>
              </w:rPr>
            </w:pPr>
            <w:r>
              <w:rPr>
                <w:sz w:val="20"/>
                <w:szCs w:val="20"/>
              </w:rPr>
              <w:t>n/a</w:t>
            </w:r>
          </w:p>
        </w:tc>
        <w:tc>
          <w:tcPr>
            <w:tcW w:w="5220" w:type="dxa"/>
          </w:tcPr>
          <w:p w14:paraId="32DDB09B" w14:textId="3DB6D6C0" w:rsidR="001C5B62" w:rsidRPr="001B017B" w:rsidRDefault="00145376" w:rsidP="00277AA5">
            <w:pPr>
              <w:spacing w:before="20" w:after="20"/>
              <w:rPr>
                <w:sz w:val="18"/>
                <w:szCs w:val="20"/>
              </w:rPr>
            </w:pPr>
            <w:r>
              <w:rPr>
                <w:sz w:val="18"/>
              </w:rPr>
              <w:t>-</w:t>
            </w:r>
          </w:p>
        </w:tc>
      </w:tr>
    </w:tbl>
    <w:p w14:paraId="13CED04A" w14:textId="77777777" w:rsidR="001C5B62" w:rsidRPr="004B06E3" w:rsidRDefault="001C5B62" w:rsidP="004142EF"/>
    <w:p w14:paraId="3B14B593" w14:textId="77777777" w:rsidR="007D230B" w:rsidRPr="004B06E3" w:rsidRDefault="007D230B" w:rsidP="00462BB6">
      <w:pPr>
        <w:pStyle w:val="eTRMHeading3"/>
      </w:pPr>
      <w:bookmarkStart w:id="48" w:name="_Toc486490860"/>
      <w:bookmarkStart w:id="49" w:name="_Toc486580931"/>
      <w:bookmarkStart w:id="50" w:name="_Toc2251837"/>
      <w:r w:rsidRPr="004B06E3">
        <w:t>Base Case Material Cost ($/unit)</w:t>
      </w:r>
      <w:bookmarkEnd w:id="48"/>
      <w:bookmarkEnd w:id="49"/>
      <w:bookmarkEnd w:id="50"/>
    </w:p>
    <w:p w14:paraId="0317C491" w14:textId="2031E874" w:rsidR="00FB4934" w:rsidRPr="00FB4934" w:rsidRDefault="00FB4934" w:rsidP="00FB4934">
      <w:pPr>
        <w:rPr>
          <w:rFonts w:cs="Calibri Light"/>
          <w:szCs w:val="17"/>
        </w:rPr>
      </w:pPr>
      <w:r w:rsidRPr="00FB4934">
        <w:rPr>
          <w:rFonts w:cs="Calibri Light"/>
        </w:rPr>
        <w:t xml:space="preserve">The base case </w:t>
      </w:r>
      <w:r w:rsidR="003250AB">
        <w:rPr>
          <w:rFonts w:cs="Calibri Light"/>
        </w:rPr>
        <w:t>defined for this measure</w:t>
      </w:r>
      <w:r w:rsidRPr="00FB4934">
        <w:rPr>
          <w:rFonts w:cs="Calibri Light"/>
        </w:rPr>
        <w:t xml:space="preserve"> is the UP 15-29 SU/LC, which is the most commonly sold pump through the wholesale channel. </w:t>
      </w:r>
      <w:r w:rsidRPr="00FB4934">
        <w:rPr>
          <w:rFonts w:cs="Calibri Light"/>
          <w:szCs w:val="17"/>
        </w:rPr>
        <w:t>Grundfos, the market leader, has sold nearly 2.5 times more 15-29 models in California than its smaller model</w:t>
      </w:r>
      <w:r>
        <w:rPr>
          <w:rFonts w:cs="Calibri Light"/>
          <w:szCs w:val="17"/>
        </w:rPr>
        <w:t>,</w:t>
      </w:r>
      <w:r w:rsidRPr="00FB4934">
        <w:rPr>
          <w:rFonts w:cs="Calibri Light"/>
          <w:szCs w:val="17"/>
        </w:rPr>
        <w:t xml:space="preserve"> the Alpha 15-10. Contractors size conservatively, because replacing a pump under warranty is expensive. Similarly, when contractors replace a burned-out pump, they </w:t>
      </w:r>
      <w:r w:rsidR="003250AB">
        <w:rPr>
          <w:rFonts w:cs="Calibri Light"/>
          <w:szCs w:val="17"/>
        </w:rPr>
        <w:t xml:space="preserve">will specify </w:t>
      </w:r>
      <w:r w:rsidRPr="00FB4934">
        <w:rPr>
          <w:rFonts w:cs="Calibri Light"/>
          <w:szCs w:val="17"/>
        </w:rPr>
        <w:t xml:space="preserve">at least an equivalent size. </w:t>
      </w:r>
    </w:p>
    <w:p w14:paraId="59656C87" w14:textId="67C7EA8F" w:rsidR="00972FA4" w:rsidRDefault="00972FA4" w:rsidP="00FB4934">
      <w:r>
        <w:t xml:space="preserve">The </w:t>
      </w:r>
      <w:r w:rsidR="00F56DFB">
        <w:t>base</w:t>
      </w:r>
      <w:r>
        <w:t xml:space="preserve"> case material cost was derived as the average of prices obtained </w:t>
      </w:r>
      <w:r w:rsidR="003250AB">
        <w:t xml:space="preserve">in 2017 </w:t>
      </w:r>
      <w:r>
        <w:t xml:space="preserve">from contractors and distributors that operate in the Pacific Gas and Electric service area, </w:t>
      </w:r>
      <w:r w:rsidR="003250AB">
        <w:t>provided below</w:t>
      </w:r>
      <w:r>
        <w:t>.</w:t>
      </w:r>
    </w:p>
    <w:p w14:paraId="23015801" w14:textId="01AE287A" w:rsidR="00972FA4" w:rsidRDefault="00972FA4" w:rsidP="002F6473">
      <w:pPr>
        <w:pStyle w:val="Caption"/>
      </w:pPr>
      <w:r>
        <w:t>Base Case</w:t>
      </w:r>
      <w:r w:rsidR="003250AB">
        <w:t xml:space="preserve"> Material</w:t>
      </w:r>
      <w:r>
        <w:t xml:space="preserve"> Cost Inputs</w:t>
      </w:r>
    </w:p>
    <w:tbl>
      <w:tblPr>
        <w:tblW w:w="855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ook w:val="04A0" w:firstRow="1" w:lastRow="0" w:firstColumn="1" w:lastColumn="0" w:noHBand="0" w:noVBand="1"/>
      </w:tblPr>
      <w:tblGrid>
        <w:gridCol w:w="2390"/>
        <w:gridCol w:w="2448"/>
        <w:gridCol w:w="1560"/>
        <w:gridCol w:w="2160"/>
      </w:tblGrid>
      <w:tr w:rsidR="00972FA4" w:rsidRPr="00CF35ED" w14:paraId="610F4707" w14:textId="77777777" w:rsidTr="00277AA5">
        <w:trPr>
          <w:trHeight w:val="20"/>
          <w:tblHeader/>
        </w:trPr>
        <w:tc>
          <w:tcPr>
            <w:tcW w:w="2390" w:type="dxa"/>
            <w:shd w:val="clear" w:color="auto" w:fill="F2F2F2" w:themeFill="background1" w:themeFillShade="F2"/>
            <w:vAlign w:val="bottom"/>
            <w:hideMark/>
          </w:tcPr>
          <w:p w14:paraId="0599D37E" w14:textId="77777777" w:rsidR="00972FA4" w:rsidRPr="00CF35ED" w:rsidRDefault="00972FA4" w:rsidP="002F6473">
            <w:pPr>
              <w:keepNext/>
              <w:keepLines/>
              <w:spacing w:before="0" w:after="0" w:line="240" w:lineRule="auto"/>
              <w:rPr>
                <w:rFonts w:eastAsia="Times New Roman" w:cs="Calibri Light"/>
                <w:b/>
                <w:sz w:val="20"/>
                <w:szCs w:val="20"/>
              </w:rPr>
            </w:pPr>
            <w:r w:rsidRPr="00CF35ED">
              <w:rPr>
                <w:rFonts w:eastAsia="Times New Roman" w:cs="Calibri Light"/>
                <w:b/>
                <w:sz w:val="20"/>
                <w:szCs w:val="20"/>
              </w:rPr>
              <w:t>Contractor / location</w:t>
            </w:r>
          </w:p>
        </w:tc>
        <w:tc>
          <w:tcPr>
            <w:tcW w:w="2448" w:type="dxa"/>
            <w:shd w:val="clear" w:color="auto" w:fill="F2F2F2" w:themeFill="background1" w:themeFillShade="F2"/>
            <w:vAlign w:val="bottom"/>
            <w:hideMark/>
          </w:tcPr>
          <w:p w14:paraId="795333EE" w14:textId="77777777" w:rsidR="00972FA4" w:rsidRPr="00CF35ED" w:rsidRDefault="00972FA4" w:rsidP="002F6473">
            <w:pPr>
              <w:keepNext/>
              <w:keepLines/>
              <w:spacing w:before="0" w:after="0" w:line="240" w:lineRule="auto"/>
              <w:jc w:val="center"/>
              <w:rPr>
                <w:rFonts w:eastAsia="Times New Roman" w:cs="Calibri Light"/>
                <w:b/>
                <w:sz w:val="20"/>
                <w:szCs w:val="20"/>
              </w:rPr>
            </w:pPr>
            <w:r w:rsidRPr="00CF35ED">
              <w:rPr>
                <w:rFonts w:eastAsia="Times New Roman" w:cs="Calibri Light"/>
                <w:b/>
                <w:sz w:val="20"/>
                <w:szCs w:val="20"/>
              </w:rPr>
              <w:t>Wholesaler</w:t>
            </w:r>
          </w:p>
        </w:tc>
        <w:tc>
          <w:tcPr>
            <w:tcW w:w="1560" w:type="dxa"/>
            <w:shd w:val="clear" w:color="auto" w:fill="F2F2F2" w:themeFill="background1" w:themeFillShade="F2"/>
            <w:vAlign w:val="bottom"/>
            <w:hideMark/>
          </w:tcPr>
          <w:p w14:paraId="07FC2348" w14:textId="77777777" w:rsidR="00972FA4" w:rsidRPr="00CF35ED" w:rsidRDefault="00972FA4" w:rsidP="002F6473">
            <w:pPr>
              <w:keepNext/>
              <w:keepLines/>
              <w:spacing w:before="0" w:after="0" w:line="240" w:lineRule="auto"/>
              <w:jc w:val="center"/>
              <w:rPr>
                <w:rFonts w:eastAsia="Times New Roman" w:cs="Calibri Light"/>
                <w:b/>
                <w:sz w:val="20"/>
                <w:szCs w:val="20"/>
              </w:rPr>
            </w:pPr>
            <w:r w:rsidRPr="00CF35ED">
              <w:rPr>
                <w:rFonts w:eastAsia="Times New Roman" w:cs="Calibri Light"/>
                <w:b/>
                <w:sz w:val="20"/>
                <w:szCs w:val="20"/>
              </w:rPr>
              <w:t>Date</w:t>
            </w:r>
          </w:p>
        </w:tc>
        <w:tc>
          <w:tcPr>
            <w:tcW w:w="2160" w:type="dxa"/>
            <w:shd w:val="clear" w:color="auto" w:fill="F2F2F2" w:themeFill="background1" w:themeFillShade="F2"/>
            <w:vAlign w:val="bottom"/>
            <w:hideMark/>
          </w:tcPr>
          <w:p w14:paraId="768B8236" w14:textId="33D08972" w:rsidR="00972FA4" w:rsidRPr="00CF35ED" w:rsidRDefault="00972FA4" w:rsidP="002F6473">
            <w:pPr>
              <w:keepNext/>
              <w:keepLines/>
              <w:spacing w:before="0" w:after="0" w:line="240" w:lineRule="auto"/>
              <w:jc w:val="center"/>
              <w:rPr>
                <w:rFonts w:eastAsia="Times New Roman" w:cs="Calibri Light"/>
                <w:b/>
                <w:sz w:val="20"/>
                <w:szCs w:val="20"/>
              </w:rPr>
            </w:pPr>
            <w:r w:rsidRPr="00CF35ED">
              <w:rPr>
                <w:rFonts w:eastAsia="Times New Roman" w:cs="Calibri Light"/>
                <w:b/>
                <w:sz w:val="20"/>
                <w:szCs w:val="20"/>
              </w:rPr>
              <w:t>Base Case</w:t>
            </w:r>
            <w:r w:rsidRPr="00CF35ED">
              <w:rPr>
                <w:rFonts w:eastAsia="Times New Roman" w:cs="Calibri Light"/>
                <w:b/>
                <w:sz w:val="20"/>
                <w:szCs w:val="20"/>
              </w:rPr>
              <w:br/>
            </w:r>
            <w:r w:rsidR="002F6473">
              <w:rPr>
                <w:rFonts w:eastAsia="Times New Roman" w:cs="Calibri Light"/>
                <w:b/>
                <w:sz w:val="20"/>
                <w:szCs w:val="20"/>
              </w:rPr>
              <w:t>(</w:t>
            </w:r>
            <w:r w:rsidRPr="00CF35ED">
              <w:rPr>
                <w:rFonts w:eastAsia="Times New Roman" w:cs="Calibri Light"/>
                <w:b/>
                <w:sz w:val="20"/>
                <w:szCs w:val="20"/>
              </w:rPr>
              <w:t>UP15-29</w:t>
            </w:r>
            <w:r w:rsidR="002F6473">
              <w:rPr>
                <w:rFonts w:eastAsia="Times New Roman" w:cs="Calibri Light"/>
                <w:b/>
                <w:sz w:val="20"/>
                <w:szCs w:val="20"/>
              </w:rPr>
              <w:t xml:space="preserve">, </w:t>
            </w:r>
            <w:r w:rsidRPr="00CF35ED">
              <w:rPr>
                <w:rFonts w:eastAsia="Times New Roman" w:cs="Calibri Light"/>
                <w:b/>
                <w:sz w:val="20"/>
                <w:szCs w:val="20"/>
              </w:rPr>
              <w:t>0.08 hp</w:t>
            </w:r>
            <w:r w:rsidR="002F6473">
              <w:rPr>
                <w:rFonts w:eastAsia="Times New Roman" w:cs="Calibri Light"/>
                <w:b/>
                <w:sz w:val="20"/>
                <w:szCs w:val="20"/>
              </w:rPr>
              <w:t>)</w:t>
            </w:r>
          </w:p>
        </w:tc>
      </w:tr>
      <w:tr w:rsidR="00972FA4" w:rsidRPr="00CF35ED" w14:paraId="6DE73C4E" w14:textId="77777777" w:rsidTr="002F6473">
        <w:trPr>
          <w:trHeight w:val="20"/>
        </w:trPr>
        <w:tc>
          <w:tcPr>
            <w:tcW w:w="2390" w:type="dxa"/>
            <w:shd w:val="clear" w:color="auto" w:fill="FFFFFF" w:themeFill="background1"/>
            <w:noWrap/>
            <w:vAlign w:val="center"/>
            <w:hideMark/>
          </w:tcPr>
          <w:p w14:paraId="2224C9A9" w14:textId="77777777" w:rsidR="00972FA4" w:rsidRPr="00CF35ED" w:rsidRDefault="00972FA4" w:rsidP="002F6473">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#1, San Mateo</w:t>
            </w:r>
          </w:p>
        </w:tc>
        <w:tc>
          <w:tcPr>
            <w:tcW w:w="2448" w:type="dxa"/>
            <w:shd w:val="clear" w:color="auto" w:fill="FFFFFF" w:themeFill="background1"/>
            <w:vAlign w:val="center"/>
            <w:hideMark/>
          </w:tcPr>
          <w:p w14:paraId="7859245E" w14:textId="77777777" w:rsidR="00972FA4" w:rsidRPr="00CF35ED" w:rsidRDefault="00972FA4" w:rsidP="002F6473">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#1</w:t>
            </w:r>
          </w:p>
        </w:tc>
        <w:tc>
          <w:tcPr>
            <w:tcW w:w="1560" w:type="dxa"/>
            <w:shd w:val="clear" w:color="auto" w:fill="FFFFFF" w:themeFill="background1"/>
            <w:vAlign w:val="center"/>
            <w:hideMark/>
          </w:tcPr>
          <w:p w14:paraId="0ED53166" w14:textId="77777777" w:rsidR="00972FA4" w:rsidRPr="00CF35ED" w:rsidRDefault="00972FA4" w:rsidP="002F6473">
            <w:pPr>
              <w:keepNext/>
              <w:keepLines/>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28-Mar-17</w:t>
            </w:r>
          </w:p>
        </w:tc>
        <w:tc>
          <w:tcPr>
            <w:tcW w:w="2160" w:type="dxa"/>
            <w:shd w:val="clear" w:color="auto" w:fill="FFFFFF" w:themeFill="background1"/>
            <w:vAlign w:val="center"/>
            <w:hideMark/>
          </w:tcPr>
          <w:p w14:paraId="347B0122" w14:textId="77777777" w:rsidR="00972FA4" w:rsidRPr="00CF35ED" w:rsidRDefault="00972FA4" w:rsidP="002F6473">
            <w:pPr>
              <w:keepNext/>
              <w:keepLines/>
              <w:spacing w:before="0" w:after="0" w:line="240" w:lineRule="auto"/>
              <w:ind w:right="307"/>
              <w:jc w:val="right"/>
              <w:rPr>
                <w:rFonts w:eastAsia="Times New Roman" w:cs="Calibri Light"/>
                <w:color w:val="000000"/>
                <w:sz w:val="20"/>
                <w:szCs w:val="20"/>
              </w:rPr>
            </w:pPr>
            <w:r w:rsidRPr="00CF35ED">
              <w:rPr>
                <w:rFonts w:eastAsia="Times New Roman" w:cs="Calibri Light"/>
                <w:color w:val="000000"/>
                <w:sz w:val="20"/>
                <w:szCs w:val="20"/>
              </w:rPr>
              <w:t> </w:t>
            </w:r>
          </w:p>
        </w:tc>
      </w:tr>
      <w:tr w:rsidR="00972FA4" w:rsidRPr="00CF35ED" w14:paraId="6D0B1BD8" w14:textId="77777777" w:rsidTr="002F6473">
        <w:trPr>
          <w:trHeight w:val="20"/>
        </w:trPr>
        <w:tc>
          <w:tcPr>
            <w:tcW w:w="2390" w:type="dxa"/>
            <w:shd w:val="clear" w:color="auto" w:fill="FFFFFF" w:themeFill="background1"/>
            <w:noWrap/>
            <w:vAlign w:val="center"/>
            <w:hideMark/>
          </w:tcPr>
          <w:p w14:paraId="5B017D10" w14:textId="77777777" w:rsidR="00972FA4" w:rsidRPr="00CF35ED" w:rsidRDefault="00972FA4" w:rsidP="002F6473">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#2, Milpitas</w:t>
            </w:r>
          </w:p>
        </w:tc>
        <w:tc>
          <w:tcPr>
            <w:tcW w:w="2448" w:type="dxa"/>
            <w:shd w:val="clear" w:color="auto" w:fill="FFFFFF" w:themeFill="background1"/>
            <w:vAlign w:val="center"/>
            <w:hideMark/>
          </w:tcPr>
          <w:p w14:paraId="6327AB0C" w14:textId="77777777" w:rsidR="00972FA4" w:rsidRPr="00CF35ED" w:rsidRDefault="00972FA4" w:rsidP="002F6473">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#2</w:t>
            </w:r>
          </w:p>
        </w:tc>
        <w:tc>
          <w:tcPr>
            <w:tcW w:w="1560" w:type="dxa"/>
            <w:shd w:val="clear" w:color="auto" w:fill="FFFFFF" w:themeFill="background1"/>
            <w:vAlign w:val="center"/>
            <w:hideMark/>
          </w:tcPr>
          <w:p w14:paraId="03D9DC35" w14:textId="77777777" w:rsidR="00972FA4" w:rsidRPr="00CF35ED" w:rsidRDefault="00972FA4" w:rsidP="002F6473">
            <w:pPr>
              <w:keepNext/>
              <w:keepLines/>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29-Mar-17</w:t>
            </w:r>
          </w:p>
        </w:tc>
        <w:tc>
          <w:tcPr>
            <w:tcW w:w="2160" w:type="dxa"/>
            <w:shd w:val="clear" w:color="auto" w:fill="FFFFFF" w:themeFill="background1"/>
            <w:vAlign w:val="center"/>
            <w:hideMark/>
          </w:tcPr>
          <w:p w14:paraId="00E5055B" w14:textId="77777777" w:rsidR="00972FA4" w:rsidRPr="00CF35ED" w:rsidRDefault="00972FA4" w:rsidP="002F6473">
            <w:pPr>
              <w:keepNext/>
              <w:keepLines/>
              <w:spacing w:before="0" w:after="0" w:line="240" w:lineRule="auto"/>
              <w:ind w:right="307"/>
              <w:jc w:val="right"/>
              <w:rPr>
                <w:rFonts w:eastAsia="Times New Roman" w:cs="Calibri Light"/>
                <w:color w:val="000000"/>
                <w:sz w:val="20"/>
                <w:szCs w:val="20"/>
              </w:rPr>
            </w:pPr>
            <w:r w:rsidRPr="00CF35ED">
              <w:rPr>
                <w:rFonts w:eastAsia="Times New Roman" w:cs="Calibri Light"/>
                <w:color w:val="000000"/>
                <w:sz w:val="20"/>
                <w:szCs w:val="20"/>
              </w:rPr>
              <w:t xml:space="preserve">$208.00 </w:t>
            </w:r>
          </w:p>
        </w:tc>
      </w:tr>
      <w:tr w:rsidR="00972FA4" w:rsidRPr="00CF35ED" w14:paraId="1452AB5C" w14:textId="77777777" w:rsidTr="002F6473">
        <w:trPr>
          <w:trHeight w:val="20"/>
        </w:trPr>
        <w:tc>
          <w:tcPr>
            <w:tcW w:w="2390" w:type="dxa"/>
            <w:shd w:val="clear" w:color="auto" w:fill="FFFFFF" w:themeFill="background1"/>
            <w:noWrap/>
            <w:vAlign w:val="center"/>
            <w:hideMark/>
          </w:tcPr>
          <w:p w14:paraId="5E38189E"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#2, Milpitas</w:t>
            </w:r>
          </w:p>
        </w:tc>
        <w:tc>
          <w:tcPr>
            <w:tcW w:w="2448" w:type="dxa"/>
            <w:shd w:val="clear" w:color="auto" w:fill="FFFFFF" w:themeFill="background1"/>
            <w:vAlign w:val="center"/>
            <w:hideMark/>
          </w:tcPr>
          <w:p w14:paraId="2915410A"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#1</w:t>
            </w:r>
          </w:p>
        </w:tc>
        <w:tc>
          <w:tcPr>
            <w:tcW w:w="1560" w:type="dxa"/>
            <w:shd w:val="clear" w:color="auto" w:fill="FFFFFF" w:themeFill="background1"/>
            <w:vAlign w:val="center"/>
            <w:hideMark/>
          </w:tcPr>
          <w:p w14:paraId="2F6CD5BB" w14:textId="77777777" w:rsidR="00972FA4" w:rsidRPr="00CF35ED" w:rsidRDefault="00972FA4" w:rsidP="001D2FA8">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28-Mar-17</w:t>
            </w:r>
          </w:p>
        </w:tc>
        <w:tc>
          <w:tcPr>
            <w:tcW w:w="2160" w:type="dxa"/>
            <w:shd w:val="clear" w:color="auto" w:fill="FFFFFF" w:themeFill="background1"/>
            <w:vAlign w:val="center"/>
            <w:hideMark/>
          </w:tcPr>
          <w:p w14:paraId="076DA4A9" w14:textId="77777777" w:rsidR="00972FA4" w:rsidRPr="00CF35ED" w:rsidRDefault="00972FA4" w:rsidP="001D2FA8">
            <w:pPr>
              <w:spacing w:before="0" w:after="0" w:line="240" w:lineRule="auto"/>
              <w:ind w:right="307"/>
              <w:jc w:val="right"/>
              <w:rPr>
                <w:rFonts w:eastAsia="Times New Roman" w:cs="Calibri Light"/>
                <w:color w:val="000000"/>
                <w:sz w:val="20"/>
                <w:szCs w:val="20"/>
              </w:rPr>
            </w:pPr>
            <w:r w:rsidRPr="00CF35ED">
              <w:rPr>
                <w:rFonts w:eastAsia="Times New Roman" w:cs="Calibri Light"/>
                <w:color w:val="000000"/>
                <w:sz w:val="20"/>
                <w:szCs w:val="20"/>
              </w:rPr>
              <w:t xml:space="preserve">$285.43 </w:t>
            </w:r>
          </w:p>
        </w:tc>
      </w:tr>
      <w:tr w:rsidR="00972FA4" w:rsidRPr="00CF35ED" w14:paraId="35697A01" w14:textId="77777777" w:rsidTr="002F6473">
        <w:trPr>
          <w:trHeight w:val="20"/>
        </w:trPr>
        <w:tc>
          <w:tcPr>
            <w:tcW w:w="2390" w:type="dxa"/>
            <w:shd w:val="clear" w:color="auto" w:fill="FFFFFF" w:themeFill="background1"/>
            <w:noWrap/>
            <w:vAlign w:val="center"/>
            <w:hideMark/>
          </w:tcPr>
          <w:p w14:paraId="4284923B"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#3, Turlock</w:t>
            </w:r>
          </w:p>
        </w:tc>
        <w:tc>
          <w:tcPr>
            <w:tcW w:w="2448" w:type="dxa"/>
            <w:shd w:val="clear" w:color="auto" w:fill="FFFFFF" w:themeFill="background1"/>
            <w:vAlign w:val="center"/>
            <w:hideMark/>
          </w:tcPr>
          <w:p w14:paraId="72EAC8E8"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#3, Stockton</w:t>
            </w:r>
          </w:p>
        </w:tc>
        <w:tc>
          <w:tcPr>
            <w:tcW w:w="1560" w:type="dxa"/>
            <w:shd w:val="clear" w:color="auto" w:fill="FFFFFF" w:themeFill="background1"/>
            <w:vAlign w:val="center"/>
            <w:hideMark/>
          </w:tcPr>
          <w:p w14:paraId="342A6691" w14:textId="77777777" w:rsidR="00972FA4" w:rsidRPr="00CF35ED" w:rsidRDefault="00972FA4" w:rsidP="001D2FA8">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4-Apr-17</w:t>
            </w:r>
          </w:p>
        </w:tc>
        <w:tc>
          <w:tcPr>
            <w:tcW w:w="2160" w:type="dxa"/>
            <w:shd w:val="clear" w:color="auto" w:fill="FFFFFF" w:themeFill="background1"/>
            <w:vAlign w:val="center"/>
            <w:hideMark/>
          </w:tcPr>
          <w:p w14:paraId="720498DE" w14:textId="77777777" w:rsidR="00972FA4" w:rsidRPr="00CF35ED" w:rsidRDefault="00972FA4" w:rsidP="001D2FA8">
            <w:pPr>
              <w:spacing w:before="0" w:after="0" w:line="240" w:lineRule="auto"/>
              <w:ind w:right="307"/>
              <w:jc w:val="right"/>
              <w:rPr>
                <w:rFonts w:eastAsia="Times New Roman" w:cs="Calibri Light"/>
                <w:color w:val="000000"/>
                <w:sz w:val="20"/>
                <w:szCs w:val="20"/>
              </w:rPr>
            </w:pPr>
            <w:r w:rsidRPr="00CF35ED">
              <w:rPr>
                <w:rFonts w:eastAsia="Times New Roman" w:cs="Calibri Light"/>
                <w:color w:val="000000"/>
                <w:sz w:val="20"/>
                <w:szCs w:val="20"/>
              </w:rPr>
              <w:t xml:space="preserve">$235.00 </w:t>
            </w:r>
          </w:p>
        </w:tc>
      </w:tr>
      <w:tr w:rsidR="00972FA4" w:rsidRPr="00CF35ED" w14:paraId="31251693" w14:textId="77777777" w:rsidTr="002F6473">
        <w:trPr>
          <w:trHeight w:val="20"/>
        </w:trPr>
        <w:tc>
          <w:tcPr>
            <w:tcW w:w="2390" w:type="dxa"/>
            <w:shd w:val="clear" w:color="auto" w:fill="FFFFFF" w:themeFill="background1"/>
            <w:noWrap/>
            <w:vAlign w:val="center"/>
            <w:hideMark/>
          </w:tcPr>
          <w:p w14:paraId="2A7A4DDC"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#4, San Rafael</w:t>
            </w:r>
          </w:p>
        </w:tc>
        <w:tc>
          <w:tcPr>
            <w:tcW w:w="2448" w:type="dxa"/>
            <w:shd w:val="clear" w:color="auto" w:fill="FFFFFF" w:themeFill="background1"/>
            <w:vAlign w:val="center"/>
            <w:hideMark/>
          </w:tcPr>
          <w:p w14:paraId="3109AE11"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#1, San Rafael</w:t>
            </w:r>
          </w:p>
        </w:tc>
        <w:tc>
          <w:tcPr>
            <w:tcW w:w="1560" w:type="dxa"/>
            <w:shd w:val="clear" w:color="auto" w:fill="FFFFFF" w:themeFill="background1"/>
            <w:vAlign w:val="center"/>
            <w:hideMark/>
          </w:tcPr>
          <w:p w14:paraId="5B677E0B" w14:textId="77777777" w:rsidR="00972FA4" w:rsidRPr="00CF35ED" w:rsidRDefault="00972FA4" w:rsidP="001D2FA8">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5-Apr-17</w:t>
            </w:r>
          </w:p>
        </w:tc>
        <w:tc>
          <w:tcPr>
            <w:tcW w:w="2160" w:type="dxa"/>
            <w:shd w:val="clear" w:color="auto" w:fill="FFFFFF" w:themeFill="background1"/>
            <w:vAlign w:val="center"/>
            <w:hideMark/>
          </w:tcPr>
          <w:p w14:paraId="45538BC0" w14:textId="77777777" w:rsidR="00972FA4" w:rsidRPr="00CF35ED" w:rsidRDefault="00972FA4" w:rsidP="001D2FA8">
            <w:pPr>
              <w:spacing w:before="0" w:after="0" w:line="240" w:lineRule="auto"/>
              <w:ind w:right="307"/>
              <w:jc w:val="right"/>
              <w:rPr>
                <w:rFonts w:eastAsia="Times New Roman" w:cs="Calibri Light"/>
                <w:color w:val="000000"/>
                <w:sz w:val="20"/>
                <w:szCs w:val="20"/>
              </w:rPr>
            </w:pPr>
            <w:r w:rsidRPr="00CF35ED">
              <w:rPr>
                <w:rFonts w:eastAsia="Times New Roman" w:cs="Calibri Light"/>
                <w:color w:val="000000"/>
                <w:sz w:val="20"/>
                <w:szCs w:val="20"/>
              </w:rPr>
              <w:t xml:space="preserve">$235.00 </w:t>
            </w:r>
          </w:p>
        </w:tc>
      </w:tr>
      <w:tr w:rsidR="00972FA4" w:rsidRPr="00CF35ED" w14:paraId="721F7D2A" w14:textId="77777777" w:rsidTr="002F6473">
        <w:trPr>
          <w:trHeight w:val="20"/>
        </w:trPr>
        <w:tc>
          <w:tcPr>
            <w:tcW w:w="2390" w:type="dxa"/>
            <w:shd w:val="clear" w:color="auto" w:fill="FFFFFF" w:themeFill="background1"/>
            <w:noWrap/>
            <w:vAlign w:val="center"/>
            <w:hideMark/>
          </w:tcPr>
          <w:p w14:paraId="76DFC65D"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#5, Sonora</w:t>
            </w:r>
          </w:p>
        </w:tc>
        <w:tc>
          <w:tcPr>
            <w:tcW w:w="2448" w:type="dxa"/>
            <w:shd w:val="clear" w:color="auto" w:fill="FFFFFF" w:themeFill="background1"/>
            <w:vAlign w:val="center"/>
            <w:hideMark/>
          </w:tcPr>
          <w:p w14:paraId="01C9CA23"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#3, Sacramento</w:t>
            </w:r>
          </w:p>
        </w:tc>
        <w:tc>
          <w:tcPr>
            <w:tcW w:w="1560" w:type="dxa"/>
            <w:shd w:val="clear" w:color="auto" w:fill="FFFFFF" w:themeFill="background1"/>
            <w:vAlign w:val="center"/>
            <w:hideMark/>
          </w:tcPr>
          <w:p w14:paraId="355C4701" w14:textId="77777777" w:rsidR="00972FA4" w:rsidRPr="00CF35ED" w:rsidRDefault="00972FA4" w:rsidP="001D2FA8">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5-Apr-17</w:t>
            </w:r>
          </w:p>
        </w:tc>
        <w:tc>
          <w:tcPr>
            <w:tcW w:w="2160" w:type="dxa"/>
            <w:shd w:val="clear" w:color="auto" w:fill="FFFFFF" w:themeFill="background1"/>
            <w:vAlign w:val="center"/>
            <w:hideMark/>
          </w:tcPr>
          <w:p w14:paraId="5AA11E97" w14:textId="77777777" w:rsidR="00972FA4" w:rsidRPr="00CF35ED" w:rsidRDefault="00972FA4" w:rsidP="001D2FA8">
            <w:pPr>
              <w:spacing w:before="0" w:after="0" w:line="240" w:lineRule="auto"/>
              <w:ind w:right="307"/>
              <w:jc w:val="right"/>
              <w:rPr>
                <w:rFonts w:eastAsia="Times New Roman" w:cs="Calibri Light"/>
                <w:color w:val="000000"/>
                <w:sz w:val="20"/>
                <w:szCs w:val="20"/>
              </w:rPr>
            </w:pPr>
          </w:p>
        </w:tc>
      </w:tr>
      <w:tr w:rsidR="00972FA4" w:rsidRPr="00CF35ED" w14:paraId="23FD0310" w14:textId="77777777" w:rsidTr="002F6473">
        <w:trPr>
          <w:trHeight w:val="20"/>
        </w:trPr>
        <w:tc>
          <w:tcPr>
            <w:tcW w:w="2390" w:type="dxa"/>
            <w:shd w:val="clear" w:color="auto" w:fill="FFFFFF" w:themeFill="background1"/>
            <w:noWrap/>
            <w:vAlign w:val="center"/>
            <w:hideMark/>
          </w:tcPr>
          <w:p w14:paraId="3D11AD31"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Preferred cash customer</w:t>
            </w:r>
          </w:p>
        </w:tc>
        <w:tc>
          <w:tcPr>
            <w:tcW w:w="2448" w:type="dxa"/>
            <w:shd w:val="clear" w:color="auto" w:fill="FFFFFF" w:themeFill="background1"/>
            <w:vAlign w:val="center"/>
            <w:hideMark/>
          </w:tcPr>
          <w:p w14:paraId="6A2E113B" w14:textId="77777777" w:rsidR="00972FA4" w:rsidRPr="00CF35ED" w:rsidRDefault="00972FA4" w:rsidP="001D2FA8">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#3, Rocklin</w:t>
            </w:r>
          </w:p>
        </w:tc>
        <w:tc>
          <w:tcPr>
            <w:tcW w:w="1560" w:type="dxa"/>
            <w:shd w:val="clear" w:color="auto" w:fill="FFFFFF" w:themeFill="background1"/>
            <w:vAlign w:val="center"/>
            <w:hideMark/>
          </w:tcPr>
          <w:p w14:paraId="0457FBE0" w14:textId="77777777" w:rsidR="00972FA4" w:rsidRPr="00CF35ED" w:rsidRDefault="00972FA4" w:rsidP="001D2FA8">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7-Apr-17</w:t>
            </w:r>
          </w:p>
        </w:tc>
        <w:tc>
          <w:tcPr>
            <w:tcW w:w="2160" w:type="dxa"/>
            <w:shd w:val="clear" w:color="auto" w:fill="FFFFFF" w:themeFill="background1"/>
            <w:vAlign w:val="center"/>
            <w:hideMark/>
          </w:tcPr>
          <w:p w14:paraId="78CB22A5" w14:textId="77777777" w:rsidR="00972FA4" w:rsidRPr="00CF35ED" w:rsidRDefault="00972FA4" w:rsidP="001D2FA8">
            <w:pPr>
              <w:spacing w:before="0" w:after="0" w:line="240" w:lineRule="auto"/>
              <w:ind w:right="307"/>
              <w:jc w:val="right"/>
              <w:rPr>
                <w:rFonts w:eastAsia="Times New Roman" w:cs="Calibri Light"/>
                <w:color w:val="000000"/>
                <w:sz w:val="20"/>
                <w:szCs w:val="20"/>
              </w:rPr>
            </w:pPr>
            <w:r w:rsidRPr="00CF35ED">
              <w:rPr>
                <w:rFonts w:eastAsia="Times New Roman" w:cs="Calibri Light"/>
                <w:color w:val="000000"/>
                <w:sz w:val="20"/>
                <w:szCs w:val="20"/>
              </w:rPr>
              <w:t xml:space="preserve">$291.00 </w:t>
            </w:r>
          </w:p>
        </w:tc>
      </w:tr>
      <w:tr w:rsidR="00CA4E77" w:rsidRPr="00CF35ED" w14:paraId="5B529971" w14:textId="77777777" w:rsidTr="00A92548">
        <w:trPr>
          <w:trHeight w:val="20"/>
        </w:trPr>
        <w:tc>
          <w:tcPr>
            <w:tcW w:w="6398" w:type="dxa"/>
            <w:gridSpan w:val="3"/>
            <w:shd w:val="clear" w:color="auto" w:fill="FFFFFF" w:themeFill="background1"/>
            <w:noWrap/>
            <w:vAlign w:val="center"/>
            <w:hideMark/>
          </w:tcPr>
          <w:p w14:paraId="16A983FC" w14:textId="7FECFACE" w:rsidR="00CA4E77" w:rsidRPr="00CF35ED" w:rsidRDefault="00CA4E77" w:rsidP="00CA4E77">
            <w:pPr>
              <w:spacing w:before="0" w:after="0" w:line="240" w:lineRule="auto"/>
              <w:rPr>
                <w:rFonts w:eastAsia="Times New Roman" w:cs="Calibri Light"/>
                <w:b/>
                <w:bCs/>
                <w:color w:val="000000"/>
                <w:sz w:val="20"/>
                <w:szCs w:val="20"/>
              </w:rPr>
            </w:pPr>
            <w:r w:rsidRPr="00CF35ED">
              <w:rPr>
                <w:rFonts w:eastAsia="Times New Roman" w:cs="Calibri Light"/>
                <w:b/>
                <w:color w:val="000000"/>
                <w:sz w:val="20"/>
                <w:szCs w:val="20"/>
              </w:rPr>
              <w:t xml:space="preserve">Average </w:t>
            </w:r>
          </w:p>
        </w:tc>
        <w:tc>
          <w:tcPr>
            <w:tcW w:w="2160" w:type="dxa"/>
            <w:shd w:val="clear" w:color="auto" w:fill="FFFFFF" w:themeFill="background1"/>
            <w:vAlign w:val="center"/>
            <w:hideMark/>
          </w:tcPr>
          <w:p w14:paraId="2B28E7D5" w14:textId="77777777" w:rsidR="00CA4E77" w:rsidRPr="00CF35ED" w:rsidRDefault="00CA4E77" w:rsidP="001D2FA8">
            <w:pPr>
              <w:spacing w:before="0" w:after="0" w:line="240" w:lineRule="auto"/>
              <w:ind w:right="307"/>
              <w:jc w:val="right"/>
              <w:rPr>
                <w:rFonts w:eastAsia="Times New Roman" w:cs="Calibri Light"/>
                <w:b/>
                <w:color w:val="000000"/>
                <w:sz w:val="20"/>
                <w:szCs w:val="20"/>
              </w:rPr>
            </w:pPr>
            <w:r w:rsidRPr="00CF35ED">
              <w:rPr>
                <w:rFonts w:eastAsia="Times New Roman" w:cs="Calibri Light"/>
                <w:b/>
                <w:color w:val="000000"/>
                <w:sz w:val="20"/>
                <w:szCs w:val="20"/>
              </w:rPr>
              <w:t xml:space="preserve">$250.89 </w:t>
            </w:r>
          </w:p>
        </w:tc>
      </w:tr>
    </w:tbl>
    <w:p w14:paraId="5DA603B3" w14:textId="77777777" w:rsidR="007D230B" w:rsidRPr="004B06E3" w:rsidRDefault="007D230B" w:rsidP="004142EF"/>
    <w:p w14:paraId="44E8DBEB" w14:textId="77777777" w:rsidR="007D230B" w:rsidRPr="004B06E3" w:rsidRDefault="007D230B" w:rsidP="00462BB6">
      <w:pPr>
        <w:pStyle w:val="eTRMHeading3"/>
      </w:pPr>
      <w:bookmarkStart w:id="51" w:name="_Toc486490861"/>
      <w:bookmarkStart w:id="52" w:name="_Toc486580932"/>
      <w:bookmarkStart w:id="53" w:name="_Toc2251838"/>
      <w:r w:rsidRPr="004B06E3">
        <w:t>Measure Case Material Cost ($/unit)</w:t>
      </w:r>
      <w:bookmarkEnd w:id="51"/>
      <w:bookmarkEnd w:id="52"/>
      <w:bookmarkEnd w:id="53"/>
    </w:p>
    <w:p w14:paraId="3449A3CF" w14:textId="2F3418D2" w:rsidR="007D230B" w:rsidRDefault="00972FA4" w:rsidP="004142EF">
      <w:r>
        <w:t xml:space="preserve">The measure case material cost was derived as the average of prices obtained </w:t>
      </w:r>
      <w:r w:rsidR="003250AB">
        <w:t xml:space="preserve">in 2017 </w:t>
      </w:r>
      <w:r>
        <w:t>from contractors and distributors that operate</w:t>
      </w:r>
      <w:r w:rsidR="00277AA5">
        <w:t>d</w:t>
      </w:r>
      <w:r>
        <w:t xml:space="preserve"> in the Pacific Gas and Electric service area, </w:t>
      </w:r>
      <w:r w:rsidR="003250AB">
        <w:t>provided below</w:t>
      </w:r>
      <w:r>
        <w:t>.</w:t>
      </w:r>
    </w:p>
    <w:p w14:paraId="1EF6053C" w14:textId="3333D5FE" w:rsidR="00CF35ED" w:rsidRDefault="00CF35ED" w:rsidP="00BD67CA">
      <w:pPr>
        <w:pStyle w:val="Caption"/>
      </w:pPr>
      <w:r>
        <w:lastRenderedPageBreak/>
        <w:t>Measure Case Cost Inputs</w:t>
      </w:r>
    </w:p>
    <w:tbl>
      <w:tblPr>
        <w:tblW w:w="855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FFFFF" w:themeFill="background1"/>
        <w:tblLook w:val="04A0" w:firstRow="1" w:lastRow="0" w:firstColumn="1" w:lastColumn="0" w:noHBand="0" w:noVBand="1"/>
      </w:tblPr>
      <w:tblGrid>
        <w:gridCol w:w="2390"/>
        <w:gridCol w:w="2448"/>
        <w:gridCol w:w="1560"/>
        <w:gridCol w:w="2160"/>
      </w:tblGrid>
      <w:tr w:rsidR="00972FA4" w:rsidRPr="00CF35ED" w14:paraId="29D68CA0" w14:textId="77777777" w:rsidTr="00277AA5">
        <w:trPr>
          <w:trHeight w:val="20"/>
          <w:tblHeader/>
        </w:trPr>
        <w:tc>
          <w:tcPr>
            <w:tcW w:w="2390" w:type="dxa"/>
            <w:shd w:val="clear" w:color="auto" w:fill="F2F2F2" w:themeFill="background1" w:themeFillShade="F2"/>
            <w:vAlign w:val="bottom"/>
            <w:hideMark/>
          </w:tcPr>
          <w:p w14:paraId="3D04A03B" w14:textId="05923C3C" w:rsidR="00972FA4" w:rsidRPr="00CF35ED" w:rsidRDefault="00972FA4" w:rsidP="00BD67CA">
            <w:pPr>
              <w:keepNext/>
              <w:keepLines/>
              <w:spacing w:before="0" w:after="0" w:line="240" w:lineRule="auto"/>
              <w:rPr>
                <w:rFonts w:eastAsia="Times New Roman" w:cs="Calibri Light"/>
                <w:b/>
                <w:sz w:val="20"/>
                <w:szCs w:val="20"/>
              </w:rPr>
            </w:pPr>
            <w:r w:rsidRPr="00CF35ED">
              <w:rPr>
                <w:rFonts w:eastAsia="Times New Roman" w:cs="Calibri Light"/>
                <w:b/>
                <w:sz w:val="20"/>
                <w:szCs w:val="20"/>
              </w:rPr>
              <w:t>Contractor / location</w:t>
            </w:r>
          </w:p>
        </w:tc>
        <w:tc>
          <w:tcPr>
            <w:tcW w:w="2448" w:type="dxa"/>
            <w:shd w:val="clear" w:color="auto" w:fill="F2F2F2" w:themeFill="background1" w:themeFillShade="F2"/>
            <w:vAlign w:val="bottom"/>
            <w:hideMark/>
          </w:tcPr>
          <w:p w14:paraId="7583DDA2" w14:textId="77777777" w:rsidR="00972FA4" w:rsidRPr="00CF35ED" w:rsidRDefault="00972FA4" w:rsidP="00BD67CA">
            <w:pPr>
              <w:keepNext/>
              <w:keepLines/>
              <w:spacing w:before="0" w:after="0" w:line="240" w:lineRule="auto"/>
              <w:jc w:val="center"/>
              <w:rPr>
                <w:rFonts w:eastAsia="Times New Roman" w:cs="Calibri Light"/>
                <w:b/>
                <w:sz w:val="20"/>
                <w:szCs w:val="20"/>
              </w:rPr>
            </w:pPr>
            <w:r w:rsidRPr="00CF35ED">
              <w:rPr>
                <w:rFonts w:eastAsia="Times New Roman" w:cs="Calibri Light"/>
                <w:b/>
                <w:sz w:val="20"/>
                <w:szCs w:val="20"/>
              </w:rPr>
              <w:t>Wholesaler</w:t>
            </w:r>
          </w:p>
        </w:tc>
        <w:tc>
          <w:tcPr>
            <w:tcW w:w="1560" w:type="dxa"/>
            <w:shd w:val="clear" w:color="auto" w:fill="F2F2F2" w:themeFill="background1" w:themeFillShade="F2"/>
            <w:vAlign w:val="bottom"/>
            <w:hideMark/>
          </w:tcPr>
          <w:p w14:paraId="5EDA86C3" w14:textId="77777777" w:rsidR="00972FA4" w:rsidRPr="00CF35ED" w:rsidRDefault="00972FA4" w:rsidP="00BD67CA">
            <w:pPr>
              <w:keepNext/>
              <w:keepLines/>
              <w:spacing w:before="0" w:after="0" w:line="240" w:lineRule="auto"/>
              <w:jc w:val="center"/>
              <w:rPr>
                <w:rFonts w:eastAsia="Times New Roman" w:cs="Calibri Light"/>
                <w:b/>
                <w:sz w:val="20"/>
                <w:szCs w:val="20"/>
              </w:rPr>
            </w:pPr>
            <w:r w:rsidRPr="00CF35ED">
              <w:rPr>
                <w:rFonts w:eastAsia="Times New Roman" w:cs="Calibri Light"/>
                <w:b/>
                <w:sz w:val="20"/>
                <w:szCs w:val="20"/>
              </w:rPr>
              <w:t>Date</w:t>
            </w:r>
          </w:p>
        </w:tc>
        <w:tc>
          <w:tcPr>
            <w:tcW w:w="2160" w:type="dxa"/>
            <w:shd w:val="clear" w:color="auto" w:fill="F2F2F2" w:themeFill="background1" w:themeFillShade="F2"/>
            <w:vAlign w:val="bottom"/>
            <w:hideMark/>
          </w:tcPr>
          <w:p w14:paraId="0070CAE0" w14:textId="116E152F" w:rsidR="00972FA4" w:rsidRPr="00CF35ED" w:rsidRDefault="00972FA4" w:rsidP="00BD67CA">
            <w:pPr>
              <w:keepNext/>
              <w:keepLines/>
              <w:spacing w:before="0" w:after="0" w:line="240" w:lineRule="auto"/>
              <w:jc w:val="center"/>
              <w:rPr>
                <w:rFonts w:eastAsia="Times New Roman" w:cs="Calibri Light"/>
                <w:b/>
                <w:sz w:val="20"/>
                <w:szCs w:val="20"/>
              </w:rPr>
            </w:pPr>
            <w:r w:rsidRPr="00CF35ED">
              <w:rPr>
                <w:rFonts w:eastAsia="Times New Roman" w:cs="Calibri Light"/>
                <w:b/>
                <w:sz w:val="20"/>
                <w:szCs w:val="20"/>
              </w:rPr>
              <w:t>Measure Case</w:t>
            </w:r>
            <w:r w:rsidR="002F6473">
              <w:rPr>
                <w:rFonts w:eastAsia="Times New Roman" w:cs="Calibri Light"/>
                <w:b/>
                <w:sz w:val="20"/>
                <w:szCs w:val="20"/>
              </w:rPr>
              <w:t xml:space="preserve"> Unit Cost</w:t>
            </w:r>
            <w:r w:rsidRPr="00CF35ED">
              <w:rPr>
                <w:rFonts w:eastAsia="Times New Roman" w:cs="Calibri Light"/>
                <w:b/>
                <w:sz w:val="20"/>
                <w:szCs w:val="20"/>
              </w:rPr>
              <w:br/>
            </w:r>
            <w:r w:rsidR="002F6473">
              <w:rPr>
                <w:rFonts w:eastAsia="Times New Roman" w:cs="Calibri Light"/>
                <w:b/>
                <w:sz w:val="20"/>
                <w:szCs w:val="20"/>
              </w:rPr>
              <w:t>(</w:t>
            </w:r>
            <w:r w:rsidRPr="00CF35ED">
              <w:rPr>
                <w:rFonts w:eastAsia="Times New Roman" w:cs="Calibri Light"/>
                <w:b/>
                <w:sz w:val="20"/>
                <w:szCs w:val="20"/>
              </w:rPr>
              <w:t>Alpha 15-55</w:t>
            </w:r>
            <w:r w:rsidR="002F6473">
              <w:rPr>
                <w:rFonts w:eastAsia="Times New Roman" w:cs="Calibri Light"/>
                <w:b/>
                <w:sz w:val="20"/>
                <w:szCs w:val="20"/>
              </w:rPr>
              <w:t xml:space="preserve">, </w:t>
            </w:r>
            <w:r w:rsidRPr="00CF35ED">
              <w:rPr>
                <w:rFonts w:eastAsia="Times New Roman" w:cs="Calibri Light"/>
                <w:b/>
                <w:sz w:val="20"/>
                <w:szCs w:val="20"/>
              </w:rPr>
              <w:t>0.06 hp</w:t>
            </w:r>
            <w:r w:rsidR="002F6473">
              <w:rPr>
                <w:rFonts w:eastAsia="Times New Roman" w:cs="Calibri Light"/>
                <w:b/>
                <w:sz w:val="20"/>
                <w:szCs w:val="20"/>
              </w:rPr>
              <w:t>)</w:t>
            </w:r>
          </w:p>
        </w:tc>
      </w:tr>
      <w:tr w:rsidR="00972FA4" w:rsidRPr="00CF35ED" w14:paraId="462DC1F8" w14:textId="77777777" w:rsidTr="002F6473">
        <w:trPr>
          <w:trHeight w:val="20"/>
        </w:trPr>
        <w:tc>
          <w:tcPr>
            <w:tcW w:w="2390" w:type="dxa"/>
            <w:shd w:val="clear" w:color="auto" w:fill="FFFFFF" w:themeFill="background1"/>
            <w:noWrap/>
            <w:vAlign w:val="center"/>
            <w:hideMark/>
          </w:tcPr>
          <w:p w14:paraId="49E658FF" w14:textId="77777777" w:rsidR="00972FA4" w:rsidRPr="00CF35ED" w:rsidRDefault="00972FA4" w:rsidP="00BD67CA">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#1, San Mateo</w:t>
            </w:r>
          </w:p>
        </w:tc>
        <w:tc>
          <w:tcPr>
            <w:tcW w:w="2448" w:type="dxa"/>
            <w:shd w:val="clear" w:color="auto" w:fill="FFFFFF" w:themeFill="background1"/>
            <w:vAlign w:val="center"/>
            <w:hideMark/>
          </w:tcPr>
          <w:p w14:paraId="24F10661" w14:textId="77777777" w:rsidR="00972FA4" w:rsidRPr="00CF35ED" w:rsidRDefault="00972FA4" w:rsidP="00BD67CA">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#1</w:t>
            </w:r>
          </w:p>
        </w:tc>
        <w:tc>
          <w:tcPr>
            <w:tcW w:w="1560" w:type="dxa"/>
            <w:shd w:val="clear" w:color="auto" w:fill="FFFFFF" w:themeFill="background1"/>
            <w:vAlign w:val="center"/>
            <w:hideMark/>
          </w:tcPr>
          <w:p w14:paraId="4D8E859D" w14:textId="77777777" w:rsidR="00972FA4" w:rsidRPr="00CF35ED" w:rsidRDefault="00972FA4" w:rsidP="00BD67CA">
            <w:pPr>
              <w:keepNext/>
              <w:keepLines/>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28-Mar-17</w:t>
            </w:r>
          </w:p>
        </w:tc>
        <w:tc>
          <w:tcPr>
            <w:tcW w:w="2160" w:type="dxa"/>
            <w:shd w:val="clear" w:color="auto" w:fill="FFFFFF" w:themeFill="background1"/>
            <w:vAlign w:val="center"/>
            <w:hideMark/>
          </w:tcPr>
          <w:p w14:paraId="6FA8B1B9" w14:textId="77777777" w:rsidR="00972FA4" w:rsidRPr="00CF35ED" w:rsidRDefault="00972FA4" w:rsidP="00BD67CA">
            <w:pPr>
              <w:keepNext/>
              <w:keepLines/>
              <w:spacing w:before="0" w:after="0" w:line="240" w:lineRule="auto"/>
              <w:ind w:right="610"/>
              <w:jc w:val="right"/>
              <w:rPr>
                <w:rFonts w:eastAsia="Times New Roman" w:cs="Calibri Light"/>
                <w:color w:val="000000"/>
                <w:sz w:val="20"/>
                <w:szCs w:val="20"/>
              </w:rPr>
            </w:pPr>
            <w:r w:rsidRPr="00CF35ED">
              <w:rPr>
                <w:rFonts w:eastAsia="Times New Roman" w:cs="Calibri Light"/>
                <w:color w:val="000000"/>
                <w:sz w:val="20"/>
                <w:szCs w:val="20"/>
              </w:rPr>
              <w:t xml:space="preserve">$369.00 </w:t>
            </w:r>
          </w:p>
        </w:tc>
      </w:tr>
      <w:tr w:rsidR="00972FA4" w:rsidRPr="00CF35ED" w14:paraId="435DD6B4" w14:textId="77777777" w:rsidTr="002F6473">
        <w:trPr>
          <w:trHeight w:val="20"/>
        </w:trPr>
        <w:tc>
          <w:tcPr>
            <w:tcW w:w="2390" w:type="dxa"/>
            <w:shd w:val="clear" w:color="auto" w:fill="FFFFFF" w:themeFill="background1"/>
            <w:noWrap/>
            <w:vAlign w:val="center"/>
            <w:hideMark/>
          </w:tcPr>
          <w:p w14:paraId="64771491" w14:textId="77777777" w:rsidR="00972FA4" w:rsidRPr="00CF35ED" w:rsidRDefault="00972FA4" w:rsidP="00BD67CA">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#2, Milpitas</w:t>
            </w:r>
          </w:p>
        </w:tc>
        <w:tc>
          <w:tcPr>
            <w:tcW w:w="2448" w:type="dxa"/>
            <w:shd w:val="clear" w:color="auto" w:fill="FFFFFF" w:themeFill="background1"/>
            <w:vAlign w:val="center"/>
            <w:hideMark/>
          </w:tcPr>
          <w:p w14:paraId="475CF7D6" w14:textId="77777777" w:rsidR="00972FA4" w:rsidRPr="00CF35ED" w:rsidRDefault="00972FA4" w:rsidP="00BD67CA">
            <w:pPr>
              <w:keepNext/>
              <w:keepLines/>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#2</w:t>
            </w:r>
          </w:p>
        </w:tc>
        <w:tc>
          <w:tcPr>
            <w:tcW w:w="1560" w:type="dxa"/>
            <w:shd w:val="clear" w:color="auto" w:fill="FFFFFF" w:themeFill="background1"/>
            <w:vAlign w:val="center"/>
            <w:hideMark/>
          </w:tcPr>
          <w:p w14:paraId="549C9B91" w14:textId="77777777" w:rsidR="00972FA4" w:rsidRPr="00CF35ED" w:rsidRDefault="00972FA4" w:rsidP="00BD67CA">
            <w:pPr>
              <w:keepNext/>
              <w:keepLines/>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29-Mar-17</w:t>
            </w:r>
          </w:p>
        </w:tc>
        <w:tc>
          <w:tcPr>
            <w:tcW w:w="2160" w:type="dxa"/>
            <w:shd w:val="clear" w:color="auto" w:fill="FFFFFF" w:themeFill="background1"/>
            <w:vAlign w:val="center"/>
            <w:hideMark/>
          </w:tcPr>
          <w:p w14:paraId="1708E6D1" w14:textId="77777777" w:rsidR="00972FA4" w:rsidRPr="00CF35ED" w:rsidRDefault="00972FA4" w:rsidP="00BD67CA">
            <w:pPr>
              <w:keepNext/>
              <w:keepLines/>
              <w:spacing w:before="0" w:after="0" w:line="240" w:lineRule="auto"/>
              <w:ind w:right="610"/>
              <w:jc w:val="right"/>
              <w:rPr>
                <w:rFonts w:eastAsia="Times New Roman" w:cs="Calibri Light"/>
                <w:color w:val="000000"/>
                <w:sz w:val="20"/>
                <w:szCs w:val="20"/>
              </w:rPr>
            </w:pPr>
            <w:r w:rsidRPr="00CF35ED">
              <w:rPr>
                <w:rFonts w:eastAsia="Times New Roman" w:cs="Calibri Light"/>
                <w:color w:val="000000"/>
                <w:sz w:val="20"/>
                <w:szCs w:val="20"/>
              </w:rPr>
              <w:t xml:space="preserve">$312.50 </w:t>
            </w:r>
          </w:p>
        </w:tc>
      </w:tr>
      <w:tr w:rsidR="00972FA4" w:rsidRPr="00CF35ED" w14:paraId="6DE5B5FA" w14:textId="77777777" w:rsidTr="002F6473">
        <w:trPr>
          <w:trHeight w:val="20"/>
        </w:trPr>
        <w:tc>
          <w:tcPr>
            <w:tcW w:w="2390" w:type="dxa"/>
            <w:shd w:val="clear" w:color="auto" w:fill="FFFFFF" w:themeFill="background1"/>
            <w:noWrap/>
            <w:vAlign w:val="center"/>
            <w:hideMark/>
          </w:tcPr>
          <w:p w14:paraId="0202961B"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#2, Milpitas</w:t>
            </w:r>
          </w:p>
        </w:tc>
        <w:tc>
          <w:tcPr>
            <w:tcW w:w="2448" w:type="dxa"/>
            <w:shd w:val="clear" w:color="auto" w:fill="FFFFFF" w:themeFill="background1"/>
            <w:vAlign w:val="center"/>
            <w:hideMark/>
          </w:tcPr>
          <w:p w14:paraId="38452DB3"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#1</w:t>
            </w:r>
          </w:p>
        </w:tc>
        <w:tc>
          <w:tcPr>
            <w:tcW w:w="1560" w:type="dxa"/>
            <w:shd w:val="clear" w:color="auto" w:fill="FFFFFF" w:themeFill="background1"/>
            <w:vAlign w:val="center"/>
            <w:hideMark/>
          </w:tcPr>
          <w:p w14:paraId="50F70618" w14:textId="77777777" w:rsidR="00972FA4" w:rsidRPr="00CF35ED" w:rsidRDefault="00972FA4" w:rsidP="00CF35ED">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28-Mar-17</w:t>
            </w:r>
          </w:p>
        </w:tc>
        <w:tc>
          <w:tcPr>
            <w:tcW w:w="2160" w:type="dxa"/>
            <w:shd w:val="clear" w:color="auto" w:fill="FFFFFF" w:themeFill="background1"/>
            <w:vAlign w:val="center"/>
            <w:hideMark/>
          </w:tcPr>
          <w:p w14:paraId="2FB19DF0" w14:textId="77777777" w:rsidR="00972FA4" w:rsidRPr="00CF35ED" w:rsidRDefault="00972FA4" w:rsidP="002F6473">
            <w:pPr>
              <w:spacing w:before="0" w:after="0" w:line="240" w:lineRule="auto"/>
              <w:ind w:right="610"/>
              <w:jc w:val="right"/>
              <w:rPr>
                <w:rFonts w:eastAsia="Times New Roman" w:cs="Calibri Light"/>
                <w:color w:val="000000"/>
                <w:sz w:val="20"/>
                <w:szCs w:val="20"/>
              </w:rPr>
            </w:pPr>
            <w:r w:rsidRPr="00CF35ED">
              <w:rPr>
                <w:rFonts w:eastAsia="Times New Roman" w:cs="Calibri Light"/>
                <w:color w:val="000000"/>
                <w:sz w:val="20"/>
                <w:szCs w:val="20"/>
              </w:rPr>
              <w:t xml:space="preserve">$378.75 </w:t>
            </w:r>
          </w:p>
        </w:tc>
      </w:tr>
      <w:tr w:rsidR="00972FA4" w:rsidRPr="00CF35ED" w14:paraId="20DDDE4E" w14:textId="77777777" w:rsidTr="002F6473">
        <w:trPr>
          <w:trHeight w:val="20"/>
        </w:trPr>
        <w:tc>
          <w:tcPr>
            <w:tcW w:w="2390" w:type="dxa"/>
            <w:shd w:val="clear" w:color="auto" w:fill="FFFFFF" w:themeFill="background1"/>
            <w:noWrap/>
            <w:vAlign w:val="center"/>
            <w:hideMark/>
          </w:tcPr>
          <w:p w14:paraId="20831F4C"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#3, Turlock</w:t>
            </w:r>
          </w:p>
        </w:tc>
        <w:tc>
          <w:tcPr>
            <w:tcW w:w="2448" w:type="dxa"/>
            <w:shd w:val="clear" w:color="auto" w:fill="FFFFFF" w:themeFill="background1"/>
            <w:vAlign w:val="center"/>
            <w:hideMark/>
          </w:tcPr>
          <w:p w14:paraId="61547A9A"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#3, Stockton</w:t>
            </w:r>
          </w:p>
        </w:tc>
        <w:tc>
          <w:tcPr>
            <w:tcW w:w="1560" w:type="dxa"/>
            <w:shd w:val="clear" w:color="auto" w:fill="FFFFFF" w:themeFill="background1"/>
            <w:vAlign w:val="center"/>
            <w:hideMark/>
          </w:tcPr>
          <w:p w14:paraId="00F0578A" w14:textId="77777777" w:rsidR="00972FA4" w:rsidRPr="00CF35ED" w:rsidRDefault="00972FA4" w:rsidP="00CF35ED">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4-Apr-17</w:t>
            </w:r>
          </w:p>
        </w:tc>
        <w:tc>
          <w:tcPr>
            <w:tcW w:w="2160" w:type="dxa"/>
            <w:shd w:val="clear" w:color="auto" w:fill="FFFFFF" w:themeFill="background1"/>
            <w:vAlign w:val="center"/>
            <w:hideMark/>
          </w:tcPr>
          <w:p w14:paraId="1F5B0AB3" w14:textId="78BFD501" w:rsidR="00972FA4" w:rsidRPr="00CF35ED" w:rsidRDefault="00972FA4" w:rsidP="002F6473">
            <w:pPr>
              <w:spacing w:before="0" w:after="0" w:line="240" w:lineRule="auto"/>
              <w:ind w:right="610"/>
              <w:jc w:val="right"/>
              <w:rPr>
                <w:rFonts w:eastAsia="Times New Roman" w:cs="Calibri Light"/>
                <w:color w:val="000000"/>
                <w:sz w:val="20"/>
                <w:szCs w:val="20"/>
              </w:rPr>
            </w:pPr>
          </w:p>
        </w:tc>
      </w:tr>
      <w:tr w:rsidR="00972FA4" w:rsidRPr="00CF35ED" w14:paraId="0755AA9F" w14:textId="77777777" w:rsidTr="002F6473">
        <w:trPr>
          <w:trHeight w:val="20"/>
        </w:trPr>
        <w:tc>
          <w:tcPr>
            <w:tcW w:w="2390" w:type="dxa"/>
            <w:shd w:val="clear" w:color="auto" w:fill="FFFFFF" w:themeFill="background1"/>
            <w:noWrap/>
            <w:vAlign w:val="center"/>
            <w:hideMark/>
          </w:tcPr>
          <w:p w14:paraId="7AA62CEA"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#4, San Rafael</w:t>
            </w:r>
          </w:p>
        </w:tc>
        <w:tc>
          <w:tcPr>
            <w:tcW w:w="2448" w:type="dxa"/>
            <w:shd w:val="clear" w:color="auto" w:fill="FFFFFF" w:themeFill="background1"/>
            <w:vAlign w:val="center"/>
            <w:hideMark/>
          </w:tcPr>
          <w:p w14:paraId="54160CA6"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#1, San Rafael</w:t>
            </w:r>
          </w:p>
        </w:tc>
        <w:tc>
          <w:tcPr>
            <w:tcW w:w="1560" w:type="dxa"/>
            <w:shd w:val="clear" w:color="auto" w:fill="FFFFFF" w:themeFill="background1"/>
            <w:vAlign w:val="center"/>
            <w:hideMark/>
          </w:tcPr>
          <w:p w14:paraId="6CF0134B" w14:textId="77777777" w:rsidR="00972FA4" w:rsidRPr="00CF35ED" w:rsidRDefault="00972FA4" w:rsidP="00CF35ED">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5-Apr-17</w:t>
            </w:r>
          </w:p>
        </w:tc>
        <w:tc>
          <w:tcPr>
            <w:tcW w:w="2160" w:type="dxa"/>
            <w:shd w:val="clear" w:color="auto" w:fill="FFFFFF" w:themeFill="background1"/>
            <w:vAlign w:val="center"/>
            <w:hideMark/>
          </w:tcPr>
          <w:p w14:paraId="51212007" w14:textId="77777777" w:rsidR="00972FA4" w:rsidRPr="00CF35ED" w:rsidRDefault="00972FA4" w:rsidP="002F6473">
            <w:pPr>
              <w:spacing w:before="0" w:after="0" w:line="240" w:lineRule="auto"/>
              <w:ind w:right="610"/>
              <w:jc w:val="right"/>
              <w:rPr>
                <w:rFonts w:eastAsia="Times New Roman" w:cs="Calibri Light"/>
                <w:color w:val="000000"/>
                <w:sz w:val="20"/>
                <w:szCs w:val="20"/>
              </w:rPr>
            </w:pPr>
            <w:r w:rsidRPr="00CF35ED">
              <w:rPr>
                <w:rFonts w:eastAsia="Times New Roman" w:cs="Calibri Light"/>
                <w:color w:val="000000"/>
                <w:sz w:val="20"/>
                <w:szCs w:val="20"/>
              </w:rPr>
              <w:t xml:space="preserve">$312.50 </w:t>
            </w:r>
          </w:p>
        </w:tc>
      </w:tr>
      <w:tr w:rsidR="00972FA4" w:rsidRPr="00CF35ED" w14:paraId="7DA0A8A2" w14:textId="77777777" w:rsidTr="002F6473">
        <w:trPr>
          <w:trHeight w:val="20"/>
        </w:trPr>
        <w:tc>
          <w:tcPr>
            <w:tcW w:w="2390" w:type="dxa"/>
            <w:shd w:val="clear" w:color="auto" w:fill="FFFFFF" w:themeFill="background1"/>
            <w:noWrap/>
            <w:vAlign w:val="center"/>
            <w:hideMark/>
          </w:tcPr>
          <w:p w14:paraId="7C7F4E08"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Contractor #5, Sonora</w:t>
            </w:r>
          </w:p>
        </w:tc>
        <w:tc>
          <w:tcPr>
            <w:tcW w:w="2448" w:type="dxa"/>
            <w:shd w:val="clear" w:color="auto" w:fill="FFFFFF" w:themeFill="background1"/>
            <w:vAlign w:val="center"/>
            <w:hideMark/>
          </w:tcPr>
          <w:p w14:paraId="3AE1728E"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#3, Sacramento</w:t>
            </w:r>
          </w:p>
        </w:tc>
        <w:tc>
          <w:tcPr>
            <w:tcW w:w="1560" w:type="dxa"/>
            <w:shd w:val="clear" w:color="auto" w:fill="FFFFFF" w:themeFill="background1"/>
            <w:vAlign w:val="center"/>
            <w:hideMark/>
          </w:tcPr>
          <w:p w14:paraId="75F48FEB" w14:textId="77777777" w:rsidR="00972FA4" w:rsidRPr="00CF35ED" w:rsidRDefault="00972FA4" w:rsidP="00CF35ED">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5-Apr-17</w:t>
            </w:r>
          </w:p>
        </w:tc>
        <w:tc>
          <w:tcPr>
            <w:tcW w:w="2160" w:type="dxa"/>
            <w:shd w:val="clear" w:color="auto" w:fill="FFFFFF" w:themeFill="background1"/>
            <w:vAlign w:val="center"/>
            <w:hideMark/>
          </w:tcPr>
          <w:p w14:paraId="42421E83" w14:textId="77777777" w:rsidR="00972FA4" w:rsidRPr="00CF35ED" w:rsidRDefault="00972FA4" w:rsidP="002F6473">
            <w:pPr>
              <w:spacing w:before="0" w:after="0" w:line="240" w:lineRule="auto"/>
              <w:ind w:right="610"/>
              <w:jc w:val="right"/>
              <w:rPr>
                <w:rFonts w:eastAsia="Times New Roman" w:cs="Calibri Light"/>
                <w:color w:val="000000"/>
                <w:sz w:val="20"/>
                <w:szCs w:val="20"/>
              </w:rPr>
            </w:pPr>
            <w:r w:rsidRPr="00CF35ED">
              <w:rPr>
                <w:rFonts w:eastAsia="Times New Roman" w:cs="Calibri Light"/>
                <w:color w:val="000000"/>
                <w:sz w:val="20"/>
                <w:szCs w:val="20"/>
              </w:rPr>
              <w:t xml:space="preserve">$289.94 </w:t>
            </w:r>
          </w:p>
        </w:tc>
      </w:tr>
      <w:tr w:rsidR="00972FA4" w:rsidRPr="00CF35ED" w14:paraId="62D1A452" w14:textId="77777777" w:rsidTr="002F6473">
        <w:trPr>
          <w:trHeight w:val="20"/>
        </w:trPr>
        <w:tc>
          <w:tcPr>
            <w:tcW w:w="2390" w:type="dxa"/>
            <w:shd w:val="clear" w:color="auto" w:fill="FFFFFF" w:themeFill="background1"/>
            <w:noWrap/>
            <w:vAlign w:val="center"/>
            <w:hideMark/>
          </w:tcPr>
          <w:p w14:paraId="17724BC3"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Preferred cash customer</w:t>
            </w:r>
          </w:p>
        </w:tc>
        <w:tc>
          <w:tcPr>
            <w:tcW w:w="2448" w:type="dxa"/>
            <w:shd w:val="clear" w:color="auto" w:fill="FFFFFF" w:themeFill="background1"/>
            <w:vAlign w:val="center"/>
            <w:hideMark/>
          </w:tcPr>
          <w:p w14:paraId="16D12387" w14:textId="77777777" w:rsidR="00972FA4" w:rsidRPr="00CF35ED" w:rsidRDefault="00972FA4" w:rsidP="00CF35ED">
            <w:pPr>
              <w:spacing w:before="0" w:after="0" w:line="240" w:lineRule="auto"/>
              <w:rPr>
                <w:rFonts w:eastAsia="Times New Roman" w:cs="Calibri Light"/>
                <w:color w:val="000000"/>
                <w:sz w:val="20"/>
                <w:szCs w:val="20"/>
              </w:rPr>
            </w:pPr>
            <w:r w:rsidRPr="00CF35ED">
              <w:rPr>
                <w:rFonts w:eastAsia="Times New Roman" w:cs="Calibri Light"/>
                <w:color w:val="000000"/>
                <w:sz w:val="20"/>
                <w:szCs w:val="20"/>
              </w:rPr>
              <w:t>Wholesaler #3, Rocklin</w:t>
            </w:r>
          </w:p>
        </w:tc>
        <w:tc>
          <w:tcPr>
            <w:tcW w:w="1560" w:type="dxa"/>
            <w:shd w:val="clear" w:color="auto" w:fill="FFFFFF" w:themeFill="background1"/>
            <w:vAlign w:val="center"/>
            <w:hideMark/>
          </w:tcPr>
          <w:p w14:paraId="704CA18B" w14:textId="77777777" w:rsidR="00972FA4" w:rsidRPr="00CF35ED" w:rsidRDefault="00972FA4" w:rsidP="00CF35ED">
            <w:pPr>
              <w:spacing w:before="0" w:after="0" w:line="240" w:lineRule="auto"/>
              <w:jc w:val="center"/>
              <w:rPr>
                <w:rFonts w:eastAsia="Times New Roman" w:cs="Calibri Light"/>
                <w:color w:val="000000"/>
                <w:sz w:val="20"/>
                <w:szCs w:val="20"/>
              </w:rPr>
            </w:pPr>
            <w:r w:rsidRPr="00CF35ED">
              <w:rPr>
                <w:rFonts w:eastAsia="Times New Roman" w:cs="Calibri Light"/>
                <w:color w:val="000000"/>
                <w:sz w:val="20"/>
                <w:szCs w:val="20"/>
              </w:rPr>
              <w:t>7-Apr-17</w:t>
            </w:r>
          </w:p>
        </w:tc>
        <w:tc>
          <w:tcPr>
            <w:tcW w:w="2160" w:type="dxa"/>
            <w:shd w:val="clear" w:color="auto" w:fill="FFFFFF" w:themeFill="background1"/>
            <w:vAlign w:val="center"/>
            <w:hideMark/>
          </w:tcPr>
          <w:p w14:paraId="46DE57D8" w14:textId="77777777" w:rsidR="00972FA4" w:rsidRPr="00CF35ED" w:rsidRDefault="00972FA4" w:rsidP="002F6473">
            <w:pPr>
              <w:spacing w:before="0" w:after="0" w:line="240" w:lineRule="auto"/>
              <w:ind w:right="610"/>
              <w:jc w:val="right"/>
              <w:rPr>
                <w:rFonts w:eastAsia="Times New Roman" w:cs="Calibri Light"/>
                <w:color w:val="000000"/>
                <w:sz w:val="20"/>
                <w:szCs w:val="20"/>
              </w:rPr>
            </w:pPr>
            <w:r w:rsidRPr="00CF35ED">
              <w:rPr>
                <w:rFonts w:eastAsia="Times New Roman" w:cs="Calibri Light"/>
                <w:color w:val="000000"/>
                <w:sz w:val="20"/>
                <w:szCs w:val="20"/>
              </w:rPr>
              <w:t xml:space="preserve">$386.00 </w:t>
            </w:r>
          </w:p>
        </w:tc>
      </w:tr>
      <w:tr w:rsidR="00CA4E77" w:rsidRPr="00CF35ED" w14:paraId="41D77658" w14:textId="77777777" w:rsidTr="00A92548">
        <w:trPr>
          <w:trHeight w:val="20"/>
        </w:trPr>
        <w:tc>
          <w:tcPr>
            <w:tcW w:w="6398" w:type="dxa"/>
            <w:gridSpan w:val="3"/>
            <w:shd w:val="clear" w:color="auto" w:fill="FFFFFF" w:themeFill="background1"/>
            <w:noWrap/>
            <w:vAlign w:val="center"/>
            <w:hideMark/>
          </w:tcPr>
          <w:p w14:paraId="6F39516A" w14:textId="0CE3931B" w:rsidR="00CA4E77" w:rsidRPr="00CF35ED" w:rsidRDefault="00CA4E77" w:rsidP="00CA4E77">
            <w:pPr>
              <w:spacing w:before="0" w:after="0" w:line="240" w:lineRule="auto"/>
              <w:rPr>
                <w:rFonts w:eastAsia="Times New Roman" w:cs="Calibri Light"/>
                <w:b/>
                <w:bCs/>
                <w:color w:val="000000"/>
                <w:sz w:val="20"/>
                <w:szCs w:val="20"/>
              </w:rPr>
            </w:pPr>
            <w:r w:rsidRPr="00CF35ED">
              <w:rPr>
                <w:rFonts w:eastAsia="Times New Roman" w:cs="Calibri Light"/>
                <w:b/>
                <w:color w:val="000000"/>
                <w:sz w:val="20"/>
                <w:szCs w:val="20"/>
              </w:rPr>
              <w:t xml:space="preserve">Average </w:t>
            </w:r>
          </w:p>
        </w:tc>
        <w:tc>
          <w:tcPr>
            <w:tcW w:w="2160" w:type="dxa"/>
            <w:shd w:val="clear" w:color="auto" w:fill="FFFFFF" w:themeFill="background1"/>
            <w:vAlign w:val="center"/>
            <w:hideMark/>
          </w:tcPr>
          <w:p w14:paraId="04F5424D" w14:textId="615542C5" w:rsidR="00CA4E77" w:rsidRPr="00CF35ED" w:rsidRDefault="00CA4E77" w:rsidP="002F6473">
            <w:pPr>
              <w:spacing w:before="0" w:after="0" w:line="240" w:lineRule="auto"/>
              <w:ind w:right="610"/>
              <w:jc w:val="right"/>
              <w:rPr>
                <w:rFonts w:eastAsia="Times New Roman" w:cs="Calibri Light"/>
                <w:b/>
                <w:color w:val="000000"/>
                <w:sz w:val="20"/>
                <w:szCs w:val="20"/>
              </w:rPr>
            </w:pPr>
            <w:r w:rsidRPr="00CF35ED">
              <w:rPr>
                <w:rFonts w:eastAsia="Times New Roman" w:cs="Calibri Light"/>
                <w:b/>
                <w:color w:val="000000"/>
                <w:sz w:val="20"/>
                <w:szCs w:val="20"/>
              </w:rPr>
              <w:t>$341.45</w:t>
            </w:r>
          </w:p>
        </w:tc>
      </w:tr>
    </w:tbl>
    <w:p w14:paraId="081E0316" w14:textId="679C6065" w:rsidR="007D230B" w:rsidRDefault="007D230B" w:rsidP="004142EF"/>
    <w:p w14:paraId="6EA7327C" w14:textId="179832D1" w:rsidR="00975938" w:rsidRDefault="00975938" w:rsidP="00975938">
      <w:pPr>
        <w:rPr>
          <w:iCs/>
        </w:rPr>
      </w:pPr>
      <w:r>
        <w:rPr>
          <w:iCs/>
        </w:rPr>
        <w:t xml:space="preserve">Cast iron pumps are significantly less expensive than </w:t>
      </w:r>
      <w:r w:rsidR="003250AB">
        <w:rPr>
          <w:iCs/>
        </w:rPr>
        <w:t>the</w:t>
      </w:r>
      <w:r>
        <w:rPr>
          <w:iCs/>
        </w:rPr>
        <w:t xml:space="preserve"> stainless steel or bronze counterparts. For this reason, the measure case pump, which is of the non-ferrous variety, would not </w:t>
      </w:r>
      <w:r w:rsidR="003250AB">
        <w:rPr>
          <w:iCs/>
        </w:rPr>
        <w:t>be installed in</w:t>
      </w:r>
      <w:r>
        <w:rPr>
          <w:iCs/>
        </w:rPr>
        <w:t xml:space="preserve"> an application that is not DHW. A cursory review of base and measure case pump </w:t>
      </w:r>
      <w:r w:rsidR="00DC6BBC">
        <w:rPr>
          <w:iCs/>
        </w:rPr>
        <w:t>prices</w:t>
      </w:r>
      <w:r>
        <w:rPr>
          <w:iCs/>
        </w:rPr>
        <w:t xml:space="preserve"> </w:t>
      </w:r>
      <w:r w:rsidR="003250AB">
        <w:rPr>
          <w:iCs/>
        </w:rPr>
        <w:t>reveal</w:t>
      </w:r>
      <w:r w:rsidR="00DC6BBC">
        <w:rPr>
          <w:iCs/>
        </w:rPr>
        <w:t>ed</w:t>
      </w:r>
      <w:r>
        <w:rPr>
          <w:iCs/>
        </w:rPr>
        <w:t xml:space="preserve"> that the base case stainless steel pump is more expensive than its measure case cast iron counterpart</w:t>
      </w:r>
      <w:r w:rsidR="00DC6BBC">
        <w:rPr>
          <w:iCs/>
        </w:rPr>
        <w:t>. This measure that</w:t>
      </w:r>
      <w:r>
        <w:rPr>
          <w:iCs/>
        </w:rPr>
        <w:t xml:space="preserve"> even with a rebate </w:t>
      </w:r>
      <w:r w:rsidR="003250AB">
        <w:rPr>
          <w:iCs/>
        </w:rPr>
        <w:t>equal to the</w:t>
      </w:r>
      <w:r>
        <w:rPr>
          <w:iCs/>
        </w:rPr>
        <w:t xml:space="preserve"> full </w:t>
      </w:r>
      <w:r w:rsidR="003250AB">
        <w:rPr>
          <w:iCs/>
        </w:rPr>
        <w:t>incremental measure cost (</w:t>
      </w:r>
      <w:r>
        <w:rPr>
          <w:iCs/>
        </w:rPr>
        <w:t>IMC</w:t>
      </w:r>
      <w:r w:rsidR="003250AB">
        <w:rPr>
          <w:iCs/>
        </w:rPr>
        <w:t>),</w:t>
      </w:r>
      <w:r>
        <w:rPr>
          <w:iCs/>
        </w:rPr>
        <w:t xml:space="preserve"> the cast iron Alpha 15-55 pump is less expensive than a non-ferrous Alpha 15-55.</w:t>
      </w:r>
    </w:p>
    <w:p w14:paraId="186EF404" w14:textId="764D067A" w:rsidR="00975938" w:rsidRDefault="00975938" w:rsidP="004142EF"/>
    <w:p w14:paraId="520A9BF7" w14:textId="61838C04" w:rsidR="003250AB" w:rsidRPr="004B06E3" w:rsidRDefault="003250AB" w:rsidP="003250AB">
      <w:pPr>
        <w:pStyle w:val="eTRMHeading3"/>
      </w:pPr>
      <w:bookmarkStart w:id="54" w:name="_Toc2251839"/>
      <w:r>
        <w:t xml:space="preserve">Base Case </w:t>
      </w:r>
      <w:r w:rsidRPr="004B06E3">
        <w:t>Labor Cost ($/unit)</w:t>
      </w:r>
      <w:bookmarkEnd w:id="54"/>
    </w:p>
    <w:p w14:paraId="6DBBBCC7" w14:textId="23228758" w:rsidR="003250AB" w:rsidRDefault="003250AB" w:rsidP="003250AB">
      <w:bookmarkStart w:id="55" w:name="_Toc486490862"/>
      <w:bookmarkStart w:id="56" w:name="_Toc486580933"/>
      <w:r>
        <w:t>Because the</w:t>
      </w:r>
      <w:r w:rsidRPr="003C0661">
        <w:t xml:space="preserve"> </w:t>
      </w:r>
      <w:r>
        <w:t>variable frequency drive (</w:t>
      </w:r>
      <w:r w:rsidRPr="003C0661">
        <w:t>VFD</w:t>
      </w:r>
      <w:r>
        <w:t>)</w:t>
      </w:r>
      <w:r w:rsidRPr="003C0661">
        <w:t xml:space="preserve"> and controls </w:t>
      </w:r>
      <w:r>
        <w:t xml:space="preserve">for the measure case pump </w:t>
      </w:r>
      <w:r w:rsidRPr="003C0661">
        <w:t>are built into the pump and the flange-to-flange dimension is often the same; the result is no additional installation cost as compared to the base case technology</w:t>
      </w:r>
      <w:r>
        <w:t>.</w:t>
      </w:r>
      <w:r w:rsidR="00DC6BBC">
        <w:t xml:space="preserve"> </w:t>
      </w:r>
      <w:r w:rsidR="00277AA5">
        <w:t>Thus,</w:t>
      </w:r>
      <w:r w:rsidR="00DC6BBC">
        <w:t xml:space="preserve"> the base case labor cost is assumed to equal the measure case labor cost.</w:t>
      </w:r>
    </w:p>
    <w:p w14:paraId="20BE0A49" w14:textId="77777777" w:rsidR="00D552C9" w:rsidRDefault="00D552C9" w:rsidP="003250AB"/>
    <w:p w14:paraId="02691007" w14:textId="65915E98" w:rsidR="007D230B" w:rsidRPr="004B06E3" w:rsidRDefault="003250AB" w:rsidP="00462BB6">
      <w:pPr>
        <w:pStyle w:val="eTRMHeading3"/>
      </w:pPr>
      <w:bookmarkStart w:id="57" w:name="_Toc2251840"/>
      <w:r>
        <w:t xml:space="preserve">Measure Case </w:t>
      </w:r>
      <w:r w:rsidR="007D230B" w:rsidRPr="004B06E3">
        <w:t>Labor Cost ($/unit)</w:t>
      </w:r>
      <w:bookmarkEnd w:id="55"/>
      <w:bookmarkEnd w:id="56"/>
      <w:bookmarkEnd w:id="57"/>
    </w:p>
    <w:p w14:paraId="5FCE367F" w14:textId="56BEE022" w:rsidR="007D230B" w:rsidRDefault="00CA4E77" w:rsidP="00972FA4">
      <w:bookmarkStart w:id="58" w:name="_Hlk510167638"/>
      <w:r w:rsidRPr="003C0661">
        <w:t>The estimated i</w:t>
      </w:r>
      <w:r w:rsidR="003721ED" w:rsidRPr="003C0661">
        <w:t>nstallation cost</w:t>
      </w:r>
      <w:r w:rsidRPr="003C0661">
        <w:t xml:space="preserve"> of a HPC pump was</w:t>
      </w:r>
      <w:r w:rsidR="003721ED" w:rsidRPr="003C0661">
        <w:t xml:space="preserve"> </w:t>
      </w:r>
      <w:r w:rsidR="005555BB">
        <w:t>obtained directly from the pump manufacturer, Grundfos</w:t>
      </w:r>
      <w:r w:rsidR="00972FA4" w:rsidRPr="003C0661">
        <w:t>.</w:t>
      </w:r>
      <w:r w:rsidR="00E83AF1">
        <w:rPr>
          <w:rStyle w:val="FootnoteReference"/>
        </w:rPr>
        <w:footnoteReference w:id="8"/>
      </w:r>
      <w:r w:rsidR="003C0661" w:rsidRPr="003C0661">
        <w:t xml:space="preserve"> The </w:t>
      </w:r>
      <w:r w:rsidR="003250AB">
        <w:t>variable frequency drive (</w:t>
      </w:r>
      <w:r w:rsidR="00311A32" w:rsidRPr="003C0661">
        <w:t>VFD</w:t>
      </w:r>
      <w:r w:rsidR="003250AB">
        <w:t>)</w:t>
      </w:r>
      <w:r w:rsidR="00311A32" w:rsidRPr="003C0661">
        <w:t xml:space="preserve"> and controls are built into </w:t>
      </w:r>
      <w:r w:rsidR="003C0661" w:rsidRPr="003C0661">
        <w:t xml:space="preserve">the </w:t>
      </w:r>
      <w:r w:rsidR="00311A32" w:rsidRPr="003C0661">
        <w:t xml:space="preserve">pump and </w:t>
      </w:r>
      <w:r w:rsidR="003C0661" w:rsidRPr="003C0661">
        <w:t xml:space="preserve">the </w:t>
      </w:r>
      <w:r w:rsidR="00311A32" w:rsidRPr="003C0661">
        <w:t>flange</w:t>
      </w:r>
      <w:r w:rsidR="003C0661" w:rsidRPr="003C0661">
        <w:t>-</w:t>
      </w:r>
      <w:r w:rsidR="00311A32" w:rsidRPr="003C0661">
        <w:t>to</w:t>
      </w:r>
      <w:r w:rsidR="003C0661" w:rsidRPr="003C0661">
        <w:t>-</w:t>
      </w:r>
      <w:r w:rsidR="00311A32" w:rsidRPr="003C0661">
        <w:t xml:space="preserve">flange dimension is often the same; </w:t>
      </w:r>
      <w:r w:rsidR="00DC6BBC">
        <w:t>this implies that there are no</w:t>
      </w:r>
      <w:r w:rsidR="00311A32" w:rsidRPr="003C0661">
        <w:t xml:space="preserve"> additional installation cost</w:t>
      </w:r>
      <w:r w:rsidR="00DC6BBC">
        <w:t>s</w:t>
      </w:r>
      <w:r w:rsidR="00311A32" w:rsidRPr="003C0661">
        <w:t xml:space="preserve"> compared to the </w:t>
      </w:r>
      <w:r w:rsidR="00DC6BBC">
        <w:t xml:space="preserve">installation cost of the </w:t>
      </w:r>
      <w:r w:rsidR="003C0661" w:rsidRPr="003C0661">
        <w:t>base case</w:t>
      </w:r>
      <w:r w:rsidR="00311A32" w:rsidRPr="003C0661">
        <w:t xml:space="preserve"> technology</w:t>
      </w:r>
      <w:bookmarkEnd w:id="58"/>
      <w:r w:rsidR="003C0661">
        <w:t>.</w:t>
      </w:r>
    </w:p>
    <w:p w14:paraId="29754417" w14:textId="77777777" w:rsidR="00311A32" w:rsidRPr="004B06E3" w:rsidRDefault="00311A32" w:rsidP="004142EF"/>
    <w:p w14:paraId="050D9183" w14:textId="7ABF5C13" w:rsidR="007D230B" w:rsidRPr="004B06E3" w:rsidRDefault="004B06E3" w:rsidP="00462BB6">
      <w:pPr>
        <w:pStyle w:val="eTRMHeading3"/>
      </w:pPr>
      <w:bookmarkStart w:id="59" w:name="_Toc486490863"/>
      <w:bookmarkStart w:id="60" w:name="_Toc486580934"/>
      <w:bookmarkStart w:id="61" w:name="_Toc2251841"/>
      <w:r>
        <w:t>Net-to-Gross</w:t>
      </w:r>
      <w:bookmarkEnd w:id="59"/>
      <w:bookmarkEnd w:id="60"/>
      <w:r w:rsidR="008D4652">
        <w:t xml:space="preserve"> (NTG)</w:t>
      </w:r>
      <w:bookmarkEnd w:id="61"/>
    </w:p>
    <w:p w14:paraId="4FC1470F" w14:textId="34ADB464" w:rsidR="000F5E7E" w:rsidRDefault="00AA3E2A" w:rsidP="004142EF">
      <w:r w:rsidRPr="00860FEC">
        <w:t>The net-to-gross (NTG) ratio represents the portion of gross impacts that are determined to be directly attributed to a specific program intervention</w:t>
      </w:r>
      <w:r w:rsidR="00983D69">
        <w:t xml:space="preserve">. The residential default value is </w:t>
      </w:r>
      <w:r w:rsidR="00983D69" w:rsidRPr="00BE1C88">
        <w:t xml:space="preserve">based upon the average of all NTG ratios for all evaluated 2006 – 2008 </w:t>
      </w:r>
      <w:r w:rsidR="00983D69">
        <w:t xml:space="preserve">residential </w:t>
      </w:r>
      <w:r w:rsidR="00983D69" w:rsidRPr="00BE1C88">
        <w:t xml:space="preserve">programs, as documented in the 2011 DEER Update Study conducted by Itron, Inc. </w:t>
      </w:r>
      <w:r w:rsidR="00983D69">
        <w:t>This</w:t>
      </w:r>
      <w:r w:rsidR="00983D69" w:rsidRPr="00BE1C88">
        <w:t xml:space="preserve"> sector average NTG </w:t>
      </w:r>
      <w:r w:rsidR="00983D69">
        <w:t>is</w:t>
      </w:r>
      <w:r w:rsidR="00983D69" w:rsidRPr="00BE1C88">
        <w:t xml:space="preserve"> applicable to all new energy efficiency measures that have been offered through</w:t>
      </w:r>
      <w:r w:rsidR="00983D69">
        <w:t xml:space="preserve"> residential</w:t>
      </w:r>
      <w:r w:rsidR="00983D69" w:rsidRPr="00BE1C88">
        <w:t xml:space="preserve"> sector programs for </w:t>
      </w:r>
      <w:r w:rsidR="00983D69">
        <w:t>more</w:t>
      </w:r>
      <w:r w:rsidR="00983D69" w:rsidRPr="00BE1C88">
        <w:t xml:space="preserve"> than two years and for which impact evaluation results are not available. </w:t>
      </w:r>
    </w:p>
    <w:p w14:paraId="0D1CEED6" w14:textId="5E0A8B37" w:rsidR="00DE1A0F" w:rsidRPr="0059426D" w:rsidRDefault="00DE1A0F" w:rsidP="00EA057C">
      <w:pPr>
        <w:pStyle w:val="Caption"/>
      </w:pPr>
      <w:r>
        <w:lastRenderedPageBreak/>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875"/>
        <w:gridCol w:w="990"/>
        <w:gridCol w:w="5670"/>
      </w:tblGrid>
      <w:tr w:rsidR="00AA3E2A" w:rsidRPr="0059426D" w14:paraId="0D2B92AF" w14:textId="662FBAEE" w:rsidTr="00DC6BBC">
        <w:trPr>
          <w:cantSplit/>
          <w:trHeight w:val="20"/>
        </w:trPr>
        <w:tc>
          <w:tcPr>
            <w:tcW w:w="287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99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67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177EB6" w:rsidRPr="0059426D" w14:paraId="682BF062" w14:textId="72E696E9" w:rsidTr="00DC6BBC">
        <w:trPr>
          <w:cantSplit/>
          <w:trHeight w:val="20"/>
        </w:trPr>
        <w:tc>
          <w:tcPr>
            <w:tcW w:w="2875" w:type="dxa"/>
            <w:vAlign w:val="center"/>
          </w:tcPr>
          <w:p w14:paraId="5BA6FA92" w14:textId="21A4935E" w:rsidR="00177EB6" w:rsidRPr="00177EB6" w:rsidRDefault="00177EB6" w:rsidP="00CA4E77">
            <w:pPr>
              <w:keepNext/>
              <w:keepLines/>
              <w:spacing w:before="0" w:after="0" w:line="200" w:lineRule="atLeast"/>
              <w:rPr>
                <w:rFonts w:cstheme="minorHAnsi"/>
                <w:sz w:val="20"/>
                <w:szCs w:val="20"/>
              </w:rPr>
            </w:pPr>
            <w:r w:rsidRPr="00177EB6">
              <w:rPr>
                <w:rFonts w:cs="Arial"/>
                <w:color w:val="000000"/>
                <w:sz w:val="20"/>
                <w:szCs w:val="20"/>
              </w:rPr>
              <w:t xml:space="preserve">NTG </w:t>
            </w:r>
            <w:r w:rsidR="00710B85">
              <w:rPr>
                <w:rFonts w:cs="Arial"/>
                <w:color w:val="000000"/>
                <w:sz w:val="20"/>
                <w:szCs w:val="20"/>
              </w:rPr>
              <w:t>–</w:t>
            </w:r>
            <w:r w:rsidR="00CB71EA">
              <w:rPr>
                <w:rFonts w:cs="Arial"/>
                <w:color w:val="000000"/>
                <w:sz w:val="20"/>
                <w:szCs w:val="20"/>
              </w:rPr>
              <w:t>residential default (IOUs)</w:t>
            </w:r>
          </w:p>
        </w:tc>
        <w:tc>
          <w:tcPr>
            <w:tcW w:w="990" w:type="dxa"/>
            <w:shd w:val="clear" w:color="auto" w:fill="auto"/>
            <w:noWrap/>
            <w:vAlign w:val="center"/>
          </w:tcPr>
          <w:p w14:paraId="62F18FF1" w14:textId="28EF2F41" w:rsidR="00177EB6" w:rsidRPr="00CB71EA" w:rsidRDefault="00710B85" w:rsidP="00CA4E77">
            <w:pPr>
              <w:keepNext/>
              <w:keepLines/>
              <w:spacing w:before="0" w:after="0" w:line="200" w:lineRule="atLeast"/>
              <w:jc w:val="center"/>
              <w:rPr>
                <w:sz w:val="20"/>
                <w:szCs w:val="20"/>
              </w:rPr>
            </w:pPr>
            <w:r w:rsidRPr="00CB71EA">
              <w:rPr>
                <w:sz w:val="20"/>
                <w:szCs w:val="20"/>
              </w:rPr>
              <w:t>0.</w:t>
            </w:r>
            <w:r w:rsidR="00CB71EA">
              <w:rPr>
                <w:sz w:val="20"/>
                <w:szCs w:val="20"/>
              </w:rPr>
              <w:t>55</w:t>
            </w:r>
            <w:r w:rsidR="00BD67CA">
              <w:rPr>
                <w:sz w:val="20"/>
                <w:szCs w:val="20"/>
              </w:rPr>
              <w:t>0</w:t>
            </w:r>
          </w:p>
        </w:tc>
        <w:tc>
          <w:tcPr>
            <w:tcW w:w="5670" w:type="dxa"/>
            <w:vAlign w:val="center"/>
          </w:tcPr>
          <w:p w14:paraId="133857EB" w14:textId="39FEF3AD" w:rsidR="00177EB6" w:rsidRPr="00E24071" w:rsidRDefault="000F5E7E" w:rsidP="00CA4E77">
            <w:pPr>
              <w:keepNext/>
              <w:keepLines/>
              <w:spacing w:before="0" w:after="0" w:line="200" w:lineRule="atLeast"/>
              <w:rPr>
                <w:sz w:val="20"/>
                <w:szCs w:val="20"/>
              </w:rPr>
            </w:pPr>
            <w:bookmarkStart w:id="62" w:name="_Hlk501438713"/>
            <w:r w:rsidRPr="00E24071">
              <w:rPr>
                <w:sz w:val="18"/>
              </w:rPr>
              <w:t xml:space="preserve">Itron, Inc. 2011. </w:t>
            </w:r>
            <w:r w:rsidRPr="00E24071">
              <w:rPr>
                <w:i/>
                <w:sz w:val="18"/>
              </w:rPr>
              <w:t>DEER Database 2011 Update Documentation.</w:t>
            </w:r>
            <w:r w:rsidRPr="00E24071">
              <w:rPr>
                <w:sz w:val="18"/>
              </w:rPr>
              <w:t xml:space="preserve"> Prepared for the California Public Utilities Commission.</w:t>
            </w:r>
            <w:bookmarkEnd w:id="62"/>
            <w:r w:rsidRPr="00E24071">
              <w:rPr>
                <w:sz w:val="18"/>
              </w:rPr>
              <w:t xml:space="preserve"> Page 15-4 Table 15-3.</w:t>
            </w:r>
          </w:p>
        </w:tc>
      </w:tr>
      <w:tr w:rsidR="00177EB6" w:rsidRPr="0059426D" w14:paraId="484313BB" w14:textId="73917BCE" w:rsidTr="00DC6BBC">
        <w:trPr>
          <w:cantSplit/>
          <w:trHeight w:val="20"/>
        </w:trPr>
        <w:tc>
          <w:tcPr>
            <w:tcW w:w="2875" w:type="dxa"/>
            <w:vAlign w:val="center"/>
          </w:tcPr>
          <w:p w14:paraId="78B1C5A7" w14:textId="5E718F37" w:rsidR="00177EB6" w:rsidRPr="00177EB6" w:rsidRDefault="00177EB6" w:rsidP="00CA4E77">
            <w:pPr>
              <w:keepNext/>
              <w:keepLines/>
              <w:spacing w:before="0" w:after="0" w:line="200" w:lineRule="atLeast"/>
              <w:rPr>
                <w:rFonts w:cstheme="minorHAnsi"/>
                <w:sz w:val="20"/>
                <w:szCs w:val="20"/>
              </w:rPr>
            </w:pPr>
            <w:r w:rsidRPr="00177EB6">
              <w:rPr>
                <w:rFonts w:cs="Arial"/>
                <w:color w:val="000000"/>
                <w:sz w:val="20"/>
                <w:szCs w:val="20"/>
              </w:rPr>
              <w:t xml:space="preserve">NTG </w:t>
            </w:r>
            <w:r w:rsidR="00710B85">
              <w:rPr>
                <w:rFonts w:cs="Arial"/>
                <w:color w:val="000000"/>
                <w:sz w:val="20"/>
                <w:szCs w:val="20"/>
              </w:rPr>
              <w:t>–</w:t>
            </w:r>
            <w:r>
              <w:rPr>
                <w:rFonts w:cs="Arial"/>
                <w:color w:val="000000"/>
                <w:sz w:val="20"/>
                <w:szCs w:val="20"/>
              </w:rPr>
              <w:t xml:space="preserve"> </w:t>
            </w:r>
            <w:r w:rsidR="00710B85">
              <w:rPr>
                <w:rFonts w:cs="Arial"/>
                <w:color w:val="000000"/>
                <w:sz w:val="20"/>
                <w:szCs w:val="20"/>
              </w:rPr>
              <w:t>non-DEER calculated NTG</w:t>
            </w:r>
            <w:r w:rsidR="000F5E7E">
              <w:rPr>
                <w:rFonts w:cs="Arial"/>
                <w:color w:val="000000"/>
                <w:sz w:val="20"/>
                <w:szCs w:val="20"/>
              </w:rPr>
              <w:t xml:space="preserve"> </w:t>
            </w:r>
            <w:r w:rsidR="00CB71EA">
              <w:rPr>
                <w:rFonts w:cs="Arial"/>
                <w:color w:val="000000"/>
                <w:sz w:val="20"/>
                <w:szCs w:val="20"/>
              </w:rPr>
              <w:t>(POUs)</w:t>
            </w:r>
          </w:p>
        </w:tc>
        <w:tc>
          <w:tcPr>
            <w:tcW w:w="990" w:type="dxa"/>
            <w:shd w:val="clear" w:color="auto" w:fill="auto"/>
            <w:noWrap/>
            <w:vAlign w:val="center"/>
          </w:tcPr>
          <w:p w14:paraId="166BFFDA" w14:textId="7A2BD67F" w:rsidR="00177EB6" w:rsidRPr="00CB71EA" w:rsidRDefault="00710B85" w:rsidP="00CA4E77">
            <w:pPr>
              <w:keepNext/>
              <w:keepLines/>
              <w:spacing w:before="0" w:after="0" w:line="200" w:lineRule="atLeast"/>
              <w:jc w:val="center"/>
              <w:rPr>
                <w:sz w:val="20"/>
                <w:szCs w:val="20"/>
              </w:rPr>
            </w:pPr>
            <w:r w:rsidRPr="00CB71EA">
              <w:rPr>
                <w:sz w:val="20"/>
                <w:szCs w:val="20"/>
              </w:rPr>
              <w:t>0.875</w:t>
            </w:r>
          </w:p>
        </w:tc>
        <w:tc>
          <w:tcPr>
            <w:tcW w:w="5670" w:type="dxa"/>
            <w:vAlign w:val="center"/>
          </w:tcPr>
          <w:p w14:paraId="2F4778D6" w14:textId="222F7AB9" w:rsidR="006247FD" w:rsidRPr="00E24071" w:rsidRDefault="00E24071" w:rsidP="00CA4E77">
            <w:pPr>
              <w:keepNext/>
              <w:keepLines/>
              <w:spacing w:before="0" w:after="0" w:line="200" w:lineRule="atLeast"/>
              <w:rPr>
                <w:sz w:val="16"/>
                <w:szCs w:val="20"/>
                <w:highlight w:val="yellow"/>
              </w:rPr>
            </w:pPr>
            <w:r w:rsidRPr="00E24071">
              <w:rPr>
                <w:rFonts w:eastAsia="Times New Roman" w:cs="Calibri Light"/>
                <w:bCs/>
                <w:sz w:val="18"/>
              </w:rPr>
              <w:t>Pacific Gas and Electric (PG&amp;E). 2017. “</w:t>
            </w:r>
            <w:r>
              <w:rPr>
                <w:rFonts w:eastAsia="Times New Roman" w:cs="Calibri Light"/>
                <w:bCs/>
                <w:sz w:val="18"/>
              </w:rPr>
              <w:t xml:space="preserve">Reference #6 – </w:t>
            </w:r>
            <w:r w:rsidRPr="00E24071">
              <w:rPr>
                <w:rFonts w:eastAsia="Times New Roman" w:cs="Calibri Light"/>
                <w:bCs/>
                <w:sz w:val="18"/>
              </w:rPr>
              <w:t xml:space="preserve">CPUC Questions Submitted December 1, 2016.” </w:t>
            </w:r>
            <w:r w:rsidRPr="00E24071">
              <w:rPr>
                <w:rFonts w:eastAsia="Times New Roman" w:cs="Calibri Light"/>
                <w:bCs/>
                <w:i/>
                <w:sz w:val="18"/>
              </w:rPr>
              <w:t>Workpaper PGECOPUM107: High Performance Circulator (HPC) Pumps Revision #0</w:t>
            </w:r>
            <w:r w:rsidRPr="00E24071">
              <w:rPr>
                <w:rFonts w:eastAsia="Times New Roman" w:cs="Calibri Light"/>
                <w:bCs/>
                <w:sz w:val="18"/>
              </w:rPr>
              <w:t>. May 29.</w:t>
            </w:r>
          </w:p>
        </w:tc>
      </w:tr>
    </w:tbl>
    <w:p w14:paraId="6ECC6493" w14:textId="0A8C4C46" w:rsidR="007D230B" w:rsidRDefault="007D230B" w:rsidP="004142EF"/>
    <w:p w14:paraId="130DB918" w14:textId="76AAC993" w:rsidR="000F5E7E" w:rsidRPr="00043586" w:rsidRDefault="000F5E7E" w:rsidP="000F5E7E">
      <w:pPr>
        <w:rPr>
          <w:i/>
          <w:color w:val="000000"/>
          <w:sz w:val="20"/>
          <w:szCs w:val="20"/>
        </w:rPr>
      </w:pPr>
      <w:r>
        <w:t>The non-DEER calculated NTG was derived from two different sources of sales data.</w:t>
      </w:r>
      <w:r w:rsidRPr="000F5E7E">
        <w:rPr>
          <w:i/>
          <w:color w:val="000000"/>
          <w:sz w:val="20"/>
          <w:szCs w:val="20"/>
        </w:rPr>
        <w:t xml:space="preserve"> </w:t>
      </w:r>
      <w:r w:rsidRPr="000F5E7E">
        <w:t xml:space="preserve">First, Grundfos market knowledge and market sales information for 2014 </w:t>
      </w:r>
      <w:r>
        <w:t xml:space="preserve">and </w:t>
      </w:r>
      <w:r w:rsidRPr="000F5E7E">
        <w:t xml:space="preserve">2015 </w:t>
      </w:r>
      <w:r>
        <w:t>was utilized to</w:t>
      </w:r>
      <w:r w:rsidRPr="000F5E7E">
        <w:t xml:space="preserve"> break down sales for open loop circulators in the 26-120</w:t>
      </w:r>
      <w:r>
        <w:t xml:space="preserve"> </w:t>
      </w:r>
      <w:r w:rsidRPr="000F5E7E">
        <w:t>W nameplate range and</w:t>
      </w:r>
      <w:r>
        <w:t xml:space="preserve"> to</w:t>
      </w:r>
      <w:r w:rsidRPr="000F5E7E">
        <w:t xml:space="preserve"> identify the annual growth rate for the HPC</w:t>
      </w:r>
      <w:r>
        <w:t xml:space="preserve"> pump</w:t>
      </w:r>
      <w:r w:rsidRPr="000F5E7E">
        <w:t xml:space="preserve"> market.</w:t>
      </w:r>
      <w:r>
        <w:t xml:space="preserve"> This analysis revealed a</w:t>
      </w:r>
      <w:r w:rsidRPr="000F5E7E">
        <w:t xml:space="preserve"> natural growth </w:t>
      </w:r>
      <w:r>
        <w:t xml:space="preserve">rate of </w:t>
      </w:r>
      <w:r w:rsidRPr="000F5E7E">
        <w:t xml:space="preserve">sales of these products of 46.6% over these two years. </w:t>
      </w:r>
      <w:r>
        <w:t>This</w:t>
      </w:r>
      <w:r w:rsidRPr="000F5E7E">
        <w:t xml:space="preserve"> annual growth rate </w:t>
      </w:r>
      <w:r>
        <w:t>was used</w:t>
      </w:r>
      <w:r w:rsidRPr="000F5E7E">
        <w:t xml:space="preserve"> to determine </w:t>
      </w:r>
      <w:r>
        <w:t xml:space="preserve">the </w:t>
      </w:r>
      <w:r w:rsidRPr="000F5E7E">
        <w:t>expected natural HPC</w:t>
      </w:r>
      <w:r>
        <w:t xml:space="preserve"> pump</w:t>
      </w:r>
      <w:r w:rsidRPr="000F5E7E">
        <w:t xml:space="preserve"> sales in future years</w:t>
      </w:r>
      <w:r>
        <w:t xml:space="preserve">, which effectively </w:t>
      </w:r>
      <w:r w:rsidRPr="000F5E7E">
        <w:t>represent HPC</w:t>
      </w:r>
      <w:r>
        <w:t xml:space="preserve"> pump sales that occur</w:t>
      </w:r>
      <w:r w:rsidRPr="000F5E7E">
        <w:t xml:space="preserve"> without </w:t>
      </w:r>
      <w:r>
        <w:t>program intervention (</w:t>
      </w:r>
      <w:r w:rsidRPr="000F5E7E">
        <w:t>i.e., the free ridership potential</w:t>
      </w:r>
      <w:r>
        <w:t>)</w:t>
      </w:r>
      <w:r w:rsidRPr="000F5E7E">
        <w:t>.</w:t>
      </w:r>
    </w:p>
    <w:p w14:paraId="10829C66" w14:textId="06A2A473" w:rsidR="000F5E7E" w:rsidRPr="004B06E3" w:rsidRDefault="000F5E7E" w:rsidP="000F5E7E">
      <w:r w:rsidRPr="00043586">
        <w:t>Second, the sales impact of a similar HPCP upstream model from Efficiency Vermont</w:t>
      </w:r>
      <w:r>
        <w:t xml:space="preserve"> was analyzed and revealed the</w:t>
      </w:r>
      <w:r w:rsidRPr="00043586">
        <w:t xml:space="preserve"> annual growth rate from the year prior to program implementation grew by 1,167% to the annual sales of the </w:t>
      </w:r>
      <w:r>
        <w:t xml:space="preserve">first </w:t>
      </w:r>
      <w:r w:rsidRPr="00043586">
        <w:t xml:space="preserve">year </w:t>
      </w:r>
      <w:r>
        <w:t xml:space="preserve">of </w:t>
      </w:r>
      <w:r w:rsidRPr="00043586">
        <w:t xml:space="preserve">post-program implementation. This success continued to the </w:t>
      </w:r>
      <w:r>
        <w:t>second</w:t>
      </w:r>
      <w:r w:rsidRPr="00043586">
        <w:t xml:space="preserve"> year of the program with a 28% increase of annual sales of HPC</w:t>
      </w:r>
      <w:r>
        <w:t xml:space="preserve"> pump</w:t>
      </w:r>
      <w:r w:rsidRPr="00043586">
        <w:t xml:space="preserve">s. </w:t>
      </w:r>
      <w:r>
        <w:t>T</w:t>
      </w:r>
      <w:r w:rsidRPr="00043586">
        <w:t xml:space="preserve">his percentage increase </w:t>
      </w:r>
      <w:r>
        <w:t xml:space="preserve">can be applied </w:t>
      </w:r>
      <w:r w:rsidRPr="00043586">
        <w:t xml:space="preserve">to the California market to determine the total sales from implementing </w:t>
      </w:r>
      <w:proofErr w:type="gramStart"/>
      <w:r w:rsidRPr="00043586">
        <w:t>a</w:t>
      </w:r>
      <w:proofErr w:type="gramEnd"/>
      <w:r w:rsidRPr="00043586">
        <w:t xml:space="preserve"> HPC</w:t>
      </w:r>
      <w:r>
        <w:t xml:space="preserve"> pump measure </w:t>
      </w:r>
      <w:r w:rsidRPr="00043586">
        <w:t>for the two years after program implementation. By including the natural market annual growth rate</w:t>
      </w:r>
      <w:r>
        <w:t>,</w:t>
      </w:r>
      <w:r w:rsidRPr="00043586">
        <w:t xml:space="preserve"> overall sales after program implementation</w:t>
      </w:r>
      <w:r>
        <w:t xml:space="preserve"> can be disaggregated</w:t>
      </w:r>
      <w:r w:rsidRPr="00043586">
        <w:t xml:space="preserve"> into those from free riders and those who relied upon the program to influence their decision.</w:t>
      </w:r>
    </w:p>
    <w:p w14:paraId="4356DD77" w14:textId="77777777" w:rsidR="000F5E7E" w:rsidRDefault="000F5E7E" w:rsidP="004142EF"/>
    <w:p w14:paraId="323B5B02" w14:textId="4C4B13DC" w:rsidR="007D230B" w:rsidRPr="004B06E3" w:rsidRDefault="00D02C36" w:rsidP="00462BB6">
      <w:pPr>
        <w:pStyle w:val="eTRMHeading3"/>
      </w:pPr>
      <w:bookmarkStart w:id="63" w:name="_Toc486490864"/>
      <w:bookmarkStart w:id="64" w:name="_Toc486580935"/>
      <w:bookmarkStart w:id="65" w:name="_Toc2251842"/>
      <w:r>
        <w:t>Gross Savings Installation Adjustment (</w:t>
      </w:r>
      <w:r w:rsidR="007D230B" w:rsidRPr="004B06E3">
        <w:t>GSIA</w:t>
      </w:r>
      <w:bookmarkEnd w:id="63"/>
      <w:bookmarkEnd w:id="64"/>
      <w:r>
        <w:t>)</w:t>
      </w:r>
      <w:bookmarkEnd w:id="65"/>
    </w:p>
    <w:p w14:paraId="2A1F1C17" w14:textId="45900D11" w:rsidR="007D230B" w:rsidRDefault="00AA3E2A" w:rsidP="004142E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0241C7">
        <w:t>This GSIA rate is the current “default” rate specified for measures for which an alternative GSIA has not been estimated and approved.</w:t>
      </w:r>
    </w:p>
    <w:p w14:paraId="022915CE" w14:textId="42522815" w:rsidR="00DE1A0F" w:rsidRPr="0059426D" w:rsidRDefault="00710B85" w:rsidP="00EA057C">
      <w:pPr>
        <w:pStyle w:val="Caption"/>
      </w:pPr>
      <w:r>
        <w:t>Gross Savings Installation Adjustment</w:t>
      </w:r>
      <w:r w:rsidR="00DE1A0F">
        <w:t xml:space="preserve"> Rates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4"/>
        <w:gridCol w:w="1621"/>
        <w:gridCol w:w="5580"/>
      </w:tblGrid>
      <w:tr w:rsidR="00AA3E2A" w:rsidRPr="0059426D" w14:paraId="60BDA2BB" w14:textId="744FC0FC" w:rsidTr="00CB71EA">
        <w:trPr>
          <w:cantSplit/>
          <w:trHeight w:val="20"/>
        </w:trPr>
        <w:tc>
          <w:tcPr>
            <w:tcW w:w="1224" w:type="pct"/>
            <w:shd w:val="clear" w:color="000000" w:fill="F2F2F2" w:themeFill="background1" w:themeFillShade="F2"/>
            <w:vAlign w:val="bottom"/>
          </w:tcPr>
          <w:p w14:paraId="7D363CC0" w14:textId="709302B7" w:rsidR="00AA3E2A" w:rsidRPr="0059426D" w:rsidRDefault="00177EB6" w:rsidP="00BA3D7D">
            <w:pPr>
              <w:spacing w:before="0" w:after="0" w:line="200" w:lineRule="atLeast"/>
              <w:jc w:val="center"/>
              <w:rPr>
                <w:rFonts w:cs="Arial"/>
                <w:b/>
                <w:color w:val="000000"/>
                <w:sz w:val="20"/>
                <w:szCs w:val="20"/>
              </w:rPr>
            </w:pPr>
            <w:r>
              <w:rPr>
                <w:rFonts w:cs="Arial"/>
                <w:b/>
                <w:color w:val="000000"/>
                <w:sz w:val="20"/>
                <w:szCs w:val="20"/>
              </w:rPr>
              <w:t>Parameter</w:t>
            </w:r>
          </w:p>
        </w:tc>
        <w:tc>
          <w:tcPr>
            <w:tcW w:w="850" w:type="pct"/>
            <w:shd w:val="clear" w:color="000000" w:fill="F2F2F2" w:themeFill="background1" w:themeFillShade="F2"/>
            <w:vAlign w:val="center"/>
          </w:tcPr>
          <w:p w14:paraId="2A1AC9D4" w14:textId="3263DC2B" w:rsidR="00AA3E2A" w:rsidRPr="0059426D" w:rsidRDefault="00AA3E2A" w:rsidP="006D6644">
            <w:pPr>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2926" w:type="pct"/>
            <w:shd w:val="clear" w:color="000000" w:fill="F2F2F2" w:themeFill="background1" w:themeFillShade="F2"/>
          </w:tcPr>
          <w:p w14:paraId="32AB7FEE" w14:textId="77936D4E" w:rsidR="00AA3E2A" w:rsidRPr="00D02DA8" w:rsidRDefault="00AA3E2A" w:rsidP="006D6644">
            <w:pPr>
              <w:spacing w:before="0" w:after="0" w:line="200" w:lineRule="atLeast"/>
              <w:jc w:val="center"/>
              <w:rPr>
                <w:rFonts w:cs="Arial"/>
                <w:b/>
                <w:sz w:val="20"/>
                <w:szCs w:val="20"/>
              </w:rPr>
            </w:pPr>
            <w:r>
              <w:rPr>
                <w:rFonts w:cs="Arial"/>
                <w:b/>
                <w:sz w:val="20"/>
                <w:szCs w:val="20"/>
              </w:rPr>
              <w:t>Source</w:t>
            </w:r>
          </w:p>
        </w:tc>
      </w:tr>
      <w:tr w:rsidR="007F631F" w:rsidRPr="0059426D" w14:paraId="2209CD52" w14:textId="78579504" w:rsidTr="00CB71EA">
        <w:trPr>
          <w:cantSplit/>
          <w:trHeight w:val="20"/>
        </w:trPr>
        <w:tc>
          <w:tcPr>
            <w:tcW w:w="1224" w:type="pct"/>
            <w:vAlign w:val="center"/>
          </w:tcPr>
          <w:p w14:paraId="6618BC2B" w14:textId="20DA536D" w:rsidR="007F631F" w:rsidRPr="0059426D" w:rsidRDefault="007F631F" w:rsidP="00931B70">
            <w:pPr>
              <w:spacing w:before="0" w:after="0" w:line="200" w:lineRule="atLeast"/>
              <w:rPr>
                <w:rFonts w:cstheme="minorHAnsi"/>
                <w:sz w:val="20"/>
                <w:szCs w:val="20"/>
              </w:rPr>
            </w:pPr>
            <w:r>
              <w:rPr>
                <w:rFonts w:cstheme="minorHAnsi"/>
                <w:sz w:val="20"/>
                <w:szCs w:val="20"/>
              </w:rPr>
              <w:t xml:space="preserve">GSIA </w:t>
            </w:r>
          </w:p>
        </w:tc>
        <w:tc>
          <w:tcPr>
            <w:tcW w:w="850" w:type="pct"/>
            <w:vAlign w:val="center"/>
          </w:tcPr>
          <w:p w14:paraId="6D1D8F27" w14:textId="60EC4A93" w:rsidR="007F631F" w:rsidRPr="00CB71EA" w:rsidRDefault="007F631F" w:rsidP="007F631F">
            <w:pPr>
              <w:spacing w:before="0" w:after="0" w:line="200" w:lineRule="atLeast"/>
              <w:jc w:val="center"/>
              <w:rPr>
                <w:sz w:val="20"/>
                <w:szCs w:val="20"/>
              </w:rPr>
            </w:pPr>
            <w:r w:rsidRPr="00CB71EA">
              <w:rPr>
                <w:sz w:val="20"/>
                <w:szCs w:val="20"/>
              </w:rPr>
              <w:t>1.0</w:t>
            </w:r>
          </w:p>
        </w:tc>
        <w:tc>
          <w:tcPr>
            <w:tcW w:w="2926" w:type="pct"/>
            <w:vAlign w:val="center"/>
          </w:tcPr>
          <w:p w14:paraId="52FCA633" w14:textId="3D23E9DC" w:rsidR="007F631F" w:rsidRPr="007F631F" w:rsidRDefault="007F631F" w:rsidP="007F631F">
            <w:pPr>
              <w:spacing w:before="0" w:after="0" w:line="200" w:lineRule="atLeast"/>
              <w:jc w:val="both"/>
              <w:rPr>
                <w:sz w:val="20"/>
                <w:szCs w:val="20"/>
              </w:rPr>
            </w:pPr>
            <w:r w:rsidRPr="007F631F">
              <w:rPr>
                <w:rFonts w:eastAsia="Times New Roman" w:cs="Times New Roman"/>
                <w:sz w:val="18"/>
                <w:szCs w:val="18"/>
              </w:rPr>
              <w:t xml:space="preserve">California Public Utilities Commission (CPUC), Energy Division. 2013. </w:t>
            </w:r>
            <w:r w:rsidRPr="007F631F">
              <w:rPr>
                <w:rFonts w:eastAsia="Times New Roman" w:cs="Times New Roman"/>
                <w:i/>
                <w:sz w:val="18"/>
                <w:szCs w:val="18"/>
              </w:rPr>
              <w:t>Energy Efficiency Policy Manual Version 5</w:t>
            </w:r>
            <w:r w:rsidRPr="007F631F">
              <w:rPr>
                <w:rFonts w:eastAsia="Times New Roman" w:cs="Times New Roman"/>
                <w:sz w:val="18"/>
                <w:szCs w:val="18"/>
              </w:rPr>
              <w:t>. Page 31.</w:t>
            </w:r>
          </w:p>
        </w:tc>
      </w:tr>
    </w:tbl>
    <w:p w14:paraId="08395124" w14:textId="460D1F32" w:rsidR="00DE1A0F" w:rsidRDefault="00DE1A0F" w:rsidP="00DE1A0F">
      <w:pPr>
        <w:rPr>
          <w:rFonts w:cs="Arial"/>
          <w:sz w:val="20"/>
          <w:szCs w:val="20"/>
        </w:rPr>
      </w:pPr>
    </w:p>
    <w:p w14:paraId="49E4ADB0" w14:textId="77777777" w:rsidR="00145376" w:rsidRPr="00D77056" w:rsidRDefault="00145376" w:rsidP="00145376">
      <w:r>
        <w:t xml:space="preserve">This rate is appropriate, given that homeowners do not stockpile circulator pumps nor does the homeowner select the pump that will be used in their application. </w:t>
      </w:r>
      <w:r w:rsidRPr="00D77056">
        <w:t xml:space="preserve">The pump selection is made by </w:t>
      </w:r>
      <w:r>
        <w:t>a</w:t>
      </w:r>
      <w:r w:rsidRPr="00D77056">
        <w:t xml:space="preserve"> plumbing contractor </w:t>
      </w:r>
      <w:r>
        <w:t xml:space="preserve">that </w:t>
      </w:r>
      <w:r w:rsidRPr="00D77056">
        <w:t xml:space="preserve">visit the wholesaler at least two to three times per week to have pumps readily available to service the market. </w:t>
      </w:r>
      <w:r>
        <w:t xml:space="preserve">Plumbing contractors typically stock of one or two pumps on their service truck for speed of selection and installation. </w:t>
      </w:r>
      <w:r w:rsidRPr="00D77056">
        <w:t>The Alpha serves the market well in this capacity as with its “right-s</w:t>
      </w:r>
      <w:r>
        <w:t>izing” ability, it is a unitary</w:t>
      </w:r>
      <w:r w:rsidRPr="00D77056">
        <w:t xml:space="preserve"> pump</w:t>
      </w:r>
      <w:r>
        <w:t>ing</w:t>
      </w:r>
      <w:r w:rsidRPr="00D77056">
        <w:t xml:space="preserve"> solution </w:t>
      </w:r>
      <w:r>
        <w:t>for</w:t>
      </w:r>
      <w:r w:rsidRPr="00D77056">
        <w:t xml:space="preserve"> </w:t>
      </w:r>
      <w:proofErr w:type="gramStart"/>
      <w:r w:rsidRPr="00D77056">
        <w:t>the majority of</w:t>
      </w:r>
      <w:proofErr w:type="gramEnd"/>
      <w:r w:rsidRPr="00D77056">
        <w:t xml:space="preserve"> installation opportunities. This eliminates the “over-sizing” problem </w:t>
      </w:r>
      <w:r>
        <w:t>that exists in the marketplace while allowing contractors to maintain their standard practices.</w:t>
      </w:r>
    </w:p>
    <w:p w14:paraId="0072A9B1" w14:textId="77777777" w:rsidR="00145376" w:rsidRDefault="00145376" w:rsidP="00DE1A0F">
      <w:pPr>
        <w:rPr>
          <w:rFonts w:cs="Arial"/>
          <w:sz w:val="20"/>
          <w:szCs w:val="20"/>
        </w:rPr>
      </w:pPr>
    </w:p>
    <w:p w14:paraId="498C05E5" w14:textId="77777777" w:rsidR="002C67DF" w:rsidRPr="004B06E3" w:rsidRDefault="002C67DF" w:rsidP="00462BB6">
      <w:pPr>
        <w:pStyle w:val="eTRMHeading3"/>
      </w:pPr>
      <w:bookmarkStart w:id="66" w:name="_Toc486490865"/>
      <w:bookmarkStart w:id="67" w:name="_Toc486580936"/>
      <w:bookmarkStart w:id="68" w:name="_Toc2251843"/>
      <w:r w:rsidRPr="004B06E3">
        <w:lastRenderedPageBreak/>
        <w:t>Non-Energy Benefits</w:t>
      </w:r>
      <w:bookmarkEnd w:id="66"/>
      <w:bookmarkEnd w:id="67"/>
      <w:bookmarkEnd w:id="68"/>
    </w:p>
    <w:p w14:paraId="0D73FC70" w14:textId="27339D17" w:rsidR="00697A88" w:rsidRDefault="00697A88" w:rsidP="00931B70">
      <w:r>
        <w:t xml:space="preserve">Non-energy benefits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462BB6">
      <w:pPr>
        <w:pStyle w:val="eTRMHeading3"/>
      </w:pPr>
      <w:bookmarkStart w:id="69" w:name="_Toc2251844"/>
      <w:r>
        <w:t>DEER Differences Analysis</w:t>
      </w:r>
      <w:bookmarkEnd w:id="69"/>
    </w:p>
    <w:p w14:paraId="575E579E" w14:textId="11E5F509" w:rsidR="002C67DF" w:rsidRDefault="003F21D2" w:rsidP="004142EF">
      <w:r>
        <w:t>This section provides a summary of DEER-based inputs and methods, and the rationale for inputs and methods that are not DEER-based.</w:t>
      </w:r>
    </w:p>
    <w:p w14:paraId="756C62FB" w14:textId="34764FF4" w:rsidR="00EA057C" w:rsidRPr="00920905" w:rsidRDefault="00EA057C" w:rsidP="00354BDC">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354BDC">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354BDC">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4D40D3" w:rsidRPr="00500C4E" w14:paraId="33003020" w14:textId="77777777" w:rsidTr="003721ED">
        <w:trPr>
          <w:trHeight w:val="20"/>
        </w:trPr>
        <w:tc>
          <w:tcPr>
            <w:tcW w:w="1730" w:type="pct"/>
          </w:tcPr>
          <w:p w14:paraId="1F2D360A" w14:textId="77777777" w:rsidR="004D40D3" w:rsidRPr="00EA057C" w:rsidRDefault="004D40D3" w:rsidP="00354BDC">
            <w:pPr>
              <w:spacing w:before="20" w:after="20"/>
              <w:rPr>
                <w:rFonts w:cs="Arial"/>
                <w:sz w:val="20"/>
                <w:szCs w:val="20"/>
              </w:rPr>
            </w:pPr>
            <w:r w:rsidRPr="00EA057C">
              <w:rPr>
                <w:rFonts w:cs="Arial"/>
                <w:sz w:val="20"/>
                <w:szCs w:val="20"/>
              </w:rPr>
              <w:t>Modified DEER methodology</w:t>
            </w:r>
          </w:p>
        </w:tc>
        <w:tc>
          <w:tcPr>
            <w:tcW w:w="3270" w:type="pct"/>
            <w:vAlign w:val="center"/>
          </w:tcPr>
          <w:p w14:paraId="247EE411" w14:textId="55C1083C" w:rsidR="004D40D3" w:rsidRPr="008F5D95" w:rsidRDefault="004D40D3" w:rsidP="00354BDC">
            <w:pPr>
              <w:spacing w:before="20" w:after="20"/>
              <w:rPr>
                <w:rFonts w:cs="Calibri Light"/>
                <w:b/>
                <w:sz w:val="20"/>
                <w:szCs w:val="20"/>
              </w:rPr>
            </w:pPr>
            <w:r w:rsidRPr="008F5D95">
              <w:rPr>
                <w:rFonts w:cs="Calibri Light"/>
                <w:sz w:val="20"/>
                <w:szCs w:val="20"/>
              </w:rPr>
              <w:t>No</w:t>
            </w:r>
          </w:p>
        </w:tc>
      </w:tr>
      <w:tr w:rsidR="004D40D3" w:rsidRPr="00500C4E" w14:paraId="507422EA" w14:textId="77777777" w:rsidTr="003721ED">
        <w:trPr>
          <w:trHeight w:val="20"/>
        </w:trPr>
        <w:tc>
          <w:tcPr>
            <w:tcW w:w="1730" w:type="pct"/>
          </w:tcPr>
          <w:p w14:paraId="29430E33" w14:textId="77777777" w:rsidR="004D40D3" w:rsidRPr="00EA057C" w:rsidRDefault="004D40D3" w:rsidP="00354BDC">
            <w:pPr>
              <w:spacing w:before="20" w:after="20"/>
              <w:rPr>
                <w:rFonts w:cs="Arial"/>
                <w:sz w:val="20"/>
                <w:szCs w:val="20"/>
              </w:rPr>
            </w:pPr>
            <w:r w:rsidRPr="00EA057C">
              <w:rPr>
                <w:rFonts w:cs="Arial"/>
                <w:sz w:val="20"/>
                <w:szCs w:val="20"/>
              </w:rPr>
              <w:t>Scaled DEER measure</w:t>
            </w:r>
          </w:p>
        </w:tc>
        <w:tc>
          <w:tcPr>
            <w:tcW w:w="3270" w:type="pct"/>
            <w:vAlign w:val="center"/>
          </w:tcPr>
          <w:p w14:paraId="0C847473" w14:textId="6965D5AA" w:rsidR="004D40D3" w:rsidRPr="008F5D95" w:rsidRDefault="004D40D3" w:rsidP="00354BDC">
            <w:pPr>
              <w:spacing w:before="20" w:after="20"/>
              <w:rPr>
                <w:rFonts w:cs="Calibri Light"/>
                <w:sz w:val="20"/>
                <w:szCs w:val="20"/>
              </w:rPr>
            </w:pPr>
            <w:r w:rsidRPr="008F5D95">
              <w:rPr>
                <w:rFonts w:cs="Calibri Light"/>
                <w:sz w:val="20"/>
                <w:szCs w:val="20"/>
              </w:rPr>
              <w:t>No</w:t>
            </w:r>
          </w:p>
        </w:tc>
      </w:tr>
      <w:tr w:rsidR="004D40D3" w:rsidRPr="00500C4E" w14:paraId="335CDE40" w14:textId="77777777" w:rsidTr="003721ED">
        <w:trPr>
          <w:trHeight w:val="20"/>
        </w:trPr>
        <w:tc>
          <w:tcPr>
            <w:tcW w:w="1730" w:type="pct"/>
          </w:tcPr>
          <w:p w14:paraId="126C3B42" w14:textId="77777777" w:rsidR="004D40D3" w:rsidRPr="00EA057C" w:rsidRDefault="004D40D3" w:rsidP="00354BDC">
            <w:pPr>
              <w:spacing w:before="20" w:after="20"/>
              <w:rPr>
                <w:rFonts w:cs="Arial"/>
                <w:sz w:val="20"/>
                <w:szCs w:val="20"/>
              </w:rPr>
            </w:pPr>
            <w:r w:rsidRPr="00EA057C">
              <w:rPr>
                <w:rFonts w:cs="Arial"/>
                <w:sz w:val="20"/>
                <w:szCs w:val="20"/>
              </w:rPr>
              <w:t>DEER Base Case</w:t>
            </w:r>
          </w:p>
        </w:tc>
        <w:tc>
          <w:tcPr>
            <w:tcW w:w="3270" w:type="pct"/>
            <w:vAlign w:val="center"/>
          </w:tcPr>
          <w:p w14:paraId="5D2A1B0E" w14:textId="02C2BBDE" w:rsidR="004D40D3" w:rsidRPr="008F5D95" w:rsidRDefault="004D40D3" w:rsidP="00354BDC">
            <w:pPr>
              <w:spacing w:before="20" w:after="20"/>
              <w:rPr>
                <w:rFonts w:cs="Calibri Light"/>
                <w:sz w:val="20"/>
                <w:szCs w:val="20"/>
              </w:rPr>
            </w:pPr>
            <w:r w:rsidRPr="008F5D95">
              <w:rPr>
                <w:rFonts w:cs="Calibri Light"/>
                <w:sz w:val="20"/>
                <w:szCs w:val="20"/>
              </w:rPr>
              <w:t>No</w:t>
            </w:r>
          </w:p>
        </w:tc>
      </w:tr>
      <w:tr w:rsidR="004D40D3" w:rsidRPr="00500C4E" w14:paraId="1F8399E1" w14:textId="77777777" w:rsidTr="003721ED">
        <w:trPr>
          <w:trHeight w:val="20"/>
        </w:trPr>
        <w:tc>
          <w:tcPr>
            <w:tcW w:w="1730" w:type="pct"/>
          </w:tcPr>
          <w:p w14:paraId="0CC701E3" w14:textId="77777777" w:rsidR="004D40D3" w:rsidRPr="00EA057C" w:rsidRDefault="004D40D3" w:rsidP="00354BDC">
            <w:pPr>
              <w:spacing w:before="20" w:after="20"/>
              <w:rPr>
                <w:rFonts w:cs="Arial"/>
                <w:sz w:val="20"/>
                <w:szCs w:val="20"/>
              </w:rPr>
            </w:pPr>
            <w:r w:rsidRPr="00EA057C">
              <w:rPr>
                <w:rFonts w:cs="Arial"/>
                <w:sz w:val="20"/>
                <w:szCs w:val="20"/>
              </w:rPr>
              <w:t>DEER Measure Case</w:t>
            </w:r>
          </w:p>
        </w:tc>
        <w:tc>
          <w:tcPr>
            <w:tcW w:w="3270" w:type="pct"/>
            <w:vAlign w:val="center"/>
          </w:tcPr>
          <w:p w14:paraId="49A023A0" w14:textId="03ADF6B7" w:rsidR="004D40D3" w:rsidRPr="008F5D95" w:rsidRDefault="004D40D3" w:rsidP="00354BDC">
            <w:pPr>
              <w:spacing w:before="20" w:after="20"/>
              <w:rPr>
                <w:rFonts w:cs="Calibri Light"/>
                <w:sz w:val="20"/>
                <w:szCs w:val="20"/>
              </w:rPr>
            </w:pPr>
            <w:r w:rsidRPr="008F5D95">
              <w:rPr>
                <w:rFonts w:cs="Calibri Light"/>
                <w:sz w:val="20"/>
                <w:szCs w:val="20"/>
              </w:rPr>
              <w:t>No</w:t>
            </w:r>
          </w:p>
        </w:tc>
      </w:tr>
      <w:tr w:rsidR="004D40D3" w:rsidRPr="00500C4E" w14:paraId="663742C6" w14:textId="77777777" w:rsidTr="003721ED">
        <w:trPr>
          <w:trHeight w:val="20"/>
        </w:trPr>
        <w:tc>
          <w:tcPr>
            <w:tcW w:w="1730" w:type="pct"/>
          </w:tcPr>
          <w:p w14:paraId="16B2FDAB" w14:textId="77777777" w:rsidR="004D40D3" w:rsidRPr="00EA057C" w:rsidRDefault="004D40D3" w:rsidP="00354BDC">
            <w:pPr>
              <w:spacing w:before="20" w:after="20"/>
              <w:rPr>
                <w:rFonts w:cs="Arial"/>
                <w:sz w:val="20"/>
                <w:szCs w:val="20"/>
              </w:rPr>
            </w:pPr>
            <w:r w:rsidRPr="00EA057C">
              <w:rPr>
                <w:rFonts w:cs="Arial"/>
                <w:sz w:val="20"/>
                <w:szCs w:val="20"/>
              </w:rPr>
              <w:t>DEER Building Types</w:t>
            </w:r>
          </w:p>
        </w:tc>
        <w:tc>
          <w:tcPr>
            <w:tcW w:w="3270" w:type="pct"/>
            <w:vAlign w:val="center"/>
          </w:tcPr>
          <w:p w14:paraId="6BBA540C" w14:textId="43DE6D66" w:rsidR="004D40D3" w:rsidRPr="008F5D95" w:rsidRDefault="004D40D3" w:rsidP="00354BDC">
            <w:pPr>
              <w:spacing w:before="20" w:after="20"/>
              <w:rPr>
                <w:rFonts w:cs="Calibri Light"/>
                <w:sz w:val="20"/>
                <w:szCs w:val="20"/>
              </w:rPr>
            </w:pPr>
            <w:r w:rsidRPr="008F5D95">
              <w:rPr>
                <w:rFonts w:cs="Calibri Light"/>
                <w:sz w:val="20"/>
                <w:szCs w:val="20"/>
              </w:rPr>
              <w:t>No</w:t>
            </w:r>
          </w:p>
        </w:tc>
      </w:tr>
      <w:tr w:rsidR="004D40D3" w:rsidRPr="00500C4E" w14:paraId="424F1325" w14:textId="77777777" w:rsidTr="003721ED">
        <w:trPr>
          <w:trHeight w:val="20"/>
        </w:trPr>
        <w:tc>
          <w:tcPr>
            <w:tcW w:w="1730" w:type="pct"/>
          </w:tcPr>
          <w:p w14:paraId="71098DDA" w14:textId="77777777" w:rsidR="004D40D3" w:rsidRPr="00EA057C" w:rsidRDefault="004D40D3" w:rsidP="00354BDC">
            <w:pPr>
              <w:spacing w:before="20" w:after="20"/>
              <w:rPr>
                <w:rFonts w:cs="Arial"/>
                <w:sz w:val="20"/>
                <w:szCs w:val="20"/>
              </w:rPr>
            </w:pPr>
            <w:r w:rsidRPr="00EA057C">
              <w:rPr>
                <w:rFonts w:cs="Arial"/>
                <w:sz w:val="20"/>
                <w:szCs w:val="20"/>
              </w:rPr>
              <w:t>DEER Operating Hours</w:t>
            </w:r>
          </w:p>
        </w:tc>
        <w:tc>
          <w:tcPr>
            <w:tcW w:w="3270" w:type="pct"/>
            <w:vAlign w:val="center"/>
          </w:tcPr>
          <w:p w14:paraId="1693E1EE" w14:textId="4717C540" w:rsidR="004D40D3" w:rsidRPr="008F5D95" w:rsidRDefault="004D40D3" w:rsidP="00354BDC">
            <w:pPr>
              <w:spacing w:before="20" w:after="20"/>
              <w:rPr>
                <w:rFonts w:cs="Calibri Light"/>
                <w:sz w:val="20"/>
                <w:szCs w:val="20"/>
              </w:rPr>
            </w:pPr>
            <w:r w:rsidRPr="008F5D95">
              <w:rPr>
                <w:rFonts w:cs="Calibri Light"/>
                <w:sz w:val="20"/>
                <w:szCs w:val="20"/>
              </w:rPr>
              <w:t>No</w:t>
            </w:r>
          </w:p>
        </w:tc>
      </w:tr>
      <w:tr w:rsidR="004D40D3" w:rsidRPr="00500C4E" w14:paraId="0B93AD47" w14:textId="77777777" w:rsidTr="003721ED">
        <w:trPr>
          <w:trHeight w:val="20"/>
        </w:trPr>
        <w:tc>
          <w:tcPr>
            <w:tcW w:w="1730" w:type="pct"/>
          </w:tcPr>
          <w:p w14:paraId="6E9E484F" w14:textId="77777777" w:rsidR="004D40D3" w:rsidRPr="00EA057C" w:rsidRDefault="004D40D3" w:rsidP="00354BDC">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vAlign w:val="center"/>
          </w:tcPr>
          <w:p w14:paraId="75F705AF" w14:textId="4455A27C" w:rsidR="004D40D3" w:rsidRPr="008F5D95" w:rsidRDefault="004D40D3" w:rsidP="00354BDC">
            <w:pPr>
              <w:spacing w:before="60" w:after="60"/>
              <w:rPr>
                <w:rFonts w:cs="Calibri Light"/>
                <w:sz w:val="20"/>
                <w:szCs w:val="20"/>
              </w:rPr>
            </w:pPr>
            <w:r w:rsidRPr="008F5D95">
              <w:rPr>
                <w:rFonts w:cs="Calibri Light"/>
                <w:sz w:val="20"/>
                <w:szCs w:val="20"/>
              </w:rPr>
              <w:t xml:space="preserve">There are no measures that directly contain this technology because it encompasses multiple technologies into one unit. </w:t>
            </w:r>
            <w:r w:rsidR="00CA4E77">
              <w:rPr>
                <w:rFonts w:cs="Calibri Light"/>
                <w:sz w:val="20"/>
                <w:szCs w:val="20"/>
              </w:rPr>
              <w:t>Measures in</w:t>
            </w:r>
            <w:r w:rsidRPr="008F5D95">
              <w:rPr>
                <w:rFonts w:cs="Calibri Light"/>
                <w:sz w:val="20"/>
                <w:szCs w:val="20"/>
              </w:rPr>
              <w:t xml:space="preserve"> DEER</w:t>
            </w:r>
            <w:r w:rsidR="00CA4E77">
              <w:rPr>
                <w:rFonts w:cs="Calibri Light"/>
                <w:sz w:val="20"/>
                <w:szCs w:val="20"/>
              </w:rPr>
              <w:t xml:space="preserve"> 2005</w:t>
            </w:r>
            <w:r w:rsidRPr="008F5D95">
              <w:rPr>
                <w:rFonts w:cs="Calibri Light"/>
                <w:sz w:val="20"/>
                <w:szCs w:val="20"/>
              </w:rPr>
              <w:t xml:space="preserve"> that </w:t>
            </w:r>
            <w:r w:rsidRPr="00CA4E77">
              <w:rPr>
                <w:rFonts w:cs="Calibri Light"/>
                <w:i/>
                <w:sz w:val="20"/>
                <w:szCs w:val="20"/>
              </w:rPr>
              <w:t>tangentially</w:t>
            </w:r>
            <w:r w:rsidRPr="008F5D95">
              <w:rPr>
                <w:rFonts w:cs="Calibri Light"/>
                <w:sz w:val="20"/>
                <w:szCs w:val="20"/>
              </w:rPr>
              <w:t xml:space="preserve"> relate to </w:t>
            </w:r>
            <w:r w:rsidR="00CA4E77">
              <w:rPr>
                <w:rFonts w:cs="Calibri Light"/>
                <w:sz w:val="20"/>
                <w:szCs w:val="20"/>
              </w:rPr>
              <w:t>this measure are</w:t>
            </w:r>
            <w:r w:rsidRPr="008F5D95">
              <w:rPr>
                <w:rFonts w:cs="Calibri Light"/>
                <w:sz w:val="20"/>
                <w:szCs w:val="20"/>
              </w:rPr>
              <w:t xml:space="preserve">: </w:t>
            </w:r>
          </w:p>
          <w:p w14:paraId="20A1F7D2" w14:textId="77777777" w:rsidR="004D40D3" w:rsidRPr="00277AA5" w:rsidRDefault="004D40D3" w:rsidP="00277AA5">
            <w:pPr>
              <w:spacing w:before="0" w:after="0" w:line="240" w:lineRule="auto"/>
              <w:rPr>
                <w:rFonts w:cs="Calibri Light"/>
                <w:sz w:val="20"/>
                <w:szCs w:val="20"/>
              </w:rPr>
            </w:pPr>
            <w:r w:rsidRPr="00277AA5">
              <w:rPr>
                <w:rFonts w:cs="Calibri Light"/>
                <w:sz w:val="20"/>
                <w:szCs w:val="20"/>
              </w:rPr>
              <w:t>D03-046 – Variable Flow Chilled Water Loop</w:t>
            </w:r>
          </w:p>
          <w:p w14:paraId="00AD06D7" w14:textId="77777777" w:rsidR="004D40D3" w:rsidRPr="00277AA5" w:rsidRDefault="004D40D3" w:rsidP="00277AA5">
            <w:pPr>
              <w:spacing w:before="0" w:after="0" w:line="240" w:lineRule="auto"/>
              <w:rPr>
                <w:rFonts w:cs="Calibri Light"/>
                <w:sz w:val="20"/>
                <w:szCs w:val="20"/>
              </w:rPr>
            </w:pPr>
            <w:r w:rsidRPr="00277AA5">
              <w:rPr>
                <w:rFonts w:cs="Calibri Light"/>
                <w:sz w:val="20"/>
                <w:szCs w:val="20"/>
              </w:rPr>
              <w:t>D03-047 – VSD Chilled Water Loop Pump</w:t>
            </w:r>
          </w:p>
          <w:p w14:paraId="08EC0787" w14:textId="77777777" w:rsidR="004D40D3" w:rsidRPr="00277AA5" w:rsidRDefault="004D40D3" w:rsidP="00277AA5">
            <w:pPr>
              <w:spacing w:before="0" w:after="0" w:line="240" w:lineRule="auto"/>
              <w:rPr>
                <w:rFonts w:cs="Calibri Light"/>
                <w:sz w:val="20"/>
                <w:szCs w:val="20"/>
              </w:rPr>
            </w:pPr>
            <w:r w:rsidRPr="00277AA5">
              <w:rPr>
                <w:rFonts w:cs="Calibri Light"/>
                <w:sz w:val="20"/>
                <w:szCs w:val="20"/>
              </w:rPr>
              <w:t>D03-048 – Variable Flow Hot Water Loop</w:t>
            </w:r>
          </w:p>
          <w:p w14:paraId="61E979F8" w14:textId="77777777" w:rsidR="004D40D3" w:rsidRPr="00277AA5" w:rsidRDefault="004D40D3" w:rsidP="00277AA5">
            <w:pPr>
              <w:spacing w:before="0" w:after="0" w:line="240" w:lineRule="auto"/>
              <w:rPr>
                <w:rFonts w:cs="Calibri Light"/>
                <w:sz w:val="20"/>
                <w:szCs w:val="20"/>
              </w:rPr>
            </w:pPr>
            <w:r w:rsidRPr="00277AA5">
              <w:rPr>
                <w:rFonts w:cs="Calibri Light"/>
                <w:sz w:val="20"/>
                <w:szCs w:val="20"/>
              </w:rPr>
              <w:t>D03-049 – VSD Hot Water Loop Pump</w:t>
            </w:r>
          </w:p>
          <w:p w14:paraId="54F8FFB6" w14:textId="77777777" w:rsidR="004D40D3" w:rsidRPr="00277AA5" w:rsidRDefault="004D40D3" w:rsidP="00277AA5">
            <w:pPr>
              <w:spacing w:before="0" w:after="0" w:line="240" w:lineRule="auto"/>
              <w:rPr>
                <w:rFonts w:cs="Calibri Light"/>
                <w:sz w:val="20"/>
                <w:szCs w:val="20"/>
              </w:rPr>
            </w:pPr>
            <w:r w:rsidRPr="00277AA5">
              <w:rPr>
                <w:rFonts w:cs="Calibri Light"/>
                <w:sz w:val="20"/>
                <w:szCs w:val="20"/>
              </w:rPr>
              <w:t xml:space="preserve">D03-089 – </w:t>
            </w:r>
            <w:proofErr w:type="spellStart"/>
            <w:r w:rsidRPr="00277AA5">
              <w:rPr>
                <w:rFonts w:cs="Calibri Light"/>
                <w:sz w:val="20"/>
                <w:szCs w:val="20"/>
              </w:rPr>
              <w:t>Effic</w:t>
            </w:r>
            <w:proofErr w:type="spellEnd"/>
            <w:r w:rsidRPr="00277AA5">
              <w:rPr>
                <w:rFonts w:cs="Calibri Light"/>
                <w:sz w:val="20"/>
                <w:szCs w:val="20"/>
              </w:rPr>
              <w:t>. Motors – Chilled Water Loop Pumps</w:t>
            </w:r>
          </w:p>
          <w:p w14:paraId="6F76DEC1" w14:textId="77777777" w:rsidR="004D40D3" w:rsidRPr="00277AA5" w:rsidRDefault="004D40D3" w:rsidP="00277AA5">
            <w:pPr>
              <w:spacing w:before="0" w:after="0" w:line="240" w:lineRule="auto"/>
              <w:rPr>
                <w:rFonts w:cs="Calibri Light"/>
                <w:sz w:val="20"/>
                <w:szCs w:val="20"/>
              </w:rPr>
            </w:pPr>
            <w:r w:rsidRPr="00277AA5">
              <w:rPr>
                <w:rFonts w:cs="Calibri Light"/>
                <w:sz w:val="20"/>
                <w:szCs w:val="20"/>
              </w:rPr>
              <w:t xml:space="preserve">D03-090 – </w:t>
            </w:r>
            <w:proofErr w:type="spellStart"/>
            <w:r w:rsidRPr="00277AA5">
              <w:rPr>
                <w:rFonts w:cs="Calibri Light"/>
                <w:sz w:val="20"/>
                <w:szCs w:val="20"/>
              </w:rPr>
              <w:t>Effic</w:t>
            </w:r>
            <w:proofErr w:type="spellEnd"/>
            <w:r w:rsidRPr="00277AA5">
              <w:rPr>
                <w:rFonts w:cs="Calibri Light"/>
                <w:sz w:val="20"/>
                <w:szCs w:val="20"/>
              </w:rPr>
              <w:t>. Motors – Hot Water Loop Pumps</w:t>
            </w:r>
          </w:p>
          <w:p w14:paraId="4948DEAF" w14:textId="3CD9E094" w:rsidR="004D40D3" w:rsidRPr="00277AA5" w:rsidDel="00505CEC" w:rsidRDefault="004D40D3" w:rsidP="00277AA5">
            <w:pPr>
              <w:spacing w:before="0" w:after="0" w:line="240" w:lineRule="auto"/>
              <w:rPr>
                <w:rFonts w:cs="Calibri Light"/>
                <w:sz w:val="20"/>
                <w:szCs w:val="20"/>
              </w:rPr>
            </w:pPr>
            <w:r w:rsidRPr="00277AA5">
              <w:rPr>
                <w:rFonts w:cs="Calibri Light"/>
                <w:sz w:val="20"/>
                <w:szCs w:val="20"/>
              </w:rPr>
              <w:t>D03-095 – Circulator Pump Timeclock Retrofit</w:t>
            </w:r>
            <w:r w:rsidR="008B2592" w:rsidRPr="00277AA5">
              <w:rPr>
                <w:rFonts w:cs="Calibri Light"/>
                <w:sz w:val="20"/>
                <w:szCs w:val="20"/>
              </w:rPr>
              <w:t xml:space="preserve"> </w:t>
            </w:r>
            <w:r w:rsidRPr="00277AA5">
              <w:rPr>
                <w:rFonts w:cs="Calibri Light"/>
                <w:sz w:val="20"/>
                <w:szCs w:val="20"/>
              </w:rPr>
              <w:t>system with electric storage water heater</w:t>
            </w:r>
          </w:p>
        </w:tc>
      </w:tr>
      <w:tr w:rsidR="004D40D3" w:rsidRPr="00500C4E" w14:paraId="2CFDE9D3" w14:textId="77777777" w:rsidTr="003721ED">
        <w:trPr>
          <w:trHeight w:val="180"/>
        </w:trPr>
        <w:tc>
          <w:tcPr>
            <w:tcW w:w="1730" w:type="pct"/>
          </w:tcPr>
          <w:p w14:paraId="3B6B3E22" w14:textId="77777777" w:rsidR="004D40D3" w:rsidRPr="00EA057C" w:rsidRDefault="004D40D3" w:rsidP="00354BDC">
            <w:pPr>
              <w:spacing w:before="20" w:after="20"/>
              <w:rPr>
                <w:rFonts w:cs="Arial"/>
                <w:sz w:val="20"/>
                <w:szCs w:val="20"/>
              </w:rPr>
            </w:pPr>
            <w:r w:rsidRPr="00EA057C">
              <w:rPr>
                <w:rFonts w:cs="Arial"/>
                <w:sz w:val="20"/>
                <w:szCs w:val="20"/>
              </w:rPr>
              <w:t>DEER Version</w:t>
            </w:r>
          </w:p>
        </w:tc>
        <w:tc>
          <w:tcPr>
            <w:tcW w:w="3270" w:type="pct"/>
            <w:vAlign w:val="center"/>
          </w:tcPr>
          <w:p w14:paraId="1C3B60D1" w14:textId="1049350D" w:rsidR="004D40D3" w:rsidRPr="00EF4990" w:rsidRDefault="008F5D95" w:rsidP="00354BDC">
            <w:pPr>
              <w:spacing w:before="20" w:after="20"/>
              <w:rPr>
                <w:rFonts w:cs="Arial"/>
                <w:sz w:val="20"/>
                <w:szCs w:val="20"/>
              </w:rPr>
            </w:pPr>
            <w:r>
              <w:rPr>
                <w:rFonts w:cs="Arial"/>
                <w:sz w:val="20"/>
                <w:szCs w:val="20"/>
              </w:rPr>
              <w:t>n/a</w:t>
            </w:r>
          </w:p>
        </w:tc>
      </w:tr>
      <w:tr w:rsidR="004D40D3" w:rsidRPr="00500C4E" w14:paraId="3B7464D7" w14:textId="77777777" w:rsidTr="003721ED">
        <w:trPr>
          <w:trHeight w:val="20"/>
        </w:trPr>
        <w:tc>
          <w:tcPr>
            <w:tcW w:w="1730" w:type="pct"/>
          </w:tcPr>
          <w:p w14:paraId="24000A76" w14:textId="77777777" w:rsidR="004D40D3" w:rsidRPr="00EA057C" w:rsidRDefault="004D40D3" w:rsidP="00354BDC">
            <w:pPr>
              <w:spacing w:before="20" w:after="20"/>
              <w:rPr>
                <w:rFonts w:cs="Arial"/>
                <w:sz w:val="20"/>
                <w:szCs w:val="20"/>
              </w:rPr>
            </w:pPr>
            <w:r w:rsidRPr="00EA057C">
              <w:rPr>
                <w:rFonts w:cs="Arial"/>
                <w:sz w:val="20"/>
                <w:szCs w:val="20"/>
              </w:rPr>
              <w:t>Reason for Deviation from DEER</w:t>
            </w:r>
          </w:p>
        </w:tc>
        <w:tc>
          <w:tcPr>
            <w:tcW w:w="3270" w:type="pct"/>
            <w:vAlign w:val="center"/>
          </w:tcPr>
          <w:p w14:paraId="125AAB90" w14:textId="6FB3E575" w:rsidR="004D40D3" w:rsidRPr="00EF4990" w:rsidRDefault="008F5D95" w:rsidP="00354BDC">
            <w:pPr>
              <w:spacing w:before="20" w:after="20"/>
              <w:rPr>
                <w:rFonts w:cs="Arial"/>
                <w:sz w:val="20"/>
                <w:szCs w:val="20"/>
              </w:rPr>
            </w:pPr>
            <w:r>
              <w:rPr>
                <w:rFonts w:cs="Arial"/>
                <w:sz w:val="20"/>
                <w:szCs w:val="20"/>
              </w:rPr>
              <w:t>n/a</w:t>
            </w:r>
          </w:p>
        </w:tc>
      </w:tr>
      <w:tr w:rsidR="004D40D3" w:rsidRPr="00500C4E" w14:paraId="4A7EE859" w14:textId="77777777" w:rsidTr="003721ED">
        <w:trPr>
          <w:trHeight w:val="20"/>
        </w:trPr>
        <w:tc>
          <w:tcPr>
            <w:tcW w:w="1730" w:type="pct"/>
          </w:tcPr>
          <w:p w14:paraId="7B4D686A" w14:textId="77777777" w:rsidR="004D40D3" w:rsidRPr="00EA057C" w:rsidRDefault="004D40D3" w:rsidP="00354BDC">
            <w:pPr>
              <w:spacing w:before="20" w:after="20"/>
              <w:rPr>
                <w:rFonts w:cs="Arial"/>
                <w:sz w:val="20"/>
                <w:szCs w:val="20"/>
              </w:rPr>
            </w:pPr>
            <w:r w:rsidRPr="00EA057C">
              <w:rPr>
                <w:rFonts w:cs="Arial"/>
                <w:sz w:val="20"/>
                <w:szCs w:val="20"/>
              </w:rPr>
              <w:t>DEER Measure IDs Used</w:t>
            </w:r>
          </w:p>
        </w:tc>
        <w:tc>
          <w:tcPr>
            <w:tcW w:w="3270" w:type="pct"/>
            <w:vAlign w:val="center"/>
          </w:tcPr>
          <w:p w14:paraId="63ABA251" w14:textId="6C7FA450" w:rsidR="004D40D3" w:rsidRPr="00EF4990" w:rsidRDefault="004D40D3" w:rsidP="00354BDC">
            <w:pPr>
              <w:spacing w:before="20" w:after="20"/>
              <w:rPr>
                <w:rFonts w:cs="Arial"/>
                <w:sz w:val="20"/>
                <w:szCs w:val="20"/>
              </w:rPr>
            </w:pPr>
            <w:r w:rsidRPr="00857149">
              <w:rPr>
                <w:rFonts w:cs="Arial"/>
                <w:sz w:val="20"/>
                <w:szCs w:val="20"/>
              </w:rPr>
              <w:t>No</w:t>
            </w:r>
          </w:p>
        </w:tc>
      </w:tr>
      <w:tr w:rsidR="00EA057C" w:rsidRPr="00500C4E" w14:paraId="5A83EC74" w14:textId="77777777" w:rsidTr="00EA057C">
        <w:trPr>
          <w:trHeight w:val="20"/>
        </w:trPr>
        <w:tc>
          <w:tcPr>
            <w:tcW w:w="1730" w:type="pct"/>
          </w:tcPr>
          <w:p w14:paraId="2C82A9E0" w14:textId="121308D7" w:rsidR="00EA057C" w:rsidRPr="00EA057C" w:rsidRDefault="00EA057C" w:rsidP="00354BDC">
            <w:pPr>
              <w:spacing w:before="20" w:after="20"/>
              <w:rPr>
                <w:rFonts w:cs="Arial"/>
                <w:sz w:val="20"/>
                <w:szCs w:val="20"/>
              </w:rPr>
            </w:pPr>
            <w:r>
              <w:rPr>
                <w:rFonts w:cs="Arial"/>
                <w:sz w:val="20"/>
                <w:szCs w:val="20"/>
              </w:rPr>
              <w:t>NTG</w:t>
            </w:r>
          </w:p>
        </w:tc>
        <w:tc>
          <w:tcPr>
            <w:tcW w:w="3270" w:type="pct"/>
          </w:tcPr>
          <w:p w14:paraId="256700DE" w14:textId="3D4024CE" w:rsidR="00EA057C" w:rsidRPr="00DC6BBC" w:rsidRDefault="005A74DC" w:rsidP="00354BDC">
            <w:pPr>
              <w:spacing w:before="20" w:after="20"/>
              <w:rPr>
                <w:rFonts w:cs="Arial"/>
                <w:i/>
                <w:sz w:val="20"/>
                <w:szCs w:val="20"/>
              </w:rPr>
            </w:pPr>
            <w:r w:rsidRPr="00DC6BBC">
              <w:rPr>
                <w:rFonts w:cs="Arial"/>
                <w:sz w:val="20"/>
                <w:szCs w:val="20"/>
              </w:rPr>
              <w:t xml:space="preserve">Source: </w:t>
            </w:r>
            <w:r w:rsidR="00474E4C" w:rsidRPr="00DC6BBC">
              <w:rPr>
                <w:rFonts w:cs="Arial"/>
                <w:sz w:val="20"/>
                <w:szCs w:val="20"/>
              </w:rPr>
              <w:t>DEER2016</w:t>
            </w:r>
            <w:r w:rsidRPr="00DC6BBC">
              <w:rPr>
                <w:rFonts w:cs="Arial"/>
                <w:sz w:val="20"/>
                <w:szCs w:val="20"/>
              </w:rPr>
              <w:t xml:space="preserve">. The NTG of </w:t>
            </w:r>
            <w:r w:rsidR="00474E4C" w:rsidRPr="00DC6BBC">
              <w:rPr>
                <w:rFonts w:cs="Arial"/>
                <w:sz w:val="20"/>
                <w:szCs w:val="20"/>
              </w:rPr>
              <w:t>0.</w:t>
            </w:r>
            <w:r w:rsidR="00145376" w:rsidRPr="00DC6BBC">
              <w:rPr>
                <w:rFonts w:cs="Arial"/>
                <w:sz w:val="20"/>
                <w:szCs w:val="20"/>
              </w:rPr>
              <w:t>55</w:t>
            </w:r>
            <w:r w:rsidRPr="00DC6BBC">
              <w:rPr>
                <w:rFonts w:cs="Arial"/>
                <w:sz w:val="20"/>
                <w:szCs w:val="20"/>
              </w:rPr>
              <w:t xml:space="preserve"> is associated with NTG ID: </w:t>
            </w:r>
            <w:r w:rsidR="00DC6BBC" w:rsidRPr="00DC6BBC">
              <w:rPr>
                <w:rFonts w:cs="Arial"/>
                <w:i/>
                <w:sz w:val="20"/>
                <w:szCs w:val="20"/>
              </w:rPr>
              <w:t>Res</w:t>
            </w:r>
            <w:r w:rsidR="00474E4C" w:rsidRPr="00DC6BBC">
              <w:rPr>
                <w:rFonts w:cs="Arial"/>
                <w:i/>
                <w:sz w:val="20"/>
                <w:szCs w:val="20"/>
              </w:rPr>
              <w:t>-Default</w:t>
            </w:r>
            <w:r w:rsidR="00DC6BBC" w:rsidRPr="00DC6BBC">
              <w:rPr>
                <w:rFonts w:cs="Arial"/>
                <w:i/>
                <w:sz w:val="20"/>
                <w:szCs w:val="20"/>
              </w:rPr>
              <w:t>&gt;</w:t>
            </w:r>
            <w:r w:rsidR="00474E4C" w:rsidRPr="00DC6BBC">
              <w:rPr>
                <w:rFonts w:cs="Arial"/>
                <w:i/>
                <w:sz w:val="20"/>
                <w:szCs w:val="20"/>
              </w:rPr>
              <w:t>2yrs</w:t>
            </w:r>
          </w:p>
          <w:p w14:paraId="2BBBB10C" w14:textId="2FB01D8D" w:rsidR="00474E4C" w:rsidRPr="00DC6BBC" w:rsidRDefault="00474E4C" w:rsidP="00354BDC">
            <w:pPr>
              <w:spacing w:before="20" w:after="20"/>
              <w:rPr>
                <w:rFonts w:cs="Arial"/>
                <w:sz w:val="20"/>
                <w:szCs w:val="20"/>
              </w:rPr>
            </w:pPr>
            <w:r w:rsidRPr="00DC6BBC">
              <w:rPr>
                <w:rFonts w:cs="Arial"/>
                <w:sz w:val="20"/>
                <w:szCs w:val="20"/>
              </w:rPr>
              <w:t xml:space="preserve">Source: The NTG value of 0.875 </w:t>
            </w:r>
            <w:r w:rsidR="007F631F" w:rsidRPr="00DC6BBC">
              <w:rPr>
                <w:rFonts w:cs="Arial"/>
                <w:sz w:val="20"/>
                <w:szCs w:val="20"/>
              </w:rPr>
              <w:t>was calculated from market data and EV program data.</w:t>
            </w:r>
          </w:p>
        </w:tc>
      </w:tr>
      <w:tr w:rsidR="00EA057C" w:rsidRPr="00500C4E" w14:paraId="131D1F9D" w14:textId="77777777" w:rsidTr="00EA057C">
        <w:trPr>
          <w:trHeight w:val="20"/>
        </w:trPr>
        <w:tc>
          <w:tcPr>
            <w:tcW w:w="1730" w:type="pct"/>
          </w:tcPr>
          <w:p w14:paraId="45FFA983" w14:textId="5F527A83" w:rsidR="00EA057C" w:rsidRDefault="00EA057C" w:rsidP="00354BDC">
            <w:pPr>
              <w:spacing w:before="20" w:after="20"/>
              <w:rPr>
                <w:rFonts w:cs="Arial"/>
                <w:sz w:val="20"/>
                <w:szCs w:val="20"/>
              </w:rPr>
            </w:pPr>
            <w:r>
              <w:rPr>
                <w:rFonts w:cs="Arial"/>
                <w:sz w:val="20"/>
                <w:szCs w:val="20"/>
              </w:rPr>
              <w:t>GSIA</w:t>
            </w:r>
          </w:p>
        </w:tc>
        <w:tc>
          <w:tcPr>
            <w:tcW w:w="3270" w:type="pct"/>
          </w:tcPr>
          <w:p w14:paraId="7C16D603" w14:textId="768180A7" w:rsidR="00EA057C" w:rsidRPr="00EA057C" w:rsidRDefault="005A74DC" w:rsidP="00354BDC">
            <w:pPr>
              <w:spacing w:before="20" w:after="20"/>
              <w:rPr>
                <w:rFonts w:cs="Arial"/>
                <w:sz w:val="20"/>
                <w:szCs w:val="20"/>
              </w:rPr>
            </w:pPr>
            <w:r>
              <w:rPr>
                <w:rFonts w:cs="Arial"/>
                <w:sz w:val="20"/>
                <w:szCs w:val="20"/>
              </w:rPr>
              <w:t xml:space="preserve">Source: </w:t>
            </w:r>
            <w:r w:rsidR="008F5D95">
              <w:rPr>
                <w:rFonts w:cs="Arial"/>
                <w:sz w:val="20"/>
                <w:szCs w:val="20"/>
              </w:rPr>
              <w:t>DEER</w:t>
            </w:r>
            <w:r>
              <w:rPr>
                <w:rFonts w:cs="Arial"/>
                <w:sz w:val="20"/>
                <w:szCs w:val="20"/>
              </w:rPr>
              <w:t xml:space="preserve">. The GSIA of </w:t>
            </w:r>
            <w:r w:rsidR="00EF4990">
              <w:rPr>
                <w:rFonts w:cs="Arial"/>
                <w:sz w:val="20"/>
                <w:szCs w:val="20"/>
              </w:rPr>
              <w:t>1.0</w:t>
            </w:r>
            <w:r>
              <w:rPr>
                <w:rFonts w:cs="Arial"/>
                <w:sz w:val="20"/>
                <w:szCs w:val="20"/>
              </w:rPr>
              <w:t xml:space="preserve"> is associated with GSIA ID: </w:t>
            </w:r>
            <w:r w:rsidR="00EF4990">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354BDC">
            <w:pPr>
              <w:spacing w:before="20" w:after="20"/>
              <w:rPr>
                <w:rFonts w:cs="Arial"/>
                <w:sz w:val="20"/>
                <w:szCs w:val="20"/>
              </w:rPr>
            </w:pPr>
            <w:r>
              <w:rPr>
                <w:rFonts w:cs="Arial"/>
                <w:sz w:val="20"/>
                <w:szCs w:val="20"/>
              </w:rPr>
              <w:t>EUL/RUL</w:t>
            </w:r>
          </w:p>
        </w:tc>
        <w:tc>
          <w:tcPr>
            <w:tcW w:w="3270" w:type="pct"/>
          </w:tcPr>
          <w:p w14:paraId="5BD9C961" w14:textId="2BC7EFBB" w:rsidR="00EA057C" w:rsidRPr="00EA057C" w:rsidRDefault="00593411" w:rsidP="00354BDC">
            <w:pPr>
              <w:spacing w:before="20" w:after="20"/>
              <w:rPr>
                <w:rFonts w:cs="Arial"/>
                <w:sz w:val="20"/>
                <w:szCs w:val="20"/>
              </w:rPr>
            </w:pPr>
            <w:r>
              <w:rPr>
                <w:rFonts w:cs="Arial"/>
                <w:sz w:val="20"/>
                <w:szCs w:val="20"/>
              </w:rPr>
              <w:t xml:space="preserve">Source: DEER. </w:t>
            </w:r>
            <w:r w:rsidRPr="006B598B">
              <w:rPr>
                <w:rFonts w:cs="Arial"/>
                <w:sz w:val="20"/>
                <w:szCs w:val="20"/>
              </w:rPr>
              <w:t>The value of 15 years is associated with EUL ID:</w:t>
            </w:r>
            <w:r>
              <w:rPr>
                <w:rFonts w:cs="Arial"/>
                <w:sz w:val="20"/>
                <w:szCs w:val="20"/>
              </w:rPr>
              <w:t xml:space="preserve"> </w:t>
            </w:r>
            <w:r w:rsidRPr="002A1632">
              <w:rPr>
                <w:rFonts w:cs="Arial"/>
                <w:i/>
                <w:sz w:val="20"/>
                <w:szCs w:val="20"/>
              </w:rPr>
              <w:t>Motors-pump</w:t>
            </w:r>
          </w:p>
        </w:tc>
      </w:tr>
    </w:tbl>
    <w:p w14:paraId="3D440479" w14:textId="77777777" w:rsidR="00EA057C" w:rsidRDefault="00EA057C" w:rsidP="00354BDC"/>
    <w:p w14:paraId="59542C0D" w14:textId="77777777" w:rsidR="007D230B" w:rsidRDefault="007D230B" w:rsidP="00BD67CA">
      <w:pPr>
        <w:pStyle w:val="eTRMHeading3"/>
      </w:pPr>
      <w:bookmarkStart w:id="70" w:name="_Toc486490866"/>
      <w:bookmarkStart w:id="71" w:name="_Toc486580937"/>
      <w:bookmarkStart w:id="72" w:name="_Toc2251845"/>
      <w:r w:rsidRPr="004B06E3">
        <w:lastRenderedPageBreak/>
        <w:t>Revision History</w:t>
      </w:r>
      <w:bookmarkEnd w:id="70"/>
      <w:bookmarkEnd w:id="71"/>
      <w:bookmarkEnd w:id="72"/>
    </w:p>
    <w:p w14:paraId="3661732B" w14:textId="26B48F55" w:rsidR="00CA1CB3" w:rsidRDefault="00742F88" w:rsidP="00BD67CA">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485"/>
        <w:gridCol w:w="1801"/>
        <w:gridCol w:w="5124"/>
      </w:tblGrid>
      <w:tr w:rsidR="00CA1CB3" w:rsidRPr="00500C4E" w14:paraId="1904D58C" w14:textId="6E96D877" w:rsidTr="00F87FD0">
        <w:trPr>
          <w:trHeight w:val="20"/>
        </w:trPr>
        <w:tc>
          <w:tcPr>
            <w:tcW w:w="503" w:type="pct"/>
            <w:shd w:val="clear" w:color="auto" w:fill="F2F2F2" w:themeFill="background1" w:themeFillShade="F2"/>
            <w:vAlign w:val="bottom"/>
          </w:tcPr>
          <w:p w14:paraId="5365A71C" w14:textId="5EB86E00" w:rsidR="00CA1CB3" w:rsidRPr="00EA057C" w:rsidRDefault="00CA1CB3" w:rsidP="00BD67CA">
            <w:pPr>
              <w:keepNext/>
              <w:keepLines/>
              <w:tabs>
                <w:tab w:val="right" w:pos="2957"/>
              </w:tabs>
              <w:spacing w:before="20" w:after="20"/>
              <w:rPr>
                <w:rFonts w:cs="Arial"/>
                <w:b/>
                <w:sz w:val="20"/>
                <w:szCs w:val="20"/>
              </w:rPr>
            </w:pPr>
            <w:r>
              <w:rPr>
                <w:rFonts w:cs="Arial"/>
                <w:b/>
                <w:sz w:val="20"/>
                <w:szCs w:val="20"/>
              </w:rPr>
              <w:t>Revision Number</w:t>
            </w:r>
          </w:p>
        </w:tc>
        <w:tc>
          <w:tcPr>
            <w:tcW w:w="794" w:type="pct"/>
            <w:shd w:val="clear" w:color="auto" w:fill="F2F2F2" w:themeFill="background1" w:themeFillShade="F2"/>
            <w:vAlign w:val="bottom"/>
          </w:tcPr>
          <w:p w14:paraId="7DC8BCED" w14:textId="6C930697" w:rsidR="00CA1CB3" w:rsidRPr="00EA057C" w:rsidRDefault="00F87FD0" w:rsidP="00BD67CA">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63" w:type="pct"/>
            <w:shd w:val="clear" w:color="auto" w:fill="F2F2F2" w:themeFill="background1" w:themeFillShade="F2"/>
            <w:vAlign w:val="bottom"/>
          </w:tcPr>
          <w:p w14:paraId="10DC2402" w14:textId="63223EB6" w:rsidR="00CA1CB3" w:rsidRDefault="00CA1CB3" w:rsidP="00BD67CA">
            <w:pPr>
              <w:keepNext/>
              <w:keepLines/>
              <w:spacing w:before="20" w:after="20"/>
              <w:rPr>
                <w:rFonts w:cs="Arial"/>
                <w:b/>
                <w:sz w:val="20"/>
                <w:szCs w:val="20"/>
              </w:rPr>
            </w:pPr>
            <w:r>
              <w:rPr>
                <w:rFonts w:cs="Arial"/>
                <w:b/>
                <w:sz w:val="20"/>
                <w:szCs w:val="20"/>
              </w:rPr>
              <w:t>Primary Author, Title, Organization</w:t>
            </w:r>
          </w:p>
        </w:tc>
        <w:tc>
          <w:tcPr>
            <w:tcW w:w="2740" w:type="pct"/>
            <w:shd w:val="clear" w:color="auto" w:fill="F2F2F2" w:themeFill="background1" w:themeFillShade="F2"/>
            <w:vAlign w:val="bottom"/>
          </w:tcPr>
          <w:p w14:paraId="27C17E65" w14:textId="222C519C" w:rsidR="00CA1CB3" w:rsidRDefault="00CA1CB3" w:rsidP="00BD67CA">
            <w:pPr>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BD67CA">
            <w:pPr>
              <w:keepNext/>
              <w:keepLines/>
              <w:spacing w:before="20" w:after="20"/>
              <w:rPr>
                <w:rFonts w:cs="Arial"/>
                <w:b/>
                <w:sz w:val="20"/>
                <w:szCs w:val="20"/>
              </w:rPr>
            </w:pPr>
            <w:r>
              <w:rPr>
                <w:rFonts w:cs="Arial"/>
                <w:b/>
                <w:sz w:val="20"/>
                <w:szCs w:val="20"/>
              </w:rPr>
              <w:t>Effective Date and Approved By</w:t>
            </w:r>
          </w:p>
        </w:tc>
      </w:tr>
      <w:tr w:rsidR="007B649E" w:rsidRPr="00CA1CB3" w14:paraId="0A9DBD7D" w14:textId="04A29668" w:rsidTr="00F87FD0">
        <w:trPr>
          <w:trHeight w:val="20"/>
        </w:trPr>
        <w:tc>
          <w:tcPr>
            <w:tcW w:w="503" w:type="pct"/>
            <w:vMerge w:val="restart"/>
          </w:tcPr>
          <w:p w14:paraId="38788C98" w14:textId="650C945D" w:rsidR="007B649E" w:rsidRPr="00CA1CB3" w:rsidRDefault="007B649E" w:rsidP="00BD67CA">
            <w:pPr>
              <w:keepNext/>
              <w:keepLines/>
              <w:spacing w:before="20" w:after="20"/>
              <w:rPr>
                <w:rFonts w:cs="Arial"/>
                <w:sz w:val="20"/>
                <w:szCs w:val="20"/>
              </w:rPr>
            </w:pPr>
            <w:r w:rsidRPr="00CA1CB3">
              <w:rPr>
                <w:rFonts w:cs="Arial"/>
                <w:sz w:val="20"/>
                <w:szCs w:val="20"/>
              </w:rPr>
              <w:t>0</w:t>
            </w:r>
            <w:r>
              <w:rPr>
                <w:rFonts w:cs="Arial"/>
                <w:sz w:val="20"/>
                <w:szCs w:val="20"/>
              </w:rPr>
              <w:t>1</w:t>
            </w:r>
          </w:p>
        </w:tc>
        <w:tc>
          <w:tcPr>
            <w:tcW w:w="794" w:type="pct"/>
          </w:tcPr>
          <w:p w14:paraId="03B67B1D" w14:textId="5EF61A25" w:rsidR="007B649E" w:rsidRPr="00CA1CB3" w:rsidRDefault="007B649E" w:rsidP="00BD67CA">
            <w:pPr>
              <w:keepNext/>
              <w:keepLines/>
              <w:spacing w:before="20" w:after="20"/>
              <w:rPr>
                <w:rFonts w:cs="Arial"/>
                <w:sz w:val="20"/>
                <w:szCs w:val="20"/>
              </w:rPr>
            </w:pPr>
            <w:r>
              <w:rPr>
                <w:rFonts w:cs="Arial"/>
                <w:sz w:val="20"/>
                <w:szCs w:val="20"/>
              </w:rPr>
              <w:t>03/31/2018</w:t>
            </w:r>
          </w:p>
        </w:tc>
        <w:tc>
          <w:tcPr>
            <w:tcW w:w="963" w:type="pct"/>
          </w:tcPr>
          <w:p w14:paraId="32D154D7" w14:textId="71022615" w:rsidR="007B649E" w:rsidRPr="00CA1CB3" w:rsidRDefault="007B649E" w:rsidP="00BD67CA">
            <w:pPr>
              <w:keepNext/>
              <w:keepLines/>
              <w:spacing w:before="20" w:after="20"/>
              <w:rPr>
                <w:rFonts w:cs="Arial"/>
                <w:sz w:val="20"/>
                <w:szCs w:val="20"/>
              </w:rPr>
            </w:pPr>
            <w:r>
              <w:rPr>
                <w:rFonts w:cs="Arial"/>
                <w:sz w:val="20"/>
                <w:szCs w:val="20"/>
              </w:rPr>
              <w:t>Jennifer Holmes, Cal TF Staff</w:t>
            </w:r>
          </w:p>
        </w:tc>
        <w:tc>
          <w:tcPr>
            <w:tcW w:w="2740" w:type="pct"/>
          </w:tcPr>
          <w:p w14:paraId="23E22ED8" w14:textId="267CD6C2" w:rsidR="007B649E" w:rsidRDefault="007B649E" w:rsidP="00BD67CA">
            <w:pPr>
              <w:keepNext/>
              <w:keepLines/>
              <w:spacing w:before="20" w:after="20"/>
              <w:rPr>
                <w:rFonts w:cs="Arial"/>
                <w:sz w:val="20"/>
                <w:szCs w:val="20"/>
              </w:rPr>
            </w:pPr>
            <w:r>
              <w:rPr>
                <w:rFonts w:cs="Arial"/>
                <w:sz w:val="20"/>
                <w:szCs w:val="20"/>
              </w:rPr>
              <w:t xml:space="preserve">Draft of consolidated text for this statewide measure is based upon: </w:t>
            </w:r>
          </w:p>
          <w:p w14:paraId="1E47A393" w14:textId="52E41D38" w:rsidR="007B649E" w:rsidRPr="00F87FD0" w:rsidRDefault="007B649E" w:rsidP="00BD67CA">
            <w:pPr>
              <w:keepNext/>
              <w:keepLines/>
              <w:spacing w:before="20" w:after="20"/>
              <w:ind w:left="-26"/>
              <w:rPr>
                <w:rFonts w:cs="Arial"/>
                <w:sz w:val="20"/>
                <w:szCs w:val="20"/>
              </w:rPr>
            </w:pPr>
            <w:r w:rsidRPr="00F87FD0">
              <w:rPr>
                <w:rFonts w:cs="Arial"/>
                <w:sz w:val="20"/>
                <w:szCs w:val="20"/>
              </w:rPr>
              <w:t>Workpaper PGECOPUM107, revision 0 (May 29, 2017)</w:t>
            </w:r>
          </w:p>
          <w:p w14:paraId="6C70C36F" w14:textId="310CB5FE" w:rsidR="007B649E" w:rsidRPr="00CA1CB3" w:rsidRDefault="007B649E" w:rsidP="00BD67CA">
            <w:pPr>
              <w:keepNext/>
              <w:keepLines/>
              <w:spacing w:before="20" w:after="20"/>
              <w:ind w:left="-26"/>
              <w:rPr>
                <w:rFonts w:cs="Arial"/>
                <w:sz w:val="20"/>
                <w:szCs w:val="20"/>
              </w:rPr>
            </w:pPr>
            <w:r w:rsidRPr="00F87FD0">
              <w:rPr>
                <w:rFonts w:cs="Arial"/>
                <w:sz w:val="20"/>
                <w:szCs w:val="20"/>
              </w:rPr>
              <w:t>Consensus reached among Cal TF members.</w:t>
            </w:r>
          </w:p>
        </w:tc>
      </w:tr>
      <w:tr w:rsidR="007B649E" w:rsidRPr="00CA1CB3" w14:paraId="3E8A4367" w14:textId="77777777" w:rsidTr="00F87FD0">
        <w:trPr>
          <w:trHeight w:val="20"/>
        </w:trPr>
        <w:tc>
          <w:tcPr>
            <w:tcW w:w="503" w:type="pct"/>
            <w:vMerge/>
          </w:tcPr>
          <w:p w14:paraId="32DFF806" w14:textId="77777777" w:rsidR="007B649E" w:rsidRPr="00CA1CB3" w:rsidRDefault="007B649E" w:rsidP="00381A32">
            <w:pPr>
              <w:spacing w:before="20" w:after="20"/>
              <w:rPr>
                <w:rFonts w:cs="Arial"/>
                <w:sz w:val="20"/>
                <w:szCs w:val="20"/>
              </w:rPr>
            </w:pPr>
          </w:p>
        </w:tc>
        <w:tc>
          <w:tcPr>
            <w:tcW w:w="794" w:type="pct"/>
          </w:tcPr>
          <w:p w14:paraId="553ADADD" w14:textId="78839492" w:rsidR="007B649E" w:rsidRDefault="007B649E" w:rsidP="00381A32">
            <w:pPr>
              <w:spacing w:before="20" w:after="20"/>
              <w:rPr>
                <w:rFonts w:cs="Arial"/>
                <w:sz w:val="20"/>
                <w:szCs w:val="20"/>
              </w:rPr>
            </w:pPr>
            <w:r>
              <w:rPr>
                <w:rFonts w:cs="Arial"/>
                <w:sz w:val="20"/>
                <w:szCs w:val="20"/>
              </w:rPr>
              <w:t>02/28/2019</w:t>
            </w:r>
          </w:p>
        </w:tc>
        <w:tc>
          <w:tcPr>
            <w:tcW w:w="963" w:type="pct"/>
          </w:tcPr>
          <w:p w14:paraId="4DEB4493" w14:textId="344DE112" w:rsidR="007B649E" w:rsidRDefault="007B649E" w:rsidP="00381A32">
            <w:pPr>
              <w:spacing w:before="20" w:after="20"/>
              <w:rPr>
                <w:rFonts w:cs="Arial"/>
                <w:sz w:val="20"/>
                <w:szCs w:val="20"/>
              </w:rPr>
            </w:pPr>
            <w:r>
              <w:rPr>
                <w:rFonts w:cs="Arial"/>
                <w:sz w:val="20"/>
                <w:szCs w:val="20"/>
              </w:rPr>
              <w:t>Jennifer Holmes, Cal TF Staff</w:t>
            </w:r>
          </w:p>
        </w:tc>
        <w:tc>
          <w:tcPr>
            <w:tcW w:w="2740" w:type="pct"/>
          </w:tcPr>
          <w:p w14:paraId="55B291A5" w14:textId="1E5FAEDB" w:rsidR="007B649E" w:rsidRDefault="007B649E" w:rsidP="00381A32">
            <w:pPr>
              <w:spacing w:before="20" w:after="20"/>
              <w:rPr>
                <w:rFonts w:cs="Arial"/>
                <w:sz w:val="20"/>
                <w:szCs w:val="20"/>
              </w:rPr>
            </w:pPr>
            <w:r>
              <w:rPr>
                <w:rFonts w:cs="Arial"/>
                <w:sz w:val="20"/>
                <w:szCs w:val="20"/>
              </w:rPr>
              <w:t>Revisions for submittal of version 01.</w:t>
            </w:r>
          </w:p>
        </w:tc>
      </w:tr>
      <w:tr w:rsidR="00380CFC" w:rsidRPr="00CA1CB3" w14:paraId="2D360DBB" w14:textId="77777777" w:rsidTr="00F87FD0">
        <w:trPr>
          <w:trHeight w:val="20"/>
        </w:trPr>
        <w:tc>
          <w:tcPr>
            <w:tcW w:w="503" w:type="pct"/>
            <w:vMerge/>
          </w:tcPr>
          <w:p w14:paraId="121B22C6" w14:textId="77777777" w:rsidR="00380CFC" w:rsidRPr="00CA1CB3" w:rsidRDefault="00380CFC" w:rsidP="00380CFC">
            <w:pPr>
              <w:spacing w:before="20" w:after="20"/>
              <w:rPr>
                <w:rFonts w:cs="Arial"/>
                <w:sz w:val="20"/>
                <w:szCs w:val="20"/>
              </w:rPr>
            </w:pPr>
          </w:p>
        </w:tc>
        <w:tc>
          <w:tcPr>
            <w:tcW w:w="794" w:type="pct"/>
          </w:tcPr>
          <w:p w14:paraId="3611CC4A" w14:textId="3513BD12" w:rsidR="00380CFC" w:rsidRDefault="00380CFC" w:rsidP="00380CFC">
            <w:pPr>
              <w:spacing w:before="20" w:after="20"/>
              <w:rPr>
                <w:rFonts w:cs="Arial"/>
                <w:sz w:val="20"/>
                <w:szCs w:val="20"/>
              </w:rPr>
            </w:pPr>
            <w:r>
              <w:rPr>
                <w:rFonts w:cs="Arial"/>
                <w:sz w:val="20"/>
                <w:szCs w:val="20"/>
              </w:rPr>
              <w:t>03/1</w:t>
            </w:r>
            <w:r w:rsidR="00840AC0">
              <w:rPr>
                <w:rFonts w:cs="Arial"/>
                <w:sz w:val="20"/>
                <w:szCs w:val="20"/>
              </w:rPr>
              <w:t>5</w:t>
            </w:r>
            <w:r>
              <w:rPr>
                <w:rFonts w:cs="Arial"/>
                <w:sz w:val="20"/>
                <w:szCs w:val="20"/>
              </w:rPr>
              <w:t>/2021</w:t>
            </w:r>
          </w:p>
        </w:tc>
        <w:tc>
          <w:tcPr>
            <w:tcW w:w="963" w:type="pct"/>
          </w:tcPr>
          <w:p w14:paraId="63F99C63" w14:textId="77777777" w:rsidR="00380CFC" w:rsidRDefault="00380CFC" w:rsidP="00380CFC">
            <w:pPr>
              <w:pStyle w:val="TableParagraph"/>
              <w:spacing w:line="234" w:lineRule="exact"/>
              <w:rPr>
                <w:sz w:val="20"/>
              </w:rPr>
            </w:pPr>
            <w:r>
              <w:rPr>
                <w:sz w:val="20"/>
              </w:rPr>
              <w:t>Soe K Hla</w:t>
            </w:r>
          </w:p>
          <w:p w14:paraId="63D6FBDC" w14:textId="79F17C2B" w:rsidR="00380CFC" w:rsidRDefault="00380CFC" w:rsidP="00380CFC">
            <w:pPr>
              <w:spacing w:before="20" w:after="20"/>
              <w:rPr>
                <w:rFonts w:cs="Arial"/>
                <w:sz w:val="20"/>
                <w:szCs w:val="20"/>
              </w:rPr>
            </w:pPr>
            <w:r>
              <w:rPr>
                <w:sz w:val="20"/>
              </w:rPr>
              <w:t>PG&amp;E</w:t>
            </w:r>
          </w:p>
        </w:tc>
        <w:tc>
          <w:tcPr>
            <w:tcW w:w="2740" w:type="pct"/>
          </w:tcPr>
          <w:p w14:paraId="498923FA" w14:textId="53BE56CF" w:rsidR="00380CFC" w:rsidRDefault="00EC21BF" w:rsidP="00380CFC">
            <w:pPr>
              <w:spacing w:before="20" w:after="20"/>
              <w:rPr>
                <w:rFonts w:cs="Arial"/>
                <w:sz w:val="20"/>
                <w:szCs w:val="20"/>
              </w:rPr>
            </w:pPr>
            <w:r>
              <w:rPr>
                <w:sz w:val="20"/>
                <w:szCs w:val="20"/>
              </w:rPr>
              <w:t>Adopted all remaining measures for PG&amp;E</w:t>
            </w:r>
          </w:p>
        </w:tc>
      </w:tr>
    </w:tbl>
    <w:p w14:paraId="5C9CAB2A" w14:textId="77777777" w:rsidR="00085726" w:rsidRDefault="00085726" w:rsidP="00354BDC">
      <w:bookmarkStart w:id="73" w:name="_GoBack"/>
      <w:bookmarkEnd w:id="73"/>
    </w:p>
    <w:sectPr w:rsidR="00085726" w:rsidSect="005F505E">
      <w:headerReference w:type="default" r:id="rId16"/>
      <w:headerReference w:type="first" r:id="rId1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FA9AE" w14:textId="77777777" w:rsidR="001C330D" w:rsidRDefault="001C330D" w:rsidP="00A2690C">
      <w:r>
        <w:separator/>
      </w:r>
    </w:p>
    <w:p w14:paraId="07FD3CC6" w14:textId="77777777" w:rsidR="001C330D" w:rsidRDefault="001C330D"/>
  </w:endnote>
  <w:endnote w:type="continuationSeparator" w:id="0">
    <w:p w14:paraId="43E31922" w14:textId="77777777" w:rsidR="001C330D" w:rsidRDefault="001C330D" w:rsidP="00A2690C">
      <w:r>
        <w:continuationSeparator/>
      </w:r>
    </w:p>
    <w:p w14:paraId="7A480444" w14:textId="77777777" w:rsidR="001C330D" w:rsidRDefault="001C3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3029E2" w:rsidRDefault="003029E2"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5" name="Picture 5"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3029E2" w:rsidRPr="00B837C1" w:rsidRDefault="003029E2"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3029E2" w:rsidRDefault="003029E2"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6" name="Picture 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3029E2" w:rsidRPr="00B837C1" w:rsidRDefault="003029E2"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3029E2" w:rsidRDefault="003029E2"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3029E2" w:rsidRPr="005F505E" w:rsidRDefault="003029E2"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B3A78" w14:textId="77777777" w:rsidR="001C330D" w:rsidRDefault="001C330D" w:rsidP="00A2690C">
      <w:r>
        <w:separator/>
      </w:r>
    </w:p>
    <w:p w14:paraId="46BEDD18" w14:textId="77777777" w:rsidR="001C330D" w:rsidRDefault="001C330D"/>
  </w:footnote>
  <w:footnote w:type="continuationSeparator" w:id="0">
    <w:p w14:paraId="3771211E" w14:textId="77777777" w:rsidR="001C330D" w:rsidRDefault="001C330D" w:rsidP="00A2690C">
      <w:r>
        <w:continuationSeparator/>
      </w:r>
    </w:p>
    <w:p w14:paraId="0A103CCA" w14:textId="77777777" w:rsidR="001C330D" w:rsidRDefault="001C330D"/>
  </w:footnote>
  <w:footnote w:id="1">
    <w:p w14:paraId="7D127971" w14:textId="669E93B0" w:rsidR="003029E2" w:rsidRDefault="003029E2" w:rsidP="00972FA4">
      <w:pPr>
        <w:pStyle w:val="FootnoteText"/>
      </w:pPr>
      <w:r>
        <w:rPr>
          <w:rStyle w:val="FootnoteReference"/>
        </w:rPr>
        <w:footnoteRef/>
      </w:r>
      <w:r>
        <w:t xml:space="preserve"> </w:t>
      </w:r>
      <w:proofErr w:type="spellStart"/>
      <w:r>
        <w:t>Kallesoe</w:t>
      </w:r>
      <w:proofErr w:type="spellEnd"/>
      <w:r>
        <w:t xml:space="preserve">, C., N. </w:t>
      </w:r>
      <w:proofErr w:type="spellStart"/>
      <w:r>
        <w:t>Bidstrup</w:t>
      </w:r>
      <w:proofErr w:type="spellEnd"/>
      <w:r>
        <w:t xml:space="preserve">, M. Bayer. 2013. </w:t>
      </w:r>
      <w:r w:rsidRPr="004E747E">
        <w:rPr>
          <w:i/>
        </w:rPr>
        <w:t>Adaptive Selection of Control-Curves for Domestic Circulators.</w:t>
      </w:r>
    </w:p>
  </w:footnote>
  <w:footnote w:id="2">
    <w:p w14:paraId="218AFF8C" w14:textId="3F7E27BF" w:rsidR="003029E2" w:rsidRDefault="003029E2">
      <w:pPr>
        <w:pStyle w:val="FootnoteText"/>
      </w:pPr>
      <w:r>
        <w:rPr>
          <w:rStyle w:val="FootnoteReference"/>
        </w:rPr>
        <w:footnoteRef/>
      </w:r>
      <w:r>
        <w:t xml:space="preserve"> California Energy Commission (CEC). 2015. </w:t>
      </w:r>
      <w:r w:rsidRPr="00D30DEE">
        <w:rPr>
          <w:i/>
        </w:rPr>
        <w:t>2016 Building Energy Efficiency Standards for Residential and Nonresidential Buildings.</w:t>
      </w:r>
      <w:r>
        <w:t xml:space="preserve"> CEC-400-2015-037-CMF.</w:t>
      </w:r>
    </w:p>
  </w:footnote>
  <w:footnote w:id="3">
    <w:p w14:paraId="73EE462A" w14:textId="49F0CB07" w:rsidR="003029E2" w:rsidRDefault="003029E2">
      <w:pPr>
        <w:pStyle w:val="FootnoteText"/>
      </w:pPr>
      <w:r w:rsidRPr="00DC6BBC">
        <w:rPr>
          <w:rStyle w:val="FootnoteReference"/>
        </w:rPr>
        <w:footnoteRef/>
      </w:r>
      <w:r w:rsidRPr="00DC6BBC">
        <w:t xml:space="preserve"> This was confirmed by an </w:t>
      </w:r>
      <w:proofErr w:type="spellStart"/>
      <w:r w:rsidRPr="00DC6BBC">
        <w:t>EnergyCodeAce</w:t>
      </w:r>
      <w:proofErr w:type="spellEnd"/>
      <w:r w:rsidRPr="00DC6BBC">
        <w:t xml:space="preserve"> inquiry on February 20, 2017.</w:t>
      </w:r>
    </w:p>
  </w:footnote>
  <w:footnote w:id="4">
    <w:p w14:paraId="10988763" w14:textId="23A2E941" w:rsidR="003029E2" w:rsidRDefault="003029E2">
      <w:pPr>
        <w:pStyle w:val="FootnoteText"/>
      </w:pPr>
      <w:r>
        <w:rPr>
          <w:rStyle w:val="FootnoteReference"/>
        </w:rPr>
        <w:footnoteRef/>
      </w:r>
      <w:r>
        <w:t xml:space="preserve"> Based on the input from the Preliminary Review of the Energy Division of the California Public Utilities Commission (CPUC). </w:t>
      </w:r>
    </w:p>
    <w:p w14:paraId="3BDB2BBE" w14:textId="2B18A038" w:rsidR="003029E2" w:rsidRDefault="003029E2">
      <w:pPr>
        <w:pStyle w:val="FootnoteText"/>
      </w:pPr>
      <w:r w:rsidRPr="007B4D58">
        <w:t>California Public Utilities Commission (CPUC), Energy Division. 2017. “Preliminary Workpaper Review for PGECOPUM107 R0 High Performance Circulate (HPC) Pumps.”</w:t>
      </w:r>
      <w:r>
        <w:t xml:space="preserve"> </w:t>
      </w:r>
      <w:r w:rsidRPr="007B4D58">
        <w:t>May 1.</w:t>
      </w:r>
    </w:p>
  </w:footnote>
  <w:footnote w:id="5">
    <w:p w14:paraId="5CA3BB2E" w14:textId="77777777" w:rsidR="003029E2" w:rsidRDefault="003029E2" w:rsidP="001C5B62">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BA5E73">
        <w:rPr>
          <w:i/>
        </w:rPr>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6">
    <w:p w14:paraId="1050B6FF" w14:textId="77777777" w:rsidR="003029E2" w:rsidRDefault="003029E2" w:rsidP="001C5B62">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7">
    <w:p w14:paraId="6C30447F" w14:textId="5FC3E948" w:rsidR="003029E2" w:rsidRDefault="003029E2">
      <w:pPr>
        <w:pStyle w:val="FootnoteText"/>
        <w:rPr>
          <w:rFonts w:cs="Arial"/>
          <w:sz w:val="20"/>
          <w:szCs w:val="20"/>
        </w:rPr>
      </w:pPr>
      <w:r>
        <w:rPr>
          <w:rStyle w:val="FootnoteReference"/>
        </w:rPr>
        <w:footnoteRef/>
      </w:r>
      <w:r>
        <w:t xml:space="preserve"> </w:t>
      </w:r>
      <w:r w:rsidRPr="006247FD">
        <w:rPr>
          <w:rStyle w:val="eTRMFootnoteTextChar"/>
        </w:rPr>
        <w:t xml:space="preserve">The Efficiency Vermont HPCP program adopted an EUL of 20 years for the measure case brushless permanent magnet circulator </w:t>
      </w:r>
      <w:r>
        <w:rPr>
          <w:rStyle w:val="eTRMFootnoteTextChar"/>
        </w:rPr>
        <w:t xml:space="preserve">(BLPM) </w:t>
      </w:r>
      <w:r w:rsidRPr="006247FD">
        <w:rPr>
          <w:rStyle w:val="eTRMFootnoteTextChar"/>
        </w:rPr>
        <w:t>pump, and 15 years for the base case AC induction motor circulator pump.</w:t>
      </w:r>
      <w:r>
        <w:rPr>
          <w:rFonts w:cs="Arial"/>
          <w:sz w:val="20"/>
          <w:szCs w:val="20"/>
        </w:rPr>
        <w:t xml:space="preserve"> </w:t>
      </w:r>
      <w:r w:rsidRPr="00867056">
        <w:rPr>
          <w:rFonts w:cs="Arial"/>
          <w:szCs w:val="20"/>
        </w:rPr>
        <w:t>See:</w:t>
      </w:r>
    </w:p>
    <w:p w14:paraId="15FCC99D" w14:textId="3BAD78CC" w:rsidR="003029E2" w:rsidRDefault="003029E2">
      <w:pPr>
        <w:pStyle w:val="FootnoteText"/>
      </w:pPr>
      <w:r>
        <w:rPr>
          <w:rFonts w:cs="Arial"/>
        </w:rPr>
        <w:t xml:space="preserve">Efficiency Vermont. 2015. </w:t>
      </w:r>
      <w:r w:rsidRPr="00867056">
        <w:rPr>
          <w:rFonts w:cs="Arial"/>
          <w:i/>
        </w:rPr>
        <w:t>Technical Reference User Manual (TRM).</w:t>
      </w:r>
      <w:r>
        <w:rPr>
          <w:rFonts w:cs="Arial"/>
          <w:i/>
        </w:rPr>
        <w:t xml:space="preserve"> Measure Savings Algorithms and Cost Assumptions.</w:t>
      </w:r>
      <w:r>
        <w:rPr>
          <w:rFonts w:cs="Arial"/>
        </w:rPr>
        <w:t xml:space="preserve"> Page 28. </w:t>
      </w:r>
    </w:p>
  </w:footnote>
  <w:footnote w:id="8">
    <w:p w14:paraId="248A2E87" w14:textId="16B3744A" w:rsidR="003029E2" w:rsidRDefault="003029E2">
      <w:pPr>
        <w:pStyle w:val="FootnoteText"/>
      </w:pPr>
      <w:r>
        <w:rPr>
          <w:rStyle w:val="FootnoteReference"/>
        </w:rPr>
        <w:footnoteRef/>
      </w:r>
      <w:r>
        <w:t xml:space="preserve"> The source for this data/information is no longer available.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3029E2" w:rsidRPr="000220A0" w:rsidRDefault="003029E2"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3029E2" w:rsidRDefault="003029E2">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3029E2" w:rsidRDefault="00302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3029E2" w:rsidRDefault="003029E2" w:rsidP="00BD221D">
    <w:pPr>
      <w:jc w:val="center"/>
    </w:pPr>
  </w:p>
  <w:p w14:paraId="342310D5" w14:textId="5BACBCD8" w:rsidR="003029E2" w:rsidRDefault="003029E2" w:rsidP="00BD221D">
    <w:pPr>
      <w:jc w:val="center"/>
    </w:pPr>
    <w:r>
      <w:rPr>
        <w:noProof/>
      </w:rPr>
      <w:drawing>
        <wp:inline distT="0" distB="0" distL="0" distR="0" wp14:anchorId="4B2AF0A8" wp14:editId="7258E71E">
          <wp:extent cx="937307" cy="1405961"/>
          <wp:effectExtent l="0" t="0" r="2540" b="0"/>
          <wp:docPr id="7" name="Picture 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97B25" w14:textId="322BD728" w:rsidR="003029E2" w:rsidRDefault="003029E2">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t>Smart Pump, Residential</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3029E2" w:rsidRDefault="00302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12E41"/>
    <w:multiLevelType w:val="hybridMultilevel"/>
    <w:tmpl w:val="AEFE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B15F82"/>
    <w:multiLevelType w:val="hybridMultilevel"/>
    <w:tmpl w:val="A6E88E18"/>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7514E7"/>
    <w:multiLevelType w:val="hybridMultilevel"/>
    <w:tmpl w:val="4A96B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7815CA"/>
    <w:multiLevelType w:val="hybridMultilevel"/>
    <w:tmpl w:val="493275F8"/>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15:restartNumberingAfterBreak="0">
    <w:nsid w:val="2788363F"/>
    <w:multiLevelType w:val="hybridMultilevel"/>
    <w:tmpl w:val="88524454"/>
    <w:lvl w:ilvl="0" w:tplc="D5BAC996">
      <w:start w:val="1"/>
      <w:numFmt w:val="bullet"/>
      <w:lvlText w:val=""/>
      <w:lvlJc w:val="left"/>
      <w:pPr>
        <w:ind w:left="720" w:hanging="360"/>
      </w:pPr>
      <w:rPr>
        <w:rFonts w:ascii="Symbol" w:hAnsi="Symbol" w:hint="default"/>
        <w:color w:val="404040" w:themeColor="accent3"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4390F39"/>
    <w:multiLevelType w:val="hybridMultilevel"/>
    <w:tmpl w:val="8A58C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C5134"/>
    <w:multiLevelType w:val="hybridMultilevel"/>
    <w:tmpl w:val="03808FC0"/>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5CF457A3"/>
    <w:multiLevelType w:val="hybridMultilevel"/>
    <w:tmpl w:val="952A0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C07B80"/>
    <w:multiLevelType w:val="hybridMultilevel"/>
    <w:tmpl w:val="43AC7BFE"/>
    <w:lvl w:ilvl="0" w:tplc="1F661438">
      <w:start w:val="1"/>
      <w:numFmt w:val="bullet"/>
      <w:pStyle w:val="eTRMBulletedText"/>
      <w:lvlText w:val=""/>
      <w:lvlJc w:val="left"/>
      <w:pPr>
        <w:ind w:left="720" w:hanging="360"/>
      </w:pPr>
      <w:rPr>
        <w:rFonts w:ascii="Symbol" w:hAnsi="Symbol" w:hint="default"/>
        <w:color w:val="404040" w:themeColor="accent3" w:themeShade="80"/>
        <w:sz w:val="20"/>
      </w:rPr>
    </w:lvl>
    <w:lvl w:ilvl="1" w:tplc="E2765E2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EA0184"/>
    <w:multiLevelType w:val="hybridMultilevel"/>
    <w:tmpl w:val="CD66651A"/>
    <w:lvl w:ilvl="0" w:tplc="D5BAC996">
      <w:start w:val="1"/>
      <w:numFmt w:val="bullet"/>
      <w:lvlText w:val=""/>
      <w:lvlJc w:val="left"/>
      <w:pPr>
        <w:ind w:left="720" w:hanging="360"/>
      </w:pPr>
      <w:rPr>
        <w:rFonts w:ascii="Symbol" w:hAnsi="Symbol" w:hint="default"/>
        <w:color w:val="404040" w:themeColor="accent3"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2"/>
  </w:num>
  <w:num w:numId="2">
    <w:abstractNumId w:val="21"/>
  </w:num>
  <w:num w:numId="3">
    <w:abstractNumId w:val="24"/>
  </w:num>
  <w:num w:numId="4">
    <w:abstractNumId w:val="24"/>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6"/>
  </w:num>
  <w:num w:numId="8">
    <w:abstractNumId w:val="20"/>
  </w:num>
  <w:num w:numId="9">
    <w:abstractNumId w:val="0"/>
  </w:num>
  <w:num w:numId="10">
    <w:abstractNumId w:val="22"/>
  </w:num>
  <w:num w:numId="11">
    <w:abstractNumId w:val="10"/>
  </w:num>
  <w:num w:numId="12">
    <w:abstractNumId w:val="3"/>
  </w:num>
  <w:num w:numId="13">
    <w:abstractNumId w:val="19"/>
  </w:num>
  <w:num w:numId="14">
    <w:abstractNumId w:val="15"/>
  </w:num>
  <w:num w:numId="15">
    <w:abstractNumId w:val="5"/>
  </w:num>
  <w:num w:numId="16">
    <w:abstractNumId w:val="9"/>
  </w:num>
  <w:num w:numId="17">
    <w:abstractNumId w:val="14"/>
  </w:num>
  <w:num w:numId="18">
    <w:abstractNumId w:val="23"/>
  </w:num>
  <w:num w:numId="19">
    <w:abstractNumId w:val="16"/>
  </w:num>
  <w:num w:numId="20">
    <w:abstractNumId w:val="7"/>
  </w:num>
  <w:num w:numId="21">
    <w:abstractNumId w:val="18"/>
  </w:num>
  <w:num w:numId="22">
    <w:abstractNumId w:val="2"/>
  </w:num>
  <w:num w:numId="23">
    <w:abstractNumId w:val="8"/>
  </w:num>
  <w:num w:numId="2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9CB"/>
    <w:rsid w:val="00005B06"/>
    <w:rsid w:val="000063B0"/>
    <w:rsid w:val="00010F5A"/>
    <w:rsid w:val="000110D9"/>
    <w:rsid w:val="000111AF"/>
    <w:rsid w:val="00016928"/>
    <w:rsid w:val="000220A0"/>
    <w:rsid w:val="0002389A"/>
    <w:rsid w:val="000241C7"/>
    <w:rsid w:val="00026D58"/>
    <w:rsid w:val="000302DF"/>
    <w:rsid w:val="00031184"/>
    <w:rsid w:val="00037A06"/>
    <w:rsid w:val="00046BB0"/>
    <w:rsid w:val="00051DBB"/>
    <w:rsid w:val="00052C95"/>
    <w:rsid w:val="000530E4"/>
    <w:rsid w:val="0005587A"/>
    <w:rsid w:val="00060F2E"/>
    <w:rsid w:val="00061D34"/>
    <w:rsid w:val="000621A8"/>
    <w:rsid w:val="00065E54"/>
    <w:rsid w:val="000672E5"/>
    <w:rsid w:val="00074E3E"/>
    <w:rsid w:val="000767E9"/>
    <w:rsid w:val="0008108C"/>
    <w:rsid w:val="000841AA"/>
    <w:rsid w:val="00085726"/>
    <w:rsid w:val="00087FD4"/>
    <w:rsid w:val="00090BBF"/>
    <w:rsid w:val="000910B7"/>
    <w:rsid w:val="00091581"/>
    <w:rsid w:val="00094517"/>
    <w:rsid w:val="00096485"/>
    <w:rsid w:val="000978C8"/>
    <w:rsid w:val="000A270E"/>
    <w:rsid w:val="000A4D3A"/>
    <w:rsid w:val="000A62EF"/>
    <w:rsid w:val="000A66B7"/>
    <w:rsid w:val="000A7058"/>
    <w:rsid w:val="000B0F2F"/>
    <w:rsid w:val="000B139B"/>
    <w:rsid w:val="000B6004"/>
    <w:rsid w:val="000C36B4"/>
    <w:rsid w:val="000C72C1"/>
    <w:rsid w:val="000C7788"/>
    <w:rsid w:val="000F0695"/>
    <w:rsid w:val="000F146D"/>
    <w:rsid w:val="000F1833"/>
    <w:rsid w:val="000F2860"/>
    <w:rsid w:val="000F5E7E"/>
    <w:rsid w:val="00103399"/>
    <w:rsid w:val="00104933"/>
    <w:rsid w:val="00111A53"/>
    <w:rsid w:val="0011498C"/>
    <w:rsid w:val="00120592"/>
    <w:rsid w:val="001217DF"/>
    <w:rsid w:val="0012187D"/>
    <w:rsid w:val="00124BFE"/>
    <w:rsid w:val="00126809"/>
    <w:rsid w:val="00126B25"/>
    <w:rsid w:val="00127320"/>
    <w:rsid w:val="00131ABD"/>
    <w:rsid w:val="00131C5A"/>
    <w:rsid w:val="001376D7"/>
    <w:rsid w:val="00142D3C"/>
    <w:rsid w:val="001451AB"/>
    <w:rsid w:val="00145376"/>
    <w:rsid w:val="00151B9F"/>
    <w:rsid w:val="00154391"/>
    <w:rsid w:val="001564FC"/>
    <w:rsid w:val="00157985"/>
    <w:rsid w:val="00161DF1"/>
    <w:rsid w:val="001648F6"/>
    <w:rsid w:val="00164EF4"/>
    <w:rsid w:val="00171BB8"/>
    <w:rsid w:val="00174707"/>
    <w:rsid w:val="00177EB6"/>
    <w:rsid w:val="00180DAD"/>
    <w:rsid w:val="00181672"/>
    <w:rsid w:val="00181E01"/>
    <w:rsid w:val="001944A0"/>
    <w:rsid w:val="00195B03"/>
    <w:rsid w:val="00196649"/>
    <w:rsid w:val="001A11C7"/>
    <w:rsid w:val="001A4BE1"/>
    <w:rsid w:val="001A7A21"/>
    <w:rsid w:val="001B1D23"/>
    <w:rsid w:val="001C2A8A"/>
    <w:rsid w:val="001C2ACE"/>
    <w:rsid w:val="001C330D"/>
    <w:rsid w:val="001C5B62"/>
    <w:rsid w:val="001C6C9B"/>
    <w:rsid w:val="001C7134"/>
    <w:rsid w:val="001C7B11"/>
    <w:rsid w:val="001D2FA8"/>
    <w:rsid w:val="001D65A6"/>
    <w:rsid w:val="001D6F5E"/>
    <w:rsid w:val="001D7A57"/>
    <w:rsid w:val="001E19A3"/>
    <w:rsid w:val="001E4C3F"/>
    <w:rsid w:val="001E6273"/>
    <w:rsid w:val="001E7D80"/>
    <w:rsid w:val="001E7E45"/>
    <w:rsid w:val="001F00E9"/>
    <w:rsid w:val="001F5164"/>
    <w:rsid w:val="001F735E"/>
    <w:rsid w:val="002005A8"/>
    <w:rsid w:val="002006B6"/>
    <w:rsid w:val="00205BAF"/>
    <w:rsid w:val="00207F85"/>
    <w:rsid w:val="0021226A"/>
    <w:rsid w:val="00225142"/>
    <w:rsid w:val="00226694"/>
    <w:rsid w:val="00227BDD"/>
    <w:rsid w:val="00230788"/>
    <w:rsid w:val="002318A4"/>
    <w:rsid w:val="002335FF"/>
    <w:rsid w:val="00233D87"/>
    <w:rsid w:val="0023666C"/>
    <w:rsid w:val="00236692"/>
    <w:rsid w:val="00236E0A"/>
    <w:rsid w:val="002375AE"/>
    <w:rsid w:val="00237964"/>
    <w:rsid w:val="002434DE"/>
    <w:rsid w:val="00245AFF"/>
    <w:rsid w:val="0024628D"/>
    <w:rsid w:val="0024690E"/>
    <w:rsid w:val="002469C1"/>
    <w:rsid w:val="00251ABC"/>
    <w:rsid w:val="002524CF"/>
    <w:rsid w:val="00256400"/>
    <w:rsid w:val="0026381A"/>
    <w:rsid w:val="002652D2"/>
    <w:rsid w:val="00271B18"/>
    <w:rsid w:val="00276F9B"/>
    <w:rsid w:val="00277AA5"/>
    <w:rsid w:val="00280280"/>
    <w:rsid w:val="002942B0"/>
    <w:rsid w:val="0029555D"/>
    <w:rsid w:val="0029781E"/>
    <w:rsid w:val="00297EA4"/>
    <w:rsid w:val="002A1953"/>
    <w:rsid w:val="002A2471"/>
    <w:rsid w:val="002A2A94"/>
    <w:rsid w:val="002B107C"/>
    <w:rsid w:val="002B2C97"/>
    <w:rsid w:val="002B3BF4"/>
    <w:rsid w:val="002B6DED"/>
    <w:rsid w:val="002B6F2A"/>
    <w:rsid w:val="002C06FC"/>
    <w:rsid w:val="002C1117"/>
    <w:rsid w:val="002C67DF"/>
    <w:rsid w:val="002D0036"/>
    <w:rsid w:val="002D0DED"/>
    <w:rsid w:val="002D170C"/>
    <w:rsid w:val="002D17CE"/>
    <w:rsid w:val="002D29F8"/>
    <w:rsid w:val="002D40EE"/>
    <w:rsid w:val="002D4993"/>
    <w:rsid w:val="002D50E9"/>
    <w:rsid w:val="002D5CFA"/>
    <w:rsid w:val="002E1069"/>
    <w:rsid w:val="002F036B"/>
    <w:rsid w:val="002F6473"/>
    <w:rsid w:val="002F7E78"/>
    <w:rsid w:val="003029E2"/>
    <w:rsid w:val="00302A82"/>
    <w:rsid w:val="00304892"/>
    <w:rsid w:val="003103FB"/>
    <w:rsid w:val="00311A32"/>
    <w:rsid w:val="00313E1D"/>
    <w:rsid w:val="00315F63"/>
    <w:rsid w:val="003247FA"/>
    <w:rsid w:val="003250AB"/>
    <w:rsid w:val="003309DA"/>
    <w:rsid w:val="00333809"/>
    <w:rsid w:val="00336313"/>
    <w:rsid w:val="00337D1D"/>
    <w:rsid w:val="003401E0"/>
    <w:rsid w:val="00346EA6"/>
    <w:rsid w:val="0035060F"/>
    <w:rsid w:val="00352864"/>
    <w:rsid w:val="00354BDC"/>
    <w:rsid w:val="00362F9E"/>
    <w:rsid w:val="00363BE8"/>
    <w:rsid w:val="00370B5D"/>
    <w:rsid w:val="003721ED"/>
    <w:rsid w:val="00372F61"/>
    <w:rsid w:val="00380CFC"/>
    <w:rsid w:val="00381A32"/>
    <w:rsid w:val="00385069"/>
    <w:rsid w:val="00387072"/>
    <w:rsid w:val="00392097"/>
    <w:rsid w:val="00392684"/>
    <w:rsid w:val="00394AB2"/>
    <w:rsid w:val="003A32FD"/>
    <w:rsid w:val="003B0C06"/>
    <w:rsid w:val="003B63FD"/>
    <w:rsid w:val="003B7610"/>
    <w:rsid w:val="003C0661"/>
    <w:rsid w:val="003C2CC3"/>
    <w:rsid w:val="003C7721"/>
    <w:rsid w:val="003D1FB8"/>
    <w:rsid w:val="003D7104"/>
    <w:rsid w:val="003E06DB"/>
    <w:rsid w:val="003E2013"/>
    <w:rsid w:val="003E5605"/>
    <w:rsid w:val="003F21D2"/>
    <w:rsid w:val="003F269E"/>
    <w:rsid w:val="003F4964"/>
    <w:rsid w:val="003F65F3"/>
    <w:rsid w:val="00401C43"/>
    <w:rsid w:val="004046FF"/>
    <w:rsid w:val="00410790"/>
    <w:rsid w:val="00411EF4"/>
    <w:rsid w:val="004133BB"/>
    <w:rsid w:val="004142EF"/>
    <w:rsid w:val="00420958"/>
    <w:rsid w:val="00420EF1"/>
    <w:rsid w:val="00421920"/>
    <w:rsid w:val="00423D33"/>
    <w:rsid w:val="004249A0"/>
    <w:rsid w:val="0043155E"/>
    <w:rsid w:val="00432D49"/>
    <w:rsid w:val="004336BB"/>
    <w:rsid w:val="004339EA"/>
    <w:rsid w:val="00433E8F"/>
    <w:rsid w:val="00434145"/>
    <w:rsid w:val="0044577B"/>
    <w:rsid w:val="00451588"/>
    <w:rsid w:val="004517F1"/>
    <w:rsid w:val="004556DF"/>
    <w:rsid w:val="00457B33"/>
    <w:rsid w:val="00461AE3"/>
    <w:rsid w:val="00462BB6"/>
    <w:rsid w:val="00464A63"/>
    <w:rsid w:val="00466DD6"/>
    <w:rsid w:val="00470670"/>
    <w:rsid w:val="00472286"/>
    <w:rsid w:val="00474D7C"/>
    <w:rsid w:val="00474E4C"/>
    <w:rsid w:val="00475A47"/>
    <w:rsid w:val="00475D57"/>
    <w:rsid w:val="0048155D"/>
    <w:rsid w:val="00484536"/>
    <w:rsid w:val="00486585"/>
    <w:rsid w:val="00497289"/>
    <w:rsid w:val="004A06AE"/>
    <w:rsid w:val="004A510D"/>
    <w:rsid w:val="004B06E3"/>
    <w:rsid w:val="004B35DC"/>
    <w:rsid w:val="004B5888"/>
    <w:rsid w:val="004B6780"/>
    <w:rsid w:val="004C2A36"/>
    <w:rsid w:val="004C3663"/>
    <w:rsid w:val="004C3FBD"/>
    <w:rsid w:val="004C57EC"/>
    <w:rsid w:val="004C69F2"/>
    <w:rsid w:val="004D0C20"/>
    <w:rsid w:val="004D1461"/>
    <w:rsid w:val="004D26D0"/>
    <w:rsid w:val="004D3A71"/>
    <w:rsid w:val="004D3CE4"/>
    <w:rsid w:val="004D40D3"/>
    <w:rsid w:val="004D7E51"/>
    <w:rsid w:val="004E04EE"/>
    <w:rsid w:val="004E1B37"/>
    <w:rsid w:val="004E2704"/>
    <w:rsid w:val="004E3F72"/>
    <w:rsid w:val="004E4D01"/>
    <w:rsid w:val="004E747E"/>
    <w:rsid w:val="004F705B"/>
    <w:rsid w:val="00500964"/>
    <w:rsid w:val="00500C66"/>
    <w:rsid w:val="00505B94"/>
    <w:rsid w:val="0051249A"/>
    <w:rsid w:val="005130EC"/>
    <w:rsid w:val="005146E6"/>
    <w:rsid w:val="0053469E"/>
    <w:rsid w:val="00535A42"/>
    <w:rsid w:val="00537374"/>
    <w:rsid w:val="0053748E"/>
    <w:rsid w:val="005449C6"/>
    <w:rsid w:val="005555BB"/>
    <w:rsid w:val="0056177B"/>
    <w:rsid w:val="005622C9"/>
    <w:rsid w:val="00566B42"/>
    <w:rsid w:val="0057165C"/>
    <w:rsid w:val="00571D95"/>
    <w:rsid w:val="005722C6"/>
    <w:rsid w:val="0057635D"/>
    <w:rsid w:val="005802FF"/>
    <w:rsid w:val="00580FF8"/>
    <w:rsid w:val="00585C8D"/>
    <w:rsid w:val="005862CC"/>
    <w:rsid w:val="005911FE"/>
    <w:rsid w:val="0059312F"/>
    <w:rsid w:val="00593220"/>
    <w:rsid w:val="00593411"/>
    <w:rsid w:val="00595758"/>
    <w:rsid w:val="00596081"/>
    <w:rsid w:val="005A3943"/>
    <w:rsid w:val="005A51E6"/>
    <w:rsid w:val="005A632E"/>
    <w:rsid w:val="005A74DC"/>
    <w:rsid w:val="005B15DB"/>
    <w:rsid w:val="005B25B7"/>
    <w:rsid w:val="005B7418"/>
    <w:rsid w:val="005C03A9"/>
    <w:rsid w:val="005C2BFC"/>
    <w:rsid w:val="005C324B"/>
    <w:rsid w:val="005C43E2"/>
    <w:rsid w:val="005C454A"/>
    <w:rsid w:val="005C74C9"/>
    <w:rsid w:val="005D1B14"/>
    <w:rsid w:val="005D257B"/>
    <w:rsid w:val="005D2DD0"/>
    <w:rsid w:val="005E1D5C"/>
    <w:rsid w:val="005E25DC"/>
    <w:rsid w:val="005E52AE"/>
    <w:rsid w:val="005E5607"/>
    <w:rsid w:val="005E567C"/>
    <w:rsid w:val="005F505E"/>
    <w:rsid w:val="00602976"/>
    <w:rsid w:val="0060388D"/>
    <w:rsid w:val="00604231"/>
    <w:rsid w:val="006068F3"/>
    <w:rsid w:val="00610C2F"/>
    <w:rsid w:val="0062187C"/>
    <w:rsid w:val="006239BC"/>
    <w:rsid w:val="006247FD"/>
    <w:rsid w:val="00625805"/>
    <w:rsid w:val="00627AC4"/>
    <w:rsid w:val="0063253B"/>
    <w:rsid w:val="006363C8"/>
    <w:rsid w:val="00637AB8"/>
    <w:rsid w:val="0064370D"/>
    <w:rsid w:val="00643771"/>
    <w:rsid w:val="00644946"/>
    <w:rsid w:val="00646AB8"/>
    <w:rsid w:val="00647BD9"/>
    <w:rsid w:val="00654A3E"/>
    <w:rsid w:val="006624A7"/>
    <w:rsid w:val="0066515F"/>
    <w:rsid w:val="006663E9"/>
    <w:rsid w:val="006668AF"/>
    <w:rsid w:val="00670A7E"/>
    <w:rsid w:val="0067278C"/>
    <w:rsid w:val="00676DAA"/>
    <w:rsid w:val="00686439"/>
    <w:rsid w:val="00697A88"/>
    <w:rsid w:val="00697CF1"/>
    <w:rsid w:val="006A6051"/>
    <w:rsid w:val="006B31D9"/>
    <w:rsid w:val="006C0102"/>
    <w:rsid w:val="006C07D4"/>
    <w:rsid w:val="006C2673"/>
    <w:rsid w:val="006C41AD"/>
    <w:rsid w:val="006D04BD"/>
    <w:rsid w:val="006D0D0D"/>
    <w:rsid w:val="006D47EF"/>
    <w:rsid w:val="006D5F2C"/>
    <w:rsid w:val="006D6644"/>
    <w:rsid w:val="006D7180"/>
    <w:rsid w:val="006E433B"/>
    <w:rsid w:val="006E7899"/>
    <w:rsid w:val="006E7C78"/>
    <w:rsid w:val="006F27F4"/>
    <w:rsid w:val="006F2E23"/>
    <w:rsid w:val="006F4C30"/>
    <w:rsid w:val="006F54E3"/>
    <w:rsid w:val="006F7024"/>
    <w:rsid w:val="00703A7C"/>
    <w:rsid w:val="007076DA"/>
    <w:rsid w:val="00707860"/>
    <w:rsid w:val="00710B85"/>
    <w:rsid w:val="00716354"/>
    <w:rsid w:val="007207BF"/>
    <w:rsid w:val="00725CB0"/>
    <w:rsid w:val="0073517D"/>
    <w:rsid w:val="0073685C"/>
    <w:rsid w:val="00737EA5"/>
    <w:rsid w:val="007400AE"/>
    <w:rsid w:val="00741F3E"/>
    <w:rsid w:val="00742995"/>
    <w:rsid w:val="00742F88"/>
    <w:rsid w:val="00743AA8"/>
    <w:rsid w:val="0075082F"/>
    <w:rsid w:val="00750840"/>
    <w:rsid w:val="00757617"/>
    <w:rsid w:val="0076321E"/>
    <w:rsid w:val="00763AD8"/>
    <w:rsid w:val="00765016"/>
    <w:rsid w:val="00767EDE"/>
    <w:rsid w:val="0077100C"/>
    <w:rsid w:val="00776C39"/>
    <w:rsid w:val="00781D00"/>
    <w:rsid w:val="007900F3"/>
    <w:rsid w:val="00791B69"/>
    <w:rsid w:val="0079498E"/>
    <w:rsid w:val="00796F10"/>
    <w:rsid w:val="007A6AB5"/>
    <w:rsid w:val="007A6C67"/>
    <w:rsid w:val="007B14D9"/>
    <w:rsid w:val="007B2B46"/>
    <w:rsid w:val="007B30F2"/>
    <w:rsid w:val="007B377F"/>
    <w:rsid w:val="007B4274"/>
    <w:rsid w:val="007B4D58"/>
    <w:rsid w:val="007B5117"/>
    <w:rsid w:val="007B599D"/>
    <w:rsid w:val="007B5EEF"/>
    <w:rsid w:val="007B649E"/>
    <w:rsid w:val="007B6650"/>
    <w:rsid w:val="007B6A74"/>
    <w:rsid w:val="007C2DC8"/>
    <w:rsid w:val="007D097E"/>
    <w:rsid w:val="007D230B"/>
    <w:rsid w:val="007D2D80"/>
    <w:rsid w:val="007D3681"/>
    <w:rsid w:val="007D3824"/>
    <w:rsid w:val="007D49A1"/>
    <w:rsid w:val="007D59DD"/>
    <w:rsid w:val="007E1F66"/>
    <w:rsid w:val="007E2CB5"/>
    <w:rsid w:val="007E4C10"/>
    <w:rsid w:val="007E6501"/>
    <w:rsid w:val="007E6C25"/>
    <w:rsid w:val="007F32D7"/>
    <w:rsid w:val="007F4F97"/>
    <w:rsid w:val="007F631F"/>
    <w:rsid w:val="007F669E"/>
    <w:rsid w:val="008000AC"/>
    <w:rsid w:val="00801632"/>
    <w:rsid w:val="00804D22"/>
    <w:rsid w:val="0080520B"/>
    <w:rsid w:val="00807B3E"/>
    <w:rsid w:val="00810D4A"/>
    <w:rsid w:val="00812F82"/>
    <w:rsid w:val="0081317E"/>
    <w:rsid w:val="008146FD"/>
    <w:rsid w:val="00814F34"/>
    <w:rsid w:val="00816AAB"/>
    <w:rsid w:val="00820402"/>
    <w:rsid w:val="008243B2"/>
    <w:rsid w:val="00824F08"/>
    <w:rsid w:val="00825453"/>
    <w:rsid w:val="008310DF"/>
    <w:rsid w:val="00831105"/>
    <w:rsid w:val="0083507F"/>
    <w:rsid w:val="00835487"/>
    <w:rsid w:val="00840AC0"/>
    <w:rsid w:val="00844A4B"/>
    <w:rsid w:val="00854676"/>
    <w:rsid w:val="00865296"/>
    <w:rsid w:val="00867056"/>
    <w:rsid w:val="00867086"/>
    <w:rsid w:val="00867BA1"/>
    <w:rsid w:val="00874663"/>
    <w:rsid w:val="00881B95"/>
    <w:rsid w:val="008831CA"/>
    <w:rsid w:val="0089272A"/>
    <w:rsid w:val="00894890"/>
    <w:rsid w:val="00897247"/>
    <w:rsid w:val="008B08F0"/>
    <w:rsid w:val="008B2592"/>
    <w:rsid w:val="008B262C"/>
    <w:rsid w:val="008B2DAD"/>
    <w:rsid w:val="008B6FC8"/>
    <w:rsid w:val="008C19E9"/>
    <w:rsid w:val="008C26E9"/>
    <w:rsid w:val="008C774E"/>
    <w:rsid w:val="008D4652"/>
    <w:rsid w:val="008D692A"/>
    <w:rsid w:val="008D6D9D"/>
    <w:rsid w:val="008F1691"/>
    <w:rsid w:val="008F22E2"/>
    <w:rsid w:val="008F5698"/>
    <w:rsid w:val="008F5D95"/>
    <w:rsid w:val="008F639E"/>
    <w:rsid w:val="00901EF2"/>
    <w:rsid w:val="00903EB6"/>
    <w:rsid w:val="00904906"/>
    <w:rsid w:val="0090702F"/>
    <w:rsid w:val="009079D0"/>
    <w:rsid w:val="00913D0A"/>
    <w:rsid w:val="009147BA"/>
    <w:rsid w:val="009148A1"/>
    <w:rsid w:val="009156B2"/>
    <w:rsid w:val="00917F14"/>
    <w:rsid w:val="00924972"/>
    <w:rsid w:val="00931B70"/>
    <w:rsid w:val="00932E1E"/>
    <w:rsid w:val="00934068"/>
    <w:rsid w:val="00937854"/>
    <w:rsid w:val="00943332"/>
    <w:rsid w:val="009469E0"/>
    <w:rsid w:val="00951C4D"/>
    <w:rsid w:val="00952E03"/>
    <w:rsid w:val="0095396E"/>
    <w:rsid w:val="009547E2"/>
    <w:rsid w:val="00956488"/>
    <w:rsid w:val="00956F5F"/>
    <w:rsid w:val="009610DC"/>
    <w:rsid w:val="00967371"/>
    <w:rsid w:val="00967D84"/>
    <w:rsid w:val="0097154F"/>
    <w:rsid w:val="00971B8D"/>
    <w:rsid w:val="00972FA4"/>
    <w:rsid w:val="00975938"/>
    <w:rsid w:val="00983D69"/>
    <w:rsid w:val="00985996"/>
    <w:rsid w:val="00986978"/>
    <w:rsid w:val="00994F74"/>
    <w:rsid w:val="0099563A"/>
    <w:rsid w:val="009A13F4"/>
    <w:rsid w:val="009A44BE"/>
    <w:rsid w:val="009B029F"/>
    <w:rsid w:val="009B27F8"/>
    <w:rsid w:val="009B3823"/>
    <w:rsid w:val="009B4A8B"/>
    <w:rsid w:val="009B74FB"/>
    <w:rsid w:val="009C0660"/>
    <w:rsid w:val="009C31A4"/>
    <w:rsid w:val="009C4845"/>
    <w:rsid w:val="009C7314"/>
    <w:rsid w:val="009D2442"/>
    <w:rsid w:val="009D5AAD"/>
    <w:rsid w:val="009D5D9F"/>
    <w:rsid w:val="009D7F4D"/>
    <w:rsid w:val="009E0FA2"/>
    <w:rsid w:val="009E2244"/>
    <w:rsid w:val="009F57FD"/>
    <w:rsid w:val="009F7F9F"/>
    <w:rsid w:val="00A01E02"/>
    <w:rsid w:val="00A02E26"/>
    <w:rsid w:val="00A0302D"/>
    <w:rsid w:val="00A05BA0"/>
    <w:rsid w:val="00A159C9"/>
    <w:rsid w:val="00A167FB"/>
    <w:rsid w:val="00A21B70"/>
    <w:rsid w:val="00A21D02"/>
    <w:rsid w:val="00A21DDB"/>
    <w:rsid w:val="00A237E6"/>
    <w:rsid w:val="00A23CF6"/>
    <w:rsid w:val="00A2690C"/>
    <w:rsid w:val="00A2792F"/>
    <w:rsid w:val="00A303E4"/>
    <w:rsid w:val="00A30970"/>
    <w:rsid w:val="00A315E4"/>
    <w:rsid w:val="00A31D96"/>
    <w:rsid w:val="00A31FEE"/>
    <w:rsid w:val="00A33722"/>
    <w:rsid w:val="00A33C55"/>
    <w:rsid w:val="00A406C3"/>
    <w:rsid w:val="00A42875"/>
    <w:rsid w:val="00A44DC1"/>
    <w:rsid w:val="00A47A98"/>
    <w:rsid w:val="00A47EE7"/>
    <w:rsid w:val="00A50B43"/>
    <w:rsid w:val="00A51C87"/>
    <w:rsid w:val="00A54197"/>
    <w:rsid w:val="00A604ED"/>
    <w:rsid w:val="00A61821"/>
    <w:rsid w:val="00A61E3A"/>
    <w:rsid w:val="00A631BA"/>
    <w:rsid w:val="00A67CA5"/>
    <w:rsid w:val="00A75CCD"/>
    <w:rsid w:val="00A80506"/>
    <w:rsid w:val="00A806AE"/>
    <w:rsid w:val="00A8118F"/>
    <w:rsid w:val="00A83458"/>
    <w:rsid w:val="00A86C41"/>
    <w:rsid w:val="00A90148"/>
    <w:rsid w:val="00A917F8"/>
    <w:rsid w:val="00A92548"/>
    <w:rsid w:val="00AA0D8C"/>
    <w:rsid w:val="00AA25BC"/>
    <w:rsid w:val="00AA3077"/>
    <w:rsid w:val="00AA3E2A"/>
    <w:rsid w:val="00AA46AF"/>
    <w:rsid w:val="00AA5AE7"/>
    <w:rsid w:val="00AB4E9E"/>
    <w:rsid w:val="00AB6C99"/>
    <w:rsid w:val="00AC11D5"/>
    <w:rsid w:val="00AC15E5"/>
    <w:rsid w:val="00AC22BB"/>
    <w:rsid w:val="00AC4080"/>
    <w:rsid w:val="00AC5A6D"/>
    <w:rsid w:val="00AC5D73"/>
    <w:rsid w:val="00AC73AD"/>
    <w:rsid w:val="00AC7BED"/>
    <w:rsid w:val="00AC7CE2"/>
    <w:rsid w:val="00AD067D"/>
    <w:rsid w:val="00AD705A"/>
    <w:rsid w:val="00AD78F9"/>
    <w:rsid w:val="00AE008D"/>
    <w:rsid w:val="00AE30E0"/>
    <w:rsid w:val="00AE346F"/>
    <w:rsid w:val="00AE3AD5"/>
    <w:rsid w:val="00AF20F7"/>
    <w:rsid w:val="00AF2329"/>
    <w:rsid w:val="00AF3660"/>
    <w:rsid w:val="00AF7A20"/>
    <w:rsid w:val="00B002A4"/>
    <w:rsid w:val="00B01312"/>
    <w:rsid w:val="00B02D98"/>
    <w:rsid w:val="00B15D2F"/>
    <w:rsid w:val="00B16399"/>
    <w:rsid w:val="00B1760F"/>
    <w:rsid w:val="00B1766D"/>
    <w:rsid w:val="00B2586D"/>
    <w:rsid w:val="00B25AE4"/>
    <w:rsid w:val="00B265C9"/>
    <w:rsid w:val="00B26909"/>
    <w:rsid w:val="00B27664"/>
    <w:rsid w:val="00B31169"/>
    <w:rsid w:val="00B31828"/>
    <w:rsid w:val="00B42BEE"/>
    <w:rsid w:val="00B452B7"/>
    <w:rsid w:val="00B458E3"/>
    <w:rsid w:val="00B518FF"/>
    <w:rsid w:val="00B54F17"/>
    <w:rsid w:val="00B55E56"/>
    <w:rsid w:val="00B561EE"/>
    <w:rsid w:val="00B57D47"/>
    <w:rsid w:val="00B6210E"/>
    <w:rsid w:val="00B632E3"/>
    <w:rsid w:val="00B64DC8"/>
    <w:rsid w:val="00B70688"/>
    <w:rsid w:val="00B7441D"/>
    <w:rsid w:val="00B75FD9"/>
    <w:rsid w:val="00B77091"/>
    <w:rsid w:val="00B828A7"/>
    <w:rsid w:val="00B837C1"/>
    <w:rsid w:val="00B841E0"/>
    <w:rsid w:val="00B860BA"/>
    <w:rsid w:val="00B865F5"/>
    <w:rsid w:val="00B870A0"/>
    <w:rsid w:val="00B91DFE"/>
    <w:rsid w:val="00B966E9"/>
    <w:rsid w:val="00B96BC7"/>
    <w:rsid w:val="00B97229"/>
    <w:rsid w:val="00BA0258"/>
    <w:rsid w:val="00BA08A3"/>
    <w:rsid w:val="00BA2AC9"/>
    <w:rsid w:val="00BA3D7D"/>
    <w:rsid w:val="00BA5AB3"/>
    <w:rsid w:val="00BB227E"/>
    <w:rsid w:val="00BB4F22"/>
    <w:rsid w:val="00BB55D1"/>
    <w:rsid w:val="00BB5AE2"/>
    <w:rsid w:val="00BB7E3D"/>
    <w:rsid w:val="00BC3CD1"/>
    <w:rsid w:val="00BC4330"/>
    <w:rsid w:val="00BC5EC6"/>
    <w:rsid w:val="00BC5F0E"/>
    <w:rsid w:val="00BD2211"/>
    <w:rsid w:val="00BD221D"/>
    <w:rsid w:val="00BD3E65"/>
    <w:rsid w:val="00BD4EB5"/>
    <w:rsid w:val="00BD5934"/>
    <w:rsid w:val="00BD67CA"/>
    <w:rsid w:val="00BD7785"/>
    <w:rsid w:val="00BE3B2E"/>
    <w:rsid w:val="00BE7DE8"/>
    <w:rsid w:val="00BF1CBD"/>
    <w:rsid w:val="00BF52C4"/>
    <w:rsid w:val="00C006BE"/>
    <w:rsid w:val="00C05B8E"/>
    <w:rsid w:val="00C1063D"/>
    <w:rsid w:val="00C13902"/>
    <w:rsid w:val="00C15E0E"/>
    <w:rsid w:val="00C23FB5"/>
    <w:rsid w:val="00C24A1A"/>
    <w:rsid w:val="00C331BB"/>
    <w:rsid w:val="00C41A08"/>
    <w:rsid w:val="00C41F87"/>
    <w:rsid w:val="00C422B9"/>
    <w:rsid w:val="00C4240A"/>
    <w:rsid w:val="00C4241E"/>
    <w:rsid w:val="00C43625"/>
    <w:rsid w:val="00C50EFE"/>
    <w:rsid w:val="00C615A3"/>
    <w:rsid w:val="00C6198D"/>
    <w:rsid w:val="00C635DA"/>
    <w:rsid w:val="00C639E7"/>
    <w:rsid w:val="00C659BE"/>
    <w:rsid w:val="00C80300"/>
    <w:rsid w:val="00C82307"/>
    <w:rsid w:val="00C8613B"/>
    <w:rsid w:val="00C900DE"/>
    <w:rsid w:val="00C92622"/>
    <w:rsid w:val="00C96C70"/>
    <w:rsid w:val="00C97228"/>
    <w:rsid w:val="00C9780D"/>
    <w:rsid w:val="00CA02DA"/>
    <w:rsid w:val="00CA1A54"/>
    <w:rsid w:val="00CA1CB3"/>
    <w:rsid w:val="00CA4E77"/>
    <w:rsid w:val="00CA66EC"/>
    <w:rsid w:val="00CB27C3"/>
    <w:rsid w:val="00CB71EA"/>
    <w:rsid w:val="00CC46B2"/>
    <w:rsid w:val="00CC5718"/>
    <w:rsid w:val="00CD020C"/>
    <w:rsid w:val="00CD1352"/>
    <w:rsid w:val="00CD1CBE"/>
    <w:rsid w:val="00CD1E3E"/>
    <w:rsid w:val="00CD32E2"/>
    <w:rsid w:val="00CD33E8"/>
    <w:rsid w:val="00CD4B0B"/>
    <w:rsid w:val="00CD6698"/>
    <w:rsid w:val="00CE1E5B"/>
    <w:rsid w:val="00CE7BD1"/>
    <w:rsid w:val="00CF1D92"/>
    <w:rsid w:val="00CF2D92"/>
    <w:rsid w:val="00CF35ED"/>
    <w:rsid w:val="00CF5D91"/>
    <w:rsid w:val="00D0025C"/>
    <w:rsid w:val="00D004FB"/>
    <w:rsid w:val="00D02BBC"/>
    <w:rsid w:val="00D02C36"/>
    <w:rsid w:val="00D12172"/>
    <w:rsid w:val="00D12B8C"/>
    <w:rsid w:val="00D200F6"/>
    <w:rsid w:val="00D207DF"/>
    <w:rsid w:val="00D21646"/>
    <w:rsid w:val="00D25441"/>
    <w:rsid w:val="00D33BF3"/>
    <w:rsid w:val="00D36A3A"/>
    <w:rsid w:val="00D454F2"/>
    <w:rsid w:val="00D46FE2"/>
    <w:rsid w:val="00D47CE9"/>
    <w:rsid w:val="00D52995"/>
    <w:rsid w:val="00D552C9"/>
    <w:rsid w:val="00D72ADE"/>
    <w:rsid w:val="00D75233"/>
    <w:rsid w:val="00D7728F"/>
    <w:rsid w:val="00D77696"/>
    <w:rsid w:val="00D81CC4"/>
    <w:rsid w:val="00D9765E"/>
    <w:rsid w:val="00DA4591"/>
    <w:rsid w:val="00DA6430"/>
    <w:rsid w:val="00DA681A"/>
    <w:rsid w:val="00DB63BE"/>
    <w:rsid w:val="00DB63DB"/>
    <w:rsid w:val="00DB7824"/>
    <w:rsid w:val="00DC308E"/>
    <w:rsid w:val="00DC6BBC"/>
    <w:rsid w:val="00DC6C76"/>
    <w:rsid w:val="00DC7F73"/>
    <w:rsid w:val="00DE191A"/>
    <w:rsid w:val="00DE1A0F"/>
    <w:rsid w:val="00DE1BDE"/>
    <w:rsid w:val="00DE3123"/>
    <w:rsid w:val="00DE339F"/>
    <w:rsid w:val="00DF1535"/>
    <w:rsid w:val="00DF53F5"/>
    <w:rsid w:val="00DF61FD"/>
    <w:rsid w:val="00DF6D25"/>
    <w:rsid w:val="00E00FE3"/>
    <w:rsid w:val="00E03398"/>
    <w:rsid w:val="00E03C6D"/>
    <w:rsid w:val="00E11EE3"/>
    <w:rsid w:val="00E135F9"/>
    <w:rsid w:val="00E14349"/>
    <w:rsid w:val="00E20C28"/>
    <w:rsid w:val="00E22A77"/>
    <w:rsid w:val="00E22E84"/>
    <w:rsid w:val="00E24071"/>
    <w:rsid w:val="00E24B18"/>
    <w:rsid w:val="00E3016C"/>
    <w:rsid w:val="00E32649"/>
    <w:rsid w:val="00E348BC"/>
    <w:rsid w:val="00E4307D"/>
    <w:rsid w:val="00E4318F"/>
    <w:rsid w:val="00E4392E"/>
    <w:rsid w:val="00E519B6"/>
    <w:rsid w:val="00E51D92"/>
    <w:rsid w:val="00E530DE"/>
    <w:rsid w:val="00E54395"/>
    <w:rsid w:val="00E54741"/>
    <w:rsid w:val="00E56375"/>
    <w:rsid w:val="00E568E5"/>
    <w:rsid w:val="00E57AAD"/>
    <w:rsid w:val="00E61866"/>
    <w:rsid w:val="00E6453F"/>
    <w:rsid w:val="00E659EF"/>
    <w:rsid w:val="00E70CBD"/>
    <w:rsid w:val="00E717E8"/>
    <w:rsid w:val="00E72BAF"/>
    <w:rsid w:val="00E73D81"/>
    <w:rsid w:val="00E754F4"/>
    <w:rsid w:val="00E83AF1"/>
    <w:rsid w:val="00E865D1"/>
    <w:rsid w:val="00E92657"/>
    <w:rsid w:val="00E93A97"/>
    <w:rsid w:val="00EA057C"/>
    <w:rsid w:val="00EA2D3D"/>
    <w:rsid w:val="00EA5B84"/>
    <w:rsid w:val="00EB20F9"/>
    <w:rsid w:val="00EB24EB"/>
    <w:rsid w:val="00EB34AF"/>
    <w:rsid w:val="00EC21BF"/>
    <w:rsid w:val="00ED06CC"/>
    <w:rsid w:val="00ED2C8E"/>
    <w:rsid w:val="00ED379E"/>
    <w:rsid w:val="00ED7680"/>
    <w:rsid w:val="00EE0424"/>
    <w:rsid w:val="00EE0D47"/>
    <w:rsid w:val="00EE5358"/>
    <w:rsid w:val="00EE79F2"/>
    <w:rsid w:val="00EF29C6"/>
    <w:rsid w:val="00EF4990"/>
    <w:rsid w:val="00EF54D8"/>
    <w:rsid w:val="00EF71E9"/>
    <w:rsid w:val="00F006D2"/>
    <w:rsid w:val="00F00BD1"/>
    <w:rsid w:val="00F01FD9"/>
    <w:rsid w:val="00F044BB"/>
    <w:rsid w:val="00F04B07"/>
    <w:rsid w:val="00F05BA8"/>
    <w:rsid w:val="00F16F13"/>
    <w:rsid w:val="00F219C3"/>
    <w:rsid w:val="00F229B6"/>
    <w:rsid w:val="00F23E9A"/>
    <w:rsid w:val="00F242D9"/>
    <w:rsid w:val="00F350CD"/>
    <w:rsid w:val="00F3715D"/>
    <w:rsid w:val="00F44B62"/>
    <w:rsid w:val="00F5072C"/>
    <w:rsid w:val="00F51CBF"/>
    <w:rsid w:val="00F526D5"/>
    <w:rsid w:val="00F5411D"/>
    <w:rsid w:val="00F56D2B"/>
    <w:rsid w:val="00F56DFB"/>
    <w:rsid w:val="00F57D2D"/>
    <w:rsid w:val="00F606D8"/>
    <w:rsid w:val="00F62A49"/>
    <w:rsid w:val="00F64F0D"/>
    <w:rsid w:val="00F66C96"/>
    <w:rsid w:val="00F67E87"/>
    <w:rsid w:val="00F7026A"/>
    <w:rsid w:val="00F71826"/>
    <w:rsid w:val="00F72B45"/>
    <w:rsid w:val="00F73B00"/>
    <w:rsid w:val="00F84737"/>
    <w:rsid w:val="00F86418"/>
    <w:rsid w:val="00F87B69"/>
    <w:rsid w:val="00F87FD0"/>
    <w:rsid w:val="00F90C95"/>
    <w:rsid w:val="00F9103E"/>
    <w:rsid w:val="00F91597"/>
    <w:rsid w:val="00F95923"/>
    <w:rsid w:val="00F96A39"/>
    <w:rsid w:val="00F96DB3"/>
    <w:rsid w:val="00F97463"/>
    <w:rsid w:val="00FA4DC6"/>
    <w:rsid w:val="00FA5623"/>
    <w:rsid w:val="00FA5D99"/>
    <w:rsid w:val="00FB030E"/>
    <w:rsid w:val="00FB4934"/>
    <w:rsid w:val="00FB571F"/>
    <w:rsid w:val="00FB6050"/>
    <w:rsid w:val="00FC42BA"/>
    <w:rsid w:val="00FC5FA4"/>
    <w:rsid w:val="00FC6166"/>
    <w:rsid w:val="00FC77BB"/>
    <w:rsid w:val="00FD0586"/>
    <w:rsid w:val="00FD08C1"/>
    <w:rsid w:val="00FD2C54"/>
    <w:rsid w:val="00FD7A7A"/>
    <w:rsid w:val="00FE10C1"/>
    <w:rsid w:val="00FE190E"/>
    <w:rsid w:val="00FE20A9"/>
    <w:rsid w:val="00FE48A9"/>
    <w:rsid w:val="00FF08B7"/>
    <w:rsid w:val="00FF12B8"/>
    <w:rsid w:val="00FF372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aliases w:val="o,fr,Style 3,o1,o2,o3,o4,o5,o6,o11,o21,o7"/>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C41F87"/>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A604ED"/>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972FA4"/>
    <w:pPr>
      <w:spacing w:before="40" w:after="40" w:line="240" w:lineRule="auto"/>
    </w:pPr>
    <w:rPr>
      <w:rFonts w:ascii="Trebuchet MS" w:eastAsia="Calibri" w:hAnsi="Trebuchet MS" w:cs="Times New Roman"/>
      <w:i/>
      <w:color w:val="FF0000"/>
    </w:rPr>
  </w:style>
  <w:style w:type="character" w:customStyle="1" w:styleId="RemindersChar">
    <w:name w:val="Reminders Char"/>
    <w:link w:val="Reminders"/>
    <w:locked/>
    <w:rsid w:val="00972FA4"/>
    <w:rPr>
      <w:rFonts w:ascii="Trebuchet MS" w:eastAsia="Calibri" w:hAnsi="Trebuchet MS" w:cs="Times New Roman"/>
      <w:i/>
      <w:color w:val="FF0000"/>
      <w:sz w:val="22"/>
    </w:rPr>
  </w:style>
  <w:style w:type="character" w:styleId="UnresolvedMention">
    <w:name w:val="Unresolved Mention"/>
    <w:basedOn w:val="DefaultParagraphFont"/>
    <w:uiPriority w:val="99"/>
    <w:rsid w:val="006247FD"/>
    <w:rPr>
      <w:color w:val="808080"/>
      <w:shd w:val="clear" w:color="auto" w:fill="E6E6E6"/>
    </w:rPr>
  </w:style>
  <w:style w:type="paragraph" w:customStyle="1" w:styleId="Reminder">
    <w:name w:val="Reminder"/>
    <w:basedOn w:val="Reminders"/>
    <w:link w:val="ReminderChar"/>
    <w:rsid w:val="00F56DFB"/>
  </w:style>
  <w:style w:type="character" w:customStyle="1" w:styleId="ReminderChar">
    <w:name w:val="Reminder Char"/>
    <w:link w:val="Reminder"/>
    <w:locked/>
    <w:rsid w:val="00F56DFB"/>
    <w:rPr>
      <w:rFonts w:ascii="Trebuchet MS" w:eastAsia="Calibri" w:hAnsi="Trebuchet MS" w:cs="Times New Roman"/>
      <w:i/>
      <w:color w:val="FF0000"/>
      <w:sz w:val="22"/>
    </w:rPr>
  </w:style>
  <w:style w:type="paragraph" w:customStyle="1" w:styleId="TableParagraph">
    <w:name w:val="Table Paragraph"/>
    <w:basedOn w:val="Normal"/>
    <w:uiPriority w:val="1"/>
    <w:qFormat/>
    <w:rsid w:val="00380CFC"/>
    <w:pPr>
      <w:widowControl w:val="0"/>
      <w:autoSpaceDE w:val="0"/>
      <w:autoSpaceDN w:val="0"/>
      <w:spacing w:before="0" w:after="0" w:line="240" w:lineRule="auto"/>
    </w:pPr>
    <w:rPr>
      <w:rFonts w:eastAsia="Calibri Light" w:cs="Calibri Light"/>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46994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66905145">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40604495">
      <w:bodyDiv w:val="1"/>
      <w:marLeft w:val="0"/>
      <w:marRight w:val="0"/>
      <w:marTop w:val="0"/>
      <w:marBottom w:val="0"/>
      <w:divBdr>
        <w:top w:val="none" w:sz="0" w:space="0" w:color="auto"/>
        <w:left w:val="none" w:sz="0" w:space="0" w:color="auto"/>
        <w:bottom w:val="none" w:sz="0" w:space="0" w:color="auto"/>
        <w:right w:val="none" w:sz="0" w:space="0" w:color="auto"/>
      </w:divBdr>
    </w:div>
    <w:div w:id="2002197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egulations.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regulations.gov/"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4C442-3F79-4CE8-871D-C33140B9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111</TotalTime>
  <Pages>13</Pages>
  <Words>4132</Words>
  <Characters>23559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27636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30</cp:revision>
  <cp:lastPrinted>2021-03-15T07:55:00Z</cp:lastPrinted>
  <dcterms:created xsi:type="dcterms:W3CDTF">2019-02-26T04:00:00Z</dcterms:created>
  <dcterms:modified xsi:type="dcterms:W3CDTF">2021-03-15T07:55:00Z</dcterms:modified>
  <cp:category/>
</cp:coreProperties>
</file>