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CB989D" w14:textId="1F28201B" w:rsidR="00BB2954" w:rsidRDefault="00EA4070">
      <w:r>
        <w:t xml:space="preserve">SCG Response to </w:t>
      </w:r>
      <w:r w:rsidR="00411B1C">
        <w:t xml:space="preserve">CPUC Comments on </w:t>
      </w:r>
      <w:r w:rsidR="00A121FB">
        <w:t>SWWH018-02 Hot Water Tank Insulation, Non-Residential and Multifamily</w:t>
      </w:r>
    </w:p>
    <w:p w14:paraId="2BA7A164" w14:textId="6F7AE7B6" w:rsidR="004266C0" w:rsidRDefault="004266C0">
      <w:r>
        <w:t xml:space="preserve">Lead PA: </w:t>
      </w:r>
      <w:r w:rsidR="00A121FB">
        <w:t>SCG</w:t>
      </w:r>
    </w:p>
    <w:p w14:paraId="4BB68C7D" w14:textId="525B4CD4" w:rsidR="009E1581" w:rsidRDefault="004266C0">
      <w:r>
        <w:t xml:space="preserve">Workpaper </w:t>
      </w:r>
      <w:r w:rsidR="008F1FF0">
        <w:t xml:space="preserve">Submittal Date: </w:t>
      </w:r>
      <w:r w:rsidR="00A121FB">
        <w:t>12/21/2020</w:t>
      </w:r>
      <w:r w:rsidR="00AB26AE">
        <w:t xml:space="preserve"> </w:t>
      </w:r>
    </w:p>
    <w:p w14:paraId="34C58858" w14:textId="2818AD27" w:rsidR="00AB26AE" w:rsidRDefault="004266C0">
      <w:r>
        <w:t xml:space="preserve">CPUC Review </w:t>
      </w:r>
      <w:r w:rsidRPr="002B5283">
        <w:t xml:space="preserve">Date: </w:t>
      </w:r>
      <w:r w:rsidR="002B5283" w:rsidRPr="002B5283">
        <w:t>01</w:t>
      </w:r>
      <w:r w:rsidRPr="002B5283">
        <w:t>/</w:t>
      </w:r>
      <w:r w:rsidR="00487AE3">
        <w:t>21</w:t>
      </w:r>
      <w:r w:rsidRPr="002B5283">
        <w:t>/</w:t>
      </w:r>
      <w:r w:rsidR="002B5283" w:rsidRPr="002B5283">
        <w:t>2021</w:t>
      </w:r>
    </w:p>
    <w:p w14:paraId="55B78623" w14:textId="5D0FC506" w:rsidR="002B710B" w:rsidRDefault="002B710B">
      <w:r>
        <w:t>SCG Response Date: 02/05/2021</w:t>
      </w:r>
    </w:p>
    <w:tbl>
      <w:tblPr>
        <w:tblStyle w:val="TableGrid"/>
        <w:tblpPr w:leftFromText="180" w:rightFromText="180" w:vertAnchor="page" w:horzAnchor="margin" w:tblpY="4537"/>
        <w:tblW w:w="0" w:type="auto"/>
        <w:tblLayout w:type="fixed"/>
        <w:tblLook w:val="04A0" w:firstRow="1" w:lastRow="0" w:firstColumn="1" w:lastColumn="0" w:noHBand="0" w:noVBand="1"/>
      </w:tblPr>
      <w:tblGrid>
        <w:gridCol w:w="5575"/>
        <w:gridCol w:w="3775"/>
      </w:tblGrid>
      <w:tr w:rsidR="004266C0" w14:paraId="75EEBFCB" w14:textId="77777777" w:rsidTr="00AB2471">
        <w:tc>
          <w:tcPr>
            <w:tcW w:w="5575" w:type="dxa"/>
          </w:tcPr>
          <w:p w14:paraId="50F575CA" w14:textId="77777777" w:rsidR="004266C0" w:rsidRDefault="004266C0" w:rsidP="004266C0">
            <w:r>
              <w:t>CPUC Comment</w:t>
            </w:r>
          </w:p>
        </w:tc>
        <w:tc>
          <w:tcPr>
            <w:tcW w:w="3775" w:type="dxa"/>
          </w:tcPr>
          <w:p w14:paraId="73B4B0C7" w14:textId="77777777" w:rsidR="004266C0" w:rsidRDefault="004266C0" w:rsidP="004266C0">
            <w:r>
              <w:t>PA Response</w:t>
            </w:r>
          </w:p>
        </w:tc>
      </w:tr>
      <w:tr w:rsidR="004266C0" w14:paraId="3824AE26" w14:textId="77777777" w:rsidTr="00AB2471">
        <w:tc>
          <w:tcPr>
            <w:tcW w:w="5575" w:type="dxa"/>
          </w:tcPr>
          <w:p w14:paraId="65895ACD" w14:textId="09783A29" w:rsidR="004266C0" w:rsidRDefault="00943E3F" w:rsidP="00943E3F">
            <w:pPr>
              <w:tabs>
                <w:tab w:val="left" w:pos="6256"/>
              </w:tabs>
            </w:pPr>
            <w:r w:rsidRPr="00943E3F">
              <w:t>The data in the Cost EAD table is not organized in the standard order. Please rearrange the Cost EAD table to match the standard order.</w:t>
            </w:r>
          </w:p>
        </w:tc>
        <w:tc>
          <w:tcPr>
            <w:tcW w:w="3775" w:type="dxa"/>
          </w:tcPr>
          <w:p w14:paraId="616D4609" w14:textId="79F140AE" w:rsidR="004266C0" w:rsidRDefault="005A76C8" w:rsidP="004266C0">
            <w:r>
              <w:t>The formatting has been fixed</w:t>
            </w:r>
            <w:r w:rsidR="00EA4070">
              <w:t xml:space="preserve"> using the </w:t>
            </w:r>
            <w:r w:rsidR="00240C83">
              <w:t>recent EAD format and column order</w:t>
            </w:r>
            <w:r>
              <w:t>.</w:t>
            </w:r>
          </w:p>
        </w:tc>
      </w:tr>
      <w:tr w:rsidR="004266C0" w14:paraId="05E35CA3" w14:textId="77777777" w:rsidTr="00AB2471">
        <w:tc>
          <w:tcPr>
            <w:tcW w:w="5575" w:type="dxa"/>
          </w:tcPr>
          <w:p w14:paraId="667A048B" w14:textId="77777777" w:rsidR="004266C0" w:rsidRDefault="00DB39A1" w:rsidP="004266C0">
            <w:r>
              <w:t>The boiler efficiency cited of 82.5%</w:t>
            </w:r>
            <w:r w:rsidR="007408E0">
              <w:t xml:space="preserve">, from the WPSDGENRW0014 R0 workpaper. However, the </w:t>
            </w:r>
            <w:r w:rsidR="00494C74">
              <w:t xml:space="preserve">average boiler efficiency, weighted or a straight average, does not appear to have been estimated from the </w:t>
            </w:r>
            <w:r w:rsidR="007408E0">
              <w:t>Distribution of Thermal Efficiencies of Hot Water Boiler graph shown in this workpaper</w:t>
            </w:r>
            <w:r w:rsidR="00494C74">
              <w:t>. The average boiler efficiency would be greater the 82.5% listed.</w:t>
            </w:r>
          </w:p>
          <w:p w14:paraId="7EB6FA38" w14:textId="77777777" w:rsidR="002B5AD7" w:rsidRDefault="002B5AD7" w:rsidP="004266C0"/>
          <w:p w14:paraId="49102CE1" w14:textId="5B5849F4" w:rsidR="002B5AD7" w:rsidRDefault="002B5AD7" w:rsidP="004266C0">
            <w:r>
              <w:t>Additionally, the hot water boiler efficiency listed does not match the efficiency from similar workpapers, such as SWWH017-02 Hot Water Pipe Insulation, Non-Res. &amp; MF. The hot water boiler efficiencies were derived from the 2015 ESPI evaluation results. A commercial, agriculture, multifamily, or industrial building would have the same hot water boiler supplying hot water to pipes as they would to hot water storage tanks.</w:t>
            </w:r>
          </w:p>
          <w:p w14:paraId="08C7A12A" w14:textId="77777777" w:rsidR="002B5AD7" w:rsidRDefault="002B5AD7" w:rsidP="004266C0"/>
          <w:p w14:paraId="2948B0D6" w14:textId="3FE89FFA" w:rsidR="002B5AD7" w:rsidRDefault="002B5AD7" w:rsidP="004266C0">
            <w:r>
              <w:t>Please make sure that boiler efficiencies are consistent across workpapers for similar technologies.</w:t>
            </w:r>
          </w:p>
        </w:tc>
        <w:tc>
          <w:tcPr>
            <w:tcW w:w="3775" w:type="dxa"/>
          </w:tcPr>
          <w:p w14:paraId="7FA536F8" w14:textId="43DC52C4" w:rsidR="004266C0" w:rsidRDefault="00EA4070" w:rsidP="004266C0">
            <w:r>
              <w:t>T</w:t>
            </w:r>
            <w:r w:rsidR="00224A59">
              <w:t xml:space="preserve">he efficiency </w:t>
            </w:r>
            <w:r>
              <w:t xml:space="preserve">is updated </w:t>
            </w:r>
            <w:r w:rsidR="00224A59">
              <w:t>to 83.5</w:t>
            </w:r>
            <w:r>
              <w:t>%</w:t>
            </w:r>
            <w:r w:rsidR="00224A59">
              <w:t xml:space="preserve"> to be in line with other </w:t>
            </w:r>
            <w:r w:rsidR="00604FEC">
              <w:t>workpapers</w:t>
            </w:r>
            <w:r w:rsidR="009F18A3">
              <w:t xml:space="preserve"> (SWWH0</w:t>
            </w:r>
            <w:r w:rsidR="00B2555E">
              <w:t>17)</w:t>
            </w:r>
          </w:p>
          <w:p w14:paraId="66D5C360" w14:textId="77777777" w:rsidR="00EA4070" w:rsidRDefault="00EA4070" w:rsidP="004266C0"/>
          <w:p w14:paraId="64B4C480" w14:textId="38AED30B" w:rsidR="00EA4070" w:rsidRDefault="00EA4070" w:rsidP="004266C0">
            <w:r>
              <w:t>Savings are re-calculated with the updated efficiency</w:t>
            </w:r>
            <w:r w:rsidR="003D2CA9">
              <w:t xml:space="preserve">, resulting in slight reduction in savings. </w:t>
            </w:r>
            <w:r>
              <w:t xml:space="preserve"> </w:t>
            </w:r>
          </w:p>
        </w:tc>
      </w:tr>
      <w:tr w:rsidR="006B2665" w14:paraId="634A2AC3" w14:textId="77777777" w:rsidTr="00AB2471">
        <w:tc>
          <w:tcPr>
            <w:tcW w:w="5575" w:type="dxa"/>
          </w:tcPr>
          <w:p w14:paraId="19406F10" w14:textId="27473EB4" w:rsidR="006B2665" w:rsidRDefault="006B2665" w:rsidP="006B2665">
            <w:r>
              <w:t>The “Ag-Default&gt;2yrs” NTG_ID is no longer found in PEAR. The updated NTG_ID for default agriculture sector technologies that have been on the market for longer than 2 years is “Agric-Default&gt;2yrs”.</w:t>
            </w:r>
          </w:p>
        </w:tc>
        <w:tc>
          <w:tcPr>
            <w:tcW w:w="3775" w:type="dxa"/>
          </w:tcPr>
          <w:p w14:paraId="57F168B1" w14:textId="25E32F9B" w:rsidR="006B2665" w:rsidRDefault="006B2665" w:rsidP="006B2665">
            <w:r>
              <w:t>This has been corrected</w:t>
            </w:r>
            <w:r w:rsidR="00240C83">
              <w:t>.</w:t>
            </w:r>
          </w:p>
        </w:tc>
      </w:tr>
      <w:tr w:rsidR="006B2665" w14:paraId="53449383" w14:textId="77777777" w:rsidTr="00AB2471">
        <w:tc>
          <w:tcPr>
            <w:tcW w:w="5575" w:type="dxa"/>
          </w:tcPr>
          <w:p w14:paraId="37B7D30D" w14:textId="77777777" w:rsidR="006B2665" w:rsidRDefault="006B2665" w:rsidP="006B2665">
            <w:r>
              <w:t xml:space="preserve">The savings is based on the heat loss for the tank shell or the side surface of a tank using the NAIMA 3E Plus v4.1 tool. This excludes the top or bottom surfaces of a hot water tank, which would have different heat loss results per square foot. This could result in an overestimation of savings, when incentivizing the square feet of insulation for all surfaces of a tank. </w:t>
            </w:r>
          </w:p>
          <w:p w14:paraId="6F89D1F1" w14:textId="77777777" w:rsidR="006B2665" w:rsidRDefault="006B2665" w:rsidP="006B2665"/>
          <w:p w14:paraId="5E475AC1" w14:textId="77777777" w:rsidR="0048437C" w:rsidRDefault="006B2665" w:rsidP="006B2665">
            <w:r>
              <w:t xml:space="preserve">Please include this assumption in the workpaper text. </w:t>
            </w:r>
          </w:p>
          <w:p w14:paraId="094F7812" w14:textId="77777777" w:rsidR="0048437C" w:rsidRDefault="0048437C" w:rsidP="006B2665"/>
          <w:p w14:paraId="4E499B18" w14:textId="48BE001D" w:rsidR="006B2665" w:rsidRDefault="006B2665" w:rsidP="006B2665"/>
        </w:tc>
        <w:tc>
          <w:tcPr>
            <w:tcW w:w="3775" w:type="dxa"/>
          </w:tcPr>
          <w:p w14:paraId="41592C81" w14:textId="10837B8D" w:rsidR="006678E5" w:rsidRDefault="00855E36" w:rsidP="00855E36">
            <w:pPr>
              <w:rPr>
                <w:rFonts w:eastAsia="Times New Roman"/>
              </w:rPr>
            </w:pPr>
            <w:r w:rsidRPr="00855E36">
              <w:rPr>
                <w:rFonts w:eastAsia="Times New Roman"/>
              </w:rPr>
              <w:lastRenderedPageBreak/>
              <w:t>Using NAIMA 3E Plus tool, the energy savings for flat surface and curved side surface are almost identical for both indoor and outdoor applications.</w:t>
            </w:r>
            <w:r w:rsidR="00EB419A">
              <w:rPr>
                <w:rFonts w:eastAsia="Times New Roman"/>
              </w:rPr>
              <w:t xml:space="preserve"> </w:t>
            </w:r>
            <w:r w:rsidRPr="001E2B2E">
              <w:rPr>
                <w:rFonts w:eastAsia="Times New Roman"/>
              </w:rPr>
              <w:t>We believe the savings adopted in the workpaper are applicable to ends of a tank (top or bottom flat surface) with negligible difference</w:t>
            </w:r>
            <w:r w:rsidR="003D2CA9">
              <w:rPr>
                <w:rFonts w:eastAsia="Times New Roman"/>
              </w:rPr>
              <w:t xml:space="preserve"> (or conservative estimation)</w:t>
            </w:r>
            <w:r w:rsidRPr="001E2B2E">
              <w:rPr>
                <w:rFonts w:eastAsia="Times New Roman"/>
              </w:rPr>
              <w:t>.</w:t>
            </w:r>
            <w:r w:rsidR="00AE6A74">
              <w:rPr>
                <w:rFonts w:eastAsia="Times New Roman"/>
              </w:rPr>
              <w:t xml:space="preserve"> See summary table below</w:t>
            </w:r>
            <w:r w:rsidR="00E912D8">
              <w:rPr>
                <w:rFonts w:eastAsia="Times New Roman"/>
              </w:rPr>
              <w:t xml:space="preserve"> </w:t>
            </w:r>
            <w:r w:rsidR="00E912D8">
              <w:rPr>
                <w:rFonts w:eastAsia="Times New Roman"/>
              </w:rPr>
              <w:lastRenderedPageBreak/>
              <w:t>and screenshots in the embedded word file</w:t>
            </w:r>
            <w:r w:rsidR="00AE6A74">
              <w:rPr>
                <w:rFonts w:eastAsia="Times New Roman"/>
              </w:rPr>
              <w:t>.</w:t>
            </w:r>
          </w:p>
          <w:p w14:paraId="342F1872" w14:textId="77777777" w:rsidR="00021C5D" w:rsidRDefault="00021C5D" w:rsidP="00855E36">
            <w:pPr>
              <w:rPr>
                <w:rFonts w:eastAsia="Times New Roman"/>
              </w:rPr>
            </w:pPr>
            <w:bookmarkStart w:id="0" w:name="_GoBack"/>
            <w:bookmarkEnd w:id="0"/>
          </w:p>
          <w:p w14:paraId="78CFB44B" w14:textId="5243BD36" w:rsidR="00021C5D" w:rsidRPr="00E14095" w:rsidRDefault="00021C5D" w:rsidP="00855E36">
            <w:r>
              <w:t>The text in the workpaper has been edited to reflect this, including insulations for the top or bottom with the same savings.</w:t>
            </w:r>
          </w:p>
        </w:tc>
      </w:tr>
      <w:tr w:rsidR="006B2665" w14:paraId="23E7372B" w14:textId="77777777" w:rsidTr="00AB2471">
        <w:tc>
          <w:tcPr>
            <w:tcW w:w="5575" w:type="dxa"/>
          </w:tcPr>
          <w:p w14:paraId="4C7BF983" w14:textId="4833D6B4" w:rsidR="006B2665" w:rsidRDefault="006B2665" w:rsidP="006B2665">
            <w:r>
              <w:rPr>
                <w:rFonts w:eastAsia="Times New Roman"/>
              </w:rPr>
              <w:lastRenderedPageBreak/>
              <w:t xml:space="preserve">“Any” </w:t>
            </w:r>
            <w:r w:rsidRPr="00487AE3">
              <w:rPr>
                <w:rFonts w:eastAsia="Times New Roman"/>
              </w:rPr>
              <w:t>building location</w:t>
            </w:r>
            <w:r>
              <w:rPr>
                <w:rFonts w:eastAsia="Times New Roman"/>
              </w:rPr>
              <w:t xml:space="preserve"> is used</w:t>
            </w:r>
            <w:r w:rsidRPr="00487AE3">
              <w:rPr>
                <w:rFonts w:eastAsia="Times New Roman"/>
              </w:rPr>
              <w:t xml:space="preserve"> for indoor tank insulation. Primarily this is due to the inputs for ambient temperature surrounding the hot water tank, and wind speed which vary by climate zone for outdoor tanks, but not for indoor tanks</w:t>
            </w:r>
            <w:r>
              <w:rPr>
                <w:rFonts w:eastAsia="Times New Roman"/>
              </w:rPr>
              <w:t>. Note that this is not a valid entry and will not be accepted in claims.</w:t>
            </w:r>
          </w:p>
        </w:tc>
        <w:tc>
          <w:tcPr>
            <w:tcW w:w="3775" w:type="dxa"/>
          </w:tcPr>
          <w:p w14:paraId="4B1FF42D" w14:textId="41BEB63F" w:rsidR="006B2665" w:rsidRDefault="006B2665" w:rsidP="006B2665">
            <w:r>
              <w:t xml:space="preserve">“Any” is an allowed building location in READI. When used in claims, </w:t>
            </w:r>
            <w:r w:rsidR="00BD6BA3">
              <w:t>we will identify building location based on zip code</w:t>
            </w:r>
            <w:r w:rsidR="00A0698A">
              <w:t xml:space="preserve"> on the record</w:t>
            </w:r>
            <w:r w:rsidR="00C44EE5">
              <w:t xml:space="preserve"> and use that CZ with the claim</w:t>
            </w:r>
            <w:r w:rsidR="00A0698A">
              <w:t>.</w:t>
            </w:r>
            <w:r w:rsidR="00E40362">
              <w:t xml:space="preserve"> This </w:t>
            </w:r>
            <w:r w:rsidR="00AB3BB1">
              <w:t>is how claims are reported for measures that are submitted with “Any” building type on the workpaper</w:t>
            </w:r>
            <w:r w:rsidR="001F73BF">
              <w:t>, for example</w:t>
            </w:r>
            <w:r w:rsidR="00E40362">
              <w:t xml:space="preserve"> food service workpapers where savings don’t vary on climate zone.</w:t>
            </w:r>
          </w:p>
        </w:tc>
      </w:tr>
    </w:tbl>
    <w:p w14:paraId="72C6D87B" w14:textId="7D5CD188" w:rsidR="00047FC1" w:rsidRDefault="00047FC1" w:rsidP="00047FC1">
      <w:r w:rsidRPr="00047FC1">
        <w:t>Please note response</w:t>
      </w:r>
      <w:r>
        <w:t>s</w:t>
      </w:r>
      <w:r w:rsidRPr="00047FC1">
        <w:t xml:space="preserve"> to comments in the table</w:t>
      </w:r>
      <w:r>
        <w:t xml:space="preserve"> below</w:t>
      </w:r>
      <w:r w:rsidRPr="00047FC1">
        <w:t xml:space="preserve">, revise workpaper, and upload </w:t>
      </w:r>
      <w:r w:rsidR="008963E4">
        <w:t xml:space="preserve">the entire package </w:t>
      </w:r>
      <w:r w:rsidRPr="00047FC1">
        <w:t xml:space="preserve">to the WPA. If needed, please reach out to </w:t>
      </w:r>
      <w:r w:rsidR="006C6E3A">
        <w:t>Workpaper</w:t>
      </w:r>
      <w:r w:rsidR="00F00D47">
        <w:t xml:space="preserve"> Review T</w:t>
      </w:r>
      <w:r w:rsidRPr="00047FC1">
        <w:t>eam to set up a call to discuss.</w:t>
      </w:r>
    </w:p>
    <w:p w14:paraId="6DF643C5" w14:textId="4E442FB6" w:rsidR="002B710B" w:rsidRDefault="00EA4070" w:rsidP="00047FC1">
      <w:r>
        <w:t>(</w:t>
      </w:r>
      <w:r w:rsidR="002B710B">
        <w:t>Below is the comparison of</w:t>
      </w:r>
      <w:r w:rsidR="003D2CA9">
        <w:t xml:space="preserve"> E3</w:t>
      </w:r>
      <w:r w:rsidR="002B710B">
        <w:t xml:space="preserve"> heat loss between tank shell and flat surface</w:t>
      </w:r>
      <w:r>
        <w:t>.)</w:t>
      </w:r>
    </w:p>
    <w:p w14:paraId="2CFA5F9B" w14:textId="165FE6CC" w:rsidR="00A87312" w:rsidRDefault="00AB2471" w:rsidP="00EA4070">
      <w:pPr>
        <w:jc w:val="center"/>
      </w:pPr>
      <w:r>
        <w:object w:dxaOrig="2670" w:dyaOrig="811" w14:anchorId="0752FF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3.5pt;height:40.5pt" o:ole="">
            <v:imagedata r:id="rId5" o:title=""/>
          </v:shape>
          <o:OLEObject Type="Embed" ProgID="Package" ShapeID="_x0000_i1025" DrawAspect="Content" ObjectID="_1674034900" r:id="rId6"/>
        </w:object>
      </w:r>
    </w:p>
    <w:tbl>
      <w:tblPr>
        <w:tblW w:w="9353" w:type="dxa"/>
        <w:tblInd w:w="-3" w:type="dxa"/>
        <w:tblCellMar>
          <w:left w:w="0" w:type="dxa"/>
          <w:right w:w="0" w:type="dxa"/>
        </w:tblCellMar>
        <w:tblLook w:val="04A0" w:firstRow="1" w:lastRow="0" w:firstColumn="1" w:lastColumn="0" w:noHBand="0" w:noVBand="1"/>
      </w:tblPr>
      <w:tblGrid>
        <w:gridCol w:w="5303"/>
        <w:gridCol w:w="2250"/>
        <w:gridCol w:w="1800"/>
      </w:tblGrid>
      <w:tr w:rsidR="00E9058F" w14:paraId="56161473" w14:textId="77777777" w:rsidTr="00E9058F">
        <w:trPr>
          <w:trHeight w:val="60"/>
        </w:trPr>
        <w:tc>
          <w:tcPr>
            <w:tcW w:w="5303"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4D2B8BAE" w14:textId="77777777" w:rsidR="00E9058F" w:rsidRDefault="00E9058F" w:rsidP="00401B86">
            <w:pPr>
              <w:spacing w:after="0"/>
              <w:rPr>
                <w:b/>
                <w:bCs/>
                <w:color w:val="000000"/>
              </w:rPr>
            </w:pPr>
            <w:r>
              <w:rPr>
                <w:b/>
                <w:bCs/>
                <w:color w:val="000000"/>
              </w:rPr>
              <w:t>Indoor: 145 Deg F Tank Temp, 75 Deg F Ambient</w:t>
            </w:r>
          </w:p>
        </w:tc>
        <w:tc>
          <w:tcPr>
            <w:tcW w:w="225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14:paraId="1A9A805C" w14:textId="77777777" w:rsidR="00E9058F" w:rsidRDefault="00E9058F" w:rsidP="00401B86">
            <w:pPr>
              <w:spacing w:after="0"/>
              <w:rPr>
                <w:color w:val="000000"/>
              </w:rPr>
            </w:pPr>
            <w:r>
              <w:rPr>
                <w:color w:val="000000"/>
              </w:rPr>
              <w:t> </w:t>
            </w:r>
          </w:p>
        </w:tc>
        <w:tc>
          <w:tcPr>
            <w:tcW w:w="180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14:paraId="343AFD59" w14:textId="77777777" w:rsidR="00E9058F" w:rsidRDefault="00E9058F" w:rsidP="00401B86">
            <w:pPr>
              <w:spacing w:after="0"/>
              <w:rPr>
                <w:color w:val="000000"/>
              </w:rPr>
            </w:pPr>
            <w:r>
              <w:rPr>
                <w:color w:val="000000"/>
              </w:rPr>
              <w:t> </w:t>
            </w:r>
          </w:p>
        </w:tc>
      </w:tr>
      <w:tr w:rsidR="00E9058F" w14:paraId="066A8F60" w14:textId="77777777" w:rsidTr="00E9058F">
        <w:trPr>
          <w:trHeight w:val="60"/>
        </w:trPr>
        <w:tc>
          <w:tcPr>
            <w:tcW w:w="530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281B66CE" w14:textId="77777777" w:rsidR="00E9058F" w:rsidRDefault="00E9058F" w:rsidP="00401B86">
            <w:pPr>
              <w:spacing w:after="0"/>
              <w:rPr>
                <w:color w:val="000000"/>
              </w:rPr>
            </w:pPr>
            <w:r>
              <w:rPr>
                <w:color w:val="000000"/>
              </w:rPr>
              <w:t> </w:t>
            </w:r>
          </w:p>
        </w:tc>
        <w:tc>
          <w:tcPr>
            <w:tcW w:w="2250" w:type="dxa"/>
            <w:tcBorders>
              <w:top w:val="nil"/>
              <w:left w:val="nil"/>
              <w:bottom w:val="single" w:sz="8" w:space="0" w:color="auto"/>
              <w:right w:val="single" w:sz="8" w:space="0" w:color="auto"/>
            </w:tcBorders>
            <w:shd w:val="clear" w:color="auto" w:fill="92D050"/>
            <w:tcMar>
              <w:top w:w="0" w:type="dxa"/>
              <w:left w:w="108" w:type="dxa"/>
              <w:bottom w:w="0" w:type="dxa"/>
              <w:right w:w="108" w:type="dxa"/>
            </w:tcMar>
            <w:vAlign w:val="bottom"/>
            <w:hideMark/>
          </w:tcPr>
          <w:p w14:paraId="3E43BD4F" w14:textId="77777777" w:rsidR="00E9058F" w:rsidRDefault="00E9058F" w:rsidP="00401B86">
            <w:pPr>
              <w:spacing w:after="0"/>
              <w:rPr>
                <w:rFonts w:ascii="Calibri Light" w:hAnsi="Calibri Light" w:cs="Calibri Light"/>
                <w:color w:val="FFFFFF"/>
                <w:sz w:val="20"/>
                <w:szCs w:val="20"/>
              </w:rPr>
            </w:pPr>
            <w:r>
              <w:rPr>
                <w:rFonts w:ascii="Calibri Light" w:hAnsi="Calibri Light" w:cs="Calibri Light"/>
                <w:color w:val="FFFFFF"/>
                <w:sz w:val="20"/>
                <w:szCs w:val="20"/>
              </w:rPr>
              <w:t xml:space="preserve">Heat loss Bare tank, </w:t>
            </w:r>
            <w:proofErr w:type="spellStart"/>
            <w:r>
              <w:rPr>
                <w:rFonts w:ascii="Calibri Light" w:hAnsi="Calibri Light" w:cs="Calibri Light"/>
                <w:color w:val="FFFFFF"/>
                <w:sz w:val="20"/>
                <w:szCs w:val="20"/>
              </w:rPr>
              <w:t>Btuh</w:t>
            </w:r>
            <w:proofErr w:type="spellEnd"/>
            <w:r>
              <w:rPr>
                <w:rFonts w:ascii="Calibri Light" w:hAnsi="Calibri Light" w:cs="Calibri Light"/>
                <w:color w:val="FFFFFF"/>
                <w:sz w:val="20"/>
                <w:szCs w:val="20"/>
              </w:rPr>
              <w:t>/</w:t>
            </w:r>
            <w:proofErr w:type="spellStart"/>
            <w:r>
              <w:rPr>
                <w:rFonts w:ascii="Calibri Light" w:hAnsi="Calibri Light" w:cs="Calibri Light"/>
                <w:color w:val="FFFFFF"/>
                <w:sz w:val="20"/>
                <w:szCs w:val="20"/>
              </w:rPr>
              <w:t>sqft</w:t>
            </w:r>
            <w:proofErr w:type="spellEnd"/>
          </w:p>
        </w:tc>
        <w:tc>
          <w:tcPr>
            <w:tcW w:w="1800" w:type="dxa"/>
            <w:tcBorders>
              <w:top w:val="nil"/>
              <w:left w:val="nil"/>
              <w:bottom w:val="single" w:sz="8" w:space="0" w:color="auto"/>
              <w:right w:val="single" w:sz="8" w:space="0" w:color="auto"/>
            </w:tcBorders>
            <w:shd w:val="clear" w:color="auto" w:fill="92D050"/>
            <w:tcMar>
              <w:top w:w="0" w:type="dxa"/>
              <w:left w:w="108" w:type="dxa"/>
              <w:bottom w:w="0" w:type="dxa"/>
              <w:right w:w="108" w:type="dxa"/>
            </w:tcMar>
            <w:vAlign w:val="bottom"/>
            <w:hideMark/>
          </w:tcPr>
          <w:p w14:paraId="47C25CAF" w14:textId="77777777" w:rsidR="00E9058F" w:rsidRDefault="00E9058F" w:rsidP="00401B86">
            <w:pPr>
              <w:spacing w:after="0"/>
              <w:rPr>
                <w:rFonts w:ascii="Calibri Light" w:hAnsi="Calibri Light" w:cs="Calibri Light"/>
                <w:color w:val="FFFFFF"/>
                <w:sz w:val="20"/>
                <w:szCs w:val="20"/>
              </w:rPr>
            </w:pPr>
            <w:r>
              <w:rPr>
                <w:rFonts w:ascii="Calibri Light" w:hAnsi="Calibri Light" w:cs="Calibri Light"/>
                <w:color w:val="FFFFFF"/>
                <w:sz w:val="20"/>
                <w:szCs w:val="20"/>
              </w:rPr>
              <w:t xml:space="preserve">Heat loss Insulated, </w:t>
            </w:r>
            <w:proofErr w:type="spellStart"/>
            <w:r>
              <w:rPr>
                <w:rFonts w:ascii="Calibri Light" w:hAnsi="Calibri Light" w:cs="Calibri Light"/>
                <w:color w:val="FFFFFF"/>
                <w:sz w:val="20"/>
                <w:szCs w:val="20"/>
              </w:rPr>
              <w:t>Btuh</w:t>
            </w:r>
            <w:proofErr w:type="spellEnd"/>
            <w:r>
              <w:rPr>
                <w:rFonts w:ascii="Calibri Light" w:hAnsi="Calibri Light" w:cs="Calibri Light"/>
                <w:color w:val="FFFFFF"/>
                <w:sz w:val="20"/>
                <w:szCs w:val="20"/>
              </w:rPr>
              <w:t>/</w:t>
            </w:r>
            <w:proofErr w:type="spellStart"/>
            <w:r>
              <w:rPr>
                <w:rFonts w:ascii="Calibri Light" w:hAnsi="Calibri Light" w:cs="Calibri Light"/>
                <w:color w:val="FFFFFF"/>
                <w:sz w:val="20"/>
                <w:szCs w:val="20"/>
              </w:rPr>
              <w:t>sqft</w:t>
            </w:r>
            <w:proofErr w:type="spellEnd"/>
          </w:p>
        </w:tc>
      </w:tr>
      <w:tr w:rsidR="00E9058F" w14:paraId="4C9D2BD5" w14:textId="77777777" w:rsidTr="00E9058F">
        <w:trPr>
          <w:trHeight w:val="300"/>
        </w:trPr>
        <w:tc>
          <w:tcPr>
            <w:tcW w:w="530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410B1BA2" w14:textId="10EEEB3D" w:rsidR="00E9058F" w:rsidRDefault="00E9058F" w:rsidP="00401B86">
            <w:pPr>
              <w:spacing w:after="0"/>
              <w:rPr>
                <w:rFonts w:ascii="Calibri" w:hAnsi="Calibri" w:cs="Calibri"/>
                <w:color w:val="000000"/>
              </w:rPr>
            </w:pPr>
            <w:proofErr w:type="spellStart"/>
            <w:r>
              <w:rPr>
                <w:color w:val="000000"/>
              </w:rPr>
              <w:t>DataSpec</w:t>
            </w:r>
            <w:proofErr w:type="spellEnd"/>
            <w:r>
              <w:rPr>
                <w:color w:val="000000"/>
              </w:rPr>
              <w:t xml:space="preserve"> File</w:t>
            </w:r>
            <w:r w:rsidR="003D2CA9">
              <w:rPr>
                <w:color w:val="000000"/>
              </w:rPr>
              <w:t xml:space="preserve"> (Workpaper)</w:t>
            </w:r>
          </w:p>
        </w:tc>
        <w:tc>
          <w:tcPr>
            <w:tcW w:w="225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22FF3CF" w14:textId="77777777" w:rsidR="00E9058F" w:rsidRDefault="00E9058F" w:rsidP="00401B86">
            <w:pPr>
              <w:spacing w:after="0"/>
              <w:jc w:val="right"/>
              <w:rPr>
                <w:color w:val="000000"/>
              </w:rPr>
            </w:pPr>
            <w:r>
              <w:rPr>
                <w:color w:val="000000"/>
              </w:rPr>
              <w:t>125.7</w:t>
            </w:r>
          </w:p>
        </w:tc>
        <w:tc>
          <w:tcPr>
            <w:tcW w:w="18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4A943DC" w14:textId="77777777" w:rsidR="00E9058F" w:rsidRDefault="00E9058F" w:rsidP="00401B86">
            <w:pPr>
              <w:spacing w:after="0"/>
              <w:jc w:val="right"/>
              <w:rPr>
                <w:color w:val="000000"/>
              </w:rPr>
            </w:pPr>
            <w:r>
              <w:rPr>
                <w:color w:val="000000"/>
              </w:rPr>
              <w:t>15.47</w:t>
            </w:r>
          </w:p>
        </w:tc>
      </w:tr>
      <w:tr w:rsidR="00E9058F" w14:paraId="39AB8907" w14:textId="77777777" w:rsidTr="00E9058F">
        <w:trPr>
          <w:trHeight w:val="300"/>
        </w:trPr>
        <w:tc>
          <w:tcPr>
            <w:tcW w:w="530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44A76D36" w14:textId="77777777" w:rsidR="00E9058F" w:rsidRDefault="00E9058F" w:rsidP="00401B86">
            <w:pPr>
              <w:spacing w:after="0"/>
              <w:rPr>
                <w:color w:val="000000"/>
              </w:rPr>
            </w:pPr>
            <w:r>
              <w:rPr>
                <w:color w:val="000000"/>
              </w:rPr>
              <w:t>3E - Tank Shell - Horizontal</w:t>
            </w:r>
          </w:p>
        </w:tc>
        <w:tc>
          <w:tcPr>
            <w:tcW w:w="225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6157A7F" w14:textId="77777777" w:rsidR="00E9058F" w:rsidRDefault="00E9058F" w:rsidP="00401B86">
            <w:pPr>
              <w:spacing w:after="0"/>
              <w:jc w:val="right"/>
              <w:rPr>
                <w:color w:val="000000"/>
              </w:rPr>
            </w:pPr>
            <w:r>
              <w:rPr>
                <w:color w:val="000000"/>
              </w:rPr>
              <w:t>125.7</w:t>
            </w:r>
          </w:p>
        </w:tc>
        <w:tc>
          <w:tcPr>
            <w:tcW w:w="18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10937B8" w14:textId="77777777" w:rsidR="00E9058F" w:rsidRDefault="00E9058F" w:rsidP="00401B86">
            <w:pPr>
              <w:spacing w:after="0"/>
              <w:jc w:val="right"/>
              <w:rPr>
                <w:color w:val="000000"/>
              </w:rPr>
            </w:pPr>
            <w:r>
              <w:rPr>
                <w:color w:val="000000"/>
              </w:rPr>
              <w:t>15.39</w:t>
            </w:r>
          </w:p>
        </w:tc>
      </w:tr>
      <w:tr w:rsidR="00E9058F" w14:paraId="66F1BCC5" w14:textId="77777777" w:rsidTr="00E9058F">
        <w:trPr>
          <w:trHeight w:val="300"/>
        </w:trPr>
        <w:tc>
          <w:tcPr>
            <w:tcW w:w="530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4B49CB3" w14:textId="77777777" w:rsidR="00E9058F" w:rsidRDefault="00E9058F" w:rsidP="00401B86">
            <w:pPr>
              <w:spacing w:after="0"/>
              <w:rPr>
                <w:color w:val="000000"/>
              </w:rPr>
            </w:pPr>
            <w:r>
              <w:rPr>
                <w:color w:val="000000"/>
              </w:rPr>
              <w:t>3E - Tank Shell - Vertical</w:t>
            </w:r>
          </w:p>
        </w:tc>
        <w:tc>
          <w:tcPr>
            <w:tcW w:w="225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FEC39A0" w14:textId="77777777" w:rsidR="00E9058F" w:rsidRDefault="00E9058F" w:rsidP="00401B86">
            <w:pPr>
              <w:spacing w:after="0"/>
              <w:jc w:val="right"/>
              <w:rPr>
                <w:color w:val="000000"/>
              </w:rPr>
            </w:pPr>
            <w:r>
              <w:rPr>
                <w:color w:val="000000"/>
              </w:rPr>
              <w:t>125.7</w:t>
            </w:r>
          </w:p>
        </w:tc>
        <w:tc>
          <w:tcPr>
            <w:tcW w:w="18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46B6440" w14:textId="77777777" w:rsidR="00E9058F" w:rsidRDefault="00E9058F" w:rsidP="00401B86">
            <w:pPr>
              <w:spacing w:after="0"/>
              <w:jc w:val="right"/>
              <w:rPr>
                <w:color w:val="000000"/>
              </w:rPr>
            </w:pPr>
            <w:r>
              <w:rPr>
                <w:color w:val="000000"/>
              </w:rPr>
              <w:t>15.39</w:t>
            </w:r>
          </w:p>
        </w:tc>
      </w:tr>
      <w:tr w:rsidR="00E9058F" w14:paraId="68A51584" w14:textId="77777777" w:rsidTr="00E9058F">
        <w:trPr>
          <w:trHeight w:val="300"/>
        </w:trPr>
        <w:tc>
          <w:tcPr>
            <w:tcW w:w="530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62E3C361" w14:textId="06B5DA67" w:rsidR="00E9058F" w:rsidRDefault="002B710B" w:rsidP="00401B86">
            <w:pPr>
              <w:spacing w:after="0"/>
              <w:rPr>
                <w:color w:val="000000"/>
              </w:rPr>
            </w:pPr>
            <w:r>
              <w:rPr>
                <w:color w:val="000000"/>
              </w:rPr>
              <w:t>3E</w:t>
            </w:r>
            <w:r w:rsidR="00E9058F">
              <w:rPr>
                <w:color w:val="000000"/>
              </w:rPr>
              <w:t xml:space="preserve"> - Flat Surface - Vertical</w:t>
            </w:r>
          </w:p>
        </w:tc>
        <w:tc>
          <w:tcPr>
            <w:tcW w:w="225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6CB5D11" w14:textId="77777777" w:rsidR="00E9058F" w:rsidRDefault="00E9058F" w:rsidP="00401B86">
            <w:pPr>
              <w:spacing w:after="0"/>
              <w:jc w:val="right"/>
              <w:rPr>
                <w:color w:val="000000"/>
              </w:rPr>
            </w:pPr>
            <w:r>
              <w:rPr>
                <w:color w:val="000000"/>
              </w:rPr>
              <w:t>125.7</w:t>
            </w:r>
          </w:p>
        </w:tc>
        <w:tc>
          <w:tcPr>
            <w:tcW w:w="18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2BE468B" w14:textId="77777777" w:rsidR="00E9058F" w:rsidRDefault="00E9058F" w:rsidP="00401B86">
            <w:pPr>
              <w:spacing w:after="0"/>
              <w:jc w:val="right"/>
              <w:rPr>
                <w:color w:val="000000"/>
              </w:rPr>
            </w:pPr>
            <w:r>
              <w:rPr>
                <w:color w:val="000000"/>
              </w:rPr>
              <w:t>15.39</w:t>
            </w:r>
          </w:p>
        </w:tc>
      </w:tr>
      <w:tr w:rsidR="00E9058F" w14:paraId="681A7C54" w14:textId="77777777" w:rsidTr="00E9058F">
        <w:trPr>
          <w:trHeight w:val="300"/>
        </w:trPr>
        <w:tc>
          <w:tcPr>
            <w:tcW w:w="530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20374CAF" w14:textId="77777777" w:rsidR="00E9058F" w:rsidRDefault="00E9058F" w:rsidP="00401B86">
            <w:pPr>
              <w:spacing w:after="0"/>
              <w:rPr>
                <w:color w:val="000000"/>
              </w:rPr>
            </w:pPr>
            <w:r>
              <w:rPr>
                <w:color w:val="000000"/>
              </w:rPr>
              <w:t>3E - Duct/Tank - Flat Top</w:t>
            </w:r>
          </w:p>
        </w:tc>
        <w:tc>
          <w:tcPr>
            <w:tcW w:w="225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485A65A" w14:textId="77777777" w:rsidR="00E9058F" w:rsidRDefault="00E9058F" w:rsidP="00401B86">
            <w:pPr>
              <w:spacing w:after="0"/>
              <w:jc w:val="right"/>
              <w:rPr>
                <w:color w:val="000000"/>
              </w:rPr>
            </w:pPr>
            <w:r>
              <w:rPr>
                <w:color w:val="000000"/>
              </w:rPr>
              <w:t>143.2</w:t>
            </w:r>
          </w:p>
        </w:tc>
        <w:tc>
          <w:tcPr>
            <w:tcW w:w="18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64B76D5" w14:textId="77777777" w:rsidR="00E9058F" w:rsidRDefault="00E9058F" w:rsidP="00401B86">
            <w:pPr>
              <w:spacing w:after="0"/>
              <w:jc w:val="right"/>
              <w:rPr>
                <w:color w:val="000000"/>
              </w:rPr>
            </w:pPr>
            <w:r>
              <w:rPr>
                <w:color w:val="000000"/>
              </w:rPr>
              <w:t>16.46</w:t>
            </w:r>
          </w:p>
        </w:tc>
      </w:tr>
      <w:tr w:rsidR="00E9058F" w14:paraId="28AA76E9" w14:textId="77777777" w:rsidTr="00E9058F">
        <w:trPr>
          <w:trHeight w:val="300"/>
        </w:trPr>
        <w:tc>
          <w:tcPr>
            <w:tcW w:w="5303" w:type="dxa"/>
            <w:tcBorders>
              <w:top w:val="nil"/>
              <w:left w:val="single" w:sz="8" w:space="0" w:color="auto"/>
              <w:bottom w:val="nil"/>
              <w:right w:val="nil"/>
            </w:tcBorders>
            <w:noWrap/>
            <w:tcMar>
              <w:top w:w="0" w:type="dxa"/>
              <w:left w:w="108" w:type="dxa"/>
              <w:bottom w:w="0" w:type="dxa"/>
              <w:right w:w="108" w:type="dxa"/>
            </w:tcMar>
            <w:vAlign w:val="bottom"/>
            <w:hideMark/>
          </w:tcPr>
          <w:p w14:paraId="5B209022" w14:textId="77777777" w:rsidR="00E9058F" w:rsidRDefault="00E9058F" w:rsidP="00401B86">
            <w:pPr>
              <w:spacing w:after="0"/>
              <w:rPr>
                <w:color w:val="000000"/>
              </w:rPr>
            </w:pPr>
          </w:p>
        </w:tc>
        <w:tc>
          <w:tcPr>
            <w:tcW w:w="2250" w:type="dxa"/>
            <w:noWrap/>
            <w:tcMar>
              <w:top w:w="0" w:type="dxa"/>
              <w:left w:w="108" w:type="dxa"/>
              <w:bottom w:w="0" w:type="dxa"/>
              <w:right w:w="108" w:type="dxa"/>
            </w:tcMar>
            <w:vAlign w:val="bottom"/>
            <w:hideMark/>
          </w:tcPr>
          <w:p w14:paraId="0B465E98" w14:textId="77777777" w:rsidR="00E9058F" w:rsidRDefault="00E9058F" w:rsidP="00401B86">
            <w:pPr>
              <w:spacing w:after="0"/>
              <w:rPr>
                <w:rFonts w:ascii="Times New Roman" w:eastAsia="Times New Roman" w:hAnsi="Times New Roman" w:cs="Times New Roman"/>
                <w:sz w:val="20"/>
                <w:szCs w:val="20"/>
              </w:rPr>
            </w:pPr>
          </w:p>
        </w:tc>
        <w:tc>
          <w:tcPr>
            <w:tcW w:w="1800" w:type="dxa"/>
            <w:tcBorders>
              <w:top w:val="nil"/>
              <w:left w:val="nil"/>
              <w:bottom w:val="nil"/>
              <w:right w:val="single" w:sz="8" w:space="0" w:color="auto"/>
            </w:tcBorders>
            <w:noWrap/>
            <w:tcMar>
              <w:top w:w="0" w:type="dxa"/>
              <w:left w:w="108" w:type="dxa"/>
              <w:bottom w:w="0" w:type="dxa"/>
              <w:right w:w="108" w:type="dxa"/>
            </w:tcMar>
            <w:vAlign w:val="bottom"/>
            <w:hideMark/>
          </w:tcPr>
          <w:p w14:paraId="25A79276" w14:textId="77777777" w:rsidR="00E9058F" w:rsidRDefault="00E9058F" w:rsidP="00401B86">
            <w:pPr>
              <w:spacing w:after="0"/>
              <w:rPr>
                <w:rFonts w:ascii="Times New Roman" w:eastAsia="Times New Roman" w:hAnsi="Times New Roman" w:cs="Times New Roman"/>
                <w:sz w:val="20"/>
                <w:szCs w:val="20"/>
              </w:rPr>
            </w:pPr>
          </w:p>
        </w:tc>
      </w:tr>
      <w:tr w:rsidR="00E9058F" w14:paraId="02A4C993" w14:textId="77777777" w:rsidTr="00E9058F">
        <w:trPr>
          <w:trHeight w:val="80"/>
        </w:trPr>
        <w:tc>
          <w:tcPr>
            <w:tcW w:w="5303" w:type="dxa"/>
            <w:tcBorders>
              <w:top w:val="nil"/>
              <w:left w:val="single" w:sz="8" w:space="0" w:color="auto"/>
              <w:bottom w:val="nil"/>
              <w:right w:val="nil"/>
            </w:tcBorders>
            <w:noWrap/>
            <w:tcMar>
              <w:top w:w="0" w:type="dxa"/>
              <w:left w:w="108" w:type="dxa"/>
              <w:bottom w:w="0" w:type="dxa"/>
              <w:right w:w="108" w:type="dxa"/>
            </w:tcMar>
            <w:vAlign w:val="bottom"/>
            <w:hideMark/>
          </w:tcPr>
          <w:p w14:paraId="2EA08B68" w14:textId="77777777" w:rsidR="00E9058F" w:rsidRDefault="00E9058F" w:rsidP="00401B86">
            <w:pPr>
              <w:spacing w:after="0"/>
              <w:rPr>
                <w:rFonts w:ascii="Times New Roman" w:eastAsia="Times New Roman" w:hAnsi="Times New Roman" w:cs="Times New Roman"/>
                <w:sz w:val="20"/>
                <w:szCs w:val="20"/>
              </w:rPr>
            </w:pPr>
          </w:p>
        </w:tc>
        <w:tc>
          <w:tcPr>
            <w:tcW w:w="2250" w:type="dxa"/>
            <w:noWrap/>
            <w:tcMar>
              <w:top w:w="0" w:type="dxa"/>
              <w:left w:w="108" w:type="dxa"/>
              <w:bottom w:w="0" w:type="dxa"/>
              <w:right w:w="108" w:type="dxa"/>
            </w:tcMar>
            <w:vAlign w:val="bottom"/>
            <w:hideMark/>
          </w:tcPr>
          <w:p w14:paraId="6010E88D" w14:textId="77777777" w:rsidR="00E9058F" w:rsidRDefault="00E9058F" w:rsidP="00401B86">
            <w:pPr>
              <w:spacing w:after="0"/>
              <w:rPr>
                <w:rFonts w:ascii="Times New Roman" w:eastAsia="Times New Roman" w:hAnsi="Times New Roman" w:cs="Times New Roman"/>
                <w:sz w:val="20"/>
                <w:szCs w:val="20"/>
              </w:rPr>
            </w:pPr>
          </w:p>
        </w:tc>
        <w:tc>
          <w:tcPr>
            <w:tcW w:w="1800" w:type="dxa"/>
            <w:tcBorders>
              <w:top w:val="nil"/>
              <w:left w:val="nil"/>
              <w:bottom w:val="nil"/>
              <w:right w:val="single" w:sz="8" w:space="0" w:color="auto"/>
            </w:tcBorders>
            <w:noWrap/>
            <w:tcMar>
              <w:top w:w="0" w:type="dxa"/>
              <w:left w:w="108" w:type="dxa"/>
              <w:bottom w:w="0" w:type="dxa"/>
              <w:right w:w="108" w:type="dxa"/>
            </w:tcMar>
            <w:vAlign w:val="bottom"/>
            <w:hideMark/>
          </w:tcPr>
          <w:p w14:paraId="03B645EA" w14:textId="77777777" w:rsidR="00E9058F" w:rsidRDefault="00E9058F" w:rsidP="00401B86">
            <w:pPr>
              <w:spacing w:after="0"/>
              <w:rPr>
                <w:rFonts w:ascii="Times New Roman" w:eastAsia="Times New Roman" w:hAnsi="Times New Roman" w:cs="Times New Roman"/>
                <w:sz w:val="20"/>
                <w:szCs w:val="20"/>
              </w:rPr>
            </w:pPr>
          </w:p>
        </w:tc>
      </w:tr>
      <w:tr w:rsidR="00E9058F" w14:paraId="0DD7D58D" w14:textId="77777777" w:rsidTr="00E9058F">
        <w:trPr>
          <w:trHeight w:val="300"/>
        </w:trPr>
        <w:tc>
          <w:tcPr>
            <w:tcW w:w="5303"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6D5BC49" w14:textId="77777777" w:rsidR="00E9058F" w:rsidRDefault="00E9058F" w:rsidP="00401B86">
            <w:pPr>
              <w:spacing w:after="0"/>
              <w:rPr>
                <w:rFonts w:ascii="Calibri" w:hAnsi="Calibri" w:cs="Calibri"/>
                <w:b/>
                <w:bCs/>
                <w:color w:val="000000"/>
              </w:rPr>
            </w:pPr>
            <w:r>
              <w:rPr>
                <w:b/>
                <w:bCs/>
                <w:color w:val="000000"/>
              </w:rPr>
              <w:t>Outdoor: 145 Deg F Tank Temp, 51 Deg F Ambient, Wind = 1.86 (CZ01)</w:t>
            </w:r>
          </w:p>
        </w:tc>
        <w:tc>
          <w:tcPr>
            <w:tcW w:w="225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14:paraId="50A4F29F" w14:textId="77777777" w:rsidR="00E9058F" w:rsidRDefault="00E9058F" w:rsidP="00401B86">
            <w:pPr>
              <w:spacing w:after="0"/>
              <w:rPr>
                <w:color w:val="000000"/>
              </w:rPr>
            </w:pPr>
            <w:r>
              <w:rPr>
                <w:color w:val="000000"/>
              </w:rPr>
              <w:t> </w:t>
            </w:r>
          </w:p>
        </w:tc>
        <w:tc>
          <w:tcPr>
            <w:tcW w:w="180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14:paraId="62FC8DC6" w14:textId="77777777" w:rsidR="00E9058F" w:rsidRDefault="00E9058F" w:rsidP="00401B86">
            <w:pPr>
              <w:spacing w:after="0"/>
              <w:rPr>
                <w:color w:val="000000"/>
              </w:rPr>
            </w:pPr>
            <w:r>
              <w:rPr>
                <w:color w:val="000000"/>
              </w:rPr>
              <w:t> </w:t>
            </w:r>
          </w:p>
        </w:tc>
      </w:tr>
      <w:tr w:rsidR="00D21AA6" w14:paraId="4D5810B4" w14:textId="77777777" w:rsidTr="000E105A">
        <w:trPr>
          <w:trHeight w:val="300"/>
        </w:trPr>
        <w:tc>
          <w:tcPr>
            <w:tcW w:w="530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2C2835ED" w14:textId="404259E4" w:rsidR="00D21AA6" w:rsidRDefault="00D21AA6" w:rsidP="00401B86">
            <w:pPr>
              <w:spacing w:after="0"/>
              <w:rPr>
                <w:color w:val="000000"/>
              </w:rPr>
            </w:pPr>
            <w:r>
              <w:rPr>
                <w:color w:val="000000"/>
              </w:rPr>
              <w:t> </w:t>
            </w:r>
          </w:p>
        </w:tc>
        <w:tc>
          <w:tcPr>
            <w:tcW w:w="2250" w:type="dxa"/>
            <w:tcBorders>
              <w:top w:val="nil"/>
              <w:left w:val="nil"/>
              <w:bottom w:val="single" w:sz="8" w:space="0" w:color="auto"/>
              <w:right w:val="single" w:sz="8" w:space="0" w:color="auto"/>
            </w:tcBorders>
            <w:shd w:val="clear" w:color="auto" w:fill="92D050"/>
            <w:noWrap/>
            <w:tcMar>
              <w:top w:w="0" w:type="dxa"/>
              <w:left w:w="108" w:type="dxa"/>
              <w:bottom w:w="0" w:type="dxa"/>
              <w:right w:w="108" w:type="dxa"/>
            </w:tcMar>
            <w:vAlign w:val="bottom"/>
            <w:hideMark/>
          </w:tcPr>
          <w:p w14:paraId="1DA98550" w14:textId="4EAAEF41" w:rsidR="00D21AA6" w:rsidRDefault="00D21AA6" w:rsidP="00401B86">
            <w:pPr>
              <w:spacing w:after="0"/>
              <w:rPr>
                <w:color w:val="000000"/>
              </w:rPr>
            </w:pPr>
            <w:r>
              <w:rPr>
                <w:rFonts w:ascii="Calibri Light" w:hAnsi="Calibri Light" w:cs="Calibri Light"/>
                <w:color w:val="FFFFFF"/>
                <w:sz w:val="20"/>
                <w:szCs w:val="20"/>
              </w:rPr>
              <w:t xml:space="preserve">Heat loss Bare tank, </w:t>
            </w:r>
            <w:proofErr w:type="spellStart"/>
            <w:r>
              <w:rPr>
                <w:rFonts w:ascii="Calibri Light" w:hAnsi="Calibri Light" w:cs="Calibri Light"/>
                <w:color w:val="FFFFFF"/>
                <w:sz w:val="20"/>
                <w:szCs w:val="20"/>
              </w:rPr>
              <w:t>Btuh</w:t>
            </w:r>
            <w:proofErr w:type="spellEnd"/>
            <w:r>
              <w:rPr>
                <w:rFonts w:ascii="Calibri Light" w:hAnsi="Calibri Light" w:cs="Calibri Light"/>
                <w:color w:val="FFFFFF"/>
                <w:sz w:val="20"/>
                <w:szCs w:val="20"/>
              </w:rPr>
              <w:t>/</w:t>
            </w:r>
            <w:proofErr w:type="spellStart"/>
            <w:r>
              <w:rPr>
                <w:rFonts w:ascii="Calibri Light" w:hAnsi="Calibri Light" w:cs="Calibri Light"/>
                <w:color w:val="FFFFFF"/>
                <w:sz w:val="20"/>
                <w:szCs w:val="20"/>
              </w:rPr>
              <w:t>sqft</w:t>
            </w:r>
            <w:proofErr w:type="spellEnd"/>
          </w:p>
        </w:tc>
        <w:tc>
          <w:tcPr>
            <w:tcW w:w="1800" w:type="dxa"/>
            <w:tcBorders>
              <w:top w:val="nil"/>
              <w:left w:val="nil"/>
              <w:bottom w:val="single" w:sz="8" w:space="0" w:color="auto"/>
              <w:right w:val="single" w:sz="8" w:space="0" w:color="auto"/>
            </w:tcBorders>
            <w:shd w:val="clear" w:color="auto" w:fill="92D050"/>
            <w:noWrap/>
            <w:tcMar>
              <w:top w:w="0" w:type="dxa"/>
              <w:left w:w="108" w:type="dxa"/>
              <w:bottom w:w="0" w:type="dxa"/>
              <w:right w:w="108" w:type="dxa"/>
            </w:tcMar>
            <w:vAlign w:val="bottom"/>
            <w:hideMark/>
          </w:tcPr>
          <w:p w14:paraId="0B6C1B18" w14:textId="16E998D9" w:rsidR="00D21AA6" w:rsidRDefault="00D21AA6" w:rsidP="00401B86">
            <w:pPr>
              <w:spacing w:after="0"/>
              <w:rPr>
                <w:color w:val="000000"/>
              </w:rPr>
            </w:pPr>
            <w:r>
              <w:rPr>
                <w:rFonts w:ascii="Calibri Light" w:hAnsi="Calibri Light" w:cs="Calibri Light"/>
                <w:color w:val="FFFFFF"/>
                <w:sz w:val="20"/>
                <w:szCs w:val="20"/>
              </w:rPr>
              <w:t xml:space="preserve">Heat loss Insulated, </w:t>
            </w:r>
            <w:proofErr w:type="spellStart"/>
            <w:r>
              <w:rPr>
                <w:rFonts w:ascii="Calibri Light" w:hAnsi="Calibri Light" w:cs="Calibri Light"/>
                <w:color w:val="FFFFFF"/>
                <w:sz w:val="20"/>
                <w:szCs w:val="20"/>
              </w:rPr>
              <w:t>Btuh</w:t>
            </w:r>
            <w:proofErr w:type="spellEnd"/>
            <w:r>
              <w:rPr>
                <w:rFonts w:ascii="Calibri Light" w:hAnsi="Calibri Light" w:cs="Calibri Light"/>
                <w:color w:val="FFFFFF"/>
                <w:sz w:val="20"/>
                <w:szCs w:val="20"/>
              </w:rPr>
              <w:t>/</w:t>
            </w:r>
            <w:proofErr w:type="spellStart"/>
            <w:r>
              <w:rPr>
                <w:rFonts w:ascii="Calibri Light" w:hAnsi="Calibri Light" w:cs="Calibri Light"/>
                <w:color w:val="FFFFFF"/>
                <w:sz w:val="20"/>
                <w:szCs w:val="20"/>
              </w:rPr>
              <w:t>sqft</w:t>
            </w:r>
            <w:proofErr w:type="spellEnd"/>
          </w:p>
        </w:tc>
      </w:tr>
      <w:tr w:rsidR="00D21AA6" w14:paraId="477DD8DC" w14:textId="77777777" w:rsidTr="00D21AA6">
        <w:trPr>
          <w:trHeight w:val="60"/>
        </w:trPr>
        <w:tc>
          <w:tcPr>
            <w:tcW w:w="530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4685B0F1" w14:textId="0246AB55" w:rsidR="00D21AA6" w:rsidRDefault="00D21AA6" w:rsidP="00401B86">
            <w:pPr>
              <w:spacing w:after="0"/>
              <w:rPr>
                <w:color w:val="000000"/>
              </w:rPr>
            </w:pPr>
            <w:proofErr w:type="spellStart"/>
            <w:r>
              <w:rPr>
                <w:color w:val="000000"/>
              </w:rPr>
              <w:t>DataSpec</w:t>
            </w:r>
            <w:proofErr w:type="spellEnd"/>
            <w:r>
              <w:rPr>
                <w:color w:val="000000"/>
              </w:rPr>
              <w:t xml:space="preserve"> File</w:t>
            </w:r>
            <w:r w:rsidR="003D2CA9">
              <w:rPr>
                <w:color w:val="000000"/>
              </w:rPr>
              <w:t xml:space="preserve"> (Workpaper)</w:t>
            </w:r>
          </w:p>
        </w:tc>
        <w:tc>
          <w:tcPr>
            <w:tcW w:w="225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11E1E871" w14:textId="02B33D71" w:rsidR="00D21AA6" w:rsidRDefault="00D21AA6" w:rsidP="00D21AA6">
            <w:pPr>
              <w:spacing w:after="0"/>
              <w:jc w:val="right"/>
              <w:rPr>
                <w:rFonts w:ascii="Calibri Light" w:hAnsi="Calibri Light" w:cs="Calibri Light"/>
                <w:color w:val="FFFFFF"/>
                <w:sz w:val="20"/>
                <w:szCs w:val="20"/>
              </w:rPr>
            </w:pPr>
            <w:r>
              <w:rPr>
                <w:color w:val="000000"/>
              </w:rPr>
              <w:t>173.2</w:t>
            </w:r>
          </w:p>
        </w:tc>
        <w:tc>
          <w:tcPr>
            <w:tcW w:w="1800" w:type="dxa"/>
            <w:tcBorders>
              <w:top w:val="nil"/>
              <w:left w:val="nil"/>
              <w:bottom w:val="single" w:sz="8" w:space="0" w:color="auto"/>
              <w:right w:val="single" w:sz="8" w:space="0" w:color="auto"/>
            </w:tcBorders>
            <w:tcMar>
              <w:top w:w="0" w:type="dxa"/>
              <w:left w:w="108" w:type="dxa"/>
              <w:bottom w:w="0" w:type="dxa"/>
              <w:right w:w="108" w:type="dxa"/>
            </w:tcMar>
            <w:vAlign w:val="bottom"/>
            <w:hideMark/>
          </w:tcPr>
          <w:p w14:paraId="229EF731" w14:textId="516CC371" w:rsidR="00D21AA6" w:rsidRDefault="00D21AA6" w:rsidP="00D21AA6">
            <w:pPr>
              <w:spacing w:after="0"/>
              <w:jc w:val="right"/>
              <w:rPr>
                <w:rFonts w:ascii="Calibri Light" w:hAnsi="Calibri Light" w:cs="Calibri Light"/>
                <w:color w:val="FFFFFF"/>
                <w:sz w:val="20"/>
                <w:szCs w:val="20"/>
              </w:rPr>
            </w:pPr>
            <w:r>
              <w:rPr>
                <w:color w:val="000000"/>
              </w:rPr>
              <w:t>21.42</w:t>
            </w:r>
          </w:p>
        </w:tc>
      </w:tr>
      <w:tr w:rsidR="00D21AA6" w14:paraId="18FA632D" w14:textId="77777777" w:rsidTr="00E9058F">
        <w:trPr>
          <w:trHeight w:val="300"/>
        </w:trPr>
        <w:tc>
          <w:tcPr>
            <w:tcW w:w="530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41F54364" w14:textId="16663284" w:rsidR="00D21AA6" w:rsidRDefault="00D21AA6" w:rsidP="00401B86">
            <w:pPr>
              <w:spacing w:after="0"/>
              <w:rPr>
                <w:rFonts w:ascii="Calibri" w:hAnsi="Calibri" w:cs="Calibri"/>
                <w:color w:val="000000"/>
              </w:rPr>
            </w:pPr>
            <w:r>
              <w:rPr>
                <w:color w:val="000000"/>
              </w:rPr>
              <w:t>3E - Tank Shell - Horizontal</w:t>
            </w:r>
          </w:p>
        </w:tc>
        <w:tc>
          <w:tcPr>
            <w:tcW w:w="225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9273A80" w14:textId="1E0E6D40" w:rsidR="00D21AA6" w:rsidRDefault="00D21AA6" w:rsidP="00401B86">
            <w:pPr>
              <w:spacing w:after="0"/>
              <w:jc w:val="right"/>
              <w:rPr>
                <w:color w:val="000000"/>
              </w:rPr>
            </w:pPr>
            <w:r>
              <w:rPr>
                <w:color w:val="000000"/>
              </w:rPr>
              <w:t>173.3</w:t>
            </w:r>
          </w:p>
        </w:tc>
        <w:tc>
          <w:tcPr>
            <w:tcW w:w="18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0FC4545" w14:textId="54C4FFD6" w:rsidR="00D21AA6" w:rsidRDefault="00D21AA6" w:rsidP="00401B86">
            <w:pPr>
              <w:spacing w:after="0"/>
              <w:jc w:val="right"/>
              <w:rPr>
                <w:color w:val="000000"/>
              </w:rPr>
            </w:pPr>
            <w:r>
              <w:rPr>
                <w:color w:val="000000"/>
              </w:rPr>
              <w:t>21.31</w:t>
            </w:r>
          </w:p>
        </w:tc>
      </w:tr>
      <w:tr w:rsidR="00D21AA6" w14:paraId="286A4D25" w14:textId="77777777" w:rsidTr="00E9058F">
        <w:trPr>
          <w:trHeight w:val="300"/>
        </w:trPr>
        <w:tc>
          <w:tcPr>
            <w:tcW w:w="530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8BB799B" w14:textId="654E5B69" w:rsidR="00D21AA6" w:rsidRDefault="00D21AA6" w:rsidP="00401B86">
            <w:pPr>
              <w:spacing w:after="0"/>
              <w:rPr>
                <w:color w:val="000000"/>
              </w:rPr>
            </w:pPr>
            <w:r>
              <w:rPr>
                <w:color w:val="000000"/>
              </w:rPr>
              <w:t>3E - Tank Shell - Vertical</w:t>
            </w:r>
          </w:p>
        </w:tc>
        <w:tc>
          <w:tcPr>
            <w:tcW w:w="225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B351B5B" w14:textId="7F3B5D1D" w:rsidR="00D21AA6" w:rsidRDefault="00D21AA6" w:rsidP="00401B86">
            <w:pPr>
              <w:spacing w:after="0"/>
              <w:jc w:val="right"/>
              <w:rPr>
                <w:color w:val="000000"/>
              </w:rPr>
            </w:pPr>
            <w:r>
              <w:rPr>
                <w:color w:val="000000"/>
              </w:rPr>
              <w:t>173.3</w:t>
            </w:r>
          </w:p>
        </w:tc>
        <w:tc>
          <w:tcPr>
            <w:tcW w:w="18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F67490D" w14:textId="21D929D1" w:rsidR="00D21AA6" w:rsidRDefault="00D21AA6" w:rsidP="00401B86">
            <w:pPr>
              <w:spacing w:after="0"/>
              <w:jc w:val="right"/>
              <w:rPr>
                <w:color w:val="000000"/>
              </w:rPr>
            </w:pPr>
            <w:r>
              <w:rPr>
                <w:color w:val="000000"/>
              </w:rPr>
              <w:t>21.31</w:t>
            </w:r>
          </w:p>
        </w:tc>
      </w:tr>
      <w:tr w:rsidR="00D21AA6" w14:paraId="58E0327D" w14:textId="77777777" w:rsidTr="00E9058F">
        <w:trPr>
          <w:trHeight w:val="300"/>
        </w:trPr>
        <w:tc>
          <w:tcPr>
            <w:tcW w:w="530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11E3A9E" w14:textId="049AB52F" w:rsidR="00D21AA6" w:rsidRDefault="00D21AA6" w:rsidP="00401B86">
            <w:pPr>
              <w:spacing w:after="0"/>
              <w:rPr>
                <w:color w:val="000000"/>
              </w:rPr>
            </w:pPr>
            <w:r>
              <w:rPr>
                <w:color w:val="000000"/>
              </w:rPr>
              <w:t>3E - Flat Surface - Vertical</w:t>
            </w:r>
          </w:p>
        </w:tc>
        <w:tc>
          <w:tcPr>
            <w:tcW w:w="225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FBB7F63" w14:textId="3EC37F98" w:rsidR="00D21AA6" w:rsidRDefault="00D21AA6" w:rsidP="00401B86">
            <w:pPr>
              <w:spacing w:after="0"/>
              <w:jc w:val="right"/>
              <w:rPr>
                <w:color w:val="000000"/>
              </w:rPr>
            </w:pPr>
            <w:r>
              <w:rPr>
                <w:color w:val="000000"/>
              </w:rPr>
              <w:t>173.3</w:t>
            </w:r>
          </w:p>
        </w:tc>
        <w:tc>
          <w:tcPr>
            <w:tcW w:w="18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712D773" w14:textId="1E6A6226" w:rsidR="00D21AA6" w:rsidRDefault="00D21AA6" w:rsidP="00401B86">
            <w:pPr>
              <w:spacing w:after="0"/>
              <w:jc w:val="right"/>
              <w:rPr>
                <w:color w:val="000000"/>
              </w:rPr>
            </w:pPr>
            <w:r>
              <w:rPr>
                <w:color w:val="000000"/>
              </w:rPr>
              <w:t>21.31</w:t>
            </w:r>
          </w:p>
        </w:tc>
      </w:tr>
      <w:tr w:rsidR="00D21AA6" w14:paraId="3B6099EA" w14:textId="77777777" w:rsidTr="00E9058F">
        <w:trPr>
          <w:trHeight w:val="300"/>
        </w:trPr>
        <w:tc>
          <w:tcPr>
            <w:tcW w:w="5303"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2BFDCBD7" w14:textId="38A1DC6E" w:rsidR="00D21AA6" w:rsidRDefault="00D21AA6" w:rsidP="00401B86">
            <w:pPr>
              <w:spacing w:after="0"/>
              <w:rPr>
                <w:color w:val="000000"/>
              </w:rPr>
            </w:pPr>
            <w:r>
              <w:rPr>
                <w:color w:val="000000"/>
              </w:rPr>
              <w:t>3E - Duct/Tank - Flat Top</w:t>
            </w:r>
          </w:p>
        </w:tc>
        <w:tc>
          <w:tcPr>
            <w:tcW w:w="225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281B632" w14:textId="6694CDF1" w:rsidR="00D21AA6" w:rsidRDefault="00D21AA6" w:rsidP="00401B86">
            <w:pPr>
              <w:spacing w:after="0"/>
              <w:jc w:val="right"/>
              <w:rPr>
                <w:color w:val="000000"/>
              </w:rPr>
            </w:pPr>
            <w:r>
              <w:rPr>
                <w:color w:val="000000"/>
              </w:rPr>
              <w:t>198.7</w:t>
            </w:r>
          </w:p>
        </w:tc>
        <w:tc>
          <w:tcPr>
            <w:tcW w:w="18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53773C2" w14:textId="1AF9AFC7" w:rsidR="00D21AA6" w:rsidRDefault="00D21AA6" w:rsidP="00401B86">
            <w:pPr>
              <w:spacing w:after="0"/>
              <w:jc w:val="right"/>
              <w:rPr>
                <w:color w:val="000000"/>
              </w:rPr>
            </w:pPr>
            <w:r>
              <w:rPr>
                <w:color w:val="000000"/>
              </w:rPr>
              <w:t>22.46</w:t>
            </w:r>
          </w:p>
        </w:tc>
      </w:tr>
    </w:tbl>
    <w:p w14:paraId="3C3669D3" w14:textId="77777777" w:rsidR="007860C4" w:rsidRDefault="007860C4" w:rsidP="00EA4070"/>
    <w:sectPr w:rsidR="007860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F14623"/>
    <w:multiLevelType w:val="hybridMultilevel"/>
    <w:tmpl w:val="FA6E0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FC57F0D"/>
    <w:multiLevelType w:val="hybridMultilevel"/>
    <w:tmpl w:val="EE9EDD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7B030122"/>
    <w:multiLevelType w:val="hybridMultilevel"/>
    <w:tmpl w:val="3B5ED79E"/>
    <w:lvl w:ilvl="0" w:tplc="8B026BA6">
      <w:start w:val="22"/>
      <w:numFmt w:val="bullet"/>
      <w:lvlText w:val=""/>
      <w:lvlJc w:val="left"/>
      <w:pPr>
        <w:ind w:left="720" w:hanging="360"/>
      </w:pPr>
      <w:rPr>
        <w:rFonts w:ascii="Wingdings" w:eastAsia="Calibri" w:hAnsi="Wingding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1BB"/>
    <w:rsid w:val="00016F16"/>
    <w:rsid w:val="00021C5D"/>
    <w:rsid w:val="00047FC1"/>
    <w:rsid w:val="00081C21"/>
    <w:rsid w:val="00081C48"/>
    <w:rsid w:val="00096A19"/>
    <w:rsid w:val="00131866"/>
    <w:rsid w:val="00180A34"/>
    <w:rsid w:val="001B60BB"/>
    <w:rsid w:val="001C2B90"/>
    <w:rsid w:val="001E2B2E"/>
    <w:rsid w:val="001F73BF"/>
    <w:rsid w:val="00224A59"/>
    <w:rsid w:val="00240C83"/>
    <w:rsid w:val="002A755F"/>
    <w:rsid w:val="002B5283"/>
    <w:rsid w:val="002B5AD7"/>
    <w:rsid w:val="002B710B"/>
    <w:rsid w:val="002D58C5"/>
    <w:rsid w:val="002E05AF"/>
    <w:rsid w:val="003D2CA9"/>
    <w:rsid w:val="003E79B7"/>
    <w:rsid w:val="00411B1C"/>
    <w:rsid w:val="004266C0"/>
    <w:rsid w:val="0044566F"/>
    <w:rsid w:val="0048437C"/>
    <w:rsid w:val="004877DA"/>
    <w:rsid w:val="00487AE3"/>
    <w:rsid w:val="00494C74"/>
    <w:rsid w:val="004E7F9C"/>
    <w:rsid w:val="004F66D6"/>
    <w:rsid w:val="005A76C8"/>
    <w:rsid w:val="005A7C8C"/>
    <w:rsid w:val="00604FEC"/>
    <w:rsid w:val="00624607"/>
    <w:rsid w:val="00665EE4"/>
    <w:rsid w:val="006678E5"/>
    <w:rsid w:val="006B2665"/>
    <w:rsid w:val="006C6E3A"/>
    <w:rsid w:val="006F56C1"/>
    <w:rsid w:val="007408E0"/>
    <w:rsid w:val="007714FA"/>
    <w:rsid w:val="0078259B"/>
    <w:rsid w:val="007860C4"/>
    <w:rsid w:val="00791A22"/>
    <w:rsid w:val="007D149F"/>
    <w:rsid w:val="007F7268"/>
    <w:rsid w:val="008502BC"/>
    <w:rsid w:val="00855E36"/>
    <w:rsid w:val="00873AC8"/>
    <w:rsid w:val="008963E4"/>
    <w:rsid w:val="008F1FF0"/>
    <w:rsid w:val="00905B03"/>
    <w:rsid w:val="00922334"/>
    <w:rsid w:val="00943E3F"/>
    <w:rsid w:val="00971A28"/>
    <w:rsid w:val="009E1581"/>
    <w:rsid w:val="009F18A3"/>
    <w:rsid w:val="00A0698A"/>
    <w:rsid w:val="00A121FB"/>
    <w:rsid w:val="00A65545"/>
    <w:rsid w:val="00A834E9"/>
    <w:rsid w:val="00A87312"/>
    <w:rsid w:val="00AB2471"/>
    <w:rsid w:val="00AB26AE"/>
    <w:rsid w:val="00AB3BB1"/>
    <w:rsid w:val="00AC21BB"/>
    <w:rsid w:val="00AD3DAD"/>
    <w:rsid w:val="00AE6A74"/>
    <w:rsid w:val="00B2555E"/>
    <w:rsid w:val="00B8145B"/>
    <w:rsid w:val="00BA4AC4"/>
    <w:rsid w:val="00BB2954"/>
    <w:rsid w:val="00BD6BA3"/>
    <w:rsid w:val="00C44EE5"/>
    <w:rsid w:val="00C51A24"/>
    <w:rsid w:val="00C7236F"/>
    <w:rsid w:val="00CE69EE"/>
    <w:rsid w:val="00D14E82"/>
    <w:rsid w:val="00D21AA6"/>
    <w:rsid w:val="00DA5F42"/>
    <w:rsid w:val="00DB39A1"/>
    <w:rsid w:val="00DE37A0"/>
    <w:rsid w:val="00E14095"/>
    <w:rsid w:val="00E251DF"/>
    <w:rsid w:val="00E40362"/>
    <w:rsid w:val="00E9058F"/>
    <w:rsid w:val="00E912D8"/>
    <w:rsid w:val="00EA4070"/>
    <w:rsid w:val="00EB419A"/>
    <w:rsid w:val="00EC4C2D"/>
    <w:rsid w:val="00F00D47"/>
    <w:rsid w:val="00FB0581"/>
    <w:rsid w:val="00FE0D80"/>
    <w:rsid w:val="00FF3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27D1F"/>
  <w15:chartTrackingRefBased/>
  <w15:docId w15:val="{B0E902E8-C86F-484F-AAC1-C67BE5D11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C21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D3DAD"/>
    <w:pPr>
      <w:spacing w:after="0" w:line="240" w:lineRule="auto"/>
      <w:ind w:left="720"/>
    </w:pPr>
    <w:rPr>
      <w:rFonts w:ascii="Calibri" w:hAnsi="Calibri" w:cs="Calibri"/>
    </w:rPr>
  </w:style>
  <w:style w:type="character" w:styleId="CommentReference">
    <w:name w:val="annotation reference"/>
    <w:basedOn w:val="DefaultParagraphFont"/>
    <w:uiPriority w:val="99"/>
    <w:semiHidden/>
    <w:unhideWhenUsed/>
    <w:rsid w:val="009E1581"/>
    <w:rPr>
      <w:sz w:val="16"/>
      <w:szCs w:val="16"/>
    </w:rPr>
  </w:style>
  <w:style w:type="paragraph" w:styleId="CommentText">
    <w:name w:val="annotation text"/>
    <w:basedOn w:val="Normal"/>
    <w:link w:val="CommentTextChar"/>
    <w:uiPriority w:val="99"/>
    <w:semiHidden/>
    <w:unhideWhenUsed/>
    <w:rsid w:val="009E1581"/>
    <w:pPr>
      <w:spacing w:line="240" w:lineRule="auto"/>
    </w:pPr>
    <w:rPr>
      <w:sz w:val="20"/>
      <w:szCs w:val="20"/>
    </w:rPr>
  </w:style>
  <w:style w:type="character" w:customStyle="1" w:styleId="CommentTextChar">
    <w:name w:val="Comment Text Char"/>
    <w:basedOn w:val="DefaultParagraphFont"/>
    <w:link w:val="CommentText"/>
    <w:uiPriority w:val="99"/>
    <w:semiHidden/>
    <w:rsid w:val="009E1581"/>
    <w:rPr>
      <w:sz w:val="20"/>
      <w:szCs w:val="20"/>
    </w:rPr>
  </w:style>
  <w:style w:type="paragraph" w:styleId="CommentSubject">
    <w:name w:val="annotation subject"/>
    <w:basedOn w:val="CommentText"/>
    <w:next w:val="CommentText"/>
    <w:link w:val="CommentSubjectChar"/>
    <w:uiPriority w:val="99"/>
    <w:semiHidden/>
    <w:unhideWhenUsed/>
    <w:rsid w:val="009E1581"/>
    <w:rPr>
      <w:b/>
      <w:bCs/>
    </w:rPr>
  </w:style>
  <w:style w:type="character" w:customStyle="1" w:styleId="CommentSubjectChar">
    <w:name w:val="Comment Subject Char"/>
    <w:basedOn w:val="CommentTextChar"/>
    <w:link w:val="CommentSubject"/>
    <w:uiPriority w:val="99"/>
    <w:semiHidden/>
    <w:rsid w:val="009E1581"/>
    <w:rPr>
      <w:b/>
      <w:bCs/>
      <w:sz w:val="20"/>
      <w:szCs w:val="20"/>
    </w:rPr>
  </w:style>
  <w:style w:type="paragraph" w:styleId="BalloonText">
    <w:name w:val="Balloon Text"/>
    <w:basedOn w:val="Normal"/>
    <w:link w:val="BalloonTextChar"/>
    <w:uiPriority w:val="99"/>
    <w:semiHidden/>
    <w:unhideWhenUsed/>
    <w:rsid w:val="009E15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1581"/>
    <w:rPr>
      <w:rFonts w:ascii="Segoe UI" w:hAnsi="Segoe UI" w:cs="Segoe UI"/>
      <w:sz w:val="18"/>
      <w:szCs w:val="18"/>
    </w:rPr>
  </w:style>
  <w:style w:type="character" w:styleId="Mention">
    <w:name w:val="Mention"/>
    <w:basedOn w:val="DefaultParagraphFont"/>
    <w:uiPriority w:val="99"/>
    <w:unhideWhenUsed/>
    <w:rsid w:val="00487AE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475098">
      <w:bodyDiv w:val="1"/>
      <w:marLeft w:val="0"/>
      <w:marRight w:val="0"/>
      <w:marTop w:val="0"/>
      <w:marBottom w:val="0"/>
      <w:divBdr>
        <w:top w:val="none" w:sz="0" w:space="0" w:color="auto"/>
        <w:left w:val="none" w:sz="0" w:space="0" w:color="auto"/>
        <w:bottom w:val="none" w:sz="0" w:space="0" w:color="auto"/>
        <w:right w:val="none" w:sz="0" w:space="0" w:color="auto"/>
      </w:divBdr>
    </w:div>
    <w:div w:id="53630810">
      <w:bodyDiv w:val="1"/>
      <w:marLeft w:val="0"/>
      <w:marRight w:val="0"/>
      <w:marTop w:val="0"/>
      <w:marBottom w:val="0"/>
      <w:divBdr>
        <w:top w:val="none" w:sz="0" w:space="0" w:color="auto"/>
        <w:left w:val="none" w:sz="0" w:space="0" w:color="auto"/>
        <w:bottom w:val="none" w:sz="0" w:space="0" w:color="auto"/>
        <w:right w:val="none" w:sz="0" w:space="0" w:color="auto"/>
      </w:divBdr>
    </w:div>
    <w:div w:id="602495308">
      <w:bodyDiv w:val="1"/>
      <w:marLeft w:val="0"/>
      <w:marRight w:val="0"/>
      <w:marTop w:val="0"/>
      <w:marBottom w:val="0"/>
      <w:divBdr>
        <w:top w:val="none" w:sz="0" w:space="0" w:color="auto"/>
        <w:left w:val="none" w:sz="0" w:space="0" w:color="auto"/>
        <w:bottom w:val="none" w:sz="0" w:space="0" w:color="auto"/>
        <w:right w:val="none" w:sz="0" w:space="0" w:color="auto"/>
      </w:divBdr>
    </w:div>
    <w:div w:id="708264734">
      <w:bodyDiv w:val="1"/>
      <w:marLeft w:val="0"/>
      <w:marRight w:val="0"/>
      <w:marTop w:val="0"/>
      <w:marBottom w:val="0"/>
      <w:divBdr>
        <w:top w:val="none" w:sz="0" w:space="0" w:color="auto"/>
        <w:left w:val="none" w:sz="0" w:space="0" w:color="auto"/>
        <w:bottom w:val="none" w:sz="0" w:space="0" w:color="auto"/>
        <w:right w:val="none" w:sz="0" w:space="0" w:color="auto"/>
      </w:divBdr>
    </w:div>
    <w:div w:id="845050060">
      <w:bodyDiv w:val="1"/>
      <w:marLeft w:val="0"/>
      <w:marRight w:val="0"/>
      <w:marTop w:val="0"/>
      <w:marBottom w:val="0"/>
      <w:divBdr>
        <w:top w:val="none" w:sz="0" w:space="0" w:color="auto"/>
        <w:left w:val="none" w:sz="0" w:space="0" w:color="auto"/>
        <w:bottom w:val="none" w:sz="0" w:space="0" w:color="auto"/>
        <w:right w:val="none" w:sz="0" w:space="0" w:color="auto"/>
      </w:divBdr>
    </w:div>
    <w:div w:id="1002317760">
      <w:bodyDiv w:val="1"/>
      <w:marLeft w:val="0"/>
      <w:marRight w:val="0"/>
      <w:marTop w:val="0"/>
      <w:marBottom w:val="0"/>
      <w:divBdr>
        <w:top w:val="none" w:sz="0" w:space="0" w:color="auto"/>
        <w:left w:val="none" w:sz="0" w:space="0" w:color="auto"/>
        <w:bottom w:val="none" w:sz="0" w:space="0" w:color="auto"/>
        <w:right w:val="none" w:sz="0" w:space="0" w:color="auto"/>
      </w:divBdr>
    </w:div>
    <w:div w:id="1267545175">
      <w:bodyDiv w:val="1"/>
      <w:marLeft w:val="0"/>
      <w:marRight w:val="0"/>
      <w:marTop w:val="0"/>
      <w:marBottom w:val="0"/>
      <w:divBdr>
        <w:top w:val="none" w:sz="0" w:space="0" w:color="auto"/>
        <w:left w:val="none" w:sz="0" w:space="0" w:color="auto"/>
        <w:bottom w:val="none" w:sz="0" w:space="0" w:color="auto"/>
        <w:right w:val="none" w:sz="0" w:space="0" w:color="auto"/>
      </w:divBdr>
    </w:div>
    <w:div w:id="1596936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642</Words>
  <Characters>3663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Kerri-Ann Richard</dc:creator>
  <cp:keywords/>
  <dc:description/>
  <cp:lastModifiedBy>Danryd, Anders R</cp:lastModifiedBy>
  <cp:revision>8</cp:revision>
  <dcterms:created xsi:type="dcterms:W3CDTF">2021-02-05T19:20:00Z</dcterms:created>
  <dcterms:modified xsi:type="dcterms:W3CDTF">2021-02-05T20:55:00Z</dcterms:modified>
</cp:coreProperties>
</file>