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0E641444" w:rsidR="00BB2954" w:rsidRDefault="00411B1C">
      <w:r>
        <w:t xml:space="preserve">CPUC Comments on </w:t>
      </w:r>
      <w:r w:rsidR="00A121FB">
        <w:t>SWWH01</w:t>
      </w:r>
      <w:r w:rsidR="00AE79B1">
        <w:t>7</w:t>
      </w:r>
      <w:r w:rsidR="00A121FB">
        <w:t xml:space="preserve">-02 Hot Water </w:t>
      </w:r>
      <w:r w:rsidR="00AE79B1">
        <w:t>Pipe</w:t>
      </w:r>
      <w:r w:rsidR="00A121FB">
        <w:t xml:space="preserve"> Insulation, Non-Residential and Multifamily</w:t>
      </w:r>
    </w:p>
    <w:p w14:paraId="2BA7A164" w14:textId="6F7AE7B6" w:rsidR="004266C0" w:rsidRDefault="004266C0">
      <w:r>
        <w:t xml:space="preserve">Lead PA: </w:t>
      </w:r>
      <w:r w:rsidR="00A121FB">
        <w:t>SCG</w:t>
      </w:r>
    </w:p>
    <w:p w14:paraId="4BB68C7D" w14:textId="525B4CD4" w:rsidR="009E1581" w:rsidRDefault="004266C0">
      <w:r>
        <w:t xml:space="preserve">Workpaper </w:t>
      </w:r>
      <w:r w:rsidR="008F1FF0">
        <w:t xml:space="preserve">Submittal Date: </w:t>
      </w:r>
      <w:r w:rsidR="00A121FB">
        <w:t>12/21/2020</w:t>
      </w:r>
      <w:r w:rsidR="00AB26AE">
        <w:t xml:space="preserve"> </w:t>
      </w:r>
    </w:p>
    <w:p w14:paraId="06E32D11" w14:textId="71F9E5CF" w:rsidR="004266C0" w:rsidRDefault="004266C0">
      <w:r>
        <w:t xml:space="preserve">CPUC Review Date: </w:t>
      </w:r>
      <w:r w:rsidR="001139C5" w:rsidRPr="001139C5">
        <w:t>01</w:t>
      </w:r>
      <w:r w:rsidRPr="001139C5">
        <w:t>/</w:t>
      </w:r>
      <w:r w:rsidR="0073177D">
        <w:t>1</w:t>
      </w:r>
      <w:r w:rsidR="00CF0232">
        <w:t>3</w:t>
      </w:r>
      <w:r w:rsidRPr="001139C5">
        <w:t>/</w:t>
      </w:r>
      <w:r w:rsidR="001139C5" w:rsidRPr="001139C5">
        <w:t>2021</w:t>
      </w:r>
    </w:p>
    <w:tbl>
      <w:tblPr>
        <w:tblStyle w:val="TableGrid"/>
        <w:tblpPr w:leftFromText="180" w:rightFromText="180" w:vertAnchor="page" w:horzAnchor="margin" w:tblpY="3607"/>
        <w:tblW w:w="0" w:type="auto"/>
        <w:tblLayout w:type="fixed"/>
        <w:tblLook w:val="04A0" w:firstRow="1" w:lastRow="0" w:firstColumn="1" w:lastColumn="0" w:noHBand="0" w:noVBand="1"/>
      </w:tblPr>
      <w:tblGrid>
        <w:gridCol w:w="4315"/>
        <w:gridCol w:w="5035"/>
      </w:tblGrid>
      <w:tr w:rsidR="003E07D4" w14:paraId="7BA1A337" w14:textId="77777777" w:rsidTr="007B2981">
        <w:tc>
          <w:tcPr>
            <w:tcW w:w="4315" w:type="dxa"/>
          </w:tcPr>
          <w:p w14:paraId="1C4DB517" w14:textId="77777777" w:rsidR="003E07D4" w:rsidRDefault="003E07D4" w:rsidP="003E07D4">
            <w:r>
              <w:t>CPUC Comment</w:t>
            </w:r>
          </w:p>
        </w:tc>
        <w:tc>
          <w:tcPr>
            <w:tcW w:w="5035" w:type="dxa"/>
          </w:tcPr>
          <w:p w14:paraId="6C28FDE8" w14:textId="77777777" w:rsidR="003E07D4" w:rsidRDefault="003E07D4" w:rsidP="003E07D4">
            <w:r>
              <w:t>PA Response</w:t>
            </w:r>
          </w:p>
        </w:tc>
      </w:tr>
      <w:tr w:rsidR="003E07D4" w14:paraId="75CB46E5" w14:textId="77777777" w:rsidTr="007B2981">
        <w:tc>
          <w:tcPr>
            <w:tcW w:w="4315" w:type="dxa"/>
          </w:tcPr>
          <w:p w14:paraId="1CB5DCCB" w14:textId="77777777" w:rsidR="007B2981" w:rsidRDefault="007B2981" w:rsidP="003E07D4"/>
          <w:p w14:paraId="02FF7197" w14:textId="0CA0662D" w:rsidR="003E07D4" w:rsidRDefault="003E07D4" w:rsidP="003E07D4">
            <w:proofErr w:type="spellStart"/>
            <w:r>
              <w:t>EnergyImpact</w:t>
            </w:r>
            <w:proofErr w:type="spellEnd"/>
            <w:r>
              <w:t xml:space="preserve"> Tab: </w:t>
            </w:r>
            <w:r w:rsidRPr="00D1231A">
              <w:t>"Any" building location ID not found in PEAR.</w:t>
            </w:r>
          </w:p>
        </w:tc>
        <w:tc>
          <w:tcPr>
            <w:tcW w:w="5035" w:type="dxa"/>
          </w:tcPr>
          <w:p w14:paraId="4D2A8797" w14:textId="77777777" w:rsidR="00C42FED" w:rsidRDefault="00694A7F" w:rsidP="00261576">
            <w:r>
              <w:t>“Any</w:t>
            </w:r>
            <w:r w:rsidR="00A8754D">
              <w:t xml:space="preserve">” is an allowed building type </w:t>
            </w:r>
            <w:r w:rsidR="003B22FD">
              <w:t>in READI</w:t>
            </w:r>
            <w:r w:rsidR="00C67772">
              <w:t>.</w:t>
            </w:r>
          </w:p>
          <w:p w14:paraId="6EAC010D" w14:textId="59731220" w:rsidR="00C42FED" w:rsidRDefault="00C42FED" w:rsidP="00261576">
            <w:r w:rsidRPr="00FA3A6A">
              <w:rPr>
                <w:noProof/>
              </w:rPr>
              <w:drawing>
                <wp:inline distT="0" distB="0" distL="0" distR="0" wp14:anchorId="2E8B4C8A" wp14:editId="310407BA">
                  <wp:extent cx="3048000" cy="563880"/>
                  <wp:effectExtent l="76200" t="76200" r="133350" b="140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r="19025"/>
                          <a:stretch/>
                        </pic:blipFill>
                        <pic:spPr bwMode="auto">
                          <a:xfrm>
                            <a:off x="0" y="0"/>
                            <a:ext cx="3048000" cy="563880"/>
                          </a:xfrm>
                          <a:prstGeom prst="rect">
                            <a:avLst/>
                          </a:prstGeom>
                          <a:ln w="38100" cap="sq" cmpd="sng"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14:paraId="1CB56408" w14:textId="0B1AB8C0" w:rsidR="00FA3A6A" w:rsidRDefault="00C42FED" w:rsidP="00261576">
            <w:r>
              <w:t xml:space="preserve">Since “Any” isn’t allowed in CEDARS, </w:t>
            </w:r>
            <w:bookmarkStart w:id="0" w:name="_GoBack"/>
            <w:bookmarkEnd w:id="0"/>
            <w:r>
              <w:t xml:space="preserve">when </w:t>
            </w:r>
            <w:r>
              <w:t>used in claims, we will identify building location based on zip code on the record and use that CZ with the claim. This is how claims are reported for measures that are submitted with “Any” building type on the workpaper, for example food service workpapers where savings don’t vary on climate zone.</w:t>
            </w:r>
          </w:p>
        </w:tc>
      </w:tr>
      <w:tr w:rsidR="003E07D4" w14:paraId="04C13DD0" w14:textId="77777777" w:rsidTr="007B2981">
        <w:tc>
          <w:tcPr>
            <w:tcW w:w="4315" w:type="dxa"/>
          </w:tcPr>
          <w:p w14:paraId="126BB4AF" w14:textId="77777777" w:rsidR="003E07D4" w:rsidRDefault="003E07D4" w:rsidP="003E07D4">
            <w:r w:rsidRPr="00D1231A">
              <w:t>"Any" tech group ID is not a valid ID found in PEAR. The "</w:t>
            </w:r>
            <w:proofErr w:type="spellStart"/>
            <w:r w:rsidRPr="00D1231A">
              <w:t>WaterHtg_eq</w:t>
            </w:r>
            <w:proofErr w:type="spellEnd"/>
            <w:r w:rsidRPr="00D1231A">
              <w:t>" for water heating equipment group would be appropriate for this measure.</w:t>
            </w:r>
          </w:p>
        </w:tc>
        <w:tc>
          <w:tcPr>
            <w:tcW w:w="5035" w:type="dxa"/>
          </w:tcPr>
          <w:p w14:paraId="0008E636" w14:textId="5F92CBE7" w:rsidR="003E07D4" w:rsidRDefault="007B2981" w:rsidP="003E07D4">
            <w:r>
              <w:t xml:space="preserve">After reviewing </w:t>
            </w:r>
            <w:r w:rsidR="006274A5">
              <w:t>Technology</w:t>
            </w:r>
            <w:r>
              <w:t xml:space="preserve"> Groups in READI, </w:t>
            </w:r>
            <w:r w:rsidR="00FA3A6A">
              <w:t xml:space="preserve">“Any” </w:t>
            </w:r>
            <w:proofErr w:type="spellStart"/>
            <w:r w:rsidR="005A6560">
              <w:t>TechGroup</w:t>
            </w:r>
            <w:proofErr w:type="spellEnd"/>
            <w:r w:rsidR="005A6560">
              <w:t xml:space="preserve"> in Cost table </w:t>
            </w:r>
            <w:r>
              <w:t>will be</w:t>
            </w:r>
            <w:r w:rsidR="005A6560">
              <w:t xml:space="preserve"> </w:t>
            </w:r>
            <w:r>
              <w:t>fixed to “</w:t>
            </w:r>
            <w:proofErr w:type="spellStart"/>
            <w:r>
              <w:t>LiquidCirc</w:t>
            </w:r>
            <w:proofErr w:type="spellEnd"/>
            <w:r>
              <w:t>”, instead of “</w:t>
            </w:r>
            <w:proofErr w:type="spellStart"/>
            <w:r>
              <w:t>WaterHtg</w:t>
            </w:r>
            <w:proofErr w:type="spellEnd"/>
            <w:r>
              <w:t>-eq” as suggested.  “</w:t>
            </w:r>
            <w:proofErr w:type="spellStart"/>
            <w:r>
              <w:t>PipeIns</w:t>
            </w:r>
            <w:proofErr w:type="spellEnd"/>
            <w:r>
              <w:t>” belongs to “</w:t>
            </w:r>
            <w:proofErr w:type="spellStart"/>
            <w:r>
              <w:t>LiquidCirc</w:t>
            </w:r>
            <w:proofErr w:type="spellEnd"/>
            <w:r>
              <w:t>”</w:t>
            </w:r>
            <w:r w:rsidR="00537D03">
              <w:t xml:space="preserve"> and </w:t>
            </w:r>
            <w:r w:rsidR="00537D03">
              <w:t>“</w:t>
            </w:r>
            <w:proofErr w:type="spellStart"/>
            <w:r w:rsidR="00537D03">
              <w:t>Steam</w:t>
            </w:r>
            <w:r w:rsidR="00537D03">
              <w:t>Circ</w:t>
            </w:r>
            <w:proofErr w:type="spellEnd"/>
            <w:r w:rsidR="00537D03">
              <w:t xml:space="preserve">” </w:t>
            </w:r>
            <w:proofErr w:type="spellStart"/>
            <w:r w:rsidR="00537D03">
              <w:t>TechGroups</w:t>
            </w:r>
            <w:proofErr w:type="spellEnd"/>
            <w:r>
              <w:t xml:space="preserve">  (</w:t>
            </w:r>
            <w:proofErr w:type="spellStart"/>
            <w:r>
              <w:t>TankIns</w:t>
            </w:r>
            <w:proofErr w:type="spellEnd"/>
            <w:r>
              <w:t xml:space="preserve"> belongs to </w:t>
            </w:r>
            <w:proofErr w:type="spellStart"/>
            <w:r>
              <w:t>WaterHtg_eq</w:t>
            </w:r>
            <w:proofErr w:type="spellEnd"/>
            <w:r>
              <w:t xml:space="preserve"> tech group</w:t>
            </w:r>
            <w:r w:rsidR="00504C17">
              <w:t>).</w:t>
            </w:r>
            <w:r>
              <w:t xml:space="preserve">  </w:t>
            </w:r>
          </w:p>
          <w:p w14:paraId="48FF49DB" w14:textId="30893AD2" w:rsidR="007B2981" w:rsidRDefault="007B2981" w:rsidP="003E07D4">
            <w:r>
              <w:t>Please let us know if this is not correct.</w:t>
            </w:r>
          </w:p>
        </w:tc>
      </w:tr>
      <w:tr w:rsidR="003E07D4" w14:paraId="5630F1E3" w14:textId="77777777" w:rsidTr="007B2981">
        <w:tc>
          <w:tcPr>
            <w:tcW w:w="4315" w:type="dxa"/>
          </w:tcPr>
          <w:p w14:paraId="046D1395" w14:textId="77777777" w:rsidR="003E07D4" w:rsidRDefault="003E07D4" w:rsidP="003E07D4">
            <w:r w:rsidRPr="00D1231A">
              <w:t>The data in the Cost EAD table is not organized in the standard order. The Table as submitted, shows missing IDs from the several table fields including "</w:t>
            </w:r>
            <w:proofErr w:type="spellStart"/>
            <w:r w:rsidRPr="00D1231A">
              <w:t>VersionSource</w:t>
            </w:r>
            <w:proofErr w:type="spellEnd"/>
            <w:r w:rsidRPr="00D1231A">
              <w:t>", "</w:t>
            </w:r>
            <w:proofErr w:type="spellStart"/>
            <w:r w:rsidRPr="00D1231A">
              <w:t>NormUnit</w:t>
            </w:r>
            <w:proofErr w:type="spellEnd"/>
            <w:r w:rsidRPr="00D1231A">
              <w:t>", "</w:t>
            </w:r>
            <w:proofErr w:type="spellStart"/>
            <w:r w:rsidRPr="00D1231A">
              <w:t>UseCategory</w:t>
            </w:r>
            <w:proofErr w:type="spellEnd"/>
            <w:r w:rsidRPr="00D1231A">
              <w:t xml:space="preserve">", </w:t>
            </w:r>
            <w:proofErr w:type="spellStart"/>
            <w:r w:rsidRPr="00D1231A">
              <w:t>UseSubCategory</w:t>
            </w:r>
            <w:proofErr w:type="spellEnd"/>
            <w:r w:rsidRPr="00D1231A">
              <w:t>", "</w:t>
            </w:r>
            <w:proofErr w:type="spellStart"/>
            <w:r w:rsidRPr="00D1231A">
              <w:t>TechType</w:t>
            </w:r>
            <w:proofErr w:type="spellEnd"/>
            <w:r w:rsidRPr="00D1231A">
              <w:t>", "</w:t>
            </w:r>
            <w:proofErr w:type="spellStart"/>
            <w:r w:rsidRPr="00D1231A">
              <w:t>MeasAppType</w:t>
            </w:r>
            <w:proofErr w:type="spellEnd"/>
            <w:r w:rsidRPr="00D1231A">
              <w:t>", and "</w:t>
            </w:r>
            <w:proofErr w:type="spellStart"/>
            <w:r w:rsidRPr="00D1231A">
              <w:t>LaborRate</w:t>
            </w:r>
            <w:proofErr w:type="spellEnd"/>
            <w:r w:rsidRPr="00D1231A">
              <w:t>" fields. Please rearrange the Cost EAD table to match the standard order.</w:t>
            </w:r>
          </w:p>
        </w:tc>
        <w:tc>
          <w:tcPr>
            <w:tcW w:w="5035" w:type="dxa"/>
          </w:tcPr>
          <w:p w14:paraId="6794E563" w14:textId="31E51582" w:rsidR="003E07D4" w:rsidRDefault="00162043" w:rsidP="003E07D4">
            <w:r>
              <w:t xml:space="preserve">This was left over from the prior revision. </w:t>
            </w:r>
            <w:r w:rsidR="00626104">
              <w:t>The formatting</w:t>
            </w:r>
            <w:r>
              <w:t xml:space="preserve"> has been fixed.</w:t>
            </w:r>
          </w:p>
        </w:tc>
      </w:tr>
      <w:tr w:rsidR="003E07D4" w14:paraId="1683FDDB" w14:textId="77777777" w:rsidTr="007B2981">
        <w:tc>
          <w:tcPr>
            <w:tcW w:w="4315" w:type="dxa"/>
          </w:tcPr>
          <w:p w14:paraId="2EBC7306" w14:textId="77777777" w:rsidR="003E07D4" w:rsidRDefault="003E07D4" w:rsidP="003E07D4">
            <w:r>
              <w:t>What annual hours of operation is used to estimate energy impacts for multifamily buildings (common areas)?</w:t>
            </w:r>
          </w:p>
        </w:tc>
        <w:tc>
          <w:tcPr>
            <w:tcW w:w="5035" w:type="dxa"/>
          </w:tcPr>
          <w:p w14:paraId="7560A4F6" w14:textId="402B2D15" w:rsidR="003E07D4" w:rsidRDefault="001B34FD" w:rsidP="003E07D4">
            <w:r>
              <w:t xml:space="preserve">Multifamily uses the same </w:t>
            </w:r>
            <w:r w:rsidR="00034C56">
              <w:t>non-res</w:t>
            </w:r>
            <w:r>
              <w:t xml:space="preserve"> impact</w:t>
            </w:r>
            <w:r w:rsidR="00216973">
              <w:t>s</w:t>
            </w:r>
            <w:r>
              <w:t xml:space="preserve"> hours of operation of </w:t>
            </w:r>
            <w:r w:rsidRPr="001B34FD">
              <w:t>6,333</w:t>
            </w:r>
            <w:r>
              <w:t xml:space="preserve"> hours/year</w:t>
            </w:r>
            <w:r w:rsidR="00A5629A">
              <w:t>.</w:t>
            </w:r>
          </w:p>
          <w:p w14:paraId="5DFC888B" w14:textId="77777777" w:rsidR="00A5629A" w:rsidRDefault="00A5629A" w:rsidP="003E07D4"/>
          <w:p w14:paraId="2D020E3B" w14:textId="51B70CE0" w:rsidR="00034C56" w:rsidRDefault="00034C56" w:rsidP="003E07D4">
            <w:r>
              <w:t>In the WP</w:t>
            </w:r>
            <w:r w:rsidR="00A5629A">
              <w:t xml:space="preserve"> is stated that “</w:t>
            </w:r>
            <w:r w:rsidRPr="00034C56">
              <w:t>single value – the average of the annual hours of operation estimated for industrial facilities – was adopted for this measure.</w:t>
            </w:r>
            <w:r w:rsidR="00A5629A">
              <w:t>”</w:t>
            </w:r>
          </w:p>
          <w:p w14:paraId="7675C6FC" w14:textId="1F5FBB0B" w:rsidR="00A5629A" w:rsidRDefault="00A5629A" w:rsidP="003E07D4"/>
          <w:p w14:paraId="3C0F1E6B" w14:textId="3EE2CC25" w:rsidR="00A5629A" w:rsidRDefault="00A5629A" w:rsidP="00A5629A">
            <w:r>
              <w:t xml:space="preserve">While 8760 hours would be more appropriate for MFmCmn application, increasing to 8760 would provide approximately 35% more savings and require </w:t>
            </w:r>
            <w:r>
              <w:lastRenderedPageBreak/>
              <w:t>separate calculations.  Let us know if this should be changed to 8760.</w:t>
            </w:r>
          </w:p>
          <w:p w14:paraId="0E9573B1" w14:textId="742514D8" w:rsidR="007B2981" w:rsidRDefault="007B2981" w:rsidP="003E07D4"/>
        </w:tc>
      </w:tr>
      <w:tr w:rsidR="003E07D4" w14:paraId="421E4EBB" w14:textId="77777777" w:rsidTr="007B2981">
        <w:tc>
          <w:tcPr>
            <w:tcW w:w="4315" w:type="dxa"/>
          </w:tcPr>
          <w:p w14:paraId="60AE8902" w14:textId="77777777" w:rsidR="003E07D4" w:rsidRDefault="003E07D4" w:rsidP="003E07D4">
            <w:r>
              <w:lastRenderedPageBreak/>
              <w:t>In the example calculations presented in the workpaper, there are several typos or errors:</w:t>
            </w:r>
          </w:p>
          <w:p w14:paraId="22CAF263" w14:textId="77777777" w:rsidR="003E07D4" w:rsidRDefault="003E07D4" w:rsidP="003E07D4"/>
          <w:p w14:paraId="5EC17F94" w14:textId="77777777" w:rsidR="003E07D4" w:rsidRDefault="003E07D4" w:rsidP="003E07D4">
            <w:r>
              <w:t>The pipe surface temperature for the in the free convection, Rayleigh Number formula on page 12 is incorrectly listed as 135.3</w:t>
            </w:r>
            <w:r>
              <w:rPr>
                <w:rFonts w:cstheme="minorHAnsi"/>
              </w:rPr>
              <w:t>°</w:t>
            </w:r>
            <w:r>
              <w:t>F instead of 135.45</w:t>
            </w:r>
            <w:r>
              <w:rPr>
                <w:rFonts w:cstheme="minorHAnsi"/>
              </w:rPr>
              <w:t>°</w:t>
            </w:r>
            <w:r>
              <w:t>F, for hot water pipe. This error appears again in the heat transfer coefficient due to radiation formula and heat loss for bare pipe on page 13.</w:t>
            </w:r>
          </w:p>
          <w:p w14:paraId="404832C6" w14:textId="77777777" w:rsidR="003E07D4" w:rsidRDefault="003E07D4" w:rsidP="003E07D4"/>
          <w:p w14:paraId="2CD09FE3" w14:textId="77777777" w:rsidR="003E07D4" w:rsidRDefault="003E07D4" w:rsidP="003E07D4">
            <w:r>
              <w:t>The thermal conductivity of air at ambient conditions variable in the derivation of the heat transfer coefficient due to convection formula is incorrectly listed as 0.1457 (</w:t>
            </w:r>
            <w:proofErr w:type="spellStart"/>
            <w:r>
              <w:t>btu</w:t>
            </w:r>
            <w:proofErr w:type="spellEnd"/>
            <w:r>
              <w:t>/</w:t>
            </w:r>
            <w:proofErr w:type="spellStart"/>
            <w:r>
              <w:t>hr</w:t>
            </w:r>
            <w:proofErr w:type="spellEnd"/>
            <w:r>
              <w:t>-ft-</w:t>
            </w:r>
            <w:r>
              <w:rPr>
                <w:rFonts w:cstheme="minorHAnsi"/>
              </w:rPr>
              <w:t>°</w:t>
            </w:r>
            <w:r>
              <w:t>F) instead of 0.01457 (</w:t>
            </w:r>
            <w:proofErr w:type="spellStart"/>
            <w:r>
              <w:t>btu</w:t>
            </w:r>
            <w:proofErr w:type="spellEnd"/>
            <w:r>
              <w:t>/</w:t>
            </w:r>
            <w:proofErr w:type="spellStart"/>
            <w:r>
              <w:t>hr</w:t>
            </w:r>
            <w:proofErr w:type="spellEnd"/>
            <w:r>
              <w:t>-ft-</w:t>
            </w:r>
            <w:r>
              <w:rPr>
                <w:rFonts w:cstheme="minorHAnsi"/>
              </w:rPr>
              <w:t>°</w:t>
            </w:r>
            <w:r>
              <w:t>F).</w:t>
            </w:r>
          </w:p>
        </w:tc>
        <w:tc>
          <w:tcPr>
            <w:tcW w:w="5035" w:type="dxa"/>
          </w:tcPr>
          <w:p w14:paraId="5A9285A7" w14:textId="22F387C1" w:rsidR="0079176F" w:rsidRDefault="0079176F" w:rsidP="003E07D4">
            <w:r>
              <w:t>These have been fixed.</w:t>
            </w:r>
          </w:p>
        </w:tc>
      </w:tr>
      <w:tr w:rsidR="003E07D4" w14:paraId="23D9F238" w14:textId="77777777" w:rsidTr="007B2981">
        <w:tc>
          <w:tcPr>
            <w:tcW w:w="4315" w:type="dxa"/>
          </w:tcPr>
          <w:p w14:paraId="1FBF2777" w14:textId="77777777" w:rsidR="003E07D4" w:rsidRDefault="003E07D4" w:rsidP="003E07D4">
            <w:r>
              <w:t>The savings source workbook referenced in the UES Inputs table, page 10, references the old source. This should be version 5 of the WPSCGWP110812A workpaper, not version 4.</w:t>
            </w:r>
          </w:p>
        </w:tc>
        <w:tc>
          <w:tcPr>
            <w:tcW w:w="5035" w:type="dxa"/>
          </w:tcPr>
          <w:p w14:paraId="0359B74F" w14:textId="17DAEC3D" w:rsidR="003E07D4" w:rsidRDefault="00006640" w:rsidP="003E07D4">
            <w:r>
              <w:t xml:space="preserve">This </w:t>
            </w:r>
            <w:r w:rsidR="00C071ED">
              <w:t>has been corrected</w:t>
            </w:r>
            <w:r w:rsidR="006539A9">
              <w:t xml:space="preserve"> </w:t>
            </w:r>
          </w:p>
        </w:tc>
      </w:tr>
      <w:tr w:rsidR="003E07D4" w14:paraId="7B263A2D" w14:textId="77777777" w:rsidTr="007B2981">
        <w:tc>
          <w:tcPr>
            <w:tcW w:w="4315" w:type="dxa"/>
          </w:tcPr>
          <w:p w14:paraId="7B2E21BC" w14:textId="77777777" w:rsidR="003E07D4" w:rsidRDefault="003E07D4" w:rsidP="003E07D4">
            <w:proofErr w:type="spellStart"/>
            <w:r w:rsidRPr="00B70FA9">
              <w:t>EneryImpacts</w:t>
            </w:r>
            <w:proofErr w:type="spellEnd"/>
            <w:r w:rsidRPr="00B70FA9">
              <w:t xml:space="preserve"> Tab – It does not appear to show the added impacts for Multifamily? Should there be new line items for MF measures?</w:t>
            </w:r>
          </w:p>
        </w:tc>
        <w:tc>
          <w:tcPr>
            <w:tcW w:w="5035" w:type="dxa"/>
          </w:tcPr>
          <w:p w14:paraId="2B498E13" w14:textId="6FE0110A" w:rsidR="003E07D4" w:rsidRDefault="00A9286E" w:rsidP="003E07D4">
            <w:r>
              <w:t>Multifamily uses the same</w:t>
            </w:r>
            <w:r w:rsidR="009A152E">
              <w:t xml:space="preserve"> energy</w:t>
            </w:r>
            <w:r>
              <w:t xml:space="preserve"> </w:t>
            </w:r>
            <w:r w:rsidR="00DB20E8">
              <w:t xml:space="preserve">impacts as </w:t>
            </w:r>
            <w:r w:rsidR="00A3555F">
              <w:t>C</w:t>
            </w:r>
            <w:r w:rsidR="00DB20E8">
              <w:t>om</w:t>
            </w:r>
            <w:r w:rsidR="00A3555F">
              <w:t>, Ag and Ind</w:t>
            </w:r>
            <w:r w:rsidR="009A152E">
              <w:t xml:space="preserve">. </w:t>
            </w:r>
            <w:r w:rsidR="00DA0A51">
              <w:t xml:space="preserve"> In Measure tab, the same measure IDs are repeated four times for four different sectors, Com/ Ag/Ind/Res. </w:t>
            </w:r>
            <w:r w:rsidR="004465FD">
              <w:t>They all use the same energy impacts on the energy impact tab.</w:t>
            </w:r>
          </w:p>
          <w:p w14:paraId="01FA96E3" w14:textId="77777777" w:rsidR="00034C56" w:rsidRDefault="00034C56" w:rsidP="003E07D4"/>
          <w:p w14:paraId="02DFF32D" w14:textId="1EB0E82A" w:rsidR="00034C56" w:rsidRDefault="00034C56" w:rsidP="003E07D4">
            <w:r>
              <w:t>The narrative explains “</w:t>
            </w:r>
            <w:r w:rsidRPr="00034C56">
              <w:t>To simplify the analysis and minimize inaccurate assignment of project applications to the wrong building type, a single value – the average of the annual hours of operation estimated for industrial facilities – was adopted for this measure. This value is reasonable and close to the average operating hours across all three facility types.</w:t>
            </w:r>
            <w:r>
              <w:t>”</w:t>
            </w:r>
          </w:p>
          <w:p w14:paraId="03C74E01" w14:textId="77777777" w:rsidR="00034C56" w:rsidRDefault="00034C56" w:rsidP="003E07D4"/>
          <w:tbl>
            <w:tblPr>
              <w:tblW w:w="2640" w:type="dxa"/>
              <w:tblLayout w:type="fixed"/>
              <w:tblLook w:val="04A0" w:firstRow="1" w:lastRow="0" w:firstColumn="1" w:lastColumn="0" w:noHBand="0" w:noVBand="1"/>
            </w:tblPr>
            <w:tblGrid>
              <w:gridCol w:w="1680"/>
              <w:gridCol w:w="960"/>
            </w:tblGrid>
            <w:tr w:rsidR="00034C56" w:rsidRPr="00034C56" w14:paraId="2DBB00CA" w14:textId="77777777" w:rsidTr="00034C56">
              <w:trPr>
                <w:trHeight w:val="255"/>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72691" w14:textId="77777777" w:rsidR="00034C56" w:rsidRPr="00034C56" w:rsidRDefault="00034C56" w:rsidP="006274A5">
                  <w:pPr>
                    <w:framePr w:hSpace="180" w:wrap="around" w:vAnchor="page" w:hAnchor="margin" w:y="3607"/>
                    <w:spacing w:after="0" w:line="240" w:lineRule="auto"/>
                    <w:rPr>
                      <w:rFonts w:ascii="Arial" w:eastAsia="Times New Roman" w:hAnsi="Arial" w:cs="Arial"/>
                      <w:sz w:val="20"/>
                      <w:szCs w:val="20"/>
                    </w:rPr>
                  </w:pPr>
                  <w:r w:rsidRPr="00034C56">
                    <w:rPr>
                      <w:rFonts w:ascii="Arial" w:eastAsia="Times New Roman" w:hAnsi="Arial" w:cs="Arial"/>
                      <w:sz w:val="20"/>
                      <w:szCs w:val="20"/>
                    </w:rPr>
                    <w:t>Building Type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30F519E" w14:textId="77777777" w:rsidR="00034C56" w:rsidRPr="00034C56" w:rsidRDefault="00034C56" w:rsidP="006274A5">
                  <w:pPr>
                    <w:framePr w:hSpace="180" w:wrap="around" w:vAnchor="page" w:hAnchor="margin" w:y="3607"/>
                    <w:spacing w:after="0" w:line="240" w:lineRule="auto"/>
                    <w:rPr>
                      <w:rFonts w:ascii="Arial" w:eastAsia="Times New Roman" w:hAnsi="Arial" w:cs="Arial"/>
                      <w:sz w:val="20"/>
                      <w:szCs w:val="20"/>
                    </w:rPr>
                  </w:pPr>
                  <w:r w:rsidRPr="00034C56">
                    <w:rPr>
                      <w:rFonts w:ascii="Arial" w:eastAsia="Times New Roman" w:hAnsi="Arial" w:cs="Arial"/>
                      <w:sz w:val="20"/>
                      <w:szCs w:val="20"/>
                    </w:rPr>
                    <w:t>Hours</w:t>
                  </w:r>
                </w:p>
              </w:tc>
            </w:tr>
            <w:tr w:rsidR="00034C56" w:rsidRPr="00034C56" w14:paraId="01C2C198" w14:textId="77777777" w:rsidTr="00034C56">
              <w:trPr>
                <w:trHeight w:val="255"/>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7A1A1447" w14:textId="77777777" w:rsidR="00034C56" w:rsidRPr="00034C56" w:rsidRDefault="00034C56" w:rsidP="006274A5">
                  <w:pPr>
                    <w:framePr w:hSpace="180" w:wrap="around" w:vAnchor="page" w:hAnchor="margin" w:y="3607"/>
                    <w:spacing w:after="0" w:line="240" w:lineRule="auto"/>
                    <w:rPr>
                      <w:rFonts w:ascii="Arial" w:eastAsia="Times New Roman" w:hAnsi="Arial" w:cs="Arial"/>
                      <w:sz w:val="20"/>
                      <w:szCs w:val="20"/>
                    </w:rPr>
                  </w:pPr>
                  <w:r w:rsidRPr="00034C56">
                    <w:rPr>
                      <w:rFonts w:ascii="Arial" w:eastAsia="Times New Roman" w:hAnsi="Arial" w:cs="Arial"/>
                      <w:sz w:val="20"/>
                      <w:szCs w:val="20"/>
                    </w:rPr>
                    <w:t>Small Commercial</w:t>
                  </w:r>
                </w:p>
              </w:tc>
              <w:tc>
                <w:tcPr>
                  <w:tcW w:w="960" w:type="dxa"/>
                  <w:tcBorders>
                    <w:top w:val="nil"/>
                    <w:left w:val="nil"/>
                    <w:bottom w:val="single" w:sz="4" w:space="0" w:color="auto"/>
                    <w:right w:val="single" w:sz="4" w:space="0" w:color="auto"/>
                  </w:tcBorders>
                  <w:shd w:val="clear" w:color="auto" w:fill="auto"/>
                  <w:noWrap/>
                  <w:vAlign w:val="bottom"/>
                  <w:hideMark/>
                </w:tcPr>
                <w:p w14:paraId="5588F242" w14:textId="77777777" w:rsidR="00034C56" w:rsidRPr="00034C56" w:rsidRDefault="00034C56" w:rsidP="006274A5">
                  <w:pPr>
                    <w:framePr w:hSpace="180" w:wrap="around" w:vAnchor="page" w:hAnchor="margin" w:y="3607"/>
                    <w:spacing w:after="0" w:line="240" w:lineRule="auto"/>
                    <w:jc w:val="right"/>
                    <w:rPr>
                      <w:rFonts w:ascii="Arial" w:eastAsia="Times New Roman" w:hAnsi="Arial" w:cs="Arial"/>
                      <w:sz w:val="20"/>
                      <w:szCs w:val="20"/>
                    </w:rPr>
                  </w:pPr>
                  <w:r w:rsidRPr="00034C56">
                    <w:rPr>
                      <w:rFonts w:ascii="Arial" w:eastAsia="Times New Roman" w:hAnsi="Arial" w:cs="Arial"/>
                      <w:sz w:val="20"/>
                      <w:szCs w:val="20"/>
                    </w:rPr>
                    <w:t>7003</w:t>
                  </w:r>
                </w:p>
              </w:tc>
            </w:tr>
            <w:tr w:rsidR="00034C56" w:rsidRPr="00034C56" w14:paraId="7DE4A76F" w14:textId="77777777" w:rsidTr="00034C56">
              <w:trPr>
                <w:trHeight w:val="255"/>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2789A21D" w14:textId="77777777" w:rsidR="00034C56" w:rsidRPr="00034C56" w:rsidRDefault="00034C56" w:rsidP="006274A5">
                  <w:pPr>
                    <w:framePr w:hSpace="180" w:wrap="around" w:vAnchor="page" w:hAnchor="margin" w:y="3607"/>
                    <w:spacing w:after="0" w:line="240" w:lineRule="auto"/>
                    <w:rPr>
                      <w:rFonts w:ascii="Arial" w:eastAsia="Times New Roman" w:hAnsi="Arial" w:cs="Arial"/>
                      <w:sz w:val="20"/>
                      <w:szCs w:val="20"/>
                    </w:rPr>
                  </w:pPr>
                  <w:r w:rsidRPr="00034C56">
                    <w:rPr>
                      <w:rFonts w:ascii="Arial" w:eastAsia="Times New Roman" w:hAnsi="Arial" w:cs="Arial"/>
                      <w:sz w:val="20"/>
                      <w:szCs w:val="20"/>
                    </w:rPr>
                    <w:t>Large Commercial</w:t>
                  </w:r>
                </w:p>
              </w:tc>
              <w:tc>
                <w:tcPr>
                  <w:tcW w:w="960" w:type="dxa"/>
                  <w:tcBorders>
                    <w:top w:val="nil"/>
                    <w:left w:val="nil"/>
                    <w:bottom w:val="single" w:sz="4" w:space="0" w:color="auto"/>
                    <w:right w:val="single" w:sz="4" w:space="0" w:color="auto"/>
                  </w:tcBorders>
                  <w:shd w:val="clear" w:color="auto" w:fill="auto"/>
                  <w:noWrap/>
                  <w:vAlign w:val="bottom"/>
                  <w:hideMark/>
                </w:tcPr>
                <w:p w14:paraId="661CE75C" w14:textId="77777777" w:rsidR="00034C56" w:rsidRPr="00034C56" w:rsidRDefault="00034C56" w:rsidP="006274A5">
                  <w:pPr>
                    <w:framePr w:hSpace="180" w:wrap="around" w:vAnchor="page" w:hAnchor="margin" w:y="3607"/>
                    <w:spacing w:after="0" w:line="240" w:lineRule="auto"/>
                    <w:jc w:val="right"/>
                    <w:rPr>
                      <w:rFonts w:ascii="Arial" w:eastAsia="Times New Roman" w:hAnsi="Arial" w:cs="Arial"/>
                      <w:sz w:val="20"/>
                      <w:szCs w:val="20"/>
                    </w:rPr>
                  </w:pPr>
                  <w:r w:rsidRPr="00034C56">
                    <w:rPr>
                      <w:rFonts w:ascii="Arial" w:eastAsia="Times New Roman" w:hAnsi="Arial" w:cs="Arial"/>
                      <w:sz w:val="20"/>
                      <w:szCs w:val="20"/>
                    </w:rPr>
                    <w:t>6056</w:t>
                  </w:r>
                </w:p>
              </w:tc>
            </w:tr>
            <w:tr w:rsidR="00034C56" w:rsidRPr="00034C56" w14:paraId="14305EC8" w14:textId="77777777" w:rsidTr="00034C56">
              <w:trPr>
                <w:trHeight w:val="255"/>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8468F" w14:textId="77777777" w:rsidR="00034C56" w:rsidRPr="00034C56" w:rsidRDefault="00034C56" w:rsidP="006274A5">
                  <w:pPr>
                    <w:framePr w:hSpace="180" w:wrap="around" w:vAnchor="page" w:hAnchor="margin" w:y="3607"/>
                    <w:spacing w:after="0" w:line="240" w:lineRule="auto"/>
                    <w:rPr>
                      <w:rFonts w:ascii="Arial" w:eastAsia="Times New Roman" w:hAnsi="Arial" w:cs="Arial"/>
                      <w:sz w:val="20"/>
                      <w:szCs w:val="20"/>
                    </w:rPr>
                  </w:pPr>
                  <w:r w:rsidRPr="00034C56">
                    <w:rPr>
                      <w:rFonts w:ascii="Arial" w:eastAsia="Times New Roman" w:hAnsi="Arial" w:cs="Arial"/>
                      <w:sz w:val="20"/>
                      <w:szCs w:val="20"/>
                    </w:rPr>
                    <w:t>Industrial</w:t>
                  </w:r>
                </w:p>
              </w:tc>
              <w:tc>
                <w:tcPr>
                  <w:tcW w:w="960" w:type="dxa"/>
                  <w:tcBorders>
                    <w:top w:val="nil"/>
                    <w:left w:val="nil"/>
                    <w:bottom w:val="single" w:sz="4" w:space="0" w:color="auto"/>
                    <w:right w:val="single" w:sz="4" w:space="0" w:color="auto"/>
                  </w:tcBorders>
                  <w:shd w:val="clear" w:color="000000" w:fill="FFFF00"/>
                  <w:noWrap/>
                  <w:vAlign w:val="bottom"/>
                  <w:hideMark/>
                </w:tcPr>
                <w:p w14:paraId="1AB7B1E5" w14:textId="77777777" w:rsidR="00034C56" w:rsidRPr="00034C56" w:rsidRDefault="00034C56" w:rsidP="006274A5">
                  <w:pPr>
                    <w:framePr w:hSpace="180" w:wrap="around" w:vAnchor="page" w:hAnchor="margin" w:y="3607"/>
                    <w:spacing w:after="0" w:line="240" w:lineRule="auto"/>
                    <w:jc w:val="right"/>
                    <w:rPr>
                      <w:rFonts w:ascii="Arial" w:eastAsia="Times New Roman" w:hAnsi="Arial" w:cs="Arial"/>
                      <w:color w:val="FF0000"/>
                      <w:sz w:val="20"/>
                      <w:szCs w:val="20"/>
                    </w:rPr>
                  </w:pPr>
                  <w:r w:rsidRPr="00034C56">
                    <w:rPr>
                      <w:rFonts w:ascii="Arial" w:eastAsia="Times New Roman" w:hAnsi="Arial" w:cs="Arial"/>
                      <w:color w:val="FF0000"/>
                      <w:sz w:val="20"/>
                      <w:szCs w:val="20"/>
                    </w:rPr>
                    <w:t>6333</w:t>
                  </w:r>
                </w:p>
              </w:tc>
            </w:tr>
          </w:tbl>
          <w:p w14:paraId="6058CCAD" w14:textId="77777777" w:rsidR="00034C56" w:rsidRDefault="00034C56" w:rsidP="003E07D4"/>
          <w:p w14:paraId="33D12FDF" w14:textId="1F5A8D01" w:rsidR="007B2981" w:rsidRDefault="007B2981" w:rsidP="003E07D4">
            <w:r>
              <w:t xml:space="preserve"> </w:t>
            </w:r>
          </w:p>
        </w:tc>
      </w:tr>
      <w:tr w:rsidR="003E07D4" w14:paraId="517D5E6A" w14:textId="77777777" w:rsidTr="007B2981">
        <w:tc>
          <w:tcPr>
            <w:tcW w:w="4315" w:type="dxa"/>
          </w:tcPr>
          <w:p w14:paraId="0492CB16" w14:textId="77777777" w:rsidR="003E07D4" w:rsidRDefault="003E07D4" w:rsidP="003E07D4">
            <w:r>
              <w:lastRenderedPageBreak/>
              <w:t>Coversheet: Please express the following as an estimate of the % change due workpaper revision.</w:t>
            </w:r>
          </w:p>
          <w:p w14:paraId="0E85AC7D" w14:textId="77777777" w:rsidR="003E07D4" w:rsidRDefault="003E07D4" w:rsidP="003E07D4"/>
          <w:p w14:paraId="3936F24E" w14:textId="77777777" w:rsidR="003E07D4" w:rsidRDefault="003E07D4" w:rsidP="003E07D4">
            <w:r>
              <w:rPr>
                <w:noProof/>
              </w:rPr>
              <w:drawing>
                <wp:inline distT="0" distB="0" distL="0" distR="0" wp14:anchorId="519BE32C" wp14:editId="1DC446AA">
                  <wp:extent cx="2570819" cy="8667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74845" cy="868132"/>
                          </a:xfrm>
                          <a:prstGeom prst="rect">
                            <a:avLst/>
                          </a:prstGeom>
                        </pic:spPr>
                      </pic:pic>
                    </a:graphicData>
                  </a:graphic>
                </wp:inline>
              </w:drawing>
            </w:r>
          </w:p>
          <w:p w14:paraId="0BFA6B56" w14:textId="77777777" w:rsidR="003E07D4" w:rsidRDefault="003E07D4" w:rsidP="003E07D4"/>
          <w:p w14:paraId="20F48348" w14:textId="77777777" w:rsidR="003E07D4" w:rsidRDefault="003E07D4" w:rsidP="003E07D4"/>
          <w:p w14:paraId="5F5D2E1B" w14:textId="77777777" w:rsidR="003E07D4" w:rsidRDefault="003E07D4" w:rsidP="003E07D4"/>
          <w:p w14:paraId="14BEB08E" w14:textId="77777777" w:rsidR="003E07D4" w:rsidRDefault="003E07D4" w:rsidP="003E07D4"/>
          <w:p w14:paraId="7287FCE4" w14:textId="77777777" w:rsidR="003E07D4" w:rsidRPr="00B70FA9" w:rsidRDefault="003E07D4" w:rsidP="003E07D4"/>
        </w:tc>
        <w:tc>
          <w:tcPr>
            <w:tcW w:w="5035" w:type="dxa"/>
          </w:tcPr>
          <w:p w14:paraId="65FDB7B4" w14:textId="2308BA03" w:rsidR="003E07D4" w:rsidRDefault="00DA0A51" w:rsidP="003E07D4">
            <w:r>
              <w:t>The value expressed in “therms” is changed to %.</w:t>
            </w:r>
          </w:p>
        </w:tc>
      </w:tr>
    </w:tbl>
    <w:p w14:paraId="34C58858" w14:textId="622D88E8" w:rsidR="00AB26AE" w:rsidRDefault="00AB26AE"/>
    <w:p w14:paraId="72C6D87B" w14:textId="3AE14975"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06640"/>
    <w:rsid w:val="00016F16"/>
    <w:rsid w:val="00034C56"/>
    <w:rsid w:val="00047FC1"/>
    <w:rsid w:val="00096A19"/>
    <w:rsid w:val="001139C5"/>
    <w:rsid w:val="00131866"/>
    <w:rsid w:val="00162043"/>
    <w:rsid w:val="00175846"/>
    <w:rsid w:val="001B34FD"/>
    <w:rsid w:val="001B60BB"/>
    <w:rsid w:val="00216973"/>
    <w:rsid w:val="00261576"/>
    <w:rsid w:val="0027750A"/>
    <w:rsid w:val="002A755F"/>
    <w:rsid w:val="002E05AF"/>
    <w:rsid w:val="002F38D4"/>
    <w:rsid w:val="00366B02"/>
    <w:rsid w:val="003869AD"/>
    <w:rsid w:val="00395D6C"/>
    <w:rsid w:val="003B22FD"/>
    <w:rsid w:val="003C5B64"/>
    <w:rsid w:val="003E07D4"/>
    <w:rsid w:val="003E79B7"/>
    <w:rsid w:val="00411B1C"/>
    <w:rsid w:val="004266C0"/>
    <w:rsid w:val="004465FD"/>
    <w:rsid w:val="00470F5A"/>
    <w:rsid w:val="004E7F9C"/>
    <w:rsid w:val="00504C17"/>
    <w:rsid w:val="0053541B"/>
    <w:rsid w:val="00537D03"/>
    <w:rsid w:val="005677A3"/>
    <w:rsid w:val="005A6560"/>
    <w:rsid w:val="00606661"/>
    <w:rsid w:val="00626104"/>
    <w:rsid w:val="006274A5"/>
    <w:rsid w:val="006539A9"/>
    <w:rsid w:val="006617C9"/>
    <w:rsid w:val="00694A7F"/>
    <w:rsid w:val="006C6E3A"/>
    <w:rsid w:val="006F56C1"/>
    <w:rsid w:val="0073177D"/>
    <w:rsid w:val="007653F6"/>
    <w:rsid w:val="0079176F"/>
    <w:rsid w:val="00791A22"/>
    <w:rsid w:val="007B2981"/>
    <w:rsid w:val="00871369"/>
    <w:rsid w:val="008963E4"/>
    <w:rsid w:val="008F1FF0"/>
    <w:rsid w:val="00905B03"/>
    <w:rsid w:val="009A152E"/>
    <w:rsid w:val="009E1581"/>
    <w:rsid w:val="00A121FB"/>
    <w:rsid w:val="00A3555F"/>
    <w:rsid w:val="00A5629A"/>
    <w:rsid w:val="00A834E9"/>
    <w:rsid w:val="00A8754D"/>
    <w:rsid w:val="00A9286E"/>
    <w:rsid w:val="00AB26AE"/>
    <w:rsid w:val="00AC21BB"/>
    <w:rsid w:val="00AD3DAD"/>
    <w:rsid w:val="00AE79B1"/>
    <w:rsid w:val="00B70FA9"/>
    <w:rsid w:val="00B75DFF"/>
    <w:rsid w:val="00B8145B"/>
    <w:rsid w:val="00BA4AC4"/>
    <w:rsid w:val="00BB2954"/>
    <w:rsid w:val="00BD6B62"/>
    <w:rsid w:val="00C071ED"/>
    <w:rsid w:val="00C42FED"/>
    <w:rsid w:val="00C67772"/>
    <w:rsid w:val="00CC00B0"/>
    <w:rsid w:val="00CE69EE"/>
    <w:rsid w:val="00CF0232"/>
    <w:rsid w:val="00D00701"/>
    <w:rsid w:val="00DA0A51"/>
    <w:rsid w:val="00DB20E8"/>
    <w:rsid w:val="00E23130"/>
    <w:rsid w:val="00E5408D"/>
    <w:rsid w:val="00EC4C2D"/>
    <w:rsid w:val="00F00D47"/>
    <w:rsid w:val="00FA3A6A"/>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329138453">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14</cp:revision>
  <dcterms:created xsi:type="dcterms:W3CDTF">2021-01-29T19:50:00Z</dcterms:created>
  <dcterms:modified xsi:type="dcterms:W3CDTF">2021-01-29T21:50:00Z</dcterms:modified>
</cp:coreProperties>
</file>