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B85967" w14:textId="77777777" w:rsidR="00181E01" w:rsidRDefault="00181E01" w:rsidP="0053748E">
      <w:pPr>
        <w:jc w:val="center"/>
        <w:rPr>
          <w:spacing w:val="80"/>
          <w:sz w:val="28"/>
        </w:rPr>
      </w:pPr>
    </w:p>
    <w:tbl>
      <w:tblPr>
        <w:tblStyle w:val="TableGrid"/>
        <w:tblW w:w="9000"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C63F"/>
        <w:tblLayout w:type="fixed"/>
        <w:tblCellMar>
          <w:left w:w="115" w:type="dxa"/>
          <w:right w:w="115" w:type="dxa"/>
        </w:tblCellMar>
        <w:tblLook w:val="04A0" w:firstRow="1" w:lastRow="0" w:firstColumn="1" w:lastColumn="0" w:noHBand="0" w:noVBand="1"/>
      </w:tblPr>
      <w:tblGrid>
        <w:gridCol w:w="9000"/>
      </w:tblGrid>
      <w:tr w:rsidR="000110D9" w:rsidRPr="000110D9" w14:paraId="67BD4DD1" w14:textId="77777777" w:rsidTr="0073124E">
        <w:trPr>
          <w:cantSplit/>
          <w:trHeight w:hRule="exact" w:val="1881"/>
          <w:jc w:val="right"/>
        </w:trPr>
        <w:tc>
          <w:tcPr>
            <w:tcW w:w="9000" w:type="dxa"/>
            <w:shd w:val="clear" w:color="auto" w:fill="8DC63F"/>
            <w:vAlign w:val="center"/>
          </w:tcPr>
          <w:p w14:paraId="3EF67A49" w14:textId="0F18CF8F" w:rsidR="00BD221D" w:rsidRPr="005407DB" w:rsidRDefault="00EE4D02" w:rsidP="00BD221D">
            <w:pPr>
              <w:pStyle w:val="eTRMHeading1"/>
              <w:jc w:val="center"/>
              <w:rPr>
                <w:sz w:val="28"/>
              </w:rPr>
            </w:pPr>
            <w:r w:rsidRPr="005407DB">
              <w:rPr>
                <w:sz w:val="28"/>
              </w:rPr>
              <w:t>Water Heating</w:t>
            </w:r>
          </w:p>
          <w:p w14:paraId="6D163486" w14:textId="300C83CA" w:rsidR="00BD221D" w:rsidRPr="004041B3" w:rsidRDefault="0005554F" w:rsidP="006C75B8">
            <w:pPr>
              <w:pStyle w:val="eTRMHeading2"/>
            </w:pPr>
            <w:r w:rsidRPr="004041B3">
              <w:t xml:space="preserve">Demand Control for Centralized Water Heater Recirculation Pump, Multifamily </w:t>
            </w:r>
            <w:r w:rsidR="00272D2D" w:rsidRPr="004041B3">
              <w:t>&amp; Commercial</w:t>
            </w:r>
          </w:p>
          <w:p w14:paraId="10BE1877" w14:textId="638E5CAA" w:rsidR="005407DB" w:rsidRPr="005407DB" w:rsidRDefault="005C3E78" w:rsidP="003430CC">
            <w:pPr>
              <w:pStyle w:val="eTRMHeading2"/>
            </w:pPr>
            <w:r>
              <w:t>SWWH015-02</w:t>
            </w:r>
          </w:p>
        </w:tc>
      </w:tr>
    </w:tbl>
    <w:p w14:paraId="645F3ACB" w14:textId="77777777" w:rsidR="00BD221D" w:rsidRDefault="00BD221D" w:rsidP="00BD221D"/>
    <w:p w14:paraId="31745A8D" w14:textId="45DC1270" w:rsidR="00D12B8C" w:rsidRPr="00E14349" w:rsidRDefault="007E1F66" w:rsidP="0053748E">
      <w:pPr>
        <w:jc w:val="center"/>
        <w:rPr>
          <w:spacing w:val="80"/>
          <w:sz w:val="28"/>
        </w:rPr>
      </w:pPr>
      <w:r w:rsidRPr="00E14349">
        <w:rPr>
          <w:spacing w:val="80"/>
          <w:sz w:val="28"/>
        </w:rPr>
        <w:t>CONTENTS</w:t>
      </w:r>
    </w:p>
    <w:p w14:paraId="6418DAAD" w14:textId="74342652" w:rsidR="00B844CA" w:rsidRDefault="001C6C9B">
      <w:pPr>
        <w:pStyle w:val="TOC3"/>
        <w:rPr>
          <w:rFonts w:asciiTheme="minorHAnsi" w:hAnsiTheme="minorHAnsi"/>
          <w:noProof/>
          <w:szCs w:val="22"/>
        </w:rPr>
      </w:pPr>
      <w:r>
        <w:fldChar w:fldCharType="begin"/>
      </w:r>
      <w:r>
        <w:instrText xml:space="preserve"> TOC \t "eTRM Heading 3,3" </w:instrText>
      </w:r>
      <w:r>
        <w:fldChar w:fldCharType="separate"/>
      </w:r>
      <w:r w:rsidR="00B844CA">
        <w:rPr>
          <w:noProof/>
        </w:rPr>
        <w:t>Measure Name</w:t>
      </w:r>
      <w:r w:rsidR="00B844CA">
        <w:rPr>
          <w:noProof/>
        </w:rPr>
        <w:tab/>
      </w:r>
      <w:r w:rsidR="00B844CA">
        <w:rPr>
          <w:noProof/>
        </w:rPr>
        <w:fldChar w:fldCharType="begin"/>
      </w:r>
      <w:r w:rsidR="00B844CA">
        <w:rPr>
          <w:noProof/>
        </w:rPr>
        <w:instrText xml:space="preserve"> PAGEREF _Toc2250546 \h </w:instrText>
      </w:r>
      <w:r w:rsidR="00B844CA">
        <w:rPr>
          <w:noProof/>
        </w:rPr>
      </w:r>
      <w:r w:rsidR="00B844CA">
        <w:rPr>
          <w:noProof/>
        </w:rPr>
        <w:fldChar w:fldCharType="separate"/>
      </w:r>
      <w:r w:rsidR="00913FD3">
        <w:rPr>
          <w:noProof/>
        </w:rPr>
        <w:t>2</w:t>
      </w:r>
      <w:r w:rsidR="00B844CA">
        <w:rPr>
          <w:noProof/>
        </w:rPr>
        <w:fldChar w:fldCharType="end"/>
      </w:r>
    </w:p>
    <w:p w14:paraId="2889FDDC" w14:textId="4891DB8A" w:rsidR="00B844CA" w:rsidRDefault="00B844CA">
      <w:pPr>
        <w:pStyle w:val="TOC3"/>
        <w:rPr>
          <w:rFonts w:asciiTheme="minorHAnsi" w:hAnsiTheme="minorHAnsi"/>
          <w:noProof/>
          <w:szCs w:val="22"/>
        </w:rPr>
      </w:pPr>
      <w:r>
        <w:rPr>
          <w:noProof/>
        </w:rPr>
        <w:t>Statewide Measure ID</w:t>
      </w:r>
      <w:r>
        <w:rPr>
          <w:noProof/>
        </w:rPr>
        <w:tab/>
      </w:r>
      <w:r>
        <w:rPr>
          <w:noProof/>
        </w:rPr>
        <w:fldChar w:fldCharType="begin"/>
      </w:r>
      <w:r>
        <w:rPr>
          <w:noProof/>
        </w:rPr>
        <w:instrText xml:space="preserve"> PAGEREF _Toc2250547 \h </w:instrText>
      </w:r>
      <w:r>
        <w:rPr>
          <w:noProof/>
        </w:rPr>
      </w:r>
      <w:r>
        <w:rPr>
          <w:noProof/>
        </w:rPr>
        <w:fldChar w:fldCharType="separate"/>
      </w:r>
      <w:r w:rsidR="00913FD3">
        <w:rPr>
          <w:noProof/>
        </w:rPr>
        <w:t>2</w:t>
      </w:r>
      <w:r>
        <w:rPr>
          <w:noProof/>
        </w:rPr>
        <w:fldChar w:fldCharType="end"/>
      </w:r>
    </w:p>
    <w:p w14:paraId="50DCA0AF" w14:textId="019D9D9A" w:rsidR="00B844CA" w:rsidRDefault="00B844CA">
      <w:pPr>
        <w:pStyle w:val="TOC3"/>
        <w:rPr>
          <w:rFonts w:asciiTheme="minorHAnsi" w:hAnsiTheme="minorHAnsi"/>
          <w:noProof/>
          <w:szCs w:val="22"/>
        </w:rPr>
      </w:pPr>
      <w:r>
        <w:rPr>
          <w:noProof/>
        </w:rPr>
        <w:t>Technology Summary</w:t>
      </w:r>
      <w:r>
        <w:rPr>
          <w:noProof/>
        </w:rPr>
        <w:tab/>
      </w:r>
      <w:r>
        <w:rPr>
          <w:noProof/>
        </w:rPr>
        <w:fldChar w:fldCharType="begin"/>
      </w:r>
      <w:r>
        <w:rPr>
          <w:noProof/>
        </w:rPr>
        <w:instrText xml:space="preserve"> PAGEREF _Toc2250548 \h </w:instrText>
      </w:r>
      <w:r>
        <w:rPr>
          <w:noProof/>
        </w:rPr>
      </w:r>
      <w:r>
        <w:rPr>
          <w:noProof/>
        </w:rPr>
        <w:fldChar w:fldCharType="separate"/>
      </w:r>
      <w:r w:rsidR="00913FD3">
        <w:rPr>
          <w:noProof/>
        </w:rPr>
        <w:t>2</w:t>
      </w:r>
      <w:r>
        <w:rPr>
          <w:noProof/>
        </w:rPr>
        <w:fldChar w:fldCharType="end"/>
      </w:r>
    </w:p>
    <w:p w14:paraId="3B0D4985" w14:textId="0D12DC9B" w:rsidR="00B844CA" w:rsidRDefault="00B844CA">
      <w:pPr>
        <w:pStyle w:val="TOC3"/>
        <w:rPr>
          <w:rFonts w:asciiTheme="minorHAnsi" w:hAnsiTheme="minorHAnsi"/>
          <w:noProof/>
          <w:szCs w:val="22"/>
        </w:rPr>
      </w:pPr>
      <w:r>
        <w:rPr>
          <w:noProof/>
        </w:rPr>
        <w:t>Measure Case Description</w:t>
      </w:r>
      <w:r>
        <w:rPr>
          <w:noProof/>
        </w:rPr>
        <w:tab/>
      </w:r>
      <w:r>
        <w:rPr>
          <w:noProof/>
        </w:rPr>
        <w:fldChar w:fldCharType="begin"/>
      </w:r>
      <w:r>
        <w:rPr>
          <w:noProof/>
        </w:rPr>
        <w:instrText xml:space="preserve"> PAGEREF _Toc2250549 \h </w:instrText>
      </w:r>
      <w:r>
        <w:rPr>
          <w:noProof/>
        </w:rPr>
      </w:r>
      <w:r>
        <w:rPr>
          <w:noProof/>
        </w:rPr>
        <w:fldChar w:fldCharType="separate"/>
      </w:r>
      <w:r w:rsidR="00913FD3">
        <w:rPr>
          <w:noProof/>
        </w:rPr>
        <w:t>3</w:t>
      </w:r>
      <w:r>
        <w:rPr>
          <w:noProof/>
        </w:rPr>
        <w:fldChar w:fldCharType="end"/>
      </w:r>
    </w:p>
    <w:p w14:paraId="07CA3508" w14:textId="230F19B2" w:rsidR="00B844CA" w:rsidRDefault="00B844CA">
      <w:pPr>
        <w:pStyle w:val="TOC3"/>
        <w:rPr>
          <w:rFonts w:asciiTheme="minorHAnsi" w:hAnsiTheme="minorHAnsi"/>
          <w:noProof/>
          <w:szCs w:val="22"/>
        </w:rPr>
      </w:pPr>
      <w:r>
        <w:rPr>
          <w:noProof/>
        </w:rPr>
        <w:t>Base Case Description</w:t>
      </w:r>
      <w:r>
        <w:rPr>
          <w:noProof/>
        </w:rPr>
        <w:tab/>
      </w:r>
      <w:r>
        <w:rPr>
          <w:noProof/>
        </w:rPr>
        <w:fldChar w:fldCharType="begin"/>
      </w:r>
      <w:r>
        <w:rPr>
          <w:noProof/>
        </w:rPr>
        <w:instrText xml:space="preserve"> PAGEREF _Toc2250550 \h </w:instrText>
      </w:r>
      <w:r>
        <w:rPr>
          <w:noProof/>
        </w:rPr>
      </w:r>
      <w:r>
        <w:rPr>
          <w:noProof/>
        </w:rPr>
        <w:fldChar w:fldCharType="separate"/>
      </w:r>
      <w:r w:rsidR="00913FD3">
        <w:rPr>
          <w:noProof/>
        </w:rPr>
        <w:t>3</w:t>
      </w:r>
      <w:r>
        <w:rPr>
          <w:noProof/>
        </w:rPr>
        <w:fldChar w:fldCharType="end"/>
      </w:r>
    </w:p>
    <w:p w14:paraId="736132D8" w14:textId="2544586D" w:rsidR="00B844CA" w:rsidRDefault="00B844CA">
      <w:pPr>
        <w:pStyle w:val="TOC3"/>
        <w:rPr>
          <w:rFonts w:asciiTheme="minorHAnsi" w:hAnsiTheme="minorHAnsi"/>
          <w:noProof/>
          <w:szCs w:val="22"/>
        </w:rPr>
      </w:pPr>
      <w:r>
        <w:rPr>
          <w:noProof/>
        </w:rPr>
        <w:t>Code Requirements</w:t>
      </w:r>
      <w:r>
        <w:rPr>
          <w:noProof/>
        </w:rPr>
        <w:tab/>
      </w:r>
      <w:r>
        <w:rPr>
          <w:noProof/>
        </w:rPr>
        <w:fldChar w:fldCharType="begin"/>
      </w:r>
      <w:r>
        <w:rPr>
          <w:noProof/>
        </w:rPr>
        <w:instrText xml:space="preserve"> PAGEREF _Toc2250551 \h </w:instrText>
      </w:r>
      <w:r>
        <w:rPr>
          <w:noProof/>
        </w:rPr>
      </w:r>
      <w:r>
        <w:rPr>
          <w:noProof/>
        </w:rPr>
        <w:fldChar w:fldCharType="separate"/>
      </w:r>
      <w:r w:rsidR="00913FD3">
        <w:rPr>
          <w:noProof/>
        </w:rPr>
        <w:t>4</w:t>
      </w:r>
      <w:r>
        <w:rPr>
          <w:noProof/>
        </w:rPr>
        <w:fldChar w:fldCharType="end"/>
      </w:r>
    </w:p>
    <w:p w14:paraId="72E8787C" w14:textId="27EFC555" w:rsidR="00B844CA" w:rsidRDefault="00B844CA">
      <w:pPr>
        <w:pStyle w:val="TOC3"/>
        <w:rPr>
          <w:rFonts w:asciiTheme="minorHAnsi" w:hAnsiTheme="minorHAnsi"/>
          <w:noProof/>
          <w:szCs w:val="22"/>
        </w:rPr>
      </w:pPr>
      <w:r>
        <w:rPr>
          <w:noProof/>
        </w:rPr>
        <w:t>Normalizing Unit</w:t>
      </w:r>
      <w:r>
        <w:rPr>
          <w:noProof/>
        </w:rPr>
        <w:tab/>
      </w:r>
      <w:r>
        <w:rPr>
          <w:noProof/>
        </w:rPr>
        <w:fldChar w:fldCharType="begin"/>
      </w:r>
      <w:r>
        <w:rPr>
          <w:noProof/>
        </w:rPr>
        <w:instrText xml:space="preserve"> PAGEREF _Toc2250552 \h </w:instrText>
      </w:r>
      <w:r>
        <w:rPr>
          <w:noProof/>
        </w:rPr>
      </w:r>
      <w:r>
        <w:rPr>
          <w:noProof/>
        </w:rPr>
        <w:fldChar w:fldCharType="separate"/>
      </w:r>
      <w:r w:rsidR="00913FD3">
        <w:rPr>
          <w:noProof/>
        </w:rPr>
        <w:t>5</w:t>
      </w:r>
      <w:r>
        <w:rPr>
          <w:noProof/>
        </w:rPr>
        <w:fldChar w:fldCharType="end"/>
      </w:r>
    </w:p>
    <w:p w14:paraId="5B631C2A" w14:textId="19033FAF" w:rsidR="00B844CA" w:rsidRDefault="00B844CA">
      <w:pPr>
        <w:pStyle w:val="TOC3"/>
        <w:rPr>
          <w:rFonts w:asciiTheme="minorHAnsi" w:hAnsiTheme="minorHAnsi"/>
          <w:noProof/>
          <w:szCs w:val="22"/>
        </w:rPr>
      </w:pPr>
      <w:r>
        <w:rPr>
          <w:noProof/>
        </w:rPr>
        <w:t>Program Requirements</w:t>
      </w:r>
      <w:r>
        <w:rPr>
          <w:noProof/>
        </w:rPr>
        <w:tab/>
      </w:r>
      <w:r>
        <w:rPr>
          <w:noProof/>
        </w:rPr>
        <w:fldChar w:fldCharType="begin"/>
      </w:r>
      <w:r>
        <w:rPr>
          <w:noProof/>
        </w:rPr>
        <w:instrText xml:space="preserve"> PAGEREF _Toc2250553 \h </w:instrText>
      </w:r>
      <w:r>
        <w:rPr>
          <w:noProof/>
        </w:rPr>
      </w:r>
      <w:r>
        <w:rPr>
          <w:noProof/>
        </w:rPr>
        <w:fldChar w:fldCharType="separate"/>
      </w:r>
      <w:r w:rsidR="00913FD3">
        <w:rPr>
          <w:noProof/>
        </w:rPr>
        <w:t>5</w:t>
      </w:r>
      <w:r>
        <w:rPr>
          <w:noProof/>
        </w:rPr>
        <w:fldChar w:fldCharType="end"/>
      </w:r>
    </w:p>
    <w:p w14:paraId="043C5F7D" w14:textId="4BD498D9" w:rsidR="00B844CA" w:rsidRDefault="00B844CA">
      <w:pPr>
        <w:pStyle w:val="TOC3"/>
        <w:rPr>
          <w:rFonts w:asciiTheme="minorHAnsi" w:hAnsiTheme="minorHAnsi"/>
          <w:noProof/>
          <w:szCs w:val="22"/>
        </w:rPr>
      </w:pPr>
      <w:r>
        <w:rPr>
          <w:noProof/>
        </w:rPr>
        <w:t>Program Exclusions</w:t>
      </w:r>
      <w:r>
        <w:rPr>
          <w:noProof/>
        </w:rPr>
        <w:tab/>
      </w:r>
      <w:r>
        <w:rPr>
          <w:noProof/>
        </w:rPr>
        <w:fldChar w:fldCharType="begin"/>
      </w:r>
      <w:r>
        <w:rPr>
          <w:noProof/>
        </w:rPr>
        <w:instrText xml:space="preserve"> PAGEREF _Toc2250554 \h </w:instrText>
      </w:r>
      <w:r>
        <w:rPr>
          <w:noProof/>
        </w:rPr>
      </w:r>
      <w:r>
        <w:rPr>
          <w:noProof/>
        </w:rPr>
        <w:fldChar w:fldCharType="separate"/>
      </w:r>
      <w:r w:rsidR="00913FD3">
        <w:rPr>
          <w:noProof/>
        </w:rPr>
        <w:t>7</w:t>
      </w:r>
      <w:r>
        <w:rPr>
          <w:noProof/>
        </w:rPr>
        <w:fldChar w:fldCharType="end"/>
      </w:r>
    </w:p>
    <w:p w14:paraId="1B27E4ED" w14:textId="1D572F0C" w:rsidR="00B844CA" w:rsidRDefault="00B844CA">
      <w:pPr>
        <w:pStyle w:val="TOC3"/>
        <w:rPr>
          <w:rFonts w:asciiTheme="minorHAnsi" w:hAnsiTheme="minorHAnsi"/>
          <w:noProof/>
          <w:szCs w:val="22"/>
        </w:rPr>
      </w:pPr>
      <w:r>
        <w:rPr>
          <w:noProof/>
        </w:rPr>
        <w:t>Data Collection Requirements</w:t>
      </w:r>
      <w:r>
        <w:rPr>
          <w:noProof/>
        </w:rPr>
        <w:tab/>
      </w:r>
      <w:r>
        <w:rPr>
          <w:noProof/>
        </w:rPr>
        <w:fldChar w:fldCharType="begin"/>
      </w:r>
      <w:r>
        <w:rPr>
          <w:noProof/>
        </w:rPr>
        <w:instrText xml:space="preserve"> PAGEREF _Toc2250555 \h </w:instrText>
      </w:r>
      <w:r>
        <w:rPr>
          <w:noProof/>
        </w:rPr>
      </w:r>
      <w:r>
        <w:rPr>
          <w:noProof/>
        </w:rPr>
        <w:fldChar w:fldCharType="separate"/>
      </w:r>
      <w:r w:rsidR="00913FD3">
        <w:rPr>
          <w:noProof/>
        </w:rPr>
        <w:t>7</w:t>
      </w:r>
      <w:r>
        <w:rPr>
          <w:noProof/>
        </w:rPr>
        <w:fldChar w:fldCharType="end"/>
      </w:r>
    </w:p>
    <w:p w14:paraId="64861982" w14:textId="0EE7C81D" w:rsidR="00B844CA" w:rsidRDefault="00B844CA">
      <w:pPr>
        <w:pStyle w:val="TOC3"/>
        <w:rPr>
          <w:rFonts w:asciiTheme="minorHAnsi" w:hAnsiTheme="minorHAnsi"/>
          <w:noProof/>
          <w:szCs w:val="22"/>
        </w:rPr>
      </w:pPr>
      <w:r>
        <w:rPr>
          <w:noProof/>
        </w:rPr>
        <w:t>Use Category</w:t>
      </w:r>
      <w:r>
        <w:rPr>
          <w:noProof/>
        </w:rPr>
        <w:tab/>
      </w:r>
      <w:r>
        <w:rPr>
          <w:noProof/>
        </w:rPr>
        <w:fldChar w:fldCharType="begin"/>
      </w:r>
      <w:r>
        <w:rPr>
          <w:noProof/>
        </w:rPr>
        <w:instrText xml:space="preserve"> PAGEREF _Toc2250556 \h </w:instrText>
      </w:r>
      <w:r>
        <w:rPr>
          <w:noProof/>
        </w:rPr>
      </w:r>
      <w:r>
        <w:rPr>
          <w:noProof/>
        </w:rPr>
        <w:fldChar w:fldCharType="separate"/>
      </w:r>
      <w:r w:rsidR="00913FD3">
        <w:rPr>
          <w:noProof/>
        </w:rPr>
        <w:t>7</w:t>
      </w:r>
      <w:r>
        <w:rPr>
          <w:noProof/>
        </w:rPr>
        <w:fldChar w:fldCharType="end"/>
      </w:r>
    </w:p>
    <w:p w14:paraId="078D8006" w14:textId="06062219" w:rsidR="00B844CA" w:rsidRDefault="00B844CA">
      <w:pPr>
        <w:pStyle w:val="TOC3"/>
        <w:rPr>
          <w:rFonts w:asciiTheme="minorHAnsi" w:hAnsiTheme="minorHAnsi"/>
          <w:noProof/>
          <w:szCs w:val="22"/>
        </w:rPr>
      </w:pPr>
      <w:r>
        <w:rPr>
          <w:noProof/>
        </w:rPr>
        <w:t>Electric Savings (kWh)</w:t>
      </w:r>
      <w:r>
        <w:rPr>
          <w:noProof/>
        </w:rPr>
        <w:tab/>
      </w:r>
      <w:r>
        <w:rPr>
          <w:noProof/>
        </w:rPr>
        <w:fldChar w:fldCharType="begin"/>
      </w:r>
      <w:r>
        <w:rPr>
          <w:noProof/>
        </w:rPr>
        <w:instrText xml:space="preserve"> PAGEREF _Toc2250557 \h </w:instrText>
      </w:r>
      <w:r>
        <w:rPr>
          <w:noProof/>
        </w:rPr>
      </w:r>
      <w:r>
        <w:rPr>
          <w:noProof/>
        </w:rPr>
        <w:fldChar w:fldCharType="separate"/>
      </w:r>
      <w:r w:rsidR="00913FD3">
        <w:rPr>
          <w:noProof/>
        </w:rPr>
        <w:t>7</w:t>
      </w:r>
      <w:r>
        <w:rPr>
          <w:noProof/>
        </w:rPr>
        <w:fldChar w:fldCharType="end"/>
      </w:r>
    </w:p>
    <w:p w14:paraId="5A7519F4" w14:textId="0034A429" w:rsidR="00B844CA" w:rsidRDefault="00B844CA">
      <w:pPr>
        <w:pStyle w:val="TOC3"/>
        <w:rPr>
          <w:rFonts w:asciiTheme="minorHAnsi" w:hAnsiTheme="minorHAnsi"/>
          <w:noProof/>
          <w:szCs w:val="22"/>
        </w:rPr>
      </w:pPr>
      <w:r>
        <w:rPr>
          <w:noProof/>
        </w:rPr>
        <w:t>Peak Electric Demand Reduction (</w:t>
      </w:r>
      <w:r w:rsidRPr="00940089">
        <w:rPr>
          <w:noProof/>
        </w:rPr>
        <w:t>kW</w:t>
      </w:r>
      <w:r>
        <w:rPr>
          <w:noProof/>
        </w:rPr>
        <w:t>)</w:t>
      </w:r>
      <w:r>
        <w:rPr>
          <w:noProof/>
        </w:rPr>
        <w:tab/>
      </w:r>
      <w:r>
        <w:rPr>
          <w:noProof/>
        </w:rPr>
        <w:fldChar w:fldCharType="begin"/>
      </w:r>
      <w:r>
        <w:rPr>
          <w:noProof/>
        </w:rPr>
        <w:instrText xml:space="preserve"> PAGEREF _Toc2250558 \h </w:instrText>
      </w:r>
      <w:r>
        <w:rPr>
          <w:noProof/>
        </w:rPr>
      </w:r>
      <w:r>
        <w:rPr>
          <w:noProof/>
        </w:rPr>
        <w:fldChar w:fldCharType="separate"/>
      </w:r>
      <w:r w:rsidR="00913FD3">
        <w:rPr>
          <w:noProof/>
        </w:rPr>
        <w:t>22</w:t>
      </w:r>
      <w:r>
        <w:rPr>
          <w:noProof/>
        </w:rPr>
        <w:fldChar w:fldCharType="end"/>
      </w:r>
    </w:p>
    <w:p w14:paraId="5971932F" w14:textId="1FDF4504" w:rsidR="00B844CA" w:rsidRDefault="00B844CA">
      <w:pPr>
        <w:pStyle w:val="TOC3"/>
        <w:rPr>
          <w:rFonts w:asciiTheme="minorHAnsi" w:hAnsiTheme="minorHAnsi"/>
          <w:noProof/>
          <w:szCs w:val="22"/>
        </w:rPr>
      </w:pPr>
      <w:r>
        <w:rPr>
          <w:noProof/>
        </w:rPr>
        <w:t>Gas Savings (</w:t>
      </w:r>
      <w:r w:rsidRPr="00940089">
        <w:rPr>
          <w:noProof/>
        </w:rPr>
        <w:t>Therms</w:t>
      </w:r>
      <w:r>
        <w:rPr>
          <w:noProof/>
        </w:rPr>
        <w:t>)</w:t>
      </w:r>
      <w:r>
        <w:rPr>
          <w:noProof/>
        </w:rPr>
        <w:tab/>
      </w:r>
      <w:r>
        <w:rPr>
          <w:noProof/>
        </w:rPr>
        <w:fldChar w:fldCharType="begin"/>
      </w:r>
      <w:r>
        <w:rPr>
          <w:noProof/>
        </w:rPr>
        <w:instrText xml:space="preserve"> PAGEREF _Toc2250559 \h </w:instrText>
      </w:r>
      <w:r>
        <w:rPr>
          <w:noProof/>
        </w:rPr>
      </w:r>
      <w:r>
        <w:rPr>
          <w:noProof/>
        </w:rPr>
        <w:fldChar w:fldCharType="separate"/>
      </w:r>
      <w:r w:rsidR="00913FD3">
        <w:rPr>
          <w:noProof/>
        </w:rPr>
        <w:t>22</w:t>
      </w:r>
      <w:r>
        <w:rPr>
          <w:noProof/>
        </w:rPr>
        <w:fldChar w:fldCharType="end"/>
      </w:r>
    </w:p>
    <w:p w14:paraId="75286157" w14:textId="3FED00BC" w:rsidR="00B844CA" w:rsidRDefault="00B844CA">
      <w:pPr>
        <w:pStyle w:val="TOC3"/>
        <w:rPr>
          <w:rFonts w:asciiTheme="minorHAnsi" w:hAnsiTheme="minorHAnsi"/>
          <w:noProof/>
          <w:szCs w:val="22"/>
        </w:rPr>
      </w:pPr>
      <w:r>
        <w:rPr>
          <w:noProof/>
        </w:rPr>
        <w:t>Life Cycle</w:t>
      </w:r>
      <w:r>
        <w:rPr>
          <w:noProof/>
        </w:rPr>
        <w:tab/>
      </w:r>
      <w:r>
        <w:rPr>
          <w:noProof/>
        </w:rPr>
        <w:fldChar w:fldCharType="begin"/>
      </w:r>
      <w:r>
        <w:rPr>
          <w:noProof/>
        </w:rPr>
        <w:instrText xml:space="preserve"> PAGEREF _Toc2250560 \h </w:instrText>
      </w:r>
      <w:r>
        <w:rPr>
          <w:noProof/>
        </w:rPr>
      </w:r>
      <w:r>
        <w:rPr>
          <w:noProof/>
        </w:rPr>
        <w:fldChar w:fldCharType="separate"/>
      </w:r>
      <w:r w:rsidR="00913FD3">
        <w:rPr>
          <w:noProof/>
        </w:rPr>
        <w:t>22</w:t>
      </w:r>
      <w:r>
        <w:rPr>
          <w:noProof/>
        </w:rPr>
        <w:fldChar w:fldCharType="end"/>
      </w:r>
    </w:p>
    <w:p w14:paraId="292B3CB2" w14:textId="3BE0A825" w:rsidR="00B844CA" w:rsidRDefault="00B844CA">
      <w:pPr>
        <w:pStyle w:val="TOC3"/>
        <w:rPr>
          <w:rFonts w:asciiTheme="minorHAnsi" w:hAnsiTheme="minorHAnsi"/>
          <w:noProof/>
          <w:szCs w:val="22"/>
        </w:rPr>
      </w:pPr>
      <w:r>
        <w:rPr>
          <w:noProof/>
        </w:rPr>
        <w:t>Base Case Material Cost ($/unit)</w:t>
      </w:r>
      <w:r>
        <w:rPr>
          <w:noProof/>
        </w:rPr>
        <w:tab/>
      </w:r>
      <w:r>
        <w:rPr>
          <w:noProof/>
        </w:rPr>
        <w:fldChar w:fldCharType="begin"/>
      </w:r>
      <w:r>
        <w:rPr>
          <w:noProof/>
        </w:rPr>
        <w:instrText xml:space="preserve"> PAGEREF _Toc2250561 \h </w:instrText>
      </w:r>
      <w:r>
        <w:rPr>
          <w:noProof/>
        </w:rPr>
      </w:r>
      <w:r>
        <w:rPr>
          <w:noProof/>
        </w:rPr>
        <w:fldChar w:fldCharType="separate"/>
      </w:r>
      <w:r w:rsidR="00913FD3">
        <w:rPr>
          <w:noProof/>
        </w:rPr>
        <w:t>23</w:t>
      </w:r>
      <w:r>
        <w:rPr>
          <w:noProof/>
        </w:rPr>
        <w:fldChar w:fldCharType="end"/>
      </w:r>
    </w:p>
    <w:p w14:paraId="7AC43654" w14:textId="6061AC29" w:rsidR="00B844CA" w:rsidRDefault="00B844CA">
      <w:pPr>
        <w:pStyle w:val="TOC3"/>
        <w:rPr>
          <w:rFonts w:asciiTheme="minorHAnsi" w:hAnsiTheme="minorHAnsi"/>
          <w:noProof/>
          <w:szCs w:val="22"/>
        </w:rPr>
      </w:pPr>
      <w:r>
        <w:rPr>
          <w:noProof/>
        </w:rPr>
        <w:t>Measure Case Material Cost ($/unit)</w:t>
      </w:r>
      <w:r>
        <w:rPr>
          <w:noProof/>
        </w:rPr>
        <w:tab/>
      </w:r>
      <w:r>
        <w:rPr>
          <w:noProof/>
        </w:rPr>
        <w:fldChar w:fldCharType="begin"/>
      </w:r>
      <w:r>
        <w:rPr>
          <w:noProof/>
        </w:rPr>
        <w:instrText xml:space="preserve"> PAGEREF _Toc2250562 \h </w:instrText>
      </w:r>
      <w:r>
        <w:rPr>
          <w:noProof/>
        </w:rPr>
      </w:r>
      <w:r>
        <w:rPr>
          <w:noProof/>
        </w:rPr>
        <w:fldChar w:fldCharType="separate"/>
      </w:r>
      <w:r w:rsidR="00913FD3">
        <w:rPr>
          <w:noProof/>
        </w:rPr>
        <w:t>23</w:t>
      </w:r>
      <w:r>
        <w:rPr>
          <w:noProof/>
        </w:rPr>
        <w:fldChar w:fldCharType="end"/>
      </w:r>
    </w:p>
    <w:p w14:paraId="54652129" w14:textId="62ED47BF" w:rsidR="00B844CA" w:rsidRDefault="00B844CA">
      <w:pPr>
        <w:pStyle w:val="TOC3"/>
        <w:rPr>
          <w:rFonts w:asciiTheme="minorHAnsi" w:hAnsiTheme="minorHAnsi"/>
          <w:noProof/>
          <w:szCs w:val="22"/>
        </w:rPr>
      </w:pPr>
      <w:r>
        <w:rPr>
          <w:noProof/>
        </w:rPr>
        <w:t>Base Case Labor Cost ($/unit)</w:t>
      </w:r>
      <w:r>
        <w:rPr>
          <w:noProof/>
        </w:rPr>
        <w:tab/>
      </w:r>
      <w:r>
        <w:rPr>
          <w:noProof/>
        </w:rPr>
        <w:fldChar w:fldCharType="begin"/>
      </w:r>
      <w:r>
        <w:rPr>
          <w:noProof/>
        </w:rPr>
        <w:instrText xml:space="preserve"> PAGEREF _Toc2250563 \h </w:instrText>
      </w:r>
      <w:r>
        <w:rPr>
          <w:noProof/>
        </w:rPr>
      </w:r>
      <w:r>
        <w:rPr>
          <w:noProof/>
        </w:rPr>
        <w:fldChar w:fldCharType="separate"/>
      </w:r>
      <w:r w:rsidR="00913FD3">
        <w:rPr>
          <w:noProof/>
        </w:rPr>
        <w:t>24</w:t>
      </w:r>
      <w:r>
        <w:rPr>
          <w:noProof/>
        </w:rPr>
        <w:fldChar w:fldCharType="end"/>
      </w:r>
    </w:p>
    <w:p w14:paraId="46B60A6B" w14:textId="7729F054" w:rsidR="00B844CA" w:rsidRDefault="00B844CA">
      <w:pPr>
        <w:pStyle w:val="TOC3"/>
        <w:rPr>
          <w:rFonts w:asciiTheme="minorHAnsi" w:hAnsiTheme="minorHAnsi"/>
          <w:noProof/>
          <w:szCs w:val="22"/>
        </w:rPr>
      </w:pPr>
      <w:r>
        <w:rPr>
          <w:noProof/>
        </w:rPr>
        <w:t>Measure Case Labor Cost ($/unit)</w:t>
      </w:r>
      <w:r>
        <w:rPr>
          <w:noProof/>
        </w:rPr>
        <w:tab/>
      </w:r>
      <w:r>
        <w:rPr>
          <w:noProof/>
        </w:rPr>
        <w:fldChar w:fldCharType="begin"/>
      </w:r>
      <w:r>
        <w:rPr>
          <w:noProof/>
        </w:rPr>
        <w:instrText xml:space="preserve"> PAGEREF _Toc2250564 \h </w:instrText>
      </w:r>
      <w:r>
        <w:rPr>
          <w:noProof/>
        </w:rPr>
      </w:r>
      <w:r>
        <w:rPr>
          <w:noProof/>
        </w:rPr>
        <w:fldChar w:fldCharType="separate"/>
      </w:r>
      <w:r w:rsidR="00913FD3">
        <w:rPr>
          <w:noProof/>
        </w:rPr>
        <w:t>24</w:t>
      </w:r>
      <w:r>
        <w:rPr>
          <w:noProof/>
        </w:rPr>
        <w:fldChar w:fldCharType="end"/>
      </w:r>
    </w:p>
    <w:p w14:paraId="50BA939F" w14:textId="5650ED1A" w:rsidR="00B844CA" w:rsidRDefault="00B844CA">
      <w:pPr>
        <w:pStyle w:val="TOC3"/>
        <w:rPr>
          <w:rFonts w:asciiTheme="minorHAnsi" w:hAnsiTheme="minorHAnsi"/>
          <w:noProof/>
          <w:szCs w:val="22"/>
        </w:rPr>
      </w:pPr>
      <w:r>
        <w:rPr>
          <w:noProof/>
        </w:rPr>
        <w:t>Net-to-Gross (NTG)</w:t>
      </w:r>
      <w:r>
        <w:rPr>
          <w:noProof/>
        </w:rPr>
        <w:tab/>
      </w:r>
      <w:r>
        <w:rPr>
          <w:noProof/>
        </w:rPr>
        <w:fldChar w:fldCharType="begin"/>
      </w:r>
      <w:r>
        <w:rPr>
          <w:noProof/>
        </w:rPr>
        <w:instrText xml:space="preserve"> PAGEREF _Toc2250565 \h </w:instrText>
      </w:r>
      <w:r>
        <w:rPr>
          <w:noProof/>
        </w:rPr>
      </w:r>
      <w:r>
        <w:rPr>
          <w:noProof/>
        </w:rPr>
        <w:fldChar w:fldCharType="separate"/>
      </w:r>
      <w:r w:rsidR="00913FD3">
        <w:rPr>
          <w:noProof/>
        </w:rPr>
        <w:t>25</w:t>
      </w:r>
      <w:r>
        <w:rPr>
          <w:noProof/>
        </w:rPr>
        <w:fldChar w:fldCharType="end"/>
      </w:r>
    </w:p>
    <w:p w14:paraId="20BE120E" w14:textId="484029B2" w:rsidR="00B844CA" w:rsidRDefault="00B844CA">
      <w:pPr>
        <w:pStyle w:val="TOC3"/>
        <w:rPr>
          <w:rFonts w:asciiTheme="minorHAnsi" w:hAnsiTheme="minorHAnsi"/>
          <w:noProof/>
          <w:szCs w:val="22"/>
        </w:rPr>
      </w:pPr>
      <w:r>
        <w:rPr>
          <w:noProof/>
        </w:rPr>
        <w:t>Gross Savings Installation Adjustment (GSIA)</w:t>
      </w:r>
      <w:r>
        <w:rPr>
          <w:noProof/>
        </w:rPr>
        <w:tab/>
      </w:r>
      <w:r>
        <w:rPr>
          <w:noProof/>
        </w:rPr>
        <w:fldChar w:fldCharType="begin"/>
      </w:r>
      <w:r>
        <w:rPr>
          <w:noProof/>
        </w:rPr>
        <w:instrText xml:space="preserve"> PAGEREF _Toc2250566 \h </w:instrText>
      </w:r>
      <w:r>
        <w:rPr>
          <w:noProof/>
        </w:rPr>
      </w:r>
      <w:r>
        <w:rPr>
          <w:noProof/>
        </w:rPr>
        <w:fldChar w:fldCharType="separate"/>
      </w:r>
      <w:r w:rsidR="00913FD3">
        <w:rPr>
          <w:noProof/>
        </w:rPr>
        <w:t>26</w:t>
      </w:r>
      <w:r>
        <w:rPr>
          <w:noProof/>
        </w:rPr>
        <w:fldChar w:fldCharType="end"/>
      </w:r>
    </w:p>
    <w:p w14:paraId="36C76E04" w14:textId="0455D8F0" w:rsidR="00B844CA" w:rsidRDefault="00B844CA">
      <w:pPr>
        <w:pStyle w:val="TOC3"/>
        <w:rPr>
          <w:rFonts w:asciiTheme="minorHAnsi" w:hAnsiTheme="minorHAnsi"/>
          <w:noProof/>
          <w:szCs w:val="22"/>
        </w:rPr>
      </w:pPr>
      <w:r>
        <w:rPr>
          <w:noProof/>
        </w:rPr>
        <w:t>Non-Energy Impacts</w:t>
      </w:r>
      <w:r>
        <w:rPr>
          <w:noProof/>
        </w:rPr>
        <w:tab/>
      </w:r>
      <w:r>
        <w:rPr>
          <w:noProof/>
        </w:rPr>
        <w:fldChar w:fldCharType="begin"/>
      </w:r>
      <w:r>
        <w:rPr>
          <w:noProof/>
        </w:rPr>
        <w:instrText xml:space="preserve"> PAGEREF _Toc2250567 \h </w:instrText>
      </w:r>
      <w:r>
        <w:rPr>
          <w:noProof/>
        </w:rPr>
      </w:r>
      <w:r>
        <w:rPr>
          <w:noProof/>
        </w:rPr>
        <w:fldChar w:fldCharType="separate"/>
      </w:r>
      <w:r w:rsidR="00913FD3">
        <w:rPr>
          <w:noProof/>
        </w:rPr>
        <w:t>26</w:t>
      </w:r>
      <w:r>
        <w:rPr>
          <w:noProof/>
        </w:rPr>
        <w:fldChar w:fldCharType="end"/>
      </w:r>
    </w:p>
    <w:p w14:paraId="1BD45B82" w14:textId="25841EB5" w:rsidR="00B844CA" w:rsidRDefault="00B844CA">
      <w:pPr>
        <w:pStyle w:val="TOC3"/>
        <w:rPr>
          <w:rFonts w:asciiTheme="minorHAnsi" w:hAnsiTheme="minorHAnsi"/>
          <w:noProof/>
          <w:szCs w:val="22"/>
        </w:rPr>
      </w:pPr>
      <w:r>
        <w:rPr>
          <w:noProof/>
        </w:rPr>
        <w:t>DEER Differences Analysis</w:t>
      </w:r>
      <w:r>
        <w:rPr>
          <w:noProof/>
        </w:rPr>
        <w:tab/>
      </w:r>
      <w:r>
        <w:rPr>
          <w:noProof/>
        </w:rPr>
        <w:fldChar w:fldCharType="begin"/>
      </w:r>
      <w:r>
        <w:rPr>
          <w:noProof/>
        </w:rPr>
        <w:instrText xml:space="preserve"> PAGEREF _Toc2250568 \h </w:instrText>
      </w:r>
      <w:r>
        <w:rPr>
          <w:noProof/>
        </w:rPr>
      </w:r>
      <w:r>
        <w:rPr>
          <w:noProof/>
        </w:rPr>
        <w:fldChar w:fldCharType="separate"/>
      </w:r>
      <w:r w:rsidR="00913FD3">
        <w:rPr>
          <w:noProof/>
        </w:rPr>
        <w:t>27</w:t>
      </w:r>
      <w:r>
        <w:rPr>
          <w:noProof/>
        </w:rPr>
        <w:fldChar w:fldCharType="end"/>
      </w:r>
    </w:p>
    <w:p w14:paraId="3CC74BB7" w14:textId="4516C335" w:rsidR="00B844CA" w:rsidRDefault="00B844CA">
      <w:pPr>
        <w:pStyle w:val="TOC3"/>
        <w:rPr>
          <w:rFonts w:asciiTheme="minorHAnsi" w:hAnsiTheme="minorHAnsi"/>
          <w:noProof/>
          <w:szCs w:val="22"/>
        </w:rPr>
      </w:pPr>
      <w:r>
        <w:rPr>
          <w:noProof/>
        </w:rPr>
        <w:t>Revision History</w:t>
      </w:r>
      <w:r>
        <w:rPr>
          <w:noProof/>
        </w:rPr>
        <w:tab/>
      </w:r>
      <w:r>
        <w:rPr>
          <w:noProof/>
        </w:rPr>
        <w:fldChar w:fldCharType="begin"/>
      </w:r>
      <w:r>
        <w:rPr>
          <w:noProof/>
        </w:rPr>
        <w:instrText xml:space="preserve"> PAGEREF _Toc2250569 \h </w:instrText>
      </w:r>
      <w:r>
        <w:rPr>
          <w:noProof/>
        </w:rPr>
      </w:r>
      <w:r>
        <w:rPr>
          <w:noProof/>
        </w:rPr>
        <w:fldChar w:fldCharType="separate"/>
      </w:r>
      <w:r w:rsidR="00913FD3">
        <w:rPr>
          <w:noProof/>
        </w:rPr>
        <w:t>28</w:t>
      </w:r>
      <w:r>
        <w:rPr>
          <w:noProof/>
        </w:rPr>
        <w:fldChar w:fldCharType="end"/>
      </w:r>
    </w:p>
    <w:p w14:paraId="4C194BAF" w14:textId="567510F8" w:rsidR="001C6C9B" w:rsidRPr="00D12B8C" w:rsidRDefault="001C6C9B" w:rsidP="00D12B8C">
      <w:r>
        <w:fldChar w:fldCharType="end"/>
      </w:r>
    </w:p>
    <w:p w14:paraId="7DD78D3A" w14:textId="77777777" w:rsidR="007E1F66" w:rsidRDefault="007E1F66" w:rsidP="00EE4D02">
      <w:pPr>
        <w:pStyle w:val="eTRMHeading3"/>
        <w:sectPr w:rsidR="007E1F66" w:rsidSect="00181E01">
          <w:headerReference w:type="even" r:id="rId11"/>
          <w:headerReference w:type="default" r:id="rId12"/>
          <w:footerReference w:type="even" r:id="rId13"/>
          <w:footerReference w:type="default" r:id="rId14"/>
          <w:headerReference w:type="first" r:id="rId15"/>
          <w:footerReference w:type="first" r:id="rId16"/>
          <w:endnotePr>
            <w:numFmt w:val="decimal"/>
          </w:endnotePr>
          <w:pgSz w:w="12240" w:h="15840"/>
          <w:pgMar w:top="1440" w:right="1440" w:bottom="1440" w:left="1440" w:header="720" w:footer="720" w:gutter="0"/>
          <w:cols w:space="720"/>
          <w:titlePg/>
          <w:docGrid w:linePitch="360"/>
        </w:sectPr>
      </w:pPr>
    </w:p>
    <w:p w14:paraId="14A2395F" w14:textId="77777777" w:rsidR="00B85496" w:rsidRPr="007E1F66" w:rsidRDefault="00B85496" w:rsidP="004B5C6E">
      <w:pPr>
        <w:pStyle w:val="eTRMHeading3"/>
      </w:pPr>
      <w:bookmarkStart w:id="0" w:name="_Toc486490839"/>
      <w:bookmarkStart w:id="1" w:name="_Toc486580912"/>
      <w:bookmarkStart w:id="2" w:name="_Toc2250546"/>
      <w:r w:rsidRPr="007E1F66">
        <w:lastRenderedPageBreak/>
        <w:t>Measure Name</w:t>
      </w:r>
      <w:bookmarkEnd w:id="0"/>
      <w:bookmarkEnd w:id="1"/>
      <w:bookmarkEnd w:id="2"/>
    </w:p>
    <w:p w14:paraId="6C9FDB65" w14:textId="6AF229BB" w:rsidR="00B85496" w:rsidRDefault="005B24A0" w:rsidP="005B24A0">
      <w:r>
        <w:t xml:space="preserve">Demand Control for Centralized Water Heater Recirculation Pump, Multifamily </w:t>
      </w:r>
      <w:r w:rsidR="00DA7FA8">
        <w:t>&amp; Commercial</w:t>
      </w:r>
    </w:p>
    <w:p w14:paraId="22A9356B" w14:textId="77777777" w:rsidR="005B24A0" w:rsidRPr="00EE4D02" w:rsidRDefault="005B24A0" w:rsidP="005B24A0"/>
    <w:p w14:paraId="7419D65C" w14:textId="77777777" w:rsidR="00B85496" w:rsidRPr="00074E3E" w:rsidRDefault="00B85496" w:rsidP="004B5C6E">
      <w:pPr>
        <w:pStyle w:val="eTRMHeading3"/>
      </w:pPr>
      <w:bookmarkStart w:id="3" w:name="_Toc486490840"/>
      <w:bookmarkStart w:id="4" w:name="_Toc486580913"/>
      <w:bookmarkStart w:id="5" w:name="_Toc2250547"/>
      <w:r>
        <w:t>Statewide Measure ID</w:t>
      </w:r>
      <w:bookmarkEnd w:id="3"/>
      <w:bookmarkEnd w:id="4"/>
      <w:bookmarkEnd w:id="5"/>
    </w:p>
    <w:p w14:paraId="5DFC5036" w14:textId="0179D7EF" w:rsidR="00221FEF" w:rsidRPr="00462BB6" w:rsidRDefault="005C3E78" w:rsidP="00221FEF">
      <w:r>
        <w:t>SWWH015-02</w:t>
      </w:r>
    </w:p>
    <w:p w14:paraId="0F7CA2E6" w14:textId="77777777" w:rsidR="00E70CBD" w:rsidRPr="00154391" w:rsidRDefault="00E70CBD" w:rsidP="00EE4D02">
      <w:pPr>
        <w:pStyle w:val="eTRMHeading3"/>
      </w:pPr>
      <w:bookmarkStart w:id="6" w:name="_Toc486490847"/>
      <w:bookmarkStart w:id="7" w:name="_Toc486580918"/>
      <w:bookmarkStart w:id="8" w:name="_Toc2250548"/>
      <w:r w:rsidRPr="00154391">
        <w:t>Technology Summary</w:t>
      </w:r>
      <w:bookmarkEnd w:id="6"/>
      <w:bookmarkEnd w:id="7"/>
      <w:bookmarkEnd w:id="8"/>
      <w:r w:rsidRPr="00154391">
        <w:t xml:space="preserve"> </w:t>
      </w:r>
    </w:p>
    <w:p w14:paraId="6CC65906" w14:textId="3A5DA333" w:rsidR="00803927" w:rsidRDefault="00803927" w:rsidP="00803927">
      <w:pPr>
        <w:spacing w:after="240"/>
      </w:pPr>
      <w:r>
        <w:t>This measure pertains to an on-demand domestic hot water</w:t>
      </w:r>
      <w:r w:rsidR="00353C82">
        <w:t xml:space="preserve"> </w:t>
      </w:r>
      <w:r>
        <w:t>(DHW) recirculation pump for</w:t>
      </w:r>
      <w:r w:rsidR="00353C82">
        <w:t xml:space="preserve"> </w:t>
      </w:r>
      <w:r>
        <w:t>multifamily building</w:t>
      </w:r>
      <w:r w:rsidR="00831510">
        <w:t xml:space="preserve">s and commercial building types: </w:t>
      </w:r>
      <w:r w:rsidR="003E31FA" w:rsidRPr="003E31FA">
        <w:rPr>
          <w:i/>
        </w:rPr>
        <w:t xml:space="preserve"> </w:t>
      </w:r>
      <w:r w:rsidR="003E31FA" w:rsidRPr="004041B3">
        <w:rPr>
          <w:iCs/>
        </w:rPr>
        <w:t>Hotel, Motel, Nursing Home, and Education University Dormitor</w:t>
      </w:r>
      <w:r w:rsidR="007455FC">
        <w:rPr>
          <w:iCs/>
        </w:rPr>
        <w:t>y</w:t>
      </w:r>
      <w:r>
        <w:t xml:space="preserve">. </w:t>
      </w:r>
      <w:r w:rsidRPr="00606904">
        <w:t>The pump is integrated with flow control capabilities</w:t>
      </w:r>
      <w:r>
        <w:t>,</w:t>
      </w:r>
      <w:r w:rsidRPr="00606904">
        <w:t xml:space="preserve"> such as a variable frequency drive (VFD) controller or on/off controls.</w:t>
      </w:r>
      <w:r>
        <w:t xml:space="preserve"> </w:t>
      </w:r>
      <w:r w:rsidRPr="008544D8">
        <w:t>This technology control</w:t>
      </w:r>
      <w:r>
        <w:t>s</w:t>
      </w:r>
      <w:r w:rsidRPr="008544D8">
        <w:t xml:space="preserve"> the recirculating pump to </w:t>
      </w:r>
      <w:r>
        <w:t xml:space="preserve">provide a flow rate necessary to </w:t>
      </w:r>
      <w:r w:rsidRPr="008544D8">
        <w:t>maintain a setpoint reci</w:t>
      </w:r>
      <w:r>
        <w:t xml:space="preserve">rculation loop temperature. Reducing system flow rate to meet demand will reduce pumping power, </w:t>
      </w:r>
      <w:r w:rsidRPr="008544D8">
        <w:t xml:space="preserve">heat loss </w:t>
      </w:r>
      <w:r>
        <w:t>in the recirculation loop, and boiler input gas consumption.</w:t>
      </w:r>
      <w:r w:rsidR="002E2494" w:rsidRPr="002E2494">
        <w:rPr>
          <w:rFonts w:asciiTheme="minorHAnsi" w:hAnsiTheme="minorHAnsi"/>
          <w:i/>
          <w:noProof/>
        </w:rPr>
        <w:t xml:space="preserve"> </w:t>
      </w:r>
    </w:p>
    <w:p w14:paraId="6590B139" w14:textId="40EF8C1F" w:rsidR="00803927" w:rsidRDefault="00803927" w:rsidP="00803927">
      <w:r w:rsidRPr="00C60A28">
        <w:t xml:space="preserve">The </w:t>
      </w:r>
      <w:r w:rsidR="00350782">
        <w:t>figures below</w:t>
      </w:r>
      <w:r w:rsidR="00157CD0">
        <w:rPr>
          <w:b/>
        </w:rPr>
        <w:t xml:space="preserve"> </w:t>
      </w:r>
      <w:r w:rsidR="00350782">
        <w:t xml:space="preserve">illustrate </w:t>
      </w:r>
      <w:r>
        <w:t xml:space="preserve">the various paths in which the </w:t>
      </w:r>
      <w:r w:rsidR="00B85496">
        <w:t>DHW</w:t>
      </w:r>
      <w:r>
        <w:t xml:space="preserve"> system loses energy to the surrounding environment. This measure reduces heat loss in the hot water </w:t>
      </w:r>
      <w:r w:rsidRPr="00DE2039">
        <w:t>recirculation loop</w:t>
      </w:r>
      <w:r>
        <w:t xml:space="preserve"> and is directly affected by the loop characteristics such as hot water supply temperature, minimum desired loop temperature, indoor ambient temperature, as well as piping system characteristics and length. </w:t>
      </w:r>
    </w:p>
    <w:p w14:paraId="168B6405" w14:textId="56209268" w:rsidR="00350782" w:rsidRPr="00775705" w:rsidRDefault="00350782" w:rsidP="009743E7">
      <w:pPr>
        <w:pStyle w:val="Caption"/>
      </w:pPr>
      <w:r w:rsidRPr="00775705">
        <w:t xml:space="preserve">Hot Water System and Corresponding Energy and Heat Transfer Flows </w:t>
      </w:r>
      <w:r>
        <w:rPr>
          <w:rStyle w:val="FootnoteReference"/>
        </w:rPr>
        <w:footnoteReference w:id="1"/>
      </w:r>
    </w:p>
    <w:p w14:paraId="7C88CDA8" w14:textId="46551C46" w:rsidR="00350782" w:rsidRDefault="00350782" w:rsidP="00350782">
      <w:r w:rsidRPr="00775705">
        <w:rPr>
          <w:rFonts w:asciiTheme="minorHAnsi" w:hAnsiTheme="minorHAnsi"/>
          <w:i/>
          <w:noProof/>
        </w:rPr>
        <w:drawing>
          <wp:inline distT="0" distB="0" distL="0" distR="0" wp14:anchorId="5DB18E8A" wp14:editId="4A2A90D5">
            <wp:extent cx="4119250" cy="2514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7">
                      <a:extLst>
                        <a:ext uri="{28A0092B-C50C-407E-A947-70E740481C1C}">
                          <a14:useLocalDpi xmlns:a14="http://schemas.microsoft.com/office/drawing/2010/main" val="0"/>
                        </a:ext>
                      </a:extLst>
                    </a:blip>
                    <a:srcRect t="-5157"/>
                    <a:stretch/>
                  </pic:blipFill>
                  <pic:spPr bwMode="auto">
                    <a:xfrm>
                      <a:off x="0" y="0"/>
                      <a:ext cx="4119250" cy="2514600"/>
                    </a:xfrm>
                    <a:prstGeom prst="rect">
                      <a:avLst/>
                    </a:prstGeom>
                    <a:noFill/>
                    <a:ln>
                      <a:noFill/>
                    </a:ln>
                    <a:extLst>
                      <a:ext uri="{53640926-AAD7-44D8-BBD7-CCE9431645EC}">
                        <a14:shadowObscured xmlns:a14="http://schemas.microsoft.com/office/drawing/2010/main"/>
                      </a:ext>
                    </a:extLst>
                  </pic:spPr>
                </pic:pic>
              </a:graphicData>
            </a:graphic>
          </wp:inline>
        </w:drawing>
      </w:r>
    </w:p>
    <w:p w14:paraId="1BB8AB2B" w14:textId="023D4ECB" w:rsidR="00350782" w:rsidRDefault="00350782" w:rsidP="00803927"/>
    <w:p w14:paraId="4395C320" w14:textId="0E99E4EA" w:rsidR="00350782" w:rsidRDefault="00350782" w:rsidP="009743E7">
      <w:pPr>
        <w:pStyle w:val="Caption"/>
        <w:rPr>
          <w:i/>
        </w:rPr>
      </w:pPr>
      <w:r>
        <w:lastRenderedPageBreak/>
        <w:t>Average Energy Flows in Central DHW Systems</w:t>
      </w:r>
      <w:r>
        <w:rPr>
          <w:rStyle w:val="FootnoteReference"/>
        </w:rPr>
        <w:footnoteReference w:id="2"/>
      </w:r>
    </w:p>
    <w:p w14:paraId="636B6BD4" w14:textId="77777777" w:rsidR="00350782" w:rsidRDefault="00350782" w:rsidP="00350782">
      <w:pPr>
        <w:pStyle w:val="Reminders"/>
        <w:keepLines/>
        <w:tabs>
          <w:tab w:val="num" w:pos="360"/>
        </w:tabs>
        <w:spacing w:after="120"/>
        <w:rPr>
          <w:rFonts w:asciiTheme="minorHAnsi" w:hAnsiTheme="minorHAnsi"/>
          <w:i w:val="0"/>
          <w:color w:val="auto"/>
        </w:rPr>
      </w:pPr>
      <w:r>
        <w:rPr>
          <w:noProof/>
        </w:rPr>
        <w:drawing>
          <wp:inline distT="0" distB="0" distL="0" distR="0" wp14:anchorId="4ED64D94" wp14:editId="382F6DF3">
            <wp:extent cx="3293568" cy="207645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l="2817"/>
                    <a:stretch/>
                  </pic:blipFill>
                  <pic:spPr bwMode="auto">
                    <a:xfrm>
                      <a:off x="0" y="0"/>
                      <a:ext cx="3335914" cy="2103147"/>
                    </a:xfrm>
                    <a:prstGeom prst="rect">
                      <a:avLst/>
                    </a:prstGeom>
                    <a:ln>
                      <a:noFill/>
                    </a:ln>
                    <a:extLst>
                      <a:ext uri="{53640926-AAD7-44D8-BBD7-CCE9431645EC}">
                        <a14:shadowObscured xmlns:a14="http://schemas.microsoft.com/office/drawing/2010/main"/>
                      </a:ext>
                    </a:extLst>
                  </pic:spPr>
                </pic:pic>
              </a:graphicData>
            </a:graphic>
          </wp:inline>
        </w:drawing>
      </w:r>
    </w:p>
    <w:p w14:paraId="07B69DF3" w14:textId="279210C4" w:rsidR="00B85496" w:rsidRDefault="00B85496" w:rsidP="00803927"/>
    <w:p w14:paraId="26CF04B5" w14:textId="4FD56EAB" w:rsidR="00AF7D2F" w:rsidRDefault="00D66C16" w:rsidP="00803927">
      <w:r>
        <w:t>A h</w:t>
      </w:r>
      <w:r w:rsidR="00AF7D2F">
        <w:t>ot water recirculation loop</w:t>
      </w:r>
      <w:r>
        <w:t xml:space="preserve"> is</w:t>
      </w:r>
      <w:r w:rsidR="00AF7D2F">
        <w:t xml:space="preserve"> common </w:t>
      </w:r>
      <w:r w:rsidR="00E77B86">
        <w:t xml:space="preserve">in </w:t>
      </w:r>
      <w:r w:rsidR="00AF7D2F">
        <w:t>building</w:t>
      </w:r>
      <w:r w:rsidR="00E77B86">
        <w:t>s</w:t>
      </w:r>
      <w:r w:rsidR="00AF7D2F">
        <w:t xml:space="preserve"> with </w:t>
      </w:r>
      <w:r>
        <w:t xml:space="preserve">a </w:t>
      </w:r>
      <w:r w:rsidR="00AF7D2F">
        <w:t xml:space="preserve">centralized, domestic hot water system. </w:t>
      </w:r>
      <w:r w:rsidR="001E0092" w:rsidRPr="001E0092">
        <w:t xml:space="preserve">Hot water consumption and demand varies by building type . Demand also varies according to building size, demographics, and the number and type of hot water fixtures. When the hot water demand is reduced during off-peak hours, heat in the hot water distribution system is lost to the surrounding space. This reduces the hot water supply temperature and availability of hot water at the fixtures. </w:t>
      </w:r>
    </w:p>
    <w:p w14:paraId="06B92140" w14:textId="1C709997" w:rsidR="00803927" w:rsidRDefault="00803927" w:rsidP="00803927">
      <w:pPr>
        <w:rPr>
          <w:i/>
        </w:rPr>
      </w:pPr>
      <w:r>
        <w:t xml:space="preserve">A recirculation loop </w:t>
      </w:r>
      <w:r w:rsidR="00D66C16">
        <w:t>will increase</w:t>
      </w:r>
      <w:r>
        <w:t xml:space="preserve"> the availability of fixture hot water by pumping hot water through the distribution system – albeit at the expense of additional pump energy consumption and increased distribution system heat losses. This measure </w:t>
      </w:r>
      <w:r w:rsidR="00D66C16">
        <w:t>will</w:t>
      </w:r>
      <w:r>
        <w:t xml:space="preserve"> reduce the average hot water loop temperature while maintaining a minimum hot water loop temperature required to service connected fixtures.</w:t>
      </w:r>
    </w:p>
    <w:p w14:paraId="336CD5F1" w14:textId="4EF832B9" w:rsidR="00C97228" w:rsidRDefault="00C97228" w:rsidP="00AB6C99"/>
    <w:p w14:paraId="5AF18021" w14:textId="77777777" w:rsidR="007D230B" w:rsidRPr="004B06E3" w:rsidRDefault="007D230B" w:rsidP="00B85496">
      <w:pPr>
        <w:pStyle w:val="eTRMHeading3"/>
      </w:pPr>
      <w:bookmarkStart w:id="9" w:name="_Toc486490848"/>
      <w:bookmarkStart w:id="10" w:name="_Toc486580919"/>
      <w:bookmarkStart w:id="11" w:name="_Toc2250549"/>
      <w:r w:rsidRPr="004B06E3">
        <w:t>Measure Case Description</w:t>
      </w:r>
      <w:bookmarkEnd w:id="9"/>
      <w:bookmarkEnd w:id="10"/>
      <w:bookmarkEnd w:id="11"/>
    </w:p>
    <w:p w14:paraId="2DD8691F" w14:textId="37C51465" w:rsidR="002D687A" w:rsidRDefault="00E30813" w:rsidP="00B85496">
      <w:pPr>
        <w:keepNext/>
        <w:keepLines/>
      </w:pPr>
      <w:r>
        <w:t xml:space="preserve">The measure case is defined as the replacement of the base case </w:t>
      </w:r>
      <w:r w:rsidR="00D66C16">
        <w:t xml:space="preserve">recirculation </w:t>
      </w:r>
      <w:r>
        <w:t>pump with a pump that utilizes flow control methods, such as variable frequency drives (VFDs), integrated or remote sensors, and control systems that respond to demand by controlling the hot water recirculation loop temperature. Annual measure savings are provided on a per-dwelling basis for each of the California climate zones.</w:t>
      </w:r>
      <w:r w:rsidR="004B5C6E">
        <w:t xml:space="preserve"> </w:t>
      </w:r>
    </w:p>
    <w:p w14:paraId="5F7738B3" w14:textId="77777777" w:rsidR="00E30813" w:rsidRPr="00C212F2" w:rsidRDefault="00E30813" w:rsidP="00E30813"/>
    <w:p w14:paraId="54FD79D6" w14:textId="2E79F318" w:rsidR="00E70CBD" w:rsidRPr="00171BB8" w:rsidRDefault="00E70CBD" w:rsidP="00EE4D02">
      <w:pPr>
        <w:pStyle w:val="eTRMHeading3"/>
      </w:pPr>
      <w:bookmarkStart w:id="12" w:name="_Toc486490849"/>
      <w:bookmarkStart w:id="13" w:name="_Toc486580920"/>
      <w:bookmarkStart w:id="14" w:name="_Toc2250550"/>
      <w:r w:rsidRPr="004B06E3">
        <w:t>Base Case Description</w:t>
      </w:r>
      <w:bookmarkEnd w:id="12"/>
      <w:bookmarkEnd w:id="13"/>
      <w:bookmarkEnd w:id="14"/>
      <w:r w:rsidRPr="00171BB8">
        <w:t xml:space="preserve"> </w:t>
      </w:r>
    </w:p>
    <w:p w14:paraId="008F7E63" w14:textId="673C9516" w:rsidR="002D687A" w:rsidRDefault="00E30813" w:rsidP="00C23250">
      <w:r>
        <w:t>The base case is defined as a centralized</w:t>
      </w:r>
      <w:r w:rsidR="00907E99">
        <w:t>,</w:t>
      </w:r>
      <w:r>
        <w:t xml:space="preserve"> gas-fired domestic hot water (DHW) system with a recirculation pump that operates continuously</w:t>
      </w:r>
      <w:r w:rsidR="00907E99">
        <w:t>,</w:t>
      </w:r>
      <w:r>
        <w:t xml:space="preserve"> </w:t>
      </w:r>
      <w:r w:rsidR="009B15BC">
        <w:t>24 hours per day, seven days per week</w:t>
      </w:r>
      <w:r w:rsidR="002D687A" w:rsidRPr="00C212F2">
        <w:t xml:space="preserve">. </w:t>
      </w:r>
      <w:r w:rsidR="00803927">
        <w:t>It ensures hot water is always available at the fixture, irrespective of hot water loop temperature or system demand.</w:t>
      </w:r>
    </w:p>
    <w:p w14:paraId="2C9CC662" w14:textId="4EB7C020" w:rsidR="004B740C" w:rsidRPr="00C212F2" w:rsidRDefault="004B740C" w:rsidP="00204E40">
      <w:r>
        <w:t>Baseline d</w:t>
      </w:r>
      <w:r w:rsidRPr="00C212F2">
        <w:t xml:space="preserve">ata for this measure was obtained from a </w:t>
      </w:r>
      <w:r w:rsidR="00204E40" w:rsidRPr="00C212F2">
        <w:t>third-party</w:t>
      </w:r>
      <w:r w:rsidRPr="00C212F2">
        <w:t xml:space="preserve"> source due to the lack of data available in </w:t>
      </w:r>
      <w:r w:rsidR="00E51DDE">
        <w:t>the California Database of Energy Efficient Resources (</w:t>
      </w:r>
      <w:r w:rsidRPr="00C212F2">
        <w:t>DEER</w:t>
      </w:r>
      <w:r w:rsidR="00E51DDE">
        <w:t>)</w:t>
      </w:r>
      <w:r w:rsidR="00B90506">
        <w:t xml:space="preserve"> database</w:t>
      </w:r>
      <w:r w:rsidRPr="00C212F2">
        <w:t xml:space="preserve">. Heschong Mahone Group </w:t>
      </w:r>
      <w:r w:rsidR="006438FD">
        <w:t xml:space="preserve">(HMG) </w:t>
      </w:r>
      <w:r w:rsidR="006438FD">
        <w:lastRenderedPageBreak/>
        <w:t>conducted</w:t>
      </w:r>
      <w:r w:rsidRPr="00C212F2">
        <w:t xml:space="preserve"> field and modeling analysis on recirculation pumps with temperature modulat</w:t>
      </w:r>
      <w:r w:rsidR="00204E40">
        <w:t>ion and demand control in multi</w:t>
      </w:r>
      <w:r w:rsidRPr="00C212F2">
        <w:t>family central water heat</w:t>
      </w:r>
      <w:r w:rsidR="00B80246">
        <w:t>ing systems</w:t>
      </w:r>
      <w:r w:rsidRPr="00C212F2">
        <w:t xml:space="preserve"> to support a Public Interest Energy Research </w:t>
      </w:r>
      <w:r>
        <w:t xml:space="preserve">(PIER) </w:t>
      </w:r>
      <w:r w:rsidRPr="00C212F2">
        <w:t>project for the California Energy Commission</w:t>
      </w:r>
      <w:r w:rsidR="00C3567C">
        <w:t xml:space="preserve"> (CEC)</w:t>
      </w:r>
      <w:r w:rsidRPr="00C212F2">
        <w:t>.</w:t>
      </w:r>
      <w:r w:rsidR="00C3567C">
        <w:rPr>
          <w:rStyle w:val="FootnoteReference"/>
        </w:rPr>
        <w:footnoteReference w:id="3"/>
      </w:r>
      <w:r w:rsidRPr="00C212F2">
        <w:t xml:space="preserve"> Research from the </w:t>
      </w:r>
      <w:r w:rsidR="006438FD">
        <w:t>PIER</w:t>
      </w:r>
      <w:r w:rsidR="0097230A">
        <w:t xml:space="preserve"> project</w:t>
      </w:r>
      <w:r w:rsidRPr="00C212F2">
        <w:t xml:space="preserve"> was used to develop the 2013 Codes and Standards Enhancement (CASE) </w:t>
      </w:r>
      <w:r w:rsidR="00DA3EE5">
        <w:t>S</w:t>
      </w:r>
      <w:r w:rsidRPr="00C212F2">
        <w:t>tu</w:t>
      </w:r>
      <w:r w:rsidR="006438FD">
        <w:t xml:space="preserve">dy conducted by the California </w:t>
      </w:r>
      <w:r w:rsidR="003C74C8">
        <w:t>S</w:t>
      </w:r>
      <w:r w:rsidRPr="00C212F2">
        <w:t xml:space="preserve">tatewide Codes </w:t>
      </w:r>
      <w:r w:rsidR="003C74C8">
        <w:t>and</w:t>
      </w:r>
      <w:r w:rsidR="00C3567C">
        <w:t xml:space="preserve"> </w:t>
      </w:r>
      <w:r w:rsidRPr="00C212F2">
        <w:t>Standards Team.</w:t>
      </w:r>
      <w:r w:rsidR="00C3567C">
        <w:rPr>
          <w:rStyle w:val="FootnoteReference"/>
        </w:rPr>
        <w:footnoteReference w:id="4"/>
      </w:r>
      <w:r w:rsidRPr="00C212F2">
        <w:t xml:space="preserve"> </w:t>
      </w:r>
      <w:r w:rsidR="0097230A">
        <w:t>Results</w:t>
      </w:r>
      <w:r w:rsidR="00C3567C" w:rsidRPr="00C212F2">
        <w:t xml:space="preserve"> from the research conducted in the </w:t>
      </w:r>
      <w:r w:rsidR="003C74C8">
        <w:t xml:space="preserve">2013 </w:t>
      </w:r>
      <w:r w:rsidR="00C3567C" w:rsidRPr="00C212F2">
        <w:t xml:space="preserve">CASE </w:t>
      </w:r>
      <w:r w:rsidR="00DA3EE5">
        <w:t>S</w:t>
      </w:r>
      <w:r w:rsidR="00C3567C" w:rsidRPr="00C212F2">
        <w:t>tudy were used to estimate demand reduction and energy savings for this measure.</w:t>
      </w:r>
    </w:p>
    <w:p w14:paraId="4DBEB61F" w14:textId="77777777" w:rsidR="004B740C" w:rsidRPr="002942B0" w:rsidRDefault="004B740C" w:rsidP="002942B0"/>
    <w:p w14:paraId="7D9DA4A6" w14:textId="77777777" w:rsidR="007D230B" w:rsidRPr="00171BB8" w:rsidRDefault="007D230B" w:rsidP="00EE4D02">
      <w:pPr>
        <w:pStyle w:val="eTRMHeading3"/>
      </w:pPr>
      <w:bookmarkStart w:id="15" w:name="_Toc486490850"/>
      <w:bookmarkStart w:id="16" w:name="_Toc486580921"/>
      <w:bookmarkStart w:id="17" w:name="_Toc2250551"/>
      <w:r w:rsidRPr="004B06E3">
        <w:t>Code Requirements</w:t>
      </w:r>
      <w:bookmarkEnd w:id="15"/>
      <w:bookmarkEnd w:id="16"/>
      <w:bookmarkEnd w:id="17"/>
    </w:p>
    <w:p w14:paraId="5DCA03BB" w14:textId="6E23489D" w:rsidR="00461A8D" w:rsidRPr="00C212F2" w:rsidRDefault="00050701" w:rsidP="00C3567C">
      <w:r>
        <w:t xml:space="preserve">Neither </w:t>
      </w:r>
      <w:r w:rsidR="00DA3EE5">
        <w:t xml:space="preserve">state </w:t>
      </w:r>
      <w:r>
        <w:t>or</w:t>
      </w:r>
      <w:r w:rsidR="00DA3EE5">
        <w:t xml:space="preserve"> federal codes </w:t>
      </w:r>
      <w:r w:rsidR="00B13902">
        <w:t>regulate domestic hot water recirculation pumps in existing buildings</w:t>
      </w:r>
      <w:r w:rsidR="00DA3EE5">
        <w:t>.</w:t>
      </w:r>
      <w:r w:rsidR="00C343B9" w:rsidRPr="00C343B9">
        <w:t xml:space="preserve"> </w:t>
      </w:r>
      <w:r w:rsidR="00C343B9">
        <w:t xml:space="preserve">Recirculation systems are regulated by </w:t>
      </w:r>
      <w:r w:rsidR="00B85496">
        <w:t xml:space="preserve">the </w:t>
      </w:r>
      <w:r w:rsidR="00C343B9">
        <w:t xml:space="preserve">California Building Energy Efficiency Standards (Title 24) for both new construction and building alterations and therefore </w:t>
      </w:r>
      <w:r w:rsidR="00C343B9" w:rsidRPr="00C343B9">
        <w:rPr>
          <w:i/>
        </w:rPr>
        <w:t>inform, but do not impact,</w:t>
      </w:r>
      <w:r w:rsidR="00C343B9">
        <w:t xml:space="preserve"> this measure.</w:t>
      </w:r>
    </w:p>
    <w:p w14:paraId="7E96141F" w14:textId="5AA59D41" w:rsidR="00FD2C54" w:rsidRDefault="00FD2C54" w:rsidP="009743E7">
      <w:pPr>
        <w:pStyle w:val="Caption"/>
      </w:pPr>
      <w:r>
        <w:t xml:space="preserve">Applicable State and Federal </w:t>
      </w:r>
      <w:r w:rsidRPr="00CD6698">
        <w:t>Code</w:t>
      </w:r>
      <w:r>
        <w:t>s and Standards</w:t>
      </w:r>
      <w:r w:rsidRPr="002C39E3">
        <w:t xml:space="preserve"> </w:t>
      </w:r>
    </w:p>
    <w:tbl>
      <w:tblPr>
        <w:tblW w:w="935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765"/>
        <w:gridCol w:w="2633"/>
        <w:gridCol w:w="1957"/>
      </w:tblGrid>
      <w:tr w:rsidR="00ED68C4" w:rsidRPr="00C8561A" w14:paraId="4623D54B" w14:textId="77777777" w:rsidTr="00ED68C4">
        <w:trPr>
          <w:cantSplit/>
          <w:trHeight w:val="20"/>
        </w:trPr>
        <w:tc>
          <w:tcPr>
            <w:tcW w:w="4765" w:type="dxa"/>
            <w:shd w:val="clear" w:color="auto" w:fill="F2F2F2" w:themeFill="background1" w:themeFillShade="F2"/>
          </w:tcPr>
          <w:p w14:paraId="5E8EE0C5" w14:textId="77777777" w:rsidR="00FD2C54" w:rsidRPr="00C8561A" w:rsidRDefault="00FD2C54" w:rsidP="004F705B">
            <w:pPr>
              <w:keepNext/>
              <w:keepLines/>
              <w:spacing w:before="20" w:after="20"/>
              <w:rPr>
                <w:b/>
                <w:sz w:val="20"/>
                <w:szCs w:val="20"/>
              </w:rPr>
            </w:pPr>
            <w:r w:rsidRPr="00C8561A">
              <w:rPr>
                <w:b/>
                <w:sz w:val="20"/>
                <w:szCs w:val="20"/>
              </w:rPr>
              <w:t>Code</w:t>
            </w:r>
          </w:p>
        </w:tc>
        <w:tc>
          <w:tcPr>
            <w:tcW w:w="2633" w:type="dxa"/>
            <w:shd w:val="clear" w:color="auto" w:fill="F2F2F2" w:themeFill="background1" w:themeFillShade="F2"/>
          </w:tcPr>
          <w:p w14:paraId="2A51DAFB" w14:textId="77777777" w:rsidR="00FD2C54" w:rsidRPr="00C8561A" w:rsidRDefault="00FD2C54" w:rsidP="004F705B">
            <w:pPr>
              <w:keepNext/>
              <w:keepLines/>
              <w:spacing w:before="20" w:after="20"/>
              <w:jc w:val="center"/>
              <w:rPr>
                <w:b/>
                <w:sz w:val="20"/>
                <w:szCs w:val="20"/>
              </w:rPr>
            </w:pPr>
            <w:r w:rsidRPr="00C8561A">
              <w:rPr>
                <w:b/>
                <w:sz w:val="20"/>
                <w:szCs w:val="20"/>
              </w:rPr>
              <w:t>Applicable Code Reference</w:t>
            </w:r>
          </w:p>
        </w:tc>
        <w:tc>
          <w:tcPr>
            <w:tcW w:w="1957" w:type="dxa"/>
            <w:shd w:val="clear" w:color="auto" w:fill="F2F2F2" w:themeFill="background1" w:themeFillShade="F2"/>
          </w:tcPr>
          <w:p w14:paraId="214A9ADD" w14:textId="77777777" w:rsidR="00FD2C54" w:rsidRPr="00C8561A" w:rsidRDefault="00FD2C54" w:rsidP="004F705B">
            <w:pPr>
              <w:keepNext/>
              <w:keepLines/>
              <w:spacing w:before="20" w:after="20"/>
              <w:jc w:val="center"/>
              <w:rPr>
                <w:b/>
                <w:sz w:val="20"/>
                <w:szCs w:val="20"/>
              </w:rPr>
            </w:pPr>
            <w:r w:rsidRPr="00C8561A">
              <w:rPr>
                <w:b/>
                <w:sz w:val="20"/>
                <w:szCs w:val="20"/>
              </w:rPr>
              <w:t>Effective Date</w:t>
            </w:r>
          </w:p>
        </w:tc>
      </w:tr>
      <w:tr w:rsidR="00ED68C4" w:rsidRPr="00C8561A" w14:paraId="782F7264" w14:textId="77777777" w:rsidTr="00ED68C4">
        <w:trPr>
          <w:cantSplit/>
          <w:trHeight w:val="20"/>
        </w:trPr>
        <w:tc>
          <w:tcPr>
            <w:tcW w:w="4765" w:type="dxa"/>
            <w:shd w:val="clear" w:color="auto" w:fill="auto"/>
            <w:vAlign w:val="center"/>
          </w:tcPr>
          <w:p w14:paraId="67BA833F" w14:textId="0FA193AE" w:rsidR="00FD2C54" w:rsidRPr="00C8561A" w:rsidRDefault="00FD2C54" w:rsidP="004F705B">
            <w:pPr>
              <w:keepNext/>
              <w:keepLines/>
              <w:spacing w:before="20" w:after="20"/>
              <w:rPr>
                <w:sz w:val="20"/>
                <w:szCs w:val="20"/>
              </w:rPr>
            </w:pPr>
            <w:r w:rsidRPr="00C8561A">
              <w:rPr>
                <w:sz w:val="20"/>
                <w:szCs w:val="20"/>
              </w:rPr>
              <w:t xml:space="preserve">CA Appliance Efficiency Regulations – Title 20 </w:t>
            </w:r>
          </w:p>
        </w:tc>
        <w:tc>
          <w:tcPr>
            <w:tcW w:w="2633" w:type="dxa"/>
            <w:shd w:val="clear" w:color="auto" w:fill="auto"/>
            <w:vAlign w:val="center"/>
          </w:tcPr>
          <w:p w14:paraId="794A0264" w14:textId="65DF5EB0" w:rsidR="00FD2C54" w:rsidRPr="00C8561A" w:rsidRDefault="00ED68C4" w:rsidP="004F705B">
            <w:pPr>
              <w:keepNext/>
              <w:keepLines/>
              <w:spacing w:before="20" w:after="20"/>
              <w:rPr>
                <w:sz w:val="20"/>
                <w:szCs w:val="20"/>
              </w:rPr>
            </w:pPr>
            <w:r w:rsidRPr="00C8561A">
              <w:rPr>
                <w:sz w:val="20"/>
                <w:szCs w:val="20"/>
              </w:rPr>
              <w:t>None.</w:t>
            </w:r>
          </w:p>
        </w:tc>
        <w:tc>
          <w:tcPr>
            <w:tcW w:w="1957" w:type="dxa"/>
            <w:shd w:val="clear" w:color="auto" w:fill="auto"/>
            <w:vAlign w:val="center"/>
          </w:tcPr>
          <w:p w14:paraId="274AB5DC" w14:textId="45407967" w:rsidR="00FD2C54" w:rsidRPr="00C8561A" w:rsidRDefault="00ED68C4" w:rsidP="001406D0">
            <w:pPr>
              <w:keepNext/>
              <w:keepLines/>
              <w:spacing w:before="20" w:after="20"/>
              <w:rPr>
                <w:sz w:val="20"/>
                <w:szCs w:val="20"/>
              </w:rPr>
            </w:pPr>
            <w:r w:rsidRPr="00C8561A">
              <w:rPr>
                <w:sz w:val="20"/>
                <w:szCs w:val="20"/>
              </w:rPr>
              <w:t>n/a</w:t>
            </w:r>
          </w:p>
        </w:tc>
      </w:tr>
      <w:tr w:rsidR="00B13902" w:rsidRPr="00C8561A" w14:paraId="1238F946" w14:textId="77777777" w:rsidTr="00ED68C4">
        <w:trPr>
          <w:cantSplit/>
          <w:trHeight w:val="20"/>
        </w:trPr>
        <w:tc>
          <w:tcPr>
            <w:tcW w:w="4765" w:type="dxa"/>
            <w:shd w:val="clear" w:color="auto" w:fill="auto"/>
            <w:vAlign w:val="center"/>
          </w:tcPr>
          <w:p w14:paraId="4F444C61" w14:textId="13B0A302" w:rsidR="00B13902" w:rsidRPr="00C8561A" w:rsidRDefault="00B13902" w:rsidP="00B13902">
            <w:pPr>
              <w:keepNext/>
              <w:keepLines/>
              <w:spacing w:before="20" w:after="20"/>
              <w:rPr>
                <w:sz w:val="20"/>
                <w:szCs w:val="20"/>
              </w:rPr>
            </w:pPr>
            <w:r w:rsidRPr="00C8561A">
              <w:rPr>
                <w:sz w:val="20"/>
                <w:szCs w:val="20"/>
              </w:rPr>
              <w:t xml:space="preserve">CA Building Energy Efficiency Standards – Title 24 </w:t>
            </w:r>
            <w:r w:rsidR="00C343B9">
              <w:rPr>
                <w:sz w:val="20"/>
                <w:szCs w:val="20"/>
              </w:rPr>
              <w:t>(2016)</w:t>
            </w:r>
          </w:p>
        </w:tc>
        <w:tc>
          <w:tcPr>
            <w:tcW w:w="2633" w:type="dxa"/>
            <w:shd w:val="clear" w:color="auto" w:fill="auto"/>
            <w:vAlign w:val="center"/>
          </w:tcPr>
          <w:p w14:paraId="0A330E5E" w14:textId="0B464B7C" w:rsidR="00B13902" w:rsidRPr="00C8561A" w:rsidRDefault="00B13902" w:rsidP="00B13902">
            <w:pPr>
              <w:keepNext/>
              <w:keepLines/>
              <w:spacing w:before="20" w:after="20"/>
              <w:rPr>
                <w:sz w:val="20"/>
                <w:szCs w:val="20"/>
                <w:highlight w:val="yellow"/>
              </w:rPr>
            </w:pPr>
            <w:r w:rsidRPr="00C8561A">
              <w:rPr>
                <w:sz w:val="20"/>
                <w:szCs w:val="20"/>
              </w:rPr>
              <w:t>None.</w:t>
            </w:r>
          </w:p>
        </w:tc>
        <w:tc>
          <w:tcPr>
            <w:tcW w:w="1957" w:type="dxa"/>
            <w:shd w:val="clear" w:color="auto" w:fill="auto"/>
            <w:vAlign w:val="center"/>
          </w:tcPr>
          <w:p w14:paraId="63BAD98E" w14:textId="365379AE" w:rsidR="00B13902" w:rsidRPr="00C8561A" w:rsidRDefault="00B13902" w:rsidP="00B13902">
            <w:pPr>
              <w:keepNext/>
              <w:keepLines/>
              <w:spacing w:before="20" w:after="20"/>
              <w:rPr>
                <w:sz w:val="20"/>
                <w:szCs w:val="20"/>
              </w:rPr>
            </w:pPr>
            <w:r>
              <w:rPr>
                <w:sz w:val="20"/>
                <w:szCs w:val="20"/>
              </w:rPr>
              <w:t>n/a</w:t>
            </w:r>
          </w:p>
        </w:tc>
      </w:tr>
      <w:tr w:rsidR="00C8561A" w:rsidRPr="00C8561A" w14:paraId="23FB50B6" w14:textId="77777777" w:rsidTr="00ED68C4">
        <w:trPr>
          <w:cantSplit/>
          <w:trHeight w:val="20"/>
        </w:trPr>
        <w:tc>
          <w:tcPr>
            <w:tcW w:w="4765" w:type="dxa"/>
            <w:shd w:val="clear" w:color="auto" w:fill="auto"/>
            <w:vAlign w:val="center"/>
          </w:tcPr>
          <w:p w14:paraId="2EBFC05B" w14:textId="31634FD3" w:rsidR="00C8561A" w:rsidRPr="00C8561A" w:rsidRDefault="00C8561A" w:rsidP="00C8561A">
            <w:pPr>
              <w:keepNext/>
              <w:keepLines/>
              <w:spacing w:before="20" w:after="20"/>
              <w:rPr>
                <w:sz w:val="20"/>
                <w:szCs w:val="20"/>
              </w:rPr>
            </w:pPr>
            <w:r w:rsidRPr="00C8561A">
              <w:rPr>
                <w:sz w:val="20"/>
                <w:szCs w:val="20"/>
              </w:rPr>
              <w:t>Federal Standards</w:t>
            </w:r>
          </w:p>
        </w:tc>
        <w:tc>
          <w:tcPr>
            <w:tcW w:w="2633" w:type="dxa"/>
            <w:shd w:val="clear" w:color="auto" w:fill="auto"/>
            <w:vAlign w:val="center"/>
          </w:tcPr>
          <w:p w14:paraId="0D43394E" w14:textId="21AD1739" w:rsidR="00C8561A" w:rsidRPr="00C8561A" w:rsidRDefault="00C8561A" w:rsidP="00C8561A">
            <w:pPr>
              <w:keepNext/>
              <w:keepLines/>
              <w:spacing w:before="20" w:after="20"/>
              <w:rPr>
                <w:sz w:val="20"/>
                <w:szCs w:val="20"/>
              </w:rPr>
            </w:pPr>
            <w:r w:rsidRPr="00C8561A">
              <w:rPr>
                <w:sz w:val="20"/>
                <w:szCs w:val="20"/>
              </w:rPr>
              <w:t>None.</w:t>
            </w:r>
          </w:p>
        </w:tc>
        <w:tc>
          <w:tcPr>
            <w:tcW w:w="1957" w:type="dxa"/>
            <w:shd w:val="clear" w:color="auto" w:fill="auto"/>
            <w:vAlign w:val="center"/>
          </w:tcPr>
          <w:p w14:paraId="66FA1B6F" w14:textId="0860997C" w:rsidR="00C8561A" w:rsidRPr="00C8561A" w:rsidRDefault="00C8561A" w:rsidP="001406D0">
            <w:pPr>
              <w:keepNext/>
              <w:keepLines/>
              <w:spacing w:before="20" w:after="20"/>
              <w:rPr>
                <w:sz w:val="20"/>
                <w:szCs w:val="20"/>
              </w:rPr>
            </w:pPr>
            <w:r w:rsidRPr="00C8561A">
              <w:rPr>
                <w:sz w:val="20"/>
                <w:szCs w:val="20"/>
              </w:rPr>
              <w:t>n/a</w:t>
            </w:r>
          </w:p>
        </w:tc>
      </w:tr>
    </w:tbl>
    <w:p w14:paraId="7B54125B" w14:textId="77777777" w:rsidR="00FD2C54" w:rsidRDefault="00FD2C54" w:rsidP="00FD2C54"/>
    <w:p w14:paraId="7FA227AB" w14:textId="4F680823" w:rsidR="00C343B9" w:rsidRDefault="00C343B9" w:rsidP="00C343B9">
      <w:pPr>
        <w:rPr>
          <w:i/>
        </w:rPr>
      </w:pPr>
      <w:bookmarkStart w:id="18" w:name="_Toc486490851"/>
      <w:bookmarkStart w:id="19" w:name="_Toc486580922"/>
      <w:r>
        <w:rPr>
          <w:b/>
        </w:rPr>
        <w:t>California</w:t>
      </w:r>
      <w:r w:rsidRPr="00C343B9">
        <w:rPr>
          <w:b/>
        </w:rPr>
        <w:t xml:space="preserve"> Building Energy Efficiency Standards (Title 24). </w:t>
      </w:r>
      <w:r w:rsidR="00B85496">
        <w:t>Title 24</w:t>
      </w:r>
      <w:r>
        <w:rPr>
          <w:rStyle w:val="FootnoteReference"/>
        </w:rPr>
        <w:footnoteReference w:id="5"/>
      </w:r>
      <w:r>
        <w:t xml:space="preserve"> provides mandatory, prescriptive and performance requirements for </w:t>
      </w:r>
      <w:r w:rsidRPr="00050701">
        <w:t>DHW</w:t>
      </w:r>
      <w:r>
        <w:t xml:space="preserve"> recirculation systems in newly constructed buildings, additions to existing buildings, and alterations to existing buildings. Both the mandatory and prescriptive sections are relevant for informing this measure; they include: automatic shut off pump controls, general system installation, pipe insulation requirements for all building types, and pipe insulation requirements and </w:t>
      </w:r>
      <w:r w:rsidRPr="00050701">
        <w:t>demand-based controls for newly constructed low-rise residential buildings. These code requirements are</w:t>
      </w:r>
      <w:r>
        <w:t xml:space="preserve"> summarized below:</w:t>
      </w:r>
    </w:p>
    <w:p w14:paraId="3AC917CB" w14:textId="61CDC6E1" w:rsidR="00C343B9" w:rsidRPr="00B85496" w:rsidRDefault="00C343B9" w:rsidP="00C23250">
      <w:pPr>
        <w:pStyle w:val="eTRMBulletedText"/>
      </w:pPr>
      <w:r w:rsidRPr="00B85496">
        <w:t>Section 110.3(c) 2: This section requires domestic hot water systems with recirculation pumps in all building types have automatic shut off controls to turn off the service hot water system.</w:t>
      </w:r>
    </w:p>
    <w:p w14:paraId="4FA29605" w14:textId="55BC5224" w:rsidR="00C343B9" w:rsidRPr="00B85496" w:rsidRDefault="00C343B9" w:rsidP="00C23250">
      <w:pPr>
        <w:pStyle w:val="eTRMBulletedText"/>
      </w:pPr>
      <w:r w:rsidRPr="00B85496">
        <w:t xml:space="preserve">Section 110.3(c) 5: This section applies to all building types. It provides mandatory requirements for the installation of how water recirculation systems but does not address recirculation pump control. </w:t>
      </w:r>
    </w:p>
    <w:p w14:paraId="6E350E10" w14:textId="3005D30A" w:rsidR="00C343B9" w:rsidRPr="00B85496" w:rsidRDefault="00C343B9" w:rsidP="00C23250">
      <w:pPr>
        <w:pStyle w:val="eTRMBulletedText"/>
      </w:pPr>
      <w:r w:rsidRPr="00B85496">
        <w:t xml:space="preserve">Section 120: This section provides requirements for hot water pipe insulation in all building types. It requires service hot water systems above 105°F be insulated with a material meeting a minimum level of thermal conductivity, based on nominal pipe diameter. This section is relevant insomuch as assumptions used to develop prototypical hot water systems and corresponding </w:t>
      </w:r>
      <w:r w:rsidRPr="00B85496">
        <w:lastRenderedPageBreak/>
        <w:t xml:space="preserve">building energy model inputs assume that hot water circulation loop is insulated. The insulating requirements and thermal conductivity values used in development of the measure case correspond to the requirements consistent with the DEER 2003 vintage.  </w:t>
      </w:r>
    </w:p>
    <w:p w14:paraId="59DF2434" w14:textId="7F46AF3A" w:rsidR="00C343B9" w:rsidRPr="00B85496" w:rsidRDefault="00C343B9" w:rsidP="00C23250">
      <w:pPr>
        <w:pStyle w:val="eTRMBulletedText"/>
      </w:pPr>
      <w:r w:rsidRPr="00B85496">
        <w:t xml:space="preserve">Section 150.0(j) 2.iii: This section requires that all domestic hot water recirculation loop piping in low-rise residential buildings be insulated.  </w:t>
      </w:r>
    </w:p>
    <w:p w14:paraId="2EF52B02" w14:textId="0D7CF0A2" w:rsidR="00C343B9" w:rsidRPr="00B85496" w:rsidRDefault="00C343B9" w:rsidP="00C23250">
      <w:pPr>
        <w:pStyle w:val="eTRMBulletedText"/>
      </w:pPr>
      <w:r w:rsidRPr="00B85496">
        <w:t>Section 150.1(c) 8.C.ii</w:t>
      </w:r>
      <w:r w:rsidR="00050701">
        <w:t xml:space="preserve">: </w:t>
      </w:r>
      <w:r w:rsidRPr="00B85496">
        <w:t xml:space="preserve">This section prescribes, as a compliance approach, that domestic hot water systems in newly constructed low-rise residential buildings that serve multiple dwelling units have a recirculation loop with hot water demand control.  </w:t>
      </w:r>
    </w:p>
    <w:p w14:paraId="69EA466B" w14:textId="77777777" w:rsidR="00C343B9" w:rsidRDefault="00C343B9" w:rsidP="00C343B9"/>
    <w:p w14:paraId="1EE16D20" w14:textId="77777777" w:rsidR="007D230B" w:rsidRPr="00171BB8" w:rsidRDefault="007D230B" w:rsidP="00EE4D02">
      <w:pPr>
        <w:pStyle w:val="eTRMHeading3"/>
      </w:pPr>
      <w:bookmarkStart w:id="20" w:name="_Toc2250552"/>
      <w:r w:rsidRPr="00A83458">
        <w:t>Normalizing</w:t>
      </w:r>
      <w:r w:rsidRPr="00171BB8">
        <w:t xml:space="preserve"> Unit</w:t>
      </w:r>
      <w:bookmarkEnd w:id="18"/>
      <w:bookmarkEnd w:id="19"/>
      <w:bookmarkEnd w:id="20"/>
    </w:p>
    <w:p w14:paraId="085E9363" w14:textId="0509BCB4" w:rsidR="007D230B" w:rsidRDefault="00157CD0" w:rsidP="00486585">
      <w:r>
        <w:t>Per household (dwelling unit)</w:t>
      </w:r>
      <w:r w:rsidR="007E0B4B">
        <w:t>.</w:t>
      </w:r>
    </w:p>
    <w:p w14:paraId="0115BB45" w14:textId="77777777" w:rsidR="009C31A4" w:rsidRPr="007D230B" w:rsidRDefault="009C31A4" w:rsidP="00486585"/>
    <w:p w14:paraId="2F4904E6" w14:textId="77777777" w:rsidR="007D230B" w:rsidRPr="004B06E3" w:rsidRDefault="007D230B" w:rsidP="00EE4D02">
      <w:pPr>
        <w:pStyle w:val="eTRMHeading3"/>
      </w:pPr>
      <w:bookmarkStart w:id="21" w:name="_Toc486490852"/>
      <w:bookmarkStart w:id="22" w:name="_Toc486580923"/>
      <w:bookmarkStart w:id="23" w:name="_Toc2250553"/>
      <w:r w:rsidRPr="004B06E3">
        <w:t>Program Requirements</w:t>
      </w:r>
      <w:bookmarkEnd w:id="21"/>
      <w:bookmarkEnd w:id="22"/>
      <w:bookmarkEnd w:id="23"/>
      <w:r w:rsidRPr="004B06E3">
        <w:t xml:space="preserve"> </w:t>
      </w:r>
    </w:p>
    <w:p w14:paraId="4CC5C1F3" w14:textId="77777777" w:rsidR="00050701" w:rsidRDefault="00050701" w:rsidP="00050701">
      <w:pPr>
        <w:pStyle w:val="eTRMHeading5"/>
        <w:keepNext/>
        <w:keepLines/>
      </w:pPr>
      <w:bookmarkStart w:id="24" w:name="_Hlk516047641"/>
      <w:r>
        <w:t>Measure Implementation Eligibility</w:t>
      </w:r>
    </w:p>
    <w:p w14:paraId="59AE6EC1" w14:textId="77777777" w:rsidR="00050701" w:rsidRDefault="00050701" w:rsidP="00050701">
      <w:bookmarkStart w:id="25" w:name="_Hlk527543844"/>
      <w:bookmarkStart w:id="26" w:name="_Hlk526859582"/>
      <w:r>
        <w:t>All</w:t>
      </w:r>
      <w:r w:rsidRPr="00E35B8D">
        <w:t xml:space="preserve"> </w:t>
      </w:r>
      <w:r>
        <w:t xml:space="preserve">combinations of </w:t>
      </w:r>
      <w:r w:rsidRPr="00E35B8D">
        <w:t xml:space="preserve">measure application type, delivery type, and sector </w:t>
      </w:r>
      <w:r>
        <w:t xml:space="preserve">that are </w:t>
      </w:r>
      <w:r w:rsidRPr="00E35B8D">
        <w:t>established for this measure</w:t>
      </w:r>
      <w:r>
        <w:t xml:space="preserve"> are specified below</w:t>
      </w:r>
      <w:r w:rsidRPr="00E35B8D">
        <w:t>. Measure application type is a categorization based on the circumstances and timing of the measure installation; each measure application type is distinguished by its baseline determination, cost basis, eligibility, and documentation requirements.  Delivery type is the broad categorization of the delivery channel through which the market intervention strategy (financial incentives or other services) is targeted. This table also designates the broad market sector(s) that are applicable for this measure.</w:t>
      </w:r>
      <w:bookmarkEnd w:id="25"/>
    </w:p>
    <w:bookmarkEnd w:id="26"/>
    <w:p w14:paraId="13DBB609" w14:textId="77777777" w:rsidR="00050701" w:rsidRPr="00CC4643" w:rsidRDefault="00050701" w:rsidP="00050701">
      <w:pPr>
        <w:rPr>
          <w:i/>
        </w:rPr>
      </w:pPr>
      <w:r w:rsidRPr="00CC4643">
        <w:rPr>
          <w:i/>
        </w:rPr>
        <w:t xml:space="preserve">Note that </w:t>
      </w:r>
      <w:r>
        <w:rPr>
          <w:i/>
        </w:rPr>
        <w:t>some</w:t>
      </w:r>
      <w:r w:rsidRPr="00CC4643">
        <w:rPr>
          <w:i/>
        </w:rPr>
        <w:t xml:space="preserve"> </w:t>
      </w:r>
      <w:r>
        <w:rPr>
          <w:i/>
        </w:rPr>
        <w:t xml:space="preserve">of the </w:t>
      </w:r>
      <w:r w:rsidRPr="00CC4643">
        <w:rPr>
          <w:i/>
        </w:rPr>
        <w:t xml:space="preserve">implementation combinations below </w:t>
      </w:r>
      <w:r>
        <w:rPr>
          <w:i/>
        </w:rPr>
        <w:t>may not</w:t>
      </w:r>
      <w:r w:rsidRPr="00CC4643">
        <w:rPr>
          <w:i/>
        </w:rPr>
        <w:t xml:space="preserve"> be </w:t>
      </w:r>
      <w:r>
        <w:rPr>
          <w:i/>
        </w:rPr>
        <w:t>allowed for some measure offerings by</w:t>
      </w:r>
      <w:r w:rsidRPr="00CC4643">
        <w:rPr>
          <w:i/>
        </w:rPr>
        <w:t xml:space="preserve"> all program administrators.</w:t>
      </w:r>
    </w:p>
    <w:p w14:paraId="72FE441A" w14:textId="39DDC77F" w:rsidR="000D1EFD" w:rsidRDefault="000D1EFD" w:rsidP="009743E7">
      <w:pPr>
        <w:pStyle w:val="Caption"/>
      </w:pPr>
      <w:r>
        <w:t>Implementation Eligibility</w:t>
      </w:r>
    </w:p>
    <w:tbl>
      <w:tblPr>
        <w:tblW w:w="9072"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left w:w="0" w:type="dxa"/>
          <w:right w:w="0" w:type="dxa"/>
        </w:tblCellMar>
        <w:tblLook w:val="04A0" w:firstRow="1" w:lastRow="0" w:firstColumn="1" w:lastColumn="0" w:noHBand="0" w:noVBand="1"/>
      </w:tblPr>
      <w:tblGrid>
        <w:gridCol w:w="3024"/>
        <w:gridCol w:w="3024"/>
        <w:gridCol w:w="3024"/>
      </w:tblGrid>
      <w:tr w:rsidR="000D1EFD" w:rsidRPr="00A47168" w14:paraId="5B339308" w14:textId="77777777" w:rsidTr="00350782">
        <w:trPr>
          <w:trHeight w:val="290"/>
        </w:trPr>
        <w:tc>
          <w:tcPr>
            <w:tcW w:w="3024" w:type="dxa"/>
            <w:shd w:val="clear" w:color="auto" w:fill="F2F2F2" w:themeFill="background1" w:themeFillShade="F2"/>
            <w:noWrap/>
            <w:tcMar>
              <w:top w:w="0" w:type="dxa"/>
              <w:left w:w="108" w:type="dxa"/>
              <w:bottom w:w="0" w:type="dxa"/>
              <w:right w:w="108" w:type="dxa"/>
            </w:tcMar>
            <w:vAlign w:val="bottom"/>
            <w:hideMark/>
          </w:tcPr>
          <w:p w14:paraId="1F878F16" w14:textId="77777777" w:rsidR="000D1EFD" w:rsidRPr="00A47168" w:rsidRDefault="000D1EFD" w:rsidP="00350782">
            <w:pPr>
              <w:keepNext/>
              <w:spacing w:before="0" w:after="0"/>
              <w:rPr>
                <w:b/>
                <w:bCs/>
                <w:sz w:val="20"/>
              </w:rPr>
            </w:pPr>
            <w:r w:rsidRPr="00A47168">
              <w:rPr>
                <w:b/>
                <w:bCs/>
                <w:sz w:val="20"/>
              </w:rPr>
              <w:t>Measure Application Type</w:t>
            </w:r>
          </w:p>
        </w:tc>
        <w:tc>
          <w:tcPr>
            <w:tcW w:w="3024" w:type="dxa"/>
            <w:shd w:val="clear" w:color="auto" w:fill="F2F2F2" w:themeFill="background1" w:themeFillShade="F2"/>
            <w:noWrap/>
            <w:tcMar>
              <w:top w:w="0" w:type="dxa"/>
              <w:left w:w="108" w:type="dxa"/>
              <w:bottom w:w="0" w:type="dxa"/>
              <w:right w:w="108" w:type="dxa"/>
            </w:tcMar>
            <w:vAlign w:val="bottom"/>
            <w:hideMark/>
          </w:tcPr>
          <w:p w14:paraId="2E88F95D" w14:textId="77777777" w:rsidR="000D1EFD" w:rsidRPr="00A47168" w:rsidRDefault="000D1EFD" w:rsidP="00350782">
            <w:pPr>
              <w:keepNext/>
              <w:spacing w:before="0" w:after="0"/>
              <w:rPr>
                <w:b/>
                <w:bCs/>
                <w:sz w:val="20"/>
              </w:rPr>
            </w:pPr>
            <w:r w:rsidRPr="00A47168">
              <w:rPr>
                <w:b/>
                <w:bCs/>
                <w:sz w:val="20"/>
              </w:rPr>
              <w:t>Delivery Type</w:t>
            </w:r>
          </w:p>
        </w:tc>
        <w:tc>
          <w:tcPr>
            <w:tcW w:w="3024" w:type="dxa"/>
            <w:shd w:val="clear" w:color="auto" w:fill="F2F2F2" w:themeFill="background1" w:themeFillShade="F2"/>
            <w:noWrap/>
            <w:tcMar>
              <w:top w:w="0" w:type="dxa"/>
              <w:left w:w="108" w:type="dxa"/>
              <w:bottom w:w="0" w:type="dxa"/>
              <w:right w:w="108" w:type="dxa"/>
            </w:tcMar>
            <w:vAlign w:val="bottom"/>
            <w:hideMark/>
          </w:tcPr>
          <w:p w14:paraId="57D32B5E" w14:textId="77777777" w:rsidR="000D1EFD" w:rsidRPr="00A47168" w:rsidRDefault="000D1EFD" w:rsidP="00350782">
            <w:pPr>
              <w:keepNext/>
              <w:spacing w:before="0" w:after="0"/>
              <w:rPr>
                <w:b/>
                <w:bCs/>
                <w:sz w:val="20"/>
              </w:rPr>
            </w:pPr>
            <w:r w:rsidRPr="00A47168">
              <w:rPr>
                <w:b/>
                <w:bCs/>
                <w:sz w:val="20"/>
              </w:rPr>
              <w:t>Sector</w:t>
            </w:r>
          </w:p>
        </w:tc>
      </w:tr>
      <w:tr w:rsidR="00D02F3B" w:rsidRPr="00A47168" w14:paraId="5001442C" w14:textId="77777777" w:rsidTr="00350782">
        <w:trPr>
          <w:trHeight w:val="290"/>
        </w:trPr>
        <w:tc>
          <w:tcPr>
            <w:tcW w:w="3024" w:type="dxa"/>
            <w:noWrap/>
            <w:tcMar>
              <w:top w:w="0" w:type="dxa"/>
              <w:left w:w="108" w:type="dxa"/>
              <w:bottom w:w="0" w:type="dxa"/>
              <w:right w:w="108" w:type="dxa"/>
            </w:tcMar>
            <w:vAlign w:val="bottom"/>
          </w:tcPr>
          <w:p w14:paraId="649C8A99" w14:textId="18FA6D1F" w:rsidR="00D02F3B" w:rsidRPr="00D02F3B" w:rsidRDefault="00591AAD" w:rsidP="00D02F3B">
            <w:pPr>
              <w:keepNext/>
              <w:spacing w:before="0" w:after="0"/>
              <w:rPr>
                <w:sz w:val="20"/>
              </w:rPr>
            </w:pPr>
            <w:r>
              <w:rPr>
                <w:rFonts w:cs="Calibri Light"/>
                <w:sz w:val="20"/>
                <w:szCs w:val="22"/>
              </w:rPr>
              <w:t xml:space="preserve">Add </w:t>
            </w:r>
            <w:r w:rsidR="00B215F3">
              <w:rPr>
                <w:rFonts w:cs="Calibri Light"/>
                <w:sz w:val="20"/>
                <w:szCs w:val="22"/>
              </w:rPr>
              <w:t>o</w:t>
            </w:r>
            <w:r>
              <w:rPr>
                <w:rFonts w:cs="Calibri Light"/>
                <w:sz w:val="20"/>
                <w:szCs w:val="22"/>
              </w:rPr>
              <w:t xml:space="preserve">n </w:t>
            </w:r>
            <w:r w:rsidR="00B215F3">
              <w:rPr>
                <w:rFonts w:cs="Calibri Light"/>
                <w:sz w:val="20"/>
                <w:szCs w:val="22"/>
              </w:rPr>
              <w:t>e</w:t>
            </w:r>
            <w:r>
              <w:rPr>
                <w:rFonts w:cs="Calibri Light"/>
                <w:sz w:val="20"/>
                <w:szCs w:val="22"/>
              </w:rPr>
              <w:t>quipment</w:t>
            </w:r>
          </w:p>
        </w:tc>
        <w:tc>
          <w:tcPr>
            <w:tcW w:w="3024" w:type="dxa"/>
            <w:noWrap/>
            <w:tcMar>
              <w:top w:w="0" w:type="dxa"/>
              <w:left w:w="108" w:type="dxa"/>
              <w:bottom w:w="0" w:type="dxa"/>
              <w:right w:w="108" w:type="dxa"/>
            </w:tcMar>
            <w:vAlign w:val="bottom"/>
          </w:tcPr>
          <w:p w14:paraId="647DF09D" w14:textId="42A29221" w:rsidR="00D02F3B" w:rsidRPr="00D02F3B" w:rsidRDefault="00050701" w:rsidP="00D02F3B">
            <w:pPr>
              <w:keepNext/>
              <w:spacing w:before="0" w:after="0"/>
              <w:rPr>
                <w:sz w:val="20"/>
              </w:rPr>
            </w:pPr>
            <w:r>
              <w:rPr>
                <w:rFonts w:cs="Calibri Light"/>
                <w:sz w:val="20"/>
                <w:szCs w:val="22"/>
              </w:rPr>
              <w:t>DnDeemDI</w:t>
            </w:r>
          </w:p>
        </w:tc>
        <w:tc>
          <w:tcPr>
            <w:tcW w:w="3024" w:type="dxa"/>
            <w:noWrap/>
            <w:tcMar>
              <w:top w:w="0" w:type="dxa"/>
              <w:left w:w="108" w:type="dxa"/>
              <w:bottom w:w="0" w:type="dxa"/>
              <w:right w:w="108" w:type="dxa"/>
            </w:tcMar>
            <w:vAlign w:val="bottom"/>
          </w:tcPr>
          <w:p w14:paraId="4E84997E" w14:textId="1D8CAA8A" w:rsidR="00D02F3B" w:rsidRPr="00D02F3B" w:rsidRDefault="00591AAD" w:rsidP="00D02F3B">
            <w:pPr>
              <w:keepNext/>
              <w:spacing w:before="0" w:after="0"/>
              <w:rPr>
                <w:sz w:val="20"/>
              </w:rPr>
            </w:pPr>
            <w:r>
              <w:rPr>
                <w:rFonts w:cs="Calibri Light"/>
                <w:sz w:val="20"/>
                <w:szCs w:val="22"/>
              </w:rPr>
              <w:t>Res</w:t>
            </w:r>
            <w:r w:rsidR="002D42B7">
              <w:rPr>
                <w:rFonts w:cs="Calibri Light"/>
                <w:sz w:val="20"/>
                <w:szCs w:val="22"/>
              </w:rPr>
              <w:t>idential</w:t>
            </w:r>
          </w:p>
        </w:tc>
      </w:tr>
      <w:tr w:rsidR="00591AAD" w:rsidRPr="00A47168" w14:paraId="0ABE1B62" w14:textId="77777777" w:rsidTr="00350782">
        <w:trPr>
          <w:trHeight w:val="290"/>
        </w:trPr>
        <w:tc>
          <w:tcPr>
            <w:tcW w:w="3024" w:type="dxa"/>
            <w:noWrap/>
            <w:tcMar>
              <w:top w:w="0" w:type="dxa"/>
              <w:left w:w="108" w:type="dxa"/>
              <w:bottom w:w="0" w:type="dxa"/>
              <w:right w:w="108" w:type="dxa"/>
            </w:tcMar>
            <w:vAlign w:val="bottom"/>
          </w:tcPr>
          <w:p w14:paraId="2F92C826" w14:textId="5739CA56" w:rsidR="00591AAD" w:rsidDel="00591AAD" w:rsidRDefault="00591AAD" w:rsidP="00D02F3B">
            <w:pPr>
              <w:keepNext/>
              <w:spacing w:before="0" w:after="0"/>
              <w:rPr>
                <w:rFonts w:cs="Calibri Light"/>
                <w:sz w:val="20"/>
                <w:szCs w:val="22"/>
              </w:rPr>
            </w:pPr>
            <w:r>
              <w:rPr>
                <w:rFonts w:cs="Calibri Light"/>
                <w:sz w:val="20"/>
                <w:szCs w:val="22"/>
              </w:rPr>
              <w:t>Add-</w:t>
            </w:r>
            <w:r w:rsidR="00B215F3">
              <w:rPr>
                <w:rFonts w:cs="Calibri Light"/>
                <w:sz w:val="20"/>
                <w:szCs w:val="22"/>
              </w:rPr>
              <w:t>o</w:t>
            </w:r>
            <w:r>
              <w:rPr>
                <w:rFonts w:cs="Calibri Light"/>
                <w:sz w:val="20"/>
                <w:szCs w:val="22"/>
              </w:rPr>
              <w:t xml:space="preserve">n </w:t>
            </w:r>
            <w:r w:rsidR="00B215F3">
              <w:rPr>
                <w:rFonts w:cs="Calibri Light"/>
                <w:sz w:val="20"/>
                <w:szCs w:val="22"/>
              </w:rPr>
              <w:t>e</w:t>
            </w:r>
            <w:r>
              <w:rPr>
                <w:rFonts w:cs="Calibri Light"/>
                <w:sz w:val="20"/>
                <w:szCs w:val="22"/>
              </w:rPr>
              <w:t>quipment</w:t>
            </w:r>
          </w:p>
        </w:tc>
        <w:tc>
          <w:tcPr>
            <w:tcW w:w="3024" w:type="dxa"/>
            <w:noWrap/>
            <w:tcMar>
              <w:top w:w="0" w:type="dxa"/>
              <w:left w:w="108" w:type="dxa"/>
              <w:bottom w:w="0" w:type="dxa"/>
              <w:right w:w="108" w:type="dxa"/>
            </w:tcMar>
            <w:vAlign w:val="bottom"/>
          </w:tcPr>
          <w:p w14:paraId="2D151A52" w14:textId="42DD6BAE" w:rsidR="00591AAD" w:rsidRPr="006B666B" w:rsidRDefault="00591AAD" w:rsidP="00D02F3B">
            <w:pPr>
              <w:keepNext/>
              <w:spacing w:before="0" w:after="0"/>
              <w:rPr>
                <w:rFonts w:cs="Calibri Light"/>
                <w:color w:val="191919" w:themeColor="text1"/>
                <w:sz w:val="20"/>
                <w:szCs w:val="22"/>
              </w:rPr>
            </w:pPr>
            <w:r w:rsidRPr="006B666B">
              <w:rPr>
                <w:rFonts w:cs="Calibri Light"/>
                <w:color w:val="191919" w:themeColor="text1"/>
                <w:sz w:val="20"/>
                <w:szCs w:val="22"/>
              </w:rPr>
              <w:t>DnDeemed</w:t>
            </w:r>
          </w:p>
        </w:tc>
        <w:tc>
          <w:tcPr>
            <w:tcW w:w="3024" w:type="dxa"/>
            <w:noWrap/>
            <w:tcMar>
              <w:top w:w="0" w:type="dxa"/>
              <w:left w:w="108" w:type="dxa"/>
              <w:bottom w:w="0" w:type="dxa"/>
              <w:right w:w="108" w:type="dxa"/>
            </w:tcMar>
            <w:vAlign w:val="bottom"/>
          </w:tcPr>
          <w:p w14:paraId="1D9F7E54" w14:textId="14B8A0E6" w:rsidR="00591AAD" w:rsidRPr="00D02F3B" w:rsidRDefault="00591AAD" w:rsidP="00D02F3B">
            <w:pPr>
              <w:keepNext/>
              <w:spacing w:before="0" w:after="0"/>
              <w:rPr>
                <w:rFonts w:cs="Calibri Light"/>
                <w:sz w:val="20"/>
                <w:szCs w:val="22"/>
              </w:rPr>
            </w:pPr>
            <w:r>
              <w:rPr>
                <w:rFonts w:cs="Calibri Light"/>
                <w:sz w:val="20"/>
                <w:szCs w:val="22"/>
              </w:rPr>
              <w:t>Res</w:t>
            </w:r>
            <w:r w:rsidR="002D42B7">
              <w:rPr>
                <w:rFonts w:cs="Calibri Light"/>
                <w:sz w:val="20"/>
                <w:szCs w:val="22"/>
              </w:rPr>
              <w:t>idential</w:t>
            </w:r>
          </w:p>
        </w:tc>
      </w:tr>
      <w:tr w:rsidR="006B666B" w:rsidRPr="00A47168" w14:paraId="7EA1FA14" w14:textId="77777777" w:rsidTr="00350782">
        <w:trPr>
          <w:trHeight w:val="290"/>
        </w:trPr>
        <w:tc>
          <w:tcPr>
            <w:tcW w:w="3024" w:type="dxa"/>
            <w:noWrap/>
            <w:tcMar>
              <w:top w:w="0" w:type="dxa"/>
              <w:left w:w="108" w:type="dxa"/>
              <w:bottom w:w="0" w:type="dxa"/>
              <w:right w:w="108" w:type="dxa"/>
            </w:tcMar>
            <w:vAlign w:val="bottom"/>
          </w:tcPr>
          <w:p w14:paraId="73960823" w14:textId="4DBCEE38" w:rsidR="006B666B" w:rsidRDefault="006B666B" w:rsidP="006B666B">
            <w:pPr>
              <w:keepNext/>
              <w:spacing w:before="0" w:after="0"/>
              <w:rPr>
                <w:rFonts w:cs="Calibri Light"/>
                <w:sz w:val="20"/>
                <w:szCs w:val="22"/>
              </w:rPr>
            </w:pPr>
            <w:r>
              <w:rPr>
                <w:rFonts w:cs="Calibri Light"/>
                <w:sz w:val="20"/>
                <w:szCs w:val="22"/>
              </w:rPr>
              <w:t>Add on equipment</w:t>
            </w:r>
          </w:p>
        </w:tc>
        <w:tc>
          <w:tcPr>
            <w:tcW w:w="3024" w:type="dxa"/>
            <w:noWrap/>
            <w:tcMar>
              <w:top w:w="0" w:type="dxa"/>
              <w:left w:w="108" w:type="dxa"/>
              <w:bottom w:w="0" w:type="dxa"/>
              <w:right w:w="108" w:type="dxa"/>
            </w:tcMar>
            <w:vAlign w:val="bottom"/>
          </w:tcPr>
          <w:p w14:paraId="5DC32CFA" w14:textId="600721DB" w:rsidR="006B666B" w:rsidRPr="006B666B" w:rsidRDefault="006B666B" w:rsidP="006B666B">
            <w:pPr>
              <w:keepNext/>
              <w:spacing w:before="0" w:after="0"/>
              <w:rPr>
                <w:rFonts w:cs="Calibri Light"/>
                <w:color w:val="191919" w:themeColor="text1"/>
                <w:sz w:val="20"/>
                <w:szCs w:val="22"/>
              </w:rPr>
            </w:pPr>
            <w:r w:rsidRPr="006B666B">
              <w:rPr>
                <w:rFonts w:cs="Calibri Light"/>
                <w:color w:val="191919" w:themeColor="text1"/>
                <w:sz w:val="20"/>
                <w:szCs w:val="22"/>
              </w:rPr>
              <w:t>DnDeemDI</w:t>
            </w:r>
          </w:p>
        </w:tc>
        <w:tc>
          <w:tcPr>
            <w:tcW w:w="3024" w:type="dxa"/>
            <w:noWrap/>
            <w:tcMar>
              <w:top w:w="0" w:type="dxa"/>
              <w:left w:w="108" w:type="dxa"/>
              <w:bottom w:w="0" w:type="dxa"/>
              <w:right w:w="108" w:type="dxa"/>
            </w:tcMar>
            <w:vAlign w:val="bottom"/>
          </w:tcPr>
          <w:p w14:paraId="23A150B5" w14:textId="6B69E1BF" w:rsidR="006B666B" w:rsidRDefault="006B666B" w:rsidP="006B666B">
            <w:pPr>
              <w:keepNext/>
              <w:spacing w:before="0" w:after="0"/>
              <w:rPr>
                <w:rFonts w:cs="Calibri Light"/>
                <w:sz w:val="20"/>
                <w:szCs w:val="22"/>
              </w:rPr>
            </w:pPr>
            <w:r>
              <w:rPr>
                <w:rFonts w:cs="Calibri Light"/>
                <w:sz w:val="20"/>
                <w:szCs w:val="22"/>
              </w:rPr>
              <w:t>Commercial</w:t>
            </w:r>
          </w:p>
        </w:tc>
      </w:tr>
      <w:tr w:rsidR="006B666B" w:rsidRPr="00A47168" w14:paraId="246C1D76" w14:textId="77777777" w:rsidTr="00350782">
        <w:trPr>
          <w:trHeight w:val="290"/>
        </w:trPr>
        <w:tc>
          <w:tcPr>
            <w:tcW w:w="3024" w:type="dxa"/>
            <w:noWrap/>
            <w:tcMar>
              <w:top w:w="0" w:type="dxa"/>
              <w:left w:w="108" w:type="dxa"/>
              <w:bottom w:w="0" w:type="dxa"/>
              <w:right w:w="108" w:type="dxa"/>
            </w:tcMar>
            <w:vAlign w:val="bottom"/>
          </w:tcPr>
          <w:p w14:paraId="70237478" w14:textId="31AA2E20" w:rsidR="006B666B" w:rsidRDefault="006B666B" w:rsidP="006B666B">
            <w:pPr>
              <w:keepNext/>
              <w:spacing w:before="0" w:after="0"/>
              <w:rPr>
                <w:rFonts w:cs="Calibri Light"/>
                <w:sz w:val="20"/>
                <w:szCs w:val="22"/>
              </w:rPr>
            </w:pPr>
            <w:r>
              <w:rPr>
                <w:rFonts w:cs="Calibri Light"/>
                <w:sz w:val="20"/>
                <w:szCs w:val="22"/>
              </w:rPr>
              <w:t>Add-on equipment</w:t>
            </w:r>
          </w:p>
        </w:tc>
        <w:tc>
          <w:tcPr>
            <w:tcW w:w="3024" w:type="dxa"/>
            <w:noWrap/>
            <w:tcMar>
              <w:top w:w="0" w:type="dxa"/>
              <w:left w:w="108" w:type="dxa"/>
              <w:bottom w:w="0" w:type="dxa"/>
              <w:right w:w="108" w:type="dxa"/>
            </w:tcMar>
            <w:vAlign w:val="bottom"/>
          </w:tcPr>
          <w:p w14:paraId="1B382006" w14:textId="7740AAF2" w:rsidR="006B666B" w:rsidRPr="006B666B" w:rsidRDefault="006B666B" w:rsidP="006B666B">
            <w:pPr>
              <w:keepNext/>
              <w:spacing w:before="0" w:after="0"/>
              <w:rPr>
                <w:rFonts w:cs="Calibri Light"/>
                <w:color w:val="191919" w:themeColor="text1"/>
                <w:sz w:val="20"/>
                <w:szCs w:val="22"/>
              </w:rPr>
            </w:pPr>
            <w:r w:rsidRPr="006B666B">
              <w:rPr>
                <w:rFonts w:cs="Calibri Light"/>
                <w:color w:val="191919" w:themeColor="text1"/>
                <w:sz w:val="20"/>
                <w:szCs w:val="22"/>
              </w:rPr>
              <w:t>DnDeemed</w:t>
            </w:r>
          </w:p>
        </w:tc>
        <w:tc>
          <w:tcPr>
            <w:tcW w:w="3024" w:type="dxa"/>
            <w:noWrap/>
            <w:tcMar>
              <w:top w:w="0" w:type="dxa"/>
              <w:left w:w="108" w:type="dxa"/>
              <w:bottom w:w="0" w:type="dxa"/>
              <w:right w:w="108" w:type="dxa"/>
            </w:tcMar>
            <w:vAlign w:val="bottom"/>
          </w:tcPr>
          <w:p w14:paraId="5331468B" w14:textId="2308233A" w:rsidR="006B666B" w:rsidRDefault="006B666B" w:rsidP="006B666B">
            <w:pPr>
              <w:keepNext/>
              <w:spacing w:before="0" w:after="0"/>
              <w:rPr>
                <w:rFonts w:cs="Calibri Light"/>
                <w:sz w:val="20"/>
                <w:szCs w:val="22"/>
              </w:rPr>
            </w:pPr>
            <w:r>
              <w:rPr>
                <w:rFonts w:cs="Calibri Light"/>
                <w:sz w:val="20"/>
                <w:szCs w:val="22"/>
              </w:rPr>
              <w:t>Commercial</w:t>
            </w:r>
          </w:p>
        </w:tc>
      </w:tr>
    </w:tbl>
    <w:p w14:paraId="0E4B25D9" w14:textId="77777777" w:rsidR="000D1EFD" w:rsidRDefault="000D1EFD" w:rsidP="000D1EFD"/>
    <w:bookmarkEnd w:id="24"/>
    <w:p w14:paraId="6EE783DC" w14:textId="17E5F65A" w:rsidR="004B740C" w:rsidRDefault="004B740C" w:rsidP="00050701">
      <w:pPr>
        <w:pStyle w:val="eTRMHeading5"/>
        <w:keepNext/>
        <w:keepLines/>
      </w:pPr>
      <w:r>
        <w:t>Eligible Products</w:t>
      </w:r>
    </w:p>
    <w:p w14:paraId="7B6E301F" w14:textId="7A87D9F5" w:rsidR="00B0776F" w:rsidRPr="004041B3" w:rsidRDefault="00EB51DE" w:rsidP="00050701">
      <w:pPr>
        <w:keepNext/>
        <w:keepLines/>
        <w:rPr>
          <w:b/>
          <w:bCs/>
        </w:rPr>
      </w:pPr>
      <w:r w:rsidRPr="004041B3">
        <w:rPr>
          <w:b/>
          <w:bCs/>
        </w:rPr>
        <w:t>Multifamily:</w:t>
      </w:r>
    </w:p>
    <w:p w14:paraId="557A0E6A" w14:textId="7CDB12D3" w:rsidR="00803927" w:rsidRPr="006272EA" w:rsidRDefault="00803927" w:rsidP="00050701">
      <w:pPr>
        <w:keepNext/>
        <w:keepLines/>
        <w:rPr>
          <w:i/>
        </w:rPr>
      </w:pPr>
      <w:r w:rsidRPr="00E03C54">
        <w:t xml:space="preserve">The energy efficiency measure is applicable </w:t>
      </w:r>
      <w:r w:rsidR="00050701">
        <w:t>for</w:t>
      </w:r>
      <w:r w:rsidR="00353C82">
        <w:t xml:space="preserve"> an</w:t>
      </w:r>
      <w:r w:rsidRPr="00E03C54">
        <w:t xml:space="preserve"> </w:t>
      </w:r>
      <w:r>
        <w:t>existing multi</w:t>
      </w:r>
      <w:r w:rsidRPr="00E03C54">
        <w:t xml:space="preserve">family residential building </w:t>
      </w:r>
      <w:r w:rsidR="00353C82">
        <w:t>with</w:t>
      </w:r>
      <w:r w:rsidRPr="006272EA">
        <w:t xml:space="preserve"> a centralized, gas-fired, domestic hot water system with constant volume, fractional horsepower, and an uncontrolled recirculation pump.  </w:t>
      </w:r>
    </w:p>
    <w:p w14:paraId="4687CC77" w14:textId="7E72479B" w:rsidR="00803927" w:rsidRPr="006272EA" w:rsidRDefault="00803927" w:rsidP="00050701">
      <w:pPr>
        <w:rPr>
          <w:i/>
        </w:rPr>
      </w:pPr>
      <w:r w:rsidRPr="006272EA">
        <w:t xml:space="preserve">This measure is only applicable </w:t>
      </w:r>
      <w:r w:rsidR="00353C82">
        <w:t>for a</w:t>
      </w:r>
      <w:r w:rsidRPr="006272EA">
        <w:t xml:space="preserve"> building with </w:t>
      </w:r>
      <w:r w:rsidR="00353C82">
        <w:t xml:space="preserve">a </w:t>
      </w:r>
      <w:r w:rsidRPr="006272EA">
        <w:t>system that utilize</w:t>
      </w:r>
      <w:r w:rsidR="00353C82">
        <w:t>s a</w:t>
      </w:r>
      <w:r w:rsidRPr="006272EA">
        <w:t xml:space="preserve"> stand-alone domestic hot water system. </w:t>
      </w:r>
      <w:r w:rsidR="00353C82">
        <w:t>A h</w:t>
      </w:r>
      <w:r w:rsidRPr="006272EA">
        <w:t xml:space="preserve">ot water generation system must be used primarily for domestic hot-water heating uses. </w:t>
      </w:r>
    </w:p>
    <w:p w14:paraId="52C17C5E" w14:textId="09192B0E" w:rsidR="00803927" w:rsidRDefault="00803927" w:rsidP="00050701">
      <w:r w:rsidRPr="0012131C">
        <w:lastRenderedPageBreak/>
        <w:t xml:space="preserve">The hot water supply and hot water return lines </w:t>
      </w:r>
      <w:r>
        <w:t xml:space="preserve">of the recirculation loop </w:t>
      </w:r>
      <w:r w:rsidRPr="0012131C">
        <w:t xml:space="preserve">must maintain a temperature </w:t>
      </w:r>
      <w:r w:rsidR="00050701">
        <w:t>differential</w:t>
      </w:r>
      <w:r w:rsidRPr="0012131C">
        <w:t xml:space="preserve"> of at least 20</w:t>
      </w:r>
      <w:r w:rsidR="00BC2472">
        <w:t xml:space="preserve"> </w:t>
      </w:r>
      <w:r w:rsidRPr="0012131C">
        <w:t>°F</w:t>
      </w:r>
      <w:r>
        <w:t>.</w:t>
      </w:r>
      <w:r w:rsidR="00C343B9" w:rsidRPr="00353C82">
        <w:rPr>
          <w:rStyle w:val="FootnoteReference"/>
          <w:rFonts w:cs="Calibri Light"/>
          <w:szCs w:val="22"/>
        </w:rPr>
        <w:footnoteReference w:id="6"/>
      </w:r>
      <w:r w:rsidR="00C343B9" w:rsidRPr="0012131C">
        <w:t xml:space="preserve"> </w:t>
      </w:r>
      <w:r>
        <w:t xml:space="preserve">For example, for the energy modeling purposes of this </w:t>
      </w:r>
      <w:r w:rsidR="00050701">
        <w:t>measure analysis</w:t>
      </w:r>
      <w:r>
        <w:t>, the supply temperature was set at 135</w:t>
      </w:r>
      <w:r w:rsidR="00BC2472">
        <w:t xml:space="preserve"> </w:t>
      </w:r>
      <w:r>
        <w:t>°F and the return temperature was maintained at 105</w:t>
      </w:r>
      <w:r w:rsidR="00BC2472">
        <w:t xml:space="preserve"> </w:t>
      </w:r>
      <w:r>
        <w:t xml:space="preserve">°F. </w:t>
      </w:r>
    </w:p>
    <w:p w14:paraId="259568B7" w14:textId="05C12DAC" w:rsidR="00353C82" w:rsidRPr="004041B3" w:rsidRDefault="00EB51DE" w:rsidP="00050701">
      <w:pPr>
        <w:rPr>
          <w:b/>
          <w:bCs/>
          <w:i/>
        </w:rPr>
      </w:pPr>
      <w:r w:rsidRPr="004041B3">
        <w:rPr>
          <w:b/>
          <w:bCs/>
          <w:i/>
        </w:rPr>
        <w:t>Commercial:</w:t>
      </w:r>
    </w:p>
    <w:p w14:paraId="32291309" w14:textId="77777777" w:rsidR="00030FD3" w:rsidRPr="00030FD3" w:rsidRDefault="00030FD3" w:rsidP="004041B3">
      <w:pPr>
        <w:rPr>
          <w:i/>
        </w:rPr>
      </w:pPr>
      <w:r w:rsidRPr="00030FD3">
        <w:rPr>
          <w:i/>
        </w:rPr>
        <w:t xml:space="preserve">The energy efficiency measure is applicable to the following commercial building types: Hotel, Motel, Nursing Home, and Education University Dormitory that have a centralized, gas-fired, domestic hot water system with constant volume, fractional horsepower, and an uncontrolled recirculation pump.  </w:t>
      </w:r>
    </w:p>
    <w:p w14:paraId="6CCC04E7" w14:textId="77777777" w:rsidR="00030FD3" w:rsidRPr="00030FD3" w:rsidRDefault="00030FD3" w:rsidP="004041B3">
      <w:pPr>
        <w:rPr>
          <w:i/>
        </w:rPr>
      </w:pPr>
      <w:r w:rsidRPr="00030FD3">
        <w:rPr>
          <w:i/>
        </w:rPr>
        <w:t xml:space="preserve">This measure is only applicable to existing buildings with systems that utilize stand-alone domestic hot water systems. Hot water generation systems must be used primarily for domestic hot-water heating uses. Hot-water generation systems used for pool or spa heating are not eligible for this measure. </w:t>
      </w:r>
    </w:p>
    <w:p w14:paraId="69E4FA71" w14:textId="4F7A1A3B" w:rsidR="00030FD3" w:rsidRDefault="00030FD3" w:rsidP="00030FD3">
      <w:pPr>
        <w:rPr>
          <w:i/>
        </w:rPr>
      </w:pPr>
      <w:r w:rsidRPr="00030FD3">
        <w:rPr>
          <w:i/>
        </w:rPr>
        <w:t xml:space="preserve">The energy efficiency measure applies to all California Building Climate Zone Areas. </w:t>
      </w:r>
    </w:p>
    <w:p w14:paraId="6B44F176" w14:textId="11DC41F2" w:rsidR="008542ED" w:rsidRPr="008542ED" w:rsidRDefault="008542ED" w:rsidP="004041B3">
      <w:pPr>
        <w:rPr>
          <w:i/>
        </w:rPr>
      </w:pPr>
      <w:r w:rsidRPr="008542ED">
        <w:rPr>
          <w:i/>
        </w:rPr>
        <w:t>The hot water supply and hot water return lines of the recirculation loop must maintain a temperature difference of at least 20°F.</w:t>
      </w:r>
      <w:r w:rsidR="000D763B">
        <w:rPr>
          <w:rStyle w:val="FootnoteReference"/>
          <w:i/>
        </w:rPr>
        <w:footnoteReference w:id="7"/>
      </w:r>
      <w:r w:rsidRPr="008542ED">
        <w:rPr>
          <w:i/>
        </w:rPr>
        <w:t xml:space="preserve">  For example, for the energy modeling purposes of this workpaper, the supply temperature was set at 135°F and the return temperature was maintained at 105°F. </w:t>
      </w:r>
    </w:p>
    <w:p w14:paraId="4EF0310E" w14:textId="77777777" w:rsidR="008542ED" w:rsidRPr="008542ED" w:rsidRDefault="008542ED" w:rsidP="004041B3">
      <w:pPr>
        <w:rPr>
          <w:i/>
        </w:rPr>
      </w:pPr>
      <w:r w:rsidRPr="008542ED">
        <w:rPr>
          <w:i/>
        </w:rPr>
        <w:t>The domestic hot water recirculation loop is located exclusively within the building envelope’s conditioned space.</w:t>
      </w:r>
    </w:p>
    <w:p w14:paraId="6F96C338" w14:textId="77777777" w:rsidR="008542ED" w:rsidRPr="008542ED" w:rsidRDefault="008542ED" w:rsidP="004041B3">
      <w:pPr>
        <w:rPr>
          <w:i/>
        </w:rPr>
      </w:pPr>
      <w:r w:rsidRPr="008542ED">
        <w:rPr>
          <w:i/>
        </w:rPr>
        <w:t>Energy savings for the commercial buildings described in this workpaper have been normalized by the number of rooms or dwelling units. Because the eQuest building energy models had no explicit number of rooms defined, building estimates of for the number of rooms were developed from U.S. Energy Information Administration (EIA) Commercial Building Energy Consumption Survey (CBECS) data and the U.S. Department of Energy (DOE) Commercial Prototype Building Models. The building estimated number of rooms for the Hotel, Motel, Nursing Home, and Education University Dormitory commercial building types is 393, 42, 269, and 278, respectively.</w:t>
      </w:r>
    </w:p>
    <w:p w14:paraId="5F01DF3F" w14:textId="77777777" w:rsidR="00EB51DE" w:rsidRDefault="00EB51DE" w:rsidP="00050701">
      <w:pPr>
        <w:rPr>
          <w:i/>
        </w:rPr>
      </w:pPr>
    </w:p>
    <w:p w14:paraId="7CE938DA" w14:textId="2434378C" w:rsidR="007B6A74" w:rsidRPr="00401C43" w:rsidRDefault="007B6A74" w:rsidP="00401C43">
      <w:pPr>
        <w:pStyle w:val="eTRMHeading5"/>
      </w:pPr>
      <w:r w:rsidRPr="00401C43">
        <w:t>Eligible Building Types</w:t>
      </w:r>
      <w:r w:rsidR="00E57AAD">
        <w:t xml:space="preserve"> and Vintages</w:t>
      </w:r>
    </w:p>
    <w:p w14:paraId="158690E9" w14:textId="410B8AA1" w:rsidR="007E0B4B" w:rsidRDefault="007E0B4B" w:rsidP="00C372B2">
      <w:r>
        <w:t xml:space="preserve">This measure is eligible for </w:t>
      </w:r>
      <w:r w:rsidR="00322035">
        <w:t xml:space="preserve">1) </w:t>
      </w:r>
      <w:r w:rsidR="00803927">
        <w:t xml:space="preserve">existing </w:t>
      </w:r>
      <w:r>
        <w:t>multifamily residential building</w:t>
      </w:r>
      <w:r w:rsidR="00803927">
        <w:t>s</w:t>
      </w:r>
      <w:r w:rsidR="00A15793">
        <w:t xml:space="preserve"> and </w:t>
      </w:r>
      <w:r w:rsidR="00322035">
        <w:t xml:space="preserve">2) </w:t>
      </w:r>
      <w:r w:rsidR="00A15793">
        <w:t>commercial building</w:t>
      </w:r>
      <w:r w:rsidR="007554CA">
        <w:t xml:space="preserve"> types</w:t>
      </w:r>
      <w:r w:rsidR="00A15793">
        <w:t xml:space="preserve">: </w:t>
      </w:r>
      <w:r w:rsidR="00322035" w:rsidRPr="00322035">
        <w:t>Hotel, Motel, Nursing Home, and Education University Dormitory</w:t>
      </w:r>
      <w:r>
        <w:t xml:space="preserve">.  </w:t>
      </w:r>
    </w:p>
    <w:p w14:paraId="5A8B9917" w14:textId="77777777" w:rsidR="00353C82" w:rsidRDefault="00353C82" w:rsidP="00C372B2"/>
    <w:p w14:paraId="1A3705F3" w14:textId="4BC0985D" w:rsidR="007B6A74" w:rsidRPr="004B06E3" w:rsidRDefault="00196649" w:rsidP="00154391">
      <w:pPr>
        <w:pStyle w:val="eTRMHeading5"/>
      </w:pPr>
      <w:r>
        <w:t>Eligible Climate Zones</w:t>
      </w:r>
    </w:p>
    <w:p w14:paraId="4A9FD22A" w14:textId="5DD3FC98" w:rsidR="004B6780" w:rsidRDefault="004B6780" w:rsidP="004B6780">
      <w:r>
        <w:t xml:space="preserve">This measure is applicable to </w:t>
      </w:r>
      <w:r w:rsidR="007E0B4B">
        <w:t>all</w:t>
      </w:r>
      <w:r>
        <w:t xml:space="preserve"> California climate zones.</w:t>
      </w:r>
    </w:p>
    <w:p w14:paraId="34FF761D" w14:textId="77777777" w:rsidR="006C41AD" w:rsidRPr="004B06E3" w:rsidRDefault="006C41AD" w:rsidP="004B06E3"/>
    <w:p w14:paraId="47630D60" w14:textId="77777777" w:rsidR="007D230B" w:rsidRPr="004B06E3" w:rsidRDefault="007D230B" w:rsidP="00EE4D02">
      <w:pPr>
        <w:pStyle w:val="eTRMHeading3"/>
      </w:pPr>
      <w:bookmarkStart w:id="27" w:name="_Toc486490853"/>
      <w:bookmarkStart w:id="28" w:name="_Toc486580924"/>
      <w:bookmarkStart w:id="29" w:name="_Toc2250554"/>
      <w:r w:rsidRPr="004B06E3">
        <w:lastRenderedPageBreak/>
        <w:t>Program Exclusions</w:t>
      </w:r>
      <w:bookmarkEnd w:id="27"/>
      <w:bookmarkEnd w:id="28"/>
      <w:bookmarkEnd w:id="29"/>
      <w:r w:rsidRPr="004B06E3">
        <w:t xml:space="preserve"> </w:t>
      </w:r>
    </w:p>
    <w:p w14:paraId="5CCD4811" w14:textId="70BDA4C9" w:rsidR="00050701" w:rsidRDefault="0099335F" w:rsidP="00065E54">
      <w:r>
        <w:t>This measure is not applicable for any building type</w:t>
      </w:r>
      <w:r w:rsidR="00A212EB">
        <w:t>s</w:t>
      </w:r>
      <w:r>
        <w:t xml:space="preserve"> other than multifamily</w:t>
      </w:r>
      <w:r w:rsidR="00495809">
        <w:t xml:space="preserve"> and commercial types:</w:t>
      </w:r>
      <w:r w:rsidR="001D6934">
        <w:t xml:space="preserve"> </w:t>
      </w:r>
      <w:r w:rsidR="001D6934" w:rsidRPr="001D6934">
        <w:rPr>
          <w:i/>
        </w:rPr>
        <w:t>Hotel, Motel, Nursing Home, and Education University Dormitory</w:t>
      </w:r>
      <w:r>
        <w:t xml:space="preserve">. </w:t>
      </w:r>
    </w:p>
    <w:p w14:paraId="58015471" w14:textId="45B09C82" w:rsidR="00065E54" w:rsidRDefault="00353C82" w:rsidP="00065E54">
      <w:r>
        <w:t>A h</w:t>
      </w:r>
      <w:r w:rsidR="00803927" w:rsidRPr="006272EA">
        <w:t>ot-water g</w:t>
      </w:r>
      <w:r w:rsidR="00803927">
        <w:t xml:space="preserve">eneration system used for pool or spa heating </w:t>
      </w:r>
      <w:r w:rsidR="00803927" w:rsidRPr="006272EA">
        <w:t>are no</w:t>
      </w:r>
      <w:r w:rsidR="00803927">
        <w:t>t</w:t>
      </w:r>
      <w:r w:rsidR="00803927" w:rsidRPr="006272EA">
        <w:t xml:space="preserve"> eligible for this measure.</w:t>
      </w:r>
      <w:r w:rsidR="00411939">
        <w:t xml:space="preserve"> </w:t>
      </w:r>
    </w:p>
    <w:p w14:paraId="48A3A8EC" w14:textId="77777777" w:rsidR="00065E54" w:rsidRDefault="00065E54" w:rsidP="00065E54"/>
    <w:p w14:paraId="655E299F" w14:textId="77777777" w:rsidR="007D230B" w:rsidRPr="004B06E3" w:rsidRDefault="007D230B" w:rsidP="00EE4D02">
      <w:pPr>
        <w:pStyle w:val="eTRMHeading3"/>
      </w:pPr>
      <w:bookmarkStart w:id="30" w:name="_Toc486490854"/>
      <w:bookmarkStart w:id="31" w:name="_Toc486580925"/>
      <w:bookmarkStart w:id="32" w:name="_Toc2250555"/>
      <w:r w:rsidRPr="004B06E3">
        <w:t>Data Collection Requirements</w:t>
      </w:r>
      <w:bookmarkEnd w:id="30"/>
      <w:bookmarkEnd w:id="31"/>
      <w:bookmarkEnd w:id="32"/>
      <w:r w:rsidRPr="004B06E3">
        <w:t xml:space="preserve"> </w:t>
      </w:r>
    </w:p>
    <w:p w14:paraId="608A21DD" w14:textId="1E05C560" w:rsidR="00D702D0" w:rsidRDefault="00D05B33" w:rsidP="00D05B33">
      <w:r>
        <w:t xml:space="preserve">The various emerging technology reports and studies assessed </w:t>
      </w:r>
      <w:r w:rsidR="00221FEF">
        <w:t>for the</w:t>
      </w:r>
      <w:r>
        <w:t xml:space="preserve"> development of this </w:t>
      </w:r>
      <w:r w:rsidR="00221FEF">
        <w:t>measure</w:t>
      </w:r>
      <w:r>
        <w:t xml:space="preserve"> did not </w:t>
      </w:r>
      <w:r w:rsidR="00221FEF">
        <w:t>quantify</w:t>
      </w:r>
      <w:r>
        <w:t xml:space="preserve"> energy savings performance over a full year. Generally, energy savings estimates have been developed over a shorter time frame, with data being extrapolated to estimate annual savings. Furthermore, none of the studies reviewed detailed savings in each of the California Building Code Zone Areas. Because hot water system performance is affected by ambient temperatures, future studies may test over longer durations and consider performing multiple demonstrations that include a greater number of climate zones.</w:t>
      </w:r>
    </w:p>
    <w:p w14:paraId="48D756F1" w14:textId="77777777" w:rsidR="00D05B33" w:rsidRPr="00D05B33" w:rsidRDefault="00D05B33" w:rsidP="00D05B33"/>
    <w:p w14:paraId="4891FCAB" w14:textId="77777777" w:rsidR="007D230B" w:rsidRPr="004B06E3" w:rsidRDefault="007D230B" w:rsidP="00EE4D02">
      <w:pPr>
        <w:pStyle w:val="eTRMHeading3"/>
      </w:pPr>
      <w:bookmarkStart w:id="33" w:name="_Toc486490855"/>
      <w:bookmarkStart w:id="34" w:name="_Toc486580926"/>
      <w:bookmarkStart w:id="35" w:name="_Toc2250556"/>
      <w:r w:rsidRPr="004B06E3">
        <w:t>Use Category</w:t>
      </w:r>
      <w:bookmarkEnd w:id="33"/>
      <w:bookmarkEnd w:id="34"/>
      <w:bookmarkEnd w:id="35"/>
    </w:p>
    <w:p w14:paraId="13382FF9" w14:textId="7DA87CD4" w:rsidR="004142EF" w:rsidRDefault="00050701" w:rsidP="004B06E3">
      <w:r>
        <w:t>Service &amp; domestic hot water</w:t>
      </w:r>
    </w:p>
    <w:p w14:paraId="6BE698EA" w14:textId="77777777" w:rsidR="004E3E98" w:rsidRPr="004B06E3" w:rsidRDefault="004E3E98" w:rsidP="004B06E3"/>
    <w:p w14:paraId="4B62D367" w14:textId="370A839E" w:rsidR="007D230B" w:rsidRPr="004B06E3" w:rsidRDefault="007D230B" w:rsidP="00EE4D02">
      <w:pPr>
        <w:pStyle w:val="eTRMHeading3"/>
      </w:pPr>
      <w:bookmarkStart w:id="36" w:name="_Toc486490857"/>
      <w:bookmarkStart w:id="37" w:name="_Toc486580928"/>
      <w:bookmarkStart w:id="38" w:name="_Toc2250557"/>
      <w:r w:rsidRPr="004B06E3">
        <w:t>Electric Savings</w:t>
      </w:r>
      <w:r w:rsidR="00245AFF" w:rsidRPr="004B06E3">
        <w:t xml:space="preserve"> (</w:t>
      </w:r>
      <w:r w:rsidR="00E14349" w:rsidRPr="00E14349">
        <w:t>k</w:t>
      </w:r>
      <w:r w:rsidR="00245AFF" w:rsidRPr="004B06E3">
        <w:t>Wh)</w:t>
      </w:r>
      <w:bookmarkEnd w:id="36"/>
      <w:bookmarkEnd w:id="37"/>
      <w:bookmarkEnd w:id="38"/>
    </w:p>
    <w:p w14:paraId="1AC3096A" w14:textId="6FD55712" w:rsidR="007B1024" w:rsidRDefault="00907E99" w:rsidP="007B1024">
      <w:pPr>
        <w:rPr>
          <w:highlight w:val="yellow"/>
        </w:rPr>
      </w:pPr>
      <w:r>
        <w:t>The unit energy</w:t>
      </w:r>
      <w:r w:rsidR="007B1024">
        <w:t xml:space="preserve"> savings</w:t>
      </w:r>
      <w:r>
        <w:t xml:space="preserve"> (UES)</w:t>
      </w:r>
      <w:r w:rsidR="007B1024">
        <w:t xml:space="preserve"> </w:t>
      </w:r>
      <w:r>
        <w:t>that result from a demand</w:t>
      </w:r>
      <w:r w:rsidR="00A47D17">
        <w:t>-</w:t>
      </w:r>
      <w:r>
        <w:t xml:space="preserve">controlled recirculation pump installed in a centralized multifamily </w:t>
      </w:r>
      <w:r w:rsidR="0047585F">
        <w:t>and/or Commercial building</w:t>
      </w:r>
      <w:r w:rsidR="001E0110">
        <w:t xml:space="preserve"> </w:t>
      </w:r>
      <w:r>
        <w:t>hot water system was</w:t>
      </w:r>
      <w:r w:rsidR="007B1024">
        <w:t xml:space="preserve"> developed through a combination of research, engineering calculations, and building energy </w:t>
      </w:r>
      <w:r w:rsidR="00A47D17">
        <w:t xml:space="preserve">simulation </w:t>
      </w:r>
      <w:r w:rsidR="007B1024">
        <w:t xml:space="preserve">models. </w:t>
      </w:r>
      <w:r>
        <w:t>The methodology described below includes the following:</w:t>
      </w:r>
    </w:p>
    <w:p w14:paraId="7A59FA7B" w14:textId="25EE06AA" w:rsidR="00907E99" w:rsidRDefault="00907E99" w:rsidP="00907E99">
      <w:pPr>
        <w:pStyle w:val="eTRMBulletedText"/>
      </w:pPr>
      <w:r>
        <w:t>Base and measure case underlying parameters,</w:t>
      </w:r>
    </w:p>
    <w:p w14:paraId="3782783B" w14:textId="3A458F92" w:rsidR="00907E99" w:rsidRDefault="00907E99" w:rsidP="00907E99">
      <w:pPr>
        <w:pStyle w:val="eTRMBulletedText"/>
      </w:pPr>
      <w:r>
        <w:t>Baseline performance,</w:t>
      </w:r>
    </w:p>
    <w:p w14:paraId="57E4BC60" w14:textId="19A1B9F2" w:rsidR="00907E99" w:rsidRDefault="00907E99" w:rsidP="00907E99">
      <w:pPr>
        <w:pStyle w:val="eTRMBulletedText"/>
      </w:pPr>
      <w:r>
        <w:t>Measure case performance,</w:t>
      </w:r>
    </w:p>
    <w:p w14:paraId="1160554C" w14:textId="6C672D96" w:rsidR="00907E99" w:rsidRDefault="00907E99" w:rsidP="00907E99">
      <w:pPr>
        <w:pStyle w:val="eTRMBulletedText"/>
      </w:pPr>
      <w:r>
        <w:t>Measurement and verification control volume,</w:t>
      </w:r>
    </w:p>
    <w:p w14:paraId="2B46641B" w14:textId="1A6E4C7E" w:rsidR="00907E99" w:rsidRDefault="00907E99" w:rsidP="00907E99">
      <w:pPr>
        <w:pStyle w:val="eTRMBulletedText"/>
      </w:pPr>
      <w:r>
        <w:t>Building energy simulation models and hot water system characteristics, and</w:t>
      </w:r>
    </w:p>
    <w:p w14:paraId="301FAEB9" w14:textId="41F176C4" w:rsidR="00907E99" w:rsidRDefault="00907E99" w:rsidP="00907E99">
      <w:pPr>
        <w:pStyle w:val="eTRMBulletedText"/>
      </w:pPr>
      <w:r>
        <w:t xml:space="preserve">Estimation of </w:t>
      </w:r>
      <w:r w:rsidR="00050701">
        <w:t xml:space="preserve">unit </w:t>
      </w:r>
      <w:r>
        <w:t>energy savings</w:t>
      </w:r>
      <w:r w:rsidR="001B63CF">
        <w:t xml:space="preserve"> and demand reduction</w:t>
      </w:r>
      <w:r w:rsidR="009E4105">
        <w:t>.</w:t>
      </w:r>
    </w:p>
    <w:p w14:paraId="7AA4C2B0" w14:textId="77777777" w:rsidR="007B1024" w:rsidRDefault="007B1024" w:rsidP="007B1024">
      <w:pPr>
        <w:pStyle w:val="Reminders"/>
        <w:tabs>
          <w:tab w:val="num" w:pos="360"/>
        </w:tabs>
        <w:spacing w:after="120"/>
        <w:rPr>
          <w:rFonts w:asciiTheme="minorHAnsi" w:hAnsiTheme="minorHAnsi" w:cstheme="minorHAnsi"/>
          <w:i w:val="0"/>
          <w:color w:val="auto"/>
          <w:szCs w:val="22"/>
        </w:rPr>
      </w:pPr>
    </w:p>
    <w:p w14:paraId="474CF1C3" w14:textId="1AFD4964" w:rsidR="007B1024" w:rsidRPr="00C82E0C" w:rsidRDefault="007B1024" w:rsidP="00003E3B">
      <w:pPr>
        <w:pStyle w:val="eTRMHeading4"/>
        <w:rPr>
          <w:i/>
        </w:rPr>
      </w:pPr>
      <w:r w:rsidRPr="00E94991">
        <w:t xml:space="preserve">Base </w:t>
      </w:r>
      <w:r w:rsidR="00907E99">
        <w:t xml:space="preserve">Case </w:t>
      </w:r>
      <w:r w:rsidRPr="00E94991">
        <w:t>and Measure Case Underlying Parameters</w:t>
      </w:r>
      <w:r>
        <w:t xml:space="preserve"> </w:t>
      </w:r>
    </w:p>
    <w:p w14:paraId="507A477E" w14:textId="5E151DB2" w:rsidR="007B1024" w:rsidRPr="004041B3" w:rsidRDefault="007B1024" w:rsidP="007B1024">
      <w:pPr>
        <w:rPr>
          <w:i/>
          <w:color w:val="FF0000"/>
        </w:rPr>
      </w:pPr>
      <w:r w:rsidRPr="00E03C54">
        <w:t xml:space="preserve">The measure </w:t>
      </w:r>
      <w:r>
        <w:t xml:space="preserve">case is based on an analysis that </w:t>
      </w:r>
      <w:r w:rsidR="00F917A5">
        <w:t>utilize</w:t>
      </w:r>
      <w:r w:rsidR="00907E99">
        <w:t>d</w:t>
      </w:r>
      <w:r>
        <w:t xml:space="preserve"> the p</w:t>
      </w:r>
      <w:r w:rsidRPr="00E03C54">
        <w:t xml:space="preserve">rototypical DEER </w:t>
      </w:r>
      <w:r>
        <w:t xml:space="preserve">2003 vintage </w:t>
      </w:r>
      <w:r w:rsidRPr="00E03C54">
        <w:t>building model</w:t>
      </w:r>
      <w:r>
        <w:t xml:space="preserve">s to represent an average cross section of existing </w:t>
      </w:r>
      <w:r w:rsidR="00907E99">
        <w:t xml:space="preserve">multifamily </w:t>
      </w:r>
      <w:r>
        <w:t xml:space="preserve">building stock. </w:t>
      </w:r>
      <w:r w:rsidRPr="004041B3">
        <w:rPr>
          <w:color w:val="FF0000"/>
        </w:rPr>
        <w:t xml:space="preserve">The buildings in these models consist of </w:t>
      </w:r>
      <w:r w:rsidR="00F917A5" w:rsidRPr="004041B3">
        <w:rPr>
          <w:color w:val="FF0000"/>
        </w:rPr>
        <w:t>four</w:t>
      </w:r>
      <w:r w:rsidRPr="004041B3">
        <w:rPr>
          <w:color w:val="FF0000"/>
        </w:rPr>
        <w:t xml:space="preserve"> residential stories </w:t>
      </w:r>
      <w:r w:rsidR="00FE55D1" w:rsidRPr="004041B3">
        <w:rPr>
          <w:color w:val="FF0000"/>
        </w:rPr>
        <w:t>and</w:t>
      </w:r>
      <w:r w:rsidRPr="004041B3">
        <w:rPr>
          <w:color w:val="FF0000"/>
        </w:rPr>
        <w:t xml:space="preserve"> </w:t>
      </w:r>
      <w:r w:rsidR="00FE55D1" w:rsidRPr="004041B3">
        <w:rPr>
          <w:color w:val="FF0000"/>
        </w:rPr>
        <w:t xml:space="preserve">a total of </w:t>
      </w:r>
      <w:r w:rsidRPr="004041B3">
        <w:rPr>
          <w:color w:val="FF0000"/>
        </w:rPr>
        <w:t xml:space="preserve">24 dwelling units, all of which have the same hot water fixture </w:t>
      </w:r>
      <w:r w:rsidR="00A47D17" w:rsidRPr="004041B3">
        <w:rPr>
          <w:color w:val="FF0000"/>
        </w:rPr>
        <w:t>configuration</w:t>
      </w:r>
      <w:r w:rsidRPr="004041B3">
        <w:rPr>
          <w:color w:val="FF0000"/>
        </w:rPr>
        <w:t xml:space="preserve"> and demand. </w:t>
      </w:r>
    </w:p>
    <w:p w14:paraId="7E15A03C" w14:textId="00E82C31" w:rsidR="007B1024" w:rsidRPr="007622AB" w:rsidRDefault="007B1024" w:rsidP="007B1024">
      <w:pPr>
        <w:rPr>
          <w:i/>
        </w:rPr>
      </w:pPr>
      <w:r w:rsidRPr="007622AB">
        <w:t xml:space="preserve">Measure savings were developed by simulating a single building per climate zone. Savings </w:t>
      </w:r>
      <w:r w:rsidR="00097172">
        <w:t>were</w:t>
      </w:r>
      <w:r w:rsidRPr="007622AB">
        <w:t xml:space="preserve"> extrapolated to larger and smaller cohorts of high-rise and low-rise multifamily residential buildings</w:t>
      </w:r>
      <w:r>
        <w:t>,</w:t>
      </w:r>
      <w:r w:rsidRPr="007622AB">
        <w:t xml:space="preserve"> but no range of acceptable sizes</w:t>
      </w:r>
      <w:r>
        <w:t xml:space="preserve"> that deviate from the base case model</w:t>
      </w:r>
      <w:r w:rsidRPr="007622AB">
        <w:t xml:space="preserve"> has been quantified. </w:t>
      </w:r>
      <w:r>
        <w:t>V</w:t>
      </w:r>
      <w:r w:rsidRPr="007622AB">
        <w:t xml:space="preserve">ariances </w:t>
      </w:r>
      <w:r>
        <w:t xml:space="preserve">in </w:t>
      </w:r>
      <w:r w:rsidRPr="007622AB">
        <w:t xml:space="preserve">building floor area, number of dwelling units, </w:t>
      </w:r>
      <w:r>
        <w:t>configuration</w:t>
      </w:r>
      <w:r w:rsidRPr="007622AB">
        <w:t xml:space="preserve"> of hot water fixtures</w:t>
      </w:r>
      <w:r>
        <w:t xml:space="preserve">, and hot water piping loop characteristics are some of the site-specific </w:t>
      </w:r>
      <w:r w:rsidRPr="007622AB">
        <w:t xml:space="preserve">factors that </w:t>
      </w:r>
      <w:r>
        <w:t xml:space="preserve">may substantially affect energy consumption. Savings, for example, may </w:t>
      </w:r>
      <w:r w:rsidRPr="007622AB">
        <w:t xml:space="preserve">not scale linearly with building floor area or number of dwelling </w:t>
      </w:r>
      <w:r w:rsidRPr="007622AB">
        <w:lastRenderedPageBreak/>
        <w:t>units</w:t>
      </w:r>
      <w:r>
        <w:t xml:space="preserve"> as documented in the CASE study</w:t>
      </w:r>
      <w:r w:rsidR="00F917A5">
        <w:t>,</w:t>
      </w:r>
      <w:r w:rsidR="00A47D17">
        <w:rPr>
          <w:rStyle w:val="FootnoteReference"/>
          <w:rFonts w:asciiTheme="minorHAnsi" w:hAnsiTheme="minorHAnsi" w:cstheme="minorHAnsi"/>
          <w:szCs w:val="22"/>
        </w:rPr>
        <w:footnoteReference w:id="8"/>
      </w:r>
      <w:r w:rsidR="00A47D17" w:rsidRPr="007622AB">
        <w:t xml:space="preserve"> </w:t>
      </w:r>
      <w:r w:rsidRPr="007622AB">
        <w:t xml:space="preserve">and </w:t>
      </w:r>
      <w:r>
        <w:t xml:space="preserve">they </w:t>
      </w:r>
      <w:r w:rsidRPr="007622AB">
        <w:t xml:space="preserve">may </w:t>
      </w:r>
      <w:r>
        <w:t xml:space="preserve">therefore </w:t>
      </w:r>
      <w:r w:rsidRPr="007622AB">
        <w:t>produce variations between deemed savings and actual results.</w:t>
      </w:r>
    </w:p>
    <w:p w14:paraId="1EB11A7B" w14:textId="4A5F9653" w:rsidR="007B1024" w:rsidRPr="00E03C54" w:rsidRDefault="007B1024" w:rsidP="007B1024">
      <w:pPr>
        <w:rPr>
          <w:i/>
        </w:rPr>
      </w:pPr>
      <w:r>
        <w:t>The base case and measure case</w:t>
      </w:r>
      <w:r w:rsidRPr="00E03C54">
        <w:t xml:space="preserve"> recirculation</w:t>
      </w:r>
      <w:r>
        <w:t xml:space="preserve"> loop is located exclusively within the building envelope</w:t>
      </w:r>
      <w:r w:rsidR="00F917A5">
        <w:t xml:space="preserve"> </w:t>
      </w:r>
      <w:r w:rsidRPr="00E03C54">
        <w:t>conditioned space</w:t>
      </w:r>
      <w:r w:rsidR="00F917A5">
        <w:t>.</w:t>
      </w:r>
      <w:r w:rsidR="00A47D17" w:rsidRPr="00E03C54">
        <w:t xml:space="preserve"> </w:t>
      </w:r>
      <w:r w:rsidRPr="00E03C54">
        <w:t xml:space="preserve">Placement of the </w:t>
      </w:r>
      <w:r>
        <w:t xml:space="preserve">recirculation </w:t>
      </w:r>
      <w:r w:rsidRPr="00E03C54">
        <w:t xml:space="preserve">loop will affect energy performance and interactive effects with </w:t>
      </w:r>
      <w:r>
        <w:t xml:space="preserve">other </w:t>
      </w:r>
      <w:r w:rsidRPr="00E03C54">
        <w:t xml:space="preserve">building </w:t>
      </w:r>
      <w:r>
        <w:t xml:space="preserve">end uses, including space </w:t>
      </w:r>
      <w:r w:rsidRPr="00E03C54">
        <w:t xml:space="preserve">heating and </w:t>
      </w:r>
      <w:r>
        <w:t xml:space="preserve">space </w:t>
      </w:r>
      <w:r w:rsidRPr="00E03C54">
        <w:t>cooling systems</w:t>
      </w:r>
      <w:r>
        <w:t>.</w:t>
      </w:r>
      <w:r w:rsidRPr="00E03C54">
        <w:t xml:space="preserve"> </w:t>
      </w:r>
    </w:p>
    <w:p w14:paraId="0B519DC1" w14:textId="0F397C8C" w:rsidR="007B1024" w:rsidRDefault="007B1024" w:rsidP="007B1024">
      <w:r w:rsidRPr="00E03C54">
        <w:t xml:space="preserve">The measure </w:t>
      </w:r>
      <w:r>
        <w:t xml:space="preserve">case </w:t>
      </w:r>
      <w:r w:rsidRPr="00E03C54">
        <w:t xml:space="preserve">hot water heater supply </w:t>
      </w:r>
      <w:r>
        <w:t xml:space="preserve">temperature </w:t>
      </w:r>
      <w:r w:rsidRPr="00E03C54">
        <w:t xml:space="preserve">and </w:t>
      </w:r>
      <w:r>
        <w:t xml:space="preserve">the </w:t>
      </w:r>
      <w:r w:rsidRPr="00E03C54">
        <w:t xml:space="preserve">recirculation loop </w:t>
      </w:r>
      <w:r>
        <w:t xml:space="preserve">return </w:t>
      </w:r>
      <w:r w:rsidRPr="00E03C54">
        <w:t>temperature are set to 135</w:t>
      </w:r>
      <w:r w:rsidR="00F917A5">
        <w:t xml:space="preserve"> </w:t>
      </w:r>
      <w:r w:rsidRPr="00E03C54">
        <w:t>°F and 105</w:t>
      </w:r>
      <w:r w:rsidR="00F917A5">
        <w:t xml:space="preserve"> </w:t>
      </w:r>
      <w:r w:rsidRPr="00E03C54">
        <w:t xml:space="preserve">°F, respectively. </w:t>
      </w:r>
      <w:r w:rsidRPr="00917A98">
        <w:t xml:space="preserve">These temperatures were derived </w:t>
      </w:r>
      <w:r w:rsidR="00050701">
        <w:t>from</w:t>
      </w:r>
      <w:r w:rsidRPr="00917A98">
        <w:t xml:space="preserve"> a combination of </w:t>
      </w:r>
      <w:r w:rsidR="00050701">
        <w:t>impact analysis of other related measures</w:t>
      </w:r>
      <w:r w:rsidRPr="00917A98">
        <w:t>, codes and standards documents, and industry standards.</w:t>
      </w:r>
      <w:r>
        <w:t xml:space="preserve"> The temperatures </w:t>
      </w:r>
      <w:r w:rsidRPr="00E03C54">
        <w:t xml:space="preserve">drive the hot water heating </w:t>
      </w:r>
      <w:r>
        <w:t>re</w:t>
      </w:r>
      <w:r w:rsidRPr="00E03C54">
        <w:t xml:space="preserve">circulation loop </w:t>
      </w:r>
      <w:r>
        <w:t xml:space="preserve">heat losses, </w:t>
      </w:r>
      <w:r w:rsidRPr="00E03C54">
        <w:t>energy consumption</w:t>
      </w:r>
      <w:r>
        <w:t xml:space="preserve">, and amount of </w:t>
      </w:r>
      <w:r w:rsidRPr="00E03C54">
        <w:t xml:space="preserve">energy savings </w:t>
      </w:r>
      <w:r>
        <w:t>potential</w:t>
      </w:r>
      <w:r w:rsidRPr="00E03C54">
        <w:t xml:space="preserve">. </w:t>
      </w:r>
    </w:p>
    <w:p w14:paraId="551DAA03" w14:textId="2B6BBE28" w:rsidR="007B1024" w:rsidRDefault="007B1024" w:rsidP="00003E3B">
      <w:pPr>
        <w:pStyle w:val="eTRMHeading4"/>
        <w:rPr>
          <w:i/>
        </w:rPr>
      </w:pPr>
      <w:r w:rsidRPr="006D026B">
        <w:t>Baseline Performance</w:t>
      </w:r>
    </w:p>
    <w:p w14:paraId="6E101811" w14:textId="2B49A3D1" w:rsidR="007B1024" w:rsidRDefault="00050701" w:rsidP="007B1024">
      <w:pPr>
        <w:rPr>
          <w:i/>
        </w:rPr>
      </w:pPr>
      <w:r>
        <w:t>A s</w:t>
      </w:r>
      <w:r w:rsidR="007B1024">
        <w:t xml:space="preserve">econdary literature </w:t>
      </w:r>
      <w:r>
        <w:t>review</w:t>
      </w:r>
      <w:r w:rsidR="007B1024">
        <w:t xml:space="preserve"> was performed to define an industry standard baseline condition for domestic hot water recirculation pump control in multifamily residential buildings</w:t>
      </w:r>
      <w:r w:rsidR="003E62EC">
        <w:t xml:space="preserve"> and commercial building</w:t>
      </w:r>
      <w:r w:rsidR="007848B6">
        <w:t>s</w:t>
      </w:r>
      <w:r w:rsidR="007B1024">
        <w:t xml:space="preserve">. The purpose was to understand </w:t>
      </w:r>
      <w:r w:rsidR="00FE55D1">
        <w:t>the</w:t>
      </w:r>
      <w:r w:rsidR="007B1024">
        <w:t xml:space="preserve"> opportunit</w:t>
      </w:r>
      <w:r w:rsidR="00FE55D1">
        <w:t>ies</w:t>
      </w:r>
      <w:r w:rsidR="007B1024">
        <w:t xml:space="preserve"> for energy savings through the installation of enhanced system controls that reduce both pumping energy and hot water recirculation loop heat loss. Domestic hot water studies, codes and standards reports, and existing utility program deemed savings workpapers were reviewed to identify what system control schemes have been documented through field testing, survey data, and empirical studies.  </w:t>
      </w:r>
    </w:p>
    <w:p w14:paraId="7A78425A" w14:textId="0E6E10B6" w:rsidR="007B1024" w:rsidRDefault="009A06D8" w:rsidP="007B1024">
      <w:pPr>
        <w:rPr>
          <w:i/>
        </w:rPr>
      </w:pPr>
      <w:r>
        <w:t>Most</w:t>
      </w:r>
      <w:r w:rsidR="007B1024">
        <w:t xml:space="preserve"> resources refer to the Public Interest Energy Research (PIER) Program Study</w:t>
      </w:r>
      <w:r w:rsidR="00A47D17" w:rsidRPr="00917A98">
        <w:rPr>
          <w:rStyle w:val="FootnoteReference"/>
        </w:rPr>
        <w:footnoteReference w:id="9"/>
      </w:r>
      <w:r w:rsidR="00A47D17">
        <w:t xml:space="preserve"> </w:t>
      </w:r>
      <w:r w:rsidR="007B1024">
        <w:t>as the primary data source. These include the CASE Study</w:t>
      </w:r>
      <w:r w:rsidR="00A47D17" w:rsidRPr="00097172">
        <w:rPr>
          <w:rStyle w:val="FootnoteReference"/>
          <w:rFonts w:cs="Calibri Light"/>
          <w:szCs w:val="22"/>
        </w:rPr>
        <w:footnoteReference w:id="10"/>
      </w:r>
      <w:r w:rsidR="00A47D17">
        <w:t xml:space="preserve"> </w:t>
      </w:r>
      <w:r w:rsidR="007B1024">
        <w:t>and various emerging technology reports and multifamily deemed savings workpapers.</w:t>
      </w:r>
      <w:r w:rsidR="00917A98">
        <w:rPr>
          <w:rStyle w:val="FootnoteReference"/>
        </w:rPr>
        <w:footnoteReference w:id="11"/>
      </w:r>
      <w:r w:rsidR="007B1024">
        <w:t xml:space="preserve"> These studies consistently defined the baseline condition as a hot water recirculation system with an uncontrolled, constant-speed pump that operates continuously (with a flat load curve).</w:t>
      </w:r>
    </w:p>
    <w:p w14:paraId="72967266" w14:textId="19BED507" w:rsidR="007B1024" w:rsidRPr="0073124E" w:rsidRDefault="007B1024" w:rsidP="007B1024">
      <w:r>
        <w:t>This baseline was compared with the Database of Energy Efficiency Resources (DEER) and California Building Energy Efficiency Standard</w:t>
      </w:r>
      <w:r w:rsidR="009A06D8">
        <w:t>s (Title 24)</w:t>
      </w:r>
      <w:r>
        <w:t xml:space="preserve"> to understand the opportunit</w:t>
      </w:r>
      <w:r w:rsidR="00FE55D1">
        <w:t>ies</w:t>
      </w:r>
      <w:r>
        <w:t xml:space="preserve"> for energy savings. DEER contains two similar measures for </w:t>
      </w:r>
      <w:r w:rsidR="00FE55D1">
        <w:t xml:space="preserve">a </w:t>
      </w:r>
      <w:r>
        <w:t xml:space="preserve">central gas-fired hot water system in </w:t>
      </w:r>
      <w:r w:rsidR="00FE55D1">
        <w:t xml:space="preserve">a </w:t>
      </w:r>
      <w:r>
        <w:t xml:space="preserve">multifamily residential building. These measures use an </w:t>
      </w:r>
      <w:r w:rsidR="00050701">
        <w:t>ON</w:t>
      </w:r>
      <w:r>
        <w:t>/</w:t>
      </w:r>
      <w:r w:rsidR="00050701">
        <w:t>OFF</w:t>
      </w:r>
      <w:r>
        <w:t xml:space="preserve"> </w:t>
      </w:r>
      <w:r w:rsidR="00003E3B">
        <w:t>demand-based</w:t>
      </w:r>
      <w:r>
        <w:t xml:space="preserve"> control scheme and were developed as an outcome of the PIER Study and subsequent </w:t>
      </w:r>
      <w:r w:rsidR="009A06D8">
        <w:t>workpapers and</w:t>
      </w:r>
      <w:r>
        <w:t xml:space="preserve"> </w:t>
      </w:r>
      <w:r w:rsidR="00FE55D1">
        <w:t>adopt</w:t>
      </w:r>
      <w:r>
        <w:t xml:space="preserve"> the same baseline operating condition. </w:t>
      </w:r>
      <w:r w:rsidR="00050701">
        <w:t>The California Building Efficiency Standards (</w:t>
      </w:r>
      <w:r w:rsidR="009A06D8">
        <w:t>Title 24</w:t>
      </w:r>
      <w:r w:rsidR="00050701">
        <w:t>)</w:t>
      </w:r>
      <w:r>
        <w:t xml:space="preserve"> regulates domestic hot water systems for new construction and existing building alteration and does not apply to this measure; however, relevant mandatory and prescriptive requirements inform the minimum level of measure efficiency. </w:t>
      </w:r>
      <w:r w:rsidR="0007797F">
        <w:t>Title 24</w:t>
      </w:r>
      <w:r>
        <w:t xml:space="preserve"> provides general installation requirements for domestic hot water recirculation loops. </w:t>
      </w:r>
      <w:r w:rsidR="0007797F">
        <w:t>The standard</w:t>
      </w:r>
      <w:r>
        <w:t xml:space="preserve"> </w:t>
      </w:r>
      <w:r>
        <w:lastRenderedPageBreak/>
        <w:t>requires that they be insulated, have automatic system shut off controls</w:t>
      </w:r>
      <w:r w:rsidR="0007797F">
        <w:t>,</w:t>
      </w:r>
      <w:r>
        <w:t xml:space="preserve"> and prescribes demand controls that respond to the recirculation loop temperature in newly constructed low-rise residential buildings. </w:t>
      </w:r>
      <w:r w:rsidR="009A06D8" w:rsidRPr="0073124E">
        <w:t>(See Code Requirements.)</w:t>
      </w:r>
    </w:p>
    <w:p w14:paraId="10AFAF10" w14:textId="69821DC1" w:rsidR="007B1024" w:rsidRPr="009A06D8" w:rsidRDefault="007B1024" w:rsidP="007B1024">
      <w:r w:rsidRPr="009A06D8">
        <w:t xml:space="preserve">Based on research of available studies, the base case for this </w:t>
      </w:r>
      <w:r w:rsidR="00A25110">
        <w:t>measure</w:t>
      </w:r>
      <w:r w:rsidRPr="009A06D8">
        <w:t xml:space="preserve"> is defined as a multifamily residential building</w:t>
      </w:r>
      <w:r w:rsidR="00844C11">
        <w:t xml:space="preserve"> and/or commercial buildings</w:t>
      </w:r>
      <w:r w:rsidRPr="009A06D8">
        <w:t xml:space="preserve"> with a central gas-fired hot water recirculation system that consists of an uncontrolled, constant-speed, fractional horsepower pump that operates continuously. </w:t>
      </w:r>
    </w:p>
    <w:p w14:paraId="3EDBC3F7" w14:textId="1908A0E0" w:rsidR="007B1024" w:rsidRPr="00F25CCF" w:rsidRDefault="007B1024" w:rsidP="00003E3B">
      <w:pPr>
        <w:pStyle w:val="eTRMHeading4"/>
        <w:rPr>
          <w:i/>
        </w:rPr>
      </w:pPr>
      <w:r w:rsidRPr="00F25CCF">
        <w:t xml:space="preserve">Measure </w:t>
      </w:r>
      <w:r w:rsidR="006C5BB0">
        <w:t>Case Performance</w:t>
      </w:r>
    </w:p>
    <w:p w14:paraId="7AA22A6C" w14:textId="73697DEE" w:rsidR="007B1024" w:rsidRDefault="007B1024" w:rsidP="007B1024">
      <w:pPr>
        <w:rPr>
          <w:i/>
        </w:rPr>
      </w:pPr>
      <w:r>
        <w:t>Secondary r</w:t>
      </w:r>
      <w:r w:rsidRPr="00A90F48">
        <w:t>esearch</w:t>
      </w:r>
      <w:r>
        <w:t xml:space="preserve"> was conducted to define the energy efficiency measure and its parameters. Studies of on</w:t>
      </w:r>
      <w:r w:rsidRPr="00A90F48">
        <w:t>-</w:t>
      </w:r>
      <w:r>
        <w:t>demand pump/controller emerging technology and equipment manufacturer studies and reports were reviewed, documented, and cataloged for comparison.</w:t>
      </w:r>
      <w:r w:rsidR="00535328">
        <w:rPr>
          <w:rStyle w:val="FootnoteReference"/>
        </w:rPr>
        <w:footnoteReference w:id="12"/>
      </w:r>
      <w:r>
        <w:t xml:space="preserve"> The comparison included a review of five similar hot water on-demand control pump technologies from multiple manufacturers, four of which exceed both the established baseline condition and mandatory code requirements. All technologies </w:t>
      </w:r>
      <w:r w:rsidR="009A06D8">
        <w:t>can provide</w:t>
      </w:r>
      <w:r>
        <w:t xml:space="preserve"> hot water flow modulation through on/off demand controls, variable frequency drive (VFD) or electrically communicated motor (ECM) technology; however, there are discrete, yet discernable, differences in how each technology is controlled. The technologies can generally be grouped into two categories: those that have stand-alone VFD and temperature controls and control hot water flow to maintain a minimum return loop temperature, and those that have an integrated </w:t>
      </w:r>
      <w:r w:rsidR="006C5BB0">
        <w:t>ON</w:t>
      </w:r>
      <w:r>
        <w:t>/</w:t>
      </w:r>
      <w:r w:rsidR="006C5BB0">
        <w:t>OFF</w:t>
      </w:r>
      <w:r>
        <w:t xml:space="preserve"> or VFD controls that respond to return loop temperature and/or hot water use or demand. </w:t>
      </w:r>
    </w:p>
    <w:p w14:paraId="3A42691F" w14:textId="1763041C" w:rsidR="007B1024" w:rsidRDefault="007B1024" w:rsidP="007B1024">
      <w:pPr>
        <w:rPr>
          <w:i/>
        </w:rPr>
      </w:pPr>
      <w:r>
        <w:t xml:space="preserve">Although there are nuanced variations in how the technologies are installed and how their control schemes are configured, this </w:t>
      </w:r>
      <w:r w:rsidR="006C5BB0">
        <w:t>measure</w:t>
      </w:r>
      <w:r w:rsidRPr="00060329">
        <w:t xml:space="preserve"> </w:t>
      </w:r>
      <w:r w:rsidR="006C5BB0">
        <w:t>includes</w:t>
      </w:r>
      <w:r w:rsidRPr="00060329">
        <w:t xml:space="preserve"> them as a single energy efficiency measure where hot water flow is modulated based on the return loop temperature.</w:t>
      </w:r>
    </w:p>
    <w:p w14:paraId="23C763F3" w14:textId="4CA1639D" w:rsidR="007B1024" w:rsidRPr="00220AD4" w:rsidRDefault="007B1024" w:rsidP="00003E3B">
      <w:pPr>
        <w:pStyle w:val="eTRMHeading4"/>
        <w:rPr>
          <w:i/>
        </w:rPr>
      </w:pPr>
      <w:r>
        <w:t>Measurement and Verification Control Volume</w:t>
      </w:r>
    </w:p>
    <w:p w14:paraId="33522C48" w14:textId="3E883C52" w:rsidR="007B1024" w:rsidRDefault="0007797F" w:rsidP="007B1024">
      <w:r>
        <w:t>A</w:t>
      </w:r>
      <w:r w:rsidR="007B1024">
        <w:t xml:space="preserve"> control volume was developed to understand the influences of heat transfer between the domestic hot water system, building environment, and interactive effects with other building systems. A representative diagram of the control volumes that includes the domestic hot water heater, recirculation loop, and pump is illustrated in </w:t>
      </w:r>
      <w:r w:rsidR="009E4105" w:rsidRPr="00443ACE">
        <w:t>the Technology Summary</w:t>
      </w:r>
      <w:r w:rsidR="007B1024" w:rsidRPr="00443ACE">
        <w:t>. The</w:t>
      </w:r>
      <w:r w:rsidR="007B1024">
        <w:t xml:space="preserve"> control volume defines the environment for how heat transfer and energy consumption is defined in the analysis and is the basis for developing ad hoc engineering analyses and building energy models. </w:t>
      </w:r>
    </w:p>
    <w:p w14:paraId="3E9BF100" w14:textId="667755C6" w:rsidR="007B1024" w:rsidRDefault="007B1024" w:rsidP="00003E3B">
      <w:pPr>
        <w:pStyle w:val="eTRMHeading4"/>
        <w:rPr>
          <w:i/>
        </w:rPr>
      </w:pPr>
      <w:r>
        <w:t>Building Energy Models and Hot Water System Characteristics</w:t>
      </w:r>
    </w:p>
    <w:p w14:paraId="7F796231" w14:textId="54CCEA4E" w:rsidR="007B1024" w:rsidRDefault="00443ACE" w:rsidP="007B1024">
      <w:r>
        <w:t>The energy simulation models for this measure utilize</w:t>
      </w:r>
      <w:r w:rsidR="00B00A03">
        <w:t>d</w:t>
      </w:r>
      <w:r>
        <w:t xml:space="preserve"> </w:t>
      </w:r>
      <w:r w:rsidR="007B1024">
        <w:t xml:space="preserve">the DEER prototypical multifamily residential building </w:t>
      </w:r>
      <w:r w:rsidR="00F817D5">
        <w:t xml:space="preserve">and commercial building </w:t>
      </w:r>
      <w:r w:rsidR="007B1024">
        <w:t>energy models</w:t>
      </w:r>
      <w:r>
        <w:t>,</w:t>
      </w:r>
      <w:r w:rsidR="007B1024">
        <w:t xml:space="preserve"> illustrated </w:t>
      </w:r>
      <w:r w:rsidR="006C5BB0">
        <w:t>below</w:t>
      </w:r>
      <w:r w:rsidR="007B1024">
        <w:t xml:space="preserve">. Modifications to these models were necessary to describe the central domestic hot water system and define its various systems characteristics.  </w:t>
      </w:r>
    </w:p>
    <w:p w14:paraId="6B0C8ED8" w14:textId="7E869E3D" w:rsidR="00F719D6" w:rsidRDefault="00F719D6" w:rsidP="009743E7">
      <w:pPr>
        <w:pStyle w:val="Caption"/>
      </w:pPr>
      <w:r w:rsidRPr="00273D2A">
        <w:lastRenderedPageBreak/>
        <w:t>DEER Prototypical Multifamily Building Model in eQUEST</w:t>
      </w:r>
    </w:p>
    <w:p w14:paraId="6EB8DFCB" w14:textId="70D2070D" w:rsidR="007B1024" w:rsidRDefault="007B1024" w:rsidP="009743E7">
      <w:pPr>
        <w:pStyle w:val="Caption"/>
      </w:pPr>
      <w:r>
        <w:rPr>
          <w:noProof/>
        </w:rPr>
        <w:drawing>
          <wp:inline distT="0" distB="0" distL="0" distR="0" wp14:anchorId="6B9F3557" wp14:editId="55CE4B08">
            <wp:extent cx="5029200" cy="2101950"/>
            <wp:effectExtent l="0" t="0" r="0" b="0"/>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9"/>
                    <a:srcRect b="8017"/>
                    <a:stretch/>
                  </pic:blipFill>
                  <pic:spPr>
                    <a:xfrm>
                      <a:off x="0" y="0"/>
                      <a:ext cx="5029200" cy="2101950"/>
                    </a:xfrm>
                    <a:prstGeom prst="rect">
                      <a:avLst/>
                    </a:prstGeom>
                  </pic:spPr>
                </pic:pic>
              </a:graphicData>
            </a:graphic>
          </wp:inline>
        </w:drawing>
      </w:r>
    </w:p>
    <w:p w14:paraId="244DD709" w14:textId="77777777" w:rsidR="00447081" w:rsidRDefault="00447081" w:rsidP="00447081">
      <w:pPr>
        <w:rPr>
          <w:b/>
          <w:bCs/>
        </w:rPr>
      </w:pPr>
    </w:p>
    <w:p w14:paraId="44658232" w14:textId="276798BD" w:rsidR="008D2D45" w:rsidRPr="004041B3" w:rsidRDefault="00447081" w:rsidP="008D2D45">
      <w:pPr>
        <w:rPr>
          <w:b/>
          <w:bCs/>
        </w:rPr>
      </w:pPr>
      <w:r w:rsidRPr="00447081">
        <w:rPr>
          <w:b/>
          <w:bCs/>
        </w:rPr>
        <w:t>DEER Prototypical Hotel/Motel Building</w:t>
      </w:r>
      <w:r>
        <w:rPr>
          <w:b/>
          <w:bCs/>
        </w:rPr>
        <w:t xml:space="preserve"> - Commercial</w:t>
      </w:r>
    </w:p>
    <w:p w14:paraId="7DA8A456" w14:textId="77777777" w:rsidR="00447081" w:rsidRPr="00447081" w:rsidRDefault="00447081" w:rsidP="00447081">
      <w:r w:rsidRPr="00447081">
        <w:rPr>
          <w:noProof/>
        </w:rPr>
        <w:drawing>
          <wp:inline distT="0" distB="0" distL="0" distR="0" wp14:anchorId="79B92E84" wp14:editId="503A7640">
            <wp:extent cx="5029200" cy="2096035"/>
            <wp:effectExtent l="0" t="0" r="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rotWithShape="1">
                    <a:blip r:embed="rId20"/>
                    <a:srcRect t="3140" b="7425"/>
                    <a:stretch/>
                  </pic:blipFill>
                  <pic:spPr>
                    <a:xfrm>
                      <a:off x="0" y="0"/>
                      <a:ext cx="5029200" cy="2096035"/>
                    </a:xfrm>
                    <a:prstGeom prst="rect">
                      <a:avLst/>
                    </a:prstGeom>
                  </pic:spPr>
                </pic:pic>
              </a:graphicData>
            </a:graphic>
          </wp:inline>
        </w:drawing>
      </w:r>
    </w:p>
    <w:p w14:paraId="52552675" w14:textId="17092CE5" w:rsidR="00447081" w:rsidRPr="00447081" w:rsidRDefault="00447081" w:rsidP="00447081">
      <w:r w:rsidRPr="00447081">
        <w:rPr>
          <w:b/>
          <w:bCs/>
        </w:rPr>
        <w:t>DEER Prototypical Nursing Home Building</w:t>
      </w:r>
      <w:r>
        <w:rPr>
          <w:b/>
          <w:bCs/>
        </w:rPr>
        <w:t xml:space="preserve"> - Commercial</w:t>
      </w:r>
    </w:p>
    <w:p w14:paraId="51AD5364" w14:textId="638519C0" w:rsidR="00447081" w:rsidRDefault="00447081" w:rsidP="00447081">
      <w:r w:rsidRPr="00447081">
        <w:rPr>
          <w:noProof/>
        </w:rPr>
        <w:drawing>
          <wp:inline distT="0" distB="0" distL="0" distR="0" wp14:anchorId="6DD753E2" wp14:editId="78B9EEBF">
            <wp:extent cx="5029200" cy="2078310"/>
            <wp:effectExtent l="0" t="0" r="0" b="0"/>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rotWithShape="1">
                    <a:blip r:embed="rId21"/>
                    <a:srcRect b="4713"/>
                    <a:stretch/>
                  </pic:blipFill>
                  <pic:spPr>
                    <a:xfrm>
                      <a:off x="0" y="0"/>
                      <a:ext cx="5029200" cy="2078310"/>
                    </a:xfrm>
                    <a:prstGeom prst="rect">
                      <a:avLst/>
                    </a:prstGeom>
                  </pic:spPr>
                </pic:pic>
              </a:graphicData>
            </a:graphic>
          </wp:inline>
        </w:drawing>
      </w:r>
    </w:p>
    <w:p w14:paraId="0439D7F6" w14:textId="37C5E388" w:rsidR="00447081" w:rsidRPr="00447081" w:rsidRDefault="00447081" w:rsidP="00447081">
      <w:r w:rsidRPr="00447081">
        <w:rPr>
          <w:b/>
          <w:bCs/>
        </w:rPr>
        <w:t>DEER Prototypical Educational University Building (Residential in the background)</w:t>
      </w:r>
      <w:r>
        <w:rPr>
          <w:b/>
          <w:bCs/>
        </w:rPr>
        <w:t xml:space="preserve"> - Commercial</w:t>
      </w:r>
    </w:p>
    <w:p w14:paraId="01650AF5" w14:textId="77777777" w:rsidR="00447081" w:rsidRPr="00447081" w:rsidRDefault="00447081" w:rsidP="00447081">
      <w:r w:rsidRPr="00447081">
        <w:rPr>
          <w:noProof/>
        </w:rPr>
        <w:lastRenderedPageBreak/>
        <w:drawing>
          <wp:inline distT="0" distB="0" distL="0" distR="0" wp14:anchorId="10091A17" wp14:editId="483A8BD8">
            <wp:extent cx="5029200" cy="2078310"/>
            <wp:effectExtent l="0" t="0" r="0" b="0"/>
            <wp:docPr id="3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pic:cNvPicPr>
                      <a:picLocks noChangeAspect="1"/>
                    </pic:cNvPicPr>
                  </pic:nvPicPr>
                  <pic:blipFill rotWithShape="1">
                    <a:blip r:embed="rId22"/>
                    <a:srcRect t="20605" b="-266"/>
                    <a:stretch/>
                  </pic:blipFill>
                  <pic:spPr>
                    <a:xfrm>
                      <a:off x="0" y="0"/>
                      <a:ext cx="5029200" cy="2078310"/>
                    </a:xfrm>
                    <a:prstGeom prst="rect">
                      <a:avLst/>
                    </a:prstGeom>
                  </pic:spPr>
                </pic:pic>
              </a:graphicData>
            </a:graphic>
          </wp:inline>
        </w:drawing>
      </w:r>
    </w:p>
    <w:p w14:paraId="7B593E4A" w14:textId="77777777" w:rsidR="007B1024" w:rsidRDefault="007B1024" w:rsidP="00003E3B"/>
    <w:p w14:paraId="0A8C38E4" w14:textId="1BAD000F" w:rsidR="00443ACE" w:rsidRDefault="00443ACE" w:rsidP="00003E3B">
      <w:r>
        <w:t xml:space="preserve">The </w:t>
      </w:r>
      <w:r w:rsidR="007B1024" w:rsidRPr="00171FD4">
        <w:t>Measure Analysis Software (MASControl2) was used to generate multifamily model input files compatible with eQUEST. The prototypical multifamily</w:t>
      </w:r>
      <w:r w:rsidR="00447081">
        <w:t xml:space="preserve"> and commercial</w:t>
      </w:r>
      <w:r w:rsidR="007B1024" w:rsidRPr="00171FD4">
        <w:t xml:space="preserve"> model domestic hot water system</w:t>
      </w:r>
      <w:r w:rsidR="005215AF">
        <w:t>s</w:t>
      </w:r>
      <w:r w:rsidR="007B1024" w:rsidRPr="00171FD4">
        <w:t xml:space="preserve"> consisted of individual hot water heaters for each dwelling unit. These systems were removed and replaced with a centralized domestic hot water system wi</w:t>
      </w:r>
      <w:r w:rsidR="007B1024">
        <w:t>th a recirculation loop and pump. The hot water fixture descriptions and schedules, however, were retained and used in this analysis to develop hot water demand profiles.</w:t>
      </w:r>
      <w:r w:rsidR="007B1024" w:rsidRPr="00171FD4">
        <w:t xml:space="preserve"> </w:t>
      </w:r>
    </w:p>
    <w:p w14:paraId="369DC94E" w14:textId="7ACB9C4C" w:rsidR="007B1024" w:rsidRDefault="007B1024" w:rsidP="00003E3B">
      <w:pPr>
        <w:rPr>
          <w:i/>
        </w:rPr>
      </w:pPr>
      <w:r w:rsidRPr="00171FD4">
        <w:t>Ad hoc engineering analys</w:t>
      </w:r>
      <w:r>
        <w:t>e</w:t>
      </w:r>
      <w:r w:rsidRPr="00171FD4">
        <w:t>s were performed to define values for several pertinent system parameters</w:t>
      </w:r>
      <w:r>
        <w:t>,</w:t>
      </w:r>
      <w:r w:rsidRPr="00171FD4">
        <w:t xml:space="preserve"> including piping loop heat loss coefficients, return loop minimum water flow rate, and pump horsepower. System inputs used to develop these factors and the corresponding outputs are </w:t>
      </w:r>
      <w:r w:rsidR="006C5BB0">
        <w:t>provided</w:t>
      </w:r>
      <w:r w:rsidRPr="00171FD4">
        <w:t xml:space="preserve"> in </w:t>
      </w:r>
      <w:r w:rsidR="006C5BB0">
        <w:t>the following table</w:t>
      </w:r>
      <w:r w:rsidR="001B5CC4">
        <w:t>.</w:t>
      </w:r>
      <w:r w:rsidR="001B5CC4">
        <w:rPr>
          <w:rStyle w:val="FootnoteReference"/>
        </w:rPr>
        <w:footnoteReference w:id="13"/>
      </w:r>
      <w:r w:rsidR="001B5CC4">
        <w:t xml:space="preserve"> </w:t>
      </w:r>
      <w:r>
        <w:t xml:space="preserve">The inputs were developed from data obtained from the translated eQUEST files, code and standard studies, and assumptions from industry standards, such as the American Society of Heating and Refrigeration Engineers (ASHRAE) Handbooks. </w:t>
      </w:r>
    </w:p>
    <w:p w14:paraId="6AEA43BD" w14:textId="48430932" w:rsidR="007B1024" w:rsidRDefault="007B1024" w:rsidP="007B1024">
      <w:r>
        <w:t xml:space="preserve">In general, the analysis indicated that the hot water recirculation loop flow and head pressure requirements were outside the operating range of traditional hot water recirculation pump curves. In cases where this occurred, the pump was upsized to the lowest available fractional horsepower size. This is consistent with the </w:t>
      </w:r>
      <w:r w:rsidR="006C5BB0">
        <w:t xml:space="preserve">aforementioned </w:t>
      </w:r>
      <w:r>
        <w:t>CASE Study, where the recirculation system pumps are</w:t>
      </w:r>
      <w:r w:rsidRPr="002912A6">
        <w:t xml:space="preserve"> size</w:t>
      </w:r>
      <w:r>
        <w:t>d</w:t>
      </w:r>
      <w:r w:rsidRPr="002912A6">
        <w:t xml:space="preserve"> larger than flow r</w:t>
      </w:r>
      <w:r>
        <w:t>ate requirements.</w:t>
      </w:r>
    </w:p>
    <w:p w14:paraId="383589DE" w14:textId="35044C29" w:rsidR="007B1024" w:rsidRDefault="007B1024" w:rsidP="004041B3">
      <w:pPr>
        <w:pStyle w:val="Caption"/>
      </w:pPr>
      <w:r>
        <w:lastRenderedPageBreak/>
        <w:t>Domestic Hot Water System Characteristics</w:t>
      </w:r>
      <w:r w:rsidR="005215AF">
        <w:t xml:space="preserve"> - Multifamily</w:t>
      </w:r>
    </w:p>
    <w:tbl>
      <w:tblPr>
        <w:tblW w:w="9540" w:type="dxa"/>
        <w:tblInd w:w="-9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397"/>
        <w:gridCol w:w="2923"/>
        <w:gridCol w:w="1582"/>
        <w:gridCol w:w="3638"/>
      </w:tblGrid>
      <w:tr w:rsidR="000F7048" w:rsidRPr="000F7048" w14:paraId="6F5A6C4D" w14:textId="77777777" w:rsidTr="006C5BB0">
        <w:trPr>
          <w:cantSplit/>
          <w:trHeight w:val="20"/>
          <w:tblHeader/>
        </w:trPr>
        <w:tc>
          <w:tcPr>
            <w:tcW w:w="4320" w:type="dxa"/>
            <w:gridSpan w:val="2"/>
            <w:shd w:val="clear" w:color="auto" w:fill="F2F2F2" w:themeFill="background1" w:themeFillShade="F2"/>
            <w:vAlign w:val="bottom"/>
            <w:hideMark/>
          </w:tcPr>
          <w:p w14:paraId="78F6EC2D" w14:textId="77777777" w:rsidR="007B1024" w:rsidRPr="000F7048" w:rsidRDefault="007B1024" w:rsidP="006C5BB0">
            <w:pPr>
              <w:keepNext/>
              <w:keepLines/>
              <w:spacing w:before="0" w:after="0"/>
              <w:jc w:val="center"/>
              <w:rPr>
                <w:rFonts w:cs="Calibri Light"/>
                <w:b/>
                <w:bCs/>
                <w:sz w:val="20"/>
                <w:szCs w:val="20"/>
              </w:rPr>
            </w:pPr>
            <w:r w:rsidRPr="000F7048">
              <w:rPr>
                <w:rFonts w:cs="Calibri Light"/>
                <w:b/>
                <w:bCs/>
                <w:sz w:val="20"/>
                <w:szCs w:val="20"/>
              </w:rPr>
              <w:t>System Parameters</w:t>
            </w:r>
          </w:p>
        </w:tc>
        <w:tc>
          <w:tcPr>
            <w:tcW w:w="1582" w:type="dxa"/>
            <w:shd w:val="clear" w:color="auto" w:fill="F2F2F2" w:themeFill="background1" w:themeFillShade="F2"/>
            <w:vAlign w:val="bottom"/>
            <w:hideMark/>
          </w:tcPr>
          <w:p w14:paraId="33CF7515" w14:textId="28C792ED" w:rsidR="007B1024" w:rsidRPr="000F7048" w:rsidRDefault="007B1024" w:rsidP="006C5BB0">
            <w:pPr>
              <w:keepNext/>
              <w:keepLines/>
              <w:spacing w:before="0" w:after="0"/>
              <w:jc w:val="center"/>
              <w:rPr>
                <w:rFonts w:cs="Calibri Light"/>
                <w:b/>
                <w:bCs/>
                <w:sz w:val="20"/>
                <w:szCs w:val="20"/>
              </w:rPr>
            </w:pPr>
            <w:r w:rsidRPr="000F7048">
              <w:rPr>
                <w:rFonts w:cs="Calibri Light"/>
                <w:b/>
                <w:bCs/>
                <w:sz w:val="20"/>
                <w:szCs w:val="20"/>
              </w:rPr>
              <w:t>Value</w:t>
            </w:r>
          </w:p>
        </w:tc>
        <w:tc>
          <w:tcPr>
            <w:tcW w:w="3638" w:type="dxa"/>
            <w:shd w:val="clear" w:color="auto" w:fill="F2F2F2" w:themeFill="background1" w:themeFillShade="F2"/>
            <w:vAlign w:val="bottom"/>
            <w:hideMark/>
          </w:tcPr>
          <w:p w14:paraId="38CB6E7C" w14:textId="77777777" w:rsidR="007B1024" w:rsidRPr="000F7048" w:rsidRDefault="007B1024" w:rsidP="006C5BB0">
            <w:pPr>
              <w:keepNext/>
              <w:keepLines/>
              <w:spacing w:before="0" w:after="0"/>
              <w:jc w:val="center"/>
              <w:rPr>
                <w:rFonts w:cs="Calibri Light"/>
                <w:b/>
                <w:bCs/>
                <w:sz w:val="20"/>
                <w:szCs w:val="20"/>
              </w:rPr>
            </w:pPr>
            <w:r w:rsidRPr="000F7048">
              <w:rPr>
                <w:rFonts w:cs="Calibri Light"/>
                <w:b/>
                <w:bCs/>
                <w:sz w:val="20"/>
                <w:szCs w:val="20"/>
              </w:rPr>
              <w:t>Sources</w:t>
            </w:r>
          </w:p>
        </w:tc>
      </w:tr>
      <w:tr w:rsidR="007B1024" w:rsidRPr="00E052DE" w14:paraId="7C8AA8FC" w14:textId="77777777" w:rsidTr="006C5BB0">
        <w:trPr>
          <w:cantSplit/>
          <w:trHeight w:val="20"/>
          <w:tblHeader/>
        </w:trPr>
        <w:tc>
          <w:tcPr>
            <w:tcW w:w="1397" w:type="dxa"/>
            <w:vMerge w:val="restart"/>
            <w:shd w:val="clear" w:color="auto" w:fill="auto"/>
            <w:hideMark/>
          </w:tcPr>
          <w:p w14:paraId="7AF9BD55" w14:textId="77777777" w:rsidR="007B1024" w:rsidRPr="000F7048" w:rsidRDefault="007B1024" w:rsidP="006C5BB0">
            <w:pPr>
              <w:keepNext/>
              <w:keepLines/>
              <w:spacing w:before="0" w:after="0"/>
              <w:rPr>
                <w:rFonts w:cs="Calibri Light"/>
                <w:color w:val="000000"/>
                <w:sz w:val="20"/>
                <w:szCs w:val="20"/>
              </w:rPr>
            </w:pPr>
            <w:r w:rsidRPr="000F7048">
              <w:rPr>
                <w:rFonts w:cs="Calibri Light"/>
                <w:color w:val="000000"/>
                <w:sz w:val="20"/>
                <w:szCs w:val="20"/>
              </w:rPr>
              <w:t>Building Characteristics</w:t>
            </w:r>
          </w:p>
        </w:tc>
        <w:tc>
          <w:tcPr>
            <w:tcW w:w="2923" w:type="dxa"/>
            <w:shd w:val="clear" w:color="auto" w:fill="auto"/>
            <w:noWrap/>
            <w:vAlign w:val="center"/>
            <w:hideMark/>
          </w:tcPr>
          <w:p w14:paraId="59E14D5B" w14:textId="77777777" w:rsidR="007B1024" w:rsidRPr="000F7048" w:rsidRDefault="007B1024" w:rsidP="006C5BB0">
            <w:pPr>
              <w:keepNext/>
              <w:keepLines/>
              <w:spacing w:before="0" w:after="0"/>
              <w:rPr>
                <w:rFonts w:cs="Calibri Light"/>
                <w:color w:val="000000"/>
                <w:sz w:val="20"/>
                <w:szCs w:val="20"/>
              </w:rPr>
            </w:pPr>
            <w:r w:rsidRPr="000F7048">
              <w:rPr>
                <w:rFonts w:cs="Calibri Light"/>
                <w:color w:val="000000"/>
                <w:sz w:val="20"/>
                <w:szCs w:val="20"/>
              </w:rPr>
              <w:t>Gross Floor Area (ft2)</w:t>
            </w:r>
          </w:p>
        </w:tc>
        <w:tc>
          <w:tcPr>
            <w:tcW w:w="1582" w:type="dxa"/>
            <w:shd w:val="clear" w:color="auto" w:fill="auto"/>
            <w:noWrap/>
            <w:vAlign w:val="center"/>
            <w:hideMark/>
          </w:tcPr>
          <w:p w14:paraId="3361700E" w14:textId="77777777" w:rsidR="007B1024" w:rsidRPr="000F7048" w:rsidRDefault="007B1024" w:rsidP="006C5BB0">
            <w:pPr>
              <w:keepNext/>
              <w:keepLines/>
              <w:spacing w:before="0" w:after="0"/>
              <w:ind w:right="215"/>
              <w:jc w:val="right"/>
              <w:rPr>
                <w:rFonts w:cs="Calibri Light"/>
                <w:color w:val="000000"/>
                <w:sz w:val="20"/>
                <w:szCs w:val="20"/>
              </w:rPr>
            </w:pPr>
            <w:r w:rsidRPr="000F7048">
              <w:rPr>
                <w:rFonts w:cs="Calibri Light"/>
                <w:color w:val="000000"/>
                <w:sz w:val="20"/>
                <w:szCs w:val="20"/>
              </w:rPr>
              <w:t>29,000</w:t>
            </w:r>
          </w:p>
        </w:tc>
        <w:tc>
          <w:tcPr>
            <w:tcW w:w="3638" w:type="dxa"/>
            <w:shd w:val="clear" w:color="auto" w:fill="auto"/>
            <w:vAlign w:val="bottom"/>
            <w:hideMark/>
          </w:tcPr>
          <w:p w14:paraId="3C149451" w14:textId="77777777" w:rsidR="007B1024" w:rsidRPr="00443ACE" w:rsidRDefault="007B1024" w:rsidP="006C5BB0">
            <w:pPr>
              <w:keepNext/>
              <w:keepLines/>
              <w:spacing w:before="0" w:after="0"/>
              <w:rPr>
                <w:rFonts w:cs="Calibri Light"/>
                <w:color w:val="000000"/>
                <w:sz w:val="18"/>
                <w:szCs w:val="18"/>
              </w:rPr>
            </w:pPr>
            <w:r w:rsidRPr="00443ACE">
              <w:rPr>
                <w:rFonts w:cs="Calibri Light"/>
                <w:color w:val="000000"/>
                <w:sz w:val="18"/>
                <w:szCs w:val="18"/>
              </w:rPr>
              <w:t xml:space="preserve">eQUEST building energy model </w:t>
            </w:r>
          </w:p>
        </w:tc>
      </w:tr>
      <w:tr w:rsidR="007B1024" w:rsidRPr="00E052DE" w14:paraId="03692DB9" w14:textId="77777777" w:rsidTr="006C5BB0">
        <w:trPr>
          <w:cantSplit/>
          <w:trHeight w:val="20"/>
          <w:tblHeader/>
        </w:trPr>
        <w:tc>
          <w:tcPr>
            <w:tcW w:w="1397" w:type="dxa"/>
            <w:vMerge/>
            <w:vAlign w:val="center"/>
            <w:hideMark/>
          </w:tcPr>
          <w:p w14:paraId="6E81C946" w14:textId="77777777" w:rsidR="007B1024" w:rsidRPr="000F7048" w:rsidRDefault="007B1024" w:rsidP="006C5BB0">
            <w:pPr>
              <w:keepNext/>
              <w:keepLines/>
              <w:spacing w:before="0" w:after="0"/>
              <w:rPr>
                <w:rFonts w:cs="Calibri Light"/>
                <w:color w:val="000000"/>
                <w:sz w:val="20"/>
                <w:szCs w:val="20"/>
              </w:rPr>
            </w:pPr>
          </w:p>
        </w:tc>
        <w:tc>
          <w:tcPr>
            <w:tcW w:w="2923" w:type="dxa"/>
            <w:shd w:val="clear" w:color="auto" w:fill="auto"/>
            <w:noWrap/>
            <w:vAlign w:val="center"/>
            <w:hideMark/>
          </w:tcPr>
          <w:p w14:paraId="04137AD8" w14:textId="77777777" w:rsidR="007B1024" w:rsidRPr="000F7048" w:rsidRDefault="007B1024" w:rsidP="006C5BB0">
            <w:pPr>
              <w:keepNext/>
              <w:keepLines/>
              <w:spacing w:before="0" w:after="0"/>
              <w:rPr>
                <w:rFonts w:cs="Calibri Light"/>
                <w:color w:val="000000"/>
                <w:sz w:val="20"/>
                <w:szCs w:val="20"/>
              </w:rPr>
            </w:pPr>
            <w:r w:rsidRPr="000F7048">
              <w:rPr>
                <w:rFonts w:cs="Calibri Light"/>
                <w:color w:val="000000"/>
                <w:sz w:val="20"/>
                <w:szCs w:val="20"/>
              </w:rPr>
              <w:t>Number of Floors</w:t>
            </w:r>
          </w:p>
        </w:tc>
        <w:tc>
          <w:tcPr>
            <w:tcW w:w="1582" w:type="dxa"/>
            <w:shd w:val="clear" w:color="auto" w:fill="auto"/>
            <w:noWrap/>
            <w:vAlign w:val="center"/>
            <w:hideMark/>
          </w:tcPr>
          <w:p w14:paraId="7A5C600C" w14:textId="77777777" w:rsidR="007B1024" w:rsidRPr="000F7048" w:rsidRDefault="007B1024" w:rsidP="006C5BB0">
            <w:pPr>
              <w:keepNext/>
              <w:keepLines/>
              <w:spacing w:before="0" w:after="0"/>
              <w:ind w:right="215"/>
              <w:jc w:val="right"/>
              <w:rPr>
                <w:rFonts w:cs="Calibri Light"/>
                <w:color w:val="000000"/>
                <w:sz w:val="20"/>
                <w:szCs w:val="20"/>
              </w:rPr>
            </w:pPr>
            <w:r w:rsidRPr="000F7048">
              <w:rPr>
                <w:rFonts w:cs="Calibri Light"/>
                <w:color w:val="000000"/>
                <w:sz w:val="20"/>
                <w:szCs w:val="20"/>
              </w:rPr>
              <w:t>4</w:t>
            </w:r>
          </w:p>
        </w:tc>
        <w:tc>
          <w:tcPr>
            <w:tcW w:w="3638" w:type="dxa"/>
            <w:shd w:val="clear" w:color="auto" w:fill="auto"/>
            <w:vAlign w:val="bottom"/>
            <w:hideMark/>
          </w:tcPr>
          <w:p w14:paraId="44DD9350" w14:textId="77777777" w:rsidR="007B1024" w:rsidRPr="00443ACE" w:rsidRDefault="007B1024" w:rsidP="006C5BB0">
            <w:pPr>
              <w:keepNext/>
              <w:keepLines/>
              <w:spacing w:before="0" w:after="0"/>
              <w:rPr>
                <w:rFonts w:cs="Calibri Light"/>
                <w:color w:val="000000"/>
                <w:sz w:val="18"/>
                <w:szCs w:val="18"/>
              </w:rPr>
            </w:pPr>
            <w:r w:rsidRPr="00443ACE">
              <w:rPr>
                <w:rFonts w:cs="Calibri Light"/>
                <w:color w:val="000000"/>
                <w:sz w:val="18"/>
                <w:szCs w:val="18"/>
              </w:rPr>
              <w:t xml:space="preserve">eQUEST building energy model </w:t>
            </w:r>
          </w:p>
        </w:tc>
      </w:tr>
      <w:tr w:rsidR="007B1024" w:rsidRPr="00E052DE" w14:paraId="613FDDF5" w14:textId="77777777" w:rsidTr="006C5BB0">
        <w:trPr>
          <w:cantSplit/>
          <w:trHeight w:val="20"/>
          <w:tblHeader/>
        </w:trPr>
        <w:tc>
          <w:tcPr>
            <w:tcW w:w="1397" w:type="dxa"/>
            <w:vMerge/>
            <w:vAlign w:val="center"/>
            <w:hideMark/>
          </w:tcPr>
          <w:p w14:paraId="750BB485" w14:textId="77777777" w:rsidR="007B1024" w:rsidRPr="000F7048" w:rsidRDefault="007B1024" w:rsidP="006C5BB0">
            <w:pPr>
              <w:keepNext/>
              <w:keepLines/>
              <w:spacing w:before="0" w:after="0"/>
              <w:rPr>
                <w:rFonts w:cs="Calibri Light"/>
                <w:color w:val="000000"/>
                <w:sz w:val="20"/>
                <w:szCs w:val="20"/>
              </w:rPr>
            </w:pPr>
          </w:p>
        </w:tc>
        <w:tc>
          <w:tcPr>
            <w:tcW w:w="2923" w:type="dxa"/>
            <w:shd w:val="clear" w:color="auto" w:fill="auto"/>
            <w:noWrap/>
            <w:vAlign w:val="center"/>
            <w:hideMark/>
          </w:tcPr>
          <w:p w14:paraId="5D1959DC" w14:textId="77777777" w:rsidR="007B1024" w:rsidRPr="000F7048" w:rsidRDefault="007B1024" w:rsidP="006C5BB0">
            <w:pPr>
              <w:keepNext/>
              <w:keepLines/>
              <w:spacing w:before="0" w:after="0"/>
              <w:rPr>
                <w:rFonts w:cs="Calibri Light"/>
                <w:color w:val="000000"/>
                <w:sz w:val="20"/>
                <w:szCs w:val="20"/>
              </w:rPr>
            </w:pPr>
            <w:r w:rsidRPr="000F7048">
              <w:rPr>
                <w:rFonts w:cs="Calibri Light"/>
                <w:color w:val="000000"/>
                <w:sz w:val="20"/>
                <w:szCs w:val="20"/>
              </w:rPr>
              <w:t>Floor to Ceiling Height</w:t>
            </w:r>
          </w:p>
        </w:tc>
        <w:tc>
          <w:tcPr>
            <w:tcW w:w="1582" w:type="dxa"/>
            <w:shd w:val="clear" w:color="auto" w:fill="auto"/>
            <w:noWrap/>
            <w:vAlign w:val="center"/>
            <w:hideMark/>
          </w:tcPr>
          <w:p w14:paraId="30993D64" w14:textId="77777777" w:rsidR="007B1024" w:rsidRPr="000F7048" w:rsidRDefault="007B1024" w:rsidP="006C5BB0">
            <w:pPr>
              <w:keepNext/>
              <w:keepLines/>
              <w:spacing w:before="0" w:after="0"/>
              <w:ind w:right="215"/>
              <w:jc w:val="right"/>
              <w:rPr>
                <w:rFonts w:cs="Calibri Light"/>
                <w:color w:val="000000"/>
                <w:sz w:val="20"/>
                <w:szCs w:val="20"/>
              </w:rPr>
            </w:pPr>
            <w:r w:rsidRPr="000F7048">
              <w:rPr>
                <w:rFonts w:cs="Calibri Light"/>
                <w:color w:val="000000"/>
                <w:sz w:val="20"/>
                <w:szCs w:val="20"/>
              </w:rPr>
              <w:t>10</w:t>
            </w:r>
          </w:p>
        </w:tc>
        <w:tc>
          <w:tcPr>
            <w:tcW w:w="3638" w:type="dxa"/>
            <w:shd w:val="clear" w:color="auto" w:fill="auto"/>
            <w:vAlign w:val="bottom"/>
            <w:hideMark/>
          </w:tcPr>
          <w:p w14:paraId="01D4F176" w14:textId="3DF6F104" w:rsidR="007B1024" w:rsidRPr="00443ACE" w:rsidRDefault="00D40048" w:rsidP="006C5BB0">
            <w:pPr>
              <w:keepNext/>
              <w:keepLines/>
              <w:spacing w:before="0" w:after="0"/>
              <w:rPr>
                <w:rFonts w:cs="Calibri Light"/>
                <w:color w:val="000000"/>
                <w:sz w:val="18"/>
                <w:szCs w:val="18"/>
              </w:rPr>
            </w:pPr>
            <w:r w:rsidRPr="00443ACE">
              <w:rPr>
                <w:rStyle w:val="eTRMFootnoteTextChar"/>
                <w:szCs w:val="18"/>
              </w:rPr>
              <w:t xml:space="preserve">California Utilities Statewide Codes and Standards Team. 2011. </w:t>
            </w:r>
            <w:r w:rsidRPr="00443ACE">
              <w:rPr>
                <w:rStyle w:val="eTRMFootnoteTextChar"/>
                <w:i/>
                <w:szCs w:val="18"/>
              </w:rPr>
              <w:t>Codes and Standards Enhancement Initiative (CASE), Multifamily Central DHW and Solar Water Heating, 2013 California Building Energy Efficiency Standards.</w:t>
            </w:r>
          </w:p>
        </w:tc>
      </w:tr>
      <w:tr w:rsidR="007B1024" w:rsidRPr="00E052DE" w14:paraId="36F8B56E" w14:textId="77777777" w:rsidTr="006C5BB0">
        <w:trPr>
          <w:cantSplit/>
          <w:trHeight w:val="20"/>
          <w:tblHeader/>
        </w:trPr>
        <w:tc>
          <w:tcPr>
            <w:tcW w:w="1397" w:type="dxa"/>
            <w:vMerge/>
            <w:vAlign w:val="center"/>
            <w:hideMark/>
          </w:tcPr>
          <w:p w14:paraId="6A32F2A5" w14:textId="77777777" w:rsidR="007B1024" w:rsidRPr="000F7048" w:rsidRDefault="007B1024" w:rsidP="006C5BB0">
            <w:pPr>
              <w:keepNext/>
              <w:keepLines/>
              <w:spacing w:before="0" w:after="0"/>
              <w:rPr>
                <w:rFonts w:cs="Calibri Light"/>
                <w:color w:val="000000"/>
                <w:sz w:val="20"/>
                <w:szCs w:val="20"/>
              </w:rPr>
            </w:pPr>
          </w:p>
        </w:tc>
        <w:tc>
          <w:tcPr>
            <w:tcW w:w="2923" w:type="dxa"/>
            <w:shd w:val="clear" w:color="auto" w:fill="auto"/>
            <w:noWrap/>
            <w:vAlign w:val="center"/>
            <w:hideMark/>
          </w:tcPr>
          <w:p w14:paraId="3F939156" w14:textId="77777777" w:rsidR="007B1024" w:rsidRPr="000F7048" w:rsidRDefault="007B1024" w:rsidP="006C5BB0">
            <w:pPr>
              <w:keepNext/>
              <w:keepLines/>
              <w:spacing w:before="0" w:after="0"/>
              <w:rPr>
                <w:rFonts w:cs="Calibri Light"/>
                <w:color w:val="000000"/>
                <w:sz w:val="20"/>
                <w:szCs w:val="20"/>
              </w:rPr>
            </w:pPr>
            <w:r w:rsidRPr="000F7048">
              <w:rPr>
                <w:rFonts w:cs="Calibri Light"/>
                <w:color w:val="000000"/>
                <w:sz w:val="20"/>
                <w:szCs w:val="20"/>
              </w:rPr>
              <w:t>Number of Units</w:t>
            </w:r>
          </w:p>
        </w:tc>
        <w:tc>
          <w:tcPr>
            <w:tcW w:w="1582" w:type="dxa"/>
            <w:shd w:val="clear" w:color="auto" w:fill="auto"/>
            <w:noWrap/>
            <w:vAlign w:val="center"/>
            <w:hideMark/>
          </w:tcPr>
          <w:p w14:paraId="1B3B7194" w14:textId="77777777" w:rsidR="007B1024" w:rsidRPr="000F7048" w:rsidRDefault="007B1024" w:rsidP="006C5BB0">
            <w:pPr>
              <w:keepNext/>
              <w:keepLines/>
              <w:spacing w:before="0" w:after="0"/>
              <w:ind w:right="215"/>
              <w:jc w:val="right"/>
              <w:rPr>
                <w:rFonts w:cs="Calibri Light"/>
                <w:color w:val="000000"/>
                <w:sz w:val="20"/>
                <w:szCs w:val="20"/>
              </w:rPr>
            </w:pPr>
            <w:r w:rsidRPr="000F7048">
              <w:rPr>
                <w:rFonts w:cs="Calibri Light"/>
                <w:color w:val="000000"/>
                <w:sz w:val="20"/>
                <w:szCs w:val="20"/>
              </w:rPr>
              <w:t>24</w:t>
            </w:r>
          </w:p>
        </w:tc>
        <w:tc>
          <w:tcPr>
            <w:tcW w:w="3638" w:type="dxa"/>
            <w:shd w:val="clear" w:color="auto" w:fill="auto"/>
            <w:vAlign w:val="bottom"/>
            <w:hideMark/>
          </w:tcPr>
          <w:p w14:paraId="5280EC5E" w14:textId="77777777" w:rsidR="007B1024" w:rsidRPr="00443ACE" w:rsidRDefault="007B1024" w:rsidP="006C5BB0">
            <w:pPr>
              <w:keepNext/>
              <w:keepLines/>
              <w:spacing w:before="0" w:after="0"/>
              <w:rPr>
                <w:rFonts w:cs="Calibri Light"/>
                <w:color w:val="000000"/>
                <w:sz w:val="18"/>
                <w:szCs w:val="18"/>
              </w:rPr>
            </w:pPr>
            <w:r w:rsidRPr="00443ACE">
              <w:rPr>
                <w:rFonts w:cs="Calibri Light"/>
                <w:color w:val="000000"/>
                <w:sz w:val="18"/>
                <w:szCs w:val="18"/>
              </w:rPr>
              <w:t>eQUEST building energy model</w:t>
            </w:r>
          </w:p>
        </w:tc>
      </w:tr>
      <w:tr w:rsidR="007B1024" w:rsidRPr="00E052DE" w14:paraId="1372527B" w14:textId="77777777" w:rsidTr="006C5BB0">
        <w:trPr>
          <w:cantSplit/>
          <w:trHeight w:val="20"/>
          <w:tblHeader/>
        </w:trPr>
        <w:tc>
          <w:tcPr>
            <w:tcW w:w="1397" w:type="dxa"/>
            <w:vMerge w:val="restart"/>
            <w:shd w:val="clear" w:color="auto" w:fill="auto"/>
            <w:hideMark/>
          </w:tcPr>
          <w:p w14:paraId="7E550A49" w14:textId="77777777" w:rsidR="007B1024" w:rsidRPr="000F7048" w:rsidRDefault="007B1024" w:rsidP="006C5BB0">
            <w:pPr>
              <w:spacing w:before="0" w:after="0"/>
              <w:rPr>
                <w:rFonts w:cs="Calibri Light"/>
                <w:color w:val="000000"/>
                <w:sz w:val="20"/>
                <w:szCs w:val="20"/>
              </w:rPr>
            </w:pPr>
            <w:r w:rsidRPr="000F7048">
              <w:rPr>
                <w:rFonts w:cs="Calibri Light"/>
                <w:color w:val="000000"/>
                <w:sz w:val="20"/>
                <w:szCs w:val="20"/>
              </w:rPr>
              <w:t>Required Hot Water System Inputs</w:t>
            </w:r>
          </w:p>
        </w:tc>
        <w:tc>
          <w:tcPr>
            <w:tcW w:w="2923" w:type="dxa"/>
            <w:shd w:val="clear" w:color="auto" w:fill="auto"/>
            <w:noWrap/>
            <w:vAlign w:val="center"/>
            <w:hideMark/>
          </w:tcPr>
          <w:p w14:paraId="1F787DBF" w14:textId="77777777" w:rsidR="007B1024" w:rsidRPr="000F7048" w:rsidRDefault="007B1024" w:rsidP="006C5BB0">
            <w:pPr>
              <w:spacing w:before="0" w:after="0"/>
              <w:rPr>
                <w:rFonts w:cs="Calibri Light"/>
                <w:color w:val="000000"/>
                <w:sz w:val="20"/>
                <w:szCs w:val="20"/>
              </w:rPr>
            </w:pPr>
            <w:r w:rsidRPr="000F7048">
              <w:rPr>
                <w:rFonts w:cs="Calibri Light"/>
                <w:color w:val="000000"/>
                <w:sz w:val="20"/>
                <w:szCs w:val="20"/>
              </w:rPr>
              <w:t>DEER Vintage</w:t>
            </w:r>
          </w:p>
        </w:tc>
        <w:tc>
          <w:tcPr>
            <w:tcW w:w="1582" w:type="dxa"/>
            <w:shd w:val="clear" w:color="auto" w:fill="auto"/>
            <w:noWrap/>
            <w:vAlign w:val="center"/>
            <w:hideMark/>
          </w:tcPr>
          <w:p w14:paraId="6C7CB92A" w14:textId="77777777" w:rsidR="007B1024" w:rsidRPr="000F7048" w:rsidRDefault="007B1024" w:rsidP="006C5BB0">
            <w:pPr>
              <w:spacing w:before="0" w:after="0"/>
              <w:ind w:right="215"/>
              <w:jc w:val="right"/>
              <w:rPr>
                <w:rFonts w:cs="Calibri Light"/>
                <w:color w:val="000000"/>
                <w:sz w:val="20"/>
                <w:szCs w:val="20"/>
              </w:rPr>
            </w:pPr>
            <w:r w:rsidRPr="000F7048">
              <w:rPr>
                <w:rFonts w:cs="Calibri Light"/>
                <w:color w:val="000000"/>
                <w:sz w:val="20"/>
                <w:szCs w:val="20"/>
              </w:rPr>
              <w:t>2003</w:t>
            </w:r>
          </w:p>
        </w:tc>
        <w:tc>
          <w:tcPr>
            <w:tcW w:w="3638" w:type="dxa"/>
            <w:shd w:val="clear" w:color="auto" w:fill="auto"/>
            <w:vAlign w:val="bottom"/>
            <w:hideMark/>
          </w:tcPr>
          <w:p w14:paraId="07D8639E" w14:textId="6DB9BCA9" w:rsidR="007B1024" w:rsidRPr="00443ACE" w:rsidRDefault="00443ACE" w:rsidP="006C5BB0">
            <w:pPr>
              <w:spacing w:before="0" w:after="0"/>
              <w:rPr>
                <w:rFonts w:cs="Calibri Light"/>
                <w:color w:val="000000"/>
                <w:sz w:val="18"/>
                <w:szCs w:val="18"/>
              </w:rPr>
            </w:pPr>
            <w:r>
              <w:rPr>
                <w:rFonts w:cs="Calibri Light"/>
                <w:color w:val="000000"/>
                <w:sz w:val="18"/>
                <w:szCs w:val="18"/>
              </w:rPr>
              <w:t>-</w:t>
            </w:r>
          </w:p>
        </w:tc>
      </w:tr>
      <w:tr w:rsidR="007B1024" w:rsidRPr="00E052DE" w14:paraId="143CFE1E" w14:textId="77777777" w:rsidTr="006C5BB0">
        <w:trPr>
          <w:cantSplit/>
          <w:trHeight w:val="20"/>
          <w:tblHeader/>
        </w:trPr>
        <w:tc>
          <w:tcPr>
            <w:tcW w:w="1397" w:type="dxa"/>
            <w:vMerge/>
            <w:vAlign w:val="center"/>
            <w:hideMark/>
          </w:tcPr>
          <w:p w14:paraId="23D3075C" w14:textId="77777777" w:rsidR="007B1024" w:rsidRPr="000F7048" w:rsidRDefault="007B1024" w:rsidP="006C5BB0">
            <w:pPr>
              <w:spacing w:before="0" w:after="0"/>
              <w:rPr>
                <w:rFonts w:cs="Calibri Light"/>
                <w:color w:val="000000"/>
                <w:sz w:val="20"/>
                <w:szCs w:val="20"/>
              </w:rPr>
            </w:pPr>
          </w:p>
        </w:tc>
        <w:tc>
          <w:tcPr>
            <w:tcW w:w="2923" w:type="dxa"/>
            <w:shd w:val="clear" w:color="auto" w:fill="auto"/>
            <w:noWrap/>
            <w:vAlign w:val="center"/>
            <w:hideMark/>
          </w:tcPr>
          <w:p w14:paraId="71CE239E" w14:textId="77777777" w:rsidR="007B1024" w:rsidRPr="000F7048" w:rsidRDefault="007B1024" w:rsidP="006C5BB0">
            <w:pPr>
              <w:spacing w:before="0" w:after="0"/>
              <w:rPr>
                <w:rFonts w:cs="Calibri Light"/>
                <w:color w:val="000000"/>
                <w:sz w:val="20"/>
                <w:szCs w:val="20"/>
              </w:rPr>
            </w:pPr>
            <w:r w:rsidRPr="000F7048">
              <w:rPr>
                <w:rFonts w:cs="Calibri Light"/>
                <w:color w:val="000000"/>
                <w:sz w:val="20"/>
                <w:szCs w:val="20"/>
              </w:rPr>
              <w:t>Number of Hot Water Loops</w:t>
            </w:r>
          </w:p>
        </w:tc>
        <w:tc>
          <w:tcPr>
            <w:tcW w:w="1582" w:type="dxa"/>
            <w:shd w:val="clear" w:color="auto" w:fill="auto"/>
            <w:noWrap/>
            <w:vAlign w:val="center"/>
            <w:hideMark/>
          </w:tcPr>
          <w:p w14:paraId="0C396461" w14:textId="77777777" w:rsidR="007B1024" w:rsidRPr="000F7048" w:rsidRDefault="007B1024" w:rsidP="006C5BB0">
            <w:pPr>
              <w:spacing w:before="0" w:after="0"/>
              <w:ind w:right="215"/>
              <w:jc w:val="right"/>
              <w:rPr>
                <w:rFonts w:cs="Calibri Light"/>
                <w:color w:val="000000"/>
                <w:sz w:val="20"/>
                <w:szCs w:val="20"/>
              </w:rPr>
            </w:pPr>
            <w:r w:rsidRPr="000F7048">
              <w:rPr>
                <w:rFonts w:cs="Calibri Light"/>
                <w:color w:val="000000"/>
                <w:sz w:val="20"/>
                <w:szCs w:val="20"/>
              </w:rPr>
              <w:t>1</w:t>
            </w:r>
          </w:p>
        </w:tc>
        <w:tc>
          <w:tcPr>
            <w:tcW w:w="3638" w:type="dxa"/>
            <w:shd w:val="clear" w:color="auto" w:fill="auto"/>
            <w:vAlign w:val="bottom"/>
            <w:hideMark/>
          </w:tcPr>
          <w:p w14:paraId="10CC9A02" w14:textId="77777777" w:rsidR="007B1024" w:rsidRPr="00443ACE" w:rsidRDefault="007B1024" w:rsidP="006C5BB0">
            <w:pPr>
              <w:spacing w:before="0" w:after="0"/>
              <w:rPr>
                <w:rFonts w:cs="Calibri Light"/>
                <w:color w:val="000000"/>
                <w:sz w:val="18"/>
                <w:szCs w:val="18"/>
              </w:rPr>
            </w:pPr>
            <w:r w:rsidRPr="00443ACE">
              <w:rPr>
                <w:rFonts w:cs="Calibri Light"/>
                <w:color w:val="000000"/>
                <w:sz w:val="18"/>
                <w:szCs w:val="18"/>
              </w:rPr>
              <w:t>eQUEST building energy model</w:t>
            </w:r>
          </w:p>
        </w:tc>
      </w:tr>
      <w:tr w:rsidR="007B1024" w:rsidRPr="00E052DE" w14:paraId="29F465A5" w14:textId="77777777" w:rsidTr="006C5BB0">
        <w:trPr>
          <w:cantSplit/>
          <w:trHeight w:val="20"/>
          <w:tblHeader/>
        </w:trPr>
        <w:tc>
          <w:tcPr>
            <w:tcW w:w="1397" w:type="dxa"/>
            <w:vMerge/>
            <w:vAlign w:val="center"/>
            <w:hideMark/>
          </w:tcPr>
          <w:p w14:paraId="02ED9201" w14:textId="77777777" w:rsidR="007B1024" w:rsidRPr="000F7048" w:rsidRDefault="007B1024" w:rsidP="006C5BB0">
            <w:pPr>
              <w:spacing w:before="0" w:after="0"/>
              <w:rPr>
                <w:rFonts w:cs="Calibri Light"/>
                <w:color w:val="000000"/>
                <w:sz w:val="20"/>
                <w:szCs w:val="20"/>
              </w:rPr>
            </w:pPr>
          </w:p>
        </w:tc>
        <w:tc>
          <w:tcPr>
            <w:tcW w:w="2923" w:type="dxa"/>
            <w:shd w:val="clear" w:color="auto" w:fill="auto"/>
            <w:noWrap/>
            <w:vAlign w:val="center"/>
            <w:hideMark/>
          </w:tcPr>
          <w:p w14:paraId="6F06E051" w14:textId="77777777" w:rsidR="007B1024" w:rsidRPr="000F7048" w:rsidRDefault="007B1024" w:rsidP="006C5BB0">
            <w:pPr>
              <w:spacing w:before="0" w:after="0"/>
              <w:rPr>
                <w:rFonts w:cs="Calibri Light"/>
                <w:color w:val="000000"/>
                <w:sz w:val="20"/>
                <w:szCs w:val="20"/>
              </w:rPr>
            </w:pPr>
            <w:r w:rsidRPr="000F7048">
              <w:rPr>
                <w:rFonts w:cs="Calibri Light"/>
                <w:color w:val="000000"/>
                <w:sz w:val="20"/>
                <w:szCs w:val="20"/>
              </w:rPr>
              <w:t>Hot Water Flow Rate (GPM)</w:t>
            </w:r>
          </w:p>
        </w:tc>
        <w:tc>
          <w:tcPr>
            <w:tcW w:w="1582" w:type="dxa"/>
            <w:shd w:val="clear" w:color="auto" w:fill="auto"/>
            <w:noWrap/>
            <w:vAlign w:val="center"/>
            <w:hideMark/>
          </w:tcPr>
          <w:p w14:paraId="75D866DB" w14:textId="77777777" w:rsidR="007B1024" w:rsidRPr="000F7048" w:rsidRDefault="007B1024" w:rsidP="006C5BB0">
            <w:pPr>
              <w:spacing w:before="0" w:after="0"/>
              <w:ind w:right="215"/>
              <w:jc w:val="right"/>
              <w:rPr>
                <w:rFonts w:cs="Calibri Light"/>
                <w:color w:val="000000"/>
                <w:sz w:val="20"/>
                <w:szCs w:val="20"/>
              </w:rPr>
            </w:pPr>
            <w:r w:rsidRPr="000F7048">
              <w:rPr>
                <w:rFonts w:cs="Calibri Light"/>
                <w:color w:val="000000"/>
                <w:sz w:val="20"/>
                <w:szCs w:val="20"/>
              </w:rPr>
              <w:t>22.00</w:t>
            </w:r>
          </w:p>
        </w:tc>
        <w:tc>
          <w:tcPr>
            <w:tcW w:w="3638" w:type="dxa"/>
            <w:shd w:val="clear" w:color="auto" w:fill="auto"/>
            <w:vAlign w:val="bottom"/>
            <w:hideMark/>
          </w:tcPr>
          <w:p w14:paraId="09EED1D4" w14:textId="77777777" w:rsidR="007B1024" w:rsidRPr="00443ACE" w:rsidRDefault="007B1024" w:rsidP="006C5BB0">
            <w:pPr>
              <w:spacing w:before="0" w:after="0"/>
              <w:rPr>
                <w:rFonts w:cs="Calibri Light"/>
                <w:color w:val="000000"/>
                <w:sz w:val="18"/>
                <w:szCs w:val="18"/>
              </w:rPr>
            </w:pPr>
            <w:r w:rsidRPr="00443ACE">
              <w:rPr>
                <w:rFonts w:cs="Calibri Light"/>
                <w:color w:val="000000"/>
                <w:sz w:val="18"/>
                <w:szCs w:val="18"/>
              </w:rPr>
              <w:t>eQUEST building energy model</w:t>
            </w:r>
          </w:p>
        </w:tc>
      </w:tr>
      <w:tr w:rsidR="007B1024" w:rsidRPr="00E052DE" w14:paraId="3996F877" w14:textId="77777777" w:rsidTr="006C5BB0">
        <w:trPr>
          <w:cantSplit/>
          <w:trHeight w:val="20"/>
          <w:tblHeader/>
        </w:trPr>
        <w:tc>
          <w:tcPr>
            <w:tcW w:w="1397" w:type="dxa"/>
            <w:vMerge/>
            <w:vAlign w:val="center"/>
            <w:hideMark/>
          </w:tcPr>
          <w:p w14:paraId="1FEC2430" w14:textId="77777777" w:rsidR="007B1024" w:rsidRPr="000F7048" w:rsidRDefault="007B1024" w:rsidP="006C5BB0">
            <w:pPr>
              <w:spacing w:before="0" w:after="0"/>
              <w:rPr>
                <w:rFonts w:cs="Calibri Light"/>
                <w:color w:val="000000"/>
                <w:sz w:val="20"/>
                <w:szCs w:val="20"/>
              </w:rPr>
            </w:pPr>
          </w:p>
        </w:tc>
        <w:tc>
          <w:tcPr>
            <w:tcW w:w="2923" w:type="dxa"/>
            <w:shd w:val="clear" w:color="auto" w:fill="auto"/>
            <w:noWrap/>
            <w:vAlign w:val="center"/>
            <w:hideMark/>
          </w:tcPr>
          <w:p w14:paraId="41351696" w14:textId="77777777" w:rsidR="007B1024" w:rsidRPr="000F7048" w:rsidRDefault="007B1024" w:rsidP="006C5BB0">
            <w:pPr>
              <w:spacing w:before="0" w:after="0"/>
              <w:rPr>
                <w:rFonts w:cs="Calibri Light"/>
                <w:color w:val="000000"/>
                <w:sz w:val="20"/>
                <w:szCs w:val="20"/>
              </w:rPr>
            </w:pPr>
            <w:r w:rsidRPr="000F7048">
              <w:rPr>
                <w:rFonts w:cs="Calibri Light"/>
                <w:color w:val="000000"/>
                <w:sz w:val="20"/>
                <w:szCs w:val="20"/>
              </w:rPr>
              <w:t>Supply Pipe Length (ft)</w:t>
            </w:r>
          </w:p>
        </w:tc>
        <w:tc>
          <w:tcPr>
            <w:tcW w:w="1582" w:type="dxa"/>
            <w:shd w:val="clear" w:color="auto" w:fill="auto"/>
            <w:noWrap/>
            <w:vAlign w:val="center"/>
            <w:hideMark/>
          </w:tcPr>
          <w:p w14:paraId="2CB04778" w14:textId="37F40179" w:rsidR="007B1024" w:rsidRPr="000F7048" w:rsidRDefault="007B1024" w:rsidP="006C5BB0">
            <w:pPr>
              <w:spacing w:before="0" w:after="0"/>
              <w:ind w:right="215"/>
              <w:jc w:val="right"/>
              <w:rPr>
                <w:rFonts w:cs="Calibri Light"/>
                <w:color w:val="000000"/>
                <w:sz w:val="20"/>
                <w:szCs w:val="20"/>
              </w:rPr>
            </w:pPr>
            <w:r w:rsidRPr="000F7048">
              <w:rPr>
                <w:rFonts w:cs="Calibri Light"/>
                <w:color w:val="000000"/>
                <w:sz w:val="20"/>
                <w:szCs w:val="20"/>
              </w:rPr>
              <w:t>334</w:t>
            </w:r>
          </w:p>
        </w:tc>
        <w:tc>
          <w:tcPr>
            <w:tcW w:w="3638" w:type="dxa"/>
            <w:shd w:val="clear" w:color="auto" w:fill="auto"/>
            <w:vAlign w:val="bottom"/>
            <w:hideMark/>
          </w:tcPr>
          <w:p w14:paraId="01B28B4F" w14:textId="7BAC5CDA" w:rsidR="007B1024" w:rsidRPr="00443ACE" w:rsidRDefault="00D40048" w:rsidP="006C5BB0">
            <w:pPr>
              <w:spacing w:before="0" w:after="0"/>
              <w:rPr>
                <w:rFonts w:cs="Calibri Light"/>
                <w:color w:val="000000"/>
                <w:sz w:val="18"/>
                <w:szCs w:val="18"/>
              </w:rPr>
            </w:pPr>
            <w:r w:rsidRPr="00443ACE">
              <w:rPr>
                <w:rStyle w:val="eTRMFootnoteTextChar"/>
                <w:szCs w:val="18"/>
              </w:rPr>
              <w:t xml:space="preserve">California Utilities Statewide Codes and Standards Team. 2011. </w:t>
            </w:r>
            <w:r w:rsidRPr="00443ACE">
              <w:rPr>
                <w:rStyle w:val="eTRMFootnoteTextChar"/>
                <w:i/>
                <w:szCs w:val="18"/>
              </w:rPr>
              <w:t>Codes and Standards Enhancement Initiative (CASE), Multifamily Central DHW and Solar Water Heating, 2013 California Building Energy Efficiency Standards.</w:t>
            </w:r>
          </w:p>
        </w:tc>
      </w:tr>
      <w:tr w:rsidR="002C5840" w:rsidRPr="00E052DE" w14:paraId="1438CFAC" w14:textId="77777777" w:rsidTr="002C5840">
        <w:trPr>
          <w:cantSplit/>
          <w:trHeight w:val="20"/>
          <w:tblHeader/>
        </w:trPr>
        <w:tc>
          <w:tcPr>
            <w:tcW w:w="1397" w:type="dxa"/>
            <w:vMerge/>
            <w:vAlign w:val="center"/>
            <w:hideMark/>
          </w:tcPr>
          <w:p w14:paraId="6FC6D1DC"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396DD397"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Supply Pipe Water Velocity (FPS)</w:t>
            </w:r>
          </w:p>
        </w:tc>
        <w:tc>
          <w:tcPr>
            <w:tcW w:w="1582" w:type="dxa"/>
            <w:shd w:val="clear" w:color="auto" w:fill="auto"/>
            <w:noWrap/>
            <w:vAlign w:val="center"/>
            <w:hideMark/>
          </w:tcPr>
          <w:p w14:paraId="455B2CA2" w14:textId="77777777" w:rsidR="002C5840" w:rsidRPr="000F7048" w:rsidRDefault="002C5840" w:rsidP="002C5840">
            <w:pPr>
              <w:spacing w:before="0" w:after="0"/>
              <w:ind w:right="215"/>
              <w:jc w:val="right"/>
              <w:rPr>
                <w:rFonts w:cs="Calibri Light"/>
                <w:color w:val="000000"/>
                <w:sz w:val="20"/>
                <w:szCs w:val="20"/>
              </w:rPr>
            </w:pPr>
            <w:r w:rsidRPr="000F7048">
              <w:rPr>
                <w:rFonts w:cs="Calibri Light"/>
                <w:color w:val="000000"/>
                <w:sz w:val="20"/>
                <w:szCs w:val="20"/>
              </w:rPr>
              <w:t>4</w:t>
            </w:r>
          </w:p>
        </w:tc>
        <w:tc>
          <w:tcPr>
            <w:tcW w:w="3638" w:type="dxa"/>
            <w:vMerge w:val="restart"/>
            <w:shd w:val="clear" w:color="auto" w:fill="auto"/>
            <w:vAlign w:val="center"/>
          </w:tcPr>
          <w:p w14:paraId="55CC2874" w14:textId="1F68BDC5" w:rsidR="002C5840" w:rsidRPr="002C5840" w:rsidRDefault="002C5840" w:rsidP="002C5840">
            <w:pPr>
              <w:spacing w:before="0" w:after="0"/>
              <w:rPr>
                <w:rFonts w:cs="Calibri Light"/>
                <w:color w:val="000000"/>
                <w:sz w:val="18"/>
                <w:szCs w:val="18"/>
              </w:rPr>
            </w:pPr>
            <w:r w:rsidRPr="001B5CC4">
              <w:rPr>
                <w:sz w:val="18"/>
                <w:szCs w:val="18"/>
              </w:rPr>
              <w:t>American Society of Heating, Refrigerating and Air Conditioning Engineers, Inc. (ASHRAE). 201</w:t>
            </w:r>
            <w:r>
              <w:rPr>
                <w:sz w:val="18"/>
                <w:szCs w:val="18"/>
              </w:rPr>
              <w:t>6</w:t>
            </w:r>
            <w:r w:rsidRPr="001B5CC4">
              <w:rPr>
                <w:sz w:val="18"/>
                <w:szCs w:val="18"/>
              </w:rPr>
              <w:t xml:space="preserve">. </w:t>
            </w:r>
            <w:r w:rsidRPr="001B5CC4">
              <w:rPr>
                <w:i/>
                <w:sz w:val="18"/>
                <w:szCs w:val="18"/>
              </w:rPr>
              <w:t>201</w:t>
            </w:r>
            <w:r>
              <w:rPr>
                <w:i/>
                <w:sz w:val="18"/>
                <w:szCs w:val="18"/>
              </w:rPr>
              <w:t>6</w:t>
            </w:r>
            <w:r w:rsidRPr="001B5CC4">
              <w:rPr>
                <w:i/>
                <w:sz w:val="18"/>
                <w:szCs w:val="18"/>
              </w:rPr>
              <w:t xml:space="preserve"> ASHRAE Handbook – HVAC </w:t>
            </w:r>
            <w:r>
              <w:rPr>
                <w:i/>
                <w:sz w:val="18"/>
                <w:szCs w:val="18"/>
              </w:rPr>
              <w:t>Systems and Equipment</w:t>
            </w:r>
            <w:r w:rsidRPr="001B5CC4">
              <w:rPr>
                <w:i/>
                <w:sz w:val="18"/>
                <w:szCs w:val="18"/>
              </w:rPr>
              <w:t>.</w:t>
            </w:r>
            <w:r w:rsidRPr="001B5CC4">
              <w:rPr>
                <w:sz w:val="18"/>
                <w:szCs w:val="18"/>
              </w:rPr>
              <w:t xml:space="preserve"> Atlanta (GA): ASHRAE.</w:t>
            </w:r>
          </w:p>
        </w:tc>
      </w:tr>
      <w:tr w:rsidR="002C5840" w:rsidRPr="00E052DE" w14:paraId="53C07DC8" w14:textId="77777777" w:rsidTr="006C5BB0">
        <w:trPr>
          <w:cantSplit/>
          <w:trHeight w:val="20"/>
          <w:tblHeader/>
        </w:trPr>
        <w:tc>
          <w:tcPr>
            <w:tcW w:w="1397" w:type="dxa"/>
            <w:vMerge/>
            <w:vAlign w:val="center"/>
            <w:hideMark/>
          </w:tcPr>
          <w:p w14:paraId="6283B1AE"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714442E4"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Hot Water Supply Pipe</w:t>
            </w:r>
          </w:p>
        </w:tc>
        <w:tc>
          <w:tcPr>
            <w:tcW w:w="1582" w:type="dxa"/>
            <w:shd w:val="clear" w:color="auto" w:fill="auto"/>
            <w:noWrap/>
            <w:vAlign w:val="center"/>
            <w:hideMark/>
          </w:tcPr>
          <w:p w14:paraId="62C70722" w14:textId="77777777" w:rsidR="002C5840" w:rsidRPr="000F7048" w:rsidRDefault="002C5840" w:rsidP="002C5840">
            <w:pPr>
              <w:spacing w:before="0" w:after="0"/>
              <w:ind w:right="215"/>
              <w:jc w:val="right"/>
              <w:rPr>
                <w:rFonts w:cs="Calibri Light"/>
                <w:color w:val="000000"/>
                <w:sz w:val="20"/>
                <w:szCs w:val="20"/>
              </w:rPr>
            </w:pPr>
            <w:r w:rsidRPr="000F7048">
              <w:rPr>
                <w:rFonts w:cs="Calibri Light"/>
                <w:color w:val="000000"/>
                <w:sz w:val="20"/>
                <w:szCs w:val="20"/>
              </w:rPr>
              <w:t>Steel Pipe</w:t>
            </w:r>
          </w:p>
        </w:tc>
        <w:tc>
          <w:tcPr>
            <w:tcW w:w="3638" w:type="dxa"/>
            <w:vMerge/>
            <w:shd w:val="clear" w:color="auto" w:fill="auto"/>
            <w:vAlign w:val="bottom"/>
            <w:hideMark/>
          </w:tcPr>
          <w:p w14:paraId="0869892F" w14:textId="24B78E86" w:rsidR="002C5840" w:rsidRPr="00423DCE" w:rsidRDefault="002C5840" w:rsidP="002C5840">
            <w:pPr>
              <w:spacing w:before="0" w:after="0"/>
              <w:rPr>
                <w:rFonts w:cs="Calibri Light"/>
                <w:color w:val="000000"/>
                <w:sz w:val="18"/>
                <w:szCs w:val="18"/>
              </w:rPr>
            </w:pPr>
          </w:p>
        </w:tc>
      </w:tr>
      <w:tr w:rsidR="002C5840" w:rsidRPr="00E052DE" w14:paraId="37480AB1" w14:textId="77777777" w:rsidTr="006C5BB0">
        <w:trPr>
          <w:cantSplit/>
          <w:trHeight w:val="20"/>
          <w:tblHeader/>
        </w:trPr>
        <w:tc>
          <w:tcPr>
            <w:tcW w:w="1397" w:type="dxa"/>
            <w:vMerge/>
            <w:vAlign w:val="center"/>
            <w:hideMark/>
          </w:tcPr>
          <w:p w14:paraId="1AA633DB"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752015FF"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Hot Water Supply Temp</w:t>
            </w:r>
          </w:p>
        </w:tc>
        <w:tc>
          <w:tcPr>
            <w:tcW w:w="1582" w:type="dxa"/>
            <w:shd w:val="clear" w:color="auto" w:fill="auto"/>
            <w:noWrap/>
            <w:vAlign w:val="center"/>
            <w:hideMark/>
          </w:tcPr>
          <w:p w14:paraId="6AF8D5BD" w14:textId="77777777" w:rsidR="002C5840" w:rsidRPr="000F7048" w:rsidRDefault="002C5840" w:rsidP="002C5840">
            <w:pPr>
              <w:spacing w:before="0" w:after="0"/>
              <w:ind w:right="215"/>
              <w:jc w:val="right"/>
              <w:rPr>
                <w:rFonts w:cs="Calibri Light"/>
                <w:color w:val="000000"/>
                <w:sz w:val="20"/>
                <w:szCs w:val="20"/>
              </w:rPr>
            </w:pPr>
            <w:r w:rsidRPr="000F7048">
              <w:rPr>
                <w:rFonts w:cs="Calibri Light"/>
                <w:color w:val="000000"/>
                <w:sz w:val="20"/>
                <w:szCs w:val="20"/>
              </w:rPr>
              <w:t>135</w:t>
            </w:r>
          </w:p>
        </w:tc>
        <w:tc>
          <w:tcPr>
            <w:tcW w:w="3638" w:type="dxa"/>
            <w:vMerge/>
            <w:shd w:val="clear" w:color="auto" w:fill="auto"/>
            <w:vAlign w:val="bottom"/>
            <w:hideMark/>
          </w:tcPr>
          <w:p w14:paraId="672CA879" w14:textId="64DFA2AA" w:rsidR="002C5840" w:rsidRPr="00423DCE" w:rsidRDefault="002C5840" w:rsidP="002C5840">
            <w:pPr>
              <w:spacing w:before="0" w:after="0"/>
              <w:rPr>
                <w:rFonts w:cs="Calibri Light"/>
                <w:color w:val="000000"/>
                <w:sz w:val="18"/>
                <w:szCs w:val="18"/>
              </w:rPr>
            </w:pPr>
          </w:p>
        </w:tc>
      </w:tr>
      <w:tr w:rsidR="002C5840" w:rsidRPr="00E052DE" w14:paraId="53395441" w14:textId="77777777" w:rsidTr="006C5BB0">
        <w:trPr>
          <w:cantSplit/>
          <w:trHeight w:val="20"/>
          <w:tblHeader/>
        </w:trPr>
        <w:tc>
          <w:tcPr>
            <w:tcW w:w="1397" w:type="dxa"/>
            <w:vMerge/>
            <w:vAlign w:val="center"/>
            <w:hideMark/>
          </w:tcPr>
          <w:p w14:paraId="61CEEEE2"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5AAF31FC"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Return Pipe Water Velocity (FPS)</w:t>
            </w:r>
          </w:p>
        </w:tc>
        <w:tc>
          <w:tcPr>
            <w:tcW w:w="1582" w:type="dxa"/>
            <w:shd w:val="clear" w:color="auto" w:fill="auto"/>
            <w:noWrap/>
            <w:vAlign w:val="center"/>
            <w:hideMark/>
          </w:tcPr>
          <w:p w14:paraId="0E1D813E" w14:textId="77777777" w:rsidR="002C5840" w:rsidRPr="000F7048" w:rsidRDefault="002C5840" w:rsidP="002C5840">
            <w:pPr>
              <w:spacing w:before="0" w:after="0"/>
              <w:ind w:right="215"/>
              <w:jc w:val="right"/>
              <w:rPr>
                <w:rFonts w:cs="Calibri Light"/>
                <w:color w:val="000000"/>
                <w:sz w:val="20"/>
                <w:szCs w:val="20"/>
              </w:rPr>
            </w:pPr>
            <w:r w:rsidRPr="000F7048">
              <w:rPr>
                <w:rFonts w:cs="Calibri Light"/>
                <w:color w:val="000000"/>
                <w:sz w:val="20"/>
                <w:szCs w:val="20"/>
              </w:rPr>
              <w:t>2</w:t>
            </w:r>
          </w:p>
        </w:tc>
        <w:tc>
          <w:tcPr>
            <w:tcW w:w="3638" w:type="dxa"/>
            <w:vMerge/>
            <w:shd w:val="clear" w:color="auto" w:fill="auto"/>
            <w:vAlign w:val="bottom"/>
          </w:tcPr>
          <w:p w14:paraId="1CF3E232" w14:textId="252E0C36" w:rsidR="002C5840" w:rsidRPr="00423DCE" w:rsidRDefault="002C5840" w:rsidP="002C5840">
            <w:pPr>
              <w:spacing w:before="0" w:after="0"/>
              <w:rPr>
                <w:rFonts w:cs="Calibri Light"/>
                <w:color w:val="000000"/>
                <w:sz w:val="18"/>
                <w:szCs w:val="18"/>
              </w:rPr>
            </w:pPr>
          </w:p>
        </w:tc>
      </w:tr>
      <w:tr w:rsidR="002C5840" w:rsidRPr="00E052DE" w14:paraId="105B7A14" w14:textId="77777777" w:rsidTr="006C5BB0">
        <w:trPr>
          <w:cantSplit/>
          <w:trHeight w:val="20"/>
          <w:tblHeader/>
        </w:trPr>
        <w:tc>
          <w:tcPr>
            <w:tcW w:w="1397" w:type="dxa"/>
            <w:vMerge/>
            <w:vAlign w:val="center"/>
            <w:hideMark/>
          </w:tcPr>
          <w:p w14:paraId="59623560"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27A69611"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Hot Water Return Pipe</w:t>
            </w:r>
          </w:p>
        </w:tc>
        <w:tc>
          <w:tcPr>
            <w:tcW w:w="1582" w:type="dxa"/>
            <w:shd w:val="clear" w:color="auto" w:fill="auto"/>
            <w:noWrap/>
            <w:vAlign w:val="center"/>
            <w:hideMark/>
          </w:tcPr>
          <w:p w14:paraId="3CD7DD1F" w14:textId="77777777" w:rsidR="002C5840" w:rsidRPr="000F7048" w:rsidRDefault="002C5840" w:rsidP="002C5840">
            <w:pPr>
              <w:spacing w:before="0" w:after="0"/>
              <w:ind w:right="215"/>
              <w:jc w:val="right"/>
              <w:rPr>
                <w:rFonts w:cs="Calibri Light"/>
                <w:color w:val="000000"/>
                <w:sz w:val="20"/>
                <w:szCs w:val="20"/>
              </w:rPr>
            </w:pPr>
            <w:r w:rsidRPr="000F7048">
              <w:rPr>
                <w:rFonts w:cs="Calibri Light"/>
                <w:color w:val="000000"/>
                <w:sz w:val="20"/>
                <w:szCs w:val="20"/>
              </w:rPr>
              <w:t>Copper Pipe</w:t>
            </w:r>
          </w:p>
        </w:tc>
        <w:tc>
          <w:tcPr>
            <w:tcW w:w="3638" w:type="dxa"/>
            <w:vMerge/>
            <w:shd w:val="clear" w:color="auto" w:fill="auto"/>
            <w:vAlign w:val="bottom"/>
          </w:tcPr>
          <w:p w14:paraId="404ACB06" w14:textId="04EB8480" w:rsidR="002C5840" w:rsidRPr="00423DCE" w:rsidRDefault="002C5840" w:rsidP="002C5840">
            <w:pPr>
              <w:spacing w:before="0" w:after="0"/>
              <w:rPr>
                <w:rFonts w:cs="Calibri Light"/>
                <w:color w:val="000000"/>
                <w:sz w:val="18"/>
                <w:szCs w:val="18"/>
              </w:rPr>
            </w:pPr>
          </w:p>
        </w:tc>
      </w:tr>
      <w:tr w:rsidR="002C5840" w:rsidRPr="00E052DE" w14:paraId="2360F8CF" w14:textId="77777777" w:rsidTr="006C5BB0">
        <w:trPr>
          <w:cantSplit/>
          <w:trHeight w:val="20"/>
          <w:tblHeader/>
        </w:trPr>
        <w:tc>
          <w:tcPr>
            <w:tcW w:w="1397" w:type="dxa"/>
            <w:vMerge/>
            <w:vAlign w:val="center"/>
            <w:hideMark/>
          </w:tcPr>
          <w:p w14:paraId="2066FD07"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2A05AC04"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Hot Water Return Temp</w:t>
            </w:r>
          </w:p>
        </w:tc>
        <w:tc>
          <w:tcPr>
            <w:tcW w:w="1582" w:type="dxa"/>
            <w:shd w:val="clear" w:color="auto" w:fill="auto"/>
            <w:noWrap/>
            <w:vAlign w:val="center"/>
            <w:hideMark/>
          </w:tcPr>
          <w:p w14:paraId="36A4F151" w14:textId="77777777" w:rsidR="002C5840" w:rsidRPr="000F7048" w:rsidRDefault="002C5840" w:rsidP="002C5840">
            <w:pPr>
              <w:spacing w:before="0" w:after="0"/>
              <w:ind w:right="215"/>
              <w:jc w:val="right"/>
              <w:rPr>
                <w:rFonts w:cs="Calibri Light"/>
                <w:color w:val="000000"/>
                <w:sz w:val="20"/>
                <w:szCs w:val="20"/>
              </w:rPr>
            </w:pPr>
            <w:r w:rsidRPr="000F7048">
              <w:rPr>
                <w:rFonts w:cs="Calibri Light"/>
                <w:color w:val="000000"/>
                <w:sz w:val="20"/>
                <w:szCs w:val="20"/>
              </w:rPr>
              <w:t>105</w:t>
            </w:r>
          </w:p>
        </w:tc>
        <w:tc>
          <w:tcPr>
            <w:tcW w:w="3638" w:type="dxa"/>
            <w:vMerge/>
            <w:shd w:val="clear" w:color="auto" w:fill="auto"/>
            <w:vAlign w:val="bottom"/>
            <w:hideMark/>
          </w:tcPr>
          <w:p w14:paraId="70CA7E6C" w14:textId="71D46FBE" w:rsidR="002C5840" w:rsidRPr="00423DCE" w:rsidRDefault="002C5840" w:rsidP="002C5840">
            <w:pPr>
              <w:spacing w:before="0" w:after="0"/>
              <w:rPr>
                <w:rFonts w:cs="Calibri Light"/>
                <w:color w:val="000000"/>
                <w:sz w:val="18"/>
                <w:szCs w:val="18"/>
              </w:rPr>
            </w:pPr>
          </w:p>
        </w:tc>
      </w:tr>
      <w:tr w:rsidR="002C5840" w:rsidRPr="00E052DE" w14:paraId="4E77307B" w14:textId="77777777" w:rsidTr="002C5840">
        <w:trPr>
          <w:cantSplit/>
          <w:trHeight w:val="62"/>
          <w:tblHeader/>
        </w:trPr>
        <w:tc>
          <w:tcPr>
            <w:tcW w:w="1397" w:type="dxa"/>
            <w:vMerge/>
            <w:vAlign w:val="center"/>
            <w:hideMark/>
          </w:tcPr>
          <w:p w14:paraId="5A35F58A"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63198EE4"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Pipe Insulation Type</w:t>
            </w:r>
          </w:p>
        </w:tc>
        <w:tc>
          <w:tcPr>
            <w:tcW w:w="1582" w:type="dxa"/>
            <w:shd w:val="clear" w:color="auto" w:fill="auto"/>
            <w:noWrap/>
            <w:vAlign w:val="center"/>
            <w:hideMark/>
          </w:tcPr>
          <w:p w14:paraId="668B9FE9" w14:textId="77777777" w:rsidR="002C5840" w:rsidRPr="000F7048" w:rsidRDefault="002C5840" w:rsidP="002C5840">
            <w:pPr>
              <w:spacing w:before="0" w:after="0"/>
              <w:ind w:right="215"/>
              <w:jc w:val="right"/>
              <w:rPr>
                <w:rFonts w:cs="Calibri Light"/>
                <w:sz w:val="20"/>
                <w:szCs w:val="20"/>
              </w:rPr>
            </w:pPr>
            <w:r w:rsidRPr="000F7048">
              <w:rPr>
                <w:rFonts w:cs="Calibri Light"/>
                <w:sz w:val="20"/>
                <w:szCs w:val="20"/>
              </w:rPr>
              <w:t>Cellular Glass</w:t>
            </w:r>
          </w:p>
        </w:tc>
        <w:tc>
          <w:tcPr>
            <w:tcW w:w="3638" w:type="dxa"/>
            <w:vMerge/>
            <w:shd w:val="clear" w:color="auto" w:fill="auto"/>
            <w:vAlign w:val="bottom"/>
            <w:hideMark/>
          </w:tcPr>
          <w:p w14:paraId="15829ABE" w14:textId="31F95245" w:rsidR="002C5840" w:rsidRPr="00423DCE" w:rsidRDefault="002C5840" w:rsidP="002C5840">
            <w:pPr>
              <w:spacing w:before="0" w:after="0"/>
              <w:rPr>
                <w:rFonts w:cs="Calibri Light"/>
                <w:color w:val="000000"/>
                <w:sz w:val="18"/>
                <w:szCs w:val="18"/>
              </w:rPr>
            </w:pPr>
          </w:p>
        </w:tc>
      </w:tr>
      <w:tr w:rsidR="002C5840" w:rsidRPr="00E052DE" w14:paraId="16E7EB0E" w14:textId="77777777" w:rsidTr="006C5BB0">
        <w:trPr>
          <w:cantSplit/>
          <w:trHeight w:val="20"/>
          <w:tblHeader/>
        </w:trPr>
        <w:tc>
          <w:tcPr>
            <w:tcW w:w="1397" w:type="dxa"/>
            <w:vMerge/>
            <w:vAlign w:val="center"/>
            <w:hideMark/>
          </w:tcPr>
          <w:p w14:paraId="4D8BC722"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06634523"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Ambient Air Temp</w:t>
            </w:r>
          </w:p>
        </w:tc>
        <w:tc>
          <w:tcPr>
            <w:tcW w:w="1582" w:type="dxa"/>
            <w:shd w:val="clear" w:color="auto" w:fill="auto"/>
            <w:noWrap/>
            <w:vAlign w:val="center"/>
            <w:hideMark/>
          </w:tcPr>
          <w:p w14:paraId="296004C4" w14:textId="77777777" w:rsidR="002C5840" w:rsidRPr="000F7048" w:rsidRDefault="002C5840" w:rsidP="002C5840">
            <w:pPr>
              <w:spacing w:before="0" w:after="0"/>
              <w:ind w:right="215"/>
              <w:jc w:val="right"/>
              <w:rPr>
                <w:rFonts w:cs="Calibri Light"/>
                <w:sz w:val="20"/>
                <w:szCs w:val="20"/>
              </w:rPr>
            </w:pPr>
            <w:r w:rsidRPr="000F7048">
              <w:rPr>
                <w:rFonts w:cs="Calibri Light"/>
                <w:sz w:val="20"/>
                <w:szCs w:val="20"/>
              </w:rPr>
              <w:t>70</w:t>
            </w:r>
          </w:p>
        </w:tc>
        <w:tc>
          <w:tcPr>
            <w:tcW w:w="3638" w:type="dxa"/>
            <w:vMerge/>
            <w:shd w:val="clear" w:color="auto" w:fill="auto"/>
            <w:vAlign w:val="bottom"/>
            <w:hideMark/>
          </w:tcPr>
          <w:p w14:paraId="63A39DC1" w14:textId="7F0E5BA9" w:rsidR="002C5840" w:rsidRPr="00423DCE" w:rsidRDefault="002C5840" w:rsidP="002C5840">
            <w:pPr>
              <w:spacing w:before="0" w:after="0"/>
              <w:rPr>
                <w:rFonts w:cs="Calibri Light"/>
                <w:color w:val="000000"/>
                <w:sz w:val="18"/>
                <w:szCs w:val="18"/>
              </w:rPr>
            </w:pPr>
          </w:p>
        </w:tc>
      </w:tr>
      <w:tr w:rsidR="002C5840" w:rsidRPr="00E052DE" w14:paraId="7995BECF" w14:textId="77777777" w:rsidTr="006C5BB0">
        <w:trPr>
          <w:cantSplit/>
          <w:trHeight w:val="20"/>
          <w:tblHeader/>
        </w:trPr>
        <w:tc>
          <w:tcPr>
            <w:tcW w:w="1397" w:type="dxa"/>
            <w:vMerge w:val="restart"/>
            <w:shd w:val="clear" w:color="auto" w:fill="auto"/>
            <w:hideMark/>
          </w:tcPr>
          <w:p w14:paraId="5A3127D0"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Outputs (calculated)</w:t>
            </w:r>
          </w:p>
        </w:tc>
        <w:tc>
          <w:tcPr>
            <w:tcW w:w="2923" w:type="dxa"/>
            <w:shd w:val="clear" w:color="auto" w:fill="auto"/>
            <w:noWrap/>
            <w:vAlign w:val="center"/>
            <w:hideMark/>
          </w:tcPr>
          <w:p w14:paraId="2AD14B74" w14:textId="77777777" w:rsidR="002C5840" w:rsidRPr="000F7048" w:rsidRDefault="002C5840" w:rsidP="002C5840">
            <w:pPr>
              <w:spacing w:before="0" w:after="0"/>
              <w:rPr>
                <w:rFonts w:cs="Calibri Light"/>
                <w:color w:val="000000"/>
                <w:sz w:val="20"/>
                <w:szCs w:val="20"/>
                <w:lang w:val="de-DE"/>
              </w:rPr>
            </w:pPr>
            <w:r w:rsidRPr="000F7048">
              <w:rPr>
                <w:rFonts w:cs="Calibri Light"/>
                <w:color w:val="000000"/>
                <w:sz w:val="20"/>
                <w:szCs w:val="20"/>
                <w:lang w:val="de-DE"/>
              </w:rPr>
              <w:t>UA (btu/hr-ft-F) - Supply pipe</w:t>
            </w:r>
          </w:p>
        </w:tc>
        <w:tc>
          <w:tcPr>
            <w:tcW w:w="1582" w:type="dxa"/>
            <w:shd w:val="clear" w:color="auto" w:fill="auto"/>
            <w:noWrap/>
            <w:vAlign w:val="center"/>
            <w:hideMark/>
          </w:tcPr>
          <w:p w14:paraId="3A486267" w14:textId="77777777" w:rsidR="002C5840" w:rsidRPr="000F7048" w:rsidRDefault="002C5840" w:rsidP="002C5840">
            <w:pPr>
              <w:spacing w:before="0" w:after="0"/>
              <w:ind w:right="215"/>
              <w:jc w:val="right"/>
              <w:rPr>
                <w:rFonts w:cs="Calibri Light"/>
                <w:sz w:val="20"/>
                <w:szCs w:val="20"/>
              </w:rPr>
            </w:pPr>
            <w:r w:rsidRPr="000F7048">
              <w:rPr>
                <w:rFonts w:cs="Calibri Light"/>
                <w:sz w:val="20"/>
                <w:szCs w:val="20"/>
              </w:rPr>
              <w:t>0.4064</w:t>
            </w:r>
          </w:p>
        </w:tc>
        <w:tc>
          <w:tcPr>
            <w:tcW w:w="3638" w:type="dxa"/>
            <w:shd w:val="clear" w:color="auto" w:fill="auto"/>
            <w:vAlign w:val="bottom"/>
            <w:hideMark/>
          </w:tcPr>
          <w:p w14:paraId="05F3EB47" w14:textId="34CE3E2D" w:rsidR="002C5840" w:rsidRPr="001B5CC4" w:rsidRDefault="002C5840" w:rsidP="002C5840">
            <w:pPr>
              <w:spacing w:before="0" w:after="0"/>
              <w:rPr>
                <w:rFonts w:cs="Calibri Light"/>
                <w:color w:val="000000"/>
                <w:sz w:val="18"/>
                <w:szCs w:val="18"/>
              </w:rPr>
            </w:pPr>
            <w:r w:rsidRPr="001B5CC4">
              <w:rPr>
                <w:sz w:val="18"/>
                <w:szCs w:val="18"/>
              </w:rPr>
              <w:t>American Society of Heating, Refrigerating and Air Conditioning Engineers, Inc. (ASHRAE). 201</w:t>
            </w:r>
            <w:r>
              <w:rPr>
                <w:sz w:val="18"/>
                <w:szCs w:val="18"/>
              </w:rPr>
              <w:t>6</w:t>
            </w:r>
            <w:r w:rsidRPr="001B5CC4">
              <w:rPr>
                <w:sz w:val="18"/>
                <w:szCs w:val="18"/>
              </w:rPr>
              <w:t xml:space="preserve">. </w:t>
            </w:r>
            <w:r w:rsidRPr="001B5CC4">
              <w:rPr>
                <w:i/>
                <w:sz w:val="18"/>
                <w:szCs w:val="18"/>
              </w:rPr>
              <w:t>201</w:t>
            </w:r>
            <w:r>
              <w:rPr>
                <w:i/>
                <w:sz w:val="18"/>
                <w:szCs w:val="18"/>
              </w:rPr>
              <w:t>6</w:t>
            </w:r>
            <w:r w:rsidRPr="001B5CC4">
              <w:rPr>
                <w:i/>
                <w:sz w:val="18"/>
                <w:szCs w:val="18"/>
              </w:rPr>
              <w:t xml:space="preserve"> ASHRAE Handbook – HVAC </w:t>
            </w:r>
            <w:r>
              <w:rPr>
                <w:i/>
                <w:sz w:val="18"/>
                <w:szCs w:val="18"/>
              </w:rPr>
              <w:t>Systems and Equipment</w:t>
            </w:r>
            <w:r w:rsidRPr="001B5CC4">
              <w:rPr>
                <w:i/>
                <w:sz w:val="18"/>
                <w:szCs w:val="18"/>
              </w:rPr>
              <w:t>.</w:t>
            </w:r>
            <w:r w:rsidRPr="001B5CC4">
              <w:rPr>
                <w:sz w:val="18"/>
                <w:szCs w:val="18"/>
              </w:rPr>
              <w:t xml:space="preserve"> Atlanta (GA): ASHRAE.</w:t>
            </w:r>
          </w:p>
        </w:tc>
      </w:tr>
      <w:tr w:rsidR="002C5840" w:rsidRPr="00E052DE" w14:paraId="05F7F66F" w14:textId="77777777" w:rsidTr="006C5BB0">
        <w:trPr>
          <w:cantSplit/>
          <w:trHeight w:val="20"/>
          <w:tblHeader/>
        </w:trPr>
        <w:tc>
          <w:tcPr>
            <w:tcW w:w="1397" w:type="dxa"/>
            <w:vMerge/>
            <w:vAlign w:val="center"/>
            <w:hideMark/>
          </w:tcPr>
          <w:p w14:paraId="00C5F800"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45C7C196" w14:textId="77777777" w:rsidR="002C5840" w:rsidRPr="000F7048" w:rsidRDefault="002C5840" w:rsidP="002C5840">
            <w:pPr>
              <w:spacing w:before="0" w:after="0"/>
              <w:rPr>
                <w:rFonts w:cs="Calibri Light"/>
                <w:color w:val="000000"/>
                <w:sz w:val="20"/>
                <w:szCs w:val="20"/>
                <w:lang w:val="de-DE"/>
              </w:rPr>
            </w:pPr>
            <w:r w:rsidRPr="000F7048">
              <w:rPr>
                <w:rFonts w:cs="Calibri Light"/>
                <w:color w:val="000000"/>
                <w:sz w:val="20"/>
                <w:szCs w:val="20"/>
                <w:lang w:val="de-DE"/>
              </w:rPr>
              <w:t>UA (btu/hr-ft-F) - Return pipe</w:t>
            </w:r>
          </w:p>
        </w:tc>
        <w:tc>
          <w:tcPr>
            <w:tcW w:w="1582" w:type="dxa"/>
            <w:shd w:val="clear" w:color="auto" w:fill="auto"/>
            <w:noWrap/>
            <w:vAlign w:val="center"/>
            <w:hideMark/>
          </w:tcPr>
          <w:p w14:paraId="1B5A6A11" w14:textId="77777777" w:rsidR="002C5840" w:rsidRPr="000F7048" w:rsidRDefault="002C5840" w:rsidP="002C5840">
            <w:pPr>
              <w:spacing w:before="0" w:after="0"/>
              <w:ind w:right="215"/>
              <w:jc w:val="right"/>
              <w:rPr>
                <w:rFonts w:cs="Calibri Light"/>
                <w:sz w:val="20"/>
                <w:szCs w:val="20"/>
              </w:rPr>
            </w:pPr>
            <w:r w:rsidRPr="000F7048">
              <w:rPr>
                <w:rFonts w:cs="Calibri Light"/>
                <w:sz w:val="20"/>
                <w:szCs w:val="20"/>
              </w:rPr>
              <w:t>0.1340</w:t>
            </w:r>
          </w:p>
        </w:tc>
        <w:tc>
          <w:tcPr>
            <w:tcW w:w="3638" w:type="dxa"/>
            <w:shd w:val="clear" w:color="auto" w:fill="auto"/>
            <w:vAlign w:val="bottom"/>
            <w:hideMark/>
          </w:tcPr>
          <w:p w14:paraId="76A3D38E" w14:textId="5194BF74" w:rsidR="002C5840" w:rsidRPr="001B5CC4" w:rsidRDefault="002C5840" w:rsidP="002C5840">
            <w:pPr>
              <w:spacing w:before="0" w:after="0"/>
              <w:rPr>
                <w:rFonts w:cs="Calibri Light"/>
                <w:color w:val="000000"/>
                <w:sz w:val="18"/>
                <w:szCs w:val="18"/>
              </w:rPr>
            </w:pPr>
            <w:r w:rsidRPr="001B5CC4">
              <w:rPr>
                <w:sz w:val="18"/>
                <w:szCs w:val="18"/>
              </w:rPr>
              <w:t>American Society of Heating, Refrigerating and Air Conditioning Engineers, Inc. (ASHRAE). 201</w:t>
            </w:r>
            <w:r>
              <w:rPr>
                <w:sz w:val="18"/>
                <w:szCs w:val="18"/>
              </w:rPr>
              <w:t>6</w:t>
            </w:r>
            <w:r w:rsidRPr="001B5CC4">
              <w:rPr>
                <w:sz w:val="18"/>
                <w:szCs w:val="18"/>
              </w:rPr>
              <w:t xml:space="preserve">. </w:t>
            </w:r>
            <w:r w:rsidRPr="001B5CC4">
              <w:rPr>
                <w:i/>
                <w:sz w:val="18"/>
                <w:szCs w:val="18"/>
              </w:rPr>
              <w:t>201</w:t>
            </w:r>
            <w:r>
              <w:rPr>
                <w:i/>
                <w:sz w:val="18"/>
                <w:szCs w:val="18"/>
              </w:rPr>
              <w:t>6</w:t>
            </w:r>
            <w:r w:rsidRPr="001B5CC4">
              <w:rPr>
                <w:i/>
                <w:sz w:val="18"/>
                <w:szCs w:val="18"/>
              </w:rPr>
              <w:t xml:space="preserve"> ASHRAE Handbook – HVAC </w:t>
            </w:r>
            <w:r>
              <w:rPr>
                <w:i/>
                <w:sz w:val="18"/>
                <w:szCs w:val="18"/>
              </w:rPr>
              <w:t>Systems and Equipment</w:t>
            </w:r>
            <w:r w:rsidRPr="001B5CC4">
              <w:rPr>
                <w:i/>
                <w:sz w:val="18"/>
                <w:szCs w:val="18"/>
              </w:rPr>
              <w:t>.</w:t>
            </w:r>
            <w:r w:rsidRPr="001B5CC4">
              <w:rPr>
                <w:sz w:val="18"/>
                <w:szCs w:val="18"/>
              </w:rPr>
              <w:t xml:space="preserve"> Atlanta (GA): ASHRAE.</w:t>
            </w:r>
          </w:p>
        </w:tc>
      </w:tr>
      <w:tr w:rsidR="002C5840" w:rsidRPr="00E052DE" w14:paraId="6DEBDDD6" w14:textId="77777777" w:rsidTr="006C5BB0">
        <w:trPr>
          <w:cantSplit/>
          <w:trHeight w:val="20"/>
          <w:tblHeader/>
        </w:trPr>
        <w:tc>
          <w:tcPr>
            <w:tcW w:w="1397" w:type="dxa"/>
            <w:vMerge/>
            <w:vAlign w:val="center"/>
            <w:hideMark/>
          </w:tcPr>
          <w:p w14:paraId="14B5BFF1"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1B913C32" w14:textId="77777777"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Estimated Total Pump Head (ft)</w:t>
            </w:r>
          </w:p>
        </w:tc>
        <w:tc>
          <w:tcPr>
            <w:tcW w:w="1582" w:type="dxa"/>
            <w:shd w:val="clear" w:color="auto" w:fill="auto"/>
            <w:noWrap/>
            <w:vAlign w:val="center"/>
            <w:hideMark/>
          </w:tcPr>
          <w:p w14:paraId="2DBF141F" w14:textId="77777777" w:rsidR="002C5840" w:rsidRPr="000F7048" w:rsidRDefault="002C5840" w:rsidP="002C5840">
            <w:pPr>
              <w:spacing w:before="0" w:after="0"/>
              <w:ind w:right="215"/>
              <w:jc w:val="right"/>
              <w:rPr>
                <w:rFonts w:cs="Calibri Light"/>
                <w:sz w:val="20"/>
                <w:szCs w:val="20"/>
              </w:rPr>
            </w:pPr>
            <w:r w:rsidRPr="000F7048">
              <w:rPr>
                <w:rFonts w:cs="Calibri Light"/>
                <w:sz w:val="20"/>
                <w:szCs w:val="20"/>
              </w:rPr>
              <w:t>10.9</w:t>
            </w:r>
          </w:p>
        </w:tc>
        <w:tc>
          <w:tcPr>
            <w:tcW w:w="3638" w:type="dxa"/>
            <w:shd w:val="clear" w:color="auto" w:fill="auto"/>
            <w:vAlign w:val="bottom"/>
          </w:tcPr>
          <w:p w14:paraId="1673A774" w14:textId="64DF4E84" w:rsidR="002C5840" w:rsidRPr="00443ACE" w:rsidRDefault="002C5840" w:rsidP="002C5840">
            <w:pPr>
              <w:spacing w:before="0" w:after="0"/>
              <w:rPr>
                <w:rFonts w:cs="Calibri Light"/>
                <w:color w:val="000000"/>
                <w:sz w:val="18"/>
                <w:szCs w:val="18"/>
              </w:rPr>
            </w:pPr>
          </w:p>
        </w:tc>
      </w:tr>
      <w:tr w:rsidR="002C5840" w:rsidRPr="00E052DE" w14:paraId="1744FC89" w14:textId="77777777" w:rsidTr="006C5BB0">
        <w:trPr>
          <w:cantSplit/>
          <w:trHeight w:val="20"/>
          <w:tblHeader/>
        </w:trPr>
        <w:tc>
          <w:tcPr>
            <w:tcW w:w="1397" w:type="dxa"/>
            <w:vMerge/>
            <w:vAlign w:val="center"/>
            <w:hideMark/>
          </w:tcPr>
          <w:p w14:paraId="0CAA4CA3" w14:textId="77777777" w:rsidR="002C5840" w:rsidRPr="000F7048" w:rsidRDefault="002C5840" w:rsidP="002C5840">
            <w:pPr>
              <w:spacing w:before="0" w:after="0"/>
              <w:rPr>
                <w:rFonts w:cs="Calibri Light"/>
                <w:color w:val="000000"/>
                <w:sz w:val="20"/>
                <w:szCs w:val="20"/>
              </w:rPr>
            </w:pPr>
          </w:p>
        </w:tc>
        <w:tc>
          <w:tcPr>
            <w:tcW w:w="2923" w:type="dxa"/>
            <w:shd w:val="clear" w:color="auto" w:fill="auto"/>
            <w:noWrap/>
            <w:vAlign w:val="center"/>
            <w:hideMark/>
          </w:tcPr>
          <w:p w14:paraId="7C4AC049" w14:textId="64BC3EE0" w:rsidR="002C5840" w:rsidRPr="000F7048" w:rsidRDefault="002C5840" w:rsidP="002C5840">
            <w:pPr>
              <w:spacing w:before="0" w:after="0"/>
              <w:rPr>
                <w:rFonts w:cs="Calibri Light"/>
                <w:color w:val="000000"/>
                <w:sz w:val="20"/>
                <w:szCs w:val="20"/>
              </w:rPr>
            </w:pPr>
            <w:r w:rsidRPr="000F7048">
              <w:rPr>
                <w:rFonts w:cs="Calibri Light"/>
                <w:color w:val="000000"/>
                <w:sz w:val="20"/>
                <w:szCs w:val="20"/>
              </w:rPr>
              <w:t>Pump Size (</w:t>
            </w:r>
            <w:r>
              <w:rPr>
                <w:rFonts w:cs="Calibri Light"/>
                <w:color w:val="000000"/>
                <w:sz w:val="20"/>
                <w:szCs w:val="20"/>
              </w:rPr>
              <w:t>hp</w:t>
            </w:r>
            <w:r w:rsidRPr="000F7048">
              <w:rPr>
                <w:rFonts w:cs="Calibri Light"/>
                <w:color w:val="000000"/>
                <w:sz w:val="20"/>
                <w:szCs w:val="20"/>
              </w:rPr>
              <w:t>)</w:t>
            </w:r>
          </w:p>
        </w:tc>
        <w:tc>
          <w:tcPr>
            <w:tcW w:w="1582" w:type="dxa"/>
            <w:shd w:val="clear" w:color="auto" w:fill="auto"/>
            <w:noWrap/>
            <w:vAlign w:val="center"/>
            <w:hideMark/>
          </w:tcPr>
          <w:p w14:paraId="5ABF9DC4" w14:textId="77777777" w:rsidR="002C5840" w:rsidRPr="000F7048" w:rsidRDefault="002C5840" w:rsidP="002C5840">
            <w:pPr>
              <w:spacing w:before="0" w:after="0"/>
              <w:ind w:right="215"/>
              <w:jc w:val="right"/>
              <w:rPr>
                <w:rFonts w:cs="Calibri Light"/>
                <w:sz w:val="20"/>
                <w:szCs w:val="20"/>
              </w:rPr>
            </w:pPr>
            <w:r w:rsidRPr="000F7048">
              <w:rPr>
                <w:rFonts w:cs="Calibri Light"/>
                <w:sz w:val="20"/>
                <w:szCs w:val="20"/>
              </w:rPr>
              <w:t xml:space="preserve"> 1/6</w:t>
            </w:r>
          </w:p>
        </w:tc>
        <w:tc>
          <w:tcPr>
            <w:tcW w:w="3638" w:type="dxa"/>
            <w:shd w:val="clear" w:color="auto" w:fill="auto"/>
            <w:vAlign w:val="bottom"/>
          </w:tcPr>
          <w:p w14:paraId="04143BC1" w14:textId="65D3FBFC" w:rsidR="002C5840" w:rsidRPr="00443ACE" w:rsidRDefault="002C5840" w:rsidP="002C5840">
            <w:pPr>
              <w:spacing w:before="0" w:after="0"/>
              <w:rPr>
                <w:rFonts w:cs="Calibri Light"/>
                <w:color w:val="000000"/>
                <w:sz w:val="18"/>
                <w:szCs w:val="18"/>
              </w:rPr>
            </w:pPr>
          </w:p>
        </w:tc>
      </w:tr>
    </w:tbl>
    <w:p w14:paraId="4C98C7B2" w14:textId="00EA9006" w:rsidR="007B1024" w:rsidRDefault="007B1024" w:rsidP="006C5BB0">
      <w:pPr>
        <w:pStyle w:val="Reminders"/>
        <w:tabs>
          <w:tab w:val="num" w:pos="360"/>
        </w:tabs>
        <w:rPr>
          <w:rFonts w:asciiTheme="minorHAnsi" w:hAnsiTheme="minorHAnsi" w:cstheme="minorHAnsi"/>
          <w:i w:val="0"/>
          <w:color w:val="auto"/>
          <w:szCs w:val="22"/>
        </w:rPr>
      </w:pPr>
    </w:p>
    <w:p w14:paraId="2D8BF12A" w14:textId="76E72D14" w:rsidR="00C93E58" w:rsidRDefault="00C93E58" w:rsidP="004041B3">
      <w:pPr>
        <w:pStyle w:val="Caption"/>
        <w:rPr>
          <w:i/>
        </w:rPr>
      </w:pPr>
      <w:r>
        <w:lastRenderedPageBreak/>
        <w:t>Domestic Hot Water System Characteristics - Commercial</w:t>
      </w:r>
    </w:p>
    <w:tbl>
      <w:tblPr>
        <w:tblW w:w="9310" w:type="dxa"/>
        <w:jc w:val="center"/>
        <w:tblLook w:val="04A0" w:firstRow="1" w:lastRow="0" w:firstColumn="1" w:lastColumn="0" w:noHBand="0" w:noVBand="1"/>
      </w:tblPr>
      <w:tblGrid>
        <w:gridCol w:w="4441"/>
        <w:gridCol w:w="1699"/>
        <w:gridCol w:w="1586"/>
        <w:gridCol w:w="1584"/>
      </w:tblGrid>
      <w:tr w:rsidR="00C93E58" w:rsidRPr="0060777B" w14:paraId="553EDBF3" w14:textId="77777777" w:rsidTr="004041B3">
        <w:trPr>
          <w:trHeight w:val="1359"/>
          <w:tblHeader/>
          <w:jc w:val="center"/>
        </w:trPr>
        <w:tc>
          <w:tcPr>
            <w:tcW w:w="444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CAF9E9D"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System Parameters</w:t>
            </w:r>
          </w:p>
        </w:tc>
        <w:tc>
          <w:tcPr>
            <w:tcW w:w="169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864DC61"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Education University - Residential</w:t>
            </w:r>
          </w:p>
        </w:tc>
        <w:tc>
          <w:tcPr>
            <w:tcW w:w="158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0674C15"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Nursing Home</w:t>
            </w:r>
          </w:p>
        </w:tc>
        <w:tc>
          <w:tcPr>
            <w:tcW w:w="158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5DE891C"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Hotel/Motel</w:t>
            </w:r>
          </w:p>
        </w:tc>
      </w:tr>
      <w:tr w:rsidR="00C93E58" w:rsidRPr="0060777B" w14:paraId="075DD120" w14:textId="77777777" w:rsidTr="004041B3">
        <w:trPr>
          <w:trHeight w:val="288"/>
          <w:jc w:val="center"/>
        </w:trPr>
        <w:tc>
          <w:tcPr>
            <w:tcW w:w="4441"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6788DEE1"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Building Characteristics</w:t>
            </w:r>
          </w:p>
        </w:tc>
        <w:tc>
          <w:tcPr>
            <w:tcW w:w="1699"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8DB4345"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c>
          <w:tcPr>
            <w:tcW w:w="1586"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5EB06643"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c>
          <w:tcPr>
            <w:tcW w:w="1584"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304FFB06"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r>
      <w:tr w:rsidR="00C93E58" w:rsidRPr="0060777B" w14:paraId="0DDDA0F8" w14:textId="77777777" w:rsidTr="004041B3">
        <w:trPr>
          <w:trHeight w:val="399"/>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2C7817"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Gross Floor Area (ft2) a</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07DE6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200,000</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CCDCA"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120,000</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9FC88C"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400,000/43,200</w:t>
            </w:r>
          </w:p>
        </w:tc>
      </w:tr>
      <w:tr w:rsidR="00C93E58" w:rsidRPr="0060777B" w14:paraId="779D30CD" w14:textId="77777777" w:rsidTr="004041B3">
        <w:trPr>
          <w:trHeight w:val="288"/>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74F22F"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Number of Floors a</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7BAF5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8</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038F1F"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96A0A1"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12/2</w:t>
            </w:r>
          </w:p>
        </w:tc>
      </w:tr>
      <w:tr w:rsidR="00C93E58" w:rsidRPr="0060777B" w14:paraId="10AA0D1C" w14:textId="77777777" w:rsidTr="004041B3">
        <w:trPr>
          <w:trHeight w:val="288"/>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663363"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Number of Units b</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CE542D"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278</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801BCF"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269</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B7CFC1"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393/42</w:t>
            </w:r>
          </w:p>
        </w:tc>
      </w:tr>
      <w:tr w:rsidR="00C93E58" w:rsidRPr="0060777B" w14:paraId="5AD6ECBA" w14:textId="77777777" w:rsidTr="004041B3">
        <w:trPr>
          <w:trHeight w:val="288"/>
          <w:jc w:val="center"/>
        </w:trPr>
        <w:tc>
          <w:tcPr>
            <w:tcW w:w="4441"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66C5B786"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Required Hot Water System Inputs</w:t>
            </w:r>
          </w:p>
        </w:tc>
        <w:tc>
          <w:tcPr>
            <w:tcW w:w="1699"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4A1E6D0A"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c>
          <w:tcPr>
            <w:tcW w:w="1586"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C49FEEA"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c>
          <w:tcPr>
            <w:tcW w:w="1584"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DC5082A"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r>
      <w:tr w:rsidR="00C93E58" w:rsidRPr="0060777B" w14:paraId="7AF101DC" w14:textId="77777777" w:rsidTr="004041B3">
        <w:trPr>
          <w:trHeight w:val="288"/>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4481A0"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DEER Vintage</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2D99BD"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2004</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6FAD80"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2004</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5FB6B5"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2004</w:t>
            </w:r>
          </w:p>
        </w:tc>
      </w:tr>
      <w:tr w:rsidR="00C93E58" w:rsidRPr="0060777B" w14:paraId="595AB8DB" w14:textId="77777777" w:rsidTr="004041B3">
        <w:trPr>
          <w:trHeight w:val="288"/>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E15966"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Number of Hot Water Loops a</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2F56E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2696C4"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72C0C8"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w:t>
            </w:r>
          </w:p>
        </w:tc>
      </w:tr>
      <w:tr w:rsidR="00C93E58" w:rsidRPr="0060777B" w14:paraId="3E43800C"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72A1AC"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Hot Water Flow Rate (GPM) a</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B0FD7B"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12.34</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F921CA"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10.46</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920E83"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27.75</w:t>
            </w:r>
          </w:p>
        </w:tc>
      </w:tr>
      <w:tr w:rsidR="00C93E58" w:rsidRPr="0060777B" w14:paraId="4ACDBD8C" w14:textId="77777777" w:rsidTr="004041B3">
        <w:trPr>
          <w:trHeight w:val="368"/>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9418A3"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Supply Pipe Length (ft) c</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81FB9B"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 xml:space="preserve">                      2,300 </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9E53B5"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 xml:space="preserve">                      1,380 </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FE1DE5"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 xml:space="preserve">                      4,601 </w:t>
            </w:r>
          </w:p>
        </w:tc>
      </w:tr>
      <w:tr w:rsidR="00C93E58" w:rsidRPr="0060777B" w14:paraId="7E2CB186"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ED7827"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Supply Pipe Water Velocity (FPS) d</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75746"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4</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4BC981"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4</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7E5918"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4</w:t>
            </w:r>
          </w:p>
        </w:tc>
      </w:tr>
      <w:tr w:rsidR="00C93E58" w:rsidRPr="0060777B" w14:paraId="5C1EF048"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A370A5"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Hot Water Supply Pipe d</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25334D"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Steel Pipe</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2DBDC8"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Steel Pipe</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D66CF6"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Steel Pipe</w:t>
            </w:r>
          </w:p>
        </w:tc>
      </w:tr>
      <w:tr w:rsidR="00C93E58" w:rsidRPr="0060777B" w14:paraId="1C0FD7B9"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F4EEF9"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Hot Water Supply Temp d</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8080C1"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135</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D82BBA"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135</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126094"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135</w:t>
            </w:r>
          </w:p>
        </w:tc>
      </w:tr>
      <w:tr w:rsidR="00C93E58" w:rsidRPr="0060777B" w14:paraId="57D5CB56"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D39266"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Return Pipe Water Velocity (FPS) d</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A423C1"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FC6EA4"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2D6704"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w:t>
            </w:r>
          </w:p>
        </w:tc>
      </w:tr>
      <w:tr w:rsidR="00C93E58" w:rsidRPr="0060777B" w14:paraId="5283B51C"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E675A3"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Hot Water Return Pipe</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3BCE6D"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Copper Pipe</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6AE7C4"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Copper Pipe</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4A1E92"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Copper Pipe</w:t>
            </w:r>
          </w:p>
        </w:tc>
      </w:tr>
      <w:tr w:rsidR="00C93E58" w:rsidRPr="0060777B" w14:paraId="4125B20B"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C7C67F"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Hot Water Return Temp d</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16A904"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105</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5EBEBD"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105</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C85305"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105</w:t>
            </w:r>
          </w:p>
        </w:tc>
      </w:tr>
      <w:tr w:rsidR="00C93E58" w:rsidRPr="0060777B" w14:paraId="5B15B9C7"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2C37EC"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Pipe Insulation Type d</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6A3019"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Cellular Glass</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C42758"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Cellular Glass</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2622E7"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Cellular Glass</w:t>
            </w:r>
          </w:p>
        </w:tc>
      </w:tr>
      <w:tr w:rsidR="00C93E58" w:rsidRPr="0060777B" w14:paraId="78E8656F"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84FA88"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Ambient Air Temp</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8C1B2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70</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FBA395"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70</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BF45DF"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70</w:t>
            </w:r>
          </w:p>
        </w:tc>
      </w:tr>
      <w:tr w:rsidR="00C93E58" w:rsidRPr="0060777B" w14:paraId="795A84C4"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68842F9"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Outputs (Calculated)</w:t>
            </w:r>
          </w:p>
        </w:tc>
        <w:tc>
          <w:tcPr>
            <w:tcW w:w="1699"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347DF072"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c>
          <w:tcPr>
            <w:tcW w:w="1586"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5E7E22C6"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c>
          <w:tcPr>
            <w:tcW w:w="1584"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2808EC35" w14:textId="77777777"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r>
      <w:tr w:rsidR="00C93E58" w:rsidRPr="0060777B" w14:paraId="5A9ADC54"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45967"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UA (btu/hr-ft-F) - Supply Pipe e</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06842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0.3468</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09C8A8"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0.3468</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6396B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0.4064</w:t>
            </w:r>
          </w:p>
        </w:tc>
      </w:tr>
      <w:tr w:rsidR="00C93E58" w:rsidRPr="0060777B" w14:paraId="4899A169"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0357B7"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UA (btu/hr-ft-F) - Return Pipe e</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48A8BF"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0.1323</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7E9A1A"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0.1323</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EACBD0"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0.1340</w:t>
            </w:r>
          </w:p>
        </w:tc>
      </w:tr>
      <w:tr w:rsidR="00C93E58" w:rsidRPr="0060777B" w14:paraId="12685F0E" w14:textId="77777777" w:rsidTr="004041B3">
        <w:trPr>
          <w:trHeight w:val="300"/>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D2117C"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Estimated Total Pump Head (ft)</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F5A1C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23.2</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4D3AEC"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41.3</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DA3678"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29.1</w:t>
            </w:r>
          </w:p>
        </w:tc>
      </w:tr>
      <w:tr w:rsidR="00C93E58" w:rsidRPr="0060777B" w14:paraId="549F4037" w14:textId="77777777" w:rsidTr="004041B3">
        <w:trPr>
          <w:trHeight w:val="288"/>
          <w:jc w:val="center"/>
        </w:trPr>
        <w:tc>
          <w:tcPr>
            <w:tcW w:w="4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35E2C"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Pump Size (HP)</w:t>
            </w: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109FC5"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 xml:space="preserve"> 1/6</w:t>
            </w:r>
          </w:p>
        </w:tc>
        <w:tc>
          <w:tcPr>
            <w:tcW w:w="15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CDFD9E"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 xml:space="preserve"> 1/6</w:t>
            </w:r>
          </w:p>
        </w:tc>
        <w:tc>
          <w:tcPr>
            <w:tcW w:w="15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8760F4" w14:textId="77777777" w:rsidR="00C93E58" w:rsidRPr="004041B3" w:rsidRDefault="00C93E58" w:rsidP="004041B3">
            <w:pPr>
              <w:keepNext/>
              <w:keepLines/>
              <w:spacing w:before="0" w:after="0"/>
              <w:jc w:val="center"/>
              <w:rPr>
                <w:rFonts w:cs="Calibri Light"/>
                <w:sz w:val="20"/>
                <w:szCs w:val="20"/>
              </w:rPr>
            </w:pPr>
            <w:r w:rsidRPr="004041B3">
              <w:rPr>
                <w:rFonts w:cs="Calibri Light"/>
                <w:sz w:val="20"/>
                <w:szCs w:val="20"/>
              </w:rPr>
              <w:t xml:space="preserve"> 1/6</w:t>
            </w:r>
          </w:p>
        </w:tc>
      </w:tr>
      <w:tr w:rsidR="00C93E58" w:rsidRPr="0060777B" w14:paraId="56245890" w14:textId="77777777" w:rsidTr="00A15CF2">
        <w:trPr>
          <w:trHeight w:val="288"/>
          <w:jc w:val="center"/>
        </w:trPr>
        <w:tc>
          <w:tcPr>
            <w:tcW w:w="4441" w:type="dxa"/>
            <w:vMerge w:val="restart"/>
            <w:tcBorders>
              <w:top w:val="single" w:sz="4" w:space="0" w:color="auto"/>
              <w:left w:val="single" w:sz="4" w:space="0" w:color="auto"/>
              <w:right w:val="single" w:sz="4" w:space="0" w:color="auto"/>
            </w:tcBorders>
            <w:shd w:val="clear" w:color="auto" w:fill="auto"/>
            <w:noWrap/>
            <w:vAlign w:val="bottom"/>
            <w:hideMark/>
          </w:tcPr>
          <w:p w14:paraId="4D9D1B60" w14:textId="77777777" w:rsidR="00C93E58" w:rsidRPr="009743E7" w:rsidRDefault="00C93E58" w:rsidP="00C93E58">
            <w:pPr>
              <w:keepNext/>
              <w:keepLines/>
              <w:spacing w:before="0" w:after="0"/>
              <w:jc w:val="center"/>
              <w:rPr>
                <w:rFonts w:cs="Calibri Light"/>
                <w:b/>
                <w:bCs/>
                <w:sz w:val="20"/>
                <w:szCs w:val="20"/>
              </w:rPr>
            </w:pPr>
            <w:r w:rsidRPr="004041B3">
              <w:rPr>
                <w:rFonts w:cs="Calibri Light"/>
                <w:b/>
                <w:bCs/>
                <w:sz w:val="20"/>
                <w:szCs w:val="20"/>
              </w:rPr>
              <w:t>Notes</w:t>
            </w:r>
          </w:p>
          <w:p w14:paraId="1F30123C" w14:textId="77777777" w:rsidR="00C93E58" w:rsidRPr="009743E7" w:rsidRDefault="00C93E58" w:rsidP="00C93E58">
            <w:pPr>
              <w:keepNext/>
              <w:keepLines/>
              <w:spacing w:before="0" w:after="0"/>
              <w:jc w:val="center"/>
              <w:rPr>
                <w:rFonts w:cs="Calibri Light"/>
                <w:b/>
                <w:bCs/>
                <w:sz w:val="20"/>
                <w:szCs w:val="20"/>
              </w:rPr>
            </w:pPr>
            <w:r w:rsidRPr="004041B3">
              <w:rPr>
                <w:rFonts w:cs="Calibri Light"/>
                <w:b/>
                <w:bCs/>
                <w:sz w:val="20"/>
                <w:szCs w:val="20"/>
              </w:rPr>
              <w:t> </w:t>
            </w:r>
          </w:p>
          <w:p w14:paraId="123851E7" w14:textId="77777777" w:rsidR="00C93E58" w:rsidRPr="009743E7" w:rsidRDefault="00C93E58" w:rsidP="00C93E58">
            <w:pPr>
              <w:keepNext/>
              <w:keepLines/>
              <w:spacing w:before="0" w:after="0"/>
              <w:jc w:val="center"/>
              <w:rPr>
                <w:rFonts w:cs="Calibri Light"/>
                <w:b/>
                <w:bCs/>
                <w:sz w:val="20"/>
                <w:szCs w:val="20"/>
              </w:rPr>
            </w:pPr>
            <w:r w:rsidRPr="004041B3">
              <w:rPr>
                <w:rFonts w:cs="Calibri Light"/>
                <w:b/>
                <w:bCs/>
                <w:sz w:val="20"/>
                <w:szCs w:val="20"/>
              </w:rPr>
              <w:t> </w:t>
            </w:r>
          </w:p>
          <w:p w14:paraId="7C6F5412" w14:textId="15AAD70C" w:rsidR="00C93E58" w:rsidRPr="004041B3" w:rsidRDefault="00C93E58" w:rsidP="004041B3">
            <w:pPr>
              <w:keepNext/>
              <w:keepLines/>
              <w:spacing w:before="0" w:after="0"/>
              <w:jc w:val="center"/>
              <w:rPr>
                <w:rFonts w:cs="Calibri Light"/>
                <w:b/>
                <w:bCs/>
                <w:sz w:val="20"/>
                <w:szCs w:val="20"/>
              </w:rPr>
            </w:pPr>
            <w:r w:rsidRPr="004041B3">
              <w:rPr>
                <w:rFonts w:cs="Calibri Light"/>
                <w:b/>
                <w:bCs/>
                <w:sz w:val="20"/>
                <w:szCs w:val="20"/>
              </w:rPr>
              <w:t> </w:t>
            </w:r>
          </w:p>
        </w:tc>
        <w:tc>
          <w:tcPr>
            <w:tcW w:w="486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F92B6D" w14:textId="77777777" w:rsidR="00C93E58" w:rsidRPr="004041B3" w:rsidRDefault="00C93E58" w:rsidP="004041B3">
            <w:pPr>
              <w:pStyle w:val="ListParagraph"/>
              <w:keepNext/>
              <w:keepLines/>
              <w:numPr>
                <w:ilvl w:val="0"/>
                <w:numId w:val="21"/>
              </w:numPr>
              <w:spacing w:before="0" w:after="0" w:line="240" w:lineRule="auto"/>
              <w:jc w:val="center"/>
              <w:rPr>
                <w:rFonts w:cs="Calibri Light"/>
                <w:sz w:val="20"/>
                <w:szCs w:val="20"/>
              </w:rPr>
            </w:pPr>
            <w:r w:rsidRPr="004041B3">
              <w:rPr>
                <w:rFonts w:cs="Calibri Light"/>
                <w:sz w:val="20"/>
                <w:szCs w:val="20"/>
              </w:rPr>
              <w:t>eQUEST building energy model as converted from MasControl(2)</w:t>
            </w:r>
          </w:p>
          <w:p w14:paraId="5303DC39" w14:textId="77777777" w:rsidR="00C93E58" w:rsidRPr="004041B3" w:rsidRDefault="00C93E58" w:rsidP="004041B3">
            <w:pPr>
              <w:pStyle w:val="ListParagraph"/>
              <w:keepNext/>
              <w:keepLines/>
              <w:numPr>
                <w:ilvl w:val="0"/>
                <w:numId w:val="21"/>
              </w:numPr>
              <w:spacing w:before="0" w:after="0" w:line="240" w:lineRule="auto"/>
              <w:jc w:val="center"/>
              <w:rPr>
                <w:rFonts w:cs="Calibri Light"/>
                <w:sz w:val="20"/>
                <w:szCs w:val="20"/>
              </w:rPr>
            </w:pPr>
            <w:r w:rsidRPr="004041B3">
              <w:rPr>
                <w:rFonts w:cs="Calibri Light"/>
                <w:sz w:val="20"/>
                <w:szCs w:val="20"/>
              </w:rPr>
              <w:t>DOE Prototypical Commercial Buildings (CBECS)</w:t>
            </w:r>
          </w:p>
        </w:tc>
      </w:tr>
      <w:tr w:rsidR="00C93E58" w:rsidRPr="0060777B" w14:paraId="3819B408" w14:textId="77777777" w:rsidTr="00A15CF2">
        <w:trPr>
          <w:trHeight w:val="288"/>
          <w:jc w:val="center"/>
        </w:trPr>
        <w:tc>
          <w:tcPr>
            <w:tcW w:w="4441" w:type="dxa"/>
            <w:vMerge/>
            <w:tcBorders>
              <w:left w:val="single" w:sz="4" w:space="0" w:color="auto"/>
              <w:right w:val="single" w:sz="4" w:space="0" w:color="auto"/>
            </w:tcBorders>
            <w:shd w:val="clear" w:color="auto" w:fill="auto"/>
            <w:noWrap/>
            <w:vAlign w:val="bottom"/>
            <w:hideMark/>
          </w:tcPr>
          <w:p w14:paraId="4B666EB1" w14:textId="0BFD1CC3" w:rsidR="00C93E58" w:rsidRPr="004041B3" w:rsidRDefault="00C93E58" w:rsidP="004041B3">
            <w:pPr>
              <w:keepNext/>
              <w:keepLines/>
              <w:spacing w:before="0" w:after="0"/>
              <w:jc w:val="center"/>
              <w:rPr>
                <w:rFonts w:cs="Calibri Light"/>
                <w:b/>
                <w:bCs/>
                <w:sz w:val="20"/>
                <w:szCs w:val="20"/>
              </w:rPr>
            </w:pPr>
          </w:p>
        </w:tc>
        <w:tc>
          <w:tcPr>
            <w:tcW w:w="486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B16919" w14:textId="77777777" w:rsidR="00C93E58" w:rsidRPr="004041B3" w:rsidRDefault="00C93E58" w:rsidP="004041B3">
            <w:pPr>
              <w:pStyle w:val="ListParagraph"/>
              <w:keepNext/>
              <w:keepLines/>
              <w:numPr>
                <w:ilvl w:val="0"/>
                <w:numId w:val="21"/>
              </w:numPr>
              <w:spacing w:before="0" w:after="0" w:line="240" w:lineRule="auto"/>
              <w:jc w:val="center"/>
              <w:rPr>
                <w:rFonts w:cs="Calibri Light"/>
                <w:sz w:val="20"/>
                <w:szCs w:val="20"/>
              </w:rPr>
            </w:pPr>
            <w:r w:rsidRPr="004041B3">
              <w:rPr>
                <w:rFonts w:cs="Calibri Light"/>
                <w:sz w:val="20"/>
                <w:szCs w:val="20"/>
              </w:rPr>
              <w:t>CASE Study for multifamily buildings</w:t>
            </w:r>
          </w:p>
        </w:tc>
      </w:tr>
      <w:tr w:rsidR="00C93E58" w:rsidRPr="0060777B" w14:paraId="7138F671" w14:textId="77777777" w:rsidTr="00A15CF2">
        <w:trPr>
          <w:trHeight w:val="288"/>
          <w:jc w:val="center"/>
        </w:trPr>
        <w:tc>
          <w:tcPr>
            <w:tcW w:w="4441" w:type="dxa"/>
            <w:vMerge/>
            <w:tcBorders>
              <w:left w:val="single" w:sz="4" w:space="0" w:color="auto"/>
              <w:right w:val="single" w:sz="4" w:space="0" w:color="auto"/>
            </w:tcBorders>
            <w:shd w:val="clear" w:color="auto" w:fill="auto"/>
            <w:noWrap/>
            <w:vAlign w:val="bottom"/>
            <w:hideMark/>
          </w:tcPr>
          <w:p w14:paraId="4D1C697A" w14:textId="6D23EE06" w:rsidR="00C93E58" w:rsidRPr="004041B3" w:rsidRDefault="00C93E58" w:rsidP="004041B3">
            <w:pPr>
              <w:keepNext/>
              <w:keepLines/>
              <w:spacing w:before="0" w:after="0"/>
              <w:jc w:val="center"/>
              <w:rPr>
                <w:rFonts w:cs="Calibri Light"/>
                <w:b/>
                <w:bCs/>
                <w:sz w:val="20"/>
                <w:szCs w:val="20"/>
              </w:rPr>
            </w:pPr>
          </w:p>
        </w:tc>
        <w:tc>
          <w:tcPr>
            <w:tcW w:w="486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074D9A" w14:textId="77777777" w:rsidR="00C93E58" w:rsidRPr="004041B3" w:rsidRDefault="00C93E58" w:rsidP="004041B3">
            <w:pPr>
              <w:pStyle w:val="ListParagraph"/>
              <w:keepNext/>
              <w:keepLines/>
              <w:numPr>
                <w:ilvl w:val="0"/>
                <w:numId w:val="21"/>
              </w:numPr>
              <w:spacing w:before="0" w:after="0" w:line="240" w:lineRule="auto"/>
              <w:jc w:val="center"/>
              <w:rPr>
                <w:rFonts w:cs="Calibri Light"/>
                <w:sz w:val="20"/>
                <w:szCs w:val="20"/>
              </w:rPr>
            </w:pPr>
            <w:r w:rsidRPr="004041B3">
              <w:rPr>
                <w:rFonts w:cs="Calibri Light"/>
                <w:sz w:val="20"/>
                <w:szCs w:val="20"/>
              </w:rPr>
              <w:t>ASHRAE</w:t>
            </w:r>
          </w:p>
        </w:tc>
      </w:tr>
      <w:tr w:rsidR="00C93E58" w:rsidRPr="0060777B" w14:paraId="55921FC6" w14:textId="77777777" w:rsidTr="00A15CF2">
        <w:trPr>
          <w:trHeight w:val="288"/>
          <w:jc w:val="center"/>
        </w:trPr>
        <w:tc>
          <w:tcPr>
            <w:tcW w:w="4441" w:type="dxa"/>
            <w:vMerge/>
            <w:tcBorders>
              <w:left w:val="single" w:sz="4" w:space="0" w:color="auto"/>
              <w:bottom w:val="single" w:sz="4" w:space="0" w:color="auto"/>
              <w:right w:val="single" w:sz="4" w:space="0" w:color="auto"/>
            </w:tcBorders>
            <w:shd w:val="clear" w:color="auto" w:fill="auto"/>
            <w:noWrap/>
            <w:vAlign w:val="bottom"/>
            <w:hideMark/>
          </w:tcPr>
          <w:p w14:paraId="315343AA" w14:textId="18AC8B82" w:rsidR="00C93E58" w:rsidRPr="004041B3" w:rsidRDefault="00C93E58" w:rsidP="004041B3">
            <w:pPr>
              <w:keepNext/>
              <w:keepLines/>
              <w:spacing w:before="0" w:after="0"/>
              <w:jc w:val="center"/>
              <w:rPr>
                <w:rFonts w:cs="Calibri Light"/>
                <w:b/>
                <w:bCs/>
                <w:sz w:val="20"/>
                <w:szCs w:val="20"/>
              </w:rPr>
            </w:pPr>
          </w:p>
        </w:tc>
        <w:tc>
          <w:tcPr>
            <w:tcW w:w="486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5798E9" w14:textId="77777777" w:rsidR="00C93E58" w:rsidRPr="004041B3" w:rsidRDefault="00C93E58" w:rsidP="004041B3">
            <w:pPr>
              <w:pStyle w:val="ListParagraph"/>
              <w:keepNext/>
              <w:keepLines/>
              <w:numPr>
                <w:ilvl w:val="0"/>
                <w:numId w:val="21"/>
              </w:numPr>
              <w:spacing w:before="0" w:after="0" w:line="240" w:lineRule="auto"/>
              <w:jc w:val="center"/>
              <w:rPr>
                <w:rFonts w:cs="Calibri Light"/>
                <w:sz w:val="20"/>
                <w:szCs w:val="20"/>
              </w:rPr>
            </w:pPr>
            <w:r w:rsidRPr="004041B3">
              <w:rPr>
                <w:rFonts w:cs="Calibri Light"/>
                <w:sz w:val="20"/>
                <w:szCs w:val="20"/>
              </w:rPr>
              <w:t>ASHRAE Handbook - HVAC Systems and Equipment, Chapter 49</w:t>
            </w:r>
          </w:p>
        </w:tc>
      </w:tr>
    </w:tbl>
    <w:p w14:paraId="41A3E276" w14:textId="77777777" w:rsidR="005215AF" w:rsidRDefault="005215AF" w:rsidP="006C5BB0">
      <w:pPr>
        <w:pStyle w:val="Reminders"/>
        <w:tabs>
          <w:tab w:val="num" w:pos="360"/>
        </w:tabs>
        <w:rPr>
          <w:rFonts w:asciiTheme="minorHAnsi" w:hAnsiTheme="minorHAnsi" w:cstheme="minorHAnsi"/>
          <w:i w:val="0"/>
          <w:color w:val="auto"/>
          <w:szCs w:val="22"/>
        </w:rPr>
      </w:pPr>
    </w:p>
    <w:p w14:paraId="1C31CCC9" w14:textId="07FDE7D3" w:rsidR="007B1024" w:rsidRDefault="007B1024" w:rsidP="006C5BB0">
      <w:pPr>
        <w:rPr>
          <w:i/>
        </w:rPr>
      </w:pPr>
      <w:r>
        <w:t xml:space="preserve">A select number of building energy models were simulated to assess annual hot water energy consumption sensitivity to building age and construction, using the 11 DEER building vintages. The objective was to determine </w:t>
      </w:r>
      <w:r w:rsidR="006C5BB0">
        <w:t>if</w:t>
      </w:r>
      <w:r>
        <w:t xml:space="preserve"> a single DEER vintage would be sufficient to describe the energy efficiency measure for a population of existing buildings. The analysis yielded less than a 5% variation in domestic hot water consumption across all DEER vintages, suggesting that the domestic hot water systems were not inherently sensitive to building characteristics described in the vintage models. As a result, DEER 2003 was selected as a single vintage for developing energy savings. </w:t>
      </w:r>
    </w:p>
    <w:p w14:paraId="3D89FBAF" w14:textId="77777777" w:rsidR="007B1024" w:rsidRPr="002912A6" w:rsidRDefault="007B1024" w:rsidP="006C5BB0">
      <w:pPr>
        <w:rPr>
          <w:i/>
        </w:rPr>
      </w:pPr>
      <w:r>
        <w:lastRenderedPageBreak/>
        <w:t xml:space="preserve">A sensitivity analysis was also conducted on the recirculation loop heat loss coefficients. The analysis showed that larger </w:t>
      </w:r>
      <w:r w:rsidRPr="008D23E6">
        <w:t>UA</w:t>
      </w:r>
      <w:r>
        <w:t xml:space="preserve"> values produce higher hot water re</w:t>
      </w:r>
      <w:r w:rsidRPr="002912A6">
        <w:t>circulat</w:t>
      </w:r>
      <w:r>
        <w:t xml:space="preserve">ion loop energy consumption and that those results are materially dependent on piping loop characteristics.   </w:t>
      </w:r>
    </w:p>
    <w:p w14:paraId="7189390B" w14:textId="37901A88" w:rsidR="007B1024" w:rsidRDefault="007B1024" w:rsidP="006C5BB0">
      <w:r>
        <w:t xml:space="preserve">Outputs from the analysis were compared to the input references to corroborate the integrity of these assumptions. Piping heat loss coefficients for example, were developed by adjusting relevant inputs to correspond to parameter values in the ASHRAE tables. The factors were then simulated over a range of hot water flow rates and pipe insulation thermal conductivity values to estimate their mean values and as well as probability distribution </w:t>
      </w:r>
      <w:r w:rsidRPr="003340A3">
        <w:t xml:space="preserve">(illustrated in </w:t>
      </w:r>
      <w:r w:rsidR="002B49AE">
        <w:t>figures below</w:t>
      </w:r>
      <w:r w:rsidRPr="00B64304">
        <w:t>)</w:t>
      </w:r>
      <w:r>
        <w:t xml:space="preserve"> for both the recirculation loop supply and return piping. The mean values were then compared to the ASHRAE tables for an order</w:t>
      </w:r>
      <w:r w:rsidR="00F3325E">
        <w:t>-</w:t>
      </w:r>
      <w:r>
        <w:t>of</w:t>
      </w:r>
      <w:r w:rsidR="00F3325E">
        <w:t>-</w:t>
      </w:r>
      <w:r>
        <w:t xml:space="preserve">magnitude comparison. </w:t>
      </w:r>
    </w:p>
    <w:p w14:paraId="3E0F2423" w14:textId="769DF57F" w:rsidR="00443ACE" w:rsidRPr="00443ACE" w:rsidRDefault="00443ACE" w:rsidP="009743E7">
      <w:pPr>
        <w:pStyle w:val="Caption"/>
      </w:pPr>
      <w:r>
        <w:t xml:space="preserve">Probability for Hot Water </w:t>
      </w:r>
      <w:r w:rsidRPr="00F3325E">
        <w:t>Supply</w:t>
      </w:r>
      <w:r>
        <w:t xml:space="preserve"> Pipe UA Factor</w:t>
      </w:r>
    </w:p>
    <w:p w14:paraId="385E5E59" w14:textId="77777777" w:rsidR="007B1024" w:rsidRDefault="007B1024" w:rsidP="006C5BB0">
      <w:pPr>
        <w:pStyle w:val="Reminders"/>
        <w:tabs>
          <w:tab w:val="num" w:pos="360"/>
        </w:tabs>
        <w:rPr>
          <w:rFonts w:asciiTheme="minorHAnsi" w:hAnsiTheme="minorHAnsi" w:cstheme="minorHAnsi"/>
          <w:b/>
          <w:i w:val="0"/>
          <w:color w:val="auto"/>
          <w:szCs w:val="22"/>
        </w:rPr>
      </w:pPr>
      <w:r>
        <w:rPr>
          <w:rFonts w:asciiTheme="minorHAnsi" w:hAnsiTheme="minorHAnsi" w:cstheme="minorHAnsi"/>
          <w:b/>
          <w:i w:val="0"/>
          <w:noProof/>
          <w:color w:val="auto"/>
          <w:szCs w:val="22"/>
        </w:rPr>
        <w:drawing>
          <wp:inline distT="0" distB="0" distL="0" distR="0" wp14:anchorId="662158A2" wp14:editId="71849ECD">
            <wp:extent cx="3967530" cy="18288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67530" cy="1828800"/>
                    </a:xfrm>
                    <a:prstGeom prst="rect">
                      <a:avLst/>
                    </a:prstGeom>
                    <a:noFill/>
                    <a:ln>
                      <a:noFill/>
                    </a:ln>
                  </pic:spPr>
                </pic:pic>
              </a:graphicData>
            </a:graphic>
          </wp:inline>
        </w:drawing>
      </w:r>
    </w:p>
    <w:p w14:paraId="76959069" w14:textId="24E00C30" w:rsidR="00443ACE" w:rsidRPr="00443ACE" w:rsidRDefault="00443ACE" w:rsidP="009743E7">
      <w:pPr>
        <w:pStyle w:val="Caption"/>
      </w:pPr>
      <w:r w:rsidRPr="00273D2A">
        <w:t xml:space="preserve">Probability for Hot </w:t>
      </w:r>
      <w:r w:rsidRPr="00F3325E">
        <w:t>Water</w:t>
      </w:r>
      <w:r w:rsidRPr="00273D2A">
        <w:t xml:space="preserve"> Return Pipe UA Factor</w:t>
      </w:r>
    </w:p>
    <w:p w14:paraId="2F196E01" w14:textId="77777777" w:rsidR="007B1024" w:rsidRDefault="007B1024" w:rsidP="009743E7">
      <w:pPr>
        <w:pStyle w:val="Caption"/>
      </w:pPr>
      <w:r>
        <w:rPr>
          <w:noProof/>
        </w:rPr>
        <w:drawing>
          <wp:inline distT="0" distB="0" distL="0" distR="0" wp14:anchorId="70B52E08" wp14:editId="0862241B">
            <wp:extent cx="4010732" cy="1828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10732" cy="1828800"/>
                    </a:xfrm>
                    <a:prstGeom prst="rect">
                      <a:avLst/>
                    </a:prstGeom>
                    <a:noFill/>
                    <a:ln>
                      <a:noFill/>
                    </a:ln>
                  </pic:spPr>
                </pic:pic>
              </a:graphicData>
            </a:graphic>
          </wp:inline>
        </w:drawing>
      </w:r>
    </w:p>
    <w:p w14:paraId="2EC1A8A9" w14:textId="5DD87D90" w:rsidR="007B1024" w:rsidRDefault="007B1024" w:rsidP="006C5BB0"/>
    <w:p w14:paraId="5D6D33D3" w14:textId="42405B70" w:rsidR="00003E3B" w:rsidRPr="00273D2A" w:rsidRDefault="00003E3B" w:rsidP="004041B3">
      <w:pPr>
        <w:pStyle w:val="Caption"/>
        <w:rPr>
          <w:i/>
        </w:rPr>
      </w:pPr>
      <w:r w:rsidRPr="00273D2A">
        <w:lastRenderedPageBreak/>
        <w:t xml:space="preserve">Piping Heat Loss Coefficient Tables </w:t>
      </w:r>
      <w:r w:rsidR="00423DCE">
        <w:rPr>
          <w:rStyle w:val="FootnoteReference"/>
        </w:rPr>
        <w:footnoteReference w:id="14"/>
      </w:r>
    </w:p>
    <w:p w14:paraId="567029B2" w14:textId="77777777" w:rsidR="007B1024" w:rsidRDefault="007B1024" w:rsidP="004041B3">
      <w:pPr>
        <w:pStyle w:val="Caption"/>
      </w:pPr>
      <w:r w:rsidRPr="00CC2F63">
        <w:rPr>
          <w:noProof/>
        </w:rPr>
        <w:drawing>
          <wp:inline distT="0" distB="0" distL="0" distR="0" wp14:anchorId="1A6DB21A" wp14:editId="325A5C32">
            <wp:extent cx="5527442" cy="194818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972"/>
                    <a:stretch/>
                  </pic:blipFill>
                  <pic:spPr bwMode="auto">
                    <a:xfrm>
                      <a:off x="0" y="0"/>
                      <a:ext cx="5527442" cy="1948180"/>
                    </a:xfrm>
                    <a:prstGeom prst="rect">
                      <a:avLst/>
                    </a:prstGeom>
                    <a:noFill/>
                    <a:ln>
                      <a:noFill/>
                    </a:ln>
                    <a:extLst>
                      <a:ext uri="{53640926-AAD7-44D8-BBD7-CCE9431645EC}">
                        <a14:shadowObscured xmlns:a14="http://schemas.microsoft.com/office/drawing/2010/main"/>
                      </a:ext>
                    </a:extLst>
                  </pic:spPr>
                </pic:pic>
              </a:graphicData>
            </a:graphic>
          </wp:inline>
        </w:drawing>
      </w:r>
    </w:p>
    <w:p w14:paraId="1FB756B0" w14:textId="77777777" w:rsidR="00423DCE" w:rsidRDefault="00423DCE" w:rsidP="00003E3B"/>
    <w:p w14:paraId="6480E68B" w14:textId="1DF2B9BA" w:rsidR="007B1024" w:rsidRDefault="007B1024" w:rsidP="00003E3B">
      <w:pPr>
        <w:rPr>
          <w:i/>
        </w:rPr>
      </w:pPr>
      <w:r>
        <w:t>A limited number of building energy models were then simulated to derive preliminary estimates of energy savings. These estimates were compared with the CASE study</w:t>
      </w:r>
      <w:r w:rsidR="00A47D17">
        <w:rPr>
          <w:rStyle w:val="FootnoteReference"/>
          <w:rFonts w:asciiTheme="minorHAnsi" w:hAnsiTheme="minorHAnsi" w:cstheme="minorHAnsi"/>
          <w:szCs w:val="22"/>
        </w:rPr>
        <w:footnoteReference w:id="15"/>
      </w:r>
      <w:r w:rsidR="00A47D17">
        <w:t xml:space="preserve"> </w:t>
      </w:r>
      <w:r>
        <w:t xml:space="preserve">low- and high-rise multifamily building savings estimates to corroborate the integrity of the building energy models. These initial estimates generated results similar to the low-rise case in </w:t>
      </w:r>
      <w:r w:rsidR="00F3325E">
        <w:t>the figure above</w:t>
      </w:r>
      <w:r>
        <w:t>.</w:t>
      </w:r>
    </w:p>
    <w:p w14:paraId="0ECBECA5" w14:textId="2B3DF49D" w:rsidR="002B49AE" w:rsidRPr="002B49AE" w:rsidRDefault="002B49AE" w:rsidP="009743E7">
      <w:pPr>
        <w:pStyle w:val="Caption"/>
      </w:pPr>
      <w:r>
        <w:t xml:space="preserve">Domestic Hot Water Energy Savings (from CASE Study) </w:t>
      </w:r>
      <w:r>
        <w:rPr>
          <w:rStyle w:val="FootnoteReference"/>
          <w:noProof/>
        </w:rPr>
        <w:footnoteReference w:id="16"/>
      </w:r>
    </w:p>
    <w:tbl>
      <w:tblPr>
        <w:tblW w:w="9072"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592"/>
        <w:gridCol w:w="1080"/>
        <w:gridCol w:w="1080"/>
        <w:gridCol w:w="1080"/>
        <w:gridCol w:w="1080"/>
        <w:gridCol w:w="1080"/>
        <w:gridCol w:w="1080"/>
      </w:tblGrid>
      <w:tr w:rsidR="00423DCE" w:rsidRPr="002005AE" w14:paraId="1E013DB1" w14:textId="5C84A2E6" w:rsidTr="00F3325E">
        <w:trPr>
          <w:cantSplit/>
          <w:trHeight w:val="578"/>
        </w:trPr>
        <w:tc>
          <w:tcPr>
            <w:tcW w:w="2592" w:type="dxa"/>
            <w:vMerge w:val="restart"/>
            <w:shd w:val="clear" w:color="auto" w:fill="F2F2F2" w:themeFill="background1" w:themeFillShade="F2"/>
            <w:vAlign w:val="bottom"/>
          </w:tcPr>
          <w:p w14:paraId="687C423E" w14:textId="0D89F311" w:rsidR="00423DCE" w:rsidRPr="002B49AE" w:rsidRDefault="00423DCE" w:rsidP="002B49AE">
            <w:pPr>
              <w:keepNext/>
              <w:keepLines/>
              <w:spacing w:before="20" w:after="20"/>
              <w:jc w:val="center"/>
              <w:rPr>
                <w:rFonts w:cstheme="minorHAnsi"/>
                <w:b/>
                <w:sz w:val="20"/>
                <w:szCs w:val="20"/>
              </w:rPr>
            </w:pPr>
            <w:r w:rsidRPr="002B49AE">
              <w:rPr>
                <w:rFonts w:cstheme="minorHAnsi"/>
                <w:b/>
                <w:sz w:val="20"/>
                <w:szCs w:val="20"/>
              </w:rPr>
              <w:t>Control Technology</w:t>
            </w:r>
          </w:p>
        </w:tc>
        <w:tc>
          <w:tcPr>
            <w:tcW w:w="5400" w:type="dxa"/>
            <w:gridSpan w:val="5"/>
            <w:shd w:val="clear" w:color="auto" w:fill="F2F2F2" w:themeFill="background1" w:themeFillShade="F2"/>
            <w:vAlign w:val="bottom"/>
          </w:tcPr>
          <w:p w14:paraId="26529C2B" w14:textId="22E794A3" w:rsidR="00423DCE" w:rsidRPr="002B49AE" w:rsidRDefault="00423DCE" w:rsidP="002B49AE">
            <w:pPr>
              <w:keepNext/>
              <w:keepLines/>
              <w:spacing w:before="20" w:after="20"/>
              <w:jc w:val="center"/>
              <w:rPr>
                <w:rFonts w:cstheme="minorHAnsi"/>
                <w:b/>
                <w:sz w:val="20"/>
                <w:szCs w:val="20"/>
              </w:rPr>
            </w:pPr>
            <w:r>
              <w:rPr>
                <w:rFonts w:cstheme="minorHAnsi"/>
                <w:b/>
                <w:sz w:val="20"/>
                <w:szCs w:val="20"/>
              </w:rPr>
              <w:t>Low-Rise</w:t>
            </w:r>
          </w:p>
        </w:tc>
        <w:tc>
          <w:tcPr>
            <w:tcW w:w="1080" w:type="dxa"/>
            <w:shd w:val="clear" w:color="auto" w:fill="F2F2F2" w:themeFill="background1" w:themeFillShade="F2"/>
            <w:vAlign w:val="bottom"/>
          </w:tcPr>
          <w:p w14:paraId="6099018F" w14:textId="3213ACA0" w:rsidR="00423DCE" w:rsidRPr="002B49AE" w:rsidRDefault="00423DCE" w:rsidP="002B49AE">
            <w:pPr>
              <w:keepNext/>
              <w:keepLines/>
              <w:spacing w:before="20" w:after="20"/>
              <w:jc w:val="center"/>
              <w:rPr>
                <w:rFonts w:cstheme="minorHAnsi"/>
                <w:b/>
                <w:sz w:val="20"/>
                <w:szCs w:val="20"/>
              </w:rPr>
            </w:pPr>
            <w:r>
              <w:rPr>
                <w:rFonts w:cstheme="minorHAnsi"/>
                <w:b/>
                <w:sz w:val="20"/>
                <w:szCs w:val="20"/>
              </w:rPr>
              <w:t>High-Rise</w:t>
            </w:r>
          </w:p>
        </w:tc>
      </w:tr>
      <w:tr w:rsidR="00423DCE" w:rsidRPr="002005AE" w14:paraId="5FCC8A9C" w14:textId="68DDB56C" w:rsidTr="00F3325E">
        <w:trPr>
          <w:cantSplit/>
          <w:trHeight w:val="578"/>
        </w:trPr>
        <w:tc>
          <w:tcPr>
            <w:tcW w:w="2592" w:type="dxa"/>
            <w:vMerge/>
            <w:shd w:val="clear" w:color="auto" w:fill="F2F2F2" w:themeFill="background1" w:themeFillShade="F2"/>
            <w:vAlign w:val="bottom"/>
          </w:tcPr>
          <w:p w14:paraId="07F45F16" w14:textId="43401C49" w:rsidR="00423DCE" w:rsidRPr="002B49AE" w:rsidRDefault="00423DCE" w:rsidP="002B49AE">
            <w:pPr>
              <w:keepNext/>
              <w:keepLines/>
              <w:spacing w:before="20" w:after="20"/>
              <w:jc w:val="center"/>
              <w:rPr>
                <w:rFonts w:cstheme="minorHAnsi"/>
                <w:b/>
                <w:sz w:val="20"/>
                <w:szCs w:val="20"/>
              </w:rPr>
            </w:pPr>
          </w:p>
        </w:tc>
        <w:tc>
          <w:tcPr>
            <w:tcW w:w="1080" w:type="dxa"/>
            <w:shd w:val="clear" w:color="auto" w:fill="F2F2F2" w:themeFill="background1" w:themeFillShade="F2"/>
            <w:vAlign w:val="bottom"/>
          </w:tcPr>
          <w:p w14:paraId="44F0858A" w14:textId="5BDA45CE" w:rsidR="00423DCE" w:rsidRPr="002B49AE" w:rsidRDefault="00423DCE" w:rsidP="002B49AE">
            <w:pPr>
              <w:keepNext/>
              <w:keepLines/>
              <w:spacing w:before="20" w:after="20"/>
              <w:jc w:val="center"/>
              <w:rPr>
                <w:rFonts w:cstheme="minorHAnsi"/>
                <w:b/>
                <w:sz w:val="20"/>
                <w:szCs w:val="20"/>
              </w:rPr>
            </w:pPr>
            <w:r w:rsidRPr="002B49AE">
              <w:rPr>
                <w:rFonts w:cstheme="minorHAnsi"/>
                <w:b/>
                <w:sz w:val="20"/>
                <w:szCs w:val="20"/>
              </w:rPr>
              <w:t>Electricity Savings (kWh)</w:t>
            </w:r>
          </w:p>
        </w:tc>
        <w:tc>
          <w:tcPr>
            <w:tcW w:w="1080" w:type="dxa"/>
            <w:shd w:val="clear" w:color="auto" w:fill="F2F2F2" w:themeFill="background1" w:themeFillShade="F2"/>
            <w:vAlign w:val="bottom"/>
          </w:tcPr>
          <w:p w14:paraId="5A3FE1F6" w14:textId="3C36CCB3" w:rsidR="00423DCE" w:rsidRPr="002B49AE" w:rsidRDefault="00423DCE" w:rsidP="002B49AE">
            <w:pPr>
              <w:keepNext/>
              <w:keepLines/>
              <w:spacing w:before="20" w:after="20"/>
              <w:jc w:val="center"/>
              <w:rPr>
                <w:rFonts w:cstheme="minorHAnsi"/>
                <w:b/>
                <w:sz w:val="20"/>
                <w:szCs w:val="20"/>
              </w:rPr>
            </w:pPr>
            <w:r w:rsidRPr="002B49AE">
              <w:rPr>
                <w:rFonts w:cstheme="minorHAnsi"/>
                <w:b/>
                <w:sz w:val="20"/>
                <w:szCs w:val="20"/>
              </w:rPr>
              <w:t>Demand Reduction (kW)</w:t>
            </w:r>
          </w:p>
        </w:tc>
        <w:tc>
          <w:tcPr>
            <w:tcW w:w="1080" w:type="dxa"/>
            <w:shd w:val="clear" w:color="auto" w:fill="F2F2F2" w:themeFill="background1" w:themeFillShade="F2"/>
          </w:tcPr>
          <w:p w14:paraId="42D8C33E" w14:textId="592E01D5" w:rsidR="00423DCE" w:rsidRPr="002B49AE" w:rsidRDefault="00423DCE" w:rsidP="002B49AE">
            <w:pPr>
              <w:keepNext/>
              <w:keepLines/>
              <w:spacing w:before="20" w:after="20"/>
              <w:jc w:val="center"/>
              <w:rPr>
                <w:rFonts w:cstheme="minorHAnsi"/>
                <w:b/>
                <w:sz w:val="20"/>
                <w:szCs w:val="20"/>
              </w:rPr>
            </w:pPr>
            <w:r w:rsidRPr="002B49AE">
              <w:rPr>
                <w:rFonts w:cstheme="minorHAnsi"/>
                <w:b/>
                <w:sz w:val="20"/>
                <w:szCs w:val="20"/>
              </w:rPr>
              <w:t>Natural Gas Savings (Therms)</w:t>
            </w:r>
          </w:p>
        </w:tc>
        <w:tc>
          <w:tcPr>
            <w:tcW w:w="1080" w:type="dxa"/>
            <w:shd w:val="clear" w:color="auto" w:fill="F2F2F2" w:themeFill="background1" w:themeFillShade="F2"/>
            <w:vAlign w:val="bottom"/>
          </w:tcPr>
          <w:p w14:paraId="1C85CE59" w14:textId="67398C22" w:rsidR="00423DCE" w:rsidRPr="002B49AE" w:rsidRDefault="00423DCE" w:rsidP="002B49AE">
            <w:pPr>
              <w:keepNext/>
              <w:keepLines/>
              <w:spacing w:before="20" w:after="20"/>
              <w:jc w:val="center"/>
              <w:rPr>
                <w:rFonts w:cstheme="minorHAnsi"/>
                <w:b/>
                <w:sz w:val="20"/>
                <w:szCs w:val="20"/>
              </w:rPr>
            </w:pPr>
            <w:r w:rsidRPr="002B49AE">
              <w:rPr>
                <w:rFonts w:cstheme="minorHAnsi"/>
                <w:b/>
                <w:sz w:val="20"/>
                <w:szCs w:val="20"/>
              </w:rPr>
              <w:t>Electricity Savings (kWh)</w:t>
            </w:r>
          </w:p>
        </w:tc>
        <w:tc>
          <w:tcPr>
            <w:tcW w:w="1080" w:type="dxa"/>
            <w:shd w:val="clear" w:color="auto" w:fill="F2F2F2" w:themeFill="background1" w:themeFillShade="F2"/>
            <w:vAlign w:val="bottom"/>
          </w:tcPr>
          <w:p w14:paraId="5449E534" w14:textId="25C1D8FB" w:rsidR="00423DCE" w:rsidRPr="002B49AE" w:rsidRDefault="00423DCE" w:rsidP="002B49AE">
            <w:pPr>
              <w:keepNext/>
              <w:keepLines/>
              <w:spacing w:before="20" w:after="20"/>
              <w:jc w:val="center"/>
              <w:rPr>
                <w:rFonts w:cstheme="minorHAnsi"/>
                <w:b/>
                <w:sz w:val="20"/>
                <w:szCs w:val="20"/>
              </w:rPr>
            </w:pPr>
            <w:r w:rsidRPr="002B49AE">
              <w:rPr>
                <w:rFonts w:cstheme="minorHAnsi"/>
                <w:b/>
                <w:sz w:val="20"/>
                <w:szCs w:val="20"/>
              </w:rPr>
              <w:t>Demand Reduction (kW)</w:t>
            </w:r>
          </w:p>
        </w:tc>
        <w:tc>
          <w:tcPr>
            <w:tcW w:w="1080" w:type="dxa"/>
            <w:shd w:val="clear" w:color="auto" w:fill="F2F2F2" w:themeFill="background1" w:themeFillShade="F2"/>
          </w:tcPr>
          <w:p w14:paraId="31EAD090" w14:textId="18ADECDA" w:rsidR="00423DCE" w:rsidRPr="002B49AE" w:rsidRDefault="00423DCE" w:rsidP="002B49AE">
            <w:pPr>
              <w:keepNext/>
              <w:keepLines/>
              <w:spacing w:before="20" w:after="20"/>
              <w:jc w:val="center"/>
              <w:rPr>
                <w:rFonts w:cstheme="minorHAnsi"/>
                <w:b/>
                <w:sz w:val="20"/>
                <w:szCs w:val="20"/>
              </w:rPr>
            </w:pPr>
            <w:r w:rsidRPr="002B49AE">
              <w:rPr>
                <w:rFonts w:cstheme="minorHAnsi"/>
                <w:b/>
                <w:sz w:val="20"/>
                <w:szCs w:val="20"/>
              </w:rPr>
              <w:t>Natural Gas Savings (Therms)</w:t>
            </w:r>
          </w:p>
        </w:tc>
      </w:tr>
      <w:tr w:rsidR="00423DCE" w:rsidRPr="002005AE" w14:paraId="6FFC0C4B" w14:textId="184FE188" w:rsidTr="00F3325E">
        <w:trPr>
          <w:cantSplit/>
          <w:trHeight w:val="20"/>
        </w:trPr>
        <w:tc>
          <w:tcPr>
            <w:tcW w:w="25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44EE6042" w14:textId="2E6E30A9" w:rsidR="00423DCE" w:rsidRPr="002B49AE" w:rsidRDefault="00423DCE" w:rsidP="00423DCE">
            <w:pPr>
              <w:keepNext/>
              <w:keepLines/>
              <w:spacing w:before="20" w:after="20"/>
              <w:ind w:left="154"/>
              <w:rPr>
                <w:sz w:val="20"/>
                <w:szCs w:val="20"/>
              </w:rPr>
            </w:pPr>
            <w:r>
              <w:rPr>
                <w:sz w:val="20"/>
                <w:szCs w:val="20"/>
              </w:rPr>
              <w:t>Temperature Modulation</w:t>
            </w:r>
          </w:p>
        </w:tc>
        <w:tc>
          <w:tcPr>
            <w:tcW w:w="10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07EF98CD" w14:textId="553BD5BC"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0DC59544" w14:textId="092402C7"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3C7512A8" w14:textId="2561E2AE" w:rsidR="00423DCE" w:rsidRPr="00423DCE" w:rsidRDefault="00423DCE" w:rsidP="00423DCE">
            <w:pPr>
              <w:keepNext/>
              <w:keepLines/>
              <w:spacing w:before="20" w:after="20"/>
              <w:jc w:val="right"/>
              <w:rPr>
                <w:sz w:val="20"/>
                <w:szCs w:val="20"/>
              </w:rPr>
            </w:pPr>
            <w:r w:rsidRPr="00423DCE">
              <w:rPr>
                <w:sz w:val="20"/>
                <w:szCs w:val="20"/>
              </w:rPr>
              <w:t>405</w:t>
            </w:r>
          </w:p>
        </w:tc>
        <w:tc>
          <w:tcPr>
            <w:tcW w:w="1080" w:type="dxa"/>
            <w:vAlign w:val="center"/>
          </w:tcPr>
          <w:p w14:paraId="4B8BE13E" w14:textId="56BE03D5"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504CE243" w14:textId="52A5F0E6"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3090FCE8" w14:textId="31777778" w:rsidR="00423DCE" w:rsidRPr="00423DCE" w:rsidRDefault="00423DCE" w:rsidP="00423DCE">
            <w:pPr>
              <w:keepNext/>
              <w:keepLines/>
              <w:spacing w:before="20" w:after="20"/>
              <w:jc w:val="right"/>
              <w:rPr>
                <w:sz w:val="20"/>
                <w:szCs w:val="20"/>
              </w:rPr>
            </w:pPr>
            <w:r w:rsidRPr="00423DCE">
              <w:rPr>
                <w:sz w:val="20"/>
                <w:szCs w:val="20"/>
              </w:rPr>
              <w:t>535</w:t>
            </w:r>
          </w:p>
        </w:tc>
      </w:tr>
      <w:tr w:rsidR="00423DCE" w:rsidRPr="002005AE" w14:paraId="63E06133" w14:textId="45431E95" w:rsidTr="00F3325E">
        <w:trPr>
          <w:cantSplit/>
          <w:trHeight w:val="20"/>
        </w:trPr>
        <w:tc>
          <w:tcPr>
            <w:tcW w:w="25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3709B19" w14:textId="0491AB0D" w:rsidR="00423DCE" w:rsidRPr="002B49AE" w:rsidRDefault="00423DCE" w:rsidP="00423DCE">
            <w:pPr>
              <w:keepNext/>
              <w:keepLines/>
              <w:spacing w:before="20" w:after="20"/>
              <w:ind w:left="154"/>
              <w:rPr>
                <w:sz w:val="20"/>
                <w:szCs w:val="20"/>
              </w:rPr>
            </w:pPr>
            <w:r>
              <w:rPr>
                <w:sz w:val="20"/>
                <w:szCs w:val="20"/>
              </w:rPr>
              <w:t>Continuous Monitoring</w:t>
            </w:r>
          </w:p>
        </w:tc>
        <w:tc>
          <w:tcPr>
            <w:tcW w:w="10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01FADFAF" w14:textId="73837691"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1063E8A3" w14:textId="458B5054"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700678F8" w14:textId="7D99B040" w:rsidR="00423DCE" w:rsidRPr="00423DCE" w:rsidRDefault="00423DCE" w:rsidP="00423DCE">
            <w:pPr>
              <w:keepNext/>
              <w:keepLines/>
              <w:spacing w:before="20" w:after="20"/>
              <w:jc w:val="right"/>
              <w:rPr>
                <w:sz w:val="20"/>
                <w:szCs w:val="20"/>
              </w:rPr>
            </w:pPr>
            <w:r w:rsidRPr="00423DCE">
              <w:rPr>
                <w:sz w:val="20"/>
                <w:szCs w:val="20"/>
              </w:rPr>
              <w:t>461</w:t>
            </w:r>
          </w:p>
        </w:tc>
        <w:tc>
          <w:tcPr>
            <w:tcW w:w="1080" w:type="dxa"/>
            <w:vAlign w:val="center"/>
          </w:tcPr>
          <w:p w14:paraId="3AF90CDA" w14:textId="43177E52"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7F6ECF0C" w14:textId="7755F6AA"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590A06FA" w14:textId="77A7C0A2" w:rsidR="00423DCE" w:rsidRPr="00423DCE" w:rsidRDefault="00423DCE" w:rsidP="00423DCE">
            <w:pPr>
              <w:keepNext/>
              <w:keepLines/>
              <w:spacing w:before="20" w:after="20"/>
              <w:jc w:val="right"/>
              <w:rPr>
                <w:sz w:val="20"/>
                <w:szCs w:val="20"/>
              </w:rPr>
            </w:pPr>
            <w:r w:rsidRPr="00423DCE">
              <w:rPr>
                <w:sz w:val="20"/>
                <w:szCs w:val="20"/>
              </w:rPr>
              <w:t>771</w:t>
            </w:r>
          </w:p>
        </w:tc>
      </w:tr>
      <w:tr w:rsidR="00423DCE" w:rsidRPr="002005AE" w14:paraId="46A7C706" w14:textId="77777777" w:rsidTr="00F3325E">
        <w:trPr>
          <w:cantSplit/>
          <w:trHeight w:val="20"/>
        </w:trPr>
        <w:tc>
          <w:tcPr>
            <w:tcW w:w="25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6EA64ADE" w14:textId="7B9B7812" w:rsidR="00423DCE" w:rsidRDefault="00423DCE" w:rsidP="00423DCE">
            <w:pPr>
              <w:keepNext/>
              <w:keepLines/>
              <w:spacing w:before="20" w:after="20"/>
              <w:ind w:left="154"/>
              <w:rPr>
                <w:sz w:val="20"/>
                <w:szCs w:val="20"/>
              </w:rPr>
            </w:pPr>
            <w:r>
              <w:rPr>
                <w:sz w:val="20"/>
                <w:szCs w:val="20"/>
              </w:rPr>
              <w:t>Temperature Modulation + Continuous Monitoring</w:t>
            </w:r>
          </w:p>
        </w:tc>
        <w:tc>
          <w:tcPr>
            <w:tcW w:w="10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7C9319F6" w14:textId="1568A0C0"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3257E130" w14:textId="0C957DA9"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7066BAC9" w14:textId="66ED539F" w:rsidR="00423DCE" w:rsidRPr="00423DCE" w:rsidRDefault="00423DCE" w:rsidP="00423DCE">
            <w:pPr>
              <w:keepNext/>
              <w:keepLines/>
              <w:spacing w:before="20" w:after="20"/>
              <w:jc w:val="right"/>
              <w:rPr>
                <w:sz w:val="20"/>
                <w:szCs w:val="20"/>
              </w:rPr>
            </w:pPr>
            <w:r w:rsidRPr="00423DCE">
              <w:rPr>
                <w:sz w:val="20"/>
                <w:szCs w:val="20"/>
              </w:rPr>
              <w:t>785</w:t>
            </w:r>
          </w:p>
        </w:tc>
        <w:tc>
          <w:tcPr>
            <w:tcW w:w="1080" w:type="dxa"/>
            <w:vAlign w:val="center"/>
          </w:tcPr>
          <w:p w14:paraId="3018B4BF" w14:textId="37E4C0A9"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3EDAC373" w14:textId="5DBFD242" w:rsidR="00423DCE" w:rsidRPr="00423DCE" w:rsidRDefault="00423DCE" w:rsidP="00423DCE">
            <w:pPr>
              <w:keepNext/>
              <w:keepLines/>
              <w:spacing w:before="20" w:after="20"/>
              <w:jc w:val="right"/>
              <w:rPr>
                <w:sz w:val="20"/>
                <w:szCs w:val="20"/>
              </w:rPr>
            </w:pPr>
            <w:r w:rsidRPr="00423DCE">
              <w:rPr>
                <w:sz w:val="20"/>
                <w:szCs w:val="20"/>
              </w:rPr>
              <w:t>0</w:t>
            </w:r>
          </w:p>
        </w:tc>
        <w:tc>
          <w:tcPr>
            <w:tcW w:w="1080" w:type="dxa"/>
            <w:vAlign w:val="center"/>
          </w:tcPr>
          <w:p w14:paraId="6988F83A" w14:textId="733F11DF" w:rsidR="00423DCE" w:rsidRPr="00423DCE" w:rsidRDefault="00423DCE" w:rsidP="00423DCE">
            <w:pPr>
              <w:keepNext/>
              <w:keepLines/>
              <w:spacing w:before="20" w:after="20"/>
              <w:jc w:val="right"/>
              <w:rPr>
                <w:sz w:val="20"/>
                <w:szCs w:val="20"/>
              </w:rPr>
            </w:pPr>
            <w:r w:rsidRPr="00423DCE">
              <w:rPr>
                <w:sz w:val="20"/>
                <w:szCs w:val="20"/>
              </w:rPr>
              <w:t>1,199</w:t>
            </w:r>
          </w:p>
        </w:tc>
      </w:tr>
      <w:tr w:rsidR="00423DCE" w:rsidRPr="002005AE" w14:paraId="205B7E76" w14:textId="77777777" w:rsidTr="00F3325E">
        <w:trPr>
          <w:cantSplit/>
          <w:trHeight w:val="20"/>
        </w:trPr>
        <w:tc>
          <w:tcPr>
            <w:tcW w:w="25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8C9E35A" w14:textId="264C3938" w:rsidR="002B49AE" w:rsidRDefault="002B49AE" w:rsidP="002B49AE">
            <w:pPr>
              <w:keepNext/>
              <w:keepLines/>
              <w:spacing w:before="20" w:after="20"/>
              <w:ind w:left="154"/>
              <w:rPr>
                <w:sz w:val="20"/>
                <w:szCs w:val="20"/>
              </w:rPr>
            </w:pPr>
            <w:r>
              <w:rPr>
                <w:sz w:val="20"/>
                <w:szCs w:val="20"/>
              </w:rPr>
              <w:t>Demand Control</w:t>
            </w:r>
          </w:p>
        </w:tc>
        <w:tc>
          <w:tcPr>
            <w:tcW w:w="10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423BE1A" w14:textId="25A013CA" w:rsidR="002B49AE" w:rsidRPr="00423DCE" w:rsidRDefault="002B49AE" w:rsidP="00423DCE">
            <w:pPr>
              <w:keepNext/>
              <w:keepLines/>
              <w:spacing w:before="20" w:after="20"/>
              <w:jc w:val="right"/>
              <w:rPr>
                <w:sz w:val="20"/>
                <w:szCs w:val="20"/>
              </w:rPr>
            </w:pPr>
            <w:r w:rsidRPr="00423DCE">
              <w:rPr>
                <w:sz w:val="20"/>
                <w:szCs w:val="20"/>
              </w:rPr>
              <w:t>1,228</w:t>
            </w:r>
          </w:p>
        </w:tc>
        <w:tc>
          <w:tcPr>
            <w:tcW w:w="1080" w:type="dxa"/>
            <w:vAlign w:val="center"/>
          </w:tcPr>
          <w:p w14:paraId="5A40AD15" w14:textId="12704464" w:rsidR="002B49AE" w:rsidRPr="00423DCE" w:rsidRDefault="00423DCE" w:rsidP="00423DCE">
            <w:pPr>
              <w:keepNext/>
              <w:keepLines/>
              <w:spacing w:before="20" w:after="20"/>
              <w:jc w:val="right"/>
              <w:rPr>
                <w:sz w:val="20"/>
                <w:szCs w:val="20"/>
              </w:rPr>
            </w:pPr>
            <w:r w:rsidRPr="00423DCE">
              <w:rPr>
                <w:sz w:val="20"/>
                <w:szCs w:val="20"/>
              </w:rPr>
              <w:t>0.104</w:t>
            </w:r>
          </w:p>
        </w:tc>
        <w:tc>
          <w:tcPr>
            <w:tcW w:w="1080" w:type="dxa"/>
            <w:vAlign w:val="center"/>
          </w:tcPr>
          <w:p w14:paraId="7E3CDCF6" w14:textId="38653125" w:rsidR="002B49AE" w:rsidRPr="00423DCE" w:rsidRDefault="002B49AE" w:rsidP="00423DCE">
            <w:pPr>
              <w:keepNext/>
              <w:keepLines/>
              <w:spacing w:before="20" w:after="20"/>
              <w:jc w:val="right"/>
              <w:rPr>
                <w:sz w:val="20"/>
                <w:szCs w:val="20"/>
              </w:rPr>
            </w:pPr>
            <w:r w:rsidRPr="00423DCE">
              <w:rPr>
                <w:sz w:val="20"/>
                <w:szCs w:val="20"/>
              </w:rPr>
              <w:t>1,014</w:t>
            </w:r>
          </w:p>
        </w:tc>
        <w:tc>
          <w:tcPr>
            <w:tcW w:w="1080" w:type="dxa"/>
            <w:vAlign w:val="center"/>
          </w:tcPr>
          <w:p w14:paraId="7FF5BD81" w14:textId="453C8F3C" w:rsidR="002B49AE" w:rsidRPr="00423DCE" w:rsidRDefault="00423DCE" w:rsidP="00423DCE">
            <w:pPr>
              <w:keepNext/>
              <w:keepLines/>
              <w:spacing w:before="20" w:after="20"/>
              <w:jc w:val="right"/>
              <w:rPr>
                <w:sz w:val="20"/>
                <w:szCs w:val="20"/>
              </w:rPr>
            </w:pPr>
            <w:r w:rsidRPr="00423DCE">
              <w:rPr>
                <w:sz w:val="20"/>
                <w:szCs w:val="20"/>
              </w:rPr>
              <w:t>2,035</w:t>
            </w:r>
          </w:p>
        </w:tc>
        <w:tc>
          <w:tcPr>
            <w:tcW w:w="1080" w:type="dxa"/>
            <w:vAlign w:val="center"/>
          </w:tcPr>
          <w:p w14:paraId="1173ECAF" w14:textId="2B3AF0D8" w:rsidR="002B49AE" w:rsidRPr="00423DCE" w:rsidRDefault="00423DCE" w:rsidP="00423DCE">
            <w:pPr>
              <w:keepNext/>
              <w:keepLines/>
              <w:spacing w:before="20" w:after="20"/>
              <w:jc w:val="right"/>
              <w:rPr>
                <w:sz w:val="20"/>
                <w:szCs w:val="20"/>
              </w:rPr>
            </w:pPr>
            <w:r w:rsidRPr="00423DCE">
              <w:rPr>
                <w:sz w:val="20"/>
                <w:szCs w:val="20"/>
              </w:rPr>
              <w:t>0.233</w:t>
            </w:r>
          </w:p>
        </w:tc>
        <w:tc>
          <w:tcPr>
            <w:tcW w:w="1080" w:type="dxa"/>
            <w:vAlign w:val="center"/>
          </w:tcPr>
          <w:p w14:paraId="274BC1EE" w14:textId="559D7AFE" w:rsidR="002B49AE" w:rsidRPr="00423DCE" w:rsidRDefault="00423DCE" w:rsidP="00423DCE">
            <w:pPr>
              <w:keepNext/>
              <w:keepLines/>
              <w:spacing w:before="20" w:after="20"/>
              <w:jc w:val="right"/>
              <w:rPr>
                <w:sz w:val="20"/>
                <w:szCs w:val="20"/>
              </w:rPr>
            </w:pPr>
            <w:r w:rsidRPr="00423DCE">
              <w:rPr>
                <w:sz w:val="20"/>
                <w:szCs w:val="20"/>
              </w:rPr>
              <w:t>1,255</w:t>
            </w:r>
          </w:p>
        </w:tc>
      </w:tr>
    </w:tbl>
    <w:p w14:paraId="3771ECB5" w14:textId="77777777" w:rsidR="003340A3" w:rsidRPr="00303E38" w:rsidRDefault="003340A3" w:rsidP="007B1024"/>
    <w:p w14:paraId="1580A24C" w14:textId="3C2AE181" w:rsidR="007B1024" w:rsidRPr="003340A3" w:rsidRDefault="007B1024" w:rsidP="00003E3B">
      <w:pPr>
        <w:rPr>
          <w:i/>
        </w:rPr>
      </w:pPr>
      <w:r w:rsidRPr="003340A3">
        <w:t xml:space="preserve">After the building model integrity had been validated, the engineering calculations were adjusted by resetting the input factors back to the conditions specific for this analysis. The purpose of this analysis </w:t>
      </w:r>
      <w:r w:rsidRPr="003340A3">
        <w:lastRenderedPageBreak/>
        <w:t xml:space="preserve">was to confirm that the engineering assumptions and calculations were reasonable when compared to industry standards and empirical studies. </w:t>
      </w:r>
    </w:p>
    <w:p w14:paraId="3DED8980" w14:textId="77777777" w:rsidR="007B1024" w:rsidRDefault="007B1024" w:rsidP="00003E3B">
      <w:pPr>
        <w:pStyle w:val="eTRMHeading4"/>
        <w:rPr>
          <w:i/>
        </w:rPr>
      </w:pPr>
      <w:r w:rsidRPr="006D026B">
        <w:t>Develop Energy Savings and Demand Reduction Estimates</w:t>
      </w:r>
    </w:p>
    <w:p w14:paraId="5CC0CE2A" w14:textId="6960B585" w:rsidR="007B1024" w:rsidRDefault="007B1024" w:rsidP="00003E3B">
      <w:pPr>
        <w:rPr>
          <w:i/>
        </w:rPr>
      </w:pPr>
      <w:r>
        <w:t xml:space="preserve">The building energy models described above were simulated in each of the 16 California Building Climate Zone Areas using representative location weather files. They were simulated for both the base case and measure case scenarios using eQUEST. The base case was developed by modifying the baseline case domestic hot water circulation loop properties and pump characteristics in eQUEST. They were then further modified to represent a VFD variation of the measure case described preceding sections. The recirculation loop hot water flow and minimum flow ratios were </w:t>
      </w:r>
      <w:r w:rsidR="003340A3">
        <w:t>adjusted,</w:t>
      </w:r>
      <w:r>
        <w:t xml:space="preserve"> and the recirculation loop pump was changed from a standard motor class with one speed pump capacity control to a premium pump operating with a variable speed drive. The base case and measure case models were then simulated to produce estimates of energy consumption.</w:t>
      </w:r>
      <w:r w:rsidR="00826AF0">
        <w:rPr>
          <w:rStyle w:val="FootnoteReference"/>
        </w:rPr>
        <w:footnoteReference w:id="17"/>
      </w:r>
      <w:r>
        <w:t xml:space="preserve"> Energy savings were then calculated as the difference in domestic hot water and pump energy consumption between </w:t>
      </w:r>
      <w:r w:rsidR="003340A3">
        <w:t>the base case and measure case</w:t>
      </w:r>
      <w:r>
        <w:t xml:space="preserve">. </w:t>
      </w:r>
    </w:p>
    <w:p w14:paraId="6BB209DB" w14:textId="54DACA0D" w:rsidR="007B1024" w:rsidRPr="003340A3" w:rsidRDefault="007B1024" w:rsidP="00003E3B">
      <w:r>
        <w:t xml:space="preserve">Simulated </w:t>
      </w:r>
      <w:r w:rsidRPr="003340A3">
        <w:t xml:space="preserve">outputs were processed to derive annual natural gas and electricity savings for whole-building, domestic hot water and pump end uses. </w:t>
      </w:r>
      <w:r w:rsidR="002B49AE">
        <w:t xml:space="preserve">The figure below </w:t>
      </w:r>
      <w:r w:rsidRPr="003340A3">
        <w:t xml:space="preserve">illustrates the aggregate domestic hot water energy consumption for both the base case and efficiency measure case, for each of the 16 climate areas. </w:t>
      </w:r>
    </w:p>
    <w:p w14:paraId="321C42E7" w14:textId="4BEBDAF4" w:rsidR="00003E3B" w:rsidRDefault="00003E3B" w:rsidP="009743E7">
      <w:pPr>
        <w:pStyle w:val="Caption"/>
      </w:pPr>
      <w:r w:rsidRPr="009F6B55">
        <w:t>Baseline and Measure Domestic Hot Water Consumption, by Climate Zone</w:t>
      </w:r>
      <w:r w:rsidR="004E19BD">
        <w:t xml:space="preserve"> </w:t>
      </w:r>
      <w:r w:rsidR="00A56DA1">
        <w:t>- Multifamily</w:t>
      </w:r>
    </w:p>
    <w:p w14:paraId="28310647" w14:textId="013F542A" w:rsidR="007B1024" w:rsidRDefault="007B1024" w:rsidP="00003E3B">
      <w:pPr>
        <w:tabs>
          <w:tab w:val="left" w:pos="1152"/>
        </w:tabs>
      </w:pPr>
      <w:r>
        <w:rPr>
          <w:noProof/>
        </w:rPr>
        <w:drawing>
          <wp:inline distT="0" distB="0" distL="0" distR="0" wp14:anchorId="190804CB" wp14:editId="4710E90E">
            <wp:extent cx="4984474" cy="2852502"/>
            <wp:effectExtent l="0" t="0" r="6985"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91816" cy="2856703"/>
                    </a:xfrm>
                    <a:prstGeom prst="rect">
                      <a:avLst/>
                    </a:prstGeom>
                    <a:noFill/>
                  </pic:spPr>
                </pic:pic>
              </a:graphicData>
            </a:graphic>
          </wp:inline>
        </w:drawing>
      </w:r>
    </w:p>
    <w:p w14:paraId="52A0A448" w14:textId="77777777" w:rsidR="007741B8" w:rsidRDefault="007741B8" w:rsidP="008D23E6">
      <w:pPr>
        <w:rPr>
          <w:b/>
          <w:bCs/>
          <w:sz w:val="20"/>
          <w:szCs w:val="22"/>
        </w:rPr>
      </w:pPr>
    </w:p>
    <w:p w14:paraId="49752BB7" w14:textId="77777777" w:rsidR="007741B8" w:rsidRDefault="007741B8" w:rsidP="008D23E6">
      <w:pPr>
        <w:rPr>
          <w:b/>
          <w:bCs/>
          <w:sz w:val="20"/>
          <w:szCs w:val="22"/>
        </w:rPr>
      </w:pPr>
    </w:p>
    <w:p w14:paraId="35B40E46" w14:textId="77777777" w:rsidR="007741B8" w:rsidRDefault="007741B8" w:rsidP="008D23E6">
      <w:pPr>
        <w:rPr>
          <w:b/>
          <w:bCs/>
          <w:sz w:val="20"/>
          <w:szCs w:val="22"/>
        </w:rPr>
      </w:pPr>
    </w:p>
    <w:p w14:paraId="7B9C0A46" w14:textId="2F1AE446" w:rsidR="008D23E6" w:rsidRPr="004041B3" w:rsidRDefault="00FC484F" w:rsidP="008D23E6">
      <w:pPr>
        <w:rPr>
          <w:b/>
          <w:bCs/>
        </w:rPr>
      </w:pPr>
      <w:r w:rsidRPr="004041B3">
        <w:rPr>
          <w:b/>
          <w:bCs/>
          <w:sz w:val="20"/>
          <w:szCs w:val="22"/>
        </w:rPr>
        <w:lastRenderedPageBreak/>
        <w:t>Baseline and Measure Domestic Hot Water Consumption, by Climate Zone - Commercial</w:t>
      </w:r>
    </w:p>
    <w:p w14:paraId="337BF188" w14:textId="6E4EACBA" w:rsidR="00A56DA1" w:rsidRDefault="007741B8" w:rsidP="008D23E6">
      <w:r w:rsidRPr="007741B8">
        <w:rPr>
          <w:rFonts w:ascii="Calibri" w:eastAsia="Times New Roman" w:hAnsi="Calibri" w:cs="Times New Roman"/>
          <w:noProof/>
        </w:rPr>
        <w:drawing>
          <wp:inline distT="0" distB="0" distL="0" distR="0" wp14:anchorId="673364BB" wp14:editId="39AC4D8C">
            <wp:extent cx="4572000" cy="261518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000" cy="2615184"/>
                    </a:xfrm>
                    <a:prstGeom prst="rect">
                      <a:avLst/>
                    </a:prstGeom>
                    <a:noFill/>
                  </pic:spPr>
                </pic:pic>
              </a:graphicData>
            </a:graphic>
          </wp:inline>
        </w:drawing>
      </w:r>
    </w:p>
    <w:p w14:paraId="5B4541FF" w14:textId="77777777" w:rsidR="00D57FF0" w:rsidRDefault="00D57FF0" w:rsidP="008D23E6"/>
    <w:p w14:paraId="785582D6" w14:textId="2D0E4F01" w:rsidR="007B1024" w:rsidRDefault="002B49AE" w:rsidP="007B1024">
      <w:pPr>
        <w:keepLines/>
        <w:rPr>
          <w:rFonts w:cstheme="minorHAnsi"/>
          <w:szCs w:val="22"/>
        </w:rPr>
      </w:pPr>
      <w:r w:rsidRPr="002B49AE">
        <w:rPr>
          <w:rFonts w:cstheme="minorHAnsi"/>
          <w:szCs w:val="22"/>
        </w:rPr>
        <w:t xml:space="preserve">The </w:t>
      </w:r>
      <w:r w:rsidR="00BE5957">
        <w:rPr>
          <w:rFonts w:cstheme="minorHAnsi"/>
          <w:szCs w:val="22"/>
        </w:rPr>
        <w:t>four</w:t>
      </w:r>
      <w:r w:rsidRPr="002B49AE">
        <w:rPr>
          <w:rFonts w:cstheme="minorHAnsi"/>
          <w:szCs w:val="22"/>
        </w:rPr>
        <w:t xml:space="preserve"> figures below</w:t>
      </w:r>
      <w:r w:rsidR="003340A3">
        <w:rPr>
          <w:rFonts w:cstheme="minorHAnsi"/>
          <w:b/>
          <w:szCs w:val="22"/>
        </w:rPr>
        <w:t xml:space="preserve"> </w:t>
      </w:r>
      <w:r w:rsidR="007B1024">
        <w:rPr>
          <w:rFonts w:cstheme="minorHAnsi"/>
          <w:szCs w:val="22"/>
        </w:rPr>
        <w:t xml:space="preserve">illustrate the recirculation pump (electricity) and hot water system (natural gas) savings across these same climate areas on a per dwelling unit basis, exhibiting similar trends to one another. Domestic hot water savings are inversely proportional to the system demand schedule. That is, the greatest energy savings are realized during periods of lowest system demand; although energy is saved over the entire annual load profile. Similarly, recirculation pump consumption is inversely proportional to the hot water demand schedule. Greater requirements for pump operation occur during periods of lower hot water system demand, with energy savings approximately constant over the annual load profile.  </w:t>
      </w:r>
    </w:p>
    <w:p w14:paraId="2AB9B563" w14:textId="696A38FD" w:rsidR="00003E3B" w:rsidRDefault="00003E3B" w:rsidP="009743E7">
      <w:pPr>
        <w:pStyle w:val="Caption"/>
      </w:pPr>
      <w:r>
        <w:t>Recirculation Pump Savings, by Climate Zone</w:t>
      </w:r>
      <w:r w:rsidR="00BE5957">
        <w:t xml:space="preserve"> - Multifamily</w:t>
      </w:r>
    </w:p>
    <w:p w14:paraId="465B676A" w14:textId="77777777" w:rsidR="007B1024" w:rsidRDefault="007B1024" w:rsidP="00003E3B">
      <w:pPr>
        <w:pStyle w:val="ListParagraph"/>
        <w:ind w:left="0"/>
      </w:pPr>
      <w:r>
        <w:rPr>
          <w:noProof/>
        </w:rPr>
        <w:drawing>
          <wp:inline distT="0" distB="0" distL="0" distR="0" wp14:anchorId="715EC36F" wp14:editId="5B7C649F">
            <wp:extent cx="4387992" cy="256032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87992" cy="2560320"/>
                    </a:xfrm>
                    <a:prstGeom prst="rect">
                      <a:avLst/>
                    </a:prstGeom>
                    <a:noFill/>
                  </pic:spPr>
                </pic:pic>
              </a:graphicData>
            </a:graphic>
          </wp:inline>
        </w:drawing>
      </w:r>
    </w:p>
    <w:p w14:paraId="1C208669" w14:textId="2112880E" w:rsidR="00003E3B" w:rsidRDefault="00003E3B" w:rsidP="009743E7">
      <w:pPr>
        <w:pStyle w:val="Caption"/>
      </w:pPr>
      <w:r>
        <w:lastRenderedPageBreak/>
        <w:t>Domestic Hot Water System Savings, by Climate Zone</w:t>
      </w:r>
      <w:r w:rsidR="00BE5957">
        <w:t xml:space="preserve"> - Multifamily</w:t>
      </w:r>
    </w:p>
    <w:p w14:paraId="1988F4AF" w14:textId="3352BD35" w:rsidR="007B1024" w:rsidRDefault="007B1024" w:rsidP="00003E3B">
      <w:pPr>
        <w:pStyle w:val="ListParagraph"/>
        <w:ind w:left="0"/>
      </w:pPr>
      <w:r>
        <w:rPr>
          <w:noProof/>
        </w:rPr>
        <w:drawing>
          <wp:inline distT="0" distB="0" distL="0" distR="0" wp14:anchorId="4E2D05CC" wp14:editId="30443B60">
            <wp:extent cx="4389120" cy="2511759"/>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89120" cy="2511759"/>
                    </a:xfrm>
                    <a:prstGeom prst="rect">
                      <a:avLst/>
                    </a:prstGeom>
                    <a:noFill/>
                  </pic:spPr>
                </pic:pic>
              </a:graphicData>
            </a:graphic>
          </wp:inline>
        </w:drawing>
      </w:r>
    </w:p>
    <w:p w14:paraId="08315693" w14:textId="77777777" w:rsidR="00CD0772" w:rsidRDefault="00CD0772" w:rsidP="00003E3B">
      <w:pPr>
        <w:pStyle w:val="ListParagraph"/>
        <w:ind w:left="0"/>
      </w:pPr>
    </w:p>
    <w:p w14:paraId="74CFE899" w14:textId="7A116A72" w:rsidR="007B1024" w:rsidRPr="004041B3" w:rsidRDefault="00A56A1F" w:rsidP="00003E3B">
      <w:pPr>
        <w:rPr>
          <w:b/>
          <w:bCs/>
          <w:sz w:val="20"/>
          <w:szCs w:val="22"/>
        </w:rPr>
      </w:pPr>
      <w:r w:rsidRPr="004041B3">
        <w:rPr>
          <w:b/>
          <w:bCs/>
          <w:sz w:val="20"/>
          <w:szCs w:val="22"/>
        </w:rPr>
        <w:t xml:space="preserve">Average </w:t>
      </w:r>
      <w:r w:rsidR="00BE5957" w:rsidRPr="004041B3">
        <w:rPr>
          <w:b/>
          <w:bCs/>
          <w:sz w:val="20"/>
          <w:szCs w:val="22"/>
        </w:rPr>
        <w:t xml:space="preserve">Recirculation Pump Savings, by Climate Zone </w:t>
      </w:r>
      <w:r w:rsidRPr="004041B3">
        <w:rPr>
          <w:b/>
          <w:bCs/>
          <w:sz w:val="20"/>
          <w:szCs w:val="22"/>
        </w:rPr>
        <w:t>–</w:t>
      </w:r>
      <w:r w:rsidR="00BE5957" w:rsidRPr="004041B3">
        <w:rPr>
          <w:b/>
          <w:bCs/>
          <w:sz w:val="20"/>
          <w:szCs w:val="22"/>
        </w:rPr>
        <w:t xml:space="preserve"> </w:t>
      </w:r>
      <w:r w:rsidRPr="004041B3">
        <w:rPr>
          <w:b/>
          <w:bCs/>
          <w:sz w:val="20"/>
          <w:szCs w:val="22"/>
        </w:rPr>
        <w:t>Commercial</w:t>
      </w:r>
    </w:p>
    <w:p w14:paraId="6459D9A0" w14:textId="12748AED" w:rsidR="00A56A1F" w:rsidRDefault="009E67E7" w:rsidP="00003E3B">
      <w:pPr>
        <w:rPr>
          <w:b/>
          <w:bCs/>
        </w:rPr>
      </w:pPr>
      <w:r>
        <w:rPr>
          <w:noProof/>
        </w:rPr>
        <w:drawing>
          <wp:inline distT="0" distB="0" distL="0" distR="0" wp14:anchorId="029DA0B3" wp14:editId="742A94D1">
            <wp:extent cx="4572635" cy="26339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2635" cy="2633980"/>
                    </a:xfrm>
                    <a:prstGeom prst="rect">
                      <a:avLst/>
                    </a:prstGeom>
                    <a:noFill/>
                  </pic:spPr>
                </pic:pic>
              </a:graphicData>
            </a:graphic>
          </wp:inline>
        </w:drawing>
      </w:r>
    </w:p>
    <w:p w14:paraId="1C0253CE" w14:textId="2055D809" w:rsidR="001A13E7" w:rsidRDefault="001A13E7" w:rsidP="00003E3B">
      <w:pPr>
        <w:rPr>
          <w:b/>
          <w:bCs/>
        </w:rPr>
      </w:pPr>
    </w:p>
    <w:p w14:paraId="184D8EB7" w14:textId="44D48446" w:rsidR="001A13E7" w:rsidRPr="004041B3" w:rsidRDefault="001A13E7" w:rsidP="00003E3B">
      <w:pPr>
        <w:rPr>
          <w:b/>
          <w:bCs/>
        </w:rPr>
      </w:pPr>
      <w:r w:rsidRPr="004041B3">
        <w:rPr>
          <w:b/>
          <w:bCs/>
          <w:sz w:val="20"/>
          <w:szCs w:val="22"/>
        </w:rPr>
        <w:lastRenderedPageBreak/>
        <w:t>Average Domestic Hot Water System Savings, by Building, by Climate - Commercial</w:t>
      </w:r>
      <w:r w:rsidR="00CD0772">
        <w:rPr>
          <w:noProof/>
        </w:rPr>
        <w:drawing>
          <wp:inline distT="0" distB="0" distL="0" distR="0" wp14:anchorId="27E355AF" wp14:editId="575AF5C3">
            <wp:extent cx="4572635" cy="2566670"/>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72635" cy="2566670"/>
                    </a:xfrm>
                    <a:prstGeom prst="rect">
                      <a:avLst/>
                    </a:prstGeom>
                    <a:noFill/>
                  </pic:spPr>
                </pic:pic>
              </a:graphicData>
            </a:graphic>
          </wp:inline>
        </w:drawing>
      </w:r>
    </w:p>
    <w:p w14:paraId="4123B9F3" w14:textId="13DADD85" w:rsidR="00BE5957" w:rsidRDefault="00BE5957" w:rsidP="00003E3B"/>
    <w:p w14:paraId="5F39C6C4" w14:textId="22D20D8C" w:rsidR="00423DCE" w:rsidRDefault="0073124E" w:rsidP="00423DCE">
      <w:r>
        <w:t>T</w:t>
      </w:r>
      <w:r w:rsidR="00423DCE" w:rsidRPr="003340A3">
        <w:t xml:space="preserve">here is a significant variance in energy savings (on a unit basis) between the low- and high-rise building. This is </w:t>
      </w:r>
      <w:r w:rsidR="00423DCE">
        <w:t>likely</w:t>
      </w:r>
      <w:r w:rsidR="00423DCE" w:rsidRPr="003340A3">
        <w:t xml:space="preserve"> a result of the nonlinear relationship between the hot water distribution piping length to either building floor area or number of dwelling units. That is, the hot water distribution piping length varies by building type, size, and architectural and engineering design factors and has a significant impact on the total hot water system consumption and available energy savings. The amount of heat loss in the distribution system is proportional to the piping length, piping heat loss coefficients, and difference between the indoor ambient and hot water temperatures. These factors are influenced by location of the recirculation loop, pipe material, size, insulation, and hot water demand. In addition, these factors underscore the importance of validating the assumptions—an understanding that variations from the validated assumptions may have a material impact on energy savings. </w:t>
      </w:r>
    </w:p>
    <w:p w14:paraId="396BFD96" w14:textId="77777777" w:rsidR="001B63CF" w:rsidRDefault="007B1024" w:rsidP="00423DCE">
      <w:r>
        <w:t xml:space="preserve">The figures above illustrate that domestic hot water system </w:t>
      </w:r>
      <w:r w:rsidRPr="002912A6">
        <w:t>energy consum</w:t>
      </w:r>
      <w:r>
        <w:t>ption varies by</w:t>
      </w:r>
      <w:r w:rsidRPr="002912A6">
        <w:t xml:space="preserve"> climate zone.</w:t>
      </w:r>
      <w:r>
        <w:t xml:space="preserve"> </w:t>
      </w:r>
      <w:r w:rsidR="001B63CF" w:rsidRPr="001B63CF">
        <w:t>The figure below,</w:t>
      </w:r>
      <w:r w:rsidR="003340A3">
        <w:rPr>
          <w:b/>
        </w:rPr>
        <w:t xml:space="preserve"> </w:t>
      </w:r>
      <w:r>
        <w:t xml:space="preserve">on the other hand, illustrates that hot water savings in the measure case impacts the energy consumption and performance of other building end uses. Specifically, </w:t>
      </w:r>
      <w:r w:rsidRPr="002912A6">
        <w:t xml:space="preserve">space heating </w:t>
      </w:r>
      <w:r>
        <w:t xml:space="preserve">consumption </w:t>
      </w:r>
      <w:r w:rsidRPr="002912A6">
        <w:t>increase</w:t>
      </w:r>
      <w:r>
        <w:t xml:space="preserve">s while </w:t>
      </w:r>
      <w:r w:rsidRPr="002912A6">
        <w:t xml:space="preserve">space cooling </w:t>
      </w:r>
      <w:r>
        <w:t xml:space="preserve">consumption </w:t>
      </w:r>
      <w:r w:rsidRPr="002912A6">
        <w:t>decrease</w:t>
      </w:r>
      <w:r>
        <w:t xml:space="preserve">s, due to reduction of heat loss from the domestic hot water recirculation loop, as whole building energy consumption decreases.  </w:t>
      </w:r>
    </w:p>
    <w:p w14:paraId="5778103F" w14:textId="25D7CC13" w:rsidR="00423DCE" w:rsidRDefault="001B63CF" w:rsidP="00423DCE">
      <w:r w:rsidRPr="001B63CF">
        <w:t>The figures below illustrate</w:t>
      </w:r>
      <w:r w:rsidR="00423DCE" w:rsidRPr="001B63CF">
        <w:t xml:space="preserve"> the circulation pump total energy consumption is relatively small, the relative</w:t>
      </w:r>
      <w:r w:rsidR="00423DCE">
        <w:t xml:space="preserve"> pump energy savings is large</w:t>
      </w:r>
      <w:r>
        <w:t xml:space="preserve"> (respectively)</w:t>
      </w:r>
      <w:r w:rsidR="00423DCE">
        <w:t xml:space="preserve">. This contrasts with domestic hot water, which </w:t>
      </w:r>
      <w:r>
        <w:t>requires</w:t>
      </w:r>
      <w:r w:rsidR="00423DCE">
        <w:t xml:space="preserve"> more total energy but smaller percentage of savings. A detailed review of the pump savings load shape shows a small variation in the amount of savings across climate zones and over the annual load profile. </w:t>
      </w:r>
    </w:p>
    <w:p w14:paraId="44924828" w14:textId="53760557" w:rsidR="00003E3B" w:rsidRPr="0016359D" w:rsidRDefault="00003E3B" w:rsidP="009743E7">
      <w:pPr>
        <w:pStyle w:val="Caption"/>
      </w:pPr>
      <w:r>
        <w:lastRenderedPageBreak/>
        <w:t>End Use Energy Consumption, All Fuels, All Climate Zones</w:t>
      </w:r>
      <w:r w:rsidR="004F7359">
        <w:t xml:space="preserve"> – Multifamily</w:t>
      </w:r>
    </w:p>
    <w:p w14:paraId="181986B8" w14:textId="77777777" w:rsidR="007B1024" w:rsidRDefault="007B1024" w:rsidP="00003E3B">
      <w:pPr>
        <w:pStyle w:val="Reminders"/>
        <w:tabs>
          <w:tab w:val="num" w:pos="360"/>
        </w:tabs>
        <w:rPr>
          <w:rFonts w:asciiTheme="minorHAnsi" w:hAnsiTheme="minorHAnsi" w:cstheme="minorHAnsi"/>
          <w:b/>
          <w:i w:val="0"/>
          <w:color w:val="auto"/>
          <w:szCs w:val="22"/>
        </w:rPr>
      </w:pPr>
      <w:r>
        <w:rPr>
          <w:rFonts w:asciiTheme="minorHAnsi" w:hAnsiTheme="minorHAnsi" w:cstheme="minorHAnsi"/>
          <w:b/>
          <w:i w:val="0"/>
          <w:noProof/>
          <w:color w:val="auto"/>
          <w:szCs w:val="22"/>
        </w:rPr>
        <mc:AlternateContent>
          <mc:Choice Requires="wps">
            <w:drawing>
              <wp:anchor distT="0" distB="0" distL="114300" distR="114300" simplePos="0" relativeHeight="251666432" behindDoc="0" locked="0" layoutInCell="1" allowOverlap="1" wp14:anchorId="44A6AAAA" wp14:editId="48EE1EF6">
                <wp:simplePos x="0" y="0"/>
                <wp:positionH relativeFrom="column">
                  <wp:posOffset>2406701</wp:posOffset>
                </wp:positionH>
                <wp:positionV relativeFrom="paragraph">
                  <wp:posOffset>1719072</wp:posOffset>
                </wp:positionV>
                <wp:extent cx="277977" cy="72644"/>
                <wp:effectExtent l="0" t="57150" r="0" b="22860"/>
                <wp:wrapNone/>
                <wp:docPr id="42" name="Straight Arrow Connector 42"/>
                <wp:cNvGraphicFramePr/>
                <a:graphic xmlns:a="http://schemas.openxmlformats.org/drawingml/2006/main">
                  <a:graphicData uri="http://schemas.microsoft.com/office/word/2010/wordprocessingShape">
                    <wps:wsp>
                      <wps:cNvCnPr/>
                      <wps:spPr>
                        <a:xfrm flipV="1">
                          <a:off x="0" y="0"/>
                          <a:ext cx="277977" cy="72644"/>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87A6E61" id="_x0000_t32" coordsize="21600,21600" o:spt="32" o:oned="t" path="m,l21600,21600e" filled="f">
                <v:path arrowok="t" fillok="f" o:connecttype="none"/>
                <o:lock v:ext="edit" shapetype="t"/>
              </v:shapetype>
              <v:shape id="Straight Arrow Connector 42" o:spid="_x0000_s1026" type="#_x0000_t32" style="position:absolute;margin-left:189.5pt;margin-top:135.35pt;width:21.9pt;height:5.7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" strokecolor="red">
                <v:stroke endarrow="block"/>
              </v:shape>
            </w:pict>
          </mc:Fallback>
        </mc:AlternateContent>
      </w:r>
      <w:r>
        <w:rPr>
          <w:rFonts w:asciiTheme="minorHAnsi" w:hAnsiTheme="minorHAnsi" w:cstheme="minorHAnsi"/>
          <w:b/>
          <w:i w:val="0"/>
          <w:noProof/>
          <w:color w:val="auto"/>
          <w:szCs w:val="22"/>
        </w:rPr>
        <mc:AlternateContent>
          <mc:Choice Requires="wps">
            <w:drawing>
              <wp:anchor distT="0" distB="0" distL="114300" distR="114300" simplePos="0" relativeHeight="251665408" behindDoc="0" locked="0" layoutInCell="1" allowOverlap="1" wp14:anchorId="7226B016" wp14:editId="513E2B56">
                <wp:simplePos x="0" y="0"/>
                <wp:positionH relativeFrom="column">
                  <wp:posOffset>3434080</wp:posOffset>
                </wp:positionH>
                <wp:positionV relativeFrom="paragraph">
                  <wp:posOffset>1681480</wp:posOffset>
                </wp:positionV>
                <wp:extent cx="299085" cy="107315"/>
                <wp:effectExtent l="0" t="0" r="81915" b="64135"/>
                <wp:wrapNone/>
                <wp:docPr id="41" name="Straight Arrow Connector 41"/>
                <wp:cNvGraphicFramePr/>
                <a:graphic xmlns:a="http://schemas.openxmlformats.org/drawingml/2006/main">
                  <a:graphicData uri="http://schemas.microsoft.com/office/word/2010/wordprocessingShape">
                    <wps:wsp>
                      <wps:cNvCnPr/>
                      <wps:spPr>
                        <a:xfrm>
                          <a:off x="0" y="0"/>
                          <a:ext cx="299085" cy="10731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CCF4B8" id="Straight Arrow Connector 41" o:spid="_x0000_s1026" type="#_x0000_t32" style="position:absolute;margin-left:270.4pt;margin-top:132.4pt;width:23.55pt;height:8.4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" strokecolor="red">
                <v:stroke endarrow="block"/>
              </v:shape>
            </w:pict>
          </mc:Fallback>
        </mc:AlternateContent>
      </w:r>
      <w:r>
        <w:rPr>
          <w:rFonts w:asciiTheme="minorHAnsi" w:hAnsiTheme="minorHAnsi" w:cstheme="minorHAnsi"/>
          <w:b/>
          <w:i w:val="0"/>
          <w:noProof/>
          <w:color w:val="auto"/>
          <w:szCs w:val="22"/>
        </w:rPr>
        <mc:AlternateContent>
          <mc:Choice Requires="wps">
            <w:drawing>
              <wp:anchor distT="0" distB="0" distL="114300" distR="114300" simplePos="0" relativeHeight="251663360" behindDoc="0" locked="0" layoutInCell="1" allowOverlap="1" wp14:anchorId="59115915" wp14:editId="0993687A">
                <wp:simplePos x="0" y="0"/>
                <wp:positionH relativeFrom="column">
                  <wp:posOffset>1905635</wp:posOffset>
                </wp:positionH>
                <wp:positionV relativeFrom="paragraph">
                  <wp:posOffset>1404620</wp:posOffset>
                </wp:positionV>
                <wp:extent cx="299085" cy="107315"/>
                <wp:effectExtent l="0" t="0" r="81915" b="64135"/>
                <wp:wrapNone/>
                <wp:docPr id="39" name="Straight Arrow Connector 39"/>
                <wp:cNvGraphicFramePr/>
                <a:graphic xmlns:a="http://schemas.openxmlformats.org/drawingml/2006/main">
                  <a:graphicData uri="http://schemas.microsoft.com/office/word/2010/wordprocessingShape">
                    <wps:wsp>
                      <wps:cNvCnPr/>
                      <wps:spPr>
                        <a:xfrm>
                          <a:off x="0" y="0"/>
                          <a:ext cx="299085" cy="10731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42EAE68" id="Straight Arrow Connector 39" o:spid="_x0000_s1026" type="#_x0000_t32" style="position:absolute;margin-left:150.05pt;margin-top:110.6pt;width:23.55pt;height:8.4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" strokecolor="red">
                <v:stroke endarrow="block"/>
              </v:shape>
            </w:pict>
          </mc:Fallback>
        </mc:AlternateContent>
      </w:r>
      <w:r>
        <w:rPr>
          <w:rFonts w:asciiTheme="minorHAnsi" w:hAnsiTheme="minorHAnsi" w:cstheme="minorHAnsi"/>
          <w:b/>
          <w:i w:val="0"/>
          <w:noProof/>
          <w:color w:val="auto"/>
          <w:szCs w:val="22"/>
        </w:rPr>
        <mc:AlternateContent>
          <mc:Choice Requires="wps">
            <w:drawing>
              <wp:anchor distT="0" distB="0" distL="114300" distR="114300" simplePos="0" relativeHeight="251664384" behindDoc="0" locked="0" layoutInCell="1" allowOverlap="1" wp14:anchorId="771BCEBC" wp14:editId="00D6E7E7">
                <wp:simplePos x="0" y="0"/>
                <wp:positionH relativeFrom="column">
                  <wp:posOffset>1351771</wp:posOffset>
                </wp:positionH>
                <wp:positionV relativeFrom="paragraph">
                  <wp:posOffset>498192</wp:posOffset>
                </wp:positionV>
                <wp:extent cx="299678" cy="107576"/>
                <wp:effectExtent l="0" t="0" r="81915" b="64135"/>
                <wp:wrapNone/>
                <wp:docPr id="40" name="Straight Arrow Connector 40"/>
                <wp:cNvGraphicFramePr/>
                <a:graphic xmlns:a="http://schemas.openxmlformats.org/drawingml/2006/main">
                  <a:graphicData uri="http://schemas.microsoft.com/office/word/2010/wordprocessingShape">
                    <wps:wsp>
                      <wps:cNvCnPr/>
                      <wps:spPr>
                        <a:xfrm>
                          <a:off x="0" y="0"/>
                          <a:ext cx="299678" cy="10757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877E6C" id="Straight Arrow Connector 40" o:spid="_x0000_s1026" type="#_x0000_t32" style="position:absolute;margin-left:106.45pt;margin-top:39.25pt;width:23.6pt;height:8.4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" strokecolor="red">
                <v:stroke endarrow="block"/>
              </v:shape>
            </w:pict>
          </mc:Fallback>
        </mc:AlternateContent>
      </w:r>
      <w:r>
        <w:rPr>
          <w:rFonts w:asciiTheme="minorHAnsi" w:hAnsiTheme="minorHAnsi" w:cstheme="minorHAnsi"/>
          <w:b/>
          <w:i w:val="0"/>
          <w:noProof/>
          <w:color w:val="auto"/>
          <w:szCs w:val="22"/>
        </w:rPr>
        <w:drawing>
          <wp:inline distT="0" distB="0" distL="0" distR="0" wp14:anchorId="4F8B4815" wp14:editId="4E9A914D">
            <wp:extent cx="4279285" cy="2377440"/>
            <wp:effectExtent l="0" t="0" r="698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32">
                      <a:extLst>
                        <a:ext uri="{28A0092B-C50C-407E-A947-70E740481C1C}">
                          <a14:useLocalDpi xmlns:a14="http://schemas.microsoft.com/office/drawing/2010/main" val="0"/>
                        </a:ext>
                      </a:extLst>
                    </a:blip>
                    <a:srcRect l="2832" t="8697" r="6652" b="3514"/>
                    <a:stretch/>
                  </pic:blipFill>
                  <pic:spPr bwMode="auto">
                    <a:xfrm>
                      <a:off x="0" y="0"/>
                      <a:ext cx="4279285" cy="2377440"/>
                    </a:xfrm>
                    <a:prstGeom prst="rect">
                      <a:avLst/>
                    </a:prstGeom>
                    <a:noFill/>
                    <a:ln>
                      <a:noFill/>
                    </a:ln>
                    <a:extLst>
                      <a:ext uri="{53640926-AAD7-44D8-BBD7-CCE9431645EC}">
                        <a14:shadowObscured xmlns:a14="http://schemas.microsoft.com/office/drawing/2010/main"/>
                      </a:ext>
                    </a:extLst>
                  </pic:spPr>
                </pic:pic>
              </a:graphicData>
            </a:graphic>
          </wp:inline>
        </w:drawing>
      </w:r>
    </w:p>
    <w:p w14:paraId="64D3A062" w14:textId="4EB6892A" w:rsidR="00003E3B" w:rsidRDefault="00003E3B" w:rsidP="004041B3">
      <w:pPr>
        <w:pStyle w:val="Caption"/>
      </w:pPr>
      <w:r>
        <w:lastRenderedPageBreak/>
        <w:t>End Use Energy Savings, All Fuels, All Climate Zones</w:t>
      </w:r>
      <w:r w:rsidR="004F7359">
        <w:t>- Multifamily</w:t>
      </w:r>
    </w:p>
    <w:p w14:paraId="1A94DC9D" w14:textId="4BB8FFAD" w:rsidR="007B1024" w:rsidRDefault="007B1024" w:rsidP="001B63CF">
      <w:pPr>
        <w:pStyle w:val="Reminders"/>
        <w:keepNext/>
        <w:keepLines/>
        <w:tabs>
          <w:tab w:val="num" w:pos="360"/>
        </w:tabs>
        <w:spacing w:after="0"/>
        <w:rPr>
          <w:rFonts w:asciiTheme="minorHAnsi" w:hAnsiTheme="minorHAnsi" w:cstheme="minorHAnsi"/>
          <w:b/>
          <w:i w:val="0"/>
          <w:color w:val="auto"/>
          <w:szCs w:val="22"/>
        </w:rPr>
      </w:pPr>
      <w:r>
        <w:rPr>
          <w:rFonts w:asciiTheme="minorHAnsi" w:hAnsiTheme="minorHAnsi" w:cstheme="minorHAnsi"/>
          <w:b/>
          <w:i w:val="0"/>
          <w:noProof/>
          <w:color w:val="auto"/>
          <w:szCs w:val="22"/>
        </w:rPr>
        <w:drawing>
          <wp:inline distT="0" distB="0" distL="0" distR="0" wp14:anchorId="51011B95" wp14:editId="00B6C6DA">
            <wp:extent cx="4494697" cy="2377440"/>
            <wp:effectExtent l="0" t="0" r="127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3">
                      <a:extLst>
                        <a:ext uri="{28A0092B-C50C-407E-A947-70E740481C1C}">
                          <a14:useLocalDpi xmlns:a14="http://schemas.microsoft.com/office/drawing/2010/main" val="0"/>
                        </a:ext>
                      </a:extLst>
                    </a:blip>
                    <a:srcRect l="3285" t="7523" r="7015" b="9569"/>
                    <a:stretch/>
                  </pic:blipFill>
                  <pic:spPr bwMode="auto">
                    <a:xfrm>
                      <a:off x="0" y="0"/>
                      <a:ext cx="4494697" cy="2377440"/>
                    </a:xfrm>
                    <a:prstGeom prst="rect">
                      <a:avLst/>
                    </a:prstGeom>
                    <a:noFill/>
                    <a:ln>
                      <a:noFill/>
                    </a:ln>
                    <a:extLst>
                      <a:ext uri="{53640926-AAD7-44D8-BBD7-CCE9431645EC}">
                        <a14:shadowObscured xmlns:a14="http://schemas.microsoft.com/office/drawing/2010/main"/>
                      </a:ext>
                    </a:extLst>
                  </pic:spPr>
                </pic:pic>
              </a:graphicData>
            </a:graphic>
          </wp:inline>
        </w:drawing>
      </w:r>
    </w:p>
    <w:p w14:paraId="750DC660" w14:textId="6A6B4C2B" w:rsidR="004F7359" w:rsidRPr="0016359D" w:rsidRDefault="004F7359" w:rsidP="004F7359">
      <w:pPr>
        <w:pStyle w:val="Caption"/>
      </w:pPr>
      <w:r>
        <w:t xml:space="preserve">End Use Energy Consumption, All Fuels, All Climate Zones – </w:t>
      </w:r>
      <w:r w:rsidR="00F3408D">
        <w:t>Commercial</w:t>
      </w:r>
    </w:p>
    <w:p w14:paraId="13356D83" w14:textId="6CC522F1" w:rsidR="004F7359" w:rsidRDefault="00F3408D" w:rsidP="001B63CF">
      <w:pPr>
        <w:pStyle w:val="Reminders"/>
        <w:keepNext/>
        <w:keepLines/>
        <w:tabs>
          <w:tab w:val="num" w:pos="360"/>
        </w:tabs>
        <w:spacing w:after="0"/>
        <w:rPr>
          <w:rFonts w:asciiTheme="minorHAnsi" w:hAnsiTheme="minorHAnsi" w:cstheme="minorHAnsi"/>
          <w:b/>
          <w:i w:val="0"/>
          <w:color w:val="auto"/>
          <w:szCs w:val="22"/>
        </w:rPr>
      </w:pPr>
      <w:r>
        <w:rPr>
          <w:rFonts w:asciiTheme="minorHAnsi" w:hAnsiTheme="minorHAnsi" w:cstheme="minorHAnsi"/>
          <w:i w:val="0"/>
          <w:noProof/>
          <w:color w:val="auto"/>
          <w:szCs w:val="22"/>
        </w:rPr>
        <w:drawing>
          <wp:inline distT="0" distB="0" distL="0" distR="0" wp14:anchorId="701EECA4" wp14:editId="6D6952DA">
            <wp:extent cx="4572000" cy="261518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72000" cy="2615184"/>
                    </a:xfrm>
                    <a:prstGeom prst="rect">
                      <a:avLst/>
                    </a:prstGeom>
                    <a:noFill/>
                  </pic:spPr>
                </pic:pic>
              </a:graphicData>
            </a:graphic>
          </wp:inline>
        </w:drawing>
      </w:r>
    </w:p>
    <w:p w14:paraId="6A8B5D01" w14:textId="77777777" w:rsidR="00676AD2" w:rsidRDefault="00676AD2" w:rsidP="00F3408D">
      <w:pPr>
        <w:pStyle w:val="Caption"/>
      </w:pPr>
    </w:p>
    <w:p w14:paraId="4DCDFFF0" w14:textId="77777777" w:rsidR="00676AD2" w:rsidRDefault="00676AD2" w:rsidP="00F3408D">
      <w:pPr>
        <w:pStyle w:val="Caption"/>
      </w:pPr>
    </w:p>
    <w:p w14:paraId="282BFE14" w14:textId="77777777" w:rsidR="00676AD2" w:rsidRDefault="00676AD2" w:rsidP="00F3408D">
      <w:pPr>
        <w:pStyle w:val="Caption"/>
      </w:pPr>
    </w:p>
    <w:p w14:paraId="4E89BDF7" w14:textId="77777777" w:rsidR="00676AD2" w:rsidRDefault="00676AD2" w:rsidP="00F3408D">
      <w:pPr>
        <w:pStyle w:val="Caption"/>
      </w:pPr>
    </w:p>
    <w:p w14:paraId="437F80E6" w14:textId="77777777" w:rsidR="00676AD2" w:rsidRDefault="00676AD2" w:rsidP="00F3408D">
      <w:pPr>
        <w:pStyle w:val="Caption"/>
      </w:pPr>
    </w:p>
    <w:p w14:paraId="1F69FE56" w14:textId="77777777" w:rsidR="00676AD2" w:rsidRDefault="00676AD2" w:rsidP="00F3408D">
      <w:pPr>
        <w:pStyle w:val="Caption"/>
      </w:pPr>
    </w:p>
    <w:p w14:paraId="2CC10D28" w14:textId="77777777" w:rsidR="00676AD2" w:rsidRDefault="00676AD2" w:rsidP="00F3408D">
      <w:pPr>
        <w:pStyle w:val="Caption"/>
      </w:pPr>
    </w:p>
    <w:p w14:paraId="10C74BC3" w14:textId="404EDEAB" w:rsidR="00F3408D" w:rsidRDefault="00F3408D" w:rsidP="00F3408D">
      <w:pPr>
        <w:pStyle w:val="Caption"/>
      </w:pPr>
      <w:r>
        <w:lastRenderedPageBreak/>
        <w:t>End Use Energy Savings,</w:t>
      </w:r>
      <w:r w:rsidR="00676AD2">
        <w:t xml:space="preserve"> All Buildings,</w:t>
      </w:r>
      <w:r>
        <w:t xml:space="preserve"> All Fuels, All Climate Zones- Commercial</w:t>
      </w:r>
    </w:p>
    <w:p w14:paraId="1EDEE0C3" w14:textId="09C82A57" w:rsidR="00F3408D" w:rsidRPr="009743E7" w:rsidRDefault="00283F4E" w:rsidP="004041B3">
      <w:r>
        <w:rPr>
          <w:rFonts w:asciiTheme="minorHAnsi" w:hAnsiTheme="minorHAnsi" w:cstheme="minorHAnsi"/>
          <w:b/>
          <w:i/>
          <w:noProof/>
          <w:szCs w:val="22"/>
        </w:rPr>
        <w:drawing>
          <wp:inline distT="0" distB="0" distL="0" distR="0" wp14:anchorId="5F0D0A2B" wp14:editId="124C072A">
            <wp:extent cx="4572000" cy="261518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72000" cy="2615184"/>
                    </a:xfrm>
                    <a:prstGeom prst="rect">
                      <a:avLst/>
                    </a:prstGeom>
                    <a:noFill/>
                  </pic:spPr>
                </pic:pic>
              </a:graphicData>
            </a:graphic>
          </wp:inline>
        </w:drawing>
      </w:r>
    </w:p>
    <w:p w14:paraId="61DA5A4E" w14:textId="77777777" w:rsidR="00F3408D" w:rsidRDefault="00F3408D" w:rsidP="001B63CF">
      <w:pPr>
        <w:pStyle w:val="Reminders"/>
        <w:keepNext/>
        <w:keepLines/>
        <w:tabs>
          <w:tab w:val="num" w:pos="360"/>
        </w:tabs>
        <w:spacing w:after="0"/>
        <w:rPr>
          <w:rFonts w:asciiTheme="minorHAnsi" w:hAnsiTheme="minorHAnsi" w:cstheme="minorHAnsi"/>
          <w:b/>
          <w:i w:val="0"/>
          <w:color w:val="auto"/>
          <w:szCs w:val="22"/>
        </w:rPr>
      </w:pPr>
    </w:p>
    <w:p w14:paraId="1D3345E8" w14:textId="55994C62" w:rsidR="004C7B6F" w:rsidRDefault="004C7B6F" w:rsidP="00C46259">
      <w:pPr>
        <w:pStyle w:val="Reminder"/>
        <w:rPr>
          <w:rFonts w:asciiTheme="minorHAnsi" w:hAnsiTheme="minorHAnsi" w:cstheme="minorHAnsi"/>
          <w:i w:val="0"/>
          <w:color w:val="auto"/>
          <w:sz w:val="22"/>
          <w:szCs w:val="22"/>
        </w:rPr>
      </w:pPr>
    </w:p>
    <w:p w14:paraId="0D1D336F" w14:textId="58D054BE" w:rsidR="00585361" w:rsidRDefault="00585361" w:rsidP="00585361">
      <w:pPr>
        <w:pStyle w:val="eTRMHeading3"/>
      </w:pPr>
      <w:bookmarkStart w:id="39" w:name="_Toc486490856"/>
      <w:bookmarkStart w:id="40" w:name="_Toc486580927"/>
      <w:bookmarkStart w:id="41" w:name="_Toc2250558"/>
      <w:r w:rsidRPr="004B06E3">
        <w:t>Peak Electric Demand Reduction (</w:t>
      </w:r>
      <w:r w:rsidRPr="001B63CF">
        <w:rPr>
          <w:caps w:val="0"/>
        </w:rPr>
        <w:t>kW</w:t>
      </w:r>
      <w:r w:rsidRPr="004B06E3">
        <w:t>)</w:t>
      </w:r>
      <w:bookmarkEnd w:id="39"/>
      <w:bookmarkEnd w:id="40"/>
      <w:bookmarkEnd w:id="41"/>
    </w:p>
    <w:p w14:paraId="5220C763" w14:textId="0B33EA03" w:rsidR="006F49C5" w:rsidRDefault="006F49C5" w:rsidP="00411939">
      <w:pPr>
        <w:rPr>
          <w:i/>
        </w:rPr>
      </w:pPr>
      <w:r w:rsidRPr="003340A3">
        <w:t xml:space="preserve">Demand </w:t>
      </w:r>
      <w:r w:rsidR="0099335F">
        <w:t xml:space="preserve">reduction from this measure was </w:t>
      </w:r>
      <w:r w:rsidRPr="003340A3">
        <w:t xml:space="preserve">developed from an analysis of the </w:t>
      </w:r>
      <w:r w:rsidR="003340A3" w:rsidRPr="003340A3">
        <w:t>“</w:t>
      </w:r>
      <w:r w:rsidRPr="003340A3">
        <w:t>Pump &amp; Aux</w:t>
      </w:r>
      <w:r w:rsidR="003340A3" w:rsidRPr="003340A3">
        <w:t>”</w:t>
      </w:r>
      <w:r w:rsidRPr="003340A3">
        <w:t xml:space="preserve"> end use electric load</w:t>
      </w:r>
      <w:r>
        <w:t xml:space="preserve"> shapes, which were derived from simulation of building energy models</w:t>
      </w:r>
      <w:r w:rsidR="0099335F">
        <w:t xml:space="preserve"> (see Energy Savings section)</w:t>
      </w:r>
      <w:r>
        <w:t xml:space="preserve">. The measure case load shape was subtracted from the base case load shape during each of the stipulated peak demand time intervals. In general, there is a small variance in the amount of demand </w:t>
      </w:r>
      <w:r w:rsidR="00411939">
        <w:t>reduction</w:t>
      </w:r>
      <w:r>
        <w:t xml:space="preserve"> that occurs by time of year, climate zone, or during the peak demand period. The measure case produces savings for every hour of the year by reducing pumping power requirements compared to the base case recirculation pumps that run continuously with no control. </w:t>
      </w:r>
    </w:p>
    <w:p w14:paraId="49A06226" w14:textId="77777777" w:rsidR="00AC3152" w:rsidRDefault="00AC3152" w:rsidP="00585361"/>
    <w:p w14:paraId="0E9D248B" w14:textId="77777777" w:rsidR="007D230B" w:rsidRPr="004B06E3" w:rsidRDefault="007D230B" w:rsidP="00EE4D02">
      <w:pPr>
        <w:pStyle w:val="eTRMHeading3"/>
      </w:pPr>
      <w:bookmarkStart w:id="42" w:name="_Toc486490858"/>
      <w:bookmarkStart w:id="43" w:name="_Toc486580929"/>
      <w:bookmarkStart w:id="44" w:name="_Toc2250559"/>
      <w:r w:rsidRPr="004B06E3">
        <w:t>Gas Savings</w:t>
      </w:r>
      <w:r w:rsidR="00245AFF" w:rsidRPr="004B06E3">
        <w:t xml:space="preserve"> (</w:t>
      </w:r>
      <w:r w:rsidR="00245AFF" w:rsidRPr="001B63CF">
        <w:rPr>
          <w:caps w:val="0"/>
        </w:rPr>
        <w:t>Therms</w:t>
      </w:r>
      <w:r w:rsidR="00245AFF" w:rsidRPr="004B06E3">
        <w:t>)</w:t>
      </w:r>
      <w:bookmarkEnd w:id="42"/>
      <w:bookmarkEnd w:id="43"/>
      <w:bookmarkEnd w:id="44"/>
    </w:p>
    <w:p w14:paraId="0D1D6273" w14:textId="3CD0BCDC" w:rsidR="003340A3" w:rsidRDefault="0099335F" w:rsidP="004C230B">
      <w:pPr>
        <w:tabs>
          <w:tab w:val="left" w:pos="2074"/>
        </w:tabs>
      </w:pPr>
      <w:bookmarkStart w:id="45" w:name="_Toc486490860"/>
      <w:bookmarkStart w:id="46" w:name="_Toc486580931"/>
      <w:r>
        <w:t xml:space="preserve">The </w:t>
      </w:r>
      <w:r w:rsidR="001B63CF">
        <w:t xml:space="preserve">gas </w:t>
      </w:r>
      <w:r>
        <w:t>unit energy savings (UES) that result from a demand-controlled recirculation pump installed in a centralized multifamily</w:t>
      </w:r>
      <w:r w:rsidR="00C734D6">
        <w:t xml:space="preserve"> and/or commercial</w:t>
      </w:r>
      <w:r w:rsidR="007E5CB8">
        <w:t xml:space="preserve"> building</w:t>
      </w:r>
      <w:r>
        <w:t xml:space="preserve"> hot water system </w:t>
      </w:r>
      <w:r w:rsidR="006F298F">
        <w:t>were</w:t>
      </w:r>
      <w:r>
        <w:t xml:space="preserve"> developed through a combination of research, engineering calculations, and building energy simulation models. See Electric Savings section.</w:t>
      </w:r>
    </w:p>
    <w:p w14:paraId="18BC59F2" w14:textId="77777777" w:rsidR="0099335F" w:rsidRDefault="0099335F" w:rsidP="004C230B">
      <w:pPr>
        <w:tabs>
          <w:tab w:val="left" w:pos="2074"/>
        </w:tabs>
        <w:rPr>
          <w:rFonts w:asciiTheme="minorHAnsi" w:hAnsiTheme="minorHAnsi" w:cstheme="minorHAnsi"/>
          <w:szCs w:val="22"/>
        </w:rPr>
      </w:pPr>
    </w:p>
    <w:p w14:paraId="2AFBF763" w14:textId="77777777" w:rsidR="004C230B" w:rsidRPr="004B06E3" w:rsidRDefault="004C230B" w:rsidP="004C230B">
      <w:pPr>
        <w:pStyle w:val="eTRMHeading3"/>
      </w:pPr>
      <w:bookmarkStart w:id="47" w:name="_Toc2250560"/>
      <w:bookmarkStart w:id="48" w:name="_Toc486490859"/>
      <w:bookmarkStart w:id="49" w:name="_Toc486580930"/>
      <w:r w:rsidRPr="004B06E3">
        <w:t>Life Cycle</w:t>
      </w:r>
      <w:bookmarkEnd w:id="47"/>
      <w:r w:rsidRPr="004B06E3">
        <w:t xml:space="preserve"> </w:t>
      </w:r>
      <w:bookmarkEnd w:id="48"/>
      <w:bookmarkEnd w:id="49"/>
    </w:p>
    <w:p w14:paraId="1F4E5C6C" w14:textId="3B85D894" w:rsidR="004C230B" w:rsidRDefault="004C230B" w:rsidP="004C230B">
      <w:r w:rsidRPr="000F211A">
        <w:t xml:space="preserve">Effective </w:t>
      </w:r>
      <w:r>
        <w:t>u</w:t>
      </w:r>
      <w:r w:rsidRPr="000F211A">
        <w:t xml:space="preserve">seful </w:t>
      </w:r>
      <w:r>
        <w:t>l</w:t>
      </w:r>
      <w:r w:rsidRPr="000F211A">
        <w:t xml:space="preserve">ife (EUL) </w:t>
      </w:r>
      <w:r>
        <w:t>is</w:t>
      </w:r>
      <w:r w:rsidRPr="000F211A">
        <w:t xml:space="preserve"> an estimate of the median number of years that </w:t>
      </w:r>
      <w:r>
        <w:t xml:space="preserve">a </w:t>
      </w:r>
      <w:r w:rsidRPr="000F211A">
        <w:t xml:space="preserve">measure installed </w:t>
      </w:r>
      <w:r>
        <w:t>through a</w:t>
      </w:r>
      <w:r w:rsidRPr="000F211A">
        <w:t xml:space="preserve"> program </w:t>
      </w:r>
      <w:r>
        <w:t>is</w:t>
      </w:r>
      <w:r w:rsidRPr="000F211A">
        <w:t xml:space="preserve"> still in place and operable. Remaining </w:t>
      </w:r>
      <w:r>
        <w:t>u</w:t>
      </w:r>
      <w:r w:rsidRPr="000F211A">
        <w:t xml:space="preserve">seful </w:t>
      </w:r>
      <w:r>
        <w:t>l</w:t>
      </w:r>
      <w:r w:rsidRPr="000F211A">
        <w:t xml:space="preserve">ife (RUL) </w:t>
      </w:r>
      <w:r>
        <w:t>is</w:t>
      </w:r>
      <w:r w:rsidRPr="000F211A">
        <w:t xml:space="preserve"> an estimate of the median number of years </w:t>
      </w:r>
      <w:r>
        <w:t xml:space="preserve">that </w:t>
      </w:r>
      <w:r w:rsidRPr="000F211A">
        <w:t xml:space="preserve">a technology or piece of equipment replaced or altered by an energy efficiency program would </w:t>
      </w:r>
      <w:r>
        <w:t xml:space="preserve">have </w:t>
      </w:r>
      <w:r w:rsidRPr="000F211A">
        <w:t>remain</w:t>
      </w:r>
      <w:r>
        <w:t>ed</w:t>
      </w:r>
      <w:r w:rsidRPr="000F211A">
        <w:t xml:space="preserve"> in service and operational had the program intervention not cause</w:t>
      </w:r>
      <w:r>
        <w:t>d</w:t>
      </w:r>
      <w:r w:rsidRPr="000F211A">
        <w:t xml:space="preserve"> the replacement or alteration.</w:t>
      </w:r>
      <w:r>
        <w:t xml:space="preserve"> The RUL is only applicable to the first baseline period for a retrofit measure with an applicable code baseline. T</w:t>
      </w:r>
      <w:r>
        <w:rPr>
          <w:rFonts w:cs="Arial"/>
        </w:rPr>
        <w:t>he methodology to calculate the RUL conforms with Version 5 of the Energy Efficiency Policy Manual, which recommends “o</w:t>
      </w:r>
      <w:r>
        <w:t xml:space="preserve">ne-third of the effective useful life in DEER as the remaining useful </w:t>
      </w:r>
      <w:r>
        <w:lastRenderedPageBreak/>
        <w:t>life until further study results are available to establish more accurate values.”</w:t>
      </w:r>
      <w:r>
        <w:rPr>
          <w:rStyle w:val="FootnoteReference"/>
        </w:rPr>
        <w:footnoteReference w:id="18"/>
      </w:r>
      <w:r>
        <w:t xml:space="preserve"> </w:t>
      </w:r>
      <w:r w:rsidRPr="008F087F">
        <w:rPr>
          <w:rFonts w:eastAsia="Times New Roman"/>
        </w:rPr>
        <w:t>This approach provides a reasonable RUL estimate without requiring any a priori knowledge about the age of the equipment being replaced.</w:t>
      </w:r>
      <w:r>
        <w:rPr>
          <w:rStyle w:val="FootnoteReference"/>
          <w:rFonts w:eastAsia="Times New Roman"/>
        </w:rPr>
        <w:footnoteReference w:id="19"/>
      </w:r>
      <w:r w:rsidRPr="008F087F">
        <w:rPr>
          <w:rFonts w:eastAsia="Times New Roman"/>
        </w:rPr>
        <w:t> </w:t>
      </w:r>
      <w:r>
        <w:rPr>
          <w:rFonts w:cstheme="minorHAnsi"/>
          <w:szCs w:val="22"/>
        </w:rPr>
        <w:t xml:space="preserve"> </w:t>
      </w:r>
    </w:p>
    <w:p w14:paraId="1C3C4B57" w14:textId="14C98E9D" w:rsidR="004C230B" w:rsidRPr="00C8561A" w:rsidRDefault="004C230B" w:rsidP="004C230B">
      <w:r>
        <w:t xml:space="preserve">The EUL specified for </w:t>
      </w:r>
      <w:r w:rsidR="001B63CF">
        <w:t xml:space="preserve">the VFD </w:t>
      </w:r>
      <w:r>
        <w:t xml:space="preserve">demand control for a centralized water heater recirculation pump are </w:t>
      </w:r>
      <w:r w:rsidR="001B63CF">
        <w:t>specified below</w:t>
      </w:r>
      <w:r>
        <w:t xml:space="preserve">. </w:t>
      </w:r>
      <w:r w:rsidRPr="005305DB">
        <w:t xml:space="preserve">The EUL was derived </w:t>
      </w:r>
      <w:r>
        <w:t>from the 2013 CASE study estimated</w:t>
      </w:r>
      <w:r w:rsidRPr="00C212F2">
        <w:t xml:space="preserve"> demand control equipment</w:t>
      </w:r>
      <w:r>
        <w:t xml:space="preserve"> and is consistent with a similar DEER measure (</w:t>
      </w:r>
      <w:r w:rsidRPr="00C212F2">
        <w:t>Circulation Pump Timeclock Retrofit</w:t>
      </w:r>
      <w:r>
        <w:t>).</w:t>
      </w:r>
      <w:r w:rsidRPr="00C212F2">
        <w:t xml:space="preserve"> </w:t>
      </w:r>
      <w:r w:rsidR="00A43020">
        <w:t>The EUL of the host motor pump was derived from numerous retention studies</w:t>
      </w:r>
      <w:r w:rsidR="001C5866">
        <w:t xml:space="preserve"> and was documented for the Database for Energy Efficient Resources (DEER) 2008 update.</w:t>
      </w:r>
    </w:p>
    <w:p w14:paraId="5023139C" w14:textId="36E8BF44" w:rsidR="004C230B" w:rsidRPr="00C212F2" w:rsidRDefault="004C230B" w:rsidP="009743E7">
      <w:pPr>
        <w:pStyle w:val="Caption"/>
      </w:pPr>
      <w:r>
        <w:t>Effective Useful Life and Remaining Useful Life</w:t>
      </w:r>
    </w:p>
    <w:tbl>
      <w:tblPr>
        <w:tblW w:w="95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971"/>
        <w:gridCol w:w="1566"/>
        <w:gridCol w:w="5998"/>
      </w:tblGrid>
      <w:tr w:rsidR="0099335F" w:rsidRPr="002005AE" w14:paraId="25D93AF6" w14:textId="77777777" w:rsidTr="0099335F">
        <w:trPr>
          <w:cantSplit/>
          <w:trHeight w:val="578"/>
        </w:trPr>
        <w:tc>
          <w:tcPr>
            <w:tcW w:w="1971" w:type="dxa"/>
            <w:shd w:val="clear" w:color="auto" w:fill="F2F2F2" w:themeFill="background1" w:themeFillShade="F2"/>
            <w:vAlign w:val="bottom"/>
          </w:tcPr>
          <w:p w14:paraId="6CB41AB1" w14:textId="3BFC1101" w:rsidR="0099335F" w:rsidRPr="002005AE" w:rsidRDefault="0099335F" w:rsidP="00775705">
            <w:pPr>
              <w:keepNext/>
              <w:keepLines/>
              <w:spacing w:before="20" w:after="20"/>
              <w:jc w:val="center"/>
              <w:rPr>
                <w:rFonts w:cstheme="minorHAnsi"/>
                <w:b/>
                <w:sz w:val="20"/>
                <w:szCs w:val="20"/>
              </w:rPr>
            </w:pPr>
            <w:r>
              <w:rPr>
                <w:rFonts w:cstheme="minorHAnsi"/>
                <w:b/>
                <w:sz w:val="20"/>
                <w:szCs w:val="20"/>
              </w:rPr>
              <w:t>Parameter</w:t>
            </w:r>
          </w:p>
        </w:tc>
        <w:tc>
          <w:tcPr>
            <w:tcW w:w="1566" w:type="dxa"/>
            <w:shd w:val="clear" w:color="auto" w:fill="F2F2F2" w:themeFill="background1" w:themeFillShade="F2"/>
            <w:vAlign w:val="bottom"/>
          </w:tcPr>
          <w:p w14:paraId="5470DC08" w14:textId="4C3CE395" w:rsidR="0099335F" w:rsidRPr="002005AE" w:rsidRDefault="0099335F" w:rsidP="00775705">
            <w:pPr>
              <w:keepNext/>
              <w:keepLines/>
              <w:spacing w:before="20" w:after="20"/>
              <w:jc w:val="center"/>
              <w:rPr>
                <w:rFonts w:cstheme="minorHAnsi"/>
                <w:b/>
                <w:sz w:val="20"/>
                <w:szCs w:val="20"/>
              </w:rPr>
            </w:pPr>
            <w:r>
              <w:rPr>
                <w:rFonts w:cstheme="minorHAnsi"/>
                <w:b/>
                <w:sz w:val="20"/>
                <w:szCs w:val="20"/>
              </w:rPr>
              <w:t>Value</w:t>
            </w:r>
          </w:p>
        </w:tc>
        <w:tc>
          <w:tcPr>
            <w:tcW w:w="5998" w:type="dxa"/>
            <w:shd w:val="clear" w:color="auto" w:fill="F2F2F2" w:themeFill="background1" w:themeFillShade="F2"/>
            <w:vAlign w:val="bottom"/>
          </w:tcPr>
          <w:p w14:paraId="46BB9894" w14:textId="77777777" w:rsidR="0099335F" w:rsidRPr="002005AE" w:rsidRDefault="0099335F" w:rsidP="00775705">
            <w:pPr>
              <w:keepNext/>
              <w:keepLines/>
              <w:spacing w:before="20" w:after="20"/>
              <w:jc w:val="center"/>
              <w:rPr>
                <w:rFonts w:cstheme="minorHAnsi"/>
                <w:b/>
                <w:sz w:val="20"/>
                <w:szCs w:val="20"/>
              </w:rPr>
            </w:pPr>
            <w:r w:rsidRPr="002005AE">
              <w:rPr>
                <w:rFonts w:cstheme="minorHAnsi"/>
                <w:b/>
                <w:sz w:val="20"/>
                <w:szCs w:val="20"/>
              </w:rPr>
              <w:t>Source</w:t>
            </w:r>
          </w:p>
        </w:tc>
      </w:tr>
      <w:tr w:rsidR="0099335F" w:rsidRPr="008C6E1A" w14:paraId="7FC7774C" w14:textId="77777777" w:rsidTr="0099335F">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9B7B700" w14:textId="0C15EAA3" w:rsidR="0099335F" w:rsidRPr="008C6E1A" w:rsidRDefault="0099335F" w:rsidP="0099335F">
            <w:pPr>
              <w:keepNext/>
              <w:keepLines/>
              <w:spacing w:before="20" w:after="20"/>
              <w:ind w:left="154"/>
              <w:rPr>
                <w:sz w:val="20"/>
                <w:szCs w:val="20"/>
              </w:rPr>
            </w:pPr>
            <w:r w:rsidRPr="008C6E1A">
              <w:rPr>
                <w:sz w:val="20"/>
                <w:szCs w:val="20"/>
              </w:rPr>
              <w:t>EUL (yrs)</w:t>
            </w:r>
            <w:r w:rsidR="008302D3" w:rsidRPr="008C6E1A">
              <w:rPr>
                <w:sz w:val="20"/>
                <w:szCs w:val="20"/>
              </w:rPr>
              <w:t xml:space="preserve"> </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7F4475A" w14:textId="77777777" w:rsidR="0099335F" w:rsidRPr="008C6E1A" w:rsidRDefault="0099335F" w:rsidP="0099335F">
            <w:pPr>
              <w:keepNext/>
              <w:keepLines/>
              <w:spacing w:before="20" w:after="20"/>
              <w:jc w:val="center"/>
              <w:rPr>
                <w:sz w:val="20"/>
                <w:szCs w:val="20"/>
              </w:rPr>
            </w:pPr>
            <w:r w:rsidRPr="008C6E1A">
              <w:rPr>
                <w:sz w:val="20"/>
                <w:szCs w:val="20"/>
              </w:rPr>
              <w:t>15.0</w:t>
            </w:r>
          </w:p>
        </w:tc>
        <w:tc>
          <w:tcPr>
            <w:tcW w:w="5998" w:type="dxa"/>
            <w:vAlign w:val="center"/>
          </w:tcPr>
          <w:p w14:paraId="1D34705E" w14:textId="556A1118" w:rsidR="0099335F" w:rsidRPr="008C6E1A" w:rsidRDefault="0099335F" w:rsidP="00826AF0">
            <w:pPr>
              <w:keepNext/>
              <w:keepLines/>
              <w:spacing w:before="20" w:after="20"/>
              <w:rPr>
                <w:sz w:val="20"/>
                <w:szCs w:val="20"/>
              </w:rPr>
            </w:pPr>
            <w:r w:rsidRPr="008C6E1A">
              <w:rPr>
                <w:rStyle w:val="eTRMFootnoteTextChar"/>
              </w:rPr>
              <w:t xml:space="preserve">California Utilities Statewide Codes and Standards Team. 2011. </w:t>
            </w:r>
            <w:r w:rsidRPr="008C6E1A">
              <w:rPr>
                <w:rStyle w:val="eTRMFootnoteTextChar"/>
                <w:i/>
              </w:rPr>
              <w:t>Codes and Standards Enhancement Initiative (CASE), Multifamily Central DHW and Solar Water Heating, 2013 California Building Energy Efficiency Standards.</w:t>
            </w:r>
          </w:p>
        </w:tc>
      </w:tr>
      <w:tr w:rsidR="00046224" w:rsidRPr="008C6E1A" w14:paraId="26DB47DE" w14:textId="77777777" w:rsidTr="0099335F">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63D2451B" w14:textId="218D141F" w:rsidR="00046224" w:rsidRPr="008C6E1A" w:rsidRDefault="00046224" w:rsidP="0099335F">
            <w:pPr>
              <w:keepNext/>
              <w:keepLines/>
              <w:spacing w:before="20" w:after="20"/>
              <w:ind w:left="154"/>
              <w:rPr>
                <w:sz w:val="20"/>
                <w:szCs w:val="20"/>
              </w:rPr>
            </w:pPr>
            <w:r>
              <w:rPr>
                <w:sz w:val="20"/>
                <w:szCs w:val="20"/>
              </w:rPr>
              <w:t>EUL (yrs) – host motor pump</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4B1F633" w14:textId="4E9D739E" w:rsidR="00046224" w:rsidRPr="008C6E1A" w:rsidRDefault="00046224" w:rsidP="0099335F">
            <w:pPr>
              <w:keepNext/>
              <w:keepLines/>
              <w:spacing w:before="20" w:after="20"/>
              <w:jc w:val="center"/>
              <w:rPr>
                <w:sz w:val="20"/>
                <w:szCs w:val="20"/>
              </w:rPr>
            </w:pPr>
            <w:r>
              <w:rPr>
                <w:sz w:val="20"/>
                <w:szCs w:val="20"/>
              </w:rPr>
              <w:t>15.0</w:t>
            </w:r>
          </w:p>
        </w:tc>
        <w:tc>
          <w:tcPr>
            <w:tcW w:w="5998" w:type="dxa"/>
            <w:vAlign w:val="center"/>
          </w:tcPr>
          <w:p w14:paraId="0A3ED0C2" w14:textId="6A11BA02" w:rsidR="00046224" w:rsidRPr="001C5866" w:rsidRDefault="001C5866" w:rsidP="00826AF0">
            <w:pPr>
              <w:keepNext/>
              <w:keepLines/>
              <w:spacing w:before="20" w:after="20"/>
              <w:rPr>
                <w:rStyle w:val="eTRMFootnoteTextChar"/>
              </w:rPr>
            </w:pPr>
            <w:r w:rsidRPr="001C5866">
              <w:rPr>
                <w:sz w:val="18"/>
              </w:rPr>
              <w:t>California Public Utilities Commission (CPUC). 2008. “EUL_Summary_10-1-08.xls.”</w:t>
            </w:r>
          </w:p>
        </w:tc>
      </w:tr>
      <w:tr w:rsidR="0099335F" w:rsidRPr="008C6E1A" w14:paraId="300903FA" w14:textId="77777777" w:rsidTr="0099335F">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2238A4CF" w14:textId="77777777" w:rsidR="0099335F" w:rsidRPr="008C6E1A" w:rsidRDefault="0099335F" w:rsidP="0099335F">
            <w:pPr>
              <w:keepNext/>
              <w:keepLines/>
              <w:spacing w:before="20" w:after="20"/>
              <w:ind w:left="154"/>
              <w:rPr>
                <w:sz w:val="20"/>
                <w:szCs w:val="20"/>
              </w:rPr>
            </w:pPr>
            <w:r w:rsidRPr="008C6E1A">
              <w:rPr>
                <w:sz w:val="20"/>
                <w:szCs w:val="20"/>
              </w:rPr>
              <w:t>RUL (yrs)</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721758F6" w14:textId="576E3F79" w:rsidR="0099335F" w:rsidRPr="008C6E1A" w:rsidRDefault="00046224" w:rsidP="0099335F">
            <w:pPr>
              <w:keepNext/>
              <w:keepLines/>
              <w:spacing w:before="20" w:after="20"/>
              <w:jc w:val="center"/>
              <w:rPr>
                <w:sz w:val="20"/>
                <w:szCs w:val="20"/>
              </w:rPr>
            </w:pPr>
            <w:r>
              <w:rPr>
                <w:sz w:val="20"/>
                <w:szCs w:val="20"/>
              </w:rPr>
              <w:t>5.0</w:t>
            </w:r>
          </w:p>
        </w:tc>
        <w:tc>
          <w:tcPr>
            <w:tcW w:w="5998" w:type="dxa"/>
            <w:vAlign w:val="center"/>
          </w:tcPr>
          <w:p w14:paraId="58EA4FEC" w14:textId="2488BF35" w:rsidR="0099335F" w:rsidRPr="008C6E1A" w:rsidRDefault="008A1B5A" w:rsidP="008A1B5A">
            <w:pPr>
              <w:keepNext/>
              <w:keepLines/>
              <w:spacing w:before="20" w:after="20"/>
              <w:rPr>
                <w:sz w:val="20"/>
                <w:szCs w:val="20"/>
              </w:rPr>
            </w:pPr>
            <w:r w:rsidRPr="008C6E1A">
              <w:rPr>
                <w:sz w:val="20"/>
                <w:szCs w:val="20"/>
              </w:rPr>
              <w:t>-</w:t>
            </w:r>
          </w:p>
        </w:tc>
      </w:tr>
    </w:tbl>
    <w:p w14:paraId="23A2C06C" w14:textId="77777777" w:rsidR="004C230B" w:rsidRPr="008C6E1A" w:rsidRDefault="004C230B" w:rsidP="004C230B">
      <w:pPr>
        <w:tabs>
          <w:tab w:val="left" w:pos="2074"/>
        </w:tabs>
        <w:rPr>
          <w:rFonts w:asciiTheme="minorHAnsi" w:hAnsiTheme="minorHAnsi" w:cstheme="minorHAnsi"/>
          <w:szCs w:val="22"/>
        </w:rPr>
      </w:pPr>
    </w:p>
    <w:p w14:paraId="3B14B593" w14:textId="77777777" w:rsidR="007D230B" w:rsidRPr="004B06E3" w:rsidRDefault="007D230B" w:rsidP="00EE4D02">
      <w:pPr>
        <w:pStyle w:val="eTRMHeading3"/>
      </w:pPr>
      <w:bookmarkStart w:id="50" w:name="_Toc2250561"/>
      <w:r w:rsidRPr="004B06E3">
        <w:t>Base Case Material Cost ($/unit)</w:t>
      </w:r>
      <w:bookmarkEnd w:id="45"/>
      <w:bookmarkEnd w:id="46"/>
      <w:bookmarkEnd w:id="50"/>
    </w:p>
    <w:p w14:paraId="5F1990EF" w14:textId="7BB009D5" w:rsidR="008E1E19" w:rsidRPr="004041B3" w:rsidRDefault="008E1E19" w:rsidP="00A04562">
      <w:pPr>
        <w:rPr>
          <w:b/>
          <w:bCs/>
        </w:rPr>
      </w:pPr>
      <w:r w:rsidRPr="004041B3">
        <w:rPr>
          <w:b/>
          <w:bCs/>
        </w:rPr>
        <w:t>Multifamily:</w:t>
      </w:r>
    </w:p>
    <w:p w14:paraId="6DDF9092" w14:textId="76BFAAFE" w:rsidR="008E1E19" w:rsidRDefault="00A04562" w:rsidP="00A04562">
      <w:r w:rsidRPr="003760E3">
        <w:t xml:space="preserve">The base case domestic hot water recirculation system includes an uncontrolled, constant speed, fractional horsepower pump. Because this </w:t>
      </w:r>
      <w:r w:rsidR="008C6E1A" w:rsidRPr="003760E3">
        <w:t>measure is applicable only for add-on equipment installations</w:t>
      </w:r>
      <w:r w:rsidR="00C85B47" w:rsidRPr="003760E3">
        <w:t>, the</w:t>
      </w:r>
      <w:r w:rsidRPr="003760E3">
        <w:t xml:space="preserve"> base case cost</w:t>
      </w:r>
      <w:r w:rsidR="00C85B47" w:rsidRPr="003760E3">
        <w:t xml:space="preserve"> is </w:t>
      </w:r>
      <w:r w:rsidR="008C6E1A" w:rsidRPr="003760E3">
        <w:t>$0</w:t>
      </w:r>
      <w:r w:rsidR="00A47D17" w:rsidRPr="003760E3">
        <w:t>.</w:t>
      </w:r>
      <w:r>
        <w:t xml:space="preserve"> </w:t>
      </w:r>
    </w:p>
    <w:p w14:paraId="618ABCB0" w14:textId="54678F66" w:rsidR="008E1E19" w:rsidRPr="004041B3" w:rsidRDefault="008E1E19" w:rsidP="00A04562">
      <w:pPr>
        <w:rPr>
          <w:b/>
          <w:bCs/>
        </w:rPr>
      </w:pPr>
      <w:r w:rsidRPr="004041B3">
        <w:rPr>
          <w:b/>
          <w:bCs/>
        </w:rPr>
        <w:t>Commercial:</w:t>
      </w:r>
    </w:p>
    <w:p w14:paraId="1FC8D982" w14:textId="737E122E" w:rsidR="00111D45" w:rsidRPr="00F62F16" w:rsidRDefault="00111D45" w:rsidP="00111D45">
      <w:r w:rsidRPr="00111D45">
        <w:t>The base case domestic hot wate</w:t>
      </w:r>
      <w:r w:rsidRPr="004070A1">
        <w:t xml:space="preserve">r recirculation system includes an uncontrolled, constant speed, fractional horsepower pump. </w:t>
      </w:r>
      <w:r w:rsidR="00091088" w:rsidRPr="003760E3">
        <w:t>Because this measure is applicable only for add-on equipment installations, the base case cost is $0.</w:t>
      </w:r>
    </w:p>
    <w:p w14:paraId="12CE0C57" w14:textId="77777777" w:rsidR="00085628" w:rsidRPr="00C212F2" w:rsidRDefault="00085628" w:rsidP="00484BFC"/>
    <w:p w14:paraId="44E8DBEB" w14:textId="77777777" w:rsidR="007D230B" w:rsidRPr="004B06E3" w:rsidRDefault="007D230B" w:rsidP="00EE4D02">
      <w:pPr>
        <w:pStyle w:val="eTRMHeading3"/>
      </w:pPr>
      <w:bookmarkStart w:id="51" w:name="_Toc486490861"/>
      <w:bookmarkStart w:id="52" w:name="_Toc486580932"/>
      <w:bookmarkStart w:id="53" w:name="_Toc2250562"/>
      <w:r w:rsidRPr="004B06E3">
        <w:t>Measure Case Material Cost ($/unit)</w:t>
      </w:r>
      <w:bookmarkEnd w:id="51"/>
      <w:bookmarkEnd w:id="52"/>
      <w:bookmarkEnd w:id="53"/>
    </w:p>
    <w:p w14:paraId="13E70CC9" w14:textId="028BDF2F" w:rsidR="00786B04" w:rsidRPr="004041B3" w:rsidRDefault="00786B04" w:rsidP="00633C64">
      <w:pPr>
        <w:rPr>
          <w:b/>
          <w:bCs/>
        </w:rPr>
      </w:pPr>
      <w:r w:rsidRPr="004041B3">
        <w:rPr>
          <w:b/>
          <w:bCs/>
        </w:rPr>
        <w:t>Multifamily:</w:t>
      </w:r>
    </w:p>
    <w:p w14:paraId="04BB0367" w14:textId="3CA15282" w:rsidR="00AC3167" w:rsidRDefault="00A04562" w:rsidP="00633C64">
      <w:pPr>
        <w:rPr>
          <w:rFonts w:eastAsia="Times New Roman" w:cstheme="minorHAnsi"/>
        </w:rPr>
      </w:pPr>
      <w:r>
        <w:t xml:space="preserve">Implementation of the on-demand domestic hot water recirculation pump controller requires removal of the base case pump and the installation of a new recirculation pump with VFD and controllers. </w:t>
      </w:r>
      <w:r w:rsidR="008C6E1A" w:rsidRPr="008C6E1A">
        <w:t>The</w:t>
      </w:r>
      <w:r w:rsidR="00826AF0">
        <w:t xml:space="preserve"> measure cost </w:t>
      </w:r>
      <w:r w:rsidR="009C5750">
        <w:rPr>
          <w:rFonts w:eastAsia="Times New Roman" w:cstheme="minorHAnsi"/>
        </w:rPr>
        <w:t xml:space="preserve">was </w:t>
      </w:r>
      <w:r w:rsidR="00BA4302">
        <w:rPr>
          <w:rFonts w:eastAsia="Times New Roman" w:cstheme="minorHAnsi"/>
        </w:rPr>
        <w:t xml:space="preserve">derived from data </w:t>
      </w:r>
      <w:r w:rsidR="003760E3">
        <w:rPr>
          <w:rFonts w:eastAsia="Times New Roman" w:cstheme="minorHAnsi"/>
        </w:rPr>
        <w:t>obtained</w:t>
      </w:r>
      <w:r w:rsidR="009C5750">
        <w:rPr>
          <w:rFonts w:eastAsia="Times New Roman" w:cstheme="minorHAnsi"/>
        </w:rPr>
        <w:t xml:space="preserve"> from</w:t>
      </w:r>
      <w:r w:rsidR="00BA4302">
        <w:rPr>
          <w:rFonts w:eastAsia="Times New Roman" w:cstheme="minorHAnsi"/>
        </w:rPr>
        <w:t xml:space="preserve"> an equipment manufacturer</w:t>
      </w:r>
      <w:r w:rsidR="009C5750">
        <w:rPr>
          <w:rFonts w:eastAsia="Times New Roman" w:cstheme="minorHAnsi"/>
        </w:rPr>
        <w:t xml:space="preserve"> of the demand control recirculation pump.</w:t>
      </w:r>
      <w:r w:rsidR="00BA4302">
        <w:rPr>
          <w:rStyle w:val="FootnoteReference"/>
          <w:rFonts w:eastAsia="Times New Roman" w:cstheme="minorHAnsi"/>
        </w:rPr>
        <w:footnoteReference w:id="20"/>
      </w:r>
      <w:r w:rsidR="009C5750">
        <w:rPr>
          <w:rFonts w:eastAsia="Times New Roman" w:cstheme="minorHAnsi"/>
        </w:rPr>
        <w:t xml:space="preserve"> At the time the analysis was undertaken, only a</w:t>
      </w:r>
      <w:r w:rsidR="002C5840">
        <w:rPr>
          <w:rFonts w:eastAsia="Times New Roman" w:cstheme="minorHAnsi"/>
        </w:rPr>
        <w:t xml:space="preserve"> 1/6-</w:t>
      </w:r>
      <w:r w:rsidR="009C5750">
        <w:rPr>
          <w:rFonts w:eastAsia="Times New Roman" w:cstheme="minorHAnsi"/>
        </w:rPr>
        <w:t xml:space="preserve">hp pump is commercially </w:t>
      </w:r>
      <w:r w:rsidR="009C5750">
        <w:rPr>
          <w:rFonts w:eastAsia="Times New Roman" w:cstheme="minorHAnsi"/>
        </w:rPr>
        <w:lastRenderedPageBreak/>
        <w:t xml:space="preserve">available by the manufacturer. The </w:t>
      </w:r>
      <w:r w:rsidR="00424B0C">
        <w:rPr>
          <w:rFonts w:eastAsia="Times New Roman" w:cstheme="minorHAnsi"/>
        </w:rPr>
        <w:t xml:space="preserve">average </w:t>
      </w:r>
      <w:r w:rsidR="009C5750">
        <w:rPr>
          <w:rFonts w:eastAsia="Times New Roman" w:cstheme="minorHAnsi"/>
        </w:rPr>
        <w:t>cost for a new recirculation pump was calculated as the average of the cost for</w:t>
      </w:r>
      <w:r w:rsidR="00424B0C">
        <w:rPr>
          <w:rFonts w:eastAsia="Times New Roman" w:cstheme="minorHAnsi"/>
        </w:rPr>
        <w:t xml:space="preserve"> the</w:t>
      </w:r>
      <w:r w:rsidR="009C5750">
        <w:rPr>
          <w:rFonts w:eastAsia="Times New Roman" w:cstheme="minorHAnsi"/>
        </w:rPr>
        <w:t xml:space="preserve"> basic “T” size and larger “T” size pump</w:t>
      </w:r>
      <w:r w:rsidR="00424B0C">
        <w:rPr>
          <w:rFonts w:eastAsia="Times New Roman" w:cstheme="minorHAnsi"/>
        </w:rPr>
        <w:t>s</w:t>
      </w:r>
      <w:r w:rsidR="009C5750">
        <w:rPr>
          <w:rFonts w:eastAsia="Times New Roman" w:cstheme="minorHAnsi"/>
        </w:rPr>
        <w:t xml:space="preserve">. </w:t>
      </w:r>
    </w:p>
    <w:p w14:paraId="43853FC5" w14:textId="7D2B647D" w:rsidR="00633C64" w:rsidRDefault="00424B0C" w:rsidP="00633C64">
      <w:pPr>
        <w:rPr>
          <w:rFonts w:eastAsia="Times New Roman" w:cstheme="minorHAnsi"/>
        </w:rPr>
      </w:pPr>
      <w:r>
        <w:rPr>
          <w:rFonts w:eastAsia="Times New Roman" w:cstheme="minorHAnsi"/>
        </w:rPr>
        <w:t>This average cost was then divided by the number of dwelling units (in increments of five units up to 50 units) to derive the measure case material cost per multifamily dwelling unit.</w:t>
      </w:r>
    </w:p>
    <w:p w14:paraId="60E8D250" w14:textId="50A97119" w:rsidR="009C5750" w:rsidRDefault="004860A1" w:rsidP="004041B3">
      <w:pPr>
        <w:pStyle w:val="Caption"/>
      </w:pPr>
      <w:r>
        <w:t xml:space="preserve">Measure Case </w:t>
      </w:r>
      <w:r w:rsidR="009C5750">
        <w:t>Material Cost Inputs</w:t>
      </w:r>
    </w:p>
    <w:tbl>
      <w:tblPr>
        <w:tblW w:w="95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971"/>
        <w:gridCol w:w="1566"/>
        <w:gridCol w:w="5998"/>
      </w:tblGrid>
      <w:tr w:rsidR="009C5750" w:rsidRPr="002005AE" w14:paraId="49C0B133" w14:textId="77777777" w:rsidTr="00424B0C">
        <w:trPr>
          <w:cantSplit/>
          <w:trHeight w:val="20"/>
        </w:trPr>
        <w:tc>
          <w:tcPr>
            <w:tcW w:w="1971" w:type="dxa"/>
            <w:shd w:val="clear" w:color="auto" w:fill="F2F2F2" w:themeFill="background1" w:themeFillShade="F2"/>
            <w:vAlign w:val="bottom"/>
          </w:tcPr>
          <w:p w14:paraId="427571FE" w14:textId="2B9A432A" w:rsidR="009C5750" w:rsidRPr="002005AE" w:rsidRDefault="00575272" w:rsidP="00424B0C">
            <w:pPr>
              <w:keepNext/>
              <w:keepLines/>
              <w:spacing w:before="0" w:after="0" w:line="240" w:lineRule="auto"/>
              <w:jc w:val="center"/>
              <w:rPr>
                <w:rFonts w:cstheme="minorHAnsi"/>
                <w:b/>
                <w:sz w:val="20"/>
                <w:szCs w:val="20"/>
              </w:rPr>
            </w:pPr>
            <w:r>
              <w:rPr>
                <w:rFonts w:cstheme="minorHAnsi"/>
                <w:b/>
                <w:sz w:val="20"/>
                <w:szCs w:val="20"/>
              </w:rPr>
              <w:t>Pump Model</w:t>
            </w:r>
          </w:p>
        </w:tc>
        <w:tc>
          <w:tcPr>
            <w:tcW w:w="1566" w:type="dxa"/>
            <w:shd w:val="clear" w:color="auto" w:fill="F2F2F2" w:themeFill="background1" w:themeFillShade="F2"/>
            <w:vAlign w:val="bottom"/>
          </w:tcPr>
          <w:p w14:paraId="2EA2EDD3" w14:textId="52AA5FA4" w:rsidR="009C5750" w:rsidRPr="002005AE" w:rsidRDefault="009C5750" w:rsidP="00424B0C">
            <w:pPr>
              <w:keepNext/>
              <w:keepLines/>
              <w:spacing w:before="0" w:after="0" w:line="240" w:lineRule="auto"/>
              <w:jc w:val="center"/>
              <w:rPr>
                <w:rFonts w:cstheme="minorHAnsi"/>
                <w:b/>
                <w:sz w:val="20"/>
                <w:szCs w:val="20"/>
              </w:rPr>
            </w:pPr>
            <w:r>
              <w:rPr>
                <w:rFonts w:cstheme="minorHAnsi"/>
                <w:b/>
                <w:sz w:val="20"/>
                <w:szCs w:val="20"/>
              </w:rPr>
              <w:t>Pump Cost</w:t>
            </w:r>
          </w:p>
        </w:tc>
        <w:tc>
          <w:tcPr>
            <w:tcW w:w="5998" w:type="dxa"/>
            <w:shd w:val="clear" w:color="auto" w:fill="F2F2F2" w:themeFill="background1" w:themeFillShade="F2"/>
            <w:vAlign w:val="bottom"/>
          </w:tcPr>
          <w:p w14:paraId="3B8A753E" w14:textId="77777777" w:rsidR="009C5750" w:rsidRPr="002005AE" w:rsidRDefault="009C5750" w:rsidP="00424B0C">
            <w:pPr>
              <w:keepNext/>
              <w:keepLines/>
              <w:spacing w:before="0" w:after="0" w:line="240" w:lineRule="auto"/>
              <w:jc w:val="center"/>
              <w:rPr>
                <w:rFonts w:cstheme="minorHAnsi"/>
                <w:b/>
                <w:sz w:val="20"/>
                <w:szCs w:val="20"/>
              </w:rPr>
            </w:pPr>
            <w:r w:rsidRPr="002005AE">
              <w:rPr>
                <w:rFonts w:cstheme="minorHAnsi"/>
                <w:b/>
                <w:sz w:val="20"/>
                <w:szCs w:val="20"/>
              </w:rPr>
              <w:t>Source</w:t>
            </w:r>
          </w:p>
        </w:tc>
      </w:tr>
      <w:tr w:rsidR="00BA4302" w:rsidRPr="008C6E1A" w14:paraId="0288B551" w14:textId="77777777" w:rsidTr="00424B0C">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005ADE07" w14:textId="700D3B4E" w:rsidR="00BA4302" w:rsidRPr="008C6E1A" w:rsidRDefault="00BA4302" w:rsidP="00424B0C">
            <w:pPr>
              <w:keepNext/>
              <w:keepLines/>
              <w:spacing w:before="0" w:after="0" w:line="240" w:lineRule="auto"/>
              <w:ind w:left="154"/>
              <w:rPr>
                <w:sz w:val="20"/>
                <w:szCs w:val="20"/>
              </w:rPr>
            </w:pPr>
            <w:r>
              <w:rPr>
                <w:sz w:val="20"/>
                <w:szCs w:val="20"/>
              </w:rPr>
              <w:t>Basic “T” size</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904669E" w14:textId="46E7A474" w:rsidR="00BA4302" w:rsidRPr="008C6E1A" w:rsidRDefault="00BA4302" w:rsidP="00424B0C">
            <w:pPr>
              <w:keepNext/>
              <w:keepLines/>
              <w:spacing w:before="0" w:after="0" w:line="240" w:lineRule="auto"/>
              <w:jc w:val="center"/>
              <w:rPr>
                <w:sz w:val="20"/>
                <w:szCs w:val="20"/>
              </w:rPr>
            </w:pPr>
            <w:r>
              <w:rPr>
                <w:sz w:val="20"/>
                <w:szCs w:val="20"/>
              </w:rPr>
              <w:t>$1,595.00</w:t>
            </w:r>
          </w:p>
        </w:tc>
        <w:tc>
          <w:tcPr>
            <w:tcW w:w="5998" w:type="dxa"/>
            <w:vMerge w:val="restart"/>
            <w:vAlign w:val="center"/>
          </w:tcPr>
          <w:p w14:paraId="78E19E74" w14:textId="4C4D061F" w:rsidR="00BA4302" w:rsidRPr="00BA4302" w:rsidRDefault="00BA4302" w:rsidP="00424B0C">
            <w:pPr>
              <w:keepNext/>
              <w:keepLines/>
              <w:spacing w:before="0" w:after="0" w:line="240" w:lineRule="auto"/>
              <w:rPr>
                <w:sz w:val="18"/>
                <w:szCs w:val="20"/>
              </w:rPr>
            </w:pPr>
            <w:bookmarkStart w:id="54" w:name="_Hlk2154255"/>
            <w:r w:rsidRPr="00BA4302">
              <w:rPr>
                <w:sz w:val="18"/>
                <w:szCs w:val="20"/>
              </w:rPr>
              <w:t>Southern California Gas Company. 2011. “WPSCREWP0002.0_11_17_11 Cost Analysis.xlsx.”</w:t>
            </w:r>
            <w:bookmarkEnd w:id="54"/>
          </w:p>
        </w:tc>
      </w:tr>
      <w:tr w:rsidR="00BA4302" w:rsidRPr="008C6E1A" w14:paraId="24C45F52" w14:textId="77777777" w:rsidTr="00424B0C">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51A08A90" w14:textId="55F0F0E0" w:rsidR="00BA4302" w:rsidRPr="008C6E1A" w:rsidRDefault="00BA4302" w:rsidP="00424B0C">
            <w:pPr>
              <w:keepNext/>
              <w:keepLines/>
              <w:spacing w:before="0" w:after="0" w:line="240" w:lineRule="auto"/>
              <w:ind w:left="154"/>
              <w:rPr>
                <w:sz w:val="20"/>
                <w:szCs w:val="20"/>
              </w:rPr>
            </w:pPr>
            <w:r>
              <w:rPr>
                <w:sz w:val="20"/>
                <w:szCs w:val="20"/>
              </w:rPr>
              <w:t>Larger “T” size</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6F0A19D" w14:textId="0ACEE6E6" w:rsidR="00BA4302" w:rsidRPr="008C6E1A" w:rsidRDefault="00BA4302" w:rsidP="00424B0C">
            <w:pPr>
              <w:keepNext/>
              <w:keepLines/>
              <w:spacing w:before="0" w:after="0" w:line="240" w:lineRule="auto"/>
              <w:jc w:val="center"/>
              <w:rPr>
                <w:sz w:val="20"/>
                <w:szCs w:val="20"/>
              </w:rPr>
            </w:pPr>
            <w:r>
              <w:rPr>
                <w:sz w:val="20"/>
                <w:szCs w:val="20"/>
              </w:rPr>
              <w:t>$1,670.00</w:t>
            </w:r>
          </w:p>
        </w:tc>
        <w:tc>
          <w:tcPr>
            <w:tcW w:w="5998" w:type="dxa"/>
            <w:vMerge/>
            <w:vAlign w:val="center"/>
          </w:tcPr>
          <w:p w14:paraId="2874D2B6" w14:textId="141C7386" w:rsidR="00BA4302" w:rsidRPr="008C6E1A" w:rsidRDefault="00BA4302" w:rsidP="00424B0C">
            <w:pPr>
              <w:keepNext/>
              <w:keepLines/>
              <w:spacing w:before="0" w:after="0" w:line="240" w:lineRule="auto"/>
              <w:rPr>
                <w:sz w:val="20"/>
                <w:szCs w:val="20"/>
              </w:rPr>
            </w:pPr>
          </w:p>
        </w:tc>
      </w:tr>
      <w:tr w:rsidR="00BA4302" w:rsidRPr="00424B0C" w14:paraId="2FF3FC22" w14:textId="77777777" w:rsidTr="00424B0C">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7759FCFC" w14:textId="13E2C07F" w:rsidR="00BA4302" w:rsidRPr="00424B0C" w:rsidRDefault="00BA4302" w:rsidP="00424B0C">
            <w:pPr>
              <w:keepNext/>
              <w:keepLines/>
              <w:spacing w:before="0" w:after="0" w:line="240" w:lineRule="auto"/>
              <w:ind w:left="154"/>
              <w:rPr>
                <w:b/>
                <w:sz w:val="20"/>
                <w:szCs w:val="20"/>
              </w:rPr>
            </w:pPr>
            <w:r w:rsidRPr="00424B0C">
              <w:rPr>
                <w:b/>
                <w:sz w:val="20"/>
                <w:szCs w:val="20"/>
              </w:rPr>
              <w:t>Average</w:t>
            </w:r>
            <w:r>
              <w:rPr>
                <w:b/>
                <w:sz w:val="20"/>
                <w:szCs w:val="20"/>
              </w:rPr>
              <w:t xml:space="preserve"> Pump Cost</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524B3FA4" w14:textId="39E86CAB" w:rsidR="00BA4302" w:rsidRPr="00424B0C" w:rsidRDefault="00BA4302" w:rsidP="00424B0C">
            <w:pPr>
              <w:keepNext/>
              <w:keepLines/>
              <w:spacing w:before="0" w:after="0" w:line="240" w:lineRule="auto"/>
              <w:jc w:val="center"/>
              <w:rPr>
                <w:b/>
                <w:sz w:val="20"/>
                <w:szCs w:val="20"/>
              </w:rPr>
            </w:pPr>
            <w:r w:rsidRPr="00424B0C">
              <w:rPr>
                <w:b/>
                <w:sz w:val="20"/>
                <w:szCs w:val="20"/>
              </w:rPr>
              <w:t>$1,632.00</w:t>
            </w:r>
          </w:p>
        </w:tc>
        <w:tc>
          <w:tcPr>
            <w:tcW w:w="5998" w:type="dxa"/>
            <w:vMerge/>
            <w:vAlign w:val="center"/>
          </w:tcPr>
          <w:p w14:paraId="2BD5463A" w14:textId="77777777" w:rsidR="00BA4302" w:rsidRPr="00424B0C" w:rsidRDefault="00BA4302" w:rsidP="00424B0C">
            <w:pPr>
              <w:keepNext/>
              <w:keepLines/>
              <w:spacing w:before="0" w:after="0" w:line="240" w:lineRule="auto"/>
              <w:rPr>
                <w:b/>
                <w:sz w:val="20"/>
                <w:szCs w:val="20"/>
              </w:rPr>
            </w:pPr>
          </w:p>
        </w:tc>
      </w:tr>
    </w:tbl>
    <w:p w14:paraId="232282F5" w14:textId="64569AD9" w:rsidR="009C5750" w:rsidRPr="004041B3" w:rsidRDefault="00786B04" w:rsidP="009C5750">
      <w:pPr>
        <w:rPr>
          <w:b/>
          <w:bCs/>
        </w:rPr>
      </w:pPr>
      <w:r w:rsidRPr="004041B3">
        <w:rPr>
          <w:b/>
          <w:bCs/>
        </w:rPr>
        <w:t>Commercial:</w:t>
      </w:r>
    </w:p>
    <w:p w14:paraId="52FB6429" w14:textId="5BA4BC12" w:rsidR="002931D8" w:rsidRPr="002931D8" w:rsidRDefault="002931D8" w:rsidP="002931D8">
      <w:bookmarkStart w:id="55" w:name="_Hlk25260620"/>
      <w:r w:rsidRPr="002931D8">
        <w:t xml:space="preserve">Implementation of the on-demand domestic hot water recirculation pump controller requires removal of the base case pump and the installation of a new recirculation pump with VFD and controllers. </w:t>
      </w:r>
      <w:r w:rsidR="00CE4C0E" w:rsidRPr="004041B3">
        <w:t xml:space="preserve">The </w:t>
      </w:r>
      <w:r w:rsidR="00C65EA3">
        <w:t>material</w:t>
      </w:r>
      <w:r w:rsidR="00CE4C0E" w:rsidRPr="004041B3">
        <w:t xml:space="preserve"> costs specified</w:t>
      </w:r>
      <w:r w:rsidR="00CE4C0E">
        <w:t xml:space="preserve"> in the table</w:t>
      </w:r>
      <w:r w:rsidR="00CE4C0E" w:rsidRPr="004041B3">
        <w:t xml:space="preserve"> below</w:t>
      </w:r>
      <w:r w:rsidRPr="002931D8">
        <w:rPr>
          <w:b/>
        </w:rPr>
        <w:t>,</w:t>
      </w:r>
      <w:r w:rsidRPr="002931D8">
        <w:t xml:space="preserve"> which was extracted from the </w:t>
      </w:r>
      <w:r w:rsidRPr="002931D8">
        <w:rPr>
          <w:i/>
        </w:rPr>
        <w:t>Variable Frequency Drive Hot Water Recirculation Pump Controller</w:t>
      </w:r>
      <w:r w:rsidR="003717ED">
        <w:rPr>
          <w:rStyle w:val="FootnoteReference"/>
          <w:i/>
        </w:rPr>
        <w:footnoteReference w:id="21"/>
      </w:r>
      <w:r w:rsidRPr="002931D8">
        <w:t xml:space="preserve"> study prepared by SCG’s Engineering Analysis Center, provides a </w:t>
      </w:r>
      <w:r w:rsidR="00ED13C0">
        <w:t>material</w:t>
      </w:r>
      <w:r w:rsidRPr="002931D8">
        <w:t xml:space="preserve"> cost estimate of $2,</w:t>
      </w:r>
      <w:r w:rsidR="00ED13C0">
        <w:t>1</w:t>
      </w:r>
      <w:r w:rsidRPr="002931D8">
        <w:t>00 (per system)</w:t>
      </w:r>
      <w:r w:rsidR="00ED13C0">
        <w:t>.</w:t>
      </w:r>
    </w:p>
    <w:p w14:paraId="113E51D6" w14:textId="2BDCBBCA" w:rsidR="002931D8" w:rsidRPr="004041B3" w:rsidRDefault="004860A1" w:rsidP="002931D8">
      <w:pPr>
        <w:rPr>
          <w:b/>
          <w:bCs/>
          <w:sz w:val="20"/>
          <w:szCs w:val="22"/>
        </w:rPr>
      </w:pPr>
      <w:r>
        <w:rPr>
          <w:b/>
          <w:bCs/>
          <w:sz w:val="20"/>
          <w:szCs w:val="22"/>
        </w:rPr>
        <w:t>Measure</w:t>
      </w:r>
      <w:r w:rsidR="00ED13C0" w:rsidRPr="004041B3">
        <w:rPr>
          <w:b/>
          <w:bCs/>
          <w:sz w:val="20"/>
          <w:szCs w:val="22"/>
        </w:rPr>
        <w:t xml:space="preserve"> Case </w:t>
      </w:r>
      <w:r w:rsidR="009743E7">
        <w:rPr>
          <w:b/>
          <w:bCs/>
          <w:sz w:val="20"/>
          <w:szCs w:val="22"/>
        </w:rPr>
        <w:t>Material</w:t>
      </w:r>
      <w:r w:rsidR="002931D8" w:rsidRPr="004041B3">
        <w:rPr>
          <w:b/>
          <w:bCs/>
          <w:sz w:val="20"/>
          <w:szCs w:val="22"/>
        </w:rPr>
        <w:t xml:space="preserve"> Costs</w:t>
      </w:r>
      <w:r>
        <w:rPr>
          <w:b/>
          <w:bCs/>
          <w:sz w:val="20"/>
          <w:szCs w:val="22"/>
        </w:rPr>
        <w:t xml:space="preserve"> Inputs</w:t>
      </w:r>
    </w:p>
    <w:tbl>
      <w:tblPr>
        <w:tblW w:w="66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0"/>
        <w:gridCol w:w="2220"/>
        <w:gridCol w:w="2220"/>
      </w:tblGrid>
      <w:tr w:rsidR="002931D8" w:rsidRPr="002931D8" w14:paraId="2BCD7A2D" w14:textId="77777777" w:rsidTr="004041B3">
        <w:trPr>
          <w:trHeight w:val="288"/>
        </w:trPr>
        <w:tc>
          <w:tcPr>
            <w:tcW w:w="2220" w:type="dxa"/>
            <w:shd w:val="clear" w:color="auto" w:fill="F2F2F2" w:themeFill="background1" w:themeFillShade="F2"/>
            <w:noWrap/>
            <w:vAlign w:val="bottom"/>
            <w:hideMark/>
          </w:tcPr>
          <w:p w14:paraId="1ED64986" w14:textId="77777777" w:rsidR="002931D8" w:rsidRPr="004041B3" w:rsidRDefault="002931D8" w:rsidP="004041B3">
            <w:pPr>
              <w:keepNext/>
              <w:keepLines/>
              <w:spacing w:before="0" w:after="0" w:line="240" w:lineRule="auto"/>
              <w:jc w:val="center"/>
              <w:rPr>
                <w:rFonts w:cstheme="minorHAnsi"/>
                <w:b/>
                <w:sz w:val="20"/>
                <w:szCs w:val="20"/>
              </w:rPr>
            </w:pPr>
            <w:r w:rsidRPr="004041B3">
              <w:rPr>
                <w:rFonts w:cstheme="minorHAnsi"/>
                <w:b/>
                <w:sz w:val="20"/>
                <w:szCs w:val="20"/>
              </w:rPr>
              <w:t>VFD Controller Cost</w:t>
            </w:r>
          </w:p>
        </w:tc>
        <w:tc>
          <w:tcPr>
            <w:tcW w:w="2220" w:type="dxa"/>
            <w:shd w:val="clear" w:color="auto" w:fill="F2F2F2" w:themeFill="background1" w:themeFillShade="F2"/>
            <w:noWrap/>
            <w:vAlign w:val="bottom"/>
            <w:hideMark/>
          </w:tcPr>
          <w:p w14:paraId="1DCF57CC" w14:textId="77777777" w:rsidR="002931D8" w:rsidRPr="004041B3" w:rsidRDefault="002931D8" w:rsidP="004041B3">
            <w:pPr>
              <w:keepNext/>
              <w:keepLines/>
              <w:spacing w:before="0" w:after="0" w:line="240" w:lineRule="auto"/>
              <w:jc w:val="center"/>
              <w:rPr>
                <w:rFonts w:cstheme="minorHAnsi"/>
                <w:b/>
                <w:sz w:val="20"/>
                <w:szCs w:val="20"/>
              </w:rPr>
            </w:pPr>
            <w:r w:rsidRPr="004041B3">
              <w:rPr>
                <w:rFonts w:cstheme="minorHAnsi"/>
                <w:b/>
                <w:sz w:val="20"/>
                <w:szCs w:val="20"/>
              </w:rPr>
              <w:t>VFD Enabled Pump Cost</w:t>
            </w:r>
          </w:p>
        </w:tc>
        <w:tc>
          <w:tcPr>
            <w:tcW w:w="2220" w:type="dxa"/>
            <w:shd w:val="clear" w:color="auto" w:fill="F2F2F2" w:themeFill="background1" w:themeFillShade="F2"/>
            <w:noWrap/>
            <w:vAlign w:val="bottom"/>
            <w:hideMark/>
          </w:tcPr>
          <w:p w14:paraId="4D7565C1" w14:textId="77777777" w:rsidR="002931D8" w:rsidRPr="004041B3" w:rsidRDefault="002931D8" w:rsidP="004041B3">
            <w:pPr>
              <w:keepNext/>
              <w:keepLines/>
              <w:spacing w:before="0" w:after="0" w:line="240" w:lineRule="auto"/>
              <w:jc w:val="center"/>
              <w:rPr>
                <w:rFonts w:cstheme="minorHAnsi"/>
                <w:b/>
                <w:sz w:val="20"/>
                <w:szCs w:val="20"/>
              </w:rPr>
            </w:pPr>
            <w:r w:rsidRPr="004041B3">
              <w:rPr>
                <w:rFonts w:cstheme="minorHAnsi"/>
                <w:b/>
                <w:sz w:val="20"/>
                <w:szCs w:val="20"/>
              </w:rPr>
              <w:t>Total System Costs</w:t>
            </w:r>
          </w:p>
        </w:tc>
      </w:tr>
      <w:tr w:rsidR="002931D8" w:rsidRPr="002931D8" w14:paraId="44F661BE" w14:textId="77777777" w:rsidTr="004041B3">
        <w:trPr>
          <w:trHeight w:val="288"/>
        </w:trPr>
        <w:tc>
          <w:tcPr>
            <w:tcW w:w="2220" w:type="dxa"/>
            <w:shd w:val="clear" w:color="auto" w:fill="FFFFFF" w:themeFill="background1"/>
            <w:noWrap/>
            <w:vAlign w:val="bottom"/>
            <w:hideMark/>
          </w:tcPr>
          <w:p w14:paraId="04D4DAC1" w14:textId="749703BC" w:rsidR="002931D8" w:rsidRPr="004041B3" w:rsidRDefault="002931D8" w:rsidP="004041B3">
            <w:pPr>
              <w:keepNext/>
              <w:keepLines/>
              <w:spacing w:before="0" w:after="0" w:line="240" w:lineRule="auto"/>
              <w:jc w:val="center"/>
              <w:rPr>
                <w:rFonts w:cstheme="minorHAnsi"/>
                <w:bCs/>
                <w:sz w:val="20"/>
                <w:szCs w:val="20"/>
              </w:rPr>
            </w:pPr>
            <w:r w:rsidRPr="004041B3">
              <w:rPr>
                <w:rFonts w:cstheme="minorHAnsi"/>
                <w:bCs/>
                <w:sz w:val="20"/>
                <w:szCs w:val="20"/>
              </w:rPr>
              <w:t xml:space="preserve"> $ 1,800 </w:t>
            </w:r>
          </w:p>
        </w:tc>
        <w:tc>
          <w:tcPr>
            <w:tcW w:w="2220" w:type="dxa"/>
            <w:shd w:val="clear" w:color="auto" w:fill="FFFFFF" w:themeFill="background1"/>
            <w:noWrap/>
            <w:vAlign w:val="bottom"/>
            <w:hideMark/>
          </w:tcPr>
          <w:p w14:paraId="74D8DFBF" w14:textId="016206BB" w:rsidR="002931D8" w:rsidRPr="004041B3" w:rsidRDefault="002931D8" w:rsidP="004041B3">
            <w:pPr>
              <w:keepNext/>
              <w:keepLines/>
              <w:spacing w:before="0" w:after="0" w:line="240" w:lineRule="auto"/>
              <w:jc w:val="center"/>
              <w:rPr>
                <w:rFonts w:cstheme="minorHAnsi"/>
                <w:bCs/>
                <w:sz w:val="20"/>
                <w:szCs w:val="20"/>
              </w:rPr>
            </w:pPr>
            <w:r w:rsidRPr="004041B3">
              <w:rPr>
                <w:rFonts w:cstheme="minorHAnsi"/>
                <w:bCs/>
                <w:sz w:val="20"/>
                <w:szCs w:val="20"/>
              </w:rPr>
              <w:t xml:space="preserve"> $ 300 </w:t>
            </w:r>
          </w:p>
        </w:tc>
        <w:tc>
          <w:tcPr>
            <w:tcW w:w="2220" w:type="dxa"/>
            <w:shd w:val="clear" w:color="auto" w:fill="FFFFFF" w:themeFill="background1"/>
            <w:noWrap/>
            <w:vAlign w:val="bottom"/>
            <w:hideMark/>
          </w:tcPr>
          <w:p w14:paraId="6372C4D7" w14:textId="493347AC" w:rsidR="002931D8" w:rsidRPr="004041B3" w:rsidRDefault="002931D8" w:rsidP="004041B3">
            <w:pPr>
              <w:keepNext/>
              <w:keepLines/>
              <w:spacing w:before="0" w:after="0" w:line="240" w:lineRule="auto"/>
              <w:jc w:val="center"/>
              <w:rPr>
                <w:rFonts w:cstheme="minorHAnsi"/>
                <w:bCs/>
                <w:sz w:val="20"/>
                <w:szCs w:val="20"/>
              </w:rPr>
            </w:pPr>
            <w:r w:rsidRPr="004041B3">
              <w:rPr>
                <w:rFonts w:cstheme="minorHAnsi"/>
                <w:bCs/>
                <w:sz w:val="20"/>
                <w:szCs w:val="20"/>
              </w:rPr>
              <w:t xml:space="preserve"> $ 2,</w:t>
            </w:r>
            <w:r w:rsidR="00ED13C0">
              <w:rPr>
                <w:rFonts w:cstheme="minorHAnsi"/>
                <w:bCs/>
                <w:sz w:val="20"/>
                <w:szCs w:val="20"/>
              </w:rPr>
              <w:t>1</w:t>
            </w:r>
            <w:r w:rsidRPr="004041B3">
              <w:rPr>
                <w:rFonts w:cstheme="minorHAnsi"/>
                <w:bCs/>
                <w:sz w:val="20"/>
                <w:szCs w:val="20"/>
              </w:rPr>
              <w:t xml:space="preserve">00 </w:t>
            </w:r>
          </w:p>
        </w:tc>
      </w:tr>
      <w:bookmarkEnd w:id="55"/>
    </w:tbl>
    <w:p w14:paraId="697F52EB" w14:textId="77777777" w:rsidR="00786B04" w:rsidRPr="009C5750" w:rsidRDefault="00786B04" w:rsidP="009C5750"/>
    <w:p w14:paraId="03BFA0A0" w14:textId="3E883E23" w:rsidR="008C6E1A" w:rsidRPr="004B06E3" w:rsidRDefault="008C6E1A" w:rsidP="008C6E1A">
      <w:pPr>
        <w:pStyle w:val="eTRMHeading3"/>
      </w:pPr>
      <w:bookmarkStart w:id="56" w:name="_Toc2250563"/>
      <w:r>
        <w:t xml:space="preserve">Base Case </w:t>
      </w:r>
      <w:r w:rsidRPr="004B06E3">
        <w:t>Labor Cost ($/unit)</w:t>
      </w:r>
      <w:bookmarkEnd w:id="56"/>
    </w:p>
    <w:p w14:paraId="4C889A98" w14:textId="4B55B349" w:rsidR="00F62F16" w:rsidRPr="004041B3" w:rsidRDefault="00F62F16" w:rsidP="008C6E1A">
      <w:pPr>
        <w:rPr>
          <w:b/>
          <w:bCs/>
        </w:rPr>
      </w:pPr>
      <w:r w:rsidRPr="004041B3">
        <w:rPr>
          <w:b/>
          <w:bCs/>
        </w:rPr>
        <w:t>Multifamily:</w:t>
      </w:r>
    </w:p>
    <w:p w14:paraId="33DBDD11" w14:textId="5A7B701B" w:rsidR="008C6E1A" w:rsidRDefault="008C6E1A" w:rsidP="008C6E1A">
      <w:r w:rsidRPr="003E267F">
        <w:t>The base case domestic hot water recirculation system includes an uncontrolled, constant speed, fractional horsepower pump. Because this measure is applicable only for add-on equipment installations, the base case labor cost is $0.</w:t>
      </w:r>
      <w:r>
        <w:t xml:space="preserve"> </w:t>
      </w:r>
    </w:p>
    <w:p w14:paraId="4CBEA81F" w14:textId="53FE3671" w:rsidR="00F62F16" w:rsidRPr="004041B3" w:rsidRDefault="00F62F16" w:rsidP="00F62F16">
      <w:pPr>
        <w:rPr>
          <w:b/>
          <w:bCs/>
        </w:rPr>
      </w:pPr>
      <w:r w:rsidRPr="004041B3">
        <w:rPr>
          <w:b/>
          <w:bCs/>
        </w:rPr>
        <w:t>Commercial:</w:t>
      </w:r>
    </w:p>
    <w:p w14:paraId="3F3BAB7B" w14:textId="47B500B4" w:rsidR="00F62F16" w:rsidRPr="00F62F16" w:rsidRDefault="00F62F16" w:rsidP="00F62F16">
      <w:r w:rsidRPr="00F62F16">
        <w:t xml:space="preserve">The base case domestic hot water recirculation system includes an uncontrolled, constant speed, fractional horsepower pump. </w:t>
      </w:r>
      <w:r w:rsidR="006B666B" w:rsidRPr="003E267F">
        <w:t>Because this measure is applicable only for add-on equipment installations, the base case labor cost is $0.</w:t>
      </w:r>
    </w:p>
    <w:p w14:paraId="383408A0" w14:textId="77777777" w:rsidR="00F62F16" w:rsidRDefault="00F62F16" w:rsidP="008C6E1A"/>
    <w:p w14:paraId="6EF9E47E" w14:textId="77777777" w:rsidR="008C6E1A" w:rsidRPr="00C212F2" w:rsidRDefault="008C6E1A" w:rsidP="004E05D0">
      <w:pPr>
        <w:pStyle w:val="Reminders"/>
        <w:rPr>
          <w:rFonts w:asciiTheme="minorHAnsi" w:hAnsiTheme="minorHAnsi" w:cstheme="minorHAnsi"/>
          <w:i w:val="0"/>
          <w:color w:val="auto"/>
          <w:sz w:val="22"/>
          <w:szCs w:val="22"/>
        </w:rPr>
      </w:pPr>
    </w:p>
    <w:p w14:paraId="02691007" w14:textId="041D1D99" w:rsidR="007D230B" w:rsidRPr="004B06E3" w:rsidRDefault="008C6E1A" w:rsidP="00EE4D02">
      <w:pPr>
        <w:pStyle w:val="eTRMHeading3"/>
      </w:pPr>
      <w:bookmarkStart w:id="57" w:name="_Toc486490862"/>
      <w:bookmarkStart w:id="58" w:name="_Toc486580933"/>
      <w:bookmarkStart w:id="59" w:name="_Toc2250564"/>
      <w:r>
        <w:t xml:space="preserve">Measure Case </w:t>
      </w:r>
      <w:r w:rsidR="007D230B" w:rsidRPr="004B06E3">
        <w:t>Labor Cost ($/unit)</w:t>
      </w:r>
      <w:bookmarkEnd w:id="57"/>
      <w:bookmarkEnd w:id="58"/>
      <w:bookmarkEnd w:id="59"/>
    </w:p>
    <w:p w14:paraId="517781E5" w14:textId="4C6502A4" w:rsidR="00185AC5" w:rsidRPr="004041B3" w:rsidRDefault="00185AC5" w:rsidP="00A81991">
      <w:pPr>
        <w:rPr>
          <w:b/>
          <w:bCs/>
        </w:rPr>
      </w:pPr>
      <w:r w:rsidRPr="004041B3">
        <w:rPr>
          <w:b/>
          <w:bCs/>
        </w:rPr>
        <w:t>Multifamily:</w:t>
      </w:r>
    </w:p>
    <w:p w14:paraId="372FBCF0" w14:textId="66B88FF4" w:rsidR="00A81991" w:rsidRDefault="00575272" w:rsidP="00A81991">
      <w:r>
        <w:t>The labor cost assumptions are specified in the table below. The labor hours required to install this measure were provided by a representative of</w:t>
      </w:r>
      <w:r w:rsidR="003E267F">
        <w:t xml:space="preserve"> a</w:t>
      </w:r>
      <w:r>
        <w:t xml:space="preserve"> manufacturer of the demand control recirculation </w:t>
      </w:r>
      <w:r>
        <w:lastRenderedPageBreak/>
        <w:t>pump.</w:t>
      </w:r>
      <w:r w:rsidR="00E72C18">
        <w:rPr>
          <w:rStyle w:val="FootnoteReference"/>
          <w:rFonts w:eastAsia="Times New Roman" w:cstheme="minorHAnsi"/>
        </w:rPr>
        <w:footnoteReference w:id="22"/>
      </w:r>
      <w:r>
        <w:t xml:space="preserve"> The labor rate is the </w:t>
      </w:r>
      <w:r w:rsidR="008954D7">
        <w:t>“</w:t>
      </w:r>
      <w:r>
        <w:t>base wage rate</w:t>
      </w:r>
      <w:r w:rsidR="008954D7">
        <w:t>”</w:t>
      </w:r>
      <w:r>
        <w:t xml:space="preserve"> for “NR-DWH-SWH” specified in the Database for Energy Efficient Resources (DEER) Measure Cost Summary </w:t>
      </w:r>
      <w:r w:rsidR="00BA7895">
        <w:t xml:space="preserve">published in 2008. </w:t>
      </w:r>
    </w:p>
    <w:p w14:paraId="11FC5CDF" w14:textId="198399A0" w:rsidR="00A81991" w:rsidRDefault="00A81991" w:rsidP="00A81991">
      <w:r>
        <w:t xml:space="preserve">This labor cost is based only on incremental labor and assumes the labor to install the base case recirculation pump and measure case recirculation pump will be the same. Therefore, the resultant measure case labor cost represents the </w:t>
      </w:r>
      <w:r w:rsidRPr="00A81991">
        <w:rPr>
          <w:i/>
        </w:rPr>
        <w:t>additional</w:t>
      </w:r>
      <w:r>
        <w:t xml:space="preserve"> labor required to install demand control sensors and commission the new system. Furthermore, the labor sot is assumed to be the same for both pump size categories for the measure case as there is currently no other data for different pump sizes.</w:t>
      </w:r>
    </w:p>
    <w:p w14:paraId="0857DC11" w14:textId="3D702305" w:rsidR="00E57ABA" w:rsidRDefault="00BA7895" w:rsidP="00A81991">
      <w:r>
        <w:t>The total labor cost (hours multiplied by rate) was then divided by the number of dwelling units (in increments of five units up to 50 units) to derive the measure case labor cost per multifamily dwelling unit.</w:t>
      </w:r>
    </w:p>
    <w:p w14:paraId="18FDB4B7" w14:textId="2E3565AF" w:rsidR="00E57ABA" w:rsidRDefault="00973CDC" w:rsidP="004041B3">
      <w:pPr>
        <w:pStyle w:val="Caption"/>
      </w:pPr>
      <w:r>
        <w:t xml:space="preserve">Measure Case </w:t>
      </w:r>
      <w:r w:rsidR="00E57ABA">
        <w:t>Labor Cost Inputs</w:t>
      </w:r>
    </w:p>
    <w:tbl>
      <w:tblPr>
        <w:tblW w:w="95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971"/>
        <w:gridCol w:w="1566"/>
        <w:gridCol w:w="5998"/>
      </w:tblGrid>
      <w:tr w:rsidR="00E57ABA" w:rsidRPr="002005AE" w14:paraId="640D4D43" w14:textId="77777777" w:rsidTr="00A43020">
        <w:trPr>
          <w:cantSplit/>
          <w:trHeight w:val="20"/>
        </w:trPr>
        <w:tc>
          <w:tcPr>
            <w:tcW w:w="1971" w:type="dxa"/>
            <w:shd w:val="clear" w:color="auto" w:fill="F2F2F2" w:themeFill="background1" w:themeFillShade="F2"/>
            <w:vAlign w:val="bottom"/>
          </w:tcPr>
          <w:p w14:paraId="580A8621" w14:textId="2C7F8858" w:rsidR="00E57ABA" w:rsidRPr="002005AE" w:rsidRDefault="00E57ABA" w:rsidP="00A43020">
            <w:pPr>
              <w:keepNext/>
              <w:keepLines/>
              <w:spacing w:before="0" w:after="0" w:line="240" w:lineRule="auto"/>
              <w:jc w:val="center"/>
              <w:rPr>
                <w:rFonts w:cstheme="minorHAnsi"/>
                <w:b/>
                <w:sz w:val="20"/>
                <w:szCs w:val="20"/>
              </w:rPr>
            </w:pPr>
            <w:r>
              <w:rPr>
                <w:rFonts w:cstheme="minorHAnsi"/>
                <w:b/>
                <w:sz w:val="20"/>
                <w:szCs w:val="20"/>
              </w:rPr>
              <w:t>Parameter</w:t>
            </w:r>
          </w:p>
        </w:tc>
        <w:tc>
          <w:tcPr>
            <w:tcW w:w="1566" w:type="dxa"/>
            <w:shd w:val="clear" w:color="auto" w:fill="F2F2F2" w:themeFill="background1" w:themeFillShade="F2"/>
            <w:vAlign w:val="bottom"/>
          </w:tcPr>
          <w:p w14:paraId="26C87BED" w14:textId="3CBFEA29" w:rsidR="00E57ABA" w:rsidRPr="002005AE" w:rsidRDefault="00E57ABA" w:rsidP="00A43020">
            <w:pPr>
              <w:keepNext/>
              <w:keepLines/>
              <w:spacing w:before="0" w:after="0" w:line="240" w:lineRule="auto"/>
              <w:jc w:val="center"/>
              <w:rPr>
                <w:rFonts w:cstheme="minorHAnsi"/>
                <w:b/>
                <w:sz w:val="20"/>
                <w:szCs w:val="20"/>
              </w:rPr>
            </w:pPr>
            <w:r>
              <w:rPr>
                <w:rFonts w:cstheme="minorHAnsi"/>
                <w:b/>
                <w:sz w:val="20"/>
                <w:szCs w:val="20"/>
              </w:rPr>
              <w:t>Value</w:t>
            </w:r>
          </w:p>
        </w:tc>
        <w:tc>
          <w:tcPr>
            <w:tcW w:w="5998" w:type="dxa"/>
            <w:shd w:val="clear" w:color="auto" w:fill="F2F2F2" w:themeFill="background1" w:themeFillShade="F2"/>
            <w:vAlign w:val="bottom"/>
          </w:tcPr>
          <w:p w14:paraId="74470810" w14:textId="77777777" w:rsidR="00E57ABA" w:rsidRPr="002005AE" w:rsidRDefault="00E57ABA" w:rsidP="00A43020">
            <w:pPr>
              <w:keepNext/>
              <w:keepLines/>
              <w:spacing w:before="0" w:after="0" w:line="240" w:lineRule="auto"/>
              <w:jc w:val="center"/>
              <w:rPr>
                <w:rFonts w:cstheme="minorHAnsi"/>
                <w:b/>
                <w:sz w:val="20"/>
                <w:szCs w:val="20"/>
              </w:rPr>
            </w:pPr>
            <w:r w:rsidRPr="002005AE">
              <w:rPr>
                <w:rFonts w:cstheme="minorHAnsi"/>
                <w:b/>
                <w:sz w:val="20"/>
                <w:szCs w:val="20"/>
              </w:rPr>
              <w:t>Source</w:t>
            </w:r>
          </w:p>
        </w:tc>
      </w:tr>
      <w:tr w:rsidR="00E72C18" w:rsidRPr="008C6E1A" w14:paraId="0D18827B" w14:textId="77777777" w:rsidTr="00A43020">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6D5A027E" w14:textId="0245619C" w:rsidR="00E72C18" w:rsidRPr="008C6E1A" w:rsidRDefault="00E72C18" w:rsidP="00E72C18">
            <w:pPr>
              <w:keepNext/>
              <w:keepLines/>
              <w:spacing w:before="0" w:after="0" w:line="240" w:lineRule="auto"/>
              <w:ind w:left="154"/>
              <w:rPr>
                <w:sz w:val="20"/>
                <w:szCs w:val="20"/>
              </w:rPr>
            </w:pPr>
            <w:r>
              <w:rPr>
                <w:sz w:val="20"/>
                <w:szCs w:val="20"/>
              </w:rPr>
              <w:t>Labor hours</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11E7EFB" w14:textId="0DD3FCE3" w:rsidR="00E72C18" w:rsidRPr="008C6E1A" w:rsidRDefault="00E72C18" w:rsidP="00E72C18">
            <w:pPr>
              <w:keepNext/>
              <w:keepLines/>
              <w:spacing w:before="0" w:after="0" w:line="240" w:lineRule="auto"/>
              <w:jc w:val="center"/>
              <w:rPr>
                <w:sz w:val="20"/>
                <w:szCs w:val="20"/>
              </w:rPr>
            </w:pPr>
            <w:r>
              <w:rPr>
                <w:sz w:val="20"/>
                <w:szCs w:val="20"/>
              </w:rPr>
              <w:t>2.0</w:t>
            </w:r>
          </w:p>
        </w:tc>
        <w:tc>
          <w:tcPr>
            <w:tcW w:w="5998" w:type="dxa"/>
            <w:vAlign w:val="center"/>
          </w:tcPr>
          <w:p w14:paraId="79FA298A" w14:textId="629F8971" w:rsidR="00E72C18" w:rsidRPr="008C6E1A" w:rsidRDefault="00E72C18" w:rsidP="00E72C18">
            <w:pPr>
              <w:keepNext/>
              <w:keepLines/>
              <w:spacing w:before="0" w:after="0" w:line="240" w:lineRule="auto"/>
              <w:rPr>
                <w:sz w:val="20"/>
                <w:szCs w:val="20"/>
              </w:rPr>
            </w:pPr>
            <w:r w:rsidRPr="00BA4302">
              <w:rPr>
                <w:sz w:val="18"/>
                <w:szCs w:val="20"/>
              </w:rPr>
              <w:t>Southern California Gas Company. 2011. “WPSCREWP0002.0_11_17_11 Cost Analysis.xlsx.”</w:t>
            </w:r>
          </w:p>
        </w:tc>
      </w:tr>
      <w:tr w:rsidR="00E57ABA" w:rsidRPr="008C6E1A" w14:paraId="0DA796C1" w14:textId="77777777" w:rsidTr="00E57ABA">
        <w:trPr>
          <w:cantSplit/>
          <w:trHeight w:val="20"/>
        </w:trPr>
        <w:tc>
          <w:tcPr>
            <w:tcW w:w="19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0052592B" w14:textId="1009FACF" w:rsidR="00E57ABA" w:rsidRPr="008C6E1A" w:rsidRDefault="00E57ABA" w:rsidP="00A43020">
            <w:pPr>
              <w:keepNext/>
              <w:keepLines/>
              <w:spacing w:before="0" w:after="0" w:line="240" w:lineRule="auto"/>
              <w:ind w:left="154"/>
              <w:rPr>
                <w:sz w:val="20"/>
                <w:szCs w:val="20"/>
              </w:rPr>
            </w:pPr>
            <w:r>
              <w:rPr>
                <w:sz w:val="20"/>
                <w:szCs w:val="20"/>
              </w:rPr>
              <w:t>Labor rate ($/hr)</w:t>
            </w:r>
          </w:p>
        </w:tc>
        <w:tc>
          <w:tcPr>
            <w:tcW w:w="15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723367BD" w14:textId="04F54CB5" w:rsidR="00E57ABA" w:rsidRPr="008C6E1A" w:rsidRDefault="00E57ABA" w:rsidP="00A43020">
            <w:pPr>
              <w:keepNext/>
              <w:keepLines/>
              <w:spacing w:before="0" w:after="0" w:line="240" w:lineRule="auto"/>
              <w:jc w:val="center"/>
              <w:rPr>
                <w:sz w:val="20"/>
                <w:szCs w:val="20"/>
              </w:rPr>
            </w:pPr>
            <w:r>
              <w:rPr>
                <w:sz w:val="20"/>
                <w:szCs w:val="20"/>
              </w:rPr>
              <w:t>$59.</w:t>
            </w:r>
            <w:r w:rsidR="008954D7">
              <w:rPr>
                <w:sz w:val="20"/>
                <w:szCs w:val="20"/>
              </w:rPr>
              <w:t>00</w:t>
            </w:r>
          </w:p>
        </w:tc>
        <w:tc>
          <w:tcPr>
            <w:tcW w:w="5998" w:type="dxa"/>
            <w:shd w:val="clear" w:color="auto" w:fill="auto"/>
            <w:vAlign w:val="center"/>
          </w:tcPr>
          <w:p w14:paraId="10C55C71" w14:textId="77777777" w:rsidR="008954D7" w:rsidRDefault="008954D7" w:rsidP="00E57ABA">
            <w:pPr>
              <w:spacing w:before="0" w:after="0"/>
              <w:rPr>
                <w:sz w:val="18"/>
              </w:rPr>
            </w:pPr>
          </w:p>
          <w:p w14:paraId="391FA271" w14:textId="518C5C7F" w:rsidR="00E57ABA" w:rsidRPr="008954D7" w:rsidRDefault="008954D7" w:rsidP="00E57ABA">
            <w:pPr>
              <w:spacing w:before="0" w:after="0"/>
              <w:rPr>
                <w:sz w:val="18"/>
                <w:szCs w:val="20"/>
              </w:rPr>
            </w:pPr>
            <w:r w:rsidRPr="008954D7">
              <w:rPr>
                <w:sz w:val="18"/>
              </w:rPr>
              <w:t>California Public Utilities Commission (CPUC). 2008. “Revised DEER Measure Cost Summary (05_30_2008) Revised (06_02_2008).xlsx.”  See “Res NR DHW” tab.</w:t>
            </w:r>
          </w:p>
        </w:tc>
      </w:tr>
    </w:tbl>
    <w:p w14:paraId="445FB596" w14:textId="24C5C005" w:rsidR="00E57ABA" w:rsidRDefault="00E57ABA" w:rsidP="00575272">
      <w:pPr>
        <w:spacing w:before="40" w:after="40" w:line="240" w:lineRule="auto"/>
        <w:rPr>
          <w:rFonts w:eastAsia="Times New Roman" w:cstheme="minorHAnsi"/>
        </w:rPr>
      </w:pPr>
    </w:p>
    <w:p w14:paraId="51643444" w14:textId="3A71CB3D" w:rsidR="00185AC5" w:rsidRPr="004041B3" w:rsidRDefault="00253813" w:rsidP="00575272">
      <w:pPr>
        <w:spacing w:before="40" w:after="40" w:line="240" w:lineRule="auto"/>
        <w:rPr>
          <w:rFonts w:eastAsia="Times New Roman" w:cstheme="minorHAnsi"/>
          <w:b/>
          <w:bCs/>
        </w:rPr>
      </w:pPr>
      <w:r w:rsidRPr="004041B3">
        <w:rPr>
          <w:rFonts w:eastAsia="Times New Roman" w:cstheme="minorHAnsi"/>
          <w:b/>
          <w:bCs/>
        </w:rPr>
        <w:t>Commercial:</w:t>
      </w:r>
    </w:p>
    <w:p w14:paraId="3F8B077C" w14:textId="4A1D0310" w:rsidR="00D825CD" w:rsidRDefault="00D825CD" w:rsidP="00D825CD">
      <w:r>
        <w:t xml:space="preserve">Implementation of the on-demand domestic hot water recirculation pump controller requires removal of the base case pump and the installation of a new recirculation pump with VFD and controllers. </w:t>
      </w:r>
      <w:r w:rsidR="00F82ED3">
        <w:rPr>
          <w:bCs/>
        </w:rPr>
        <w:t xml:space="preserve">The </w:t>
      </w:r>
      <w:r w:rsidR="0042239B">
        <w:rPr>
          <w:bCs/>
        </w:rPr>
        <w:t>labor costs specified</w:t>
      </w:r>
      <w:r w:rsidR="00CE4C0E">
        <w:rPr>
          <w:bCs/>
        </w:rPr>
        <w:t xml:space="preserve"> in the table</w:t>
      </w:r>
      <w:r w:rsidR="0042239B">
        <w:rPr>
          <w:bCs/>
        </w:rPr>
        <w:t xml:space="preserve"> below</w:t>
      </w:r>
      <w:r w:rsidRPr="00FD2A20">
        <w:rPr>
          <w:b/>
        </w:rPr>
        <w:t>,</w:t>
      </w:r>
      <w:r>
        <w:t xml:space="preserve"> which was extracted from the </w:t>
      </w:r>
      <w:r w:rsidRPr="00CD15E0">
        <w:rPr>
          <w:i/>
        </w:rPr>
        <w:t>Variable Frequency Drive Hot Water Recirculation Pump Controller</w:t>
      </w:r>
      <w:r w:rsidR="00E353C8">
        <w:rPr>
          <w:rStyle w:val="FootnoteReference"/>
          <w:i/>
        </w:rPr>
        <w:footnoteReference w:id="23"/>
      </w:r>
      <w:r>
        <w:t xml:space="preserve"> study prepared by SCG’s Engineering Analysis Center, provides a</w:t>
      </w:r>
      <w:r w:rsidR="00E54D77">
        <w:t xml:space="preserve">n installation </w:t>
      </w:r>
      <w:r>
        <w:t>cost estimate of $</w:t>
      </w:r>
      <w:r w:rsidR="00E54D77">
        <w:t>500</w:t>
      </w:r>
      <w:r>
        <w:t xml:space="preserve"> (per system)</w:t>
      </w:r>
      <w:r w:rsidR="00E54D77">
        <w:t>.</w:t>
      </w:r>
    </w:p>
    <w:p w14:paraId="53AAF5D7" w14:textId="1172FBA8" w:rsidR="00D825CD" w:rsidRDefault="00D825CD" w:rsidP="004041B3">
      <w:pPr>
        <w:pStyle w:val="Caption"/>
      </w:pPr>
      <w:r>
        <w:t xml:space="preserve">Measure </w:t>
      </w:r>
      <w:r w:rsidR="00973CDC">
        <w:t>Case Lab</w:t>
      </w:r>
      <w:r w:rsidR="00E247DB">
        <w:t xml:space="preserve">or </w:t>
      </w:r>
      <w:r>
        <w:t>Costs</w:t>
      </w:r>
    </w:p>
    <w:tbl>
      <w:tblPr>
        <w:tblW w:w="4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5"/>
      </w:tblGrid>
      <w:tr w:rsidR="00E54D77" w:rsidRPr="00206F98" w14:paraId="17DFE349" w14:textId="77777777" w:rsidTr="004041B3">
        <w:trPr>
          <w:trHeight w:val="288"/>
        </w:trPr>
        <w:tc>
          <w:tcPr>
            <w:tcW w:w="4945" w:type="dxa"/>
            <w:shd w:val="clear" w:color="auto" w:fill="F2F2F2" w:themeFill="background1" w:themeFillShade="F2"/>
            <w:noWrap/>
            <w:vAlign w:val="bottom"/>
            <w:hideMark/>
          </w:tcPr>
          <w:p w14:paraId="73BD8A15" w14:textId="77777777" w:rsidR="00E54D77" w:rsidRPr="004041B3" w:rsidRDefault="00E54D77" w:rsidP="004041B3">
            <w:pPr>
              <w:keepNext/>
              <w:keepLines/>
              <w:spacing w:before="0" w:after="0" w:line="240" w:lineRule="auto"/>
              <w:jc w:val="center"/>
              <w:rPr>
                <w:rFonts w:cstheme="minorHAnsi"/>
                <w:b/>
                <w:sz w:val="20"/>
                <w:szCs w:val="20"/>
              </w:rPr>
            </w:pPr>
            <w:r w:rsidRPr="004041B3">
              <w:rPr>
                <w:rFonts w:cstheme="minorHAnsi"/>
                <w:b/>
                <w:sz w:val="20"/>
                <w:szCs w:val="20"/>
              </w:rPr>
              <w:t>Installation Costs</w:t>
            </w:r>
          </w:p>
        </w:tc>
      </w:tr>
      <w:tr w:rsidR="00E54D77" w:rsidRPr="00206F98" w14:paraId="23C236D1" w14:textId="77777777" w:rsidTr="004041B3">
        <w:trPr>
          <w:trHeight w:val="288"/>
        </w:trPr>
        <w:tc>
          <w:tcPr>
            <w:tcW w:w="4945" w:type="dxa"/>
            <w:shd w:val="clear" w:color="auto" w:fill="auto"/>
            <w:noWrap/>
            <w:vAlign w:val="bottom"/>
            <w:hideMark/>
          </w:tcPr>
          <w:p w14:paraId="0C084B50" w14:textId="4AF6DB0B" w:rsidR="00E54D77" w:rsidRPr="004041B3" w:rsidRDefault="00E54D77" w:rsidP="004041B3">
            <w:pPr>
              <w:keepNext/>
              <w:keepLines/>
              <w:spacing w:before="0" w:after="0" w:line="240" w:lineRule="auto"/>
              <w:jc w:val="center"/>
              <w:rPr>
                <w:rFonts w:cstheme="minorHAnsi"/>
                <w:bCs/>
                <w:sz w:val="20"/>
                <w:szCs w:val="20"/>
              </w:rPr>
            </w:pPr>
            <w:r w:rsidRPr="004041B3">
              <w:rPr>
                <w:rFonts w:cstheme="minorHAnsi"/>
                <w:bCs/>
                <w:sz w:val="20"/>
                <w:szCs w:val="20"/>
              </w:rPr>
              <w:t>$ 500</w:t>
            </w:r>
          </w:p>
        </w:tc>
      </w:tr>
    </w:tbl>
    <w:p w14:paraId="3A8EB13C" w14:textId="77777777" w:rsidR="00253813" w:rsidRDefault="00253813" w:rsidP="00575272">
      <w:pPr>
        <w:spacing w:before="40" w:after="40" w:line="240" w:lineRule="auto"/>
        <w:rPr>
          <w:rFonts w:eastAsia="Times New Roman" w:cstheme="minorHAnsi"/>
        </w:rPr>
      </w:pPr>
    </w:p>
    <w:p w14:paraId="050D9183" w14:textId="7ABF5C13" w:rsidR="007D230B" w:rsidRPr="004B06E3" w:rsidRDefault="004B06E3" w:rsidP="00EE4D02">
      <w:pPr>
        <w:pStyle w:val="eTRMHeading3"/>
      </w:pPr>
      <w:bookmarkStart w:id="60" w:name="_Toc486490863"/>
      <w:bookmarkStart w:id="61" w:name="_Toc486580934"/>
      <w:bookmarkStart w:id="62" w:name="_Toc2250565"/>
      <w:r>
        <w:t>Net-to-Gross</w:t>
      </w:r>
      <w:bookmarkEnd w:id="60"/>
      <w:bookmarkEnd w:id="61"/>
      <w:r w:rsidR="008D4652">
        <w:t xml:space="preserve"> (NTG)</w:t>
      </w:r>
      <w:bookmarkEnd w:id="62"/>
    </w:p>
    <w:p w14:paraId="5D0CB982" w14:textId="6C8E95DC" w:rsidR="004D5C41" w:rsidRPr="004041B3" w:rsidRDefault="004D5C41" w:rsidP="00130983">
      <w:pPr>
        <w:rPr>
          <w:b/>
          <w:bCs/>
        </w:rPr>
      </w:pPr>
      <w:r w:rsidRPr="004041B3">
        <w:rPr>
          <w:b/>
          <w:bCs/>
        </w:rPr>
        <w:t>Multifamily:</w:t>
      </w:r>
    </w:p>
    <w:p w14:paraId="74940D3A" w14:textId="3517F71C" w:rsidR="00130983" w:rsidRDefault="00AA3E2A" w:rsidP="00130983">
      <w:r w:rsidRPr="00860FEC">
        <w:t xml:space="preserve">The net-to-gross (NTG) ratio represents the portion of gross impacts that are determined to be directly attributed to a specific program intervention. </w:t>
      </w:r>
      <w:r w:rsidR="00130983">
        <w:t xml:space="preserve">The NTG value is the “default” value assigned to measures that have been promoted by </w:t>
      </w:r>
      <w:r w:rsidR="00D77094">
        <w:t>residential</w:t>
      </w:r>
      <w:r w:rsidR="00130983">
        <w:t xml:space="preserve"> programs for more than two years for which evaluation results are not available, as documented in the </w:t>
      </w:r>
      <w:r w:rsidR="00130983" w:rsidRPr="00AF3038">
        <w:t>2011 DEER Update Study conducted by Itron, Inc.</w:t>
      </w:r>
      <w:r w:rsidR="005B41C8">
        <w:t xml:space="preserve"> Th</w:t>
      </w:r>
      <w:r w:rsidR="00DF0937">
        <w:t xml:space="preserve">e value was </w:t>
      </w:r>
      <w:r w:rsidR="00DF0937">
        <w:lastRenderedPageBreak/>
        <w:t>approved by the California Public Utilities Commission in the “Workpaper Disposition for On-Demand Pump Control for Central Domestic Hot Water Systems” issued in June 2013.</w:t>
      </w:r>
      <w:r w:rsidR="00DF0937">
        <w:rPr>
          <w:rStyle w:val="FootnoteReference"/>
        </w:rPr>
        <w:footnoteReference w:id="24"/>
      </w:r>
    </w:p>
    <w:p w14:paraId="736FAD15" w14:textId="67D2C72B" w:rsidR="004D5C41" w:rsidRPr="004041B3" w:rsidRDefault="005D7E7E" w:rsidP="00130983">
      <w:pPr>
        <w:rPr>
          <w:b/>
          <w:bCs/>
        </w:rPr>
      </w:pPr>
      <w:r w:rsidRPr="004041B3">
        <w:rPr>
          <w:b/>
          <w:bCs/>
        </w:rPr>
        <w:t>Commercial:</w:t>
      </w:r>
    </w:p>
    <w:p w14:paraId="1C2FB4E2" w14:textId="22AA1D10" w:rsidR="005D7E7E" w:rsidRPr="00C212F2" w:rsidRDefault="00AD092C" w:rsidP="00130983">
      <w:r w:rsidRPr="00AD092C">
        <w:t xml:space="preserve">The Net-to-Gross (NTG) Ratio value was obtained using the DEER READI tool, version v.2.4.7. Note that this measure technology type is not brand new and has been documented in workpaper form since 2009 with a similar on-demand pump control measure in DEER. The relevant NTG value for the measure in this workpaper is provided in </w:t>
      </w:r>
      <w:r w:rsidR="008A4829">
        <w:rPr>
          <w:bCs/>
        </w:rPr>
        <w:t xml:space="preserve">the table below </w:t>
      </w:r>
      <w:r w:rsidRPr="00AD092C">
        <w:t xml:space="preserve">and applies to both electric (kWh) and natural gas (Therms) savings in all 16 California Building Climate Zone Areas. These values are consistent with the </w:t>
      </w:r>
      <w:r w:rsidRPr="00AD092C">
        <w:rPr>
          <w:i/>
        </w:rPr>
        <w:t>On-Demand Pump Control for Central Domestic Hot Water Systems</w:t>
      </w:r>
      <w:r w:rsidR="001B75BC">
        <w:rPr>
          <w:rStyle w:val="FootnoteReference"/>
          <w:i/>
        </w:rPr>
        <w:footnoteReference w:id="25"/>
      </w:r>
      <w:r w:rsidRPr="00AD092C">
        <w:t xml:space="preserve"> workpaper.</w:t>
      </w:r>
    </w:p>
    <w:p w14:paraId="37A79E1C" w14:textId="1B6769A7" w:rsidR="00991D3F" w:rsidRPr="00C212F2" w:rsidRDefault="00991D3F" w:rsidP="009743E7">
      <w:pPr>
        <w:pStyle w:val="Caption"/>
      </w:pPr>
      <w:r w:rsidRPr="00C212F2">
        <w:t>Net-to-Gross Ratio</w:t>
      </w:r>
    </w:p>
    <w:tbl>
      <w:tblPr>
        <w:tblW w:w="9000"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0A0" w:firstRow="1" w:lastRow="0" w:firstColumn="1" w:lastColumn="0" w:noHBand="0" w:noVBand="0"/>
      </w:tblPr>
      <w:tblGrid>
        <w:gridCol w:w="1890"/>
        <w:gridCol w:w="1260"/>
        <w:gridCol w:w="5850"/>
      </w:tblGrid>
      <w:tr w:rsidR="00130983" w:rsidRPr="00052C24" w14:paraId="6C2C979D" w14:textId="77777777" w:rsidTr="004041B3">
        <w:tc>
          <w:tcPr>
            <w:tcW w:w="1890" w:type="dxa"/>
            <w:shd w:val="clear" w:color="auto" w:fill="F2F2F2" w:themeFill="background1" w:themeFillShade="F2"/>
            <w:vAlign w:val="bottom"/>
          </w:tcPr>
          <w:p w14:paraId="571A22B6" w14:textId="77777777" w:rsidR="00130983" w:rsidRPr="00052C24" w:rsidRDefault="00130983" w:rsidP="006D0EC8">
            <w:pPr>
              <w:keepNext/>
              <w:keepLines/>
              <w:spacing w:before="0" w:after="0" w:line="200" w:lineRule="atLeast"/>
              <w:jc w:val="center"/>
              <w:rPr>
                <w:b/>
                <w:sz w:val="20"/>
              </w:rPr>
            </w:pPr>
            <w:bookmarkStart w:id="63" w:name="_Toc486490864"/>
            <w:bookmarkStart w:id="64" w:name="_Toc486580935"/>
            <w:r>
              <w:rPr>
                <w:b/>
                <w:sz w:val="20"/>
              </w:rPr>
              <w:t>Parameter</w:t>
            </w:r>
          </w:p>
        </w:tc>
        <w:tc>
          <w:tcPr>
            <w:tcW w:w="1260" w:type="dxa"/>
            <w:shd w:val="clear" w:color="auto" w:fill="F2F2F2" w:themeFill="background1" w:themeFillShade="F2"/>
            <w:vAlign w:val="bottom"/>
          </w:tcPr>
          <w:p w14:paraId="20B28918" w14:textId="19B9113E" w:rsidR="00130983" w:rsidRPr="00052C24" w:rsidRDefault="00130983" w:rsidP="00130983">
            <w:pPr>
              <w:keepNext/>
              <w:keepLines/>
              <w:spacing w:before="0" w:after="0" w:line="200" w:lineRule="atLeast"/>
              <w:jc w:val="center"/>
              <w:rPr>
                <w:b/>
                <w:sz w:val="20"/>
              </w:rPr>
            </w:pPr>
            <w:r>
              <w:rPr>
                <w:b/>
                <w:sz w:val="20"/>
              </w:rPr>
              <w:t xml:space="preserve">Value </w:t>
            </w:r>
          </w:p>
        </w:tc>
        <w:tc>
          <w:tcPr>
            <w:tcW w:w="5850" w:type="dxa"/>
            <w:shd w:val="clear" w:color="auto" w:fill="F2F2F2" w:themeFill="background1" w:themeFillShade="F2"/>
            <w:vAlign w:val="bottom"/>
          </w:tcPr>
          <w:p w14:paraId="1212895E" w14:textId="77777777" w:rsidR="00130983" w:rsidRDefault="00130983" w:rsidP="006D0EC8">
            <w:pPr>
              <w:keepNext/>
              <w:keepLines/>
              <w:spacing w:before="0" w:after="0" w:line="200" w:lineRule="atLeast"/>
              <w:jc w:val="center"/>
              <w:rPr>
                <w:b/>
                <w:sz w:val="20"/>
              </w:rPr>
            </w:pPr>
            <w:r>
              <w:rPr>
                <w:b/>
                <w:sz w:val="20"/>
              </w:rPr>
              <w:t>Source</w:t>
            </w:r>
          </w:p>
        </w:tc>
      </w:tr>
      <w:tr w:rsidR="00130983" w:rsidRPr="009062D0" w14:paraId="26172ECC" w14:textId="77777777" w:rsidTr="004041B3">
        <w:trPr>
          <w:trHeight w:val="20"/>
        </w:trPr>
        <w:tc>
          <w:tcPr>
            <w:tcW w:w="1890" w:type="dxa"/>
            <w:vAlign w:val="center"/>
          </w:tcPr>
          <w:p w14:paraId="482AB725" w14:textId="20B20ED9" w:rsidR="00130983" w:rsidRPr="009062D0" w:rsidRDefault="00130983" w:rsidP="00130983">
            <w:pPr>
              <w:keepNext/>
              <w:keepLines/>
              <w:spacing w:before="0" w:after="0" w:line="200" w:lineRule="atLeast"/>
              <w:rPr>
                <w:sz w:val="20"/>
              </w:rPr>
            </w:pPr>
            <w:r w:rsidRPr="009062D0">
              <w:rPr>
                <w:sz w:val="20"/>
              </w:rPr>
              <w:t xml:space="preserve">NTG </w:t>
            </w:r>
            <w:r w:rsidR="00D77094">
              <w:rPr>
                <w:sz w:val="20"/>
              </w:rPr>
              <w:t>–</w:t>
            </w:r>
            <w:r w:rsidR="00157CD0">
              <w:rPr>
                <w:sz w:val="20"/>
              </w:rPr>
              <w:t xml:space="preserve"> </w:t>
            </w:r>
            <w:r w:rsidR="002845C9">
              <w:rPr>
                <w:sz w:val="20"/>
              </w:rPr>
              <w:t>R</w:t>
            </w:r>
            <w:r w:rsidR="008C6E1A">
              <w:rPr>
                <w:sz w:val="20"/>
              </w:rPr>
              <w:t>esidential</w:t>
            </w:r>
          </w:p>
        </w:tc>
        <w:tc>
          <w:tcPr>
            <w:tcW w:w="1260" w:type="dxa"/>
            <w:shd w:val="clear" w:color="auto" w:fill="auto"/>
            <w:vAlign w:val="center"/>
          </w:tcPr>
          <w:p w14:paraId="29C0D51E" w14:textId="7108C821" w:rsidR="00130983" w:rsidRPr="008C6E1A" w:rsidRDefault="00D77094" w:rsidP="006D0EC8">
            <w:pPr>
              <w:keepNext/>
              <w:keepLines/>
              <w:spacing w:before="0" w:after="0" w:line="200" w:lineRule="atLeast"/>
              <w:jc w:val="center"/>
              <w:rPr>
                <w:sz w:val="20"/>
              </w:rPr>
            </w:pPr>
            <w:r w:rsidRPr="008C6E1A">
              <w:rPr>
                <w:sz w:val="20"/>
              </w:rPr>
              <w:t>0.55</w:t>
            </w:r>
          </w:p>
        </w:tc>
        <w:tc>
          <w:tcPr>
            <w:tcW w:w="5850" w:type="dxa"/>
            <w:vAlign w:val="center"/>
          </w:tcPr>
          <w:p w14:paraId="6D6C40C2" w14:textId="77777777" w:rsidR="00130983" w:rsidRDefault="00130983" w:rsidP="006D0EC8">
            <w:pPr>
              <w:keepNext/>
              <w:keepLines/>
              <w:spacing w:before="0" w:after="0" w:line="240" w:lineRule="auto"/>
              <w:rPr>
                <w:rFonts w:eastAsia="Times New Roman" w:cs="Times New Roman"/>
                <w:color w:val="000000"/>
                <w:sz w:val="18"/>
                <w:szCs w:val="18"/>
              </w:rPr>
            </w:pPr>
            <w:r w:rsidRPr="00575E9A">
              <w:rPr>
                <w:sz w:val="18"/>
              </w:rPr>
              <w:t xml:space="preserve">Itron, Inc. 2011. </w:t>
            </w:r>
            <w:r w:rsidRPr="00575E9A">
              <w:rPr>
                <w:i/>
                <w:sz w:val="18"/>
              </w:rPr>
              <w:t>DEER Database 2011 Update Documentation.</w:t>
            </w:r>
            <w:r w:rsidRPr="00575E9A">
              <w:rPr>
                <w:sz w:val="18"/>
              </w:rPr>
              <w:t xml:space="preserve"> Prepared for the California Public Utilities Commission. </w:t>
            </w:r>
            <w:r w:rsidRPr="002615F3">
              <w:rPr>
                <w:rFonts w:eastAsia="Times New Roman" w:cs="Times New Roman"/>
                <w:color w:val="000000"/>
                <w:sz w:val="18"/>
                <w:szCs w:val="18"/>
              </w:rPr>
              <w:t>Section 15</w:t>
            </w:r>
            <w:r>
              <w:rPr>
                <w:rFonts w:eastAsia="Times New Roman" w:cs="Times New Roman"/>
                <w:color w:val="000000"/>
                <w:sz w:val="18"/>
                <w:szCs w:val="18"/>
              </w:rPr>
              <w:t>,</w:t>
            </w:r>
            <w:r w:rsidRPr="002615F3">
              <w:rPr>
                <w:rFonts w:eastAsia="Times New Roman" w:cs="Times New Roman"/>
                <w:color w:val="000000"/>
                <w:sz w:val="18"/>
                <w:szCs w:val="18"/>
              </w:rPr>
              <w:t xml:space="preserve"> Table 15-3</w:t>
            </w:r>
            <w:r w:rsidR="00DF0937">
              <w:rPr>
                <w:rFonts w:eastAsia="Times New Roman" w:cs="Times New Roman"/>
                <w:color w:val="000000"/>
                <w:sz w:val="18"/>
                <w:szCs w:val="18"/>
              </w:rPr>
              <w:t>.</w:t>
            </w:r>
          </w:p>
          <w:p w14:paraId="6CFD5380" w14:textId="77777777" w:rsidR="0024263B" w:rsidRDefault="0024263B" w:rsidP="006D0EC8">
            <w:pPr>
              <w:keepNext/>
              <w:keepLines/>
              <w:spacing w:before="0" w:after="0" w:line="240" w:lineRule="auto"/>
              <w:rPr>
                <w:rFonts w:eastAsia="Times New Roman" w:cs="Times New Roman"/>
                <w:color w:val="000000"/>
                <w:sz w:val="18"/>
                <w:szCs w:val="18"/>
              </w:rPr>
            </w:pPr>
          </w:p>
          <w:p w14:paraId="12962BB3" w14:textId="5002A55B" w:rsidR="0024263B" w:rsidRPr="009062D0" w:rsidRDefault="0024263B" w:rsidP="006D0EC8">
            <w:pPr>
              <w:keepNext/>
              <w:keepLines/>
              <w:spacing w:before="0" w:after="0" w:line="240" w:lineRule="auto"/>
              <w:rPr>
                <w:rFonts w:eastAsia="Times New Roman" w:cs="Times New Roman"/>
                <w:color w:val="000000"/>
                <w:sz w:val="18"/>
                <w:szCs w:val="18"/>
              </w:rPr>
            </w:pPr>
            <w:r w:rsidRPr="00DF0937">
              <w:rPr>
                <w:rStyle w:val="eTRMFootnoteTextChar"/>
              </w:rPr>
              <w:t>California Public Utilities Commission (CPUC), Energy Division. 2013. "Workpaper Disposition for On-Demand Pump Control for Central Domestic Hot Water Systems." February 28. Revised June 20</w:t>
            </w:r>
            <w:r w:rsidR="000A4408">
              <w:rPr>
                <w:rStyle w:val="eTRMFootnoteTextChar"/>
              </w:rPr>
              <w:t>, 2013</w:t>
            </w:r>
            <w:r w:rsidRPr="00DF0937">
              <w:rPr>
                <w:rStyle w:val="eTRMFootnoteTextChar"/>
              </w:rPr>
              <w:t>.</w:t>
            </w:r>
            <w:r w:rsidR="00D77094">
              <w:rPr>
                <w:rStyle w:val="eTRMFootnoteTextChar"/>
              </w:rPr>
              <w:t xml:space="preserve"> Page 2.</w:t>
            </w:r>
          </w:p>
        </w:tc>
      </w:tr>
      <w:tr w:rsidR="002845C9" w:rsidRPr="009062D0" w14:paraId="7CA3471C" w14:textId="77777777" w:rsidTr="004041B3">
        <w:trPr>
          <w:trHeight w:val="20"/>
        </w:trPr>
        <w:tc>
          <w:tcPr>
            <w:tcW w:w="1890" w:type="dxa"/>
            <w:vAlign w:val="center"/>
          </w:tcPr>
          <w:p w14:paraId="01988C06" w14:textId="5425E7E4" w:rsidR="002845C9" w:rsidRPr="009062D0" w:rsidRDefault="002845C9" w:rsidP="00130983">
            <w:pPr>
              <w:keepNext/>
              <w:keepLines/>
              <w:spacing w:before="0" w:after="0" w:line="200" w:lineRule="atLeast"/>
              <w:rPr>
                <w:sz w:val="20"/>
              </w:rPr>
            </w:pPr>
            <w:r>
              <w:rPr>
                <w:sz w:val="20"/>
              </w:rPr>
              <w:t>NTG - Commercial</w:t>
            </w:r>
          </w:p>
        </w:tc>
        <w:tc>
          <w:tcPr>
            <w:tcW w:w="1260" w:type="dxa"/>
            <w:shd w:val="clear" w:color="auto" w:fill="auto"/>
            <w:vAlign w:val="center"/>
          </w:tcPr>
          <w:p w14:paraId="544066AB" w14:textId="5E0FB68B" w:rsidR="002845C9" w:rsidRPr="008C6E1A" w:rsidRDefault="00E014B8" w:rsidP="006D0EC8">
            <w:pPr>
              <w:keepNext/>
              <w:keepLines/>
              <w:spacing w:before="0" w:after="0" w:line="200" w:lineRule="atLeast"/>
              <w:jc w:val="center"/>
              <w:rPr>
                <w:sz w:val="20"/>
              </w:rPr>
            </w:pPr>
            <w:r>
              <w:rPr>
                <w:sz w:val="20"/>
              </w:rPr>
              <w:t>0.60</w:t>
            </w:r>
          </w:p>
        </w:tc>
        <w:tc>
          <w:tcPr>
            <w:tcW w:w="5850" w:type="dxa"/>
            <w:vAlign w:val="center"/>
          </w:tcPr>
          <w:p w14:paraId="45AF9992" w14:textId="0E27DEDD" w:rsidR="002845C9" w:rsidRPr="00575E9A" w:rsidRDefault="00B70056" w:rsidP="006D0EC8">
            <w:pPr>
              <w:keepNext/>
              <w:keepLines/>
              <w:spacing w:before="0" w:after="0" w:line="240" w:lineRule="auto"/>
              <w:rPr>
                <w:sz w:val="18"/>
              </w:rPr>
            </w:pPr>
            <w:r w:rsidRPr="00B70056">
              <w:rPr>
                <w:sz w:val="18"/>
              </w:rPr>
              <w:t>DEER NTGR ID: Com-Default&gt;2yrs</w:t>
            </w:r>
          </w:p>
        </w:tc>
      </w:tr>
    </w:tbl>
    <w:p w14:paraId="626B077F" w14:textId="39C65914" w:rsidR="00130983" w:rsidRPr="004041B3" w:rsidRDefault="001D4413" w:rsidP="004041B3">
      <w:pPr>
        <w:pStyle w:val="Reminders"/>
        <w:spacing w:after="240"/>
        <w:rPr>
          <w:rFonts w:asciiTheme="minorHAnsi" w:hAnsiTheme="minorHAnsi" w:cstheme="minorHAnsi"/>
          <w:sz w:val="18"/>
          <w:szCs w:val="18"/>
        </w:rPr>
      </w:pPr>
      <w:r w:rsidRPr="004041B3">
        <w:rPr>
          <w:rFonts w:ascii="Calibri Light" w:hAnsi="Calibri Light" w:cs="Calibri Light"/>
          <w:i w:val="0"/>
          <w:color w:val="auto"/>
          <w:sz w:val="18"/>
          <w:szCs w:val="18"/>
        </w:rPr>
        <w:t>Note: Commercial direct install measures that are not hard-to-reach will use the default NTG value</w:t>
      </w:r>
      <w:r w:rsidRPr="004041B3">
        <w:rPr>
          <w:rFonts w:asciiTheme="minorHAnsi" w:hAnsiTheme="minorHAnsi" w:cstheme="minorHAnsi"/>
          <w:i w:val="0"/>
          <w:color w:val="auto"/>
          <w:sz w:val="18"/>
          <w:szCs w:val="18"/>
        </w:rPr>
        <w:t>.</w:t>
      </w:r>
    </w:p>
    <w:p w14:paraId="323B5B02" w14:textId="4C4B13DC" w:rsidR="007D230B" w:rsidRPr="004B06E3" w:rsidRDefault="00D02C36" w:rsidP="00EE4D02">
      <w:pPr>
        <w:pStyle w:val="eTRMHeading3"/>
      </w:pPr>
      <w:bookmarkStart w:id="65" w:name="_Toc2250566"/>
      <w:r>
        <w:t>Gross Savings Installation Adjustment (</w:t>
      </w:r>
      <w:r w:rsidR="007D230B" w:rsidRPr="004B06E3">
        <w:t>GSIA</w:t>
      </w:r>
      <w:bookmarkEnd w:id="63"/>
      <w:bookmarkEnd w:id="64"/>
      <w:r>
        <w:t>)</w:t>
      </w:r>
      <w:bookmarkEnd w:id="65"/>
    </w:p>
    <w:p w14:paraId="4CBDF3C9" w14:textId="3E7B0480" w:rsidR="00D91BE8" w:rsidRDefault="00D91BE8" w:rsidP="00D91BE8">
      <w:r w:rsidRPr="00AD00D3">
        <w:t xml:space="preserve">The </w:t>
      </w:r>
      <w:r>
        <w:t xml:space="preserve">gross savings </w:t>
      </w:r>
      <w:r w:rsidRPr="00AD00D3">
        <w:t xml:space="preserve">installation </w:t>
      </w:r>
      <w:r>
        <w:t xml:space="preserve">adjustment (GSIA) rate </w:t>
      </w:r>
      <w:r w:rsidRPr="00AD00D3">
        <w:t xml:space="preserve">represents the ratio of the number of verified installations of the measure to the number of claimed installations </w:t>
      </w:r>
      <w:r>
        <w:t>reported by the utility</w:t>
      </w:r>
      <w:r w:rsidRPr="00AD00D3">
        <w:t xml:space="preserve">. </w:t>
      </w:r>
      <w:r>
        <w:t>This factor</w:t>
      </w:r>
      <w:r w:rsidRPr="00AD00D3">
        <w:t xml:space="preserve"> varies by end use, sector, technology, ap</w:t>
      </w:r>
      <w:r>
        <w:t>plication, and delivery method. This GSIA rate is the current “default” rate specified for measures for which an alternative GSIA has not been estimated and approved.</w:t>
      </w:r>
    </w:p>
    <w:p w14:paraId="2E3E525E" w14:textId="10686FD4" w:rsidR="00D91BE8" w:rsidRPr="0059426D" w:rsidRDefault="00D91BE8" w:rsidP="009743E7">
      <w:pPr>
        <w:pStyle w:val="Caption"/>
      </w:pPr>
      <w:r>
        <w:t>Gross Savings Installation Adjustment Rates</w:t>
      </w:r>
    </w:p>
    <w:tbl>
      <w:tblPr>
        <w:tblW w:w="8880" w:type="dxa"/>
        <w:tblInd w:w="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0A0" w:firstRow="1" w:lastRow="0" w:firstColumn="1" w:lastColumn="0" w:noHBand="0" w:noVBand="0"/>
      </w:tblPr>
      <w:tblGrid>
        <w:gridCol w:w="2070"/>
        <w:gridCol w:w="1620"/>
        <w:gridCol w:w="5190"/>
      </w:tblGrid>
      <w:tr w:rsidR="006262FD" w:rsidRPr="00052C24" w14:paraId="02181172" w14:textId="77777777" w:rsidTr="006262FD">
        <w:tc>
          <w:tcPr>
            <w:tcW w:w="2070" w:type="dxa"/>
            <w:shd w:val="clear" w:color="auto" w:fill="F2F2F2" w:themeFill="background1" w:themeFillShade="F2"/>
            <w:vAlign w:val="bottom"/>
          </w:tcPr>
          <w:p w14:paraId="27EAACA7" w14:textId="77777777" w:rsidR="006262FD" w:rsidRPr="00052C24" w:rsidRDefault="006262FD" w:rsidP="00AC3152">
            <w:pPr>
              <w:keepNext/>
              <w:keepLines/>
              <w:spacing w:before="0" w:after="0" w:line="200" w:lineRule="atLeast"/>
              <w:jc w:val="center"/>
              <w:rPr>
                <w:b/>
                <w:sz w:val="20"/>
              </w:rPr>
            </w:pPr>
            <w:r>
              <w:rPr>
                <w:b/>
                <w:sz w:val="20"/>
              </w:rPr>
              <w:t>Parameter</w:t>
            </w:r>
          </w:p>
        </w:tc>
        <w:tc>
          <w:tcPr>
            <w:tcW w:w="1620" w:type="dxa"/>
            <w:shd w:val="clear" w:color="auto" w:fill="F2F2F2" w:themeFill="background1" w:themeFillShade="F2"/>
            <w:vAlign w:val="bottom"/>
          </w:tcPr>
          <w:p w14:paraId="70EE4799" w14:textId="54D9348B" w:rsidR="006262FD" w:rsidRPr="00052C24" w:rsidRDefault="006262FD" w:rsidP="00AC3152">
            <w:pPr>
              <w:keepNext/>
              <w:keepLines/>
              <w:spacing w:before="0" w:after="0" w:line="200" w:lineRule="atLeast"/>
              <w:jc w:val="center"/>
              <w:rPr>
                <w:b/>
                <w:sz w:val="20"/>
              </w:rPr>
            </w:pPr>
            <w:r>
              <w:rPr>
                <w:b/>
                <w:sz w:val="20"/>
              </w:rPr>
              <w:t>Value</w:t>
            </w:r>
          </w:p>
        </w:tc>
        <w:tc>
          <w:tcPr>
            <w:tcW w:w="5190" w:type="dxa"/>
            <w:shd w:val="clear" w:color="auto" w:fill="F2F2F2" w:themeFill="background1" w:themeFillShade="F2"/>
            <w:vAlign w:val="bottom"/>
          </w:tcPr>
          <w:p w14:paraId="5B87C186" w14:textId="77777777" w:rsidR="006262FD" w:rsidRDefault="006262FD" w:rsidP="00AC3152">
            <w:pPr>
              <w:keepNext/>
              <w:keepLines/>
              <w:spacing w:before="0" w:after="0" w:line="200" w:lineRule="atLeast"/>
              <w:jc w:val="center"/>
              <w:rPr>
                <w:b/>
                <w:sz w:val="20"/>
              </w:rPr>
            </w:pPr>
            <w:r>
              <w:rPr>
                <w:b/>
                <w:sz w:val="20"/>
              </w:rPr>
              <w:t>Source</w:t>
            </w:r>
          </w:p>
        </w:tc>
      </w:tr>
      <w:tr w:rsidR="006262FD" w:rsidRPr="009062D0" w14:paraId="0C64BDCA" w14:textId="77777777" w:rsidTr="006262FD">
        <w:trPr>
          <w:trHeight w:val="260"/>
        </w:trPr>
        <w:tc>
          <w:tcPr>
            <w:tcW w:w="2070" w:type="dxa"/>
            <w:vAlign w:val="center"/>
          </w:tcPr>
          <w:p w14:paraId="7061E328" w14:textId="77777777" w:rsidR="006262FD" w:rsidRPr="009062D0" w:rsidRDefault="006262FD" w:rsidP="00AC3152">
            <w:pPr>
              <w:keepNext/>
              <w:keepLines/>
              <w:spacing w:before="0" w:after="0" w:line="200" w:lineRule="atLeast"/>
              <w:rPr>
                <w:sz w:val="20"/>
              </w:rPr>
            </w:pPr>
            <w:r>
              <w:rPr>
                <w:sz w:val="20"/>
              </w:rPr>
              <w:t>GSIA</w:t>
            </w:r>
          </w:p>
        </w:tc>
        <w:tc>
          <w:tcPr>
            <w:tcW w:w="1620" w:type="dxa"/>
            <w:shd w:val="clear" w:color="auto" w:fill="auto"/>
            <w:vAlign w:val="center"/>
          </w:tcPr>
          <w:p w14:paraId="76545DD5" w14:textId="77777777" w:rsidR="006262FD" w:rsidRPr="008C6E1A" w:rsidRDefault="006262FD" w:rsidP="00AC3152">
            <w:pPr>
              <w:keepNext/>
              <w:keepLines/>
              <w:spacing w:before="0" w:after="0" w:line="200" w:lineRule="atLeast"/>
              <w:jc w:val="center"/>
              <w:rPr>
                <w:sz w:val="20"/>
              </w:rPr>
            </w:pPr>
            <w:r w:rsidRPr="008C6E1A">
              <w:rPr>
                <w:sz w:val="20"/>
                <w:szCs w:val="20"/>
              </w:rPr>
              <w:t>1.0</w:t>
            </w:r>
          </w:p>
        </w:tc>
        <w:tc>
          <w:tcPr>
            <w:tcW w:w="5190" w:type="dxa"/>
            <w:vAlign w:val="center"/>
          </w:tcPr>
          <w:p w14:paraId="360C2E9B" w14:textId="77777777" w:rsidR="006262FD" w:rsidRPr="009062D0" w:rsidRDefault="006262FD" w:rsidP="00AC3152">
            <w:pPr>
              <w:keepNext/>
              <w:keepLines/>
              <w:spacing w:before="0" w:after="0" w:line="240" w:lineRule="auto"/>
              <w:rPr>
                <w:rFonts w:eastAsia="Times New Roman" w:cs="Times New Roman"/>
                <w:color w:val="000000"/>
                <w:sz w:val="18"/>
                <w:szCs w:val="18"/>
              </w:rPr>
            </w:pPr>
            <w:r w:rsidRPr="00297B33">
              <w:rPr>
                <w:rFonts w:eastAsia="Times New Roman" w:cs="Times New Roman"/>
                <w:color w:val="000000"/>
                <w:sz w:val="18"/>
                <w:szCs w:val="18"/>
              </w:rPr>
              <w:t xml:space="preserve">California Public Utilities Commission (CPUC), Energy Division. 2013. </w:t>
            </w:r>
            <w:r w:rsidRPr="00297B33">
              <w:rPr>
                <w:rFonts w:eastAsia="Times New Roman" w:cs="Times New Roman"/>
                <w:i/>
                <w:color w:val="000000"/>
                <w:sz w:val="18"/>
                <w:szCs w:val="18"/>
              </w:rPr>
              <w:t>Energy Efficiency Policy Manual Version 5</w:t>
            </w:r>
            <w:r w:rsidRPr="00297B33">
              <w:rPr>
                <w:rFonts w:eastAsia="Times New Roman" w:cs="Times New Roman"/>
                <w:color w:val="000000"/>
                <w:sz w:val="18"/>
                <w:szCs w:val="18"/>
              </w:rPr>
              <w:t>.</w:t>
            </w:r>
            <w:r>
              <w:rPr>
                <w:rFonts w:eastAsia="Times New Roman" w:cs="Times New Roman"/>
                <w:color w:val="000000"/>
                <w:sz w:val="18"/>
                <w:szCs w:val="18"/>
              </w:rPr>
              <w:t xml:space="preserve"> Page 31.</w:t>
            </w:r>
          </w:p>
        </w:tc>
      </w:tr>
    </w:tbl>
    <w:p w14:paraId="08395124" w14:textId="77777777" w:rsidR="00DE1A0F" w:rsidRDefault="00DE1A0F" w:rsidP="00DE1A0F">
      <w:pPr>
        <w:rPr>
          <w:rFonts w:cs="Arial"/>
          <w:sz w:val="20"/>
          <w:szCs w:val="20"/>
        </w:rPr>
      </w:pPr>
    </w:p>
    <w:p w14:paraId="498C05E5" w14:textId="0AB8BAE5" w:rsidR="002C67DF" w:rsidRPr="004B06E3" w:rsidRDefault="002C67DF" w:rsidP="00EE4D02">
      <w:pPr>
        <w:pStyle w:val="eTRMHeading3"/>
      </w:pPr>
      <w:bookmarkStart w:id="66" w:name="_Toc486490865"/>
      <w:bookmarkStart w:id="67" w:name="_Toc486580936"/>
      <w:bookmarkStart w:id="68" w:name="_Toc2250567"/>
      <w:r w:rsidRPr="004B06E3">
        <w:t xml:space="preserve">Non-Energy </w:t>
      </w:r>
      <w:bookmarkEnd w:id="66"/>
      <w:bookmarkEnd w:id="67"/>
      <w:r w:rsidR="004E3E98">
        <w:t>Impacts</w:t>
      </w:r>
      <w:bookmarkEnd w:id="68"/>
    </w:p>
    <w:p w14:paraId="429EAA56" w14:textId="77777777" w:rsidR="004E3E98" w:rsidRDefault="004E3E98" w:rsidP="004E3E98">
      <w:r>
        <w:t>Non-energy impacts for this measure have not been quantified.</w:t>
      </w:r>
    </w:p>
    <w:p w14:paraId="1BCB0A7E" w14:textId="1404813C" w:rsidR="002C67DF" w:rsidRDefault="002C67DF" w:rsidP="004142EF"/>
    <w:p w14:paraId="7D8551BB" w14:textId="760F7D39" w:rsidR="009C31A4" w:rsidRPr="004B06E3" w:rsidRDefault="009C31A4" w:rsidP="00EE4D02">
      <w:pPr>
        <w:pStyle w:val="eTRMHeading3"/>
      </w:pPr>
      <w:bookmarkStart w:id="69" w:name="_Toc2250568"/>
      <w:r>
        <w:lastRenderedPageBreak/>
        <w:t>DEER Differences Analysis</w:t>
      </w:r>
      <w:bookmarkEnd w:id="69"/>
    </w:p>
    <w:p w14:paraId="760472AB" w14:textId="56F11A0B" w:rsidR="009E4105" w:rsidRDefault="003F21D2" w:rsidP="009E4105">
      <w:r>
        <w:t xml:space="preserve">This section provides a summary of </w:t>
      </w:r>
      <w:r w:rsidR="009E4105">
        <w:t>Database of Energy Efficiency Resources (DEER)</w:t>
      </w:r>
      <w:r>
        <w:t>-based inputs and methods, and the rationale for inputs and methods that are not DEER-based.</w:t>
      </w:r>
      <w:r w:rsidR="009E4105" w:rsidRPr="009E4105">
        <w:t xml:space="preserve"> </w:t>
      </w:r>
      <w:r w:rsidR="009E4105">
        <w:t xml:space="preserve">The demand control for centralized domestic hot water recirculation pump is not included in DEER, though the measure analysis utilizes DEER building prototypes for the energy performance simulations. </w:t>
      </w:r>
    </w:p>
    <w:p w14:paraId="756C62FB" w14:textId="1196DCE1" w:rsidR="00EA057C" w:rsidRPr="00920905" w:rsidRDefault="00EA057C" w:rsidP="009743E7">
      <w:pPr>
        <w:pStyle w:val="Caption"/>
      </w:pPr>
      <w:r w:rsidRPr="00920905">
        <w:t>DEER Difference Summary</w:t>
      </w: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left w:w="115" w:type="dxa"/>
          <w:right w:w="115" w:type="dxa"/>
        </w:tblCellMar>
        <w:tblLook w:val="04A0" w:firstRow="1" w:lastRow="0" w:firstColumn="1" w:lastColumn="0" w:noHBand="0" w:noVBand="1"/>
      </w:tblPr>
      <w:tblGrid>
        <w:gridCol w:w="3056"/>
        <w:gridCol w:w="6294"/>
      </w:tblGrid>
      <w:tr w:rsidR="00EA057C" w:rsidRPr="00500C4E" w14:paraId="59D017C8" w14:textId="77777777" w:rsidTr="004E27C0">
        <w:trPr>
          <w:trHeight w:val="20"/>
          <w:tblHeader/>
        </w:trPr>
        <w:tc>
          <w:tcPr>
            <w:tcW w:w="1634" w:type="pct"/>
            <w:shd w:val="clear" w:color="auto" w:fill="F2F2F2" w:themeFill="background1" w:themeFillShade="F2"/>
          </w:tcPr>
          <w:p w14:paraId="5A1E2CE5" w14:textId="77777777" w:rsidR="00EA057C" w:rsidRPr="00EA057C" w:rsidRDefault="00EA057C" w:rsidP="008C6E1A">
            <w:pPr>
              <w:tabs>
                <w:tab w:val="right" w:pos="2957"/>
              </w:tabs>
              <w:spacing w:before="20" w:after="20"/>
              <w:rPr>
                <w:rFonts w:cs="Arial"/>
                <w:b/>
                <w:sz w:val="20"/>
                <w:szCs w:val="20"/>
              </w:rPr>
            </w:pPr>
            <w:r w:rsidRPr="00EA057C">
              <w:rPr>
                <w:rFonts w:cs="Arial"/>
                <w:b/>
                <w:sz w:val="20"/>
                <w:szCs w:val="20"/>
              </w:rPr>
              <w:t>DEER Item</w:t>
            </w:r>
          </w:p>
        </w:tc>
        <w:tc>
          <w:tcPr>
            <w:tcW w:w="3366" w:type="pct"/>
            <w:shd w:val="clear" w:color="auto" w:fill="F2F2F2" w:themeFill="background1" w:themeFillShade="F2"/>
          </w:tcPr>
          <w:p w14:paraId="52AD34D1" w14:textId="0CFF441B" w:rsidR="00EA057C" w:rsidRPr="00EA057C" w:rsidRDefault="00EA057C" w:rsidP="008C6E1A">
            <w:pPr>
              <w:spacing w:before="20" w:after="20"/>
              <w:rPr>
                <w:rFonts w:cs="Arial"/>
                <w:b/>
                <w:sz w:val="20"/>
                <w:szCs w:val="20"/>
              </w:rPr>
            </w:pPr>
            <w:r>
              <w:rPr>
                <w:rFonts w:cs="Arial"/>
                <w:b/>
                <w:sz w:val="20"/>
                <w:szCs w:val="20"/>
              </w:rPr>
              <w:t xml:space="preserve">Comment / </w:t>
            </w:r>
            <w:r w:rsidRPr="00EA057C">
              <w:rPr>
                <w:rFonts w:cs="Arial"/>
                <w:b/>
                <w:sz w:val="20"/>
                <w:szCs w:val="20"/>
              </w:rPr>
              <w:t>Used for Workpaper</w:t>
            </w:r>
          </w:p>
        </w:tc>
      </w:tr>
      <w:tr w:rsidR="00EA057C" w:rsidRPr="00500C4E" w14:paraId="33003020" w14:textId="77777777" w:rsidTr="004E27C0">
        <w:trPr>
          <w:trHeight w:val="20"/>
        </w:trPr>
        <w:tc>
          <w:tcPr>
            <w:tcW w:w="1634" w:type="pct"/>
          </w:tcPr>
          <w:p w14:paraId="1F2D360A" w14:textId="77777777" w:rsidR="00EA057C" w:rsidRPr="00EA057C" w:rsidRDefault="00EA057C" w:rsidP="008C6E1A">
            <w:pPr>
              <w:spacing w:before="20" w:after="20"/>
              <w:rPr>
                <w:rFonts w:cs="Arial"/>
                <w:sz w:val="20"/>
                <w:szCs w:val="20"/>
              </w:rPr>
            </w:pPr>
            <w:r w:rsidRPr="00EA057C">
              <w:rPr>
                <w:rFonts w:cs="Arial"/>
                <w:sz w:val="20"/>
                <w:szCs w:val="20"/>
              </w:rPr>
              <w:t>Modified DEER methodology</w:t>
            </w:r>
          </w:p>
        </w:tc>
        <w:tc>
          <w:tcPr>
            <w:tcW w:w="3366" w:type="pct"/>
          </w:tcPr>
          <w:p w14:paraId="247EE411" w14:textId="55EC5D6E" w:rsidR="00EA057C" w:rsidRPr="003A5A44" w:rsidRDefault="004B740C" w:rsidP="008C6E1A">
            <w:pPr>
              <w:spacing w:before="20" w:after="20"/>
              <w:rPr>
                <w:rFonts w:cs="Arial"/>
                <w:sz w:val="20"/>
                <w:szCs w:val="20"/>
              </w:rPr>
            </w:pPr>
            <w:r w:rsidRPr="003A5A44">
              <w:rPr>
                <w:rFonts w:cs="Arial"/>
                <w:sz w:val="20"/>
                <w:szCs w:val="20"/>
              </w:rPr>
              <w:t>No</w:t>
            </w:r>
          </w:p>
        </w:tc>
      </w:tr>
      <w:tr w:rsidR="00EA057C" w:rsidRPr="00500C4E" w14:paraId="507422EA" w14:textId="77777777" w:rsidTr="004E27C0">
        <w:trPr>
          <w:trHeight w:val="20"/>
        </w:trPr>
        <w:tc>
          <w:tcPr>
            <w:tcW w:w="1634" w:type="pct"/>
          </w:tcPr>
          <w:p w14:paraId="29430E33" w14:textId="77777777" w:rsidR="00EA057C" w:rsidRPr="00EA057C" w:rsidRDefault="00EA057C" w:rsidP="008C6E1A">
            <w:pPr>
              <w:spacing w:before="20" w:after="20"/>
              <w:rPr>
                <w:rFonts w:cs="Arial"/>
                <w:sz w:val="20"/>
                <w:szCs w:val="20"/>
              </w:rPr>
            </w:pPr>
            <w:r w:rsidRPr="00EA057C">
              <w:rPr>
                <w:rFonts w:cs="Arial"/>
                <w:sz w:val="20"/>
                <w:szCs w:val="20"/>
              </w:rPr>
              <w:t>Scaled DEER measure</w:t>
            </w:r>
          </w:p>
        </w:tc>
        <w:tc>
          <w:tcPr>
            <w:tcW w:w="3366" w:type="pct"/>
          </w:tcPr>
          <w:p w14:paraId="0C847473" w14:textId="67C91761" w:rsidR="00EA057C" w:rsidRPr="003A5A44" w:rsidRDefault="004B740C" w:rsidP="008C6E1A">
            <w:pPr>
              <w:spacing w:before="20" w:after="20"/>
              <w:rPr>
                <w:rFonts w:cs="Arial"/>
                <w:sz w:val="20"/>
                <w:szCs w:val="20"/>
              </w:rPr>
            </w:pPr>
            <w:r w:rsidRPr="003A5A44">
              <w:rPr>
                <w:rFonts w:cs="Arial"/>
                <w:sz w:val="20"/>
                <w:szCs w:val="20"/>
              </w:rPr>
              <w:t>No</w:t>
            </w:r>
          </w:p>
        </w:tc>
      </w:tr>
      <w:tr w:rsidR="00EA057C" w:rsidRPr="00500C4E" w14:paraId="335CDE40" w14:textId="77777777" w:rsidTr="004E27C0">
        <w:trPr>
          <w:trHeight w:val="20"/>
        </w:trPr>
        <w:tc>
          <w:tcPr>
            <w:tcW w:w="1634" w:type="pct"/>
          </w:tcPr>
          <w:p w14:paraId="126C3B42" w14:textId="77777777" w:rsidR="00EA057C" w:rsidRPr="00EA057C" w:rsidRDefault="00EA057C" w:rsidP="008C6E1A">
            <w:pPr>
              <w:spacing w:before="20" w:after="20"/>
              <w:rPr>
                <w:rFonts w:cs="Arial"/>
                <w:sz w:val="20"/>
                <w:szCs w:val="20"/>
              </w:rPr>
            </w:pPr>
            <w:r w:rsidRPr="00EA057C">
              <w:rPr>
                <w:rFonts w:cs="Arial"/>
                <w:sz w:val="20"/>
                <w:szCs w:val="20"/>
              </w:rPr>
              <w:t>DEER Base Case</w:t>
            </w:r>
          </w:p>
        </w:tc>
        <w:tc>
          <w:tcPr>
            <w:tcW w:w="3366" w:type="pct"/>
          </w:tcPr>
          <w:p w14:paraId="5D2A1B0E" w14:textId="253321A8" w:rsidR="00EA057C" w:rsidRPr="003A5A44" w:rsidRDefault="004B740C" w:rsidP="008C6E1A">
            <w:pPr>
              <w:spacing w:before="20" w:after="20"/>
              <w:rPr>
                <w:rFonts w:cs="Arial"/>
                <w:sz w:val="20"/>
                <w:szCs w:val="20"/>
              </w:rPr>
            </w:pPr>
            <w:r w:rsidRPr="003A5A44">
              <w:rPr>
                <w:rFonts w:cs="Arial"/>
                <w:sz w:val="20"/>
                <w:szCs w:val="20"/>
              </w:rPr>
              <w:t>No</w:t>
            </w:r>
          </w:p>
        </w:tc>
      </w:tr>
      <w:tr w:rsidR="00EA057C" w:rsidRPr="00500C4E" w14:paraId="1F8399E1" w14:textId="77777777" w:rsidTr="004E27C0">
        <w:trPr>
          <w:trHeight w:val="20"/>
        </w:trPr>
        <w:tc>
          <w:tcPr>
            <w:tcW w:w="1634" w:type="pct"/>
          </w:tcPr>
          <w:p w14:paraId="0CC701E3" w14:textId="77777777" w:rsidR="00EA057C" w:rsidRPr="00EA057C" w:rsidRDefault="00EA057C" w:rsidP="008C6E1A">
            <w:pPr>
              <w:spacing w:before="20" w:after="20"/>
              <w:rPr>
                <w:rFonts w:cs="Arial"/>
                <w:sz w:val="20"/>
                <w:szCs w:val="20"/>
              </w:rPr>
            </w:pPr>
            <w:r w:rsidRPr="00EA057C">
              <w:rPr>
                <w:rFonts w:cs="Arial"/>
                <w:sz w:val="20"/>
                <w:szCs w:val="20"/>
              </w:rPr>
              <w:t>DEER Measure Case</w:t>
            </w:r>
          </w:p>
        </w:tc>
        <w:tc>
          <w:tcPr>
            <w:tcW w:w="3366" w:type="pct"/>
          </w:tcPr>
          <w:p w14:paraId="49A023A0" w14:textId="359EF988" w:rsidR="00EA057C" w:rsidRPr="003A5A44" w:rsidRDefault="004B740C" w:rsidP="008C6E1A">
            <w:pPr>
              <w:spacing w:before="20" w:after="20"/>
              <w:rPr>
                <w:rFonts w:cs="Arial"/>
                <w:sz w:val="20"/>
                <w:szCs w:val="20"/>
              </w:rPr>
            </w:pPr>
            <w:r w:rsidRPr="003A5A44">
              <w:rPr>
                <w:rFonts w:cs="Arial"/>
                <w:sz w:val="20"/>
                <w:szCs w:val="20"/>
              </w:rPr>
              <w:t>No</w:t>
            </w:r>
          </w:p>
        </w:tc>
      </w:tr>
      <w:tr w:rsidR="00EA057C" w:rsidRPr="00500C4E" w14:paraId="663742C6" w14:textId="77777777" w:rsidTr="004E27C0">
        <w:trPr>
          <w:trHeight w:val="20"/>
        </w:trPr>
        <w:tc>
          <w:tcPr>
            <w:tcW w:w="1634" w:type="pct"/>
          </w:tcPr>
          <w:p w14:paraId="16B2FDAB" w14:textId="0C8A5A74" w:rsidR="00EA057C" w:rsidRPr="00EA057C" w:rsidRDefault="00EA057C" w:rsidP="008C6E1A">
            <w:pPr>
              <w:spacing w:before="20" w:after="20"/>
              <w:rPr>
                <w:rFonts w:cs="Arial"/>
                <w:sz w:val="20"/>
                <w:szCs w:val="20"/>
              </w:rPr>
            </w:pPr>
            <w:r w:rsidRPr="00EA057C">
              <w:rPr>
                <w:rFonts w:cs="Arial"/>
                <w:sz w:val="20"/>
                <w:szCs w:val="20"/>
              </w:rPr>
              <w:t>DEER Building Types</w:t>
            </w:r>
            <w:r w:rsidR="00E7338B">
              <w:rPr>
                <w:rFonts w:cs="Arial"/>
                <w:sz w:val="20"/>
                <w:szCs w:val="20"/>
              </w:rPr>
              <w:t xml:space="preserve"> - Multifamily</w:t>
            </w:r>
          </w:p>
        </w:tc>
        <w:tc>
          <w:tcPr>
            <w:tcW w:w="3366" w:type="pct"/>
          </w:tcPr>
          <w:p w14:paraId="6BBA540C" w14:textId="2892DCF3" w:rsidR="00EA057C" w:rsidRPr="003A5A44" w:rsidRDefault="004B740C" w:rsidP="008C6E1A">
            <w:pPr>
              <w:spacing w:before="20" w:after="20"/>
              <w:rPr>
                <w:rFonts w:cs="Arial"/>
                <w:sz w:val="20"/>
                <w:szCs w:val="20"/>
              </w:rPr>
            </w:pPr>
            <w:r w:rsidRPr="003A5A44">
              <w:rPr>
                <w:rFonts w:cs="Arial"/>
                <w:sz w:val="20"/>
                <w:szCs w:val="20"/>
              </w:rPr>
              <w:t>No</w:t>
            </w:r>
          </w:p>
        </w:tc>
      </w:tr>
      <w:tr w:rsidR="00E7338B" w:rsidRPr="00500C4E" w14:paraId="11A57B35" w14:textId="77777777" w:rsidTr="004E27C0">
        <w:trPr>
          <w:trHeight w:val="20"/>
        </w:trPr>
        <w:tc>
          <w:tcPr>
            <w:tcW w:w="1634" w:type="pct"/>
          </w:tcPr>
          <w:p w14:paraId="74700648" w14:textId="42CBA36E" w:rsidR="00E7338B" w:rsidRPr="00EA057C" w:rsidRDefault="00E7338B" w:rsidP="008C6E1A">
            <w:pPr>
              <w:spacing w:before="20" w:after="20"/>
              <w:rPr>
                <w:rFonts w:cs="Arial"/>
                <w:sz w:val="20"/>
                <w:szCs w:val="20"/>
              </w:rPr>
            </w:pPr>
            <w:r w:rsidRPr="00EA057C">
              <w:rPr>
                <w:rFonts w:cs="Arial"/>
                <w:sz w:val="20"/>
                <w:szCs w:val="20"/>
              </w:rPr>
              <w:t>DEER Building Types</w:t>
            </w:r>
            <w:r>
              <w:rPr>
                <w:rFonts w:cs="Arial"/>
                <w:sz w:val="20"/>
                <w:szCs w:val="20"/>
              </w:rPr>
              <w:t xml:space="preserve"> - Commercial</w:t>
            </w:r>
          </w:p>
        </w:tc>
        <w:tc>
          <w:tcPr>
            <w:tcW w:w="3366" w:type="pct"/>
          </w:tcPr>
          <w:p w14:paraId="08ADE136" w14:textId="4A17A47F" w:rsidR="00E7338B" w:rsidRPr="003A5A44" w:rsidRDefault="008003DE" w:rsidP="008C6E1A">
            <w:pPr>
              <w:spacing w:before="20" w:after="20"/>
              <w:rPr>
                <w:rFonts w:cs="Arial"/>
                <w:sz w:val="20"/>
                <w:szCs w:val="20"/>
              </w:rPr>
            </w:pPr>
            <w:r w:rsidRPr="008003DE">
              <w:rPr>
                <w:rFonts w:cs="Arial"/>
                <w:sz w:val="20"/>
                <w:szCs w:val="20"/>
              </w:rPr>
              <w:t>Yes – Commercial: Hotel, Motel, Nursing Home, and Education University Dormitory</w:t>
            </w:r>
          </w:p>
        </w:tc>
      </w:tr>
      <w:tr w:rsidR="004C230B" w:rsidRPr="00500C4E" w14:paraId="44A8E617" w14:textId="77777777" w:rsidTr="004E27C0">
        <w:trPr>
          <w:trHeight w:val="20"/>
        </w:trPr>
        <w:tc>
          <w:tcPr>
            <w:tcW w:w="1634" w:type="pct"/>
          </w:tcPr>
          <w:p w14:paraId="1B878B88" w14:textId="73031E83" w:rsidR="004C230B" w:rsidRPr="00EA057C" w:rsidRDefault="004C230B" w:rsidP="008C6E1A">
            <w:pPr>
              <w:spacing w:before="20" w:after="20"/>
              <w:rPr>
                <w:rFonts w:cs="Arial"/>
                <w:sz w:val="20"/>
                <w:szCs w:val="20"/>
              </w:rPr>
            </w:pPr>
            <w:r>
              <w:rPr>
                <w:rFonts w:cs="Arial"/>
                <w:sz w:val="20"/>
                <w:szCs w:val="20"/>
              </w:rPr>
              <w:t>DEER Operating Hours</w:t>
            </w:r>
          </w:p>
        </w:tc>
        <w:tc>
          <w:tcPr>
            <w:tcW w:w="3366" w:type="pct"/>
          </w:tcPr>
          <w:p w14:paraId="3A009D8C" w14:textId="467C56D9" w:rsidR="004C230B" w:rsidRPr="003A5A44" w:rsidRDefault="004C230B" w:rsidP="008C6E1A">
            <w:pPr>
              <w:spacing w:before="20" w:after="20"/>
              <w:rPr>
                <w:rFonts w:cs="Arial"/>
                <w:sz w:val="20"/>
                <w:szCs w:val="20"/>
              </w:rPr>
            </w:pPr>
            <w:r>
              <w:rPr>
                <w:rFonts w:cs="Arial"/>
                <w:sz w:val="20"/>
                <w:szCs w:val="20"/>
              </w:rPr>
              <w:t>No</w:t>
            </w:r>
          </w:p>
        </w:tc>
      </w:tr>
      <w:tr w:rsidR="00EA057C" w:rsidRPr="00500C4E" w14:paraId="2CFDE9D3" w14:textId="77777777" w:rsidTr="004E27C0">
        <w:trPr>
          <w:trHeight w:val="180"/>
        </w:trPr>
        <w:tc>
          <w:tcPr>
            <w:tcW w:w="1634" w:type="pct"/>
          </w:tcPr>
          <w:p w14:paraId="3B6B3E22" w14:textId="41DB2FA0" w:rsidR="00EA057C" w:rsidRPr="00EA057C" w:rsidRDefault="00EA057C" w:rsidP="008C6E1A">
            <w:pPr>
              <w:spacing w:before="20" w:after="20"/>
              <w:rPr>
                <w:rFonts w:cs="Arial"/>
                <w:sz w:val="20"/>
                <w:szCs w:val="20"/>
              </w:rPr>
            </w:pPr>
            <w:r w:rsidRPr="00EA057C">
              <w:rPr>
                <w:rFonts w:cs="Arial"/>
                <w:sz w:val="20"/>
                <w:szCs w:val="20"/>
              </w:rPr>
              <w:t>DEER Version</w:t>
            </w:r>
            <w:r w:rsidR="006614E1">
              <w:rPr>
                <w:rFonts w:cs="Arial"/>
                <w:sz w:val="20"/>
                <w:szCs w:val="20"/>
              </w:rPr>
              <w:t xml:space="preserve"> - Residential</w:t>
            </w:r>
          </w:p>
        </w:tc>
        <w:tc>
          <w:tcPr>
            <w:tcW w:w="3366" w:type="pct"/>
          </w:tcPr>
          <w:p w14:paraId="1C3B60D1" w14:textId="4550C565" w:rsidR="00EA057C" w:rsidRPr="003A5A44" w:rsidRDefault="004B740C" w:rsidP="008C6E1A">
            <w:pPr>
              <w:spacing w:before="20" w:after="20"/>
              <w:rPr>
                <w:rFonts w:cs="Arial"/>
                <w:sz w:val="20"/>
                <w:szCs w:val="20"/>
              </w:rPr>
            </w:pPr>
            <w:r w:rsidRPr="003A5A44">
              <w:rPr>
                <w:rFonts w:cs="Arial"/>
                <w:sz w:val="20"/>
                <w:szCs w:val="20"/>
              </w:rPr>
              <w:t>n/</w:t>
            </w:r>
            <w:r w:rsidR="004C230B">
              <w:rPr>
                <w:rFonts w:cs="Arial"/>
                <w:sz w:val="20"/>
                <w:szCs w:val="20"/>
              </w:rPr>
              <w:t>a</w:t>
            </w:r>
          </w:p>
        </w:tc>
      </w:tr>
      <w:tr w:rsidR="00D2027C" w:rsidRPr="00500C4E" w14:paraId="27E6CD29" w14:textId="77777777" w:rsidTr="004E27C0">
        <w:trPr>
          <w:trHeight w:val="180"/>
        </w:trPr>
        <w:tc>
          <w:tcPr>
            <w:tcW w:w="1634" w:type="pct"/>
          </w:tcPr>
          <w:p w14:paraId="2615449B" w14:textId="3894ABAE" w:rsidR="00D2027C" w:rsidRPr="00EA057C" w:rsidRDefault="00D2027C" w:rsidP="00D2027C">
            <w:pPr>
              <w:spacing w:before="20" w:after="20"/>
              <w:rPr>
                <w:rFonts w:cs="Arial"/>
                <w:sz w:val="20"/>
                <w:szCs w:val="20"/>
              </w:rPr>
            </w:pPr>
            <w:r w:rsidRPr="00EA057C">
              <w:rPr>
                <w:rFonts w:cs="Arial"/>
                <w:sz w:val="20"/>
                <w:szCs w:val="20"/>
              </w:rPr>
              <w:t>DEER Version</w:t>
            </w:r>
            <w:r>
              <w:rPr>
                <w:rFonts w:cs="Arial"/>
                <w:sz w:val="20"/>
                <w:szCs w:val="20"/>
              </w:rPr>
              <w:t xml:space="preserve"> – Commercial</w:t>
            </w:r>
          </w:p>
        </w:tc>
        <w:tc>
          <w:tcPr>
            <w:tcW w:w="3366" w:type="pct"/>
          </w:tcPr>
          <w:p w14:paraId="18F5C72D" w14:textId="626EFB20" w:rsidR="00D2027C" w:rsidRPr="003A5A44" w:rsidRDefault="00D2027C" w:rsidP="00D2027C">
            <w:pPr>
              <w:spacing w:before="20" w:after="20"/>
              <w:rPr>
                <w:rFonts w:cs="Arial"/>
                <w:sz w:val="20"/>
                <w:szCs w:val="20"/>
              </w:rPr>
            </w:pPr>
            <w:r w:rsidRPr="00366DAE">
              <w:rPr>
                <w:rFonts w:cstheme="minorHAnsi"/>
                <w:szCs w:val="20"/>
              </w:rPr>
              <w:t xml:space="preserve">DEER </w:t>
            </w:r>
            <w:r w:rsidRPr="00215FE0">
              <w:rPr>
                <w:rFonts w:cstheme="minorHAnsi"/>
                <w:szCs w:val="20"/>
              </w:rPr>
              <w:t>201</w:t>
            </w:r>
            <w:r w:rsidR="00FE447B">
              <w:rPr>
                <w:rFonts w:cstheme="minorHAnsi"/>
                <w:szCs w:val="20"/>
              </w:rPr>
              <w:t>8</w:t>
            </w:r>
            <w:r w:rsidRPr="00215FE0">
              <w:rPr>
                <w:rFonts w:cstheme="minorHAnsi"/>
                <w:szCs w:val="20"/>
              </w:rPr>
              <w:t xml:space="preserve">, </w:t>
            </w:r>
            <w:r w:rsidRPr="00215FE0">
              <w:rPr>
                <w:rFonts w:cstheme="minorHAnsi"/>
                <w:szCs w:val="22"/>
              </w:rPr>
              <w:t>READI v2.</w:t>
            </w:r>
            <w:r>
              <w:rPr>
                <w:rFonts w:cstheme="minorHAnsi"/>
                <w:szCs w:val="22"/>
              </w:rPr>
              <w:t>5</w:t>
            </w:r>
            <w:r w:rsidRPr="00215FE0">
              <w:rPr>
                <w:rFonts w:cstheme="minorHAnsi"/>
                <w:szCs w:val="22"/>
              </w:rPr>
              <w:t>.</w:t>
            </w:r>
            <w:r>
              <w:rPr>
                <w:rFonts w:cstheme="minorHAnsi"/>
                <w:szCs w:val="22"/>
              </w:rPr>
              <w:t>1</w:t>
            </w:r>
          </w:p>
        </w:tc>
      </w:tr>
      <w:tr w:rsidR="00D2027C" w:rsidRPr="00500C4E" w14:paraId="7358CF15" w14:textId="77777777" w:rsidTr="004E27C0">
        <w:trPr>
          <w:trHeight w:val="180"/>
        </w:trPr>
        <w:tc>
          <w:tcPr>
            <w:tcW w:w="1634" w:type="pct"/>
          </w:tcPr>
          <w:p w14:paraId="6A4DD2F5" w14:textId="53FB5D39" w:rsidR="00D2027C" w:rsidRPr="00EA057C" w:rsidRDefault="00D2027C" w:rsidP="00D2027C">
            <w:pPr>
              <w:spacing w:before="20" w:after="20"/>
              <w:rPr>
                <w:rFonts w:cs="Arial"/>
                <w:sz w:val="20"/>
                <w:szCs w:val="20"/>
              </w:rPr>
            </w:pPr>
            <w:r>
              <w:rPr>
                <w:rFonts w:cs="Arial"/>
                <w:sz w:val="20"/>
                <w:szCs w:val="20"/>
              </w:rPr>
              <w:t>DEER eQuest Prototypes</w:t>
            </w:r>
          </w:p>
        </w:tc>
        <w:tc>
          <w:tcPr>
            <w:tcW w:w="3366" w:type="pct"/>
          </w:tcPr>
          <w:p w14:paraId="46A2EC87" w14:textId="25D0EE03" w:rsidR="00D2027C" w:rsidRPr="003A5A44" w:rsidRDefault="00D2027C" w:rsidP="00D2027C">
            <w:pPr>
              <w:spacing w:before="20" w:after="20"/>
              <w:rPr>
                <w:rFonts w:cs="Arial"/>
                <w:sz w:val="20"/>
                <w:szCs w:val="20"/>
              </w:rPr>
            </w:pPr>
            <w:r>
              <w:rPr>
                <w:rFonts w:cs="Arial"/>
                <w:sz w:val="20"/>
                <w:szCs w:val="20"/>
              </w:rPr>
              <w:t>Yes, DEER 2003 eQuest prototypes</w:t>
            </w:r>
          </w:p>
        </w:tc>
      </w:tr>
      <w:tr w:rsidR="00D2027C" w:rsidRPr="00500C4E" w14:paraId="3B7464D7" w14:textId="77777777" w:rsidTr="004E27C0">
        <w:trPr>
          <w:trHeight w:val="20"/>
        </w:trPr>
        <w:tc>
          <w:tcPr>
            <w:tcW w:w="1634" w:type="pct"/>
          </w:tcPr>
          <w:p w14:paraId="24000A76" w14:textId="77777777" w:rsidR="00D2027C" w:rsidRPr="00EA057C" w:rsidRDefault="00D2027C" w:rsidP="00D2027C">
            <w:pPr>
              <w:spacing w:before="20" w:after="20"/>
              <w:rPr>
                <w:rFonts w:cs="Arial"/>
                <w:sz w:val="20"/>
                <w:szCs w:val="20"/>
              </w:rPr>
            </w:pPr>
            <w:r w:rsidRPr="00EA057C">
              <w:rPr>
                <w:rFonts w:cs="Arial"/>
                <w:sz w:val="20"/>
                <w:szCs w:val="20"/>
              </w:rPr>
              <w:t>Reason for Deviation from DEER</w:t>
            </w:r>
          </w:p>
        </w:tc>
        <w:tc>
          <w:tcPr>
            <w:tcW w:w="3366" w:type="pct"/>
          </w:tcPr>
          <w:p w14:paraId="125AAB90" w14:textId="21F6250E" w:rsidR="00D2027C" w:rsidRPr="003A5A44" w:rsidRDefault="00D2027C" w:rsidP="00D2027C">
            <w:pPr>
              <w:spacing w:before="20" w:after="20"/>
              <w:rPr>
                <w:rFonts w:cs="Arial"/>
                <w:sz w:val="20"/>
                <w:szCs w:val="20"/>
              </w:rPr>
            </w:pPr>
            <w:r w:rsidRPr="003A5A44">
              <w:rPr>
                <w:rFonts w:cs="Arial"/>
                <w:sz w:val="20"/>
                <w:szCs w:val="20"/>
              </w:rPr>
              <w:t>DEER does not contain this type of measure.</w:t>
            </w:r>
          </w:p>
        </w:tc>
      </w:tr>
      <w:tr w:rsidR="00D2027C" w:rsidRPr="00500C4E" w14:paraId="4A7EE859" w14:textId="77777777" w:rsidTr="004E27C0">
        <w:trPr>
          <w:trHeight w:val="20"/>
        </w:trPr>
        <w:tc>
          <w:tcPr>
            <w:tcW w:w="1634" w:type="pct"/>
          </w:tcPr>
          <w:p w14:paraId="7B4D686A" w14:textId="77777777" w:rsidR="00D2027C" w:rsidRPr="00EA057C" w:rsidRDefault="00D2027C" w:rsidP="00D2027C">
            <w:pPr>
              <w:spacing w:before="20" w:after="20"/>
              <w:rPr>
                <w:rFonts w:cs="Arial"/>
                <w:sz w:val="20"/>
                <w:szCs w:val="20"/>
              </w:rPr>
            </w:pPr>
            <w:r w:rsidRPr="00EA057C">
              <w:rPr>
                <w:rFonts w:cs="Arial"/>
                <w:sz w:val="20"/>
                <w:szCs w:val="20"/>
              </w:rPr>
              <w:t>DEER Measure IDs Used</w:t>
            </w:r>
          </w:p>
        </w:tc>
        <w:tc>
          <w:tcPr>
            <w:tcW w:w="3366" w:type="pct"/>
          </w:tcPr>
          <w:p w14:paraId="63ABA251" w14:textId="7AF84AF8" w:rsidR="00D2027C" w:rsidRPr="003A5A44" w:rsidRDefault="00D2027C" w:rsidP="00D2027C">
            <w:pPr>
              <w:spacing w:before="20" w:after="20"/>
              <w:rPr>
                <w:rFonts w:cs="Arial"/>
                <w:sz w:val="20"/>
                <w:szCs w:val="20"/>
              </w:rPr>
            </w:pPr>
            <w:r w:rsidRPr="003A5A44">
              <w:rPr>
                <w:rFonts w:cs="Arial"/>
                <w:sz w:val="20"/>
                <w:szCs w:val="20"/>
              </w:rPr>
              <w:t>n/a</w:t>
            </w:r>
          </w:p>
        </w:tc>
      </w:tr>
      <w:tr w:rsidR="00D2027C" w:rsidRPr="00500C4E" w14:paraId="5A83EC74" w14:textId="77777777" w:rsidTr="004E27C0">
        <w:trPr>
          <w:trHeight w:val="20"/>
        </w:trPr>
        <w:tc>
          <w:tcPr>
            <w:tcW w:w="1634" w:type="pct"/>
          </w:tcPr>
          <w:p w14:paraId="2C82A9E0" w14:textId="6B29AD59" w:rsidR="00D2027C" w:rsidRPr="00EA057C" w:rsidRDefault="00D2027C" w:rsidP="00D2027C">
            <w:pPr>
              <w:spacing w:before="20" w:after="20"/>
              <w:rPr>
                <w:rFonts w:cs="Arial"/>
                <w:sz w:val="20"/>
                <w:szCs w:val="20"/>
              </w:rPr>
            </w:pPr>
            <w:r>
              <w:rPr>
                <w:rFonts w:cs="Arial"/>
                <w:sz w:val="20"/>
                <w:szCs w:val="20"/>
              </w:rPr>
              <w:t>NTG</w:t>
            </w:r>
            <w:r w:rsidR="00C65315">
              <w:rPr>
                <w:rFonts w:cs="Arial"/>
                <w:sz w:val="20"/>
                <w:szCs w:val="20"/>
              </w:rPr>
              <w:t xml:space="preserve"> - Multifamily</w:t>
            </w:r>
          </w:p>
        </w:tc>
        <w:tc>
          <w:tcPr>
            <w:tcW w:w="3366" w:type="pct"/>
          </w:tcPr>
          <w:p w14:paraId="7DEF9D84" w14:textId="2F1DEBF8" w:rsidR="00D2027C" w:rsidRDefault="00D2027C" w:rsidP="00D2027C">
            <w:pPr>
              <w:spacing w:before="20" w:after="20"/>
              <w:rPr>
                <w:rFonts w:cs="Arial"/>
                <w:sz w:val="20"/>
                <w:szCs w:val="20"/>
              </w:rPr>
            </w:pPr>
            <w:r w:rsidRPr="008C6E1A">
              <w:rPr>
                <w:rFonts w:cs="Arial"/>
                <w:sz w:val="20"/>
                <w:szCs w:val="20"/>
              </w:rPr>
              <w:t xml:space="preserve">The NTG of 0.55 is associated with NTG ID: </w:t>
            </w:r>
            <w:r w:rsidRPr="008C6E1A">
              <w:rPr>
                <w:rFonts w:cs="Arial"/>
                <w:i/>
                <w:sz w:val="20"/>
                <w:szCs w:val="20"/>
              </w:rPr>
              <w:t>Res-Default&gt;2yrs</w:t>
            </w:r>
            <w:r w:rsidRPr="008C6E1A">
              <w:rPr>
                <w:rFonts w:cs="Arial"/>
                <w:sz w:val="20"/>
                <w:szCs w:val="20"/>
              </w:rPr>
              <w:t xml:space="preserve">, and is adopted in conformance with the following disposition: </w:t>
            </w:r>
          </w:p>
          <w:p w14:paraId="29F243B0" w14:textId="77777777" w:rsidR="00D2027C" w:rsidRPr="008C6E1A" w:rsidRDefault="00D2027C" w:rsidP="00D2027C">
            <w:pPr>
              <w:spacing w:before="20" w:after="20"/>
              <w:rPr>
                <w:rFonts w:cs="Arial"/>
                <w:sz w:val="20"/>
                <w:szCs w:val="20"/>
              </w:rPr>
            </w:pPr>
          </w:p>
          <w:p w14:paraId="2BBBB10C" w14:textId="4D52D62F" w:rsidR="00D2027C" w:rsidRPr="008C6E1A" w:rsidRDefault="00D2027C" w:rsidP="00D2027C">
            <w:pPr>
              <w:spacing w:before="20" w:after="20"/>
              <w:rPr>
                <w:rFonts w:cs="Arial"/>
                <w:sz w:val="20"/>
                <w:szCs w:val="20"/>
              </w:rPr>
            </w:pPr>
            <w:r w:rsidRPr="008C6E1A">
              <w:rPr>
                <w:rStyle w:val="eTRMFootnoteTextChar"/>
                <w:sz w:val="20"/>
                <w:szCs w:val="20"/>
              </w:rPr>
              <w:t>California Public Utilities Commission (CPUC), Energy Division. 2013. "Workpaper Disposition for On-Demand Pump Control for Central Domestic Hot Water Systems." February 28. Revised June 20, 2013. Page 2.</w:t>
            </w:r>
          </w:p>
        </w:tc>
      </w:tr>
      <w:tr w:rsidR="00C65315" w:rsidRPr="00500C4E" w14:paraId="2AED67AC" w14:textId="77777777" w:rsidTr="004E27C0">
        <w:trPr>
          <w:trHeight w:val="20"/>
        </w:trPr>
        <w:tc>
          <w:tcPr>
            <w:tcW w:w="1634" w:type="pct"/>
          </w:tcPr>
          <w:p w14:paraId="3F3964FE" w14:textId="706430F2" w:rsidR="00C65315" w:rsidRDefault="00C65315" w:rsidP="00D2027C">
            <w:pPr>
              <w:spacing w:before="20" w:after="20"/>
              <w:rPr>
                <w:rFonts w:cs="Arial"/>
                <w:sz w:val="20"/>
                <w:szCs w:val="20"/>
              </w:rPr>
            </w:pPr>
            <w:r>
              <w:rPr>
                <w:rFonts w:cs="Arial"/>
                <w:sz w:val="20"/>
                <w:szCs w:val="20"/>
              </w:rPr>
              <w:t xml:space="preserve">NTG </w:t>
            </w:r>
            <w:r w:rsidR="00417A18">
              <w:rPr>
                <w:rFonts w:cs="Arial"/>
                <w:sz w:val="20"/>
                <w:szCs w:val="20"/>
              </w:rPr>
              <w:t>–</w:t>
            </w:r>
            <w:r>
              <w:rPr>
                <w:rFonts w:cs="Arial"/>
                <w:sz w:val="20"/>
                <w:szCs w:val="20"/>
              </w:rPr>
              <w:t xml:space="preserve"> </w:t>
            </w:r>
            <w:r w:rsidR="00417A18">
              <w:rPr>
                <w:rFonts w:cs="Arial"/>
                <w:sz w:val="20"/>
                <w:szCs w:val="20"/>
              </w:rPr>
              <w:t>Commercial</w:t>
            </w:r>
          </w:p>
        </w:tc>
        <w:tc>
          <w:tcPr>
            <w:tcW w:w="3366" w:type="pct"/>
          </w:tcPr>
          <w:p w14:paraId="17E4430F" w14:textId="7FCE6ED2" w:rsidR="00C65315" w:rsidRPr="008C6E1A" w:rsidRDefault="007D0C9D" w:rsidP="00D2027C">
            <w:pPr>
              <w:spacing w:before="20" w:after="20"/>
              <w:rPr>
                <w:rFonts w:cs="Arial"/>
                <w:sz w:val="20"/>
                <w:szCs w:val="20"/>
              </w:rPr>
            </w:pPr>
            <w:r>
              <w:rPr>
                <w:rFonts w:cs="Arial"/>
                <w:sz w:val="20"/>
                <w:szCs w:val="20"/>
              </w:rPr>
              <w:t>The NTG of 0</w:t>
            </w:r>
            <w:r w:rsidR="009258A8">
              <w:rPr>
                <w:rFonts w:cs="Arial"/>
                <w:sz w:val="20"/>
                <w:szCs w:val="20"/>
              </w:rPr>
              <w:t xml:space="preserve">.60 is associated with NTG ID: </w:t>
            </w:r>
            <w:r w:rsidR="004731A1" w:rsidRPr="004731A1">
              <w:rPr>
                <w:rFonts w:cs="Arial"/>
                <w:sz w:val="20"/>
                <w:szCs w:val="20"/>
              </w:rPr>
              <w:t>Com-Default&gt;2yrs</w:t>
            </w:r>
            <w:r w:rsidR="004731A1">
              <w:rPr>
                <w:rFonts w:cs="Arial"/>
                <w:sz w:val="20"/>
                <w:szCs w:val="20"/>
              </w:rPr>
              <w:t>.</w:t>
            </w:r>
          </w:p>
        </w:tc>
      </w:tr>
      <w:tr w:rsidR="00D2027C" w:rsidRPr="00500C4E" w14:paraId="131D1F9D" w14:textId="77777777" w:rsidTr="004E27C0">
        <w:trPr>
          <w:trHeight w:val="20"/>
        </w:trPr>
        <w:tc>
          <w:tcPr>
            <w:tcW w:w="1634" w:type="pct"/>
          </w:tcPr>
          <w:p w14:paraId="45FFA983" w14:textId="5F527A83" w:rsidR="00D2027C" w:rsidRDefault="00D2027C" w:rsidP="00D2027C">
            <w:pPr>
              <w:spacing w:before="20" w:after="20"/>
              <w:rPr>
                <w:rFonts w:cs="Arial"/>
                <w:sz w:val="20"/>
                <w:szCs w:val="20"/>
              </w:rPr>
            </w:pPr>
            <w:r>
              <w:rPr>
                <w:rFonts w:cs="Arial"/>
                <w:sz w:val="20"/>
                <w:szCs w:val="20"/>
              </w:rPr>
              <w:t>GSIA</w:t>
            </w:r>
          </w:p>
        </w:tc>
        <w:tc>
          <w:tcPr>
            <w:tcW w:w="3366" w:type="pct"/>
          </w:tcPr>
          <w:p w14:paraId="7C16D603" w14:textId="12615E72" w:rsidR="00D2027C" w:rsidRPr="003A5A44" w:rsidRDefault="00D2027C" w:rsidP="00D2027C">
            <w:pPr>
              <w:spacing w:before="20" w:after="20"/>
              <w:rPr>
                <w:rFonts w:cs="Arial"/>
                <w:sz w:val="20"/>
                <w:szCs w:val="20"/>
              </w:rPr>
            </w:pPr>
            <w:r w:rsidRPr="003A5A44">
              <w:rPr>
                <w:rFonts w:cs="Arial"/>
                <w:sz w:val="20"/>
                <w:szCs w:val="20"/>
              </w:rPr>
              <w:t xml:space="preserve">The GSIA of </w:t>
            </w:r>
            <w:r>
              <w:rPr>
                <w:rFonts w:cs="Arial"/>
                <w:sz w:val="20"/>
                <w:szCs w:val="20"/>
              </w:rPr>
              <w:t>1.0</w:t>
            </w:r>
            <w:r w:rsidRPr="003A5A44">
              <w:rPr>
                <w:rFonts w:cs="Arial"/>
                <w:sz w:val="20"/>
                <w:szCs w:val="20"/>
              </w:rPr>
              <w:t xml:space="preserve"> is associated with GSIA ID: </w:t>
            </w:r>
            <w:r w:rsidRPr="003A5A44">
              <w:rPr>
                <w:rFonts w:cs="Arial"/>
                <w:i/>
                <w:sz w:val="20"/>
                <w:szCs w:val="20"/>
              </w:rPr>
              <w:t>Def-GSIA</w:t>
            </w:r>
          </w:p>
        </w:tc>
      </w:tr>
      <w:tr w:rsidR="00D2027C" w:rsidRPr="00500C4E" w14:paraId="4D0F7E1B" w14:textId="77777777" w:rsidTr="004E27C0">
        <w:trPr>
          <w:trHeight w:val="20"/>
        </w:trPr>
        <w:tc>
          <w:tcPr>
            <w:tcW w:w="1634" w:type="pct"/>
          </w:tcPr>
          <w:p w14:paraId="103BA947" w14:textId="0948E227" w:rsidR="00D2027C" w:rsidRDefault="00D2027C" w:rsidP="00D2027C">
            <w:pPr>
              <w:spacing w:before="20" w:after="20"/>
              <w:rPr>
                <w:rFonts w:cs="Arial"/>
                <w:sz w:val="20"/>
                <w:szCs w:val="20"/>
              </w:rPr>
            </w:pPr>
            <w:r>
              <w:rPr>
                <w:rFonts w:cs="Arial"/>
                <w:sz w:val="20"/>
                <w:szCs w:val="20"/>
              </w:rPr>
              <w:t>EUL/RUL</w:t>
            </w:r>
            <w:r w:rsidR="0035557C">
              <w:rPr>
                <w:rFonts w:cs="Arial"/>
                <w:sz w:val="20"/>
                <w:szCs w:val="20"/>
              </w:rPr>
              <w:t xml:space="preserve"> </w:t>
            </w:r>
          </w:p>
        </w:tc>
        <w:tc>
          <w:tcPr>
            <w:tcW w:w="3366" w:type="pct"/>
          </w:tcPr>
          <w:p w14:paraId="5BD9C961" w14:textId="56ADDF89" w:rsidR="00D2027C" w:rsidRPr="003A5A44" w:rsidRDefault="00D2027C" w:rsidP="00D2027C">
            <w:pPr>
              <w:rPr>
                <w:rFonts w:cs="Arial"/>
                <w:sz w:val="20"/>
                <w:szCs w:val="18"/>
              </w:rPr>
            </w:pPr>
            <w:r w:rsidRPr="003A5A44">
              <w:rPr>
                <w:rFonts w:cs="Arial"/>
                <w:sz w:val="20"/>
                <w:szCs w:val="18"/>
              </w:rPr>
              <w:t>Source: 2013 CASE Study and DEER 2011 (</w:t>
            </w:r>
            <w:r w:rsidRPr="003A5A44">
              <w:rPr>
                <w:sz w:val="20"/>
                <w:szCs w:val="18"/>
              </w:rPr>
              <w:t>EUL_Summary_10-1-08.xls)</w:t>
            </w:r>
            <w:r w:rsidRPr="003A5A44">
              <w:rPr>
                <w:rFonts w:cs="Arial"/>
                <w:sz w:val="20"/>
                <w:szCs w:val="18"/>
              </w:rPr>
              <w:t xml:space="preserve">. The value of 15 years is associated with EUL ID: </w:t>
            </w:r>
            <w:r w:rsidRPr="003A5A44">
              <w:rPr>
                <w:i/>
                <w:sz w:val="20"/>
                <w:szCs w:val="18"/>
              </w:rPr>
              <w:t>WtrHt-Timeclock</w:t>
            </w:r>
            <w:r w:rsidRPr="003A5A44">
              <w:rPr>
                <w:sz w:val="20"/>
                <w:szCs w:val="18"/>
              </w:rPr>
              <w:t xml:space="preserve">. </w:t>
            </w:r>
            <w:r>
              <w:rPr>
                <w:sz w:val="20"/>
                <w:szCs w:val="18"/>
              </w:rPr>
              <w:t xml:space="preserve">The RUL is based upon 15 years and EUL ID: </w:t>
            </w:r>
            <w:r w:rsidRPr="008302D3">
              <w:rPr>
                <w:i/>
                <w:sz w:val="20"/>
                <w:szCs w:val="18"/>
              </w:rPr>
              <w:t>Motors-pump.</w:t>
            </w:r>
          </w:p>
        </w:tc>
      </w:tr>
    </w:tbl>
    <w:p w14:paraId="5B7707E3" w14:textId="77777777" w:rsidR="007E72D2" w:rsidRDefault="007E72D2" w:rsidP="004142EF"/>
    <w:p w14:paraId="59542C0D" w14:textId="77777777" w:rsidR="007D230B" w:rsidRDefault="007D230B" w:rsidP="00EE4D02">
      <w:pPr>
        <w:pStyle w:val="eTRMHeading3"/>
      </w:pPr>
      <w:bookmarkStart w:id="70" w:name="_Toc486490866"/>
      <w:bookmarkStart w:id="71" w:name="_Toc486580937"/>
      <w:bookmarkStart w:id="72" w:name="_Toc2250569"/>
      <w:r w:rsidRPr="004B06E3">
        <w:lastRenderedPageBreak/>
        <w:t>Revision History</w:t>
      </w:r>
      <w:bookmarkEnd w:id="70"/>
      <w:bookmarkEnd w:id="71"/>
      <w:bookmarkEnd w:id="72"/>
    </w:p>
    <w:p w14:paraId="75527B36" w14:textId="3F6F574A" w:rsidR="009B0223" w:rsidRDefault="009B0223" w:rsidP="004041B3">
      <w:pPr>
        <w:pStyle w:val="Caption"/>
      </w:pPr>
      <w:r>
        <w:t>Measure Characterization Revision History</w:t>
      </w: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4A0" w:firstRow="1" w:lastRow="0" w:firstColumn="1" w:lastColumn="0" w:noHBand="0" w:noVBand="1"/>
      </w:tblPr>
      <w:tblGrid>
        <w:gridCol w:w="941"/>
        <w:gridCol w:w="1664"/>
        <w:gridCol w:w="1801"/>
        <w:gridCol w:w="4944"/>
      </w:tblGrid>
      <w:tr w:rsidR="009B0223" w:rsidRPr="00500C4E" w14:paraId="5542FFE1" w14:textId="77777777" w:rsidTr="001A634D">
        <w:trPr>
          <w:trHeight w:val="20"/>
        </w:trPr>
        <w:tc>
          <w:tcPr>
            <w:tcW w:w="503" w:type="pct"/>
            <w:shd w:val="clear" w:color="auto" w:fill="F2F2F2" w:themeFill="background1" w:themeFillShade="F2"/>
            <w:vAlign w:val="bottom"/>
          </w:tcPr>
          <w:p w14:paraId="784DAE2A" w14:textId="77777777" w:rsidR="009B0223" w:rsidRPr="00EA057C" w:rsidRDefault="009B0223" w:rsidP="00376281">
            <w:pPr>
              <w:keepNext/>
              <w:keepLines/>
              <w:tabs>
                <w:tab w:val="right" w:pos="2957"/>
              </w:tabs>
              <w:spacing w:before="20" w:after="20"/>
              <w:rPr>
                <w:rFonts w:cs="Arial"/>
                <w:b/>
                <w:sz w:val="20"/>
                <w:szCs w:val="20"/>
              </w:rPr>
            </w:pPr>
            <w:r>
              <w:rPr>
                <w:rFonts w:cs="Arial"/>
                <w:b/>
                <w:sz w:val="20"/>
                <w:szCs w:val="20"/>
              </w:rPr>
              <w:t>Revision Number</w:t>
            </w:r>
          </w:p>
        </w:tc>
        <w:tc>
          <w:tcPr>
            <w:tcW w:w="890" w:type="pct"/>
            <w:shd w:val="clear" w:color="auto" w:fill="F2F2F2" w:themeFill="background1" w:themeFillShade="F2"/>
            <w:vAlign w:val="bottom"/>
          </w:tcPr>
          <w:p w14:paraId="571F82A8" w14:textId="1FDB6B38" w:rsidR="009B0223" w:rsidRPr="00EA057C" w:rsidRDefault="008C6E1A" w:rsidP="00376281">
            <w:pPr>
              <w:keepNext/>
              <w:keepLines/>
              <w:spacing w:before="20" w:after="20"/>
              <w:rPr>
                <w:rFonts w:cs="Arial"/>
                <w:b/>
                <w:sz w:val="20"/>
                <w:szCs w:val="20"/>
              </w:rPr>
            </w:pPr>
            <w:r>
              <w:rPr>
                <w:rFonts w:cs="Arial"/>
                <w:b/>
                <w:sz w:val="20"/>
                <w:szCs w:val="20"/>
              </w:rPr>
              <w:t xml:space="preserve">Revision Completion </w:t>
            </w:r>
            <w:r w:rsidR="009B0223">
              <w:rPr>
                <w:rFonts w:cs="Arial"/>
                <w:b/>
                <w:sz w:val="20"/>
                <w:szCs w:val="20"/>
              </w:rPr>
              <w:t>Date</w:t>
            </w:r>
          </w:p>
        </w:tc>
        <w:tc>
          <w:tcPr>
            <w:tcW w:w="963" w:type="pct"/>
            <w:shd w:val="clear" w:color="auto" w:fill="F2F2F2" w:themeFill="background1" w:themeFillShade="F2"/>
            <w:vAlign w:val="bottom"/>
          </w:tcPr>
          <w:p w14:paraId="6EE45B8B" w14:textId="77777777" w:rsidR="009B0223" w:rsidRDefault="009B0223" w:rsidP="00376281">
            <w:pPr>
              <w:keepNext/>
              <w:keepLines/>
              <w:spacing w:before="20" w:after="20"/>
              <w:rPr>
                <w:rFonts w:cs="Arial"/>
                <w:b/>
                <w:sz w:val="20"/>
                <w:szCs w:val="20"/>
              </w:rPr>
            </w:pPr>
            <w:r>
              <w:rPr>
                <w:rFonts w:cs="Arial"/>
                <w:b/>
                <w:sz w:val="20"/>
                <w:szCs w:val="20"/>
              </w:rPr>
              <w:t>Primary Author, Title, Organization</w:t>
            </w:r>
          </w:p>
        </w:tc>
        <w:tc>
          <w:tcPr>
            <w:tcW w:w="2644" w:type="pct"/>
            <w:shd w:val="clear" w:color="auto" w:fill="F2F2F2" w:themeFill="background1" w:themeFillShade="F2"/>
            <w:vAlign w:val="bottom"/>
          </w:tcPr>
          <w:p w14:paraId="4998CEA5" w14:textId="77777777" w:rsidR="009B0223" w:rsidRDefault="009B0223" w:rsidP="00376281">
            <w:pPr>
              <w:keepNext/>
              <w:keepLines/>
              <w:spacing w:before="20" w:after="20"/>
              <w:rPr>
                <w:rFonts w:cs="Arial"/>
                <w:b/>
                <w:sz w:val="20"/>
                <w:szCs w:val="20"/>
              </w:rPr>
            </w:pPr>
            <w:r>
              <w:rPr>
                <w:rFonts w:cs="Arial"/>
                <w:b/>
                <w:sz w:val="20"/>
                <w:szCs w:val="20"/>
              </w:rPr>
              <w:t>Revision Summary and Rationale for Revision</w:t>
            </w:r>
          </w:p>
          <w:p w14:paraId="063C6032" w14:textId="77777777" w:rsidR="009B0223" w:rsidRDefault="009B0223" w:rsidP="00376281">
            <w:pPr>
              <w:keepNext/>
              <w:keepLines/>
              <w:spacing w:before="20" w:after="20"/>
              <w:rPr>
                <w:rFonts w:cs="Arial"/>
                <w:b/>
                <w:sz w:val="20"/>
                <w:szCs w:val="20"/>
              </w:rPr>
            </w:pPr>
            <w:r>
              <w:rPr>
                <w:rFonts w:cs="Arial"/>
                <w:b/>
                <w:sz w:val="20"/>
                <w:szCs w:val="20"/>
              </w:rPr>
              <w:t>Effective Date and Approved By</w:t>
            </w:r>
          </w:p>
        </w:tc>
      </w:tr>
      <w:tr w:rsidR="0075782D" w:rsidRPr="00CA1CB3" w14:paraId="74335548" w14:textId="77777777" w:rsidTr="001A634D">
        <w:trPr>
          <w:trHeight w:val="20"/>
        </w:trPr>
        <w:tc>
          <w:tcPr>
            <w:tcW w:w="503" w:type="pct"/>
            <w:vMerge w:val="restart"/>
          </w:tcPr>
          <w:p w14:paraId="065F50E7" w14:textId="77777777" w:rsidR="0075782D" w:rsidRPr="00CA1CB3" w:rsidRDefault="0075782D" w:rsidP="00775705">
            <w:pPr>
              <w:keepNext/>
              <w:keepLines/>
              <w:spacing w:before="20" w:after="20"/>
              <w:rPr>
                <w:rFonts w:cs="Arial"/>
                <w:sz w:val="20"/>
                <w:szCs w:val="20"/>
              </w:rPr>
            </w:pPr>
            <w:r w:rsidRPr="00CA1CB3">
              <w:rPr>
                <w:rFonts w:cs="Arial"/>
                <w:sz w:val="20"/>
                <w:szCs w:val="20"/>
              </w:rPr>
              <w:t>0</w:t>
            </w:r>
            <w:r>
              <w:rPr>
                <w:rFonts w:cs="Arial"/>
                <w:sz w:val="20"/>
                <w:szCs w:val="20"/>
              </w:rPr>
              <w:t>1</w:t>
            </w:r>
          </w:p>
        </w:tc>
        <w:tc>
          <w:tcPr>
            <w:tcW w:w="890" w:type="pct"/>
          </w:tcPr>
          <w:p w14:paraId="11AF728E" w14:textId="77777777" w:rsidR="0075782D" w:rsidRPr="00CA1CB3" w:rsidRDefault="0075782D" w:rsidP="00775705">
            <w:pPr>
              <w:keepNext/>
              <w:keepLines/>
              <w:spacing w:before="20" w:after="20"/>
              <w:rPr>
                <w:rFonts w:cs="Arial"/>
                <w:sz w:val="20"/>
                <w:szCs w:val="20"/>
              </w:rPr>
            </w:pPr>
            <w:r>
              <w:rPr>
                <w:rFonts w:cs="Arial"/>
                <w:sz w:val="20"/>
                <w:szCs w:val="20"/>
              </w:rPr>
              <w:t>03/31/2018</w:t>
            </w:r>
          </w:p>
        </w:tc>
        <w:tc>
          <w:tcPr>
            <w:tcW w:w="963" w:type="pct"/>
          </w:tcPr>
          <w:p w14:paraId="12CA73C0" w14:textId="77777777" w:rsidR="0075782D" w:rsidRPr="00CA1CB3" w:rsidRDefault="0075782D" w:rsidP="00775705">
            <w:pPr>
              <w:keepNext/>
              <w:keepLines/>
              <w:spacing w:before="20" w:after="20"/>
              <w:rPr>
                <w:rFonts w:cs="Arial"/>
                <w:sz w:val="20"/>
                <w:szCs w:val="20"/>
              </w:rPr>
            </w:pPr>
            <w:r>
              <w:rPr>
                <w:rFonts w:cs="Arial"/>
                <w:sz w:val="20"/>
                <w:szCs w:val="20"/>
              </w:rPr>
              <w:t>Jennifer Holmes, Cal TF Staff</w:t>
            </w:r>
          </w:p>
        </w:tc>
        <w:tc>
          <w:tcPr>
            <w:tcW w:w="2644" w:type="pct"/>
          </w:tcPr>
          <w:p w14:paraId="7BC74F22" w14:textId="77777777" w:rsidR="0075782D" w:rsidRDefault="0075782D" w:rsidP="00775705">
            <w:pPr>
              <w:keepNext/>
              <w:keepLines/>
              <w:spacing w:before="20" w:after="20"/>
              <w:rPr>
                <w:rFonts w:cs="Arial"/>
                <w:sz w:val="20"/>
                <w:szCs w:val="20"/>
              </w:rPr>
            </w:pPr>
            <w:r>
              <w:rPr>
                <w:rFonts w:cs="Arial"/>
                <w:sz w:val="20"/>
                <w:szCs w:val="20"/>
              </w:rPr>
              <w:t xml:space="preserve">Draft of consolidated text for this statewide measure is based upon: </w:t>
            </w:r>
          </w:p>
          <w:p w14:paraId="2833C902" w14:textId="6D5188D2" w:rsidR="0075782D" w:rsidRDefault="0075782D" w:rsidP="00961018">
            <w:pPr>
              <w:keepNext/>
              <w:keepLines/>
              <w:spacing w:before="20" w:after="20"/>
              <w:ind w:left="-26"/>
              <w:rPr>
                <w:rFonts w:cs="Arial"/>
                <w:sz w:val="20"/>
                <w:szCs w:val="20"/>
              </w:rPr>
            </w:pPr>
            <w:r w:rsidRPr="00961018">
              <w:rPr>
                <w:rFonts w:cs="Arial"/>
                <w:sz w:val="20"/>
                <w:szCs w:val="20"/>
              </w:rPr>
              <w:t>WPSCGREWH161128A, Revision 0 (February 14, 2017</w:t>
            </w:r>
            <w:r>
              <w:rPr>
                <w:rFonts w:cs="Arial"/>
                <w:sz w:val="20"/>
                <w:szCs w:val="20"/>
              </w:rPr>
              <w:t>)</w:t>
            </w:r>
          </w:p>
          <w:p w14:paraId="6BFADE51" w14:textId="2143DE8E" w:rsidR="0075782D" w:rsidRDefault="0075782D" w:rsidP="00961018">
            <w:pPr>
              <w:keepNext/>
              <w:keepLines/>
              <w:spacing w:before="20" w:after="20"/>
              <w:ind w:left="-26"/>
              <w:rPr>
                <w:rFonts w:cs="Arial"/>
                <w:sz w:val="20"/>
                <w:szCs w:val="20"/>
              </w:rPr>
            </w:pPr>
            <w:r>
              <w:rPr>
                <w:rFonts w:cs="Arial"/>
                <w:sz w:val="20"/>
                <w:szCs w:val="20"/>
              </w:rPr>
              <w:t xml:space="preserve">PGECODHW126, Revision 2 </w:t>
            </w:r>
            <w:r w:rsidRPr="006E6872">
              <w:rPr>
                <w:rFonts w:cs="Arial"/>
                <w:sz w:val="20"/>
                <w:szCs w:val="20"/>
              </w:rPr>
              <w:t>(</w:t>
            </w:r>
            <w:r>
              <w:rPr>
                <w:rFonts w:cs="Arial"/>
                <w:sz w:val="20"/>
                <w:szCs w:val="20"/>
              </w:rPr>
              <w:t xml:space="preserve">uploaded to WPA on </w:t>
            </w:r>
            <w:r w:rsidRPr="006E6872">
              <w:rPr>
                <w:rFonts w:cs="Arial"/>
                <w:sz w:val="20"/>
                <w:szCs w:val="20"/>
              </w:rPr>
              <w:t>May 18, 2018)</w:t>
            </w:r>
          </w:p>
          <w:p w14:paraId="4F945C1A" w14:textId="28E52B9E" w:rsidR="0075782D" w:rsidRPr="00961018" w:rsidRDefault="0075782D" w:rsidP="00961018">
            <w:pPr>
              <w:keepNext/>
              <w:keepLines/>
              <w:spacing w:before="20" w:after="20"/>
              <w:ind w:left="-26"/>
              <w:rPr>
                <w:rFonts w:cs="Arial"/>
                <w:sz w:val="20"/>
                <w:szCs w:val="20"/>
              </w:rPr>
            </w:pPr>
            <w:r>
              <w:rPr>
                <w:rFonts w:cs="Arial"/>
                <w:sz w:val="20"/>
                <w:szCs w:val="20"/>
              </w:rPr>
              <w:t>PGECODHW126, Revision 1 (September 27, 2016)</w:t>
            </w:r>
          </w:p>
          <w:p w14:paraId="0264E860" w14:textId="41271666" w:rsidR="0075782D" w:rsidRPr="00961018" w:rsidRDefault="0075782D" w:rsidP="00961018">
            <w:pPr>
              <w:keepNext/>
              <w:keepLines/>
              <w:spacing w:before="20" w:after="20"/>
              <w:ind w:left="-26"/>
              <w:rPr>
                <w:rFonts w:cs="Arial"/>
                <w:sz w:val="20"/>
                <w:szCs w:val="20"/>
              </w:rPr>
            </w:pPr>
            <w:r w:rsidRPr="00961018">
              <w:rPr>
                <w:rFonts w:cs="Arial"/>
                <w:sz w:val="20"/>
                <w:szCs w:val="20"/>
              </w:rPr>
              <w:t>Consensus reached among Cal TF members.</w:t>
            </w:r>
          </w:p>
        </w:tc>
      </w:tr>
      <w:tr w:rsidR="0075782D" w:rsidRPr="00CA1CB3" w14:paraId="285D7F1A" w14:textId="77777777" w:rsidTr="001A634D">
        <w:trPr>
          <w:trHeight w:val="20"/>
        </w:trPr>
        <w:tc>
          <w:tcPr>
            <w:tcW w:w="503" w:type="pct"/>
            <w:vMerge/>
          </w:tcPr>
          <w:p w14:paraId="573C59A2" w14:textId="77777777" w:rsidR="0075782D" w:rsidRPr="00CA1CB3" w:rsidRDefault="0075782D" w:rsidP="00DF731C">
            <w:pPr>
              <w:keepNext/>
              <w:keepLines/>
              <w:spacing w:before="20" w:after="20"/>
              <w:rPr>
                <w:rFonts w:cs="Arial"/>
                <w:sz w:val="20"/>
                <w:szCs w:val="20"/>
              </w:rPr>
            </w:pPr>
          </w:p>
        </w:tc>
        <w:tc>
          <w:tcPr>
            <w:tcW w:w="890" w:type="pct"/>
          </w:tcPr>
          <w:p w14:paraId="41476F66" w14:textId="1101A956" w:rsidR="0075782D" w:rsidRDefault="0075782D" w:rsidP="00DF731C">
            <w:pPr>
              <w:keepNext/>
              <w:keepLines/>
              <w:spacing w:before="20" w:after="20"/>
              <w:rPr>
                <w:rFonts w:cs="Arial"/>
                <w:sz w:val="20"/>
                <w:szCs w:val="20"/>
              </w:rPr>
            </w:pPr>
            <w:r>
              <w:rPr>
                <w:rFonts w:cs="Arial"/>
                <w:sz w:val="20"/>
                <w:szCs w:val="20"/>
              </w:rPr>
              <w:t>02/28/2019</w:t>
            </w:r>
          </w:p>
        </w:tc>
        <w:tc>
          <w:tcPr>
            <w:tcW w:w="963" w:type="pct"/>
          </w:tcPr>
          <w:p w14:paraId="6C8963D5" w14:textId="4944B8AC" w:rsidR="0075782D" w:rsidRDefault="0075782D" w:rsidP="00DF731C">
            <w:pPr>
              <w:keepNext/>
              <w:keepLines/>
              <w:spacing w:before="20" w:after="20"/>
              <w:rPr>
                <w:rFonts w:cs="Arial"/>
                <w:sz w:val="20"/>
                <w:szCs w:val="20"/>
              </w:rPr>
            </w:pPr>
            <w:r>
              <w:rPr>
                <w:rFonts w:cs="Arial"/>
                <w:sz w:val="20"/>
                <w:szCs w:val="20"/>
              </w:rPr>
              <w:t>Jennifer Holmes, Cal TF Staff</w:t>
            </w:r>
          </w:p>
        </w:tc>
        <w:tc>
          <w:tcPr>
            <w:tcW w:w="2644" w:type="pct"/>
          </w:tcPr>
          <w:p w14:paraId="6DC7E307" w14:textId="23F805A0" w:rsidR="0075782D" w:rsidRDefault="0075782D" w:rsidP="00DF731C">
            <w:pPr>
              <w:keepNext/>
              <w:keepLines/>
              <w:spacing w:before="20" w:after="20"/>
              <w:rPr>
                <w:rFonts w:cs="Arial"/>
                <w:sz w:val="20"/>
                <w:szCs w:val="20"/>
              </w:rPr>
            </w:pPr>
            <w:r>
              <w:rPr>
                <w:rFonts w:cs="Arial"/>
                <w:sz w:val="20"/>
                <w:szCs w:val="20"/>
              </w:rPr>
              <w:t>Revisions for submittal of version 01.</w:t>
            </w:r>
          </w:p>
        </w:tc>
      </w:tr>
      <w:tr w:rsidR="006F4B5A" w:rsidRPr="00CA1CB3" w14:paraId="3AB95AD5" w14:textId="77777777" w:rsidTr="001A634D">
        <w:trPr>
          <w:trHeight w:val="20"/>
        </w:trPr>
        <w:tc>
          <w:tcPr>
            <w:tcW w:w="503" w:type="pct"/>
            <w:vMerge w:val="restart"/>
          </w:tcPr>
          <w:p w14:paraId="5592317E" w14:textId="1A28B328" w:rsidR="006F4B5A" w:rsidRPr="00CA1CB3" w:rsidRDefault="006F4B5A" w:rsidP="00DF731C">
            <w:pPr>
              <w:keepNext/>
              <w:keepLines/>
              <w:spacing w:before="20" w:after="20"/>
              <w:rPr>
                <w:rFonts w:cs="Arial"/>
                <w:sz w:val="20"/>
                <w:szCs w:val="20"/>
              </w:rPr>
            </w:pPr>
            <w:r>
              <w:rPr>
                <w:rFonts w:cs="Arial"/>
                <w:sz w:val="20"/>
                <w:szCs w:val="20"/>
              </w:rPr>
              <w:t>02</w:t>
            </w:r>
          </w:p>
        </w:tc>
        <w:tc>
          <w:tcPr>
            <w:tcW w:w="890" w:type="pct"/>
          </w:tcPr>
          <w:p w14:paraId="64818D1B" w14:textId="5738BD9B" w:rsidR="006F4B5A" w:rsidRDefault="006F4B5A" w:rsidP="00DF731C">
            <w:pPr>
              <w:keepNext/>
              <w:keepLines/>
              <w:spacing w:before="20" w:after="20"/>
              <w:rPr>
                <w:rFonts w:cs="Arial"/>
                <w:sz w:val="20"/>
                <w:szCs w:val="20"/>
              </w:rPr>
            </w:pPr>
            <w:r>
              <w:rPr>
                <w:rFonts w:cs="Arial"/>
                <w:sz w:val="20"/>
                <w:szCs w:val="20"/>
              </w:rPr>
              <w:t>11/21/2019</w:t>
            </w:r>
          </w:p>
        </w:tc>
        <w:tc>
          <w:tcPr>
            <w:tcW w:w="963" w:type="pct"/>
          </w:tcPr>
          <w:p w14:paraId="590F38F2" w14:textId="4B9A6A74" w:rsidR="006F4B5A" w:rsidRDefault="006F4B5A" w:rsidP="00DF731C">
            <w:pPr>
              <w:keepNext/>
              <w:keepLines/>
              <w:spacing w:before="20" w:after="20"/>
              <w:rPr>
                <w:rFonts w:cs="Arial"/>
                <w:sz w:val="20"/>
                <w:szCs w:val="20"/>
              </w:rPr>
            </w:pPr>
            <w:r>
              <w:rPr>
                <w:rFonts w:cs="Arial"/>
                <w:sz w:val="20"/>
                <w:szCs w:val="20"/>
              </w:rPr>
              <w:t>RMS Energy Consulting, LLC</w:t>
            </w:r>
          </w:p>
        </w:tc>
        <w:tc>
          <w:tcPr>
            <w:tcW w:w="2644" w:type="pct"/>
          </w:tcPr>
          <w:p w14:paraId="38088A95" w14:textId="592D03F8" w:rsidR="006F4B5A" w:rsidRDefault="006F4B5A" w:rsidP="00DF731C">
            <w:pPr>
              <w:keepNext/>
              <w:keepLines/>
              <w:spacing w:before="20" w:after="20"/>
              <w:rPr>
                <w:rFonts w:cs="Arial"/>
                <w:sz w:val="20"/>
                <w:szCs w:val="20"/>
              </w:rPr>
            </w:pPr>
            <w:r>
              <w:rPr>
                <w:rFonts w:cs="Arial"/>
                <w:sz w:val="20"/>
                <w:szCs w:val="20"/>
              </w:rPr>
              <w:t xml:space="preserve">Revisions for submittal with addition of Commercial measure. </w:t>
            </w:r>
          </w:p>
        </w:tc>
      </w:tr>
      <w:tr w:rsidR="006F4B5A" w:rsidRPr="00CA1CB3" w14:paraId="7753B291" w14:textId="77777777" w:rsidTr="001A634D">
        <w:trPr>
          <w:trHeight w:val="20"/>
        </w:trPr>
        <w:tc>
          <w:tcPr>
            <w:tcW w:w="503" w:type="pct"/>
            <w:vMerge/>
          </w:tcPr>
          <w:p w14:paraId="7C2A436A" w14:textId="77777777" w:rsidR="006F4B5A" w:rsidRDefault="006F4B5A" w:rsidP="00DF731C">
            <w:pPr>
              <w:keepNext/>
              <w:keepLines/>
              <w:spacing w:before="20" w:after="20"/>
              <w:rPr>
                <w:rFonts w:cs="Arial"/>
                <w:sz w:val="20"/>
                <w:szCs w:val="20"/>
              </w:rPr>
            </w:pPr>
          </w:p>
        </w:tc>
        <w:tc>
          <w:tcPr>
            <w:tcW w:w="890" w:type="pct"/>
          </w:tcPr>
          <w:p w14:paraId="7C69362F" w14:textId="76AEC941" w:rsidR="006F4B5A" w:rsidRDefault="006F4B5A" w:rsidP="00DF731C">
            <w:pPr>
              <w:keepNext/>
              <w:keepLines/>
              <w:spacing w:before="20" w:after="20"/>
              <w:rPr>
                <w:rFonts w:cs="Arial"/>
                <w:sz w:val="20"/>
                <w:szCs w:val="20"/>
              </w:rPr>
            </w:pPr>
            <w:r>
              <w:rPr>
                <w:rFonts w:cs="Arial"/>
                <w:sz w:val="20"/>
                <w:szCs w:val="20"/>
              </w:rPr>
              <w:t>02/07/2020</w:t>
            </w:r>
          </w:p>
        </w:tc>
        <w:tc>
          <w:tcPr>
            <w:tcW w:w="963" w:type="pct"/>
          </w:tcPr>
          <w:p w14:paraId="6B50B2DD" w14:textId="03F7C466" w:rsidR="006F4B5A" w:rsidRDefault="006F4B5A" w:rsidP="00DF731C">
            <w:pPr>
              <w:keepNext/>
              <w:keepLines/>
              <w:spacing w:before="20" w:after="20"/>
              <w:rPr>
                <w:rFonts w:cs="Arial"/>
                <w:sz w:val="20"/>
                <w:szCs w:val="20"/>
              </w:rPr>
            </w:pPr>
            <w:r>
              <w:rPr>
                <w:rFonts w:cs="Arial"/>
                <w:sz w:val="20"/>
                <w:szCs w:val="20"/>
              </w:rPr>
              <w:t>Andres Marquez (SoCalGas)</w:t>
            </w:r>
          </w:p>
        </w:tc>
        <w:tc>
          <w:tcPr>
            <w:tcW w:w="2644" w:type="pct"/>
          </w:tcPr>
          <w:p w14:paraId="11EAC9FD" w14:textId="148A91F5" w:rsidR="006F4B5A" w:rsidRDefault="006F4B5A" w:rsidP="00DF731C">
            <w:pPr>
              <w:keepNext/>
              <w:keepLines/>
              <w:spacing w:before="20" w:after="20"/>
              <w:rPr>
                <w:rFonts w:cs="Arial"/>
                <w:sz w:val="20"/>
                <w:szCs w:val="20"/>
              </w:rPr>
            </w:pPr>
            <w:r>
              <w:rPr>
                <w:rFonts w:cs="Arial"/>
                <w:sz w:val="20"/>
                <w:szCs w:val="20"/>
              </w:rPr>
              <w:t>Minor clarification for material cost per CPUC comments dated January 21</w:t>
            </w:r>
            <w:r w:rsidRPr="004049DF">
              <w:rPr>
                <w:rFonts w:cs="Arial"/>
                <w:sz w:val="20"/>
                <w:szCs w:val="20"/>
                <w:vertAlign w:val="superscript"/>
              </w:rPr>
              <w:t>st</w:t>
            </w:r>
            <w:r>
              <w:rPr>
                <w:rFonts w:cs="Arial"/>
                <w:sz w:val="20"/>
                <w:szCs w:val="20"/>
              </w:rPr>
              <w:t>, 2020.</w:t>
            </w:r>
          </w:p>
        </w:tc>
      </w:tr>
      <w:tr w:rsidR="006F4B5A" w:rsidRPr="00CA1CB3" w14:paraId="76CF31FA" w14:textId="77777777" w:rsidTr="001A634D">
        <w:trPr>
          <w:trHeight w:val="20"/>
        </w:trPr>
        <w:tc>
          <w:tcPr>
            <w:tcW w:w="503" w:type="pct"/>
            <w:vMerge/>
          </w:tcPr>
          <w:p w14:paraId="71B2D6C8" w14:textId="77777777" w:rsidR="006F4B5A" w:rsidRDefault="006F4B5A" w:rsidP="0075782D">
            <w:pPr>
              <w:keepNext/>
              <w:keepLines/>
              <w:spacing w:before="20" w:after="20"/>
              <w:rPr>
                <w:rFonts w:cs="Arial"/>
                <w:sz w:val="20"/>
                <w:szCs w:val="20"/>
              </w:rPr>
            </w:pPr>
          </w:p>
        </w:tc>
        <w:tc>
          <w:tcPr>
            <w:tcW w:w="890" w:type="pct"/>
          </w:tcPr>
          <w:p w14:paraId="74E6B4C2" w14:textId="1BD6C9FF" w:rsidR="006F4B5A" w:rsidRDefault="006F4B5A" w:rsidP="0075782D">
            <w:pPr>
              <w:keepNext/>
              <w:keepLines/>
              <w:spacing w:before="20" w:after="20"/>
              <w:rPr>
                <w:rFonts w:cs="Arial"/>
                <w:sz w:val="20"/>
                <w:szCs w:val="20"/>
              </w:rPr>
            </w:pPr>
            <w:r>
              <w:rPr>
                <w:rFonts w:cs="Arial"/>
                <w:sz w:val="20"/>
                <w:szCs w:val="20"/>
              </w:rPr>
              <w:t>04/09/2021</w:t>
            </w:r>
          </w:p>
        </w:tc>
        <w:tc>
          <w:tcPr>
            <w:tcW w:w="963" w:type="pct"/>
          </w:tcPr>
          <w:p w14:paraId="1A0FFCD4" w14:textId="77777777" w:rsidR="006F4B5A" w:rsidRDefault="006F4B5A" w:rsidP="0075782D">
            <w:pPr>
              <w:keepNext/>
              <w:keepLines/>
              <w:spacing w:before="20" w:after="20"/>
              <w:rPr>
                <w:rFonts w:cs="Arial"/>
                <w:sz w:val="20"/>
                <w:szCs w:val="20"/>
              </w:rPr>
            </w:pPr>
            <w:r>
              <w:rPr>
                <w:rFonts w:cs="Arial"/>
                <w:sz w:val="20"/>
                <w:szCs w:val="20"/>
              </w:rPr>
              <w:t>Anders Danryd,</w:t>
            </w:r>
          </w:p>
          <w:p w14:paraId="51B16B4A" w14:textId="7263058A" w:rsidR="006F4B5A" w:rsidRDefault="006F4B5A" w:rsidP="0075782D">
            <w:pPr>
              <w:keepNext/>
              <w:keepLines/>
              <w:spacing w:before="20" w:after="20"/>
              <w:rPr>
                <w:rFonts w:cs="Arial"/>
                <w:sz w:val="20"/>
                <w:szCs w:val="20"/>
              </w:rPr>
            </w:pPr>
            <w:r>
              <w:rPr>
                <w:rFonts w:cs="Arial"/>
                <w:sz w:val="20"/>
                <w:szCs w:val="20"/>
              </w:rPr>
              <w:t>SoCalGas</w:t>
            </w:r>
          </w:p>
        </w:tc>
        <w:tc>
          <w:tcPr>
            <w:tcW w:w="2644" w:type="pct"/>
          </w:tcPr>
          <w:p w14:paraId="1E6DD69E" w14:textId="2BAF6F31" w:rsidR="006F4B5A" w:rsidRDefault="006F4B5A" w:rsidP="0075782D">
            <w:pPr>
              <w:keepNext/>
              <w:keepLines/>
              <w:spacing w:before="20" w:after="20"/>
              <w:rPr>
                <w:rFonts w:cs="Arial"/>
                <w:sz w:val="20"/>
                <w:szCs w:val="20"/>
              </w:rPr>
            </w:pPr>
            <w:r>
              <w:rPr>
                <w:rFonts w:cs="Arial"/>
                <w:sz w:val="20"/>
                <w:szCs w:val="20"/>
              </w:rPr>
              <w:t xml:space="preserve">Changed load shape of com measures to </w:t>
            </w:r>
            <w:r w:rsidRPr="00E427CA">
              <w:rPr>
                <w:rFonts w:cs="Arial"/>
                <w:i/>
                <w:iCs/>
                <w:sz w:val="20"/>
                <w:szCs w:val="20"/>
              </w:rPr>
              <w:t>DEER</w:t>
            </w:r>
            <w:r w:rsidRPr="00273A23">
              <w:rPr>
                <w:rFonts w:cs="Arial"/>
                <w:i/>
                <w:iCs/>
                <w:sz w:val="20"/>
                <w:szCs w:val="20"/>
              </w:rPr>
              <w:t>:Indoor_CFL_Ltg</w:t>
            </w:r>
            <w:r>
              <w:rPr>
                <w:rFonts w:cs="Arial"/>
                <w:i/>
                <w:iCs/>
                <w:sz w:val="20"/>
                <w:szCs w:val="20"/>
              </w:rPr>
              <w:t xml:space="preserve"> </w:t>
            </w:r>
            <w:r>
              <w:rPr>
                <w:rFonts w:cs="Arial"/>
                <w:sz w:val="20"/>
                <w:szCs w:val="20"/>
              </w:rPr>
              <w:t>in</w:t>
            </w:r>
            <w:r w:rsidRPr="003E58AA">
              <w:rPr>
                <w:rFonts w:cs="Arial"/>
                <w:sz w:val="20"/>
                <w:szCs w:val="20"/>
              </w:rPr>
              <w:t xml:space="preserve"> order to satisfy avo</w:t>
            </w:r>
            <w:r>
              <w:rPr>
                <w:rFonts w:cs="Arial"/>
                <w:sz w:val="20"/>
                <w:szCs w:val="20"/>
              </w:rPr>
              <w:t>ided cost combo validation in the CET, other Minor error corrections in EAD</w:t>
            </w:r>
          </w:p>
        </w:tc>
      </w:tr>
      <w:tr w:rsidR="006F4B5A" w:rsidRPr="00CA1CB3" w14:paraId="53C03A7A" w14:textId="77777777" w:rsidTr="001A634D">
        <w:trPr>
          <w:trHeight w:val="20"/>
        </w:trPr>
        <w:tc>
          <w:tcPr>
            <w:tcW w:w="503" w:type="pct"/>
            <w:vMerge/>
          </w:tcPr>
          <w:p w14:paraId="3424E87E" w14:textId="77777777" w:rsidR="006F4B5A" w:rsidRDefault="006F4B5A" w:rsidP="0075782D">
            <w:pPr>
              <w:keepNext/>
              <w:keepLines/>
              <w:spacing w:before="20" w:after="20"/>
              <w:rPr>
                <w:rFonts w:cs="Arial"/>
                <w:sz w:val="20"/>
                <w:szCs w:val="20"/>
              </w:rPr>
            </w:pPr>
          </w:p>
        </w:tc>
        <w:tc>
          <w:tcPr>
            <w:tcW w:w="890" w:type="pct"/>
          </w:tcPr>
          <w:p w14:paraId="06F7F3A8" w14:textId="6889C425" w:rsidR="006F4B5A" w:rsidRDefault="00AE58BA" w:rsidP="0075782D">
            <w:pPr>
              <w:keepNext/>
              <w:keepLines/>
              <w:spacing w:before="20" w:after="20"/>
              <w:rPr>
                <w:rFonts w:cs="Arial"/>
                <w:sz w:val="20"/>
                <w:szCs w:val="20"/>
              </w:rPr>
            </w:pPr>
            <w:r>
              <w:rPr>
                <w:rFonts w:cs="Arial"/>
                <w:sz w:val="20"/>
                <w:szCs w:val="20"/>
              </w:rPr>
              <w:t>08/0</w:t>
            </w:r>
            <w:r w:rsidR="00CA6271">
              <w:rPr>
                <w:rFonts w:cs="Arial"/>
                <w:sz w:val="20"/>
                <w:szCs w:val="20"/>
              </w:rPr>
              <w:t>9</w:t>
            </w:r>
            <w:r>
              <w:rPr>
                <w:rFonts w:cs="Arial"/>
                <w:sz w:val="20"/>
                <w:szCs w:val="20"/>
              </w:rPr>
              <w:t>/2021</w:t>
            </w:r>
          </w:p>
        </w:tc>
        <w:tc>
          <w:tcPr>
            <w:tcW w:w="963" w:type="pct"/>
          </w:tcPr>
          <w:p w14:paraId="21F2B7D4" w14:textId="77777777" w:rsidR="006F4B5A" w:rsidRDefault="00AE58BA" w:rsidP="0075782D">
            <w:pPr>
              <w:keepNext/>
              <w:keepLines/>
              <w:spacing w:before="20" w:after="20"/>
              <w:rPr>
                <w:rFonts w:cs="Arial"/>
                <w:sz w:val="20"/>
                <w:szCs w:val="20"/>
              </w:rPr>
            </w:pPr>
            <w:r>
              <w:rPr>
                <w:rFonts w:cs="Arial"/>
                <w:sz w:val="20"/>
                <w:szCs w:val="20"/>
              </w:rPr>
              <w:t>Soe K Hla</w:t>
            </w:r>
          </w:p>
          <w:p w14:paraId="714B2B40" w14:textId="2BCD0606" w:rsidR="00AE58BA" w:rsidRDefault="00AE58BA" w:rsidP="0075782D">
            <w:pPr>
              <w:keepNext/>
              <w:keepLines/>
              <w:spacing w:before="20" w:after="20"/>
              <w:rPr>
                <w:rFonts w:cs="Arial"/>
                <w:sz w:val="20"/>
                <w:szCs w:val="20"/>
              </w:rPr>
            </w:pPr>
            <w:r>
              <w:rPr>
                <w:rFonts w:cs="Arial"/>
                <w:sz w:val="20"/>
                <w:szCs w:val="20"/>
              </w:rPr>
              <w:t>PG&amp;E</w:t>
            </w:r>
          </w:p>
        </w:tc>
        <w:tc>
          <w:tcPr>
            <w:tcW w:w="2644" w:type="pct"/>
          </w:tcPr>
          <w:p w14:paraId="6BC7316E" w14:textId="6CC3EBB4" w:rsidR="006F4B5A" w:rsidRDefault="00AE58BA" w:rsidP="0075782D">
            <w:pPr>
              <w:keepNext/>
              <w:keepLines/>
              <w:spacing w:before="20" w:after="20"/>
              <w:rPr>
                <w:rFonts w:cs="Arial"/>
                <w:sz w:val="20"/>
                <w:szCs w:val="20"/>
              </w:rPr>
            </w:pPr>
            <w:r>
              <w:rPr>
                <w:rFonts w:cs="Arial"/>
                <w:sz w:val="20"/>
                <w:szCs w:val="20"/>
              </w:rPr>
              <w:t>Adopted all measures for PG&amp;E.</w:t>
            </w:r>
          </w:p>
        </w:tc>
      </w:tr>
    </w:tbl>
    <w:p w14:paraId="0F133B60" w14:textId="77777777" w:rsidR="00387072" w:rsidRDefault="00387072" w:rsidP="00387072"/>
    <w:sectPr w:rsidR="00387072" w:rsidSect="005F505E">
      <w:headerReference w:type="default" r:id="rId36"/>
      <w:headerReference w:type="first" r:id="rId37"/>
      <w:endnotePr>
        <w:numFmt w:val="decimal"/>
      </w:endnotePr>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9D06A2" w14:textId="77777777" w:rsidR="00891677" w:rsidRDefault="00891677" w:rsidP="00A2690C">
      <w:r>
        <w:separator/>
      </w:r>
    </w:p>
    <w:p w14:paraId="1A146C37" w14:textId="77777777" w:rsidR="00891677" w:rsidRDefault="00891677"/>
  </w:endnote>
  <w:endnote w:type="continuationSeparator" w:id="0">
    <w:p w14:paraId="314CFBC5" w14:textId="77777777" w:rsidR="00891677" w:rsidRDefault="00891677" w:rsidP="00A2690C">
      <w:r>
        <w:continuationSeparator/>
      </w:r>
    </w:p>
    <w:p w14:paraId="71637CF2" w14:textId="77777777" w:rsidR="00891677" w:rsidRDefault="008916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PMincho">
    <w:charset w:val="80"/>
    <w:family w:val="roma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w:altName w:val="Corbel"/>
    <w:charset w:val="00"/>
    <w:family w:val="swiss"/>
    <w:pitch w:val="variable"/>
    <w:sig w:usb0="8000002F" w:usb1="5000204A" w:usb2="00000000" w:usb3="00000000" w:csb0="0000009B" w:csb1="00000000"/>
  </w:font>
  <w:font w:name="Proxima Nova Regular">
    <w:altName w:val="Times New Roman"/>
    <w:charset w:val="00"/>
    <w:family w:val="auto"/>
    <w:pitch w:val="variable"/>
    <w:sig w:usb0="00000001" w:usb1="5000E0FB" w:usb2="00000000" w:usb3="00000000" w:csb0="0000019B" w:csb1="00000000"/>
  </w:font>
  <w:font w:name="Proxima Nova Light">
    <w:altName w:val="Candara"/>
    <w:charset w:val="00"/>
    <w:family w:val="auto"/>
    <w:pitch w:val="variable"/>
    <w:sig w:usb0="00000001" w:usb1="5000E0FB"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 w:name="Proxima Nova Semibold">
    <w:altName w:val="Candara"/>
    <w:charset w:val="00"/>
    <w:family w:val="auto"/>
    <w:pitch w:val="variable"/>
    <w:sig w:usb0="00000001" w:usb1="5000E0FB" w:usb2="00000000" w:usb3="00000000" w:csb0="0000019B"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458D06" w14:textId="77777777" w:rsidR="00A25110" w:rsidRDefault="00A25110" w:rsidP="000220A0">
    <w:pPr>
      <w:pStyle w:val="Footer"/>
      <w:pBdr>
        <w:top w:val="none" w:sz="0" w:space="0" w:color="auto"/>
      </w:pBdr>
      <w:tabs>
        <w:tab w:val="right" w:pos="9360"/>
      </w:tabs>
      <w:spacing w:before="0"/>
      <w:jc w:val="center"/>
      <w:rPr>
        <w:rStyle w:val="PageNumber"/>
        <w:sz w:val="14"/>
        <w:szCs w:val="14"/>
      </w:rPr>
    </w:pPr>
    <w:r>
      <w:rPr>
        <w:noProof/>
      </w:rPr>
      <w:drawing>
        <wp:inline distT="0" distB="0" distL="0" distR="0" wp14:anchorId="41916C2F" wp14:editId="02F01AEC">
          <wp:extent cx="2223135" cy="160885"/>
          <wp:effectExtent l="0" t="0" r="0" b="0"/>
          <wp:docPr id="1" name="Picture 1" descr="CalTF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TF_Logo.png"/>
                  <pic:cNvPicPr/>
                </pic:nvPicPr>
                <pic:blipFill rotWithShape="1">
                  <a:blip r:embed="rId1"/>
                  <a:srcRect t="47768" b="41315"/>
                  <a:stretch/>
                </pic:blipFill>
                <pic:spPr bwMode="auto">
                  <a:xfrm>
                    <a:off x="0" y="0"/>
                    <a:ext cx="2349780" cy="170050"/>
                  </a:xfrm>
                  <a:prstGeom prst="rect">
                    <a:avLst/>
                  </a:prstGeom>
                  <a:ln>
                    <a:noFill/>
                  </a:ln>
                  <a:extLst>
                    <a:ext uri="{53640926-AAD7-44D8-BBD7-CCE9431645EC}">
                      <a14:shadowObscured xmlns:a14="http://schemas.microsoft.com/office/drawing/2010/main"/>
                    </a:ext>
                  </a:extLst>
                </pic:spPr>
              </pic:pic>
            </a:graphicData>
          </a:graphic>
        </wp:inline>
      </w:drawing>
    </w:r>
  </w:p>
  <w:p w14:paraId="5C62A141" w14:textId="17400F5A" w:rsidR="00A25110" w:rsidRPr="00B837C1" w:rsidRDefault="00A25110" w:rsidP="000220A0">
    <w:pPr>
      <w:pStyle w:val="Footer"/>
      <w:pBdr>
        <w:top w:val="none" w:sz="0" w:space="0" w:color="auto"/>
      </w:pBdr>
      <w:tabs>
        <w:tab w:val="right" w:pos="9360"/>
      </w:tabs>
      <w:spacing w:before="0"/>
      <w:jc w:val="center"/>
      <w:rPr>
        <w:rStyle w:val="PageNumber"/>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2</w:t>
    </w:r>
    <w:r w:rsidRPr="00B837C1">
      <w:rPr>
        <w:rStyle w:val="PageNumber"/>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9F114B" w14:textId="77777777" w:rsidR="00A25110" w:rsidRDefault="00A25110" w:rsidP="000220A0">
    <w:pPr>
      <w:pStyle w:val="Footer"/>
      <w:pBdr>
        <w:top w:val="none" w:sz="0" w:space="0" w:color="auto"/>
      </w:pBdr>
      <w:tabs>
        <w:tab w:val="left" w:pos="900"/>
        <w:tab w:val="right" w:pos="9360"/>
      </w:tabs>
      <w:spacing w:before="0"/>
      <w:jc w:val="center"/>
      <w:rPr>
        <w:rStyle w:val="PageNumber"/>
        <w:sz w:val="14"/>
        <w:szCs w:val="14"/>
      </w:rPr>
    </w:pPr>
    <w:r>
      <w:rPr>
        <w:noProof/>
      </w:rPr>
      <w:drawing>
        <wp:anchor distT="0" distB="0" distL="114300" distR="114300" simplePos="0" relativeHeight="251658240" behindDoc="0" locked="0" layoutInCell="1" allowOverlap="1" wp14:anchorId="399E855D" wp14:editId="24F5A954">
          <wp:simplePos x="0" y="0"/>
          <wp:positionH relativeFrom="column">
            <wp:posOffset>2863850</wp:posOffset>
          </wp:positionH>
          <wp:positionV relativeFrom="paragraph">
            <wp:posOffset>-138781</wp:posOffset>
          </wp:positionV>
          <wp:extent cx="210820" cy="579335"/>
          <wp:effectExtent l="0" t="6350" r="11430" b="11430"/>
          <wp:wrapNone/>
          <wp:docPr id="2" name="Picture 2"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enniferholmes/Documents/___FutEE /CalTF and eTRM/Style Guide Logos Colors Templates/eTRM_Logo.pdf"/>
                  <pic:cNvPicPr>
                    <a:picLocks noChangeAspect="1" noChangeArrowheads="1"/>
                  </pic:cNvPicPr>
                </pic:nvPicPr>
                <pic:blipFill rotWithShape="1">
                  <a:blip r:embed="rId1">
                    <a:extLst>
                      <a:ext uri="{28A0092B-C50C-407E-A947-70E740481C1C}">
                        <a14:useLocalDpi xmlns:a14="http://schemas.microsoft.com/office/drawing/2010/main" val="0"/>
                      </a:ext>
                    </a:extLst>
                  </a:blip>
                  <a:srcRect r="72384" b="53234"/>
                  <a:stretch/>
                </pic:blipFill>
                <pic:spPr bwMode="auto">
                  <a:xfrm rot="5400000">
                    <a:off x="0" y="0"/>
                    <a:ext cx="210820" cy="5793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AE5071" w14:textId="07C3D375" w:rsidR="00A25110" w:rsidRPr="00B837C1" w:rsidRDefault="00A25110" w:rsidP="000220A0">
    <w:pPr>
      <w:pStyle w:val="Footer"/>
      <w:pBdr>
        <w:top w:val="none" w:sz="0" w:space="0" w:color="auto"/>
      </w:pBdr>
      <w:tabs>
        <w:tab w:val="left" w:pos="900"/>
        <w:tab w:val="right" w:pos="9360"/>
      </w:tabs>
      <w:spacing w:before="0"/>
      <w:jc w:val="center"/>
      <w:rPr>
        <w:rFonts w:ascii="Avenir Next" w:hAnsi="Avenir Next"/>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12</w:t>
    </w:r>
    <w:r w:rsidRPr="00B837C1">
      <w:rPr>
        <w:rStyle w:val="PageNumber"/>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F79099" w14:textId="77777777" w:rsidR="00A25110" w:rsidRDefault="00A25110" w:rsidP="005F505E">
    <w:pPr>
      <w:pStyle w:val="Footer"/>
      <w:pBdr>
        <w:top w:val="none" w:sz="0" w:space="0" w:color="auto"/>
      </w:pBdr>
      <w:tabs>
        <w:tab w:val="left" w:pos="900"/>
        <w:tab w:val="right" w:pos="9360"/>
      </w:tabs>
      <w:spacing w:before="0"/>
      <w:jc w:val="center"/>
      <w:rPr>
        <w:rStyle w:val="PageNumber"/>
        <w:sz w:val="14"/>
        <w:szCs w:val="14"/>
      </w:rPr>
    </w:pPr>
    <w:r>
      <w:rPr>
        <w:noProof/>
      </w:rPr>
      <w:drawing>
        <wp:anchor distT="0" distB="0" distL="114300" distR="114300" simplePos="0" relativeHeight="251660288" behindDoc="0" locked="0" layoutInCell="1" allowOverlap="1" wp14:anchorId="6B48D61A" wp14:editId="644A89DF">
          <wp:simplePos x="0" y="0"/>
          <wp:positionH relativeFrom="column">
            <wp:posOffset>2863850</wp:posOffset>
          </wp:positionH>
          <wp:positionV relativeFrom="paragraph">
            <wp:posOffset>-138781</wp:posOffset>
          </wp:positionV>
          <wp:extent cx="210820" cy="579335"/>
          <wp:effectExtent l="0" t="6350" r="11430" b="11430"/>
          <wp:wrapNone/>
          <wp:docPr id="4" name="Picture 4"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enniferholmes/Documents/___FutEE /CalTF and eTRM/Style Guide Logos Colors Templates/eTRM_Logo.pdf"/>
                  <pic:cNvPicPr>
                    <a:picLocks noChangeAspect="1" noChangeArrowheads="1"/>
                  </pic:cNvPicPr>
                </pic:nvPicPr>
                <pic:blipFill rotWithShape="1">
                  <a:blip r:embed="rId1">
                    <a:extLst>
                      <a:ext uri="{28A0092B-C50C-407E-A947-70E740481C1C}">
                        <a14:useLocalDpi xmlns:a14="http://schemas.microsoft.com/office/drawing/2010/main" val="0"/>
                      </a:ext>
                    </a:extLst>
                  </a:blip>
                  <a:srcRect r="72384" b="53234"/>
                  <a:stretch/>
                </pic:blipFill>
                <pic:spPr bwMode="auto">
                  <a:xfrm rot="5400000">
                    <a:off x="0" y="0"/>
                    <a:ext cx="210820" cy="5793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D71D6C" w14:textId="6C8DB9EB" w:rsidR="00A25110" w:rsidRPr="005F505E" w:rsidRDefault="00A25110" w:rsidP="005F505E">
    <w:pPr>
      <w:pStyle w:val="Footer"/>
      <w:pBdr>
        <w:top w:val="none" w:sz="0" w:space="0" w:color="auto"/>
      </w:pBdr>
      <w:tabs>
        <w:tab w:val="left" w:pos="900"/>
        <w:tab w:val="right" w:pos="9360"/>
      </w:tabs>
      <w:spacing w:before="0"/>
      <w:jc w:val="center"/>
      <w:rPr>
        <w:rStyle w:val="PageNumber"/>
        <w:rFonts w:ascii="Avenir Next" w:hAnsi="Avenir Next"/>
        <w:color w:val="auto"/>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1</w:t>
    </w:r>
    <w:r w:rsidRPr="00B837C1">
      <w:rPr>
        <w:rStyle w:val="PageNumber"/>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86B327" w14:textId="77777777" w:rsidR="00891677" w:rsidRDefault="00891677" w:rsidP="00A2690C">
      <w:r>
        <w:separator/>
      </w:r>
    </w:p>
    <w:p w14:paraId="4893938B" w14:textId="77777777" w:rsidR="00891677" w:rsidRDefault="00891677"/>
  </w:footnote>
  <w:footnote w:type="continuationSeparator" w:id="0">
    <w:p w14:paraId="125E781E" w14:textId="77777777" w:rsidR="00891677" w:rsidRDefault="00891677" w:rsidP="00A2690C">
      <w:r>
        <w:continuationSeparator/>
      </w:r>
    </w:p>
    <w:p w14:paraId="4D32C341" w14:textId="77777777" w:rsidR="00891677" w:rsidRDefault="00891677"/>
  </w:footnote>
  <w:footnote w:id="1">
    <w:p w14:paraId="26545003" w14:textId="7B970325" w:rsidR="00A25110" w:rsidRDefault="00A25110">
      <w:pPr>
        <w:pStyle w:val="FootnoteText"/>
      </w:pPr>
      <w:r>
        <w:rPr>
          <w:rStyle w:val="FootnoteReference"/>
        </w:rPr>
        <w:footnoteRef/>
      </w:r>
      <w:r>
        <w:t xml:space="preserve"> </w:t>
      </w:r>
      <w:r w:rsidRPr="00F15683">
        <w:t xml:space="preserve">Heschong Mahone Group, Inc. 2013. </w:t>
      </w:r>
      <w:r w:rsidRPr="00350782">
        <w:rPr>
          <w:i/>
        </w:rPr>
        <w:t>Public Interest Energy Research (PIER) Program, Multifamily Central Domestic Hot Water Distribution Systems – Final Project Report.</w:t>
      </w:r>
      <w:r w:rsidRPr="00F15683">
        <w:t xml:space="preserve"> Prepared for the California Energy Commission. Gold River, CA: Heschong Mahone Group, Inc.  CEC-500-2013-011.</w:t>
      </w:r>
      <w:r w:rsidRPr="002306B1">
        <w:t>Page 21.</w:t>
      </w:r>
    </w:p>
  </w:footnote>
  <w:footnote w:id="2">
    <w:p w14:paraId="4191CBEF" w14:textId="0CB479A3" w:rsidR="00A25110" w:rsidRDefault="00A25110">
      <w:pPr>
        <w:pStyle w:val="FootnoteText"/>
      </w:pPr>
      <w:r>
        <w:rPr>
          <w:rStyle w:val="FootnoteReference"/>
        </w:rPr>
        <w:footnoteRef/>
      </w:r>
      <w:r>
        <w:t xml:space="preserve"> </w:t>
      </w:r>
      <w:r w:rsidRPr="002306B1">
        <w:t xml:space="preserve">Heschong Mahone Group, Inc. 2013. </w:t>
      </w:r>
      <w:r w:rsidRPr="00350782">
        <w:rPr>
          <w:i/>
        </w:rPr>
        <w:t>Public Interest Energy Research (PIER) Program, Multifamily Central Domestic Hot Water Distribution Systems – Final Project Report.</w:t>
      </w:r>
      <w:r w:rsidRPr="002306B1">
        <w:t xml:space="preserve"> Prepared for the California Energy Commission. Gold River, CA: Heschong Mahone Group, Inc.  CEC-500-2013-011. Page 2.</w:t>
      </w:r>
    </w:p>
  </w:footnote>
  <w:footnote w:id="3">
    <w:p w14:paraId="1E651DCC" w14:textId="204A6214" w:rsidR="00A25110" w:rsidRDefault="00A25110">
      <w:pPr>
        <w:pStyle w:val="FootnoteText"/>
      </w:pPr>
      <w:r>
        <w:rPr>
          <w:rStyle w:val="FootnoteReference"/>
        </w:rPr>
        <w:footnoteRef/>
      </w:r>
      <w:r>
        <w:t xml:space="preserve"> </w:t>
      </w:r>
      <w:r w:rsidRPr="000141BD">
        <w:rPr>
          <w:rStyle w:val="eTRMFootnoteTextChar"/>
        </w:rPr>
        <w:t xml:space="preserve">Heschong Mahone Group, Inc. 2013. </w:t>
      </w:r>
      <w:r w:rsidRPr="00BC2472">
        <w:rPr>
          <w:rStyle w:val="eTRMFootnoteTextChar"/>
          <w:i/>
        </w:rPr>
        <w:t>Public Interest Energy Research (PIER) Program, Multifamily Central Domestic Hot Water Distribution Systems – Final Project Report.</w:t>
      </w:r>
      <w:r w:rsidRPr="000141BD">
        <w:rPr>
          <w:rStyle w:val="eTRMFootnoteTextChar"/>
        </w:rPr>
        <w:t xml:space="preserve"> Prepared for the California Energy Commission. Gold River, CA: Heschong Mahone Group, Inc.  CEC-500-2013-011.</w:t>
      </w:r>
    </w:p>
  </w:footnote>
  <w:footnote w:id="4">
    <w:p w14:paraId="10660F94" w14:textId="4C94E0D7" w:rsidR="00A25110" w:rsidRDefault="00A25110">
      <w:pPr>
        <w:pStyle w:val="FootnoteText"/>
      </w:pPr>
      <w:r>
        <w:rPr>
          <w:rStyle w:val="FootnoteReference"/>
        </w:rPr>
        <w:footnoteRef/>
      </w:r>
      <w:r>
        <w:t xml:space="preserve"> </w:t>
      </w:r>
      <w:r w:rsidRPr="000141BD">
        <w:rPr>
          <w:rStyle w:val="eTRMFootnoteTextChar"/>
        </w:rPr>
        <w:t xml:space="preserve">California Utilities Statewide Codes and Standards Team. 2011. </w:t>
      </w:r>
      <w:r w:rsidRPr="000141BD">
        <w:rPr>
          <w:rStyle w:val="eTRMFootnoteTextChar"/>
          <w:i/>
        </w:rPr>
        <w:t>Codes and Standards Enhancement Initiative (CASE), Multifamily Central DHW and Solar Water Heating, 2013 California Building Energy Efficiency Standards.</w:t>
      </w:r>
    </w:p>
  </w:footnote>
  <w:footnote w:id="5">
    <w:p w14:paraId="6F78E6B9" w14:textId="7B4C5AE3" w:rsidR="00A25110" w:rsidRDefault="00A25110">
      <w:pPr>
        <w:pStyle w:val="FootnoteText"/>
      </w:pPr>
      <w:r>
        <w:rPr>
          <w:rStyle w:val="FootnoteReference"/>
        </w:rPr>
        <w:footnoteRef/>
      </w:r>
      <w:r>
        <w:t xml:space="preserve"> California Energy Commission (CEC). 2015. </w:t>
      </w:r>
      <w:r w:rsidRPr="00D30DEE">
        <w:rPr>
          <w:i/>
        </w:rPr>
        <w:t>2016 Building Energy Efficiency Standards for Residential and Nonresidential Buildings.</w:t>
      </w:r>
      <w:r>
        <w:t xml:space="preserve"> CEC-400-2015-037-CMF.</w:t>
      </w:r>
    </w:p>
  </w:footnote>
  <w:footnote w:id="6">
    <w:p w14:paraId="63CCF5FE" w14:textId="60027198" w:rsidR="00A25110" w:rsidRDefault="00A25110" w:rsidP="00803927">
      <w:pPr>
        <w:pStyle w:val="FootnoteText"/>
        <w:rPr>
          <w:rFonts w:asciiTheme="minorHAnsi" w:hAnsiTheme="minorHAnsi" w:cstheme="minorHAnsi"/>
          <w:sz w:val="22"/>
          <w:szCs w:val="22"/>
        </w:rPr>
      </w:pPr>
      <w:r>
        <w:rPr>
          <w:rStyle w:val="FootnoteReference"/>
        </w:rPr>
        <w:footnoteRef/>
      </w:r>
      <w:r>
        <w:t xml:space="preserve"> </w:t>
      </w:r>
      <w:r w:rsidRPr="00B36851">
        <w:rPr>
          <w:rStyle w:val="eTRMFootnoteTextChar"/>
        </w:rPr>
        <w:t xml:space="preserve">Southern California Gas Company (SCG), Engineering Analysis Center – Applied Technologies. 2014. </w:t>
      </w:r>
      <w:r w:rsidRPr="00B36851">
        <w:rPr>
          <w:rStyle w:val="eTRMFootnoteTextChar"/>
          <w:i/>
        </w:rPr>
        <w:t>Project Test Report - Variable Frequency Drive Hot Water Recirculation Pump Controller</w:t>
      </w:r>
      <w:r w:rsidRPr="00B36851">
        <w:rPr>
          <w:rStyle w:val="eTRMFootnoteTextChar"/>
        </w:rPr>
        <w:t>. Pages 31-34.</w:t>
      </w:r>
    </w:p>
    <w:p w14:paraId="4905F4EE" w14:textId="77777777" w:rsidR="00A25110" w:rsidRDefault="00A25110" w:rsidP="00803927">
      <w:pPr>
        <w:pStyle w:val="FootnoteText"/>
      </w:pPr>
    </w:p>
  </w:footnote>
  <w:footnote w:id="7">
    <w:p w14:paraId="7F1CF996" w14:textId="0B456B4F" w:rsidR="000D763B" w:rsidRDefault="000D763B">
      <w:pPr>
        <w:pStyle w:val="FootnoteText"/>
      </w:pPr>
      <w:r>
        <w:rPr>
          <w:rStyle w:val="FootnoteReference"/>
        </w:rPr>
        <w:footnoteRef/>
      </w:r>
      <w:r>
        <w:t xml:space="preserve"> </w:t>
      </w:r>
      <w:r w:rsidRPr="003717ED">
        <w:rPr>
          <w:rFonts w:cs="Calibri Light"/>
          <w:szCs w:val="18"/>
        </w:rPr>
        <w:t xml:space="preserve">Southern California Gas Company, Engineering Analysis Center – Applied Technologies, </w:t>
      </w:r>
      <w:r w:rsidRPr="003717ED">
        <w:rPr>
          <w:rFonts w:cs="Calibri Light"/>
          <w:i/>
          <w:szCs w:val="18"/>
        </w:rPr>
        <w:t>Project Test Report - Variable Frequency Drive Hot Water Recirculation Pump Controller</w:t>
      </w:r>
      <w:r w:rsidRPr="003717ED">
        <w:rPr>
          <w:rFonts w:cs="Calibri Light"/>
          <w:szCs w:val="18"/>
        </w:rPr>
        <w:t>, January 2014, page 31-34.</w:t>
      </w:r>
    </w:p>
  </w:footnote>
  <w:footnote w:id="8">
    <w:p w14:paraId="0A2FBEF1" w14:textId="25C03289" w:rsidR="00A25110" w:rsidRDefault="00A25110" w:rsidP="007B1024">
      <w:pPr>
        <w:pStyle w:val="FootnoteText"/>
      </w:pPr>
      <w:r>
        <w:rPr>
          <w:rStyle w:val="FootnoteReference"/>
        </w:rPr>
        <w:footnoteRef/>
      </w:r>
      <w:r>
        <w:t xml:space="preserve"> </w:t>
      </w:r>
      <w:r w:rsidRPr="000141BD">
        <w:rPr>
          <w:rStyle w:val="eTRMFootnoteTextChar"/>
        </w:rPr>
        <w:t xml:space="preserve">California Utilities Statewide Codes and Standards Team. 2011. </w:t>
      </w:r>
      <w:r w:rsidRPr="000141BD">
        <w:rPr>
          <w:rStyle w:val="eTRMFootnoteTextChar"/>
          <w:i/>
        </w:rPr>
        <w:t>Codes and Standards Enhancement Initiative (CASE), Multifamily Central DHW and Solar Water Heating, 2013 California Building Energy Efficiency Standards.</w:t>
      </w:r>
    </w:p>
  </w:footnote>
  <w:footnote w:id="9">
    <w:p w14:paraId="485CBD64" w14:textId="2546A39C" w:rsidR="00A25110" w:rsidRPr="00D87F00" w:rsidRDefault="00A25110" w:rsidP="007B1024">
      <w:pPr>
        <w:pStyle w:val="FootnoteText"/>
        <w:rPr>
          <w:rFonts w:asciiTheme="minorHAnsi" w:hAnsiTheme="minorHAnsi"/>
          <w:sz w:val="22"/>
          <w:szCs w:val="22"/>
        </w:rPr>
      </w:pPr>
      <w:r>
        <w:rPr>
          <w:rStyle w:val="FootnoteReference"/>
        </w:rPr>
        <w:footnoteRef/>
      </w:r>
      <w:r>
        <w:t xml:space="preserve"> </w:t>
      </w:r>
      <w:r w:rsidRPr="000141BD">
        <w:rPr>
          <w:rStyle w:val="eTRMFootnoteTextChar"/>
        </w:rPr>
        <w:t xml:space="preserve">Heschong Mahone Group, Inc. 2013. </w:t>
      </w:r>
      <w:r w:rsidRPr="00BC2472">
        <w:rPr>
          <w:rStyle w:val="eTRMFootnoteTextChar"/>
          <w:i/>
        </w:rPr>
        <w:t>Public Interest Energy Research (PIER) Program, Multifamily Central Domestic Hot Water Distribution Systems – Final Project Report.</w:t>
      </w:r>
      <w:r w:rsidRPr="000141BD">
        <w:rPr>
          <w:rStyle w:val="eTRMFootnoteTextChar"/>
        </w:rPr>
        <w:t xml:space="preserve"> Prepared for the California Energy Commission. Gold River, CA: Heschong Mahone Group, Inc.  CEC-500-2013-011.</w:t>
      </w:r>
    </w:p>
  </w:footnote>
  <w:footnote w:id="10">
    <w:p w14:paraId="61EB7F2E" w14:textId="3D73BFC6" w:rsidR="00A25110" w:rsidRDefault="00A25110" w:rsidP="007B1024">
      <w:pPr>
        <w:pStyle w:val="FootnoteText"/>
      </w:pPr>
      <w:r>
        <w:rPr>
          <w:rStyle w:val="FootnoteReference"/>
        </w:rPr>
        <w:footnoteRef/>
      </w:r>
      <w:r>
        <w:t xml:space="preserve"> </w:t>
      </w:r>
      <w:r w:rsidRPr="000141BD">
        <w:rPr>
          <w:rStyle w:val="eTRMFootnoteTextChar"/>
        </w:rPr>
        <w:t xml:space="preserve">California Utilities Statewide Codes and Standards Team. 2011. </w:t>
      </w:r>
      <w:r w:rsidRPr="000141BD">
        <w:rPr>
          <w:rStyle w:val="eTRMFootnoteTextChar"/>
          <w:i/>
        </w:rPr>
        <w:t>Codes and Standards Enhancement Initiative (CASE), Multifamily Central DHW and Solar Water Heating, 2013 California Building Energy Efficiency Standards.</w:t>
      </w:r>
    </w:p>
  </w:footnote>
  <w:footnote w:id="11">
    <w:p w14:paraId="2F83D835" w14:textId="7575FD79" w:rsidR="00A25110" w:rsidRDefault="00A25110">
      <w:pPr>
        <w:pStyle w:val="FootnoteText"/>
      </w:pPr>
      <w:r>
        <w:rPr>
          <w:rStyle w:val="FootnoteReference"/>
        </w:rPr>
        <w:footnoteRef/>
      </w:r>
      <w:r>
        <w:t xml:space="preserve"> Southern California Gas Company (SCG). 2016 “</w:t>
      </w:r>
      <w:r w:rsidRPr="00917A98">
        <w:t>WPSCGREWH161128A-Rev00_Recirc Pump Control for MF_Technology Comparison</w:t>
      </w:r>
      <w:r>
        <w:t>.xlsx.”</w:t>
      </w:r>
    </w:p>
  </w:footnote>
  <w:footnote w:id="12">
    <w:p w14:paraId="5B46C8D3" w14:textId="4A89F31B" w:rsidR="00A25110" w:rsidRDefault="00A25110" w:rsidP="00535328">
      <w:pPr>
        <w:pStyle w:val="FootnoteText"/>
      </w:pPr>
      <w:r>
        <w:rPr>
          <w:rStyle w:val="FootnoteReference"/>
        </w:rPr>
        <w:footnoteRef/>
      </w:r>
      <w:r>
        <w:t xml:space="preserve"> Southern California Gas Company (SCG). 2016 “</w:t>
      </w:r>
      <w:r w:rsidRPr="00917A98">
        <w:t>WPSCGREWH161128A-Rev00_Recirc Pump Control for MF_Technology Comparison</w:t>
      </w:r>
      <w:r>
        <w:t>.xlsx.”</w:t>
      </w:r>
    </w:p>
  </w:footnote>
  <w:footnote w:id="13">
    <w:p w14:paraId="2F075343" w14:textId="2E3860B4" w:rsidR="00A25110" w:rsidRDefault="00A25110">
      <w:pPr>
        <w:pStyle w:val="FootnoteText"/>
      </w:pPr>
      <w:r>
        <w:rPr>
          <w:rStyle w:val="FootnoteReference"/>
        </w:rPr>
        <w:footnoteRef/>
      </w:r>
      <w:r>
        <w:t xml:space="preserve"> Southern California Gas </w:t>
      </w:r>
      <w:r w:rsidRPr="00804281">
        <w:t>Company (SCG). 2016. “WPSCGREW</w:t>
      </w:r>
      <w:r w:rsidRPr="001B5CC4">
        <w:t>H161128A-Rev00_Recirc Pump Control for MF_DHW System Characteristics</w:t>
      </w:r>
      <w:r>
        <w:t>.xlsx.”</w:t>
      </w:r>
    </w:p>
  </w:footnote>
  <w:footnote w:id="14">
    <w:p w14:paraId="733B2EB2" w14:textId="5FFA35CE" w:rsidR="00A25110" w:rsidRDefault="00A25110">
      <w:pPr>
        <w:pStyle w:val="FootnoteText"/>
      </w:pPr>
      <w:r>
        <w:rPr>
          <w:rStyle w:val="FootnoteReference"/>
        </w:rPr>
        <w:footnoteRef/>
      </w:r>
      <w:r>
        <w:t xml:space="preserve"> </w:t>
      </w:r>
      <w:r w:rsidRPr="000D222F">
        <w:rPr>
          <w:rFonts w:eastAsia="Times New Roman" w:cs="Calibri Light"/>
          <w:color w:val="000000"/>
          <w:szCs w:val="22"/>
        </w:rPr>
        <w:t xml:space="preserve">American Society of Heating, Refrigerating and Air Conditioning Engineers, Inc. (ASHRAE). </w:t>
      </w:r>
      <w:r>
        <w:rPr>
          <w:rFonts w:eastAsia="Times New Roman" w:cs="Calibri Light"/>
          <w:color w:val="000000"/>
          <w:szCs w:val="22"/>
        </w:rPr>
        <w:t>2015</w:t>
      </w:r>
      <w:r w:rsidRPr="000D222F">
        <w:rPr>
          <w:rFonts w:eastAsia="Times New Roman" w:cs="Calibri Light"/>
          <w:color w:val="000000"/>
          <w:szCs w:val="22"/>
        </w:rPr>
        <w:t xml:space="preserve">. </w:t>
      </w:r>
      <w:r>
        <w:rPr>
          <w:rFonts w:eastAsia="Times New Roman" w:cs="Calibri Light"/>
          <w:i/>
          <w:iCs/>
          <w:color w:val="000000"/>
          <w:szCs w:val="22"/>
        </w:rPr>
        <w:t>2015</w:t>
      </w:r>
      <w:r w:rsidRPr="000D222F">
        <w:rPr>
          <w:rFonts w:eastAsia="Times New Roman" w:cs="Calibri Light"/>
          <w:i/>
          <w:iCs/>
          <w:color w:val="000000"/>
          <w:szCs w:val="22"/>
        </w:rPr>
        <w:t xml:space="preserve"> ASHRAE Handbook</w:t>
      </w:r>
      <w:r>
        <w:rPr>
          <w:rFonts w:eastAsia="Times New Roman" w:cs="Calibri Light"/>
          <w:i/>
          <w:iCs/>
          <w:color w:val="000000"/>
          <w:szCs w:val="22"/>
        </w:rPr>
        <w:t xml:space="preserve"> -</w:t>
      </w:r>
      <w:r w:rsidRPr="000D222F">
        <w:rPr>
          <w:rFonts w:eastAsia="Times New Roman" w:cs="Calibri Light"/>
          <w:i/>
          <w:iCs/>
          <w:color w:val="000000"/>
          <w:szCs w:val="22"/>
        </w:rPr>
        <w:t xml:space="preserve"> HVAC </w:t>
      </w:r>
      <w:r>
        <w:rPr>
          <w:rFonts w:eastAsia="Times New Roman" w:cs="Calibri Light"/>
          <w:i/>
          <w:iCs/>
          <w:color w:val="000000"/>
          <w:szCs w:val="22"/>
        </w:rPr>
        <w:t>Applications</w:t>
      </w:r>
      <w:r w:rsidRPr="000D222F">
        <w:rPr>
          <w:rFonts w:eastAsia="Times New Roman" w:cs="Calibri Light"/>
          <w:i/>
          <w:iCs/>
          <w:color w:val="000000"/>
          <w:szCs w:val="22"/>
        </w:rPr>
        <w:t>.</w:t>
      </w:r>
      <w:r w:rsidRPr="000D222F">
        <w:rPr>
          <w:rFonts w:eastAsia="Times New Roman" w:cs="Calibri Light"/>
          <w:color w:val="000000"/>
          <w:szCs w:val="22"/>
        </w:rPr>
        <w:t xml:space="preserve"> </w:t>
      </w:r>
      <w:r w:rsidRPr="000D222F">
        <w:rPr>
          <w:rFonts w:eastAsia="Times New Roman" w:cs="Calibri Light"/>
          <w:color w:val="222222"/>
          <w:szCs w:val="22"/>
        </w:rPr>
        <w:t>Atlanta (GA): ASHRAE.</w:t>
      </w:r>
      <w:r>
        <w:rPr>
          <w:rFonts w:eastAsia="Times New Roman" w:cs="Calibri Light"/>
          <w:color w:val="222222"/>
          <w:szCs w:val="22"/>
        </w:rPr>
        <w:t xml:space="preserve"> Page 49.6.</w:t>
      </w:r>
    </w:p>
  </w:footnote>
  <w:footnote w:id="15">
    <w:p w14:paraId="39F907B4" w14:textId="25F6D09E" w:rsidR="00A25110" w:rsidRDefault="00A25110" w:rsidP="007B1024">
      <w:pPr>
        <w:pStyle w:val="FootnoteText"/>
      </w:pPr>
      <w:r>
        <w:rPr>
          <w:rStyle w:val="FootnoteReference"/>
        </w:rPr>
        <w:footnoteRef/>
      </w:r>
      <w:r>
        <w:t xml:space="preserve"> </w:t>
      </w:r>
      <w:r w:rsidRPr="000141BD">
        <w:rPr>
          <w:rStyle w:val="eTRMFootnoteTextChar"/>
        </w:rPr>
        <w:t xml:space="preserve">California Utilities Statewide Codes and Standards Team. 2011. </w:t>
      </w:r>
      <w:r w:rsidRPr="000141BD">
        <w:rPr>
          <w:rStyle w:val="eTRMFootnoteTextChar"/>
          <w:i/>
        </w:rPr>
        <w:t>Codes and Standards Enhancement Initiative (CASE), Multifamily Central DHW and Solar Water Heating, 2013 California Building Energy Efficiency Standards.</w:t>
      </w:r>
    </w:p>
  </w:footnote>
  <w:footnote w:id="16">
    <w:p w14:paraId="5D44B4C0" w14:textId="77777777" w:rsidR="00A25110" w:rsidRDefault="00A25110" w:rsidP="002B49AE">
      <w:pPr>
        <w:pStyle w:val="FootnoteText"/>
      </w:pPr>
      <w:r>
        <w:rPr>
          <w:rStyle w:val="FootnoteReference"/>
        </w:rPr>
        <w:footnoteRef/>
      </w:r>
      <w:r>
        <w:t xml:space="preserve"> </w:t>
      </w:r>
      <w:r w:rsidRPr="001B5CC4">
        <w:rPr>
          <w:rStyle w:val="eTRMFootnoteTextChar"/>
        </w:rPr>
        <w:t xml:space="preserve">California Utilities Statewide Codes and Standards Team. 2011. </w:t>
      </w:r>
      <w:r w:rsidRPr="001B5CC4">
        <w:rPr>
          <w:rStyle w:val="eTRMFootnoteTextChar"/>
          <w:i/>
        </w:rPr>
        <w:t>Codes and Standards Enhancement Initiative (CASE), Multifamily Central DHW and Solar Water Heating, 2013 California Building Energy Efficiency Standards.</w:t>
      </w:r>
    </w:p>
  </w:footnote>
  <w:footnote w:id="17">
    <w:p w14:paraId="3E209F8F" w14:textId="0481FF0E" w:rsidR="00A25110" w:rsidRDefault="00A25110">
      <w:pPr>
        <w:pStyle w:val="FootnoteText"/>
      </w:pPr>
      <w:r>
        <w:rPr>
          <w:rStyle w:val="FootnoteReference"/>
        </w:rPr>
        <w:footnoteRef/>
      </w:r>
      <w:r>
        <w:t xml:space="preserve"> Southern California Gas Company (SCG). 2016. “</w:t>
      </w:r>
      <w:r w:rsidRPr="00826AF0">
        <w:t>WPSCGREWH161128A-Rev00_Recirc Pump Control for MF_Building Energy Model Results</w:t>
      </w:r>
      <w:r>
        <w:t>.xlsx.”</w:t>
      </w:r>
    </w:p>
  </w:footnote>
  <w:footnote w:id="18">
    <w:p w14:paraId="56D3DD35" w14:textId="77777777" w:rsidR="00A25110" w:rsidRDefault="00A25110" w:rsidP="004C230B">
      <w:pPr>
        <w:pStyle w:val="FootnoteText"/>
      </w:pPr>
      <w:r>
        <w:rPr>
          <w:rStyle w:val="FootnoteReference"/>
        </w:rPr>
        <w:footnoteRef/>
      </w:r>
      <w:r>
        <w:t xml:space="preserve"> </w:t>
      </w:r>
      <w:r w:rsidRPr="00C554DF">
        <w:t xml:space="preserve">California Public Utilities Commission (CPUC), Energy Division. 2013. </w:t>
      </w:r>
      <w:r w:rsidRPr="00C554DF">
        <w:rPr>
          <w:i/>
        </w:rPr>
        <w:t>Energy Efficiency Policy Manual Version 5</w:t>
      </w:r>
      <w:r w:rsidRPr="00C554DF">
        <w:t>. Page 32.</w:t>
      </w:r>
    </w:p>
  </w:footnote>
  <w:footnote w:id="19">
    <w:p w14:paraId="18DA27CD" w14:textId="77777777" w:rsidR="00A25110" w:rsidRDefault="00A25110" w:rsidP="004C230B">
      <w:pPr>
        <w:pStyle w:val="FootnoteText"/>
      </w:pPr>
      <w:r>
        <w:rPr>
          <w:rStyle w:val="FootnoteReference"/>
        </w:rPr>
        <w:footnoteRef/>
      </w:r>
      <w:r>
        <w:t xml:space="preserve"> </w:t>
      </w:r>
      <w:r w:rsidRPr="00C554DF">
        <w:rPr>
          <w:rFonts w:eastAsia="Times New Roman" w:cs="Times New Roman"/>
          <w:color w:val="000000"/>
          <w:szCs w:val="18"/>
        </w:rPr>
        <w:t xml:space="preserve">KEMA, Inc. 2008. "Summary of EUL-RUL Analysis for the April 2008 Update to DEER." </w:t>
      </w:r>
      <w:r w:rsidRPr="00C554DF">
        <w:rPr>
          <w:rFonts w:eastAsia="Times New Roman" w:cs="Times New Roman"/>
          <w:szCs w:val="18"/>
        </w:rPr>
        <w:t>Memorandum submitted to Itron, Inc.</w:t>
      </w:r>
    </w:p>
  </w:footnote>
  <w:footnote w:id="20">
    <w:p w14:paraId="732CB1AD" w14:textId="2F283842" w:rsidR="00A25110" w:rsidRDefault="00A25110">
      <w:pPr>
        <w:pStyle w:val="FootnoteText"/>
      </w:pPr>
      <w:r>
        <w:rPr>
          <w:rStyle w:val="FootnoteReference"/>
        </w:rPr>
        <w:footnoteRef/>
      </w:r>
      <w:r>
        <w:t xml:space="preserve"> </w:t>
      </w:r>
      <w:r w:rsidRPr="00BA4302">
        <w:rPr>
          <w:szCs w:val="20"/>
        </w:rPr>
        <w:t>Southern California Gas Company. 2011. “WPSCREWP0002.0_11_17_11 Cost Analysis.xlsx.”</w:t>
      </w:r>
    </w:p>
  </w:footnote>
  <w:footnote w:id="21">
    <w:p w14:paraId="07EB99D5" w14:textId="60E14B9C" w:rsidR="003717ED" w:rsidRDefault="003717ED">
      <w:pPr>
        <w:pStyle w:val="FootnoteText"/>
      </w:pPr>
      <w:r>
        <w:rPr>
          <w:rStyle w:val="FootnoteReference"/>
        </w:rPr>
        <w:footnoteRef/>
      </w:r>
      <w:r>
        <w:t xml:space="preserve"> </w:t>
      </w:r>
      <w:r w:rsidR="00E353C8" w:rsidRPr="00E353C8">
        <w:rPr>
          <w:rFonts w:cs="Calibri Light"/>
          <w:szCs w:val="18"/>
        </w:rPr>
        <w:t xml:space="preserve">Southern California Gas Company, Engineering Analysis Center – Applied Technologies, </w:t>
      </w:r>
      <w:r w:rsidR="00E353C8" w:rsidRPr="00E353C8">
        <w:rPr>
          <w:rFonts w:cs="Calibri Light"/>
          <w:i/>
          <w:szCs w:val="18"/>
        </w:rPr>
        <w:t>Project Test Report - Variable Frequency Drive Hot Water Recirculation Pump Controller</w:t>
      </w:r>
      <w:r w:rsidR="00E353C8" w:rsidRPr="00E353C8">
        <w:rPr>
          <w:rFonts w:cs="Calibri Light"/>
          <w:szCs w:val="18"/>
        </w:rPr>
        <w:t>, January 2014, page 21.</w:t>
      </w:r>
    </w:p>
  </w:footnote>
  <w:footnote w:id="22">
    <w:p w14:paraId="76ACCDD4" w14:textId="77777777" w:rsidR="00A25110" w:rsidRPr="001B75BC" w:rsidRDefault="00A25110" w:rsidP="00E72C18">
      <w:pPr>
        <w:pStyle w:val="FootnoteText"/>
        <w:rPr>
          <w:szCs w:val="18"/>
        </w:rPr>
      </w:pPr>
      <w:r>
        <w:rPr>
          <w:rStyle w:val="FootnoteReference"/>
        </w:rPr>
        <w:footnoteRef/>
      </w:r>
      <w:r>
        <w:t xml:space="preserve"> </w:t>
      </w:r>
      <w:r w:rsidRPr="00BA4302">
        <w:rPr>
          <w:szCs w:val="20"/>
        </w:rPr>
        <w:t xml:space="preserve">Southern California Gas Company. </w:t>
      </w:r>
      <w:r w:rsidRPr="001B75BC">
        <w:rPr>
          <w:szCs w:val="18"/>
        </w:rPr>
        <w:t>2011. “WPSCREWP0002.0_11_17_11 Cost Analysis.xlsx.”</w:t>
      </w:r>
    </w:p>
  </w:footnote>
  <w:footnote w:id="23">
    <w:p w14:paraId="71FC7ED0" w14:textId="1BB14F3A" w:rsidR="00E353C8" w:rsidRDefault="00E353C8">
      <w:pPr>
        <w:pStyle w:val="FootnoteText"/>
      </w:pPr>
      <w:r w:rsidRPr="001B75BC">
        <w:rPr>
          <w:rStyle w:val="FootnoteReference"/>
          <w:szCs w:val="18"/>
        </w:rPr>
        <w:footnoteRef/>
      </w:r>
      <w:r w:rsidRPr="001B75BC">
        <w:rPr>
          <w:szCs w:val="18"/>
        </w:rPr>
        <w:t xml:space="preserve"> </w:t>
      </w:r>
      <w:r w:rsidRPr="001B75BC">
        <w:rPr>
          <w:rFonts w:cs="Calibri Light"/>
          <w:szCs w:val="18"/>
        </w:rPr>
        <w:t xml:space="preserve">Southern California Gas Company, Engineering Analysis Center – Applied Technologies, </w:t>
      </w:r>
      <w:r w:rsidRPr="001B75BC">
        <w:rPr>
          <w:rFonts w:cs="Calibri Light"/>
          <w:i/>
          <w:szCs w:val="18"/>
        </w:rPr>
        <w:t>Project Test Report - Variable Frequency Drive Hot Water Recirculation Pump Controller</w:t>
      </w:r>
      <w:r w:rsidRPr="001B75BC">
        <w:rPr>
          <w:rFonts w:cs="Calibri Light"/>
          <w:szCs w:val="18"/>
        </w:rPr>
        <w:t>, January 2014, page 21.</w:t>
      </w:r>
    </w:p>
  </w:footnote>
  <w:footnote w:id="24">
    <w:p w14:paraId="4D596850" w14:textId="20C9749D" w:rsidR="00A25110" w:rsidRPr="001B75BC" w:rsidRDefault="00A25110">
      <w:pPr>
        <w:pStyle w:val="FootnoteText"/>
        <w:rPr>
          <w:rFonts w:cs="Calibri Light"/>
          <w:szCs w:val="18"/>
        </w:rPr>
      </w:pPr>
      <w:r>
        <w:rPr>
          <w:rStyle w:val="FootnoteReference"/>
        </w:rPr>
        <w:footnoteRef/>
      </w:r>
      <w:r>
        <w:t xml:space="preserve"> </w:t>
      </w:r>
      <w:r w:rsidRPr="00DF0937">
        <w:rPr>
          <w:rStyle w:val="eTRMFootnoteTextChar"/>
        </w:rPr>
        <w:t xml:space="preserve">California Public Utilities Commission (CPUC), Energy Division. 2013. "Workpaper Disposition for On-Demand Pump Control for Central Domestic Hot Water Systems." February 28. </w:t>
      </w:r>
      <w:r w:rsidRPr="001B75BC">
        <w:rPr>
          <w:rStyle w:val="eTRMFootnoteTextChar"/>
          <w:rFonts w:cs="Calibri Light"/>
          <w:szCs w:val="18"/>
        </w:rPr>
        <w:t>Revised June 20.</w:t>
      </w:r>
    </w:p>
  </w:footnote>
  <w:footnote w:id="25">
    <w:p w14:paraId="3B48C3DF" w14:textId="77777777" w:rsidR="001B75BC" w:rsidRPr="001B75BC" w:rsidRDefault="001B75BC" w:rsidP="001B75BC">
      <w:pPr>
        <w:pStyle w:val="EndnoteText"/>
        <w:rPr>
          <w:rFonts w:cs="Calibri Light"/>
          <w:sz w:val="18"/>
          <w:szCs w:val="18"/>
        </w:rPr>
      </w:pPr>
      <w:r w:rsidRPr="001B75BC">
        <w:rPr>
          <w:rStyle w:val="FootnoteReference"/>
          <w:rFonts w:cs="Calibri Light"/>
          <w:sz w:val="18"/>
          <w:szCs w:val="18"/>
        </w:rPr>
        <w:footnoteRef/>
      </w:r>
      <w:r w:rsidRPr="001B75BC">
        <w:rPr>
          <w:rFonts w:cs="Calibri Light"/>
          <w:sz w:val="18"/>
          <w:szCs w:val="18"/>
        </w:rPr>
        <w:t xml:space="preserve"> Southern California Gas Company, </w:t>
      </w:r>
      <w:r w:rsidRPr="001B75BC">
        <w:rPr>
          <w:rFonts w:cs="Calibri Light"/>
          <w:i/>
          <w:sz w:val="18"/>
          <w:szCs w:val="18"/>
        </w:rPr>
        <w:t>On-Demand Pump Control for Central Domestic Hot Water Systems</w:t>
      </w:r>
      <w:r w:rsidRPr="001B75BC">
        <w:rPr>
          <w:rFonts w:cs="Calibri Light"/>
          <w:sz w:val="18"/>
          <w:szCs w:val="18"/>
        </w:rPr>
        <w:t>, Workpaper WPSCGODEO91116, Revision 4, December 2013.</w:t>
      </w:r>
    </w:p>
    <w:p w14:paraId="66E0A0D7" w14:textId="2D1FE2B3" w:rsidR="001B75BC" w:rsidRDefault="001B75BC">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014C8F" w14:textId="159C53FF" w:rsidR="00A25110" w:rsidRPr="000220A0" w:rsidRDefault="00A25110" w:rsidP="005B7418">
    <w:pPr>
      <w:pStyle w:val="Header"/>
      <w:rPr>
        <w:rFonts w:ascii="Calibri Light" w:hAnsi="Calibri Light"/>
      </w:rPr>
    </w:pPr>
    <w:r w:rsidRPr="000220A0">
      <w:rPr>
        <w:rFonts w:ascii="Calibri Light" w:hAnsi="Calibri Light"/>
      </w:rPr>
      <w:t xml:space="preserve">FOOD SERVICE | </w:t>
    </w:r>
    <w:r w:rsidRPr="000220A0">
      <w:rPr>
        <w:rFonts w:ascii="Calibri Light" w:hAnsi="Calibri Light"/>
        <w:b/>
      </w:rPr>
      <w:t>2.01 Commercial Convection Ovens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F1ACE" w14:textId="221E192E" w:rsidR="00A25110" w:rsidRDefault="00A25110">
    <w:pPr>
      <w:pStyle w:val="Header"/>
    </w:pPr>
    <w:r>
      <w:rPr>
        <w:rFonts w:ascii="Calibri Light" w:hAnsi="Calibri Light"/>
      </w:rPr>
      <w:t xml:space="preserve">SERVICE &amp; DOMESTIC HOT WATER </w:t>
    </w:r>
    <w:r w:rsidRPr="000220A0">
      <w:rPr>
        <w:rFonts w:ascii="Calibri Light" w:hAnsi="Calibri Light"/>
      </w:rPr>
      <w:t xml:space="preserve"> </w:t>
    </w:r>
    <w:r w:rsidRPr="00181E01">
      <w:rPr>
        <w:rFonts w:ascii="Calibri Light" w:hAnsi="Calibri Light"/>
        <w:color w:val="8DC63F"/>
      </w:rPr>
      <w:sym w:font="Wingdings" w:char="F06E"/>
    </w:r>
    <w:r w:rsidRPr="000220A0">
      <w:rPr>
        <w:rFonts w:ascii="Calibri Light" w:hAnsi="Calibri Light"/>
      </w:rPr>
      <w:t xml:space="preserve"> </w:t>
    </w:r>
    <w:r>
      <w:rPr>
        <w:rFonts w:ascii="Calibri Light" w:hAnsi="Calibri Light"/>
      </w:rPr>
      <w:t xml:space="preserve"> </w:t>
    </w:r>
    <w:r>
      <w:rPr>
        <w:rFonts w:ascii="Calibri Light" w:hAnsi="Calibri Light"/>
        <w:b/>
      </w:rPr>
      <w:t>VFD Demand Control for Centralized Water Heater Recirculation Pump, Multifamily and Commercial</w:t>
    </w:r>
  </w:p>
  <w:p w14:paraId="0BBA2503" w14:textId="77777777" w:rsidR="00A25110" w:rsidRDefault="00A2511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DAB8AA" w14:textId="77777777" w:rsidR="00A25110" w:rsidRDefault="00A25110" w:rsidP="00BD221D">
    <w:pPr>
      <w:jc w:val="center"/>
    </w:pPr>
  </w:p>
  <w:p w14:paraId="342310D5" w14:textId="5BACBCD8" w:rsidR="00A25110" w:rsidRDefault="00A25110" w:rsidP="00BD221D">
    <w:pPr>
      <w:jc w:val="center"/>
    </w:pPr>
    <w:r>
      <w:rPr>
        <w:noProof/>
      </w:rPr>
      <w:drawing>
        <wp:inline distT="0" distB="0" distL="0" distR="0" wp14:anchorId="4B2AF0A8" wp14:editId="7258E71E">
          <wp:extent cx="937307" cy="1405961"/>
          <wp:effectExtent l="0" t="0" r="2540" b="0"/>
          <wp:docPr id="3" name="Picture 3"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jenniferholmes/Documents/___FutEE /CalTF and eTRM/Style Guide Logos Colors Templates/eTRM_Logo.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5933" cy="143390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46D616" w14:textId="0AD89CA2" w:rsidR="00A25110" w:rsidRDefault="00A25110" w:rsidP="001D7A57">
    <w:pPr>
      <w:pStyle w:val="Header"/>
    </w:pPr>
    <w:r>
      <w:rPr>
        <w:rFonts w:ascii="Calibri Light" w:hAnsi="Calibri Light"/>
      </w:rPr>
      <w:t xml:space="preserve">SERVICE &amp; DOMESTIC HOT WATER </w:t>
    </w:r>
    <w:r w:rsidRPr="000220A0">
      <w:rPr>
        <w:rFonts w:ascii="Calibri Light" w:hAnsi="Calibri Light"/>
      </w:rPr>
      <w:t xml:space="preserve"> </w:t>
    </w:r>
    <w:r w:rsidRPr="00181E01">
      <w:rPr>
        <w:rFonts w:ascii="Calibri Light" w:hAnsi="Calibri Light"/>
        <w:color w:val="8DC63F"/>
      </w:rPr>
      <w:sym w:font="Wingdings" w:char="F06E"/>
    </w:r>
    <w:r w:rsidRPr="000220A0">
      <w:rPr>
        <w:rFonts w:ascii="Calibri Light" w:hAnsi="Calibri Light"/>
      </w:rPr>
      <w:t xml:space="preserve">  </w:t>
    </w:r>
    <w:r w:rsidRPr="00376281">
      <w:rPr>
        <w:b/>
      </w:rPr>
      <w:t xml:space="preserve">Demand Control for Centralized Water Heater Recirculation Pump, Multifamily </w:t>
    </w:r>
    <w:r w:rsidR="00BF4E0E">
      <w:rPr>
        <w:b/>
      </w:rPr>
      <w:t>&amp; Commercial</w:t>
    </w:r>
  </w:p>
  <w:p w14:paraId="2AC97B25" w14:textId="77777777" w:rsidR="00A25110" w:rsidRDefault="00A2511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03757E" w14:textId="68B81AAC" w:rsidR="00A25110" w:rsidRDefault="00A251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7809BA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FA5F09"/>
    <w:multiLevelType w:val="hybridMultilevel"/>
    <w:tmpl w:val="37F86C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80410D"/>
    <w:multiLevelType w:val="hybridMultilevel"/>
    <w:tmpl w:val="5352EDE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0455420"/>
    <w:multiLevelType w:val="hybridMultilevel"/>
    <w:tmpl w:val="4CE41C1A"/>
    <w:lvl w:ilvl="0" w:tplc="BC50BC96">
      <w:start w:val="7"/>
      <w:numFmt w:val="bullet"/>
      <w:lvlText w:val="-"/>
      <w:lvlJc w:val="left"/>
      <w:pPr>
        <w:ind w:left="410" w:hanging="360"/>
      </w:pPr>
      <w:rPr>
        <w:rFonts w:ascii="Calibri Light" w:eastAsiaTheme="minorEastAsia" w:hAnsi="Calibri Light" w:cs="Calibri Light" w:hint="default"/>
      </w:rPr>
    </w:lvl>
    <w:lvl w:ilvl="1" w:tplc="04090003" w:tentative="1">
      <w:start w:val="1"/>
      <w:numFmt w:val="bullet"/>
      <w:lvlText w:val="o"/>
      <w:lvlJc w:val="left"/>
      <w:pPr>
        <w:ind w:left="1130" w:hanging="360"/>
      </w:pPr>
      <w:rPr>
        <w:rFonts w:ascii="Courier New" w:hAnsi="Courier New" w:cs="Courier New" w:hint="default"/>
      </w:rPr>
    </w:lvl>
    <w:lvl w:ilvl="2" w:tplc="04090005" w:tentative="1">
      <w:start w:val="1"/>
      <w:numFmt w:val="bullet"/>
      <w:lvlText w:val=""/>
      <w:lvlJc w:val="left"/>
      <w:pPr>
        <w:ind w:left="1850" w:hanging="360"/>
      </w:pPr>
      <w:rPr>
        <w:rFonts w:ascii="Wingdings" w:hAnsi="Wingdings" w:hint="default"/>
      </w:rPr>
    </w:lvl>
    <w:lvl w:ilvl="3" w:tplc="04090001" w:tentative="1">
      <w:start w:val="1"/>
      <w:numFmt w:val="bullet"/>
      <w:lvlText w:val=""/>
      <w:lvlJc w:val="left"/>
      <w:pPr>
        <w:ind w:left="2570" w:hanging="360"/>
      </w:pPr>
      <w:rPr>
        <w:rFonts w:ascii="Symbol" w:hAnsi="Symbol" w:hint="default"/>
      </w:rPr>
    </w:lvl>
    <w:lvl w:ilvl="4" w:tplc="04090003" w:tentative="1">
      <w:start w:val="1"/>
      <w:numFmt w:val="bullet"/>
      <w:lvlText w:val="o"/>
      <w:lvlJc w:val="left"/>
      <w:pPr>
        <w:ind w:left="3290" w:hanging="360"/>
      </w:pPr>
      <w:rPr>
        <w:rFonts w:ascii="Courier New" w:hAnsi="Courier New" w:cs="Courier New" w:hint="default"/>
      </w:rPr>
    </w:lvl>
    <w:lvl w:ilvl="5" w:tplc="04090005" w:tentative="1">
      <w:start w:val="1"/>
      <w:numFmt w:val="bullet"/>
      <w:lvlText w:val=""/>
      <w:lvlJc w:val="left"/>
      <w:pPr>
        <w:ind w:left="4010" w:hanging="360"/>
      </w:pPr>
      <w:rPr>
        <w:rFonts w:ascii="Wingdings" w:hAnsi="Wingdings" w:hint="default"/>
      </w:rPr>
    </w:lvl>
    <w:lvl w:ilvl="6" w:tplc="04090001" w:tentative="1">
      <w:start w:val="1"/>
      <w:numFmt w:val="bullet"/>
      <w:lvlText w:val=""/>
      <w:lvlJc w:val="left"/>
      <w:pPr>
        <w:ind w:left="4730" w:hanging="360"/>
      </w:pPr>
      <w:rPr>
        <w:rFonts w:ascii="Symbol" w:hAnsi="Symbol" w:hint="default"/>
      </w:rPr>
    </w:lvl>
    <w:lvl w:ilvl="7" w:tplc="04090003" w:tentative="1">
      <w:start w:val="1"/>
      <w:numFmt w:val="bullet"/>
      <w:lvlText w:val="o"/>
      <w:lvlJc w:val="left"/>
      <w:pPr>
        <w:ind w:left="5450" w:hanging="360"/>
      </w:pPr>
      <w:rPr>
        <w:rFonts w:ascii="Courier New" w:hAnsi="Courier New" w:cs="Courier New" w:hint="default"/>
      </w:rPr>
    </w:lvl>
    <w:lvl w:ilvl="8" w:tplc="04090005" w:tentative="1">
      <w:start w:val="1"/>
      <w:numFmt w:val="bullet"/>
      <w:lvlText w:val=""/>
      <w:lvlJc w:val="left"/>
      <w:pPr>
        <w:ind w:left="6170" w:hanging="360"/>
      </w:pPr>
      <w:rPr>
        <w:rFonts w:ascii="Wingdings" w:hAnsi="Wingdings" w:hint="default"/>
      </w:rPr>
    </w:lvl>
  </w:abstractNum>
  <w:abstractNum w:abstractNumId="4" w15:restartNumberingAfterBreak="0">
    <w:nsid w:val="21F161B9"/>
    <w:multiLevelType w:val="hybridMultilevel"/>
    <w:tmpl w:val="6856183C"/>
    <w:lvl w:ilvl="0" w:tplc="60B2E530">
      <w:start w:val="1"/>
      <w:numFmt w:val="bullet"/>
      <w:lvlText w:val=""/>
      <w:lvlJc w:val="left"/>
      <w:pPr>
        <w:ind w:left="720" w:hanging="360"/>
      </w:pPr>
      <w:rPr>
        <w:rFonts w:ascii="Symbol" w:hAnsi="Symbol" w:hint="default"/>
        <w:color w:val="404040" w:themeColor="accent3" w:themeShade="8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788363F"/>
    <w:multiLevelType w:val="hybridMultilevel"/>
    <w:tmpl w:val="88524454"/>
    <w:lvl w:ilvl="0" w:tplc="D5BAC996">
      <w:start w:val="1"/>
      <w:numFmt w:val="bullet"/>
      <w:lvlText w:val=""/>
      <w:lvlJc w:val="left"/>
      <w:pPr>
        <w:ind w:left="720" w:hanging="360"/>
      </w:pPr>
      <w:rPr>
        <w:rFonts w:ascii="Symbol" w:hAnsi="Symbol" w:hint="default"/>
        <w:color w:val="404040" w:themeColor="accent3" w:themeShade="8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88957A1"/>
    <w:multiLevelType w:val="hybridMultilevel"/>
    <w:tmpl w:val="4AD8BBE2"/>
    <w:lvl w:ilvl="0" w:tplc="60E6B210">
      <w:start w:val="1"/>
      <w:numFmt w:val="decimal"/>
      <w:pStyle w:val="eTRM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5762E47"/>
    <w:multiLevelType w:val="hybridMultilevel"/>
    <w:tmpl w:val="E3B4225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5801B01"/>
    <w:multiLevelType w:val="multilevel"/>
    <w:tmpl w:val="E1E82E7E"/>
    <w:name w:val="EMIBULLET2"/>
    <w:lvl w:ilvl="0">
      <w:start w:val="1"/>
      <w:numFmt w:val="bullet"/>
      <w:lvlText w:val=""/>
      <w:lvlJc w:val="left"/>
      <w:pPr>
        <w:tabs>
          <w:tab w:val="num" w:pos="792"/>
        </w:tabs>
        <w:ind w:left="792" w:hanging="288"/>
      </w:pPr>
      <w:rPr>
        <w:rFonts w:ascii="Symbol" w:hAnsi="Symbol" w:hint="default"/>
        <w:color w:val="696969" w:themeColor="text1" w:themeTint="A6"/>
      </w:rPr>
    </w:lvl>
    <w:lvl w:ilvl="1">
      <w:start w:val="1"/>
      <w:numFmt w:val="bullet"/>
      <w:lvlText w:val="o"/>
      <w:lvlJc w:val="left"/>
      <w:pPr>
        <w:tabs>
          <w:tab w:val="num" w:pos="1080"/>
        </w:tabs>
        <w:ind w:left="1440" w:hanging="360"/>
      </w:pPr>
      <w:rPr>
        <w:rFonts w:ascii="Courier New" w:hAnsi="Courier New"/>
        <w:position w:val="5"/>
        <w:sz w:val="14"/>
        <w:szCs w:val="14"/>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9C33106"/>
    <w:multiLevelType w:val="multilevel"/>
    <w:tmpl w:val="00C27506"/>
    <w:lvl w:ilvl="0">
      <w:start w:val="1"/>
      <w:numFmt w:val="decimal"/>
      <w:lvlText w:val="%1"/>
      <w:lvlJc w:val="left"/>
      <w:pPr>
        <w:tabs>
          <w:tab w:val="num" w:pos="504"/>
        </w:tabs>
        <w:ind w:left="504" w:hanging="504"/>
      </w:pPr>
      <w:rPr>
        <w:rFonts w:ascii="Avenir Next" w:hAnsi="Avenir Next" w:hint="default"/>
        <w:b w:val="0"/>
        <w:i w:val="0"/>
        <w:color w:val="164B76"/>
        <w:sz w:val="72"/>
      </w:rPr>
    </w:lvl>
    <w:lvl w:ilvl="1">
      <w:start w:val="1"/>
      <w:numFmt w:val="decimal"/>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lvlText w:val="%1.%2.%3.%4.%5.%6.%7.%8.%9"/>
      <w:lvlJc w:val="left"/>
      <w:pPr>
        <w:ind w:left="2304" w:hanging="1584"/>
      </w:pPr>
      <w:rPr>
        <w:rFonts w:hint="default"/>
      </w:rPr>
    </w:lvl>
  </w:abstractNum>
  <w:abstractNum w:abstractNumId="10" w15:restartNumberingAfterBreak="0">
    <w:nsid w:val="43E57611"/>
    <w:multiLevelType w:val="multilevel"/>
    <w:tmpl w:val="E1E82E7E"/>
    <w:name w:val="EMIBULLET32"/>
    <w:lvl w:ilvl="0">
      <w:start w:val="1"/>
      <w:numFmt w:val="bullet"/>
      <w:lvlText w:val=""/>
      <w:lvlJc w:val="left"/>
      <w:pPr>
        <w:tabs>
          <w:tab w:val="num" w:pos="792"/>
        </w:tabs>
        <w:ind w:left="792" w:hanging="288"/>
      </w:pPr>
      <w:rPr>
        <w:rFonts w:ascii="Symbol" w:hAnsi="Symbol" w:hint="default"/>
        <w:color w:val="696969" w:themeColor="text1" w:themeTint="A6"/>
      </w:rPr>
    </w:lvl>
    <w:lvl w:ilvl="1">
      <w:start w:val="1"/>
      <w:numFmt w:val="bullet"/>
      <w:lvlText w:val="o"/>
      <w:lvlJc w:val="left"/>
      <w:pPr>
        <w:tabs>
          <w:tab w:val="num" w:pos="1080"/>
        </w:tabs>
        <w:ind w:left="1440" w:hanging="360"/>
      </w:pPr>
      <w:rPr>
        <w:rFonts w:ascii="Courier New" w:hAnsi="Courier New"/>
        <w:position w:val="5"/>
        <w:sz w:val="14"/>
        <w:szCs w:val="14"/>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479A32B8"/>
    <w:multiLevelType w:val="hybridMultilevel"/>
    <w:tmpl w:val="4972165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05340C6"/>
    <w:multiLevelType w:val="hybridMultilevel"/>
    <w:tmpl w:val="52366A8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C044B6C"/>
    <w:multiLevelType w:val="multilevel"/>
    <w:tmpl w:val="00C27506"/>
    <w:lvl w:ilvl="0">
      <w:start w:val="1"/>
      <w:numFmt w:val="decimal"/>
      <w:pStyle w:val="Heading1"/>
      <w:lvlText w:val="%1"/>
      <w:lvlJc w:val="left"/>
      <w:pPr>
        <w:tabs>
          <w:tab w:val="num" w:pos="504"/>
        </w:tabs>
        <w:ind w:left="504" w:hanging="504"/>
      </w:pPr>
      <w:rPr>
        <w:rFonts w:ascii="Avenir Next" w:hAnsi="Avenir Next" w:hint="default"/>
        <w:b w:val="0"/>
        <w:i w:val="0"/>
        <w:color w:val="164B76"/>
        <w:sz w:val="72"/>
      </w:rPr>
    </w:lvl>
    <w:lvl w:ilvl="1">
      <w:start w:val="1"/>
      <w:numFmt w:val="decimal"/>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pStyle w:val="Heading9"/>
      <w:lvlText w:val="%1.%2.%3.%4.%5.%6.%7.%8.%9"/>
      <w:lvlJc w:val="left"/>
      <w:pPr>
        <w:ind w:left="2304" w:hanging="1584"/>
      </w:pPr>
      <w:rPr>
        <w:rFonts w:hint="default"/>
      </w:rPr>
    </w:lvl>
  </w:abstractNum>
  <w:abstractNum w:abstractNumId="14" w15:restartNumberingAfterBreak="0">
    <w:nsid w:val="66080C68"/>
    <w:multiLevelType w:val="hybridMultilevel"/>
    <w:tmpl w:val="DBAAABB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FB83A70"/>
    <w:multiLevelType w:val="hybridMultilevel"/>
    <w:tmpl w:val="5A224B6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F2AFA7C">
      <w:start w:val="1"/>
      <w:numFmt w:val="upperLetter"/>
      <w:lvlText w:val="%3."/>
      <w:lvlJc w:val="left"/>
      <w:pPr>
        <w:ind w:left="2160" w:hanging="360"/>
      </w:pPr>
      <w:rPr>
        <w:rFonts w:hint="default"/>
        <w:b/>
      </w:rPr>
    </w:lvl>
    <w:lvl w:ilvl="3" w:tplc="B7BAEA82">
      <w:start w:val="1"/>
      <w:numFmt w:val="lowerRoman"/>
      <w:lvlText w:val="%4."/>
      <w:lvlJc w:val="left"/>
      <w:pPr>
        <w:ind w:left="2880" w:hanging="360"/>
      </w:pPr>
      <w:rPr>
        <w:rFonts w:ascii="Times New Roman" w:eastAsia="Times New Roman" w:hAnsi="Times New Roman" w:hint="default"/>
        <w:b/>
        <w:color w:val="010202"/>
        <w:spacing w:val="-1"/>
        <w:sz w:val="20"/>
        <w:szCs w:val="20"/>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FC07B80"/>
    <w:multiLevelType w:val="hybridMultilevel"/>
    <w:tmpl w:val="4956B7B2"/>
    <w:lvl w:ilvl="0" w:tplc="C7F21AE4">
      <w:start w:val="1"/>
      <w:numFmt w:val="bullet"/>
      <w:pStyle w:val="eTRMBulletedText"/>
      <w:lvlText w:val=""/>
      <w:lvlJc w:val="left"/>
      <w:pPr>
        <w:ind w:left="720" w:hanging="360"/>
      </w:pPr>
      <w:rPr>
        <w:rFonts w:ascii="Symbol" w:hAnsi="Symbol" w:hint="default"/>
        <w:color w:val="404040" w:themeColor="accent3" w:themeShade="80"/>
        <w:sz w:val="20"/>
      </w:rPr>
    </w:lvl>
    <w:lvl w:ilvl="1" w:tplc="797E59F6">
      <w:start w:val="1"/>
      <w:numFmt w:val="bullet"/>
      <w:pStyle w:val="eTRMSub-bulletedText"/>
      <w:lvlText w:val="-"/>
      <w:lvlJc w:val="left"/>
      <w:pPr>
        <w:ind w:left="1440" w:hanging="360"/>
      </w:pPr>
      <w:rPr>
        <w:rFonts w:ascii="Courier New" w:hAnsi="Courier New" w:hint="default"/>
        <w:color w:val="404040" w:themeColor="accent3" w:themeShade="8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1E35D41"/>
    <w:multiLevelType w:val="multilevel"/>
    <w:tmpl w:val="00C27506"/>
    <w:lvl w:ilvl="0">
      <w:start w:val="1"/>
      <w:numFmt w:val="decimal"/>
      <w:lvlText w:val="%1"/>
      <w:lvlJc w:val="left"/>
      <w:pPr>
        <w:tabs>
          <w:tab w:val="num" w:pos="504"/>
        </w:tabs>
        <w:ind w:left="504" w:hanging="504"/>
      </w:pPr>
      <w:rPr>
        <w:rFonts w:ascii="Avenir Next" w:hAnsi="Avenir Next" w:hint="default"/>
        <w:b w:val="0"/>
        <w:i w:val="0"/>
        <w:color w:val="164B76"/>
        <w:sz w:val="72"/>
      </w:rPr>
    </w:lvl>
    <w:lvl w:ilvl="1">
      <w:start w:val="1"/>
      <w:numFmt w:val="decimal"/>
      <w:pStyle w:val="Heading2"/>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lvlText w:val="%1.%2.%3.%4.%5.%6.%7.%8.%9"/>
      <w:lvlJc w:val="left"/>
      <w:pPr>
        <w:ind w:left="2304" w:hanging="1584"/>
      </w:pPr>
      <w:rPr>
        <w:rFonts w:hint="default"/>
      </w:rPr>
    </w:lvl>
  </w:abstractNum>
  <w:abstractNum w:abstractNumId="18" w15:restartNumberingAfterBreak="0">
    <w:nsid w:val="732B14C5"/>
    <w:multiLevelType w:val="hybridMultilevel"/>
    <w:tmpl w:val="F81041A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629650D"/>
    <w:multiLevelType w:val="multilevel"/>
    <w:tmpl w:val="25189148"/>
    <w:lvl w:ilvl="0">
      <w:start w:val="1"/>
      <w:numFmt w:val="upperLetter"/>
      <w:lvlText w:val="Appendix %1:"/>
      <w:lvlJc w:val="left"/>
      <w:pPr>
        <w:tabs>
          <w:tab w:val="num" w:pos="2707"/>
        </w:tabs>
        <w:ind w:left="2707" w:hanging="2707"/>
      </w:pPr>
      <w:rPr>
        <w:rFonts w:hint="default"/>
      </w:rPr>
    </w:lvl>
    <w:lvl w:ilvl="1">
      <w:start w:val="1"/>
      <w:numFmt w:val="decimal"/>
      <w:lvlText w:val="%1.%2"/>
      <w:lvlJc w:val="left"/>
      <w:pPr>
        <w:tabs>
          <w:tab w:val="num" w:pos="3600"/>
        </w:tabs>
        <w:ind w:left="3600" w:hanging="3600"/>
      </w:pPr>
      <w:rPr>
        <w:rFonts w:hint="default"/>
        <w:color w:val="207685" w:themeColor="accent6" w:themeShade="80"/>
      </w:rPr>
    </w:lvl>
    <w:lvl w:ilvl="2">
      <w:start w:val="1"/>
      <w:numFmt w:val="decimal"/>
      <w:lvlText w:val="%1.%2.%3 "/>
      <w:lvlJc w:val="left"/>
      <w:pPr>
        <w:tabs>
          <w:tab w:val="num" w:pos="3600"/>
        </w:tabs>
        <w:ind w:left="3600" w:hanging="3600"/>
      </w:pPr>
      <w:rPr>
        <w:rFonts w:hint="default"/>
      </w:rPr>
    </w:lvl>
    <w:lvl w:ilvl="3">
      <w:start w:val="1"/>
      <w:numFmt w:val="decimal"/>
      <w:lvlText w:val="%4."/>
      <w:lvlJc w:val="left"/>
      <w:pPr>
        <w:ind w:left="13500" w:hanging="360"/>
      </w:pPr>
      <w:rPr>
        <w:rFonts w:hint="default"/>
      </w:rPr>
    </w:lvl>
    <w:lvl w:ilvl="4">
      <w:start w:val="1"/>
      <w:numFmt w:val="lowerLetter"/>
      <w:lvlText w:val="%5."/>
      <w:lvlJc w:val="left"/>
      <w:pPr>
        <w:tabs>
          <w:tab w:val="num" w:pos="0"/>
        </w:tabs>
        <w:ind w:left="14220" w:hanging="360"/>
      </w:pPr>
      <w:rPr>
        <w:rFonts w:hint="default"/>
      </w:rPr>
    </w:lvl>
    <w:lvl w:ilvl="5">
      <w:start w:val="1"/>
      <w:numFmt w:val="upperLetter"/>
      <w:pStyle w:val="Heading6"/>
      <w:lvlText w:val="Appendix %6: "/>
      <w:lvlJc w:val="left"/>
      <w:pPr>
        <w:tabs>
          <w:tab w:val="num" w:pos="2707"/>
        </w:tabs>
        <w:ind w:left="2707" w:hanging="2707"/>
      </w:pPr>
      <w:rPr>
        <w:rFonts w:hint="default"/>
      </w:rPr>
    </w:lvl>
    <w:lvl w:ilvl="6">
      <w:start w:val="1"/>
      <w:numFmt w:val="decimal"/>
      <w:pStyle w:val="Heading7"/>
      <w:lvlText w:val="%6.%7 "/>
      <w:lvlJc w:val="left"/>
      <w:pPr>
        <w:tabs>
          <w:tab w:val="num" w:pos="720"/>
        </w:tabs>
        <w:ind w:left="720" w:hanging="720"/>
      </w:pPr>
      <w:rPr>
        <w:rFonts w:hint="default"/>
      </w:rPr>
    </w:lvl>
    <w:lvl w:ilvl="7">
      <w:start w:val="1"/>
      <w:numFmt w:val="decimal"/>
      <w:lvlText w:val="%6.%7.%8 "/>
      <w:lvlJc w:val="left"/>
      <w:pPr>
        <w:tabs>
          <w:tab w:val="num" w:pos="3600"/>
        </w:tabs>
        <w:ind w:left="3600" w:hanging="3600"/>
      </w:pPr>
      <w:rPr>
        <w:rFonts w:hint="default"/>
      </w:rPr>
    </w:lvl>
    <w:lvl w:ilvl="8">
      <w:start w:val="1"/>
      <w:numFmt w:val="lowerRoman"/>
      <w:lvlText w:val="%9."/>
      <w:lvlJc w:val="right"/>
      <w:pPr>
        <w:ind w:left="17100" w:hanging="180"/>
      </w:pPr>
      <w:rPr>
        <w:rFonts w:hint="default"/>
      </w:rPr>
    </w:lvl>
  </w:abstractNum>
  <w:abstractNum w:abstractNumId="20" w15:restartNumberingAfterBreak="0">
    <w:nsid w:val="7809351B"/>
    <w:multiLevelType w:val="hybridMultilevel"/>
    <w:tmpl w:val="CC56B3B0"/>
    <w:lvl w:ilvl="0" w:tplc="04090001">
      <w:start w:val="1"/>
      <w:numFmt w:val="bullet"/>
      <w:lvlText w:val=""/>
      <w:lvlJc w:val="left"/>
      <w:pPr>
        <w:ind w:left="360" w:hanging="360"/>
      </w:pPr>
      <w:rPr>
        <w:rFonts w:ascii="Symbol" w:hAnsi="Symbol" w:hint="default"/>
      </w:rPr>
    </w:lvl>
    <w:lvl w:ilvl="1" w:tplc="04090005">
      <w:start w:val="1"/>
      <w:numFmt w:val="bullet"/>
      <w:lvlText w:val=""/>
      <w:lvlJc w:val="left"/>
      <w:pPr>
        <w:ind w:left="1080" w:hanging="360"/>
      </w:pPr>
      <w:rPr>
        <w:rFonts w:ascii="Wingdings" w:hAnsi="Wingdings"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7F1D5DD7"/>
    <w:multiLevelType w:val="hybridMultilevel"/>
    <w:tmpl w:val="774406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7"/>
  </w:num>
  <w:num w:numId="3">
    <w:abstractNumId w:val="19"/>
  </w:num>
  <w:num w:numId="4">
    <w:abstractNumId w:val="19"/>
  </w:num>
  <w:num w:numId="5">
    <w:abstractNumId w:val="13"/>
    <w:lvlOverride w:ilvl="0">
      <w:lvl w:ilvl="0">
        <w:start w:val="1"/>
        <w:numFmt w:val="decimal"/>
        <w:pStyle w:val="Heading1"/>
        <w:lvlText w:val="%1"/>
        <w:lvlJc w:val="left"/>
        <w:pPr>
          <w:tabs>
            <w:tab w:val="num" w:pos="504"/>
          </w:tabs>
          <w:ind w:left="504" w:hanging="504"/>
        </w:pPr>
        <w:rPr>
          <w:rFonts w:ascii="Avenir Next" w:hAnsi="Avenir Next" w:hint="default"/>
          <w:b w:val="0"/>
          <w:i w:val="0"/>
          <w:color w:val="164B76"/>
          <w:sz w:val="72"/>
        </w:rPr>
      </w:lvl>
    </w:lvlOverride>
  </w:num>
  <w:num w:numId="6">
    <w:abstractNumId w:val="1"/>
  </w:num>
  <w:num w:numId="7">
    <w:abstractNumId w:val="4"/>
  </w:num>
  <w:num w:numId="8">
    <w:abstractNumId w:val="16"/>
  </w:num>
  <w:num w:numId="9">
    <w:abstractNumId w:val="0"/>
  </w:num>
  <w:num w:numId="10">
    <w:abstractNumId w:val="18"/>
  </w:num>
  <w:num w:numId="11">
    <w:abstractNumId w:val="6"/>
  </w:num>
  <w:num w:numId="12">
    <w:abstractNumId w:val="20"/>
  </w:num>
  <w:num w:numId="13">
    <w:abstractNumId w:val="2"/>
  </w:num>
  <w:num w:numId="14">
    <w:abstractNumId w:val="5"/>
  </w:num>
  <w:num w:numId="15">
    <w:abstractNumId w:val="14"/>
  </w:num>
  <w:num w:numId="16">
    <w:abstractNumId w:val="7"/>
  </w:num>
  <w:num w:numId="17">
    <w:abstractNumId w:val="12"/>
  </w:num>
  <w:num w:numId="18">
    <w:abstractNumId w:val="15"/>
  </w:num>
  <w:num w:numId="19">
    <w:abstractNumId w:val="3"/>
  </w:num>
  <w:num w:numId="20">
    <w:abstractNumId w:val="21"/>
  </w:num>
  <w:num w:numId="21">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LAwMzIwMzOxNDA3NTBX0lEKTi0uzszPAykwqgUAxOsKKiwAAAA="/>
  </w:docVars>
  <w:rsids>
    <w:rsidRoot w:val="00C41A08"/>
    <w:rsid w:val="00002125"/>
    <w:rsid w:val="00003E3B"/>
    <w:rsid w:val="00005B06"/>
    <w:rsid w:val="000063B0"/>
    <w:rsid w:val="00006A62"/>
    <w:rsid w:val="000110D9"/>
    <w:rsid w:val="000111AF"/>
    <w:rsid w:val="00013A80"/>
    <w:rsid w:val="000141BD"/>
    <w:rsid w:val="00016928"/>
    <w:rsid w:val="000220A0"/>
    <w:rsid w:val="0002389A"/>
    <w:rsid w:val="00025094"/>
    <w:rsid w:val="00026D58"/>
    <w:rsid w:val="000302DF"/>
    <w:rsid w:val="00030FD3"/>
    <w:rsid w:val="00031184"/>
    <w:rsid w:val="0003625D"/>
    <w:rsid w:val="00037A06"/>
    <w:rsid w:val="000458E2"/>
    <w:rsid w:val="00046224"/>
    <w:rsid w:val="00046BB0"/>
    <w:rsid w:val="00050701"/>
    <w:rsid w:val="00051DBB"/>
    <w:rsid w:val="00052C95"/>
    <w:rsid w:val="000530E4"/>
    <w:rsid w:val="00054114"/>
    <w:rsid w:val="0005554F"/>
    <w:rsid w:val="0005587A"/>
    <w:rsid w:val="00061D34"/>
    <w:rsid w:val="000621A8"/>
    <w:rsid w:val="00065E54"/>
    <w:rsid w:val="000672E5"/>
    <w:rsid w:val="00074E3E"/>
    <w:rsid w:val="000759F9"/>
    <w:rsid w:val="000767E9"/>
    <w:rsid w:val="0007797F"/>
    <w:rsid w:val="0008108C"/>
    <w:rsid w:val="00081B56"/>
    <w:rsid w:val="000841AA"/>
    <w:rsid w:val="00085628"/>
    <w:rsid w:val="00087FD4"/>
    <w:rsid w:val="00090BBF"/>
    <w:rsid w:val="00091088"/>
    <w:rsid w:val="000910B7"/>
    <w:rsid w:val="00091581"/>
    <w:rsid w:val="00094517"/>
    <w:rsid w:val="00096485"/>
    <w:rsid w:val="00097172"/>
    <w:rsid w:val="000978C8"/>
    <w:rsid w:val="000A058C"/>
    <w:rsid w:val="000A270E"/>
    <w:rsid w:val="000A4408"/>
    <w:rsid w:val="000A4D3A"/>
    <w:rsid w:val="000A5575"/>
    <w:rsid w:val="000A62EF"/>
    <w:rsid w:val="000A66B7"/>
    <w:rsid w:val="000A7058"/>
    <w:rsid w:val="000B139B"/>
    <w:rsid w:val="000B2CE0"/>
    <w:rsid w:val="000B6004"/>
    <w:rsid w:val="000B7941"/>
    <w:rsid w:val="000C36B4"/>
    <w:rsid w:val="000C3795"/>
    <w:rsid w:val="000C72C1"/>
    <w:rsid w:val="000D1EFD"/>
    <w:rsid w:val="000D222F"/>
    <w:rsid w:val="000D4C19"/>
    <w:rsid w:val="000D763B"/>
    <w:rsid w:val="000E3475"/>
    <w:rsid w:val="000F16B4"/>
    <w:rsid w:val="000F1833"/>
    <w:rsid w:val="000F6C4E"/>
    <w:rsid w:val="000F7048"/>
    <w:rsid w:val="00103399"/>
    <w:rsid w:val="00104933"/>
    <w:rsid w:val="00111A53"/>
    <w:rsid w:val="00111D45"/>
    <w:rsid w:val="00112950"/>
    <w:rsid w:val="001146A8"/>
    <w:rsid w:val="0011498C"/>
    <w:rsid w:val="00120592"/>
    <w:rsid w:val="001217DF"/>
    <w:rsid w:val="0012187D"/>
    <w:rsid w:val="00124BFE"/>
    <w:rsid w:val="001264F9"/>
    <w:rsid w:val="00126809"/>
    <w:rsid w:val="00130983"/>
    <w:rsid w:val="00131C5A"/>
    <w:rsid w:val="001406D0"/>
    <w:rsid w:val="00142D3C"/>
    <w:rsid w:val="001431C0"/>
    <w:rsid w:val="001451AB"/>
    <w:rsid w:val="00150B37"/>
    <w:rsid w:val="00151B9F"/>
    <w:rsid w:val="00154391"/>
    <w:rsid w:val="001564FC"/>
    <w:rsid w:val="00157985"/>
    <w:rsid w:val="00157CD0"/>
    <w:rsid w:val="00161DF1"/>
    <w:rsid w:val="00162F58"/>
    <w:rsid w:val="001648F6"/>
    <w:rsid w:val="00171BB8"/>
    <w:rsid w:val="00174707"/>
    <w:rsid w:val="00180541"/>
    <w:rsid w:val="00180DAD"/>
    <w:rsid w:val="00181672"/>
    <w:rsid w:val="00181E01"/>
    <w:rsid w:val="00185AC5"/>
    <w:rsid w:val="001944A0"/>
    <w:rsid w:val="00195B03"/>
    <w:rsid w:val="00196649"/>
    <w:rsid w:val="001A11C7"/>
    <w:rsid w:val="001A13E7"/>
    <w:rsid w:val="001A1D47"/>
    <w:rsid w:val="001A4BE1"/>
    <w:rsid w:val="001A634D"/>
    <w:rsid w:val="001A7A21"/>
    <w:rsid w:val="001B0166"/>
    <w:rsid w:val="001B1D23"/>
    <w:rsid w:val="001B5CC4"/>
    <w:rsid w:val="001B63CF"/>
    <w:rsid w:val="001B75BC"/>
    <w:rsid w:val="001C2ACE"/>
    <w:rsid w:val="001C5866"/>
    <w:rsid w:val="001C590E"/>
    <w:rsid w:val="001C6C9B"/>
    <w:rsid w:val="001C7134"/>
    <w:rsid w:val="001D4413"/>
    <w:rsid w:val="001D65A6"/>
    <w:rsid w:val="001D6934"/>
    <w:rsid w:val="001D7A57"/>
    <w:rsid w:val="001E0092"/>
    <w:rsid w:val="001E0110"/>
    <w:rsid w:val="001E1929"/>
    <w:rsid w:val="001E19A3"/>
    <w:rsid w:val="001E4C3F"/>
    <w:rsid w:val="001E6273"/>
    <w:rsid w:val="001F00E9"/>
    <w:rsid w:val="001F4764"/>
    <w:rsid w:val="001F735E"/>
    <w:rsid w:val="002005A8"/>
    <w:rsid w:val="002006B6"/>
    <w:rsid w:val="00204E40"/>
    <w:rsid w:val="00205BAF"/>
    <w:rsid w:val="0020655B"/>
    <w:rsid w:val="0020747B"/>
    <w:rsid w:val="00207F85"/>
    <w:rsid w:val="0021226A"/>
    <w:rsid w:val="00221FEF"/>
    <w:rsid w:val="00225142"/>
    <w:rsid w:val="00226694"/>
    <w:rsid w:val="00227BDD"/>
    <w:rsid w:val="002306B1"/>
    <w:rsid w:val="002318A4"/>
    <w:rsid w:val="002335FF"/>
    <w:rsid w:val="00233D87"/>
    <w:rsid w:val="0023666C"/>
    <w:rsid w:val="00236692"/>
    <w:rsid w:val="00236E0A"/>
    <w:rsid w:val="00237964"/>
    <w:rsid w:val="0024263B"/>
    <w:rsid w:val="002434DE"/>
    <w:rsid w:val="00245AFF"/>
    <w:rsid w:val="0024628D"/>
    <w:rsid w:val="0024690E"/>
    <w:rsid w:val="00251ABC"/>
    <w:rsid w:val="002524CF"/>
    <w:rsid w:val="00253813"/>
    <w:rsid w:val="0025585D"/>
    <w:rsid w:val="00256400"/>
    <w:rsid w:val="002649BA"/>
    <w:rsid w:val="002652D2"/>
    <w:rsid w:val="00271B18"/>
    <w:rsid w:val="00272D2D"/>
    <w:rsid w:val="00273A23"/>
    <w:rsid w:val="00276F9B"/>
    <w:rsid w:val="00283F4E"/>
    <w:rsid w:val="002845C9"/>
    <w:rsid w:val="002931D8"/>
    <w:rsid w:val="002942B0"/>
    <w:rsid w:val="0029555D"/>
    <w:rsid w:val="0029781E"/>
    <w:rsid w:val="002A2471"/>
    <w:rsid w:val="002A2A94"/>
    <w:rsid w:val="002A584E"/>
    <w:rsid w:val="002B107C"/>
    <w:rsid w:val="002B1A94"/>
    <w:rsid w:val="002B2C97"/>
    <w:rsid w:val="002B3BF4"/>
    <w:rsid w:val="002B49AE"/>
    <w:rsid w:val="002B5FAE"/>
    <w:rsid w:val="002B6DED"/>
    <w:rsid w:val="002B6F2A"/>
    <w:rsid w:val="002C017A"/>
    <w:rsid w:val="002C03D1"/>
    <w:rsid w:val="002C06FC"/>
    <w:rsid w:val="002C1117"/>
    <w:rsid w:val="002C5840"/>
    <w:rsid w:val="002C67DF"/>
    <w:rsid w:val="002D0036"/>
    <w:rsid w:val="002D17CE"/>
    <w:rsid w:val="002D29F8"/>
    <w:rsid w:val="002D3998"/>
    <w:rsid w:val="002D40EE"/>
    <w:rsid w:val="002D42B7"/>
    <w:rsid w:val="002D4993"/>
    <w:rsid w:val="002D50E9"/>
    <w:rsid w:val="002D5CFA"/>
    <w:rsid w:val="002D687A"/>
    <w:rsid w:val="002D7D32"/>
    <w:rsid w:val="002E16C1"/>
    <w:rsid w:val="002E18E9"/>
    <w:rsid w:val="002E2494"/>
    <w:rsid w:val="002F036B"/>
    <w:rsid w:val="002F374A"/>
    <w:rsid w:val="002F493C"/>
    <w:rsid w:val="00302A82"/>
    <w:rsid w:val="003047D3"/>
    <w:rsid w:val="003103FB"/>
    <w:rsid w:val="00313E1D"/>
    <w:rsid w:val="00316FD9"/>
    <w:rsid w:val="00322035"/>
    <w:rsid w:val="00323B53"/>
    <w:rsid w:val="003247FA"/>
    <w:rsid w:val="003309DA"/>
    <w:rsid w:val="00330E7D"/>
    <w:rsid w:val="00330F1F"/>
    <w:rsid w:val="00331D54"/>
    <w:rsid w:val="00333809"/>
    <w:rsid w:val="003340A3"/>
    <w:rsid w:val="00336313"/>
    <w:rsid w:val="00337D1D"/>
    <w:rsid w:val="00341EFE"/>
    <w:rsid w:val="003430CC"/>
    <w:rsid w:val="0035060F"/>
    <w:rsid w:val="00350782"/>
    <w:rsid w:val="00352864"/>
    <w:rsid w:val="00353AB2"/>
    <w:rsid w:val="00353C82"/>
    <w:rsid w:val="0035557C"/>
    <w:rsid w:val="00356142"/>
    <w:rsid w:val="00361BC2"/>
    <w:rsid w:val="003623C7"/>
    <w:rsid w:val="00362F9E"/>
    <w:rsid w:val="00363BE8"/>
    <w:rsid w:val="00363EF7"/>
    <w:rsid w:val="003717ED"/>
    <w:rsid w:val="00372F61"/>
    <w:rsid w:val="0037469F"/>
    <w:rsid w:val="003749E1"/>
    <w:rsid w:val="003760E3"/>
    <w:rsid w:val="00376281"/>
    <w:rsid w:val="0038283B"/>
    <w:rsid w:val="00385069"/>
    <w:rsid w:val="00387072"/>
    <w:rsid w:val="00387A3B"/>
    <w:rsid w:val="00392097"/>
    <w:rsid w:val="00392684"/>
    <w:rsid w:val="00395395"/>
    <w:rsid w:val="0039663B"/>
    <w:rsid w:val="003A0E0B"/>
    <w:rsid w:val="003A23D0"/>
    <w:rsid w:val="003A5A44"/>
    <w:rsid w:val="003A76E3"/>
    <w:rsid w:val="003B1831"/>
    <w:rsid w:val="003B41B1"/>
    <w:rsid w:val="003B7610"/>
    <w:rsid w:val="003C0E8C"/>
    <w:rsid w:val="003C19CA"/>
    <w:rsid w:val="003C2CC3"/>
    <w:rsid w:val="003C3E4B"/>
    <w:rsid w:val="003C74C8"/>
    <w:rsid w:val="003C7721"/>
    <w:rsid w:val="003D1FB8"/>
    <w:rsid w:val="003D7104"/>
    <w:rsid w:val="003D733D"/>
    <w:rsid w:val="003E0CF0"/>
    <w:rsid w:val="003E2013"/>
    <w:rsid w:val="003E267F"/>
    <w:rsid w:val="003E31FA"/>
    <w:rsid w:val="003E5605"/>
    <w:rsid w:val="003E62EC"/>
    <w:rsid w:val="003F21D2"/>
    <w:rsid w:val="003F269E"/>
    <w:rsid w:val="003F4964"/>
    <w:rsid w:val="003F65F3"/>
    <w:rsid w:val="00401C43"/>
    <w:rsid w:val="00403AB3"/>
    <w:rsid w:val="004041B3"/>
    <w:rsid w:val="004046FF"/>
    <w:rsid w:val="00404976"/>
    <w:rsid w:val="004049DF"/>
    <w:rsid w:val="004070A1"/>
    <w:rsid w:val="00410790"/>
    <w:rsid w:val="00411939"/>
    <w:rsid w:val="00411EF4"/>
    <w:rsid w:val="004133BB"/>
    <w:rsid w:val="004142EF"/>
    <w:rsid w:val="004169B8"/>
    <w:rsid w:val="00417A18"/>
    <w:rsid w:val="00420958"/>
    <w:rsid w:val="00420EF1"/>
    <w:rsid w:val="00421920"/>
    <w:rsid w:val="0042239B"/>
    <w:rsid w:val="00422F37"/>
    <w:rsid w:val="00423D33"/>
    <w:rsid w:val="00423DCE"/>
    <w:rsid w:val="004249A0"/>
    <w:rsid w:val="00424B0C"/>
    <w:rsid w:val="0043155E"/>
    <w:rsid w:val="00432D49"/>
    <w:rsid w:val="004339EA"/>
    <w:rsid w:val="00433AD8"/>
    <w:rsid w:val="00433E8F"/>
    <w:rsid w:val="00434145"/>
    <w:rsid w:val="004358A3"/>
    <w:rsid w:val="00443ACE"/>
    <w:rsid w:val="0044556F"/>
    <w:rsid w:val="0044577B"/>
    <w:rsid w:val="00446C2A"/>
    <w:rsid w:val="00447081"/>
    <w:rsid w:val="00451588"/>
    <w:rsid w:val="004517F1"/>
    <w:rsid w:val="00453F09"/>
    <w:rsid w:val="00454F55"/>
    <w:rsid w:val="004555CD"/>
    <w:rsid w:val="004556DF"/>
    <w:rsid w:val="00461A8D"/>
    <w:rsid w:val="00461AE3"/>
    <w:rsid w:val="00462BB6"/>
    <w:rsid w:val="00464A63"/>
    <w:rsid w:val="00466DD6"/>
    <w:rsid w:val="00466E8C"/>
    <w:rsid w:val="00470670"/>
    <w:rsid w:val="0047123E"/>
    <w:rsid w:val="00472286"/>
    <w:rsid w:val="004730C4"/>
    <w:rsid w:val="004731A1"/>
    <w:rsid w:val="0047585F"/>
    <w:rsid w:val="00475A47"/>
    <w:rsid w:val="00475D57"/>
    <w:rsid w:val="0048097B"/>
    <w:rsid w:val="00482BA2"/>
    <w:rsid w:val="00484536"/>
    <w:rsid w:val="00484BFC"/>
    <w:rsid w:val="004860A1"/>
    <w:rsid w:val="00486585"/>
    <w:rsid w:val="0049110A"/>
    <w:rsid w:val="00495809"/>
    <w:rsid w:val="00495BB6"/>
    <w:rsid w:val="00497289"/>
    <w:rsid w:val="004A06AE"/>
    <w:rsid w:val="004A1A6F"/>
    <w:rsid w:val="004A40F9"/>
    <w:rsid w:val="004A510D"/>
    <w:rsid w:val="004B06E3"/>
    <w:rsid w:val="004B35DC"/>
    <w:rsid w:val="004B5888"/>
    <w:rsid w:val="004B5C6E"/>
    <w:rsid w:val="004B6780"/>
    <w:rsid w:val="004B740C"/>
    <w:rsid w:val="004B78A8"/>
    <w:rsid w:val="004B7B56"/>
    <w:rsid w:val="004C1A09"/>
    <w:rsid w:val="004C230B"/>
    <w:rsid w:val="004C2366"/>
    <w:rsid w:val="004C2A36"/>
    <w:rsid w:val="004C3663"/>
    <w:rsid w:val="004C57EC"/>
    <w:rsid w:val="004C69F2"/>
    <w:rsid w:val="004C7B6F"/>
    <w:rsid w:val="004D0C20"/>
    <w:rsid w:val="004D1461"/>
    <w:rsid w:val="004D3A71"/>
    <w:rsid w:val="004D3CE4"/>
    <w:rsid w:val="004D5C41"/>
    <w:rsid w:val="004D7E51"/>
    <w:rsid w:val="004E01F5"/>
    <w:rsid w:val="004E04EE"/>
    <w:rsid w:val="004E05D0"/>
    <w:rsid w:val="004E19BD"/>
    <w:rsid w:val="004E1B37"/>
    <w:rsid w:val="004E2704"/>
    <w:rsid w:val="004E27C0"/>
    <w:rsid w:val="004E30F4"/>
    <w:rsid w:val="004E3E98"/>
    <w:rsid w:val="004E3F72"/>
    <w:rsid w:val="004E4D01"/>
    <w:rsid w:val="004E77DD"/>
    <w:rsid w:val="004F6721"/>
    <w:rsid w:val="004F705B"/>
    <w:rsid w:val="004F7359"/>
    <w:rsid w:val="00500964"/>
    <w:rsid w:val="00500C66"/>
    <w:rsid w:val="00501FFD"/>
    <w:rsid w:val="00505B94"/>
    <w:rsid w:val="005130EC"/>
    <w:rsid w:val="005146E6"/>
    <w:rsid w:val="005147DA"/>
    <w:rsid w:val="0052100F"/>
    <w:rsid w:val="005215AF"/>
    <w:rsid w:val="0052773F"/>
    <w:rsid w:val="005305DB"/>
    <w:rsid w:val="00535328"/>
    <w:rsid w:val="00535A42"/>
    <w:rsid w:val="0053748E"/>
    <w:rsid w:val="005407DB"/>
    <w:rsid w:val="005449C6"/>
    <w:rsid w:val="00545676"/>
    <w:rsid w:val="0055308D"/>
    <w:rsid w:val="00566B42"/>
    <w:rsid w:val="00571053"/>
    <w:rsid w:val="0057165C"/>
    <w:rsid w:val="00571D95"/>
    <w:rsid w:val="005722C6"/>
    <w:rsid w:val="00575272"/>
    <w:rsid w:val="00580FF8"/>
    <w:rsid w:val="0058419D"/>
    <w:rsid w:val="00585361"/>
    <w:rsid w:val="00585C8D"/>
    <w:rsid w:val="005862CC"/>
    <w:rsid w:val="005911FE"/>
    <w:rsid w:val="00591AAD"/>
    <w:rsid w:val="0059312F"/>
    <w:rsid w:val="00595758"/>
    <w:rsid w:val="00596081"/>
    <w:rsid w:val="00597B87"/>
    <w:rsid w:val="005A3943"/>
    <w:rsid w:val="005A51E6"/>
    <w:rsid w:val="005A632E"/>
    <w:rsid w:val="005A74DC"/>
    <w:rsid w:val="005B24A0"/>
    <w:rsid w:val="005B41C8"/>
    <w:rsid w:val="005B7418"/>
    <w:rsid w:val="005C03A9"/>
    <w:rsid w:val="005C2BFC"/>
    <w:rsid w:val="005C324B"/>
    <w:rsid w:val="005C3E78"/>
    <w:rsid w:val="005C43E2"/>
    <w:rsid w:val="005C454A"/>
    <w:rsid w:val="005C74C9"/>
    <w:rsid w:val="005D1B14"/>
    <w:rsid w:val="005D257B"/>
    <w:rsid w:val="005D7E7E"/>
    <w:rsid w:val="005E1D5C"/>
    <w:rsid w:val="005E25DC"/>
    <w:rsid w:val="005E52AE"/>
    <w:rsid w:val="005E5607"/>
    <w:rsid w:val="005E567C"/>
    <w:rsid w:val="005F0A4F"/>
    <w:rsid w:val="005F2D3F"/>
    <w:rsid w:val="005F505E"/>
    <w:rsid w:val="005F5ABA"/>
    <w:rsid w:val="00602976"/>
    <w:rsid w:val="00602ED6"/>
    <w:rsid w:val="0060388D"/>
    <w:rsid w:val="00604231"/>
    <w:rsid w:val="006068F3"/>
    <w:rsid w:val="00606DAA"/>
    <w:rsid w:val="006103C0"/>
    <w:rsid w:val="0061059D"/>
    <w:rsid w:val="00610C2F"/>
    <w:rsid w:val="00611887"/>
    <w:rsid w:val="00613D03"/>
    <w:rsid w:val="006149AF"/>
    <w:rsid w:val="006155CD"/>
    <w:rsid w:val="006162C2"/>
    <w:rsid w:val="006200BC"/>
    <w:rsid w:val="0062187C"/>
    <w:rsid w:val="00622B49"/>
    <w:rsid w:val="006236E7"/>
    <w:rsid w:val="006239BC"/>
    <w:rsid w:val="00625805"/>
    <w:rsid w:val="006262FD"/>
    <w:rsid w:val="00627AC4"/>
    <w:rsid w:val="006320EE"/>
    <w:rsid w:val="0063253B"/>
    <w:rsid w:val="00633C64"/>
    <w:rsid w:val="006341D2"/>
    <w:rsid w:val="00634FA7"/>
    <w:rsid w:val="006363C8"/>
    <w:rsid w:val="00637AB8"/>
    <w:rsid w:val="00637C2E"/>
    <w:rsid w:val="0064370D"/>
    <w:rsid w:val="00643771"/>
    <w:rsid w:val="006438FD"/>
    <w:rsid w:val="00644946"/>
    <w:rsid w:val="00646AAB"/>
    <w:rsid w:val="00646AB8"/>
    <w:rsid w:val="00647BD9"/>
    <w:rsid w:val="00654A3E"/>
    <w:rsid w:val="00655ECD"/>
    <w:rsid w:val="006614E1"/>
    <w:rsid w:val="00662025"/>
    <w:rsid w:val="006624A7"/>
    <w:rsid w:val="0066515F"/>
    <w:rsid w:val="006668AF"/>
    <w:rsid w:val="0067278C"/>
    <w:rsid w:val="00676AD2"/>
    <w:rsid w:val="00676DAA"/>
    <w:rsid w:val="00677316"/>
    <w:rsid w:val="006813C2"/>
    <w:rsid w:val="0068322A"/>
    <w:rsid w:val="00683E6F"/>
    <w:rsid w:val="00686439"/>
    <w:rsid w:val="00692893"/>
    <w:rsid w:val="00697E17"/>
    <w:rsid w:val="006A38CA"/>
    <w:rsid w:val="006A6051"/>
    <w:rsid w:val="006B31D9"/>
    <w:rsid w:val="006B666B"/>
    <w:rsid w:val="006B7AA8"/>
    <w:rsid w:val="006C0102"/>
    <w:rsid w:val="006C07D4"/>
    <w:rsid w:val="006C3E6C"/>
    <w:rsid w:val="006C41AD"/>
    <w:rsid w:val="006C5BB0"/>
    <w:rsid w:val="006C75B8"/>
    <w:rsid w:val="006D04BD"/>
    <w:rsid w:val="006D0EC8"/>
    <w:rsid w:val="006D20B7"/>
    <w:rsid w:val="006D245C"/>
    <w:rsid w:val="006D47EF"/>
    <w:rsid w:val="006D6644"/>
    <w:rsid w:val="006D7180"/>
    <w:rsid w:val="006E2F47"/>
    <w:rsid w:val="006E3558"/>
    <w:rsid w:val="006E433B"/>
    <w:rsid w:val="006E6872"/>
    <w:rsid w:val="006E7899"/>
    <w:rsid w:val="006E7AB0"/>
    <w:rsid w:val="006E7C78"/>
    <w:rsid w:val="006F1FAB"/>
    <w:rsid w:val="006F27F4"/>
    <w:rsid w:val="006F298F"/>
    <w:rsid w:val="006F2E23"/>
    <w:rsid w:val="006F49C5"/>
    <w:rsid w:val="006F4B5A"/>
    <w:rsid w:val="006F7024"/>
    <w:rsid w:val="00703A7C"/>
    <w:rsid w:val="007076DA"/>
    <w:rsid w:val="00707860"/>
    <w:rsid w:val="00712E1B"/>
    <w:rsid w:val="0072036E"/>
    <w:rsid w:val="007207BF"/>
    <w:rsid w:val="00725CB0"/>
    <w:rsid w:val="0073124E"/>
    <w:rsid w:val="0073517D"/>
    <w:rsid w:val="0073685C"/>
    <w:rsid w:val="00737EA5"/>
    <w:rsid w:val="007400AE"/>
    <w:rsid w:val="00741F3E"/>
    <w:rsid w:val="00743AA8"/>
    <w:rsid w:val="00744F60"/>
    <w:rsid w:val="007455FC"/>
    <w:rsid w:val="00747FA1"/>
    <w:rsid w:val="00750840"/>
    <w:rsid w:val="00750F1C"/>
    <w:rsid w:val="0075463B"/>
    <w:rsid w:val="007554CA"/>
    <w:rsid w:val="00756EB9"/>
    <w:rsid w:val="00757617"/>
    <w:rsid w:val="0075782D"/>
    <w:rsid w:val="00763AD8"/>
    <w:rsid w:val="00765016"/>
    <w:rsid w:val="00767EDE"/>
    <w:rsid w:val="00767EED"/>
    <w:rsid w:val="0077100C"/>
    <w:rsid w:val="007727E7"/>
    <w:rsid w:val="007734CF"/>
    <w:rsid w:val="007741B8"/>
    <w:rsid w:val="00775705"/>
    <w:rsid w:val="00776C39"/>
    <w:rsid w:val="00777714"/>
    <w:rsid w:val="00781D00"/>
    <w:rsid w:val="007848B6"/>
    <w:rsid w:val="00786B04"/>
    <w:rsid w:val="007900F3"/>
    <w:rsid w:val="00791B69"/>
    <w:rsid w:val="007939FF"/>
    <w:rsid w:val="0079498E"/>
    <w:rsid w:val="00796F10"/>
    <w:rsid w:val="007A6AB5"/>
    <w:rsid w:val="007B1024"/>
    <w:rsid w:val="007B14D9"/>
    <w:rsid w:val="007B2B46"/>
    <w:rsid w:val="007B30F2"/>
    <w:rsid w:val="007B377F"/>
    <w:rsid w:val="007B4274"/>
    <w:rsid w:val="007B5117"/>
    <w:rsid w:val="007B599D"/>
    <w:rsid w:val="007B6650"/>
    <w:rsid w:val="007B6A74"/>
    <w:rsid w:val="007C1407"/>
    <w:rsid w:val="007C2DC8"/>
    <w:rsid w:val="007C7758"/>
    <w:rsid w:val="007D097E"/>
    <w:rsid w:val="007D0C9D"/>
    <w:rsid w:val="007D230B"/>
    <w:rsid w:val="007D2D80"/>
    <w:rsid w:val="007D3681"/>
    <w:rsid w:val="007D3824"/>
    <w:rsid w:val="007D46F0"/>
    <w:rsid w:val="007D49A1"/>
    <w:rsid w:val="007D5693"/>
    <w:rsid w:val="007D59DD"/>
    <w:rsid w:val="007E0B4B"/>
    <w:rsid w:val="007E1F66"/>
    <w:rsid w:val="007E2CB5"/>
    <w:rsid w:val="007E4C10"/>
    <w:rsid w:val="007E5CB8"/>
    <w:rsid w:val="007E6501"/>
    <w:rsid w:val="007E6C25"/>
    <w:rsid w:val="007E72D2"/>
    <w:rsid w:val="007F32D7"/>
    <w:rsid w:val="007F3DF5"/>
    <w:rsid w:val="007F669E"/>
    <w:rsid w:val="008003DE"/>
    <w:rsid w:val="00801632"/>
    <w:rsid w:val="00803927"/>
    <w:rsid w:val="00804281"/>
    <w:rsid w:val="0080452C"/>
    <w:rsid w:val="0080520B"/>
    <w:rsid w:val="00807B3E"/>
    <w:rsid w:val="00810D4A"/>
    <w:rsid w:val="00812924"/>
    <w:rsid w:val="00812F82"/>
    <w:rsid w:val="00813C01"/>
    <w:rsid w:val="008146FD"/>
    <w:rsid w:val="00816AAB"/>
    <w:rsid w:val="00820402"/>
    <w:rsid w:val="008243B2"/>
    <w:rsid w:val="00824F08"/>
    <w:rsid w:val="00826058"/>
    <w:rsid w:val="00826AF0"/>
    <w:rsid w:val="008302D3"/>
    <w:rsid w:val="008310DF"/>
    <w:rsid w:val="00831105"/>
    <w:rsid w:val="00831510"/>
    <w:rsid w:val="00835487"/>
    <w:rsid w:val="00837EC0"/>
    <w:rsid w:val="00841D10"/>
    <w:rsid w:val="00844A4B"/>
    <w:rsid w:val="00844C11"/>
    <w:rsid w:val="008542ED"/>
    <w:rsid w:val="00854676"/>
    <w:rsid w:val="00864D76"/>
    <w:rsid w:val="00865296"/>
    <w:rsid w:val="00867086"/>
    <w:rsid w:val="00874663"/>
    <w:rsid w:val="0088119D"/>
    <w:rsid w:val="00881B95"/>
    <w:rsid w:val="008831CA"/>
    <w:rsid w:val="00883B5B"/>
    <w:rsid w:val="00885AC3"/>
    <w:rsid w:val="00891677"/>
    <w:rsid w:val="00891AF3"/>
    <w:rsid w:val="0089272A"/>
    <w:rsid w:val="00894890"/>
    <w:rsid w:val="008954D7"/>
    <w:rsid w:val="00897138"/>
    <w:rsid w:val="00897247"/>
    <w:rsid w:val="008A1B5A"/>
    <w:rsid w:val="008A4829"/>
    <w:rsid w:val="008B08F0"/>
    <w:rsid w:val="008B262C"/>
    <w:rsid w:val="008B2DAD"/>
    <w:rsid w:val="008B6FC8"/>
    <w:rsid w:val="008C19E9"/>
    <w:rsid w:val="008C26E9"/>
    <w:rsid w:val="008C4C3B"/>
    <w:rsid w:val="008C6E1A"/>
    <w:rsid w:val="008C774E"/>
    <w:rsid w:val="008D186E"/>
    <w:rsid w:val="008D23E6"/>
    <w:rsid w:val="008D2D45"/>
    <w:rsid w:val="008D4652"/>
    <w:rsid w:val="008D50D4"/>
    <w:rsid w:val="008D6D9D"/>
    <w:rsid w:val="008E1E19"/>
    <w:rsid w:val="008E321A"/>
    <w:rsid w:val="008F1691"/>
    <w:rsid w:val="008F22E2"/>
    <w:rsid w:val="008F5698"/>
    <w:rsid w:val="008F639E"/>
    <w:rsid w:val="008F660B"/>
    <w:rsid w:val="00900EAC"/>
    <w:rsid w:val="00901596"/>
    <w:rsid w:val="00901EF2"/>
    <w:rsid w:val="00903EB6"/>
    <w:rsid w:val="00904906"/>
    <w:rsid w:val="00905F68"/>
    <w:rsid w:val="009062F9"/>
    <w:rsid w:val="0090702F"/>
    <w:rsid w:val="009079D0"/>
    <w:rsid w:val="00907E99"/>
    <w:rsid w:val="00913D0A"/>
    <w:rsid w:val="00913FD3"/>
    <w:rsid w:val="009148A1"/>
    <w:rsid w:val="00917A98"/>
    <w:rsid w:val="00922FC7"/>
    <w:rsid w:val="00924972"/>
    <w:rsid w:val="009256C4"/>
    <w:rsid w:val="009258A8"/>
    <w:rsid w:val="00932E1E"/>
    <w:rsid w:val="00934068"/>
    <w:rsid w:val="00937854"/>
    <w:rsid w:val="009469E0"/>
    <w:rsid w:val="00951C4D"/>
    <w:rsid w:val="00952E03"/>
    <w:rsid w:val="0095396E"/>
    <w:rsid w:val="009547E2"/>
    <w:rsid w:val="00956488"/>
    <w:rsid w:val="00956F5F"/>
    <w:rsid w:val="00961006"/>
    <w:rsid w:val="00961018"/>
    <w:rsid w:val="009610DC"/>
    <w:rsid w:val="0096346F"/>
    <w:rsid w:val="00964154"/>
    <w:rsid w:val="00966BCE"/>
    <w:rsid w:val="0097154F"/>
    <w:rsid w:val="0097230A"/>
    <w:rsid w:val="00973CDC"/>
    <w:rsid w:val="009743E7"/>
    <w:rsid w:val="00985996"/>
    <w:rsid w:val="00986978"/>
    <w:rsid w:val="009902F2"/>
    <w:rsid w:val="0099096E"/>
    <w:rsid w:val="00991D3F"/>
    <w:rsid w:val="0099335F"/>
    <w:rsid w:val="00994F74"/>
    <w:rsid w:val="0099563A"/>
    <w:rsid w:val="009A06D8"/>
    <w:rsid w:val="009A13F4"/>
    <w:rsid w:val="009A3456"/>
    <w:rsid w:val="009A44BE"/>
    <w:rsid w:val="009B0223"/>
    <w:rsid w:val="009B029F"/>
    <w:rsid w:val="009B15BC"/>
    <w:rsid w:val="009B27F8"/>
    <w:rsid w:val="009B4A8B"/>
    <w:rsid w:val="009B55C8"/>
    <w:rsid w:val="009B74FB"/>
    <w:rsid w:val="009C0660"/>
    <w:rsid w:val="009C31A4"/>
    <w:rsid w:val="009C4845"/>
    <w:rsid w:val="009C5750"/>
    <w:rsid w:val="009C7314"/>
    <w:rsid w:val="009D2442"/>
    <w:rsid w:val="009D5D9F"/>
    <w:rsid w:val="009D6B1C"/>
    <w:rsid w:val="009E0FA2"/>
    <w:rsid w:val="009E2244"/>
    <w:rsid w:val="009E4105"/>
    <w:rsid w:val="009E67E7"/>
    <w:rsid w:val="009F4623"/>
    <w:rsid w:val="009F57FD"/>
    <w:rsid w:val="009F7F9F"/>
    <w:rsid w:val="00A01E02"/>
    <w:rsid w:val="00A02E26"/>
    <w:rsid w:val="00A04562"/>
    <w:rsid w:val="00A05BA0"/>
    <w:rsid w:val="00A13F1D"/>
    <w:rsid w:val="00A15793"/>
    <w:rsid w:val="00A159C9"/>
    <w:rsid w:val="00A167FB"/>
    <w:rsid w:val="00A212EB"/>
    <w:rsid w:val="00A21B70"/>
    <w:rsid w:val="00A21D02"/>
    <w:rsid w:val="00A21DDB"/>
    <w:rsid w:val="00A223BD"/>
    <w:rsid w:val="00A23CF6"/>
    <w:rsid w:val="00A25110"/>
    <w:rsid w:val="00A2690C"/>
    <w:rsid w:val="00A2792F"/>
    <w:rsid w:val="00A30097"/>
    <w:rsid w:val="00A30970"/>
    <w:rsid w:val="00A315E4"/>
    <w:rsid w:val="00A31D96"/>
    <w:rsid w:val="00A31FEE"/>
    <w:rsid w:val="00A33C55"/>
    <w:rsid w:val="00A34D67"/>
    <w:rsid w:val="00A357CC"/>
    <w:rsid w:val="00A3759F"/>
    <w:rsid w:val="00A406C3"/>
    <w:rsid w:val="00A42875"/>
    <w:rsid w:val="00A43020"/>
    <w:rsid w:val="00A44DC1"/>
    <w:rsid w:val="00A47A98"/>
    <w:rsid w:val="00A47D17"/>
    <w:rsid w:val="00A47EE7"/>
    <w:rsid w:val="00A50B43"/>
    <w:rsid w:val="00A51C87"/>
    <w:rsid w:val="00A54197"/>
    <w:rsid w:val="00A56A1F"/>
    <w:rsid w:val="00A56DA1"/>
    <w:rsid w:val="00A61821"/>
    <w:rsid w:val="00A61E3A"/>
    <w:rsid w:val="00A631BA"/>
    <w:rsid w:val="00A64CB6"/>
    <w:rsid w:val="00A668A3"/>
    <w:rsid w:val="00A67CA5"/>
    <w:rsid w:val="00A75CCD"/>
    <w:rsid w:val="00A75DF2"/>
    <w:rsid w:val="00A80506"/>
    <w:rsid w:val="00A806AE"/>
    <w:rsid w:val="00A80D91"/>
    <w:rsid w:val="00A8118F"/>
    <w:rsid w:val="00A81991"/>
    <w:rsid w:val="00A83458"/>
    <w:rsid w:val="00A86C41"/>
    <w:rsid w:val="00A90148"/>
    <w:rsid w:val="00A917F8"/>
    <w:rsid w:val="00A92829"/>
    <w:rsid w:val="00AA0D8C"/>
    <w:rsid w:val="00AA25BC"/>
    <w:rsid w:val="00AA3077"/>
    <w:rsid w:val="00AA3E2A"/>
    <w:rsid w:val="00AA46AF"/>
    <w:rsid w:val="00AA5AE7"/>
    <w:rsid w:val="00AB12EF"/>
    <w:rsid w:val="00AB4E9E"/>
    <w:rsid w:val="00AB6C99"/>
    <w:rsid w:val="00AC11D5"/>
    <w:rsid w:val="00AC15E5"/>
    <w:rsid w:val="00AC22BB"/>
    <w:rsid w:val="00AC3152"/>
    <w:rsid w:val="00AC3167"/>
    <w:rsid w:val="00AC4080"/>
    <w:rsid w:val="00AC5A6D"/>
    <w:rsid w:val="00AC5D73"/>
    <w:rsid w:val="00AC73AD"/>
    <w:rsid w:val="00AC7BED"/>
    <w:rsid w:val="00AD067D"/>
    <w:rsid w:val="00AD092C"/>
    <w:rsid w:val="00AD5674"/>
    <w:rsid w:val="00AD705A"/>
    <w:rsid w:val="00AD78F9"/>
    <w:rsid w:val="00AE008D"/>
    <w:rsid w:val="00AE20EC"/>
    <w:rsid w:val="00AE30E0"/>
    <w:rsid w:val="00AE346F"/>
    <w:rsid w:val="00AE3AD5"/>
    <w:rsid w:val="00AE58BA"/>
    <w:rsid w:val="00AE7802"/>
    <w:rsid w:val="00AF1ABA"/>
    <w:rsid w:val="00AF2329"/>
    <w:rsid w:val="00AF3660"/>
    <w:rsid w:val="00AF6FE3"/>
    <w:rsid w:val="00AF7A20"/>
    <w:rsid w:val="00AF7D2F"/>
    <w:rsid w:val="00AF7DCE"/>
    <w:rsid w:val="00B00A03"/>
    <w:rsid w:val="00B01312"/>
    <w:rsid w:val="00B02D98"/>
    <w:rsid w:val="00B0418A"/>
    <w:rsid w:val="00B06098"/>
    <w:rsid w:val="00B0776F"/>
    <w:rsid w:val="00B13902"/>
    <w:rsid w:val="00B15D2F"/>
    <w:rsid w:val="00B16399"/>
    <w:rsid w:val="00B1760F"/>
    <w:rsid w:val="00B215F3"/>
    <w:rsid w:val="00B2586D"/>
    <w:rsid w:val="00B25AE4"/>
    <w:rsid w:val="00B265C9"/>
    <w:rsid w:val="00B26909"/>
    <w:rsid w:val="00B27664"/>
    <w:rsid w:val="00B31169"/>
    <w:rsid w:val="00B31828"/>
    <w:rsid w:val="00B34D9F"/>
    <w:rsid w:val="00B36851"/>
    <w:rsid w:val="00B42BEE"/>
    <w:rsid w:val="00B445BA"/>
    <w:rsid w:val="00B452B7"/>
    <w:rsid w:val="00B458E3"/>
    <w:rsid w:val="00B518FF"/>
    <w:rsid w:val="00B51EAF"/>
    <w:rsid w:val="00B52557"/>
    <w:rsid w:val="00B54F17"/>
    <w:rsid w:val="00B561EE"/>
    <w:rsid w:val="00B57D47"/>
    <w:rsid w:val="00B6210E"/>
    <w:rsid w:val="00B632E3"/>
    <w:rsid w:val="00B64DC8"/>
    <w:rsid w:val="00B6791D"/>
    <w:rsid w:val="00B70056"/>
    <w:rsid w:val="00B70688"/>
    <w:rsid w:val="00B75FD9"/>
    <w:rsid w:val="00B77091"/>
    <w:rsid w:val="00B80246"/>
    <w:rsid w:val="00B82D9B"/>
    <w:rsid w:val="00B837C1"/>
    <w:rsid w:val="00B841E0"/>
    <w:rsid w:val="00B844CA"/>
    <w:rsid w:val="00B850CF"/>
    <w:rsid w:val="00B85496"/>
    <w:rsid w:val="00B860BA"/>
    <w:rsid w:val="00B865F5"/>
    <w:rsid w:val="00B870A0"/>
    <w:rsid w:val="00B90298"/>
    <w:rsid w:val="00B90506"/>
    <w:rsid w:val="00B91DFE"/>
    <w:rsid w:val="00B91EA3"/>
    <w:rsid w:val="00B922D0"/>
    <w:rsid w:val="00B95707"/>
    <w:rsid w:val="00B966E9"/>
    <w:rsid w:val="00B96BC7"/>
    <w:rsid w:val="00B97229"/>
    <w:rsid w:val="00BA0811"/>
    <w:rsid w:val="00BA08A3"/>
    <w:rsid w:val="00BA3D7D"/>
    <w:rsid w:val="00BA4302"/>
    <w:rsid w:val="00BA4DDD"/>
    <w:rsid w:val="00BA5AB3"/>
    <w:rsid w:val="00BA705F"/>
    <w:rsid w:val="00BA7895"/>
    <w:rsid w:val="00BB227E"/>
    <w:rsid w:val="00BB4F22"/>
    <w:rsid w:val="00BB7E3D"/>
    <w:rsid w:val="00BC2472"/>
    <w:rsid w:val="00BC3CD1"/>
    <w:rsid w:val="00BC5EC6"/>
    <w:rsid w:val="00BC5F0E"/>
    <w:rsid w:val="00BC6ABD"/>
    <w:rsid w:val="00BD2211"/>
    <w:rsid w:val="00BD221D"/>
    <w:rsid w:val="00BD3E65"/>
    <w:rsid w:val="00BD5934"/>
    <w:rsid w:val="00BD7785"/>
    <w:rsid w:val="00BE0A02"/>
    <w:rsid w:val="00BE3B2E"/>
    <w:rsid w:val="00BE5957"/>
    <w:rsid w:val="00BE7DE8"/>
    <w:rsid w:val="00BF1CBD"/>
    <w:rsid w:val="00BF4E0E"/>
    <w:rsid w:val="00BF52C4"/>
    <w:rsid w:val="00BF6F6B"/>
    <w:rsid w:val="00C006BE"/>
    <w:rsid w:val="00C05B8E"/>
    <w:rsid w:val="00C064F7"/>
    <w:rsid w:val="00C06A33"/>
    <w:rsid w:val="00C1063D"/>
    <w:rsid w:val="00C11F6A"/>
    <w:rsid w:val="00C15E0E"/>
    <w:rsid w:val="00C22C3E"/>
    <w:rsid w:val="00C23250"/>
    <w:rsid w:val="00C23FB5"/>
    <w:rsid w:val="00C24A1A"/>
    <w:rsid w:val="00C331BB"/>
    <w:rsid w:val="00C343B9"/>
    <w:rsid w:val="00C3567C"/>
    <w:rsid w:val="00C372B2"/>
    <w:rsid w:val="00C41A08"/>
    <w:rsid w:val="00C422B9"/>
    <w:rsid w:val="00C4240A"/>
    <w:rsid w:val="00C4241E"/>
    <w:rsid w:val="00C46259"/>
    <w:rsid w:val="00C50EFE"/>
    <w:rsid w:val="00C56AB1"/>
    <w:rsid w:val="00C57FE4"/>
    <w:rsid w:val="00C615A3"/>
    <w:rsid w:val="00C6198D"/>
    <w:rsid w:val="00C635DA"/>
    <w:rsid w:val="00C639E7"/>
    <w:rsid w:val="00C65315"/>
    <w:rsid w:val="00C659BE"/>
    <w:rsid w:val="00C65EA3"/>
    <w:rsid w:val="00C71042"/>
    <w:rsid w:val="00C734D6"/>
    <w:rsid w:val="00C80300"/>
    <w:rsid w:val="00C80C55"/>
    <w:rsid w:val="00C82307"/>
    <w:rsid w:val="00C8561A"/>
    <w:rsid w:val="00C85B47"/>
    <w:rsid w:val="00C8613B"/>
    <w:rsid w:val="00C900DE"/>
    <w:rsid w:val="00C909E6"/>
    <w:rsid w:val="00C92622"/>
    <w:rsid w:val="00C93E58"/>
    <w:rsid w:val="00C97228"/>
    <w:rsid w:val="00C9780D"/>
    <w:rsid w:val="00CA02DA"/>
    <w:rsid w:val="00CA1A54"/>
    <w:rsid w:val="00CA6271"/>
    <w:rsid w:val="00CB6DF7"/>
    <w:rsid w:val="00CB7FE8"/>
    <w:rsid w:val="00CC46B2"/>
    <w:rsid w:val="00CC5718"/>
    <w:rsid w:val="00CD0772"/>
    <w:rsid w:val="00CD1352"/>
    <w:rsid w:val="00CD1CBE"/>
    <w:rsid w:val="00CD1E3E"/>
    <w:rsid w:val="00CD32E2"/>
    <w:rsid w:val="00CD39B0"/>
    <w:rsid w:val="00CD4B0B"/>
    <w:rsid w:val="00CD6698"/>
    <w:rsid w:val="00CD78D9"/>
    <w:rsid w:val="00CE1E5B"/>
    <w:rsid w:val="00CE24C3"/>
    <w:rsid w:val="00CE4C0E"/>
    <w:rsid w:val="00CF1D92"/>
    <w:rsid w:val="00CF2D92"/>
    <w:rsid w:val="00CF5D91"/>
    <w:rsid w:val="00D0025C"/>
    <w:rsid w:val="00D004FB"/>
    <w:rsid w:val="00D02BBC"/>
    <w:rsid w:val="00D02C36"/>
    <w:rsid w:val="00D02F3B"/>
    <w:rsid w:val="00D05B33"/>
    <w:rsid w:val="00D05EC6"/>
    <w:rsid w:val="00D10283"/>
    <w:rsid w:val="00D12172"/>
    <w:rsid w:val="00D12B8C"/>
    <w:rsid w:val="00D15488"/>
    <w:rsid w:val="00D200F6"/>
    <w:rsid w:val="00D2027C"/>
    <w:rsid w:val="00D21646"/>
    <w:rsid w:val="00D36A3A"/>
    <w:rsid w:val="00D40048"/>
    <w:rsid w:val="00D42F23"/>
    <w:rsid w:val="00D454F2"/>
    <w:rsid w:val="00D47CE9"/>
    <w:rsid w:val="00D52995"/>
    <w:rsid w:val="00D57FF0"/>
    <w:rsid w:val="00D66C16"/>
    <w:rsid w:val="00D702D0"/>
    <w:rsid w:val="00D72ADE"/>
    <w:rsid w:val="00D75233"/>
    <w:rsid w:val="00D75526"/>
    <w:rsid w:val="00D77094"/>
    <w:rsid w:val="00D7728F"/>
    <w:rsid w:val="00D77696"/>
    <w:rsid w:val="00D81CC4"/>
    <w:rsid w:val="00D825CD"/>
    <w:rsid w:val="00D90B22"/>
    <w:rsid w:val="00D91BE8"/>
    <w:rsid w:val="00D9727E"/>
    <w:rsid w:val="00D9765E"/>
    <w:rsid w:val="00DA1FC5"/>
    <w:rsid w:val="00DA30BF"/>
    <w:rsid w:val="00DA3AE3"/>
    <w:rsid w:val="00DA3EE5"/>
    <w:rsid w:val="00DA4591"/>
    <w:rsid w:val="00DA6430"/>
    <w:rsid w:val="00DA681A"/>
    <w:rsid w:val="00DA7FA8"/>
    <w:rsid w:val="00DB63DB"/>
    <w:rsid w:val="00DB7824"/>
    <w:rsid w:val="00DC308E"/>
    <w:rsid w:val="00DC6C76"/>
    <w:rsid w:val="00DC7F73"/>
    <w:rsid w:val="00DE191A"/>
    <w:rsid w:val="00DE1A0F"/>
    <w:rsid w:val="00DE3123"/>
    <w:rsid w:val="00DE339F"/>
    <w:rsid w:val="00DE4826"/>
    <w:rsid w:val="00DF0937"/>
    <w:rsid w:val="00DF1535"/>
    <w:rsid w:val="00DF53F5"/>
    <w:rsid w:val="00DF61FD"/>
    <w:rsid w:val="00DF6D25"/>
    <w:rsid w:val="00DF731C"/>
    <w:rsid w:val="00E014B8"/>
    <w:rsid w:val="00E03C6D"/>
    <w:rsid w:val="00E06125"/>
    <w:rsid w:val="00E11EE3"/>
    <w:rsid w:val="00E12152"/>
    <w:rsid w:val="00E135F9"/>
    <w:rsid w:val="00E14349"/>
    <w:rsid w:val="00E15EAA"/>
    <w:rsid w:val="00E17C1A"/>
    <w:rsid w:val="00E20C28"/>
    <w:rsid w:val="00E21B61"/>
    <w:rsid w:val="00E22A77"/>
    <w:rsid w:val="00E22E84"/>
    <w:rsid w:val="00E247DB"/>
    <w:rsid w:val="00E24B18"/>
    <w:rsid w:val="00E252E6"/>
    <w:rsid w:val="00E3016C"/>
    <w:rsid w:val="00E30813"/>
    <w:rsid w:val="00E348BC"/>
    <w:rsid w:val="00E353C8"/>
    <w:rsid w:val="00E4307D"/>
    <w:rsid w:val="00E4318F"/>
    <w:rsid w:val="00E4392E"/>
    <w:rsid w:val="00E50149"/>
    <w:rsid w:val="00E51DDE"/>
    <w:rsid w:val="00E54395"/>
    <w:rsid w:val="00E54741"/>
    <w:rsid w:val="00E54D77"/>
    <w:rsid w:val="00E54F46"/>
    <w:rsid w:val="00E568E5"/>
    <w:rsid w:val="00E57AAD"/>
    <w:rsid w:val="00E57ABA"/>
    <w:rsid w:val="00E6453F"/>
    <w:rsid w:val="00E659EF"/>
    <w:rsid w:val="00E70558"/>
    <w:rsid w:val="00E70CBD"/>
    <w:rsid w:val="00E717E8"/>
    <w:rsid w:val="00E72BAF"/>
    <w:rsid w:val="00E72C18"/>
    <w:rsid w:val="00E7338B"/>
    <w:rsid w:val="00E73D81"/>
    <w:rsid w:val="00E754F4"/>
    <w:rsid w:val="00E77B86"/>
    <w:rsid w:val="00E86579"/>
    <w:rsid w:val="00E86791"/>
    <w:rsid w:val="00EA057C"/>
    <w:rsid w:val="00EA1DF1"/>
    <w:rsid w:val="00EA2D3D"/>
    <w:rsid w:val="00EA5B84"/>
    <w:rsid w:val="00EA751C"/>
    <w:rsid w:val="00EB20F9"/>
    <w:rsid w:val="00EB24EB"/>
    <w:rsid w:val="00EB34AF"/>
    <w:rsid w:val="00EB51DE"/>
    <w:rsid w:val="00EB626D"/>
    <w:rsid w:val="00EB7847"/>
    <w:rsid w:val="00ED06CC"/>
    <w:rsid w:val="00ED13C0"/>
    <w:rsid w:val="00ED2C8E"/>
    <w:rsid w:val="00ED379E"/>
    <w:rsid w:val="00ED68C4"/>
    <w:rsid w:val="00ED7680"/>
    <w:rsid w:val="00EE0424"/>
    <w:rsid w:val="00EE0D47"/>
    <w:rsid w:val="00EE4D02"/>
    <w:rsid w:val="00EE5358"/>
    <w:rsid w:val="00EE70B3"/>
    <w:rsid w:val="00EF2FB4"/>
    <w:rsid w:val="00EF54D8"/>
    <w:rsid w:val="00EF71E9"/>
    <w:rsid w:val="00F006D2"/>
    <w:rsid w:val="00F00BD1"/>
    <w:rsid w:val="00F01FD9"/>
    <w:rsid w:val="00F02692"/>
    <w:rsid w:val="00F04B07"/>
    <w:rsid w:val="00F05BA8"/>
    <w:rsid w:val="00F1438E"/>
    <w:rsid w:val="00F15683"/>
    <w:rsid w:val="00F16F13"/>
    <w:rsid w:val="00F20476"/>
    <w:rsid w:val="00F23E9A"/>
    <w:rsid w:val="00F242D9"/>
    <w:rsid w:val="00F3325E"/>
    <w:rsid w:val="00F3408D"/>
    <w:rsid w:val="00F3715D"/>
    <w:rsid w:val="00F428CF"/>
    <w:rsid w:val="00F44B62"/>
    <w:rsid w:val="00F44D10"/>
    <w:rsid w:val="00F4790F"/>
    <w:rsid w:val="00F5072C"/>
    <w:rsid w:val="00F51CBF"/>
    <w:rsid w:val="00F526D5"/>
    <w:rsid w:val="00F5411D"/>
    <w:rsid w:val="00F56D2B"/>
    <w:rsid w:val="00F57D2D"/>
    <w:rsid w:val="00F606D8"/>
    <w:rsid w:val="00F62A49"/>
    <w:rsid w:val="00F62F16"/>
    <w:rsid w:val="00F64F0D"/>
    <w:rsid w:val="00F7026A"/>
    <w:rsid w:val="00F70867"/>
    <w:rsid w:val="00F71826"/>
    <w:rsid w:val="00F719D6"/>
    <w:rsid w:val="00F72B45"/>
    <w:rsid w:val="00F73B00"/>
    <w:rsid w:val="00F817D5"/>
    <w:rsid w:val="00F82ED3"/>
    <w:rsid w:val="00F84737"/>
    <w:rsid w:val="00F87B69"/>
    <w:rsid w:val="00F90C95"/>
    <w:rsid w:val="00F9103E"/>
    <w:rsid w:val="00F917A5"/>
    <w:rsid w:val="00F93A69"/>
    <w:rsid w:val="00F93D7E"/>
    <w:rsid w:val="00F95923"/>
    <w:rsid w:val="00F96A39"/>
    <w:rsid w:val="00F96DB3"/>
    <w:rsid w:val="00F9708B"/>
    <w:rsid w:val="00F97463"/>
    <w:rsid w:val="00FA4DC6"/>
    <w:rsid w:val="00FA5577"/>
    <w:rsid w:val="00FA5D99"/>
    <w:rsid w:val="00FB030E"/>
    <w:rsid w:val="00FB571F"/>
    <w:rsid w:val="00FC42BA"/>
    <w:rsid w:val="00FC484F"/>
    <w:rsid w:val="00FC6166"/>
    <w:rsid w:val="00FD08C1"/>
    <w:rsid w:val="00FD2C54"/>
    <w:rsid w:val="00FD59B4"/>
    <w:rsid w:val="00FD7A7A"/>
    <w:rsid w:val="00FE019B"/>
    <w:rsid w:val="00FE0873"/>
    <w:rsid w:val="00FE10C1"/>
    <w:rsid w:val="00FE190E"/>
    <w:rsid w:val="00FE20A9"/>
    <w:rsid w:val="00FE2373"/>
    <w:rsid w:val="00FE447B"/>
    <w:rsid w:val="00FE48A9"/>
    <w:rsid w:val="00FE55D1"/>
    <w:rsid w:val="00FF03FD"/>
    <w:rsid w:val="00FF08B7"/>
    <w:rsid w:val="00FF12B8"/>
    <w:rsid w:val="00FF521D"/>
    <w:rsid w:val="00FF7A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DB1DDC8"/>
  <w14:defaultImageDpi w14:val="330"/>
  <w15:docId w15:val="{A1346385-2502-4995-B84A-B4C8CBE82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20592"/>
    <w:pPr>
      <w:spacing w:before="120" w:after="120" w:line="220" w:lineRule="atLeast"/>
    </w:pPr>
    <w:rPr>
      <w:rFonts w:ascii="Calibri Light" w:hAnsi="Calibri Light"/>
      <w:sz w:val="22"/>
    </w:rPr>
  </w:style>
  <w:style w:type="paragraph" w:styleId="Heading1">
    <w:name w:val="heading 1"/>
    <w:aliases w:val="H1"/>
    <w:next w:val="Normal"/>
    <w:link w:val="Heading1Char"/>
    <w:uiPriority w:val="9"/>
    <w:qFormat/>
    <w:rsid w:val="009C4845"/>
    <w:pPr>
      <w:keepNext/>
      <w:keepLines/>
      <w:pageBreakBefore/>
      <w:numPr>
        <w:numId w:val="5"/>
      </w:numPr>
      <w:spacing w:before="240" w:after="320"/>
      <w:outlineLvl w:val="0"/>
    </w:pPr>
    <w:rPr>
      <w:rFonts w:ascii="Proxima Nova Light" w:eastAsiaTheme="majorEastAsia" w:hAnsi="Proxima Nova Light" w:cstheme="majorBidi"/>
      <w:caps/>
      <w:color w:val="164B76"/>
      <w:sz w:val="44"/>
      <w:szCs w:val="40"/>
    </w:rPr>
  </w:style>
  <w:style w:type="paragraph" w:styleId="Heading2">
    <w:name w:val="heading 2"/>
    <w:aliases w:val="H2"/>
    <w:basedOn w:val="Normal"/>
    <w:next w:val="Normal"/>
    <w:link w:val="Heading2Char"/>
    <w:uiPriority w:val="9"/>
    <w:unhideWhenUsed/>
    <w:qFormat/>
    <w:rsid w:val="00952E03"/>
    <w:pPr>
      <w:keepNext/>
      <w:keepLines/>
      <w:numPr>
        <w:ilvl w:val="1"/>
        <w:numId w:val="2"/>
      </w:numPr>
      <w:spacing w:before="360" w:after="200"/>
      <w:outlineLvl w:val="1"/>
    </w:pPr>
    <w:rPr>
      <w:rFonts w:ascii="Proxima Nova Light" w:eastAsiaTheme="majorEastAsia" w:hAnsi="Proxima Nova Light" w:cstheme="majorBidi"/>
      <w:bCs/>
      <w:color w:val="164B76"/>
      <w:sz w:val="32"/>
      <w:szCs w:val="26"/>
    </w:rPr>
  </w:style>
  <w:style w:type="paragraph" w:styleId="Heading3">
    <w:name w:val="heading 3"/>
    <w:aliases w:val="H3"/>
    <w:next w:val="Normal"/>
    <w:link w:val="Heading3Char"/>
    <w:uiPriority w:val="9"/>
    <w:unhideWhenUsed/>
    <w:qFormat/>
    <w:rsid w:val="00952E03"/>
    <w:pPr>
      <w:keepNext/>
      <w:keepLines/>
      <w:spacing w:before="120" w:after="120"/>
      <w:outlineLvl w:val="2"/>
    </w:pPr>
    <w:rPr>
      <w:rFonts w:ascii="Proxima Nova Light" w:eastAsiaTheme="majorEastAsia" w:hAnsi="Proxima Nova Light" w:cstheme="majorBidi"/>
      <w:color w:val="164B76"/>
      <w:w w:val="102"/>
      <w:sz w:val="28"/>
      <w:szCs w:val="30"/>
    </w:rPr>
  </w:style>
  <w:style w:type="paragraph" w:styleId="Heading4">
    <w:name w:val="heading 4"/>
    <w:aliases w:val="H4"/>
    <w:next w:val="Normal"/>
    <w:link w:val="Heading4Char"/>
    <w:uiPriority w:val="9"/>
    <w:unhideWhenUsed/>
    <w:qFormat/>
    <w:rsid w:val="00F90C95"/>
    <w:pPr>
      <w:keepNext/>
      <w:keepLines/>
      <w:spacing w:before="280" w:after="160"/>
      <w:outlineLvl w:val="3"/>
    </w:pPr>
    <w:rPr>
      <w:rFonts w:ascii="Proxima Nova Light" w:eastAsiaTheme="majorEastAsia" w:hAnsi="Proxima Nova Light" w:cstheme="majorBidi"/>
      <w:bCs/>
      <w:color w:val="808080" w:themeColor="accent3"/>
      <w:sz w:val="26"/>
      <w:szCs w:val="22"/>
    </w:rPr>
  </w:style>
  <w:style w:type="paragraph" w:styleId="Heading5">
    <w:name w:val="heading 5"/>
    <w:aliases w:val="H5"/>
    <w:basedOn w:val="Normal"/>
    <w:next w:val="Normal"/>
    <w:link w:val="Heading5Char"/>
    <w:uiPriority w:val="9"/>
    <w:unhideWhenUsed/>
    <w:qFormat/>
    <w:rsid w:val="005E52AE"/>
    <w:pPr>
      <w:keepNext/>
      <w:keepLines/>
      <w:spacing w:before="200"/>
      <w:outlineLvl w:val="4"/>
    </w:pPr>
    <w:rPr>
      <w:rFonts w:ascii="Proxima Nova Light" w:eastAsiaTheme="majorEastAsia" w:hAnsi="Proxima Nova Light" w:cstheme="majorBidi"/>
      <w:color w:val="8B8B8B" w:themeColor="text1" w:themeTint="80"/>
    </w:rPr>
  </w:style>
  <w:style w:type="paragraph" w:styleId="Heading6">
    <w:name w:val="heading 6"/>
    <w:aliases w:val="Appendix Header 1"/>
    <w:next w:val="Normal"/>
    <w:link w:val="Heading6Char"/>
    <w:uiPriority w:val="9"/>
    <w:unhideWhenUsed/>
    <w:rsid w:val="005E52AE"/>
    <w:pPr>
      <w:keepNext/>
      <w:numPr>
        <w:ilvl w:val="5"/>
        <w:numId w:val="4"/>
      </w:numPr>
      <w:spacing w:before="360" w:after="240"/>
      <w:outlineLvl w:val="5"/>
    </w:pPr>
    <w:rPr>
      <w:rFonts w:ascii="Proxima Nova Light" w:hAnsi="Proxima Nova Light"/>
      <w:caps/>
      <w:color w:val="FF6D2E" w:themeColor="accent1"/>
      <w:sz w:val="44"/>
      <w:szCs w:val="40"/>
    </w:rPr>
  </w:style>
  <w:style w:type="paragraph" w:styleId="Heading7">
    <w:name w:val="heading 7"/>
    <w:aliases w:val="Appendix Header 7"/>
    <w:next w:val="Normal"/>
    <w:link w:val="Heading7Char"/>
    <w:uiPriority w:val="9"/>
    <w:unhideWhenUsed/>
    <w:rsid w:val="005E52AE"/>
    <w:pPr>
      <w:keepNext/>
      <w:numPr>
        <w:ilvl w:val="6"/>
        <w:numId w:val="4"/>
      </w:numPr>
      <w:spacing w:before="360" w:after="200"/>
      <w:outlineLvl w:val="6"/>
    </w:pPr>
    <w:rPr>
      <w:rFonts w:ascii="Proxima Nova Light" w:hAnsi="Proxima Nova Light"/>
      <w:color w:val="FF6D2E" w:themeColor="accent1"/>
      <w:sz w:val="32"/>
    </w:rPr>
  </w:style>
  <w:style w:type="paragraph" w:styleId="Heading8">
    <w:name w:val="heading 8"/>
    <w:aliases w:val="Appendix 8"/>
    <w:next w:val="Normal"/>
    <w:link w:val="Heading8Char"/>
    <w:uiPriority w:val="9"/>
    <w:unhideWhenUsed/>
    <w:rsid w:val="005E52AE"/>
    <w:pPr>
      <w:spacing w:before="360" w:after="180"/>
      <w:outlineLvl w:val="7"/>
    </w:pPr>
    <w:rPr>
      <w:rFonts w:ascii="Proxima Nova Light" w:hAnsi="Proxima Nova Light"/>
      <w:color w:val="FF6D2E" w:themeColor="accent1"/>
      <w:sz w:val="28"/>
    </w:rPr>
  </w:style>
  <w:style w:type="paragraph" w:styleId="Heading9">
    <w:name w:val="heading 9"/>
    <w:basedOn w:val="Normal"/>
    <w:next w:val="Normal"/>
    <w:link w:val="Heading9Char"/>
    <w:uiPriority w:val="9"/>
    <w:semiHidden/>
    <w:unhideWhenUsed/>
    <w:rsid w:val="009C4845"/>
    <w:pPr>
      <w:keepNext/>
      <w:keepLines/>
      <w:numPr>
        <w:ilvl w:val="8"/>
        <w:numId w:val="5"/>
      </w:numPr>
      <w:spacing w:before="200"/>
      <w:outlineLvl w:val="8"/>
    </w:pPr>
    <w:rPr>
      <w:rFonts w:asciiTheme="majorHAnsi" w:eastAsiaTheme="majorEastAsia" w:hAnsiTheme="majorHAnsi" w:cstheme="majorBidi"/>
      <w:i/>
      <w:iCs/>
      <w:color w:val="52525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uiPriority w:val="9"/>
    <w:rsid w:val="00952E03"/>
    <w:rPr>
      <w:rFonts w:ascii="Proxima Nova Light" w:eastAsiaTheme="majorEastAsia" w:hAnsi="Proxima Nova Light" w:cstheme="majorBidi"/>
      <w:caps/>
      <w:color w:val="164B76"/>
      <w:sz w:val="44"/>
      <w:szCs w:val="40"/>
    </w:rPr>
  </w:style>
  <w:style w:type="character" w:customStyle="1" w:styleId="Heading2Char">
    <w:name w:val="Heading 2 Char"/>
    <w:aliases w:val="H2 Char"/>
    <w:basedOn w:val="DefaultParagraphFont"/>
    <w:link w:val="Heading2"/>
    <w:uiPriority w:val="9"/>
    <w:rsid w:val="00952E03"/>
    <w:rPr>
      <w:rFonts w:ascii="Proxima Nova Light" w:eastAsiaTheme="majorEastAsia" w:hAnsi="Proxima Nova Light" w:cstheme="majorBidi"/>
      <w:bCs/>
      <w:color w:val="164B76"/>
      <w:sz w:val="32"/>
      <w:szCs w:val="26"/>
    </w:rPr>
  </w:style>
  <w:style w:type="character" w:customStyle="1" w:styleId="Heading3Char">
    <w:name w:val="Heading 3 Char"/>
    <w:aliases w:val="H3 Char"/>
    <w:basedOn w:val="DefaultParagraphFont"/>
    <w:link w:val="Heading3"/>
    <w:uiPriority w:val="9"/>
    <w:rsid w:val="00952E03"/>
    <w:rPr>
      <w:rFonts w:ascii="Proxima Nova Light" w:eastAsiaTheme="majorEastAsia" w:hAnsi="Proxima Nova Light" w:cstheme="majorBidi"/>
      <w:color w:val="164B76"/>
      <w:w w:val="102"/>
      <w:sz w:val="28"/>
      <w:szCs w:val="30"/>
    </w:rPr>
  </w:style>
  <w:style w:type="character" w:customStyle="1" w:styleId="Heading4Char">
    <w:name w:val="Heading 4 Char"/>
    <w:aliases w:val="H4 Char"/>
    <w:basedOn w:val="DefaultParagraphFont"/>
    <w:link w:val="Heading4"/>
    <w:uiPriority w:val="9"/>
    <w:rsid w:val="00F90C95"/>
    <w:rPr>
      <w:rFonts w:ascii="Proxima Nova Light" w:eastAsiaTheme="majorEastAsia" w:hAnsi="Proxima Nova Light" w:cstheme="majorBidi"/>
      <w:bCs/>
      <w:color w:val="808080" w:themeColor="accent3"/>
      <w:sz w:val="26"/>
      <w:szCs w:val="22"/>
    </w:rPr>
  </w:style>
  <w:style w:type="character" w:customStyle="1" w:styleId="Heading5Char">
    <w:name w:val="Heading 5 Char"/>
    <w:aliases w:val="H5 Char"/>
    <w:basedOn w:val="DefaultParagraphFont"/>
    <w:link w:val="Heading5"/>
    <w:uiPriority w:val="9"/>
    <w:rsid w:val="005E52AE"/>
    <w:rPr>
      <w:rFonts w:ascii="Proxima Nova Light" w:eastAsiaTheme="majorEastAsia" w:hAnsi="Proxima Nova Light" w:cstheme="majorBidi"/>
      <w:color w:val="8B8B8B" w:themeColor="text1" w:themeTint="80"/>
      <w:sz w:val="22"/>
    </w:rPr>
  </w:style>
  <w:style w:type="character" w:customStyle="1" w:styleId="Heading6Char">
    <w:name w:val="Heading 6 Char"/>
    <w:aliases w:val="Appendix Header 1 Char"/>
    <w:basedOn w:val="DefaultParagraphFont"/>
    <w:link w:val="Heading6"/>
    <w:uiPriority w:val="9"/>
    <w:rsid w:val="005E52AE"/>
    <w:rPr>
      <w:rFonts w:ascii="Proxima Nova Light" w:hAnsi="Proxima Nova Light"/>
      <w:caps/>
      <w:color w:val="FF6D2E" w:themeColor="accent1"/>
      <w:sz w:val="44"/>
      <w:szCs w:val="40"/>
    </w:rPr>
  </w:style>
  <w:style w:type="character" w:customStyle="1" w:styleId="Heading7Char">
    <w:name w:val="Heading 7 Char"/>
    <w:aliases w:val="Appendix Header 7 Char"/>
    <w:basedOn w:val="DefaultParagraphFont"/>
    <w:link w:val="Heading7"/>
    <w:uiPriority w:val="9"/>
    <w:rsid w:val="005E52AE"/>
    <w:rPr>
      <w:rFonts w:ascii="Proxima Nova Light" w:hAnsi="Proxima Nova Light"/>
      <w:color w:val="FF6D2E" w:themeColor="accent1"/>
      <w:sz w:val="32"/>
    </w:rPr>
  </w:style>
  <w:style w:type="character" w:customStyle="1" w:styleId="Heading8Char">
    <w:name w:val="Heading 8 Char"/>
    <w:aliases w:val="Appendix 8 Char"/>
    <w:basedOn w:val="DefaultParagraphFont"/>
    <w:link w:val="Heading8"/>
    <w:uiPriority w:val="9"/>
    <w:rsid w:val="005E52AE"/>
    <w:rPr>
      <w:rFonts w:ascii="Proxima Nova Light" w:hAnsi="Proxima Nova Light"/>
      <w:color w:val="FF6D2E" w:themeColor="accent1"/>
      <w:sz w:val="28"/>
    </w:rPr>
  </w:style>
  <w:style w:type="character" w:customStyle="1" w:styleId="Heading9Char">
    <w:name w:val="Heading 9 Char"/>
    <w:basedOn w:val="DefaultParagraphFont"/>
    <w:link w:val="Heading9"/>
    <w:uiPriority w:val="9"/>
    <w:semiHidden/>
    <w:rsid w:val="00F62A49"/>
    <w:rPr>
      <w:rFonts w:asciiTheme="majorHAnsi" w:eastAsiaTheme="majorEastAsia" w:hAnsiTheme="majorHAnsi" w:cstheme="majorBidi"/>
      <w:i/>
      <w:iCs/>
      <w:color w:val="525252" w:themeColor="text1" w:themeTint="BF"/>
      <w:sz w:val="20"/>
      <w:szCs w:val="20"/>
    </w:rPr>
  </w:style>
  <w:style w:type="table" w:styleId="PlainTable4">
    <w:name w:val="Plain Table 4"/>
    <w:basedOn w:val="TableNormal"/>
    <w:uiPriority w:val="44"/>
    <w:rsid w:val="0015439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OCHeading">
    <w:name w:val="TOC Heading"/>
    <w:aliases w:val="TOC/ES Heading"/>
    <w:next w:val="Normal"/>
    <w:uiPriority w:val="39"/>
    <w:unhideWhenUsed/>
    <w:rsid w:val="002D40EE"/>
    <w:pPr>
      <w:spacing w:before="240" w:after="340"/>
      <w:jc w:val="center"/>
    </w:pPr>
    <w:rPr>
      <w:rFonts w:ascii="Proxima Nova Light" w:eastAsiaTheme="majorEastAsia" w:hAnsi="Proxima Nova Light" w:cstheme="majorBidi"/>
      <w:color w:val="FF7A42" w:themeColor="accent1" w:themeTint="E6"/>
      <w:sz w:val="48"/>
      <w:szCs w:val="48"/>
    </w:rPr>
  </w:style>
  <w:style w:type="paragraph" w:styleId="TOC1">
    <w:name w:val="toc 1"/>
    <w:next w:val="Normal"/>
    <w:autoRedefine/>
    <w:uiPriority w:val="39"/>
    <w:unhideWhenUsed/>
    <w:rsid w:val="007E1F66"/>
    <w:pPr>
      <w:tabs>
        <w:tab w:val="left" w:pos="395"/>
        <w:tab w:val="left" w:pos="426"/>
        <w:tab w:val="right" w:leader="dot" w:pos="9346"/>
      </w:tabs>
      <w:spacing w:before="120"/>
    </w:pPr>
    <w:rPr>
      <w:rFonts w:ascii="Calibri Light" w:hAnsi="Calibri Light"/>
      <w:b/>
      <w:szCs w:val="22"/>
    </w:rPr>
  </w:style>
  <w:style w:type="paragraph" w:styleId="TOC2">
    <w:name w:val="toc 2"/>
    <w:basedOn w:val="Normal"/>
    <w:next w:val="Normal"/>
    <w:autoRedefine/>
    <w:uiPriority w:val="39"/>
    <w:unhideWhenUsed/>
    <w:rsid w:val="00835487"/>
    <w:pPr>
      <w:tabs>
        <w:tab w:val="left" w:pos="925"/>
        <w:tab w:val="left" w:pos="997"/>
        <w:tab w:val="right" w:leader="dot" w:pos="9346"/>
      </w:tabs>
      <w:ind w:left="360" w:right="360"/>
      <w:contextualSpacing/>
    </w:pPr>
    <w:rPr>
      <w:b/>
    </w:rPr>
  </w:style>
  <w:style w:type="paragraph" w:styleId="TOC3">
    <w:name w:val="toc 3"/>
    <w:basedOn w:val="Normal"/>
    <w:next w:val="Normal"/>
    <w:autoRedefine/>
    <w:uiPriority w:val="39"/>
    <w:unhideWhenUsed/>
    <w:rsid w:val="00835487"/>
    <w:pPr>
      <w:tabs>
        <w:tab w:val="right" w:leader="dot" w:pos="9346"/>
      </w:tabs>
      <w:spacing w:before="20"/>
      <w:ind w:left="360" w:right="360"/>
      <w:contextualSpacing/>
    </w:pPr>
  </w:style>
  <w:style w:type="paragraph" w:styleId="TOC4">
    <w:name w:val="toc 4"/>
    <w:basedOn w:val="Normal"/>
    <w:next w:val="Normal"/>
    <w:autoRedefine/>
    <w:uiPriority w:val="39"/>
    <w:unhideWhenUsed/>
    <w:rsid w:val="0024628D"/>
    <w:pPr>
      <w:tabs>
        <w:tab w:val="right" w:leader="dot" w:pos="9346"/>
      </w:tabs>
      <w:ind w:left="1296"/>
    </w:pPr>
    <w:rPr>
      <w:i/>
      <w:sz w:val="20"/>
    </w:rPr>
  </w:style>
  <w:style w:type="paragraph" w:styleId="TOC5">
    <w:name w:val="toc 5"/>
    <w:basedOn w:val="Normal"/>
    <w:next w:val="Normal"/>
    <w:autoRedefine/>
    <w:uiPriority w:val="39"/>
    <w:unhideWhenUsed/>
    <w:rsid w:val="000C72C1"/>
    <w:pPr>
      <w:ind w:left="880"/>
    </w:pPr>
    <w:rPr>
      <w:rFonts w:asciiTheme="majorHAnsi" w:hAnsiTheme="majorHAnsi"/>
      <w:sz w:val="20"/>
    </w:rPr>
  </w:style>
  <w:style w:type="paragraph" w:styleId="TOC6">
    <w:name w:val="toc 6"/>
    <w:basedOn w:val="Normal"/>
    <w:next w:val="Normal"/>
    <w:autoRedefine/>
    <w:uiPriority w:val="39"/>
    <w:unhideWhenUsed/>
    <w:rsid w:val="000C72C1"/>
    <w:pPr>
      <w:ind w:left="1100"/>
    </w:pPr>
    <w:rPr>
      <w:rFonts w:asciiTheme="majorHAnsi" w:hAnsiTheme="majorHAnsi"/>
      <w:sz w:val="20"/>
    </w:rPr>
  </w:style>
  <w:style w:type="paragraph" w:styleId="TOC7">
    <w:name w:val="toc 7"/>
    <w:basedOn w:val="Normal"/>
    <w:next w:val="Normal"/>
    <w:autoRedefine/>
    <w:uiPriority w:val="39"/>
    <w:unhideWhenUsed/>
    <w:rsid w:val="000C72C1"/>
    <w:pPr>
      <w:ind w:left="1320"/>
    </w:pPr>
    <w:rPr>
      <w:rFonts w:asciiTheme="majorHAnsi" w:hAnsiTheme="majorHAnsi"/>
      <w:sz w:val="20"/>
    </w:rPr>
  </w:style>
  <w:style w:type="paragraph" w:styleId="TOC8">
    <w:name w:val="toc 8"/>
    <w:basedOn w:val="Normal"/>
    <w:next w:val="Normal"/>
    <w:autoRedefine/>
    <w:uiPriority w:val="39"/>
    <w:unhideWhenUsed/>
    <w:rsid w:val="000C72C1"/>
    <w:pPr>
      <w:ind w:left="1540"/>
    </w:pPr>
    <w:rPr>
      <w:rFonts w:asciiTheme="majorHAnsi" w:hAnsiTheme="majorHAnsi"/>
      <w:sz w:val="20"/>
    </w:rPr>
  </w:style>
  <w:style w:type="paragraph" w:styleId="TOC9">
    <w:name w:val="toc 9"/>
    <w:basedOn w:val="Normal"/>
    <w:next w:val="Normal"/>
    <w:autoRedefine/>
    <w:uiPriority w:val="39"/>
    <w:unhideWhenUsed/>
    <w:rsid w:val="000C72C1"/>
    <w:pPr>
      <w:ind w:left="1760"/>
    </w:pPr>
    <w:rPr>
      <w:rFonts w:asciiTheme="majorHAnsi" w:hAnsiTheme="majorHAnsi"/>
      <w:sz w:val="20"/>
    </w:rPr>
  </w:style>
  <w:style w:type="paragraph" w:customStyle="1" w:styleId="TableListHeader">
    <w:name w:val="Table List Header"/>
    <w:next w:val="Normal"/>
    <w:rsid w:val="00A80506"/>
    <w:pPr>
      <w:spacing w:after="280"/>
      <w:jc w:val="center"/>
    </w:pPr>
    <w:rPr>
      <w:rFonts w:ascii="Proxima Nova Light" w:hAnsi="Proxima Nova Light"/>
      <w:caps/>
      <w:color w:val="8B8B8B" w:themeColor="text1" w:themeTint="80"/>
      <w:szCs w:val="28"/>
    </w:rPr>
  </w:style>
  <w:style w:type="paragraph" w:styleId="ListParagraph">
    <w:name w:val="List Paragraph"/>
    <w:basedOn w:val="Normal"/>
    <w:uiPriority w:val="34"/>
    <w:qFormat/>
    <w:rsid w:val="0008108C"/>
    <w:pPr>
      <w:ind w:left="720"/>
      <w:contextualSpacing/>
    </w:pPr>
  </w:style>
  <w:style w:type="paragraph" w:styleId="Caption">
    <w:name w:val="caption"/>
    <w:aliases w:val="eTRM Caption"/>
    <w:basedOn w:val="Normal"/>
    <w:next w:val="Normal"/>
    <w:link w:val="CaptionChar"/>
    <w:autoRedefine/>
    <w:unhideWhenUsed/>
    <w:qFormat/>
    <w:rsid w:val="00C93E58"/>
    <w:pPr>
      <w:keepNext/>
      <w:spacing w:before="280" w:after="60"/>
    </w:pPr>
    <w:rPr>
      <w:rFonts w:cstheme="minorHAnsi"/>
      <w:b/>
      <w:color w:val="000000"/>
      <w:sz w:val="20"/>
      <w:szCs w:val="22"/>
      <w14:textFill>
        <w14:solidFill>
          <w14:srgbClr w14:val="000000">
            <w14:lumMod w14:val="50000"/>
          </w14:srgbClr>
        </w14:solidFill>
      </w14:textFill>
    </w:rPr>
  </w:style>
  <w:style w:type="character" w:customStyle="1" w:styleId="CaptionChar">
    <w:name w:val="Caption Char"/>
    <w:aliases w:val="eTRM Caption Char"/>
    <w:link w:val="Caption"/>
    <w:locked/>
    <w:rsid w:val="00C93E58"/>
    <w:rPr>
      <w:rFonts w:ascii="Calibri Light" w:hAnsi="Calibri Light" w:cstheme="minorHAnsi"/>
      <w:b/>
      <w:color w:val="000000"/>
      <w:sz w:val="20"/>
      <w:szCs w:val="22"/>
      <w14:textFill>
        <w14:solidFill>
          <w14:srgbClr w14:val="000000">
            <w14:lumMod w14:val="50000"/>
          </w14:srgbClr>
        </w14:solidFill>
      </w14:textFill>
    </w:rPr>
  </w:style>
  <w:style w:type="table" w:styleId="PlainTable2">
    <w:name w:val="Plain Table 2"/>
    <w:basedOn w:val="TableNormal"/>
    <w:uiPriority w:val="42"/>
    <w:rsid w:val="00154391"/>
    <w:tblPr>
      <w:tblStyleRowBandSize w:val="1"/>
      <w:tblStyleColBandSize w:val="1"/>
      <w:tblBorders>
        <w:top w:val="single" w:sz="4" w:space="0" w:color="8B8B8B" w:themeColor="text1" w:themeTint="80"/>
        <w:bottom w:val="single" w:sz="4" w:space="0" w:color="8B8B8B" w:themeColor="text1" w:themeTint="80"/>
      </w:tblBorders>
    </w:tblPr>
    <w:tblStylePr w:type="firstRow">
      <w:rPr>
        <w:b/>
        <w:bCs/>
      </w:rPr>
      <w:tblPr/>
      <w:tcPr>
        <w:tcBorders>
          <w:bottom w:val="single" w:sz="4" w:space="0" w:color="8B8B8B" w:themeColor="text1" w:themeTint="80"/>
        </w:tcBorders>
      </w:tcPr>
    </w:tblStylePr>
    <w:tblStylePr w:type="lastRow">
      <w:rPr>
        <w:b/>
        <w:bCs/>
      </w:rPr>
      <w:tblPr/>
      <w:tcPr>
        <w:tcBorders>
          <w:top w:val="single" w:sz="4" w:space="0" w:color="8B8B8B" w:themeColor="text1" w:themeTint="80"/>
        </w:tcBorders>
      </w:tcPr>
    </w:tblStylePr>
    <w:tblStylePr w:type="firstCol">
      <w:rPr>
        <w:b/>
        <w:bCs/>
      </w:rPr>
    </w:tblStylePr>
    <w:tblStylePr w:type="lastCol">
      <w:rPr>
        <w:b/>
        <w:bCs/>
      </w:rPr>
    </w:tblStylePr>
    <w:tblStylePr w:type="band1Vert">
      <w:tblPr/>
      <w:tcPr>
        <w:tcBorders>
          <w:left w:val="single" w:sz="4" w:space="0" w:color="8B8B8B" w:themeColor="text1" w:themeTint="80"/>
          <w:right w:val="single" w:sz="4" w:space="0" w:color="8B8B8B" w:themeColor="text1" w:themeTint="80"/>
        </w:tcBorders>
      </w:tcPr>
    </w:tblStylePr>
    <w:tblStylePr w:type="band2Vert">
      <w:tblPr/>
      <w:tcPr>
        <w:tcBorders>
          <w:left w:val="single" w:sz="4" w:space="0" w:color="8B8B8B" w:themeColor="text1" w:themeTint="80"/>
          <w:right w:val="single" w:sz="4" w:space="0" w:color="8B8B8B" w:themeColor="text1" w:themeTint="80"/>
        </w:tcBorders>
      </w:tcPr>
    </w:tblStylePr>
    <w:tblStylePr w:type="band1Horz">
      <w:tblPr/>
      <w:tcPr>
        <w:tcBorders>
          <w:top w:val="single" w:sz="4" w:space="0" w:color="8B8B8B" w:themeColor="text1" w:themeTint="80"/>
          <w:bottom w:val="single" w:sz="4" w:space="0" w:color="8B8B8B" w:themeColor="text1" w:themeTint="80"/>
        </w:tcBorders>
      </w:tcPr>
    </w:tblStylePr>
  </w:style>
  <w:style w:type="paragraph" w:styleId="FootnoteText">
    <w:name w:val="footnote text"/>
    <w:aliases w:val="EMI Footnote Text"/>
    <w:basedOn w:val="Normal"/>
    <w:link w:val="FootnoteTextChar"/>
    <w:unhideWhenUsed/>
    <w:qFormat/>
    <w:rsid w:val="005E25DC"/>
    <w:rPr>
      <w:sz w:val="18"/>
    </w:rPr>
  </w:style>
  <w:style w:type="character" w:customStyle="1" w:styleId="FootnoteTextChar">
    <w:name w:val="Footnote Text Char"/>
    <w:aliases w:val="EMI Footnote Text Char"/>
    <w:basedOn w:val="DefaultParagraphFont"/>
    <w:link w:val="FootnoteText"/>
    <w:rsid w:val="005E25DC"/>
    <w:rPr>
      <w:sz w:val="18"/>
    </w:rPr>
  </w:style>
  <w:style w:type="character" w:styleId="FootnoteReference">
    <w:name w:val="footnote reference"/>
    <w:basedOn w:val="DefaultParagraphFont"/>
    <w:unhideWhenUsed/>
    <w:rsid w:val="00A2690C"/>
    <w:rPr>
      <w:vertAlign w:val="superscript"/>
    </w:rPr>
  </w:style>
  <w:style w:type="paragraph" w:styleId="TableofFigures">
    <w:name w:val="table of figures"/>
    <w:basedOn w:val="Normal"/>
    <w:next w:val="Normal"/>
    <w:uiPriority w:val="99"/>
    <w:unhideWhenUsed/>
    <w:rsid w:val="00A80506"/>
  </w:style>
  <w:style w:type="paragraph" w:styleId="Header">
    <w:name w:val="header"/>
    <w:aliases w:val="eTRM Header Text"/>
    <w:basedOn w:val="Normal"/>
    <w:link w:val="HeaderChar"/>
    <w:uiPriority w:val="99"/>
    <w:unhideWhenUsed/>
    <w:rsid w:val="005B7418"/>
    <w:pPr>
      <w:tabs>
        <w:tab w:val="center" w:pos="4320"/>
        <w:tab w:val="right" w:pos="8640"/>
      </w:tabs>
      <w:jc w:val="center"/>
    </w:pPr>
    <w:rPr>
      <w:rFonts w:ascii="Avenir Next" w:hAnsi="Avenir Next"/>
      <w:color w:val="5F5F5F" w:themeColor="accent3" w:themeShade="BF"/>
      <w:sz w:val="16"/>
    </w:rPr>
  </w:style>
  <w:style w:type="character" w:customStyle="1" w:styleId="HeaderChar">
    <w:name w:val="Header Char"/>
    <w:aliases w:val="eTRM Header Text Char"/>
    <w:basedOn w:val="DefaultParagraphFont"/>
    <w:link w:val="Header"/>
    <w:uiPriority w:val="99"/>
    <w:rsid w:val="005B7418"/>
    <w:rPr>
      <w:rFonts w:ascii="Avenir Next" w:hAnsi="Avenir Next"/>
      <w:color w:val="5F5F5F" w:themeColor="accent3" w:themeShade="BF"/>
      <w:sz w:val="16"/>
    </w:rPr>
  </w:style>
  <w:style w:type="paragraph" w:styleId="Footer">
    <w:name w:val="footer"/>
    <w:basedOn w:val="Normal"/>
    <w:link w:val="FooterChar"/>
    <w:uiPriority w:val="99"/>
    <w:unhideWhenUsed/>
    <w:rsid w:val="005722C6"/>
    <w:pPr>
      <w:pBdr>
        <w:top w:val="single" w:sz="6" w:space="6" w:color="344D6D" w:themeColor="background2"/>
      </w:pBdr>
    </w:pPr>
  </w:style>
  <w:style w:type="character" w:customStyle="1" w:styleId="FooterChar">
    <w:name w:val="Footer Char"/>
    <w:basedOn w:val="DefaultParagraphFont"/>
    <w:link w:val="Footer"/>
    <w:uiPriority w:val="99"/>
    <w:rsid w:val="005722C6"/>
    <w:rPr>
      <w:sz w:val="22"/>
    </w:rPr>
  </w:style>
  <w:style w:type="character" w:styleId="PageNumber">
    <w:name w:val="page number"/>
    <w:basedOn w:val="DefaultParagraphFont"/>
    <w:uiPriority w:val="99"/>
    <w:unhideWhenUsed/>
    <w:rsid w:val="000220A0"/>
    <w:rPr>
      <w:rFonts w:ascii="Calibri" w:hAnsi="Calibri"/>
      <w:b w:val="0"/>
      <w:i w:val="0"/>
      <w:color w:val="808080" w:themeColor="accent3"/>
      <w:sz w:val="16"/>
      <w:bdr w:val="none" w:sz="0" w:space="0" w:color="auto"/>
    </w:rPr>
  </w:style>
  <w:style w:type="table" w:styleId="TableGrid">
    <w:name w:val="Table Grid"/>
    <w:basedOn w:val="TableNormal"/>
    <w:uiPriority w:val="59"/>
    <w:rsid w:val="004A51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TRMNumberedList">
    <w:name w:val="eTRM Numbered List"/>
    <w:basedOn w:val="ListParagraph"/>
    <w:autoRedefine/>
    <w:qFormat/>
    <w:rsid w:val="00120592"/>
    <w:pPr>
      <w:numPr>
        <w:numId w:val="11"/>
      </w:numPr>
      <w:contextualSpacing w:val="0"/>
    </w:pPr>
  </w:style>
  <w:style w:type="paragraph" w:customStyle="1" w:styleId="TableFootnote">
    <w:name w:val="Table Footnote"/>
    <w:basedOn w:val="Normal"/>
    <w:next w:val="Normal"/>
    <w:qFormat/>
    <w:rsid w:val="00703A7C"/>
    <w:pPr>
      <w:tabs>
        <w:tab w:val="left" w:pos="180"/>
        <w:tab w:val="left" w:pos="360"/>
      </w:tabs>
      <w:adjustRightInd w:val="0"/>
      <w:spacing w:before="20" w:after="0" w:line="180" w:lineRule="atLeast"/>
      <w:contextualSpacing/>
    </w:pPr>
    <w:rPr>
      <w:color w:val="808080" w:themeColor="background1" w:themeShade="80"/>
      <w:sz w:val="18"/>
      <w:szCs w:val="18"/>
    </w:rPr>
  </w:style>
  <w:style w:type="paragraph" w:styleId="TOAHeading">
    <w:name w:val="toa heading"/>
    <w:basedOn w:val="Normal"/>
    <w:next w:val="Normal"/>
    <w:uiPriority w:val="99"/>
    <w:unhideWhenUsed/>
    <w:rsid w:val="00B25AE4"/>
    <w:pPr>
      <w:spacing w:after="220"/>
      <w:jc w:val="center"/>
    </w:pPr>
    <w:rPr>
      <w:rFonts w:asciiTheme="majorHAnsi" w:eastAsiaTheme="majorEastAsia" w:hAnsiTheme="majorHAnsi" w:cstheme="majorBidi"/>
      <w:caps/>
      <w:spacing w:val="8"/>
      <w:sz w:val="24"/>
    </w:rPr>
  </w:style>
  <w:style w:type="paragraph" w:customStyle="1" w:styleId="eTRMTextBoxTitle">
    <w:name w:val="eTRM Text Box Title"/>
    <w:basedOn w:val="Normal"/>
    <w:autoRedefine/>
    <w:qFormat/>
    <w:rsid w:val="00763AD8"/>
    <w:pPr>
      <w:jc w:val="center"/>
    </w:pPr>
    <w:rPr>
      <w:b/>
      <w:sz w:val="18"/>
    </w:rPr>
  </w:style>
  <w:style w:type="paragraph" w:customStyle="1" w:styleId="eTRMTextBoxText">
    <w:name w:val="eTRM Text Box Text"/>
    <w:basedOn w:val="Normal"/>
    <w:autoRedefine/>
    <w:qFormat/>
    <w:rsid w:val="00763AD8"/>
    <w:pPr>
      <w:spacing w:line="180" w:lineRule="exact"/>
    </w:pPr>
    <w:rPr>
      <w:sz w:val="18"/>
    </w:rPr>
  </w:style>
  <w:style w:type="paragraph" w:customStyle="1" w:styleId="FigureCaption">
    <w:name w:val="Figure Caption"/>
    <w:basedOn w:val="Caption"/>
    <w:link w:val="FigureCaptionChar"/>
    <w:autoRedefine/>
    <w:qFormat/>
    <w:rsid w:val="00C92622"/>
    <w:pPr>
      <w:jc w:val="center"/>
    </w:pPr>
  </w:style>
  <w:style w:type="character" w:customStyle="1" w:styleId="FigureCaptionChar">
    <w:name w:val="Figure Caption Char"/>
    <w:basedOn w:val="CaptionChar"/>
    <w:link w:val="FigureCaption"/>
    <w:rsid w:val="00C92622"/>
    <w:rPr>
      <w:rFonts w:ascii="Calibri Light" w:hAnsi="Calibri Light" w:cs="Arial"/>
      <w:b/>
      <w:color w:val="000000"/>
      <w:sz w:val="20"/>
      <w:szCs w:val="18"/>
      <w14:textFill>
        <w14:solidFill>
          <w14:srgbClr w14:val="000000">
            <w14:lumMod w14:val="50000"/>
          </w14:srgbClr>
        </w14:solidFill>
      </w14:textFill>
    </w:rPr>
  </w:style>
  <w:style w:type="character" w:customStyle="1" w:styleId="Regular">
    <w:name w:val="Regular"/>
    <w:basedOn w:val="DefaultParagraphFont"/>
    <w:uiPriority w:val="1"/>
    <w:rsid w:val="009B029F"/>
  </w:style>
  <w:style w:type="paragraph" w:styleId="BodyText">
    <w:name w:val="Body Text"/>
    <w:basedOn w:val="Normal"/>
    <w:link w:val="BodyTextChar"/>
    <w:autoRedefine/>
    <w:uiPriority w:val="99"/>
    <w:unhideWhenUsed/>
    <w:qFormat/>
    <w:rsid w:val="00120592"/>
  </w:style>
  <w:style w:type="character" w:customStyle="1" w:styleId="BodyTextChar">
    <w:name w:val="Body Text Char"/>
    <w:basedOn w:val="DefaultParagraphFont"/>
    <w:link w:val="BodyText"/>
    <w:uiPriority w:val="99"/>
    <w:rsid w:val="00120592"/>
    <w:rPr>
      <w:rFonts w:ascii="Calibri Light" w:hAnsi="Calibri Light"/>
      <w:sz w:val="22"/>
    </w:rPr>
  </w:style>
  <w:style w:type="paragraph" w:customStyle="1" w:styleId="eTRMBulletedText">
    <w:name w:val="eTRM Bulleted Text"/>
    <w:basedOn w:val="Normal"/>
    <w:autoRedefine/>
    <w:qFormat/>
    <w:rsid w:val="00C23250"/>
    <w:pPr>
      <w:numPr>
        <w:numId w:val="8"/>
      </w:numPr>
      <w:spacing w:before="0" w:after="20"/>
    </w:pPr>
  </w:style>
  <w:style w:type="paragraph" w:styleId="Revision">
    <w:name w:val="Revision"/>
    <w:hidden/>
    <w:uiPriority w:val="99"/>
    <w:semiHidden/>
    <w:rsid w:val="00AA46AF"/>
    <w:rPr>
      <w:rFonts w:ascii="Calibri Light" w:hAnsi="Calibri Light"/>
      <w:sz w:val="22"/>
    </w:rPr>
  </w:style>
  <w:style w:type="character" w:styleId="Hyperlink">
    <w:name w:val="Hyperlink"/>
    <w:uiPriority w:val="99"/>
    <w:rsid w:val="00901EF2"/>
    <w:rPr>
      <w:color w:val="0000FF"/>
      <w:u w:val="single"/>
    </w:rPr>
  </w:style>
  <w:style w:type="character" w:styleId="EndnoteReference">
    <w:name w:val="endnote reference"/>
    <w:uiPriority w:val="99"/>
    <w:semiHidden/>
    <w:rsid w:val="00901EF2"/>
    <w:rPr>
      <w:vertAlign w:val="superscript"/>
    </w:rPr>
  </w:style>
  <w:style w:type="paragraph" w:customStyle="1" w:styleId="Table">
    <w:name w:val="Table"/>
    <w:basedOn w:val="Header"/>
    <w:rsid w:val="002C67DF"/>
    <w:pPr>
      <w:spacing w:before="0" w:after="0" w:line="240" w:lineRule="auto"/>
      <w:jc w:val="left"/>
    </w:pPr>
    <w:rPr>
      <w:rFonts w:ascii="Arial" w:eastAsia="Times New Roman" w:hAnsi="Arial" w:cs="Arial"/>
      <w:b/>
      <w:bCs/>
      <w:color w:val="auto"/>
      <w:sz w:val="22"/>
      <w:lang w:val="x-none" w:eastAsia="x-none"/>
    </w:rPr>
  </w:style>
  <w:style w:type="paragraph" w:styleId="EndnoteText">
    <w:name w:val="endnote text"/>
    <w:basedOn w:val="Normal"/>
    <w:link w:val="EndnoteTextChar"/>
    <w:autoRedefine/>
    <w:uiPriority w:val="99"/>
    <w:semiHidden/>
    <w:qFormat/>
    <w:rsid w:val="00094517"/>
    <w:pPr>
      <w:keepNext/>
      <w:keepLines/>
      <w:adjustRightInd w:val="0"/>
      <w:spacing w:before="40" w:after="40" w:line="240" w:lineRule="auto"/>
    </w:pPr>
    <w:rPr>
      <w:rFonts w:eastAsia="Times New Roman" w:cs="Times New Roman"/>
      <w:sz w:val="20"/>
      <w:szCs w:val="20"/>
      <w:lang w:val="x-none" w:eastAsia="x-none"/>
    </w:rPr>
  </w:style>
  <w:style w:type="character" w:customStyle="1" w:styleId="EndnoteTextChar">
    <w:name w:val="Endnote Text Char"/>
    <w:basedOn w:val="DefaultParagraphFont"/>
    <w:link w:val="EndnoteText"/>
    <w:uiPriority w:val="99"/>
    <w:semiHidden/>
    <w:rsid w:val="00094517"/>
    <w:rPr>
      <w:rFonts w:ascii="Calibri Light" w:eastAsia="Times New Roman" w:hAnsi="Calibri Light" w:cs="Times New Roman"/>
      <w:sz w:val="20"/>
      <w:szCs w:val="20"/>
      <w:lang w:val="x-none" w:eastAsia="x-none"/>
    </w:rPr>
  </w:style>
  <w:style w:type="character" w:styleId="FollowedHyperlink">
    <w:name w:val="FollowedHyperlink"/>
    <w:basedOn w:val="DefaultParagraphFont"/>
    <w:uiPriority w:val="99"/>
    <w:semiHidden/>
    <w:unhideWhenUsed/>
    <w:rsid w:val="00195B03"/>
    <w:rPr>
      <w:color w:val="71903D" w:themeColor="followedHyperlink"/>
      <w:u w:val="single"/>
    </w:rPr>
  </w:style>
  <w:style w:type="table" w:styleId="TableContemporary">
    <w:name w:val="Table Contemporary"/>
    <w:basedOn w:val="TableNormal"/>
    <w:rsid w:val="00C82307"/>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GridTable1Light">
    <w:name w:val="Grid Table 1 Light"/>
    <w:basedOn w:val="TableNormal"/>
    <w:uiPriority w:val="46"/>
    <w:rsid w:val="005B7418"/>
    <w:tblPr>
      <w:tblStyleRowBandSize w:val="1"/>
      <w:tblStyleColBandSize w:val="1"/>
      <w:tblBorders>
        <w:top w:val="single" w:sz="4" w:space="0" w:color="A3A3A3" w:themeColor="text1" w:themeTint="66"/>
        <w:left w:val="single" w:sz="4" w:space="0" w:color="A3A3A3" w:themeColor="text1" w:themeTint="66"/>
        <w:bottom w:val="single" w:sz="4" w:space="0" w:color="A3A3A3" w:themeColor="text1" w:themeTint="66"/>
        <w:right w:val="single" w:sz="4" w:space="0" w:color="A3A3A3" w:themeColor="text1" w:themeTint="66"/>
        <w:insideH w:val="single" w:sz="4" w:space="0" w:color="A3A3A3" w:themeColor="text1" w:themeTint="66"/>
        <w:insideV w:val="single" w:sz="4" w:space="0" w:color="A3A3A3" w:themeColor="text1" w:themeTint="66"/>
      </w:tblBorders>
    </w:tblPr>
    <w:tblStylePr w:type="firstRow">
      <w:rPr>
        <w:b/>
        <w:bCs/>
      </w:rPr>
      <w:tblPr/>
      <w:tcPr>
        <w:tcBorders>
          <w:bottom w:val="single" w:sz="12" w:space="0" w:color="757575" w:themeColor="text1" w:themeTint="99"/>
        </w:tcBorders>
      </w:tcPr>
    </w:tblStylePr>
    <w:tblStylePr w:type="lastRow">
      <w:rPr>
        <w:b/>
        <w:bCs/>
      </w:rPr>
      <w:tblPr/>
      <w:tcPr>
        <w:tcBorders>
          <w:top w:val="double" w:sz="2" w:space="0" w:color="757575" w:themeColor="text1" w:themeTint="99"/>
        </w:tcBorders>
      </w:tcPr>
    </w:tblStylePr>
    <w:tblStylePr w:type="firstCol">
      <w:rPr>
        <w:b/>
        <w:bCs/>
      </w:rPr>
    </w:tblStylePr>
    <w:tblStylePr w:type="lastCol">
      <w:rPr>
        <w:b/>
        <w:bCs/>
      </w:rPr>
    </w:tblStylePr>
  </w:style>
  <w:style w:type="paragraph" w:customStyle="1" w:styleId="eTRMTextNote">
    <w:name w:val="eTRM Text Note"/>
    <w:basedOn w:val="TableFootnote"/>
    <w:next w:val="Normal"/>
    <w:qFormat/>
    <w:rsid w:val="00B1760F"/>
  </w:style>
  <w:style w:type="paragraph" w:customStyle="1" w:styleId="eTRMHeading1">
    <w:name w:val="eTRM Heading 1"/>
    <w:basedOn w:val="Normal"/>
    <w:link w:val="eTRMHeading1Char"/>
    <w:autoRedefine/>
    <w:qFormat/>
    <w:rsid w:val="00BD221D"/>
    <w:pPr>
      <w:keepNext/>
      <w:keepLines/>
      <w:spacing w:line="320" w:lineRule="exact"/>
      <w:contextualSpacing/>
      <w:outlineLvl w:val="0"/>
    </w:pPr>
    <w:rPr>
      <w:rFonts w:ascii="Calibri" w:eastAsiaTheme="majorEastAsia" w:hAnsi="Calibri" w:cstheme="majorBidi"/>
      <w:b/>
      <w:caps/>
      <w:color w:val="FFFFFF" w:themeColor="background1"/>
      <w:spacing w:val="60"/>
      <w:sz w:val="32"/>
      <w:szCs w:val="40"/>
    </w:rPr>
  </w:style>
  <w:style w:type="character" w:customStyle="1" w:styleId="eTRMHeading1Char">
    <w:name w:val="eTRM Heading 1 Char"/>
    <w:basedOn w:val="DefaultParagraphFont"/>
    <w:link w:val="eTRMHeading1"/>
    <w:rsid w:val="00BD221D"/>
    <w:rPr>
      <w:rFonts w:ascii="Calibri" w:eastAsiaTheme="majorEastAsia" w:hAnsi="Calibri" w:cstheme="majorBidi"/>
      <w:b/>
      <w:caps/>
      <w:color w:val="FFFFFF" w:themeColor="background1"/>
      <w:spacing w:val="60"/>
      <w:sz w:val="32"/>
      <w:szCs w:val="40"/>
    </w:rPr>
  </w:style>
  <w:style w:type="paragraph" w:customStyle="1" w:styleId="eTRMHeading2">
    <w:name w:val="eTRM Heading 2"/>
    <w:basedOn w:val="Normal"/>
    <w:link w:val="eTRMHeading2Char"/>
    <w:autoRedefine/>
    <w:qFormat/>
    <w:rsid w:val="006C75B8"/>
    <w:pPr>
      <w:keepNext/>
      <w:keepLines/>
      <w:spacing w:line="360" w:lineRule="exact"/>
      <w:jc w:val="center"/>
      <w:outlineLvl w:val="1"/>
    </w:pPr>
    <w:rPr>
      <w:rFonts w:eastAsiaTheme="majorEastAsia" w:cstheme="majorBidi"/>
      <w:caps/>
      <w:color w:val="FFFFFF" w:themeColor="background1"/>
      <w:spacing w:val="60"/>
      <w:sz w:val="24"/>
    </w:rPr>
  </w:style>
  <w:style w:type="character" w:customStyle="1" w:styleId="eTRMHeading2Char">
    <w:name w:val="eTRM Heading 2 Char"/>
    <w:basedOn w:val="DefaultParagraphFont"/>
    <w:link w:val="eTRMHeading2"/>
    <w:rsid w:val="006C75B8"/>
    <w:rPr>
      <w:rFonts w:ascii="Calibri Light" w:eastAsiaTheme="majorEastAsia" w:hAnsi="Calibri Light" w:cstheme="majorBidi"/>
      <w:caps/>
      <w:color w:val="FFFFFF" w:themeColor="background1"/>
      <w:spacing w:val="60"/>
    </w:rPr>
  </w:style>
  <w:style w:type="paragraph" w:customStyle="1" w:styleId="eTRMHeading3">
    <w:name w:val="eTRM Heading 3"/>
    <w:basedOn w:val="Heading3"/>
    <w:link w:val="eTRMHeading3Char"/>
    <w:autoRedefine/>
    <w:qFormat/>
    <w:rsid w:val="00EE4D02"/>
    <w:pPr>
      <w:spacing w:before="20" w:after="20" w:line="300" w:lineRule="exact"/>
    </w:pPr>
    <w:rPr>
      <w:rFonts w:ascii="Calibri Light" w:hAnsi="Calibri Light"/>
      <w:caps/>
      <w:color w:val="CFAB7A"/>
      <w:sz w:val="24"/>
    </w:rPr>
  </w:style>
  <w:style w:type="character" w:customStyle="1" w:styleId="eTRMHeading3Char">
    <w:name w:val="eTRM Heading 3 Char"/>
    <w:basedOn w:val="DefaultParagraphFont"/>
    <w:link w:val="eTRMHeading3"/>
    <w:rsid w:val="00EE4D02"/>
    <w:rPr>
      <w:rFonts w:ascii="Calibri Light" w:eastAsiaTheme="majorEastAsia" w:hAnsi="Calibri Light" w:cstheme="majorBidi"/>
      <w:caps/>
      <w:color w:val="CFAB7A"/>
      <w:w w:val="102"/>
      <w:szCs w:val="30"/>
    </w:rPr>
  </w:style>
  <w:style w:type="paragraph" w:customStyle="1" w:styleId="eTRMHeading4">
    <w:name w:val="eTRM Heading 4"/>
    <w:basedOn w:val="Normal"/>
    <w:link w:val="eTRMHeading4Char"/>
    <w:qFormat/>
    <w:rsid w:val="000110D9"/>
    <w:pPr>
      <w:keepNext/>
      <w:keepLines/>
      <w:spacing w:before="60" w:after="0" w:line="300" w:lineRule="exact"/>
      <w:outlineLvl w:val="3"/>
    </w:pPr>
    <w:rPr>
      <w:rFonts w:eastAsiaTheme="majorEastAsia" w:cstheme="majorBidi"/>
      <w:color w:val="CFAB7A"/>
      <w:sz w:val="24"/>
      <w:szCs w:val="22"/>
    </w:rPr>
  </w:style>
  <w:style w:type="character" w:customStyle="1" w:styleId="eTRMHeading4Char">
    <w:name w:val="eTRM Heading 4 Char"/>
    <w:basedOn w:val="DefaultParagraphFont"/>
    <w:link w:val="eTRMHeading4"/>
    <w:rsid w:val="000110D9"/>
    <w:rPr>
      <w:rFonts w:ascii="Calibri Light" w:eastAsiaTheme="majorEastAsia" w:hAnsi="Calibri Light" w:cstheme="majorBidi"/>
      <w:color w:val="CFAB7A"/>
      <w:szCs w:val="22"/>
    </w:rPr>
  </w:style>
  <w:style w:type="paragraph" w:customStyle="1" w:styleId="eTRMHeading5">
    <w:name w:val="eTRM Heading 5"/>
    <w:basedOn w:val="Normal"/>
    <w:next w:val="Normal"/>
    <w:qFormat/>
    <w:rsid w:val="00BE3B2E"/>
    <w:rPr>
      <w:i/>
      <w:color w:val="5F5F5F"/>
    </w:rPr>
  </w:style>
  <w:style w:type="paragraph" w:customStyle="1" w:styleId="eTRMFootnoteText">
    <w:name w:val="eTRM Footnote Text"/>
    <w:basedOn w:val="FootnoteText"/>
    <w:next w:val="Normal"/>
    <w:link w:val="eTRMFootnoteTextChar"/>
    <w:autoRedefine/>
    <w:qFormat/>
    <w:rsid w:val="002A2471"/>
    <w:pPr>
      <w:spacing w:before="20" w:after="20"/>
      <w:ind w:left="1350"/>
    </w:pPr>
  </w:style>
  <w:style w:type="character" w:customStyle="1" w:styleId="eTRMFootnoteTextChar">
    <w:name w:val="eTRM Footnote Text Char"/>
    <w:basedOn w:val="FootnoteTextChar"/>
    <w:link w:val="eTRMFootnoteText"/>
    <w:rsid w:val="002A2471"/>
    <w:rPr>
      <w:rFonts w:ascii="Calibri Light" w:hAnsi="Calibri Light"/>
      <w:sz w:val="18"/>
    </w:rPr>
  </w:style>
  <w:style w:type="paragraph" w:customStyle="1" w:styleId="eTRMTableFootnote">
    <w:name w:val="eTRM Table Footnote"/>
    <w:basedOn w:val="TableFootnote"/>
    <w:qFormat/>
    <w:rsid w:val="00A83458"/>
    <w:rPr>
      <w:color w:val="auto"/>
      <w:sz w:val="16"/>
    </w:rPr>
  </w:style>
  <w:style w:type="paragraph" w:customStyle="1" w:styleId="eTRMSub-bulletedText">
    <w:name w:val="eTRM Sub-bulleted Text"/>
    <w:basedOn w:val="Normal"/>
    <w:autoRedefine/>
    <w:qFormat/>
    <w:rsid w:val="0008108C"/>
    <w:pPr>
      <w:numPr>
        <w:ilvl w:val="1"/>
        <w:numId w:val="8"/>
      </w:numPr>
      <w:spacing w:before="0" w:after="20"/>
    </w:pPr>
  </w:style>
  <w:style w:type="paragraph" w:styleId="DocumentMap">
    <w:name w:val="Document Map"/>
    <w:basedOn w:val="Normal"/>
    <w:link w:val="DocumentMapChar"/>
    <w:uiPriority w:val="99"/>
    <w:semiHidden/>
    <w:unhideWhenUsed/>
    <w:rsid w:val="0073517D"/>
    <w:pPr>
      <w:spacing w:before="0" w:after="0" w:line="240" w:lineRule="auto"/>
    </w:pPr>
    <w:rPr>
      <w:rFonts w:ascii="Times New Roman" w:hAnsi="Times New Roman" w:cs="Times New Roman"/>
      <w:sz w:val="24"/>
    </w:rPr>
  </w:style>
  <w:style w:type="character" w:customStyle="1" w:styleId="DocumentMapChar">
    <w:name w:val="Document Map Char"/>
    <w:basedOn w:val="DefaultParagraphFont"/>
    <w:link w:val="DocumentMap"/>
    <w:uiPriority w:val="99"/>
    <w:semiHidden/>
    <w:rsid w:val="0073517D"/>
    <w:rPr>
      <w:rFonts w:ascii="Times New Roman" w:hAnsi="Times New Roman" w:cs="Times New Roman"/>
    </w:rPr>
  </w:style>
  <w:style w:type="character" w:styleId="CommentReference">
    <w:name w:val="annotation reference"/>
    <w:basedOn w:val="DefaultParagraphFont"/>
    <w:uiPriority w:val="99"/>
    <w:semiHidden/>
    <w:unhideWhenUsed/>
    <w:rsid w:val="00FD2C54"/>
    <w:rPr>
      <w:sz w:val="18"/>
      <w:szCs w:val="18"/>
    </w:rPr>
  </w:style>
  <w:style w:type="paragraph" w:styleId="CommentText">
    <w:name w:val="annotation text"/>
    <w:basedOn w:val="Normal"/>
    <w:link w:val="CommentTextChar"/>
    <w:uiPriority w:val="99"/>
    <w:unhideWhenUsed/>
    <w:rsid w:val="00FD2C54"/>
    <w:pPr>
      <w:spacing w:after="60" w:line="240" w:lineRule="auto"/>
    </w:pPr>
    <w:rPr>
      <w:sz w:val="24"/>
    </w:rPr>
  </w:style>
  <w:style w:type="character" w:customStyle="1" w:styleId="CommentTextChar">
    <w:name w:val="Comment Text Char"/>
    <w:basedOn w:val="DefaultParagraphFont"/>
    <w:link w:val="CommentText"/>
    <w:uiPriority w:val="99"/>
    <w:rsid w:val="00FD2C54"/>
    <w:rPr>
      <w:rFonts w:ascii="Calibri Light" w:hAnsi="Calibri Light"/>
    </w:rPr>
  </w:style>
  <w:style w:type="paragraph" w:styleId="BalloonText">
    <w:name w:val="Balloon Text"/>
    <w:basedOn w:val="Normal"/>
    <w:link w:val="BalloonTextChar"/>
    <w:uiPriority w:val="99"/>
    <w:semiHidden/>
    <w:unhideWhenUsed/>
    <w:rsid w:val="00FD2C54"/>
    <w:pPr>
      <w:spacing w:before="0"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D2C54"/>
    <w:rPr>
      <w:rFonts w:ascii="Times New Roman" w:hAnsi="Times New Roman" w:cs="Times New Roman"/>
      <w:sz w:val="18"/>
      <w:szCs w:val="18"/>
    </w:rPr>
  </w:style>
  <w:style w:type="paragraph" w:styleId="CommentSubject">
    <w:name w:val="annotation subject"/>
    <w:basedOn w:val="CommentText"/>
    <w:next w:val="CommentText"/>
    <w:link w:val="CommentSubjectChar"/>
    <w:uiPriority w:val="99"/>
    <w:semiHidden/>
    <w:unhideWhenUsed/>
    <w:rsid w:val="00FD2C54"/>
    <w:pPr>
      <w:spacing w:after="120"/>
    </w:pPr>
    <w:rPr>
      <w:b/>
      <w:bCs/>
      <w:sz w:val="20"/>
      <w:szCs w:val="20"/>
    </w:rPr>
  </w:style>
  <w:style w:type="character" w:customStyle="1" w:styleId="CommentSubjectChar">
    <w:name w:val="Comment Subject Char"/>
    <w:basedOn w:val="CommentTextChar"/>
    <w:link w:val="CommentSubject"/>
    <w:uiPriority w:val="99"/>
    <w:semiHidden/>
    <w:rsid w:val="00FD2C54"/>
    <w:rPr>
      <w:rFonts w:ascii="Calibri Light" w:hAnsi="Calibri Light"/>
      <w:b/>
      <w:bCs/>
      <w:sz w:val="20"/>
      <w:szCs w:val="20"/>
    </w:rPr>
  </w:style>
  <w:style w:type="paragraph" w:customStyle="1" w:styleId="Reminder">
    <w:name w:val="Reminder"/>
    <w:basedOn w:val="Normal"/>
    <w:link w:val="ReminderChar"/>
    <w:rsid w:val="00BE0A02"/>
    <w:pPr>
      <w:spacing w:before="40" w:after="40" w:line="240" w:lineRule="auto"/>
    </w:pPr>
    <w:rPr>
      <w:rFonts w:ascii="Trebuchet MS" w:eastAsia="Times New Roman" w:hAnsi="Trebuchet MS" w:cs="Times New Roman"/>
      <w:i/>
      <w:color w:val="FF0000"/>
      <w:sz w:val="24"/>
    </w:rPr>
  </w:style>
  <w:style w:type="character" w:customStyle="1" w:styleId="ReminderChar">
    <w:name w:val="Reminder Char"/>
    <w:basedOn w:val="DefaultParagraphFont"/>
    <w:link w:val="Reminder"/>
    <w:rsid w:val="00BE0A02"/>
    <w:rPr>
      <w:rFonts w:ascii="Trebuchet MS" w:eastAsia="Times New Roman" w:hAnsi="Trebuchet MS" w:cs="Times New Roman"/>
      <w:i/>
      <w:color w:val="FF0000"/>
    </w:rPr>
  </w:style>
  <w:style w:type="paragraph" w:customStyle="1" w:styleId="Reminders">
    <w:name w:val="Reminders"/>
    <w:basedOn w:val="Normal"/>
    <w:link w:val="RemindersChar"/>
    <w:rsid w:val="004B740C"/>
    <w:pPr>
      <w:spacing w:before="40" w:after="40" w:line="240" w:lineRule="auto"/>
    </w:pPr>
    <w:rPr>
      <w:rFonts w:ascii="Trebuchet MS" w:eastAsia="Times New Roman" w:hAnsi="Trebuchet MS" w:cs="Times New Roman"/>
      <w:i/>
      <w:color w:val="FF0000"/>
      <w:sz w:val="24"/>
    </w:rPr>
  </w:style>
  <w:style w:type="character" w:customStyle="1" w:styleId="RemindersChar">
    <w:name w:val="Reminders Char"/>
    <w:basedOn w:val="DefaultParagraphFont"/>
    <w:link w:val="Reminders"/>
    <w:rsid w:val="004B740C"/>
    <w:rPr>
      <w:rFonts w:ascii="Trebuchet MS" w:eastAsia="Times New Roman" w:hAnsi="Trebuchet MS" w:cs="Times New Roman"/>
      <w:i/>
      <w:color w:val="FF0000"/>
    </w:rPr>
  </w:style>
  <w:style w:type="character" w:styleId="PlaceholderText">
    <w:name w:val="Placeholder Text"/>
    <w:basedOn w:val="DefaultParagraphFont"/>
    <w:uiPriority w:val="99"/>
    <w:semiHidden/>
    <w:rsid w:val="002649BA"/>
    <w:rPr>
      <w:color w:val="808080"/>
    </w:rPr>
  </w:style>
  <w:style w:type="table" w:customStyle="1" w:styleId="TableGrid1">
    <w:name w:val="Table Grid1"/>
    <w:basedOn w:val="TableNormal"/>
    <w:next w:val="TableGrid"/>
    <w:rsid w:val="00C343B9"/>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4881617">
      <w:bodyDiv w:val="1"/>
      <w:marLeft w:val="0"/>
      <w:marRight w:val="0"/>
      <w:marTop w:val="0"/>
      <w:marBottom w:val="0"/>
      <w:divBdr>
        <w:top w:val="none" w:sz="0" w:space="0" w:color="auto"/>
        <w:left w:val="none" w:sz="0" w:space="0" w:color="auto"/>
        <w:bottom w:val="none" w:sz="0" w:space="0" w:color="auto"/>
        <w:right w:val="none" w:sz="0" w:space="0" w:color="auto"/>
      </w:divBdr>
      <w:divsChild>
        <w:div w:id="82878841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0327483">
              <w:marLeft w:val="0"/>
              <w:marRight w:val="0"/>
              <w:marTop w:val="0"/>
              <w:marBottom w:val="0"/>
              <w:divBdr>
                <w:top w:val="none" w:sz="0" w:space="0" w:color="auto"/>
                <w:left w:val="none" w:sz="0" w:space="0" w:color="auto"/>
                <w:bottom w:val="none" w:sz="0" w:space="0" w:color="auto"/>
                <w:right w:val="none" w:sz="0" w:space="0" w:color="auto"/>
              </w:divBdr>
              <w:divsChild>
                <w:div w:id="1501582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919832">
      <w:bodyDiv w:val="1"/>
      <w:marLeft w:val="0"/>
      <w:marRight w:val="0"/>
      <w:marTop w:val="0"/>
      <w:marBottom w:val="0"/>
      <w:divBdr>
        <w:top w:val="none" w:sz="0" w:space="0" w:color="auto"/>
        <w:left w:val="none" w:sz="0" w:space="0" w:color="auto"/>
        <w:bottom w:val="none" w:sz="0" w:space="0" w:color="auto"/>
        <w:right w:val="none" w:sz="0" w:space="0" w:color="auto"/>
      </w:divBdr>
    </w:div>
    <w:div w:id="1078752272">
      <w:bodyDiv w:val="1"/>
      <w:marLeft w:val="0"/>
      <w:marRight w:val="0"/>
      <w:marTop w:val="0"/>
      <w:marBottom w:val="0"/>
      <w:divBdr>
        <w:top w:val="none" w:sz="0" w:space="0" w:color="auto"/>
        <w:left w:val="none" w:sz="0" w:space="0" w:color="auto"/>
        <w:bottom w:val="none" w:sz="0" w:space="0" w:color="auto"/>
        <w:right w:val="none" w:sz="0" w:space="0" w:color="auto"/>
      </w:divBdr>
    </w:div>
    <w:div w:id="1122576462">
      <w:bodyDiv w:val="1"/>
      <w:marLeft w:val="0"/>
      <w:marRight w:val="0"/>
      <w:marTop w:val="0"/>
      <w:marBottom w:val="0"/>
      <w:divBdr>
        <w:top w:val="none" w:sz="0" w:space="0" w:color="auto"/>
        <w:left w:val="none" w:sz="0" w:space="0" w:color="auto"/>
        <w:bottom w:val="none" w:sz="0" w:space="0" w:color="auto"/>
        <w:right w:val="none" w:sz="0" w:space="0" w:color="auto"/>
      </w:divBdr>
    </w:div>
    <w:div w:id="1125345698">
      <w:bodyDiv w:val="1"/>
      <w:marLeft w:val="0"/>
      <w:marRight w:val="0"/>
      <w:marTop w:val="0"/>
      <w:marBottom w:val="0"/>
      <w:divBdr>
        <w:top w:val="none" w:sz="0" w:space="0" w:color="auto"/>
        <w:left w:val="none" w:sz="0" w:space="0" w:color="auto"/>
        <w:bottom w:val="none" w:sz="0" w:space="0" w:color="auto"/>
        <w:right w:val="none" w:sz="0" w:space="0" w:color="auto"/>
      </w:divBdr>
    </w:div>
    <w:div w:id="1133906862">
      <w:bodyDiv w:val="1"/>
      <w:marLeft w:val="0"/>
      <w:marRight w:val="0"/>
      <w:marTop w:val="0"/>
      <w:marBottom w:val="0"/>
      <w:divBdr>
        <w:top w:val="none" w:sz="0" w:space="0" w:color="auto"/>
        <w:left w:val="none" w:sz="0" w:space="0" w:color="auto"/>
        <w:bottom w:val="none" w:sz="0" w:space="0" w:color="auto"/>
        <w:right w:val="none" w:sz="0" w:space="0" w:color="auto"/>
      </w:divBdr>
      <w:divsChild>
        <w:div w:id="159594199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72993008">
              <w:marLeft w:val="0"/>
              <w:marRight w:val="0"/>
              <w:marTop w:val="0"/>
              <w:marBottom w:val="0"/>
              <w:divBdr>
                <w:top w:val="none" w:sz="0" w:space="0" w:color="auto"/>
                <w:left w:val="none" w:sz="0" w:space="0" w:color="auto"/>
                <w:bottom w:val="none" w:sz="0" w:space="0" w:color="auto"/>
                <w:right w:val="none" w:sz="0" w:space="0" w:color="auto"/>
              </w:divBdr>
              <w:divsChild>
                <w:div w:id="162819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454806">
      <w:bodyDiv w:val="1"/>
      <w:marLeft w:val="0"/>
      <w:marRight w:val="0"/>
      <w:marTop w:val="0"/>
      <w:marBottom w:val="0"/>
      <w:divBdr>
        <w:top w:val="none" w:sz="0" w:space="0" w:color="auto"/>
        <w:left w:val="none" w:sz="0" w:space="0" w:color="auto"/>
        <w:bottom w:val="none" w:sz="0" w:space="0" w:color="auto"/>
        <w:right w:val="none" w:sz="0" w:space="0" w:color="auto"/>
      </w:divBdr>
    </w:div>
    <w:div w:id="1273899216">
      <w:bodyDiv w:val="1"/>
      <w:marLeft w:val="0"/>
      <w:marRight w:val="0"/>
      <w:marTop w:val="0"/>
      <w:marBottom w:val="0"/>
      <w:divBdr>
        <w:top w:val="none" w:sz="0" w:space="0" w:color="auto"/>
        <w:left w:val="none" w:sz="0" w:space="0" w:color="auto"/>
        <w:bottom w:val="none" w:sz="0" w:space="0" w:color="auto"/>
        <w:right w:val="none" w:sz="0" w:space="0" w:color="auto"/>
      </w:divBdr>
    </w:div>
    <w:div w:id="1565603452">
      <w:bodyDiv w:val="1"/>
      <w:marLeft w:val="0"/>
      <w:marRight w:val="0"/>
      <w:marTop w:val="0"/>
      <w:marBottom w:val="0"/>
      <w:divBdr>
        <w:top w:val="none" w:sz="0" w:space="0" w:color="auto"/>
        <w:left w:val="none" w:sz="0" w:space="0" w:color="auto"/>
        <w:bottom w:val="none" w:sz="0" w:space="0" w:color="auto"/>
        <w:right w:val="none" w:sz="0" w:space="0" w:color="auto"/>
      </w:divBdr>
    </w:div>
    <w:div w:id="1870605817">
      <w:bodyDiv w:val="1"/>
      <w:marLeft w:val="0"/>
      <w:marRight w:val="0"/>
      <w:marTop w:val="0"/>
      <w:marBottom w:val="0"/>
      <w:divBdr>
        <w:top w:val="none" w:sz="0" w:space="0" w:color="auto"/>
        <w:left w:val="none" w:sz="0" w:space="0" w:color="auto"/>
        <w:bottom w:val="none" w:sz="0" w:space="0" w:color="auto"/>
        <w:right w:val="none" w:sz="0" w:space="0" w:color="auto"/>
      </w:divBdr>
    </w:div>
    <w:div w:id="20568126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theme" Target="theme/theme1.xm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image" Target="media/image19.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yada\AppData\Local\Microsoft\Windows\INetCache\Content.Outlook\194L9PW2\2.01%20Comm%20Convection%20Oven%20Text%20Consolidation.dotx" TargetMode="External"/></Relationships>
</file>

<file path=word/theme/theme1.xml><?xml version="1.0" encoding="utf-8"?>
<a:theme xmlns:a="http://schemas.openxmlformats.org/drawingml/2006/main" name="EMI Theme 2.">
  <a:themeElements>
    <a:clrScheme name="EMI Colors">
      <a:dk1>
        <a:srgbClr val="191919"/>
      </a:dk1>
      <a:lt1>
        <a:sysClr val="window" lastClr="FFFFFF"/>
      </a:lt1>
      <a:dk2>
        <a:srgbClr val="ECECEF"/>
      </a:dk2>
      <a:lt2>
        <a:srgbClr val="344D6D"/>
      </a:lt2>
      <a:accent1>
        <a:srgbClr val="FF6D2E"/>
      </a:accent1>
      <a:accent2>
        <a:srgbClr val="4372B9"/>
      </a:accent2>
      <a:accent3>
        <a:srgbClr val="808080"/>
      </a:accent3>
      <a:accent4>
        <a:srgbClr val="5BA0D7"/>
      </a:accent4>
      <a:accent5>
        <a:srgbClr val="F19F2A"/>
      </a:accent5>
      <a:accent6>
        <a:srgbClr val="6FCCDC"/>
      </a:accent6>
      <a:hlink>
        <a:srgbClr val="F4CE25"/>
      </a:hlink>
      <a:folHlink>
        <a:srgbClr val="71903D"/>
      </a:folHlink>
    </a:clrScheme>
    <a:fontScheme name="Office 2">
      <a:majorFont>
        <a:latin typeface="Proxima Nova Semibold"/>
        <a:ea typeface=""/>
        <a:cs typeface=""/>
        <a:font script="Jpan" typeface="ＭＳ 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Proxima Nova Regular"/>
        <a:ea typeface=""/>
        <a:cs typeface=""/>
        <a:font script="Jpan" typeface="ＭＳ Ｐ明朝"/>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_x0020_and_x0020_Time xmlns="08bcfa67-6ebe-41f8-a71c-397e8dbf592e" xsi:nil="true"/>
    <MigrationSourceURL xmlns="08bcfa67-6ebe-41f8-a71c-397e8dbf592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A7BE4A0BFE46347AA05FC5D687C5F4E" ma:contentTypeVersion="14" ma:contentTypeDescription="Create a new document." ma:contentTypeScope="" ma:versionID="b2412afd1e879f66b105f824439c8928">
  <xsd:schema xmlns:xsd="http://www.w3.org/2001/XMLSchema" xmlns:xs="http://www.w3.org/2001/XMLSchema" xmlns:p="http://schemas.microsoft.com/office/2006/metadata/properties" xmlns:ns2="08bcfa67-6ebe-41f8-a71c-397e8dbf592e" xmlns:ns3="2b97bb63-8e23-400c-bad5-0a0b9f2dceba" targetNamespace="http://schemas.microsoft.com/office/2006/metadata/properties" ma:root="true" ma:fieldsID="efccb9d014a3b903f57d6f26e4c1c486" ns2:_="" ns3:_="">
    <xsd:import namespace="08bcfa67-6ebe-41f8-a71c-397e8dbf592e"/>
    <xsd:import namespace="2b97bb63-8e23-400c-bad5-0a0b9f2dceba"/>
    <xsd:element name="properties">
      <xsd:complexType>
        <xsd:sequence>
          <xsd:element name="documentManagement">
            <xsd:complexType>
              <xsd:all>
                <xsd:element ref="ns2:MigrationSourceURL" minOccurs="0"/>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Date_x0020_and_x0020_Time"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cfa67-6ebe-41f8-a71c-397e8dbf592e" elementFormDefault="qualified">
    <xsd:import namespace="http://schemas.microsoft.com/office/2006/documentManagement/types"/>
    <xsd:import namespace="http://schemas.microsoft.com/office/infopath/2007/PartnerControls"/>
    <xsd:element name="MigrationSourceURL" ma:index="8" nillable="true" ma:displayName="MigrationSourceURL" ma:internalName="MigrationSourceURL">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Location" ma:index="14" nillable="true" ma:displayName="Location" ma:internalName="MediaServiceLocation" ma:readOnly="true">
      <xsd:simpleType>
        <xsd:restriction base="dms:Text"/>
      </xsd:simpleType>
    </xsd:element>
    <xsd:element name="Date_x0020_and_x0020_Time" ma:index="15" nillable="true" ma:displayName="Date and Time" ma:format="DateTime" ma:internalName="Date_x0020_and_x0020_Time">
      <xsd:simpleType>
        <xsd:restriction base="dms:DateTime"/>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97bb63-8e23-400c-bad5-0a0b9f2dceb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027FC5-9F5F-4517-8A6E-B1EB578B7D4B}">
  <ds:schemaRefs>
    <ds:schemaRef ds:uri="http://schemas.microsoft.com/office/2006/metadata/properties"/>
    <ds:schemaRef ds:uri="http://schemas.microsoft.com/office/infopath/2007/PartnerControls"/>
    <ds:schemaRef ds:uri="08bcfa67-6ebe-41f8-a71c-397e8dbf592e"/>
  </ds:schemaRefs>
</ds:datastoreItem>
</file>

<file path=customXml/itemProps2.xml><?xml version="1.0" encoding="utf-8"?>
<ds:datastoreItem xmlns:ds="http://schemas.openxmlformats.org/officeDocument/2006/customXml" ds:itemID="{5BF3AE49-4C2E-42A8-9B2E-1932D851D7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bcfa67-6ebe-41f8-a71c-397e8dbf592e"/>
    <ds:schemaRef ds:uri="2b97bb63-8e23-400c-bad5-0a0b9f2dce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376CF3-250A-420F-90DB-D4AB3DA79973}">
  <ds:schemaRefs>
    <ds:schemaRef ds:uri="http://schemas.openxmlformats.org/officeDocument/2006/bibliography"/>
  </ds:schemaRefs>
</ds:datastoreItem>
</file>

<file path=customXml/itemProps4.xml><?xml version="1.0" encoding="utf-8"?>
<ds:datastoreItem xmlns:ds="http://schemas.openxmlformats.org/officeDocument/2006/customXml" ds:itemID="{F348590F-8F4A-49C5-AC9D-9EC984E541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2.01 Comm Convection Oven Text Consolidation.dotx</Template>
  <TotalTime>889</TotalTime>
  <Pages>28</Pages>
  <Words>6792</Words>
  <Characters>38720</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eTRM Measure Documentatio</vt:lpstr>
    </vt:vector>
  </TitlesOfParts>
  <Manager/>
  <Company/>
  <LinksUpToDate>false</LinksUpToDate>
  <CharactersWithSpaces>45422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eTRM Measure Documentatio</dc:title>
  <dc:subject/>
  <dc:creator>Jennifer Holmes</dc:creator>
  <cp:keywords/>
  <dc:description/>
  <cp:lastModifiedBy>Hla, Soe</cp:lastModifiedBy>
  <cp:revision>29</cp:revision>
  <cp:lastPrinted>2021-08-10T00:02:00Z</cp:lastPrinted>
  <dcterms:created xsi:type="dcterms:W3CDTF">2019-11-22T07:02:00Z</dcterms:created>
  <dcterms:modified xsi:type="dcterms:W3CDTF">2021-08-10T00:02:00Z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0x0101005A7BE4A0BFE46347AA05FC5D687C5F4E</vt:lpwstr>
  </property>
</Properties>
</file>