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329CB236" w:rsidR="00BD221D" w:rsidRPr="007C6163" w:rsidRDefault="009C07BA" w:rsidP="00BD221D">
            <w:pPr>
              <w:pStyle w:val="eTRMHeading1"/>
              <w:jc w:val="center"/>
              <w:rPr>
                <w:sz w:val="28"/>
              </w:rPr>
            </w:pPr>
            <w:r w:rsidRPr="007C6163">
              <w:rPr>
                <w:sz w:val="28"/>
              </w:rPr>
              <w:t>water heating</w:t>
            </w:r>
          </w:p>
          <w:p w14:paraId="1C34F6D3" w14:textId="77777777" w:rsidR="00BD221D" w:rsidRPr="007C6163" w:rsidRDefault="00A8679D" w:rsidP="007C6163">
            <w:pPr>
              <w:pStyle w:val="eTRMHeading2"/>
              <w:rPr>
                <w:sz w:val="30"/>
                <w:szCs w:val="30"/>
              </w:rPr>
            </w:pPr>
            <w:r w:rsidRPr="007C6163">
              <w:rPr>
                <w:sz w:val="30"/>
                <w:szCs w:val="30"/>
              </w:rPr>
              <w:t>Central Stora</w:t>
            </w:r>
            <w:r w:rsidR="003634C6" w:rsidRPr="007C6163">
              <w:rPr>
                <w:sz w:val="30"/>
                <w:szCs w:val="30"/>
              </w:rPr>
              <w:t>g</w:t>
            </w:r>
            <w:r w:rsidRPr="007C6163">
              <w:rPr>
                <w:sz w:val="30"/>
                <w:szCs w:val="30"/>
              </w:rPr>
              <w:t>e Water Heater</w:t>
            </w:r>
            <w:r w:rsidR="002B7E54" w:rsidRPr="007C6163">
              <w:rPr>
                <w:sz w:val="30"/>
                <w:szCs w:val="30"/>
              </w:rPr>
              <w:t xml:space="preserve">, </w:t>
            </w:r>
            <w:r w:rsidR="00B44D24" w:rsidRPr="007C6163">
              <w:rPr>
                <w:sz w:val="30"/>
                <w:szCs w:val="30"/>
              </w:rPr>
              <w:t>Multifamily</w:t>
            </w:r>
          </w:p>
          <w:p w14:paraId="10BE1877" w14:textId="1F657C14" w:rsidR="007C6163" w:rsidRPr="007C6163" w:rsidRDefault="007C6163" w:rsidP="007C6163">
            <w:pPr>
              <w:pStyle w:val="eTRMHeading2"/>
              <w:rPr>
                <w:spacing w:val="0"/>
              </w:rPr>
            </w:pPr>
            <w:r w:rsidRPr="007C6163">
              <w:rPr>
                <w:spacing w:val="0"/>
              </w:rPr>
              <w:t>SWWH011-01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1AD5A4F2" w14:textId="5A05A55D" w:rsidR="00B00A2F"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B00A2F">
        <w:rPr>
          <w:noProof/>
        </w:rPr>
        <w:t>Measure Name</w:t>
      </w:r>
      <w:r w:rsidR="00B00A2F">
        <w:rPr>
          <w:noProof/>
        </w:rPr>
        <w:tab/>
      </w:r>
      <w:r w:rsidR="00B00A2F">
        <w:rPr>
          <w:noProof/>
        </w:rPr>
        <w:fldChar w:fldCharType="begin"/>
      </w:r>
      <w:r w:rsidR="00B00A2F">
        <w:rPr>
          <w:noProof/>
        </w:rPr>
        <w:instrText xml:space="preserve"> PAGEREF _Toc2074012 \h </w:instrText>
      </w:r>
      <w:r w:rsidR="00B00A2F">
        <w:rPr>
          <w:noProof/>
        </w:rPr>
      </w:r>
      <w:r w:rsidR="00B00A2F">
        <w:rPr>
          <w:noProof/>
        </w:rPr>
        <w:fldChar w:fldCharType="separate"/>
      </w:r>
      <w:r w:rsidR="00F016C0">
        <w:rPr>
          <w:noProof/>
        </w:rPr>
        <w:t>2</w:t>
      </w:r>
      <w:r w:rsidR="00B00A2F">
        <w:rPr>
          <w:noProof/>
        </w:rPr>
        <w:fldChar w:fldCharType="end"/>
      </w:r>
    </w:p>
    <w:p w14:paraId="11258EFD" w14:textId="60F8692D" w:rsidR="00B00A2F" w:rsidRDefault="00B00A2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_Toc2074013 \h </w:instrText>
      </w:r>
      <w:r>
        <w:rPr>
          <w:noProof/>
        </w:rPr>
      </w:r>
      <w:r>
        <w:rPr>
          <w:noProof/>
        </w:rPr>
        <w:fldChar w:fldCharType="separate"/>
      </w:r>
      <w:r w:rsidR="00F016C0">
        <w:rPr>
          <w:noProof/>
        </w:rPr>
        <w:t>2</w:t>
      </w:r>
      <w:r>
        <w:rPr>
          <w:noProof/>
        </w:rPr>
        <w:fldChar w:fldCharType="end"/>
      </w:r>
    </w:p>
    <w:p w14:paraId="68EB46CA" w14:textId="3BDB4EE2" w:rsidR="00B00A2F" w:rsidRDefault="00B00A2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_Toc2074014 \h </w:instrText>
      </w:r>
      <w:r>
        <w:rPr>
          <w:noProof/>
        </w:rPr>
      </w:r>
      <w:r>
        <w:rPr>
          <w:noProof/>
        </w:rPr>
        <w:fldChar w:fldCharType="separate"/>
      </w:r>
      <w:r w:rsidR="00F016C0">
        <w:rPr>
          <w:noProof/>
        </w:rPr>
        <w:t>2</w:t>
      </w:r>
      <w:r>
        <w:rPr>
          <w:noProof/>
        </w:rPr>
        <w:fldChar w:fldCharType="end"/>
      </w:r>
    </w:p>
    <w:p w14:paraId="2507AD25" w14:textId="02703B5E" w:rsidR="00B00A2F" w:rsidRDefault="00B00A2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_Toc2074015 \h </w:instrText>
      </w:r>
      <w:r>
        <w:rPr>
          <w:noProof/>
        </w:rPr>
      </w:r>
      <w:r>
        <w:rPr>
          <w:noProof/>
        </w:rPr>
        <w:fldChar w:fldCharType="separate"/>
      </w:r>
      <w:r w:rsidR="00F016C0">
        <w:rPr>
          <w:noProof/>
        </w:rPr>
        <w:t>2</w:t>
      </w:r>
      <w:r>
        <w:rPr>
          <w:noProof/>
        </w:rPr>
        <w:fldChar w:fldCharType="end"/>
      </w:r>
    </w:p>
    <w:p w14:paraId="328A1E4A" w14:textId="37BC6B4D" w:rsidR="00B00A2F" w:rsidRDefault="00B00A2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_Toc2074016 \h </w:instrText>
      </w:r>
      <w:r>
        <w:rPr>
          <w:noProof/>
        </w:rPr>
      </w:r>
      <w:r>
        <w:rPr>
          <w:noProof/>
        </w:rPr>
        <w:fldChar w:fldCharType="separate"/>
      </w:r>
      <w:r w:rsidR="00F016C0">
        <w:rPr>
          <w:noProof/>
        </w:rPr>
        <w:t>2</w:t>
      </w:r>
      <w:r>
        <w:rPr>
          <w:noProof/>
        </w:rPr>
        <w:fldChar w:fldCharType="end"/>
      </w:r>
    </w:p>
    <w:p w14:paraId="77B8B90C" w14:textId="439DA343" w:rsidR="00B00A2F" w:rsidRDefault="00B00A2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_Toc2074017 \h </w:instrText>
      </w:r>
      <w:r>
        <w:rPr>
          <w:noProof/>
        </w:rPr>
      </w:r>
      <w:r>
        <w:rPr>
          <w:noProof/>
        </w:rPr>
        <w:fldChar w:fldCharType="separate"/>
      </w:r>
      <w:r w:rsidR="00F016C0">
        <w:rPr>
          <w:noProof/>
        </w:rPr>
        <w:t>3</w:t>
      </w:r>
      <w:r>
        <w:rPr>
          <w:noProof/>
        </w:rPr>
        <w:fldChar w:fldCharType="end"/>
      </w:r>
    </w:p>
    <w:p w14:paraId="049FFC19" w14:textId="6D38E6CE" w:rsidR="00B00A2F" w:rsidRDefault="00B00A2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_Toc2074018 \h </w:instrText>
      </w:r>
      <w:r>
        <w:rPr>
          <w:noProof/>
        </w:rPr>
      </w:r>
      <w:r>
        <w:rPr>
          <w:noProof/>
        </w:rPr>
        <w:fldChar w:fldCharType="separate"/>
      </w:r>
      <w:r w:rsidR="00F016C0">
        <w:rPr>
          <w:noProof/>
        </w:rPr>
        <w:t>3</w:t>
      </w:r>
      <w:r>
        <w:rPr>
          <w:noProof/>
        </w:rPr>
        <w:fldChar w:fldCharType="end"/>
      </w:r>
    </w:p>
    <w:p w14:paraId="0896EC94" w14:textId="55CD416B" w:rsidR="00B00A2F" w:rsidRDefault="00B00A2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_Toc2074019 \h </w:instrText>
      </w:r>
      <w:r>
        <w:rPr>
          <w:noProof/>
        </w:rPr>
      </w:r>
      <w:r>
        <w:rPr>
          <w:noProof/>
        </w:rPr>
        <w:fldChar w:fldCharType="separate"/>
      </w:r>
      <w:r w:rsidR="00F016C0">
        <w:rPr>
          <w:noProof/>
        </w:rPr>
        <w:t>4</w:t>
      </w:r>
      <w:r>
        <w:rPr>
          <w:noProof/>
        </w:rPr>
        <w:fldChar w:fldCharType="end"/>
      </w:r>
    </w:p>
    <w:p w14:paraId="20FEA4A9" w14:textId="245FDA67" w:rsidR="00B00A2F" w:rsidRDefault="00B00A2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_Toc2074020 \h </w:instrText>
      </w:r>
      <w:r>
        <w:rPr>
          <w:noProof/>
        </w:rPr>
      </w:r>
      <w:r>
        <w:rPr>
          <w:noProof/>
        </w:rPr>
        <w:fldChar w:fldCharType="separate"/>
      </w:r>
      <w:r w:rsidR="00F016C0">
        <w:rPr>
          <w:noProof/>
        </w:rPr>
        <w:t>5</w:t>
      </w:r>
      <w:r>
        <w:rPr>
          <w:noProof/>
        </w:rPr>
        <w:fldChar w:fldCharType="end"/>
      </w:r>
    </w:p>
    <w:p w14:paraId="63FFB864" w14:textId="1E7BDAC4" w:rsidR="00B00A2F" w:rsidRDefault="00B00A2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_Toc2074021 \h </w:instrText>
      </w:r>
      <w:r>
        <w:rPr>
          <w:noProof/>
        </w:rPr>
      </w:r>
      <w:r>
        <w:rPr>
          <w:noProof/>
        </w:rPr>
        <w:fldChar w:fldCharType="separate"/>
      </w:r>
      <w:r w:rsidR="00F016C0">
        <w:rPr>
          <w:noProof/>
        </w:rPr>
        <w:t>5</w:t>
      </w:r>
      <w:r>
        <w:rPr>
          <w:noProof/>
        </w:rPr>
        <w:fldChar w:fldCharType="end"/>
      </w:r>
    </w:p>
    <w:p w14:paraId="6451BBBA" w14:textId="3F59A137" w:rsidR="00B00A2F" w:rsidRDefault="00B00A2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_Toc2074022 \h </w:instrText>
      </w:r>
      <w:r>
        <w:rPr>
          <w:noProof/>
        </w:rPr>
      </w:r>
      <w:r>
        <w:rPr>
          <w:noProof/>
        </w:rPr>
        <w:fldChar w:fldCharType="separate"/>
      </w:r>
      <w:r w:rsidR="00F016C0">
        <w:rPr>
          <w:noProof/>
        </w:rPr>
        <w:t>5</w:t>
      </w:r>
      <w:r>
        <w:rPr>
          <w:noProof/>
        </w:rPr>
        <w:fldChar w:fldCharType="end"/>
      </w:r>
    </w:p>
    <w:p w14:paraId="2E9BC1E3" w14:textId="1D61D81B" w:rsidR="00B00A2F" w:rsidRDefault="00B00A2F">
      <w:pPr>
        <w:pStyle w:val="TOC3"/>
        <w:rPr>
          <w:rFonts w:asciiTheme="minorHAnsi" w:hAnsiTheme="minorHAnsi"/>
          <w:noProof/>
          <w:szCs w:val="22"/>
        </w:rPr>
      </w:pPr>
      <w:r>
        <w:rPr>
          <w:noProof/>
        </w:rPr>
        <w:t>Electric Savings (</w:t>
      </w:r>
      <w:r w:rsidRPr="00F44193">
        <w:rPr>
          <w:noProof/>
        </w:rPr>
        <w:t>kWh</w:t>
      </w:r>
      <w:r>
        <w:rPr>
          <w:noProof/>
        </w:rPr>
        <w:t>)</w:t>
      </w:r>
      <w:r>
        <w:rPr>
          <w:noProof/>
        </w:rPr>
        <w:tab/>
      </w:r>
      <w:r>
        <w:rPr>
          <w:noProof/>
        </w:rPr>
        <w:fldChar w:fldCharType="begin"/>
      </w:r>
      <w:r>
        <w:rPr>
          <w:noProof/>
        </w:rPr>
        <w:instrText xml:space="preserve"> PAGEREF _Toc2074023 \h </w:instrText>
      </w:r>
      <w:r>
        <w:rPr>
          <w:noProof/>
        </w:rPr>
      </w:r>
      <w:r>
        <w:rPr>
          <w:noProof/>
        </w:rPr>
        <w:fldChar w:fldCharType="separate"/>
      </w:r>
      <w:r w:rsidR="00F016C0">
        <w:rPr>
          <w:noProof/>
        </w:rPr>
        <w:t>5</w:t>
      </w:r>
      <w:r>
        <w:rPr>
          <w:noProof/>
        </w:rPr>
        <w:fldChar w:fldCharType="end"/>
      </w:r>
    </w:p>
    <w:p w14:paraId="2869E9D9" w14:textId="67A005D6" w:rsidR="00B00A2F" w:rsidRDefault="00B00A2F">
      <w:pPr>
        <w:pStyle w:val="TOC3"/>
        <w:rPr>
          <w:rFonts w:asciiTheme="minorHAnsi" w:hAnsiTheme="minorHAnsi"/>
          <w:noProof/>
          <w:szCs w:val="22"/>
        </w:rPr>
      </w:pPr>
      <w:r>
        <w:rPr>
          <w:noProof/>
        </w:rPr>
        <w:t>Peak Electric Demand Reduction (</w:t>
      </w:r>
      <w:r w:rsidRPr="00F44193">
        <w:rPr>
          <w:noProof/>
        </w:rPr>
        <w:t>kW</w:t>
      </w:r>
      <w:r>
        <w:rPr>
          <w:noProof/>
        </w:rPr>
        <w:t>)</w:t>
      </w:r>
      <w:r>
        <w:rPr>
          <w:noProof/>
        </w:rPr>
        <w:tab/>
      </w:r>
      <w:r>
        <w:rPr>
          <w:noProof/>
        </w:rPr>
        <w:fldChar w:fldCharType="begin"/>
      </w:r>
      <w:r>
        <w:rPr>
          <w:noProof/>
        </w:rPr>
        <w:instrText xml:space="preserve"> PAGEREF _Toc2074024 \h </w:instrText>
      </w:r>
      <w:r>
        <w:rPr>
          <w:noProof/>
        </w:rPr>
      </w:r>
      <w:r>
        <w:rPr>
          <w:noProof/>
        </w:rPr>
        <w:fldChar w:fldCharType="separate"/>
      </w:r>
      <w:r w:rsidR="00F016C0">
        <w:rPr>
          <w:noProof/>
        </w:rPr>
        <w:t>5</w:t>
      </w:r>
      <w:r>
        <w:rPr>
          <w:noProof/>
        </w:rPr>
        <w:fldChar w:fldCharType="end"/>
      </w:r>
    </w:p>
    <w:p w14:paraId="023CEF25" w14:textId="667C6ECF" w:rsidR="00B00A2F" w:rsidRDefault="00B00A2F">
      <w:pPr>
        <w:pStyle w:val="TOC3"/>
        <w:rPr>
          <w:rFonts w:asciiTheme="minorHAnsi" w:hAnsiTheme="minorHAnsi"/>
          <w:noProof/>
          <w:szCs w:val="22"/>
        </w:rPr>
      </w:pPr>
      <w:r>
        <w:rPr>
          <w:noProof/>
        </w:rPr>
        <w:t>Gas Savings (</w:t>
      </w:r>
      <w:r w:rsidRPr="00F44193">
        <w:rPr>
          <w:noProof/>
        </w:rPr>
        <w:t>Therms</w:t>
      </w:r>
      <w:r>
        <w:rPr>
          <w:noProof/>
        </w:rPr>
        <w:t>)</w:t>
      </w:r>
      <w:r>
        <w:rPr>
          <w:noProof/>
        </w:rPr>
        <w:tab/>
      </w:r>
      <w:r>
        <w:rPr>
          <w:noProof/>
        </w:rPr>
        <w:fldChar w:fldCharType="begin"/>
      </w:r>
      <w:r>
        <w:rPr>
          <w:noProof/>
        </w:rPr>
        <w:instrText xml:space="preserve"> PAGEREF _Toc2074025 \h </w:instrText>
      </w:r>
      <w:r>
        <w:rPr>
          <w:noProof/>
        </w:rPr>
      </w:r>
      <w:r>
        <w:rPr>
          <w:noProof/>
        </w:rPr>
        <w:fldChar w:fldCharType="separate"/>
      </w:r>
      <w:r w:rsidR="00F016C0">
        <w:rPr>
          <w:noProof/>
        </w:rPr>
        <w:t>5</w:t>
      </w:r>
      <w:r>
        <w:rPr>
          <w:noProof/>
        </w:rPr>
        <w:fldChar w:fldCharType="end"/>
      </w:r>
    </w:p>
    <w:p w14:paraId="76AF1297" w14:textId="65FAA701" w:rsidR="00B00A2F" w:rsidRDefault="00B00A2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_Toc2074026 \h </w:instrText>
      </w:r>
      <w:r>
        <w:rPr>
          <w:noProof/>
        </w:rPr>
      </w:r>
      <w:r>
        <w:rPr>
          <w:noProof/>
        </w:rPr>
        <w:fldChar w:fldCharType="separate"/>
      </w:r>
      <w:r w:rsidR="00F016C0">
        <w:rPr>
          <w:noProof/>
        </w:rPr>
        <w:t>8</w:t>
      </w:r>
      <w:r>
        <w:rPr>
          <w:noProof/>
        </w:rPr>
        <w:fldChar w:fldCharType="end"/>
      </w:r>
    </w:p>
    <w:p w14:paraId="356914E2" w14:textId="19EAA1C2" w:rsidR="00B00A2F" w:rsidRDefault="00B00A2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_Toc2074027 \h </w:instrText>
      </w:r>
      <w:r>
        <w:rPr>
          <w:noProof/>
        </w:rPr>
      </w:r>
      <w:r>
        <w:rPr>
          <w:noProof/>
        </w:rPr>
        <w:fldChar w:fldCharType="separate"/>
      </w:r>
      <w:r w:rsidR="00F016C0">
        <w:rPr>
          <w:noProof/>
        </w:rPr>
        <w:t>9</w:t>
      </w:r>
      <w:r>
        <w:rPr>
          <w:noProof/>
        </w:rPr>
        <w:fldChar w:fldCharType="end"/>
      </w:r>
    </w:p>
    <w:p w14:paraId="1B52ED68" w14:textId="5D863E40" w:rsidR="00B00A2F" w:rsidRDefault="00B00A2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_Toc2074028 \h </w:instrText>
      </w:r>
      <w:r>
        <w:rPr>
          <w:noProof/>
        </w:rPr>
      </w:r>
      <w:r>
        <w:rPr>
          <w:noProof/>
        </w:rPr>
        <w:fldChar w:fldCharType="separate"/>
      </w:r>
      <w:r w:rsidR="00F016C0">
        <w:rPr>
          <w:noProof/>
        </w:rPr>
        <w:t>9</w:t>
      </w:r>
      <w:r>
        <w:rPr>
          <w:noProof/>
        </w:rPr>
        <w:fldChar w:fldCharType="end"/>
      </w:r>
    </w:p>
    <w:p w14:paraId="576A7750" w14:textId="169C7754" w:rsidR="00B00A2F" w:rsidRDefault="00B00A2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_Toc2074029 \h </w:instrText>
      </w:r>
      <w:r>
        <w:rPr>
          <w:noProof/>
        </w:rPr>
      </w:r>
      <w:r>
        <w:rPr>
          <w:noProof/>
        </w:rPr>
        <w:fldChar w:fldCharType="separate"/>
      </w:r>
      <w:r w:rsidR="00F016C0">
        <w:rPr>
          <w:noProof/>
        </w:rPr>
        <w:t>10</w:t>
      </w:r>
      <w:r>
        <w:rPr>
          <w:noProof/>
        </w:rPr>
        <w:fldChar w:fldCharType="end"/>
      </w:r>
    </w:p>
    <w:p w14:paraId="2A700B4F" w14:textId="41FB4C4D" w:rsidR="00B00A2F" w:rsidRDefault="00B00A2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_Toc2074030 \h </w:instrText>
      </w:r>
      <w:r>
        <w:rPr>
          <w:noProof/>
        </w:rPr>
      </w:r>
      <w:r>
        <w:rPr>
          <w:noProof/>
        </w:rPr>
        <w:fldChar w:fldCharType="separate"/>
      </w:r>
      <w:r w:rsidR="00F016C0">
        <w:rPr>
          <w:noProof/>
        </w:rPr>
        <w:t>10</w:t>
      </w:r>
      <w:r>
        <w:rPr>
          <w:noProof/>
        </w:rPr>
        <w:fldChar w:fldCharType="end"/>
      </w:r>
    </w:p>
    <w:p w14:paraId="276EA7F9" w14:textId="1C60D203" w:rsidR="00B00A2F" w:rsidRDefault="00B00A2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_Toc2074031 \h </w:instrText>
      </w:r>
      <w:r>
        <w:rPr>
          <w:noProof/>
        </w:rPr>
      </w:r>
      <w:r>
        <w:rPr>
          <w:noProof/>
        </w:rPr>
        <w:fldChar w:fldCharType="separate"/>
      </w:r>
      <w:r w:rsidR="00F016C0">
        <w:rPr>
          <w:noProof/>
        </w:rPr>
        <w:t>10</w:t>
      </w:r>
      <w:r>
        <w:rPr>
          <w:noProof/>
        </w:rPr>
        <w:fldChar w:fldCharType="end"/>
      </w:r>
    </w:p>
    <w:p w14:paraId="5B2EBFDD" w14:textId="549930F7" w:rsidR="00B00A2F" w:rsidRDefault="00B00A2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_Toc2074032 \h </w:instrText>
      </w:r>
      <w:r>
        <w:rPr>
          <w:noProof/>
        </w:rPr>
      </w:r>
      <w:r>
        <w:rPr>
          <w:noProof/>
        </w:rPr>
        <w:fldChar w:fldCharType="separate"/>
      </w:r>
      <w:r w:rsidR="00F016C0">
        <w:rPr>
          <w:noProof/>
        </w:rPr>
        <w:t>10</w:t>
      </w:r>
      <w:r>
        <w:rPr>
          <w:noProof/>
        </w:rPr>
        <w:fldChar w:fldCharType="end"/>
      </w:r>
    </w:p>
    <w:p w14:paraId="2B837B45" w14:textId="3AD84847" w:rsidR="00B00A2F" w:rsidRDefault="00B00A2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_Toc2074033 \h </w:instrText>
      </w:r>
      <w:r>
        <w:rPr>
          <w:noProof/>
        </w:rPr>
      </w:r>
      <w:r>
        <w:rPr>
          <w:noProof/>
        </w:rPr>
        <w:fldChar w:fldCharType="separate"/>
      </w:r>
      <w:r w:rsidR="00F016C0">
        <w:rPr>
          <w:noProof/>
        </w:rPr>
        <w:t>11</w:t>
      </w:r>
      <w:r>
        <w:rPr>
          <w:noProof/>
        </w:rPr>
        <w:fldChar w:fldCharType="end"/>
      </w:r>
    </w:p>
    <w:p w14:paraId="6E1CD4D0" w14:textId="05A4A703" w:rsidR="00B00A2F" w:rsidRDefault="00B00A2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_Toc2074034 \h </w:instrText>
      </w:r>
      <w:r>
        <w:rPr>
          <w:noProof/>
        </w:rPr>
      </w:r>
      <w:r>
        <w:rPr>
          <w:noProof/>
        </w:rPr>
        <w:fldChar w:fldCharType="separate"/>
      </w:r>
      <w:r w:rsidR="00F016C0">
        <w:rPr>
          <w:noProof/>
        </w:rPr>
        <w:t>11</w:t>
      </w:r>
      <w:r>
        <w:rPr>
          <w:noProof/>
        </w:rPr>
        <w:fldChar w:fldCharType="end"/>
      </w:r>
    </w:p>
    <w:p w14:paraId="631D2C17" w14:textId="7BE29988" w:rsidR="00B00A2F" w:rsidRDefault="00B00A2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_Toc2074035 \h </w:instrText>
      </w:r>
      <w:r>
        <w:rPr>
          <w:noProof/>
        </w:rPr>
      </w:r>
      <w:r>
        <w:rPr>
          <w:noProof/>
        </w:rPr>
        <w:fldChar w:fldCharType="separate"/>
      </w:r>
      <w:r w:rsidR="00F016C0">
        <w:rPr>
          <w:noProof/>
        </w:rPr>
        <w:t>12</w:t>
      </w:r>
      <w:r>
        <w:rPr>
          <w:noProof/>
        </w:rPr>
        <w:fldChar w:fldCharType="end"/>
      </w:r>
    </w:p>
    <w:p w14:paraId="7DD78D3A" w14:textId="23129472" w:rsidR="007E1F66" w:rsidRDefault="001C6C9B" w:rsidP="00F87631">
      <w:pPr>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r>
        <w:fldChar w:fldCharType="end"/>
      </w:r>
    </w:p>
    <w:p w14:paraId="4E28C1E1" w14:textId="77777777" w:rsidR="00C67AC9" w:rsidRPr="007E1F66" w:rsidRDefault="00C67AC9" w:rsidP="00B44D24">
      <w:pPr>
        <w:pStyle w:val="eTRMHeading3"/>
        <w:spacing w:before="20" w:after="20"/>
      </w:pPr>
      <w:bookmarkStart w:id="0" w:name="_Toc486490839"/>
      <w:bookmarkStart w:id="1" w:name="_Toc486580912"/>
      <w:bookmarkStart w:id="2" w:name="_Toc2074012"/>
      <w:r w:rsidRPr="007E1F66">
        <w:lastRenderedPageBreak/>
        <w:t>Measure Name</w:t>
      </w:r>
      <w:bookmarkEnd w:id="0"/>
      <w:bookmarkEnd w:id="1"/>
      <w:bookmarkEnd w:id="2"/>
    </w:p>
    <w:p w14:paraId="0CA2B46D" w14:textId="34192DA3" w:rsidR="00C67AC9" w:rsidRDefault="00C67AC9" w:rsidP="00A8679D">
      <w:pPr>
        <w:spacing w:before="20" w:after="20" w:line="280" w:lineRule="exact"/>
      </w:pPr>
      <w:r>
        <w:t>Central Storage Water Heater, Multifamily</w:t>
      </w:r>
    </w:p>
    <w:p w14:paraId="44F89B1C" w14:textId="77777777" w:rsidR="00C67AC9" w:rsidRPr="00401C43" w:rsidRDefault="00C67AC9" w:rsidP="00A8679D">
      <w:pPr>
        <w:spacing w:before="20" w:after="20" w:line="280" w:lineRule="exact"/>
      </w:pPr>
    </w:p>
    <w:p w14:paraId="58F06B59" w14:textId="77777777" w:rsidR="00C67AC9" w:rsidRPr="00074E3E" w:rsidRDefault="00C67AC9" w:rsidP="00B44D24">
      <w:pPr>
        <w:pStyle w:val="eTRMHeading3"/>
        <w:spacing w:before="20" w:after="20"/>
      </w:pPr>
      <w:bookmarkStart w:id="3" w:name="_Toc486490840"/>
      <w:bookmarkStart w:id="4" w:name="_Toc486580913"/>
      <w:bookmarkStart w:id="5" w:name="_Toc2074013"/>
      <w:r>
        <w:t>Statewide Measure ID</w:t>
      </w:r>
      <w:bookmarkEnd w:id="3"/>
      <w:bookmarkEnd w:id="4"/>
      <w:bookmarkEnd w:id="5"/>
    </w:p>
    <w:p w14:paraId="1C4ECECA" w14:textId="77EF8578" w:rsidR="00BD053D" w:rsidRDefault="00BD053D" w:rsidP="00BD053D">
      <w:r>
        <w:t>SWWH011</w:t>
      </w:r>
      <w:r w:rsidR="007C6163">
        <w:t>-11</w:t>
      </w:r>
    </w:p>
    <w:p w14:paraId="598DD71D" w14:textId="77777777" w:rsidR="007C6163" w:rsidRPr="003A6A18" w:rsidRDefault="007C6163" w:rsidP="007C6163">
      <w:pPr>
        <w:tabs>
          <w:tab w:val="left" w:pos="2962"/>
        </w:tabs>
        <w:rPr>
          <w:rFonts w:cs="Calibri Light"/>
          <w:szCs w:val="22"/>
        </w:rPr>
      </w:pPr>
      <w:bookmarkStart w:id="6" w:name="_Toc486490847"/>
      <w:bookmarkStart w:id="7" w:name="_Toc486580918"/>
    </w:p>
    <w:p w14:paraId="0F7CA2E6" w14:textId="77777777" w:rsidR="00E70CBD" w:rsidRPr="00154391" w:rsidRDefault="00E70CBD" w:rsidP="000F1A47">
      <w:pPr>
        <w:pStyle w:val="eTRMHeading3"/>
      </w:pPr>
      <w:bookmarkStart w:id="8" w:name="_Toc2074014"/>
      <w:r w:rsidRPr="00154391">
        <w:t>Technology Summary</w:t>
      </w:r>
      <w:bookmarkEnd w:id="6"/>
      <w:bookmarkEnd w:id="7"/>
      <w:bookmarkEnd w:id="8"/>
      <w:r w:rsidRPr="00154391">
        <w:t xml:space="preserve"> </w:t>
      </w:r>
    </w:p>
    <w:p w14:paraId="041E5C06" w14:textId="117CB758" w:rsidR="00194891" w:rsidRDefault="00194891" w:rsidP="00194891">
      <w:r>
        <w:t>A</w:t>
      </w:r>
      <w:r w:rsidRPr="00C976DD">
        <w:t xml:space="preserve"> </w:t>
      </w:r>
      <w:r>
        <w:t xml:space="preserve">typical gas-fired storage </w:t>
      </w:r>
      <w:r w:rsidRPr="00C976DD">
        <w:t xml:space="preserve">water heater </w:t>
      </w:r>
      <w:r>
        <w:t>is</w:t>
      </w:r>
      <w:r w:rsidRPr="00C976DD">
        <w:t xml:space="preserve"> a </w:t>
      </w:r>
      <w:r>
        <w:t xml:space="preserve">large vertical </w:t>
      </w:r>
      <w:r w:rsidRPr="00C976DD">
        <w:t xml:space="preserve">insulated tank </w:t>
      </w:r>
      <w:r>
        <w:t xml:space="preserve">with </w:t>
      </w:r>
      <w:r w:rsidRPr="00C976DD">
        <w:t xml:space="preserve">a </w:t>
      </w:r>
      <w:r>
        <w:t xml:space="preserve">gas </w:t>
      </w:r>
      <w:r w:rsidRPr="00C976DD">
        <w:t xml:space="preserve">burner located </w:t>
      </w:r>
      <w:r>
        <w:t>under the tank</w:t>
      </w:r>
      <w:r w:rsidR="003A6A18">
        <w:t xml:space="preserve">. </w:t>
      </w:r>
      <w:r>
        <w:t xml:space="preserve">When hot water is drawn from the tank, </w:t>
      </w:r>
      <w:r w:rsidRPr="00C976DD">
        <w:t xml:space="preserve">cold water </w:t>
      </w:r>
      <w:r>
        <w:t xml:space="preserve">flows </w:t>
      </w:r>
      <w:r w:rsidRPr="00C976DD">
        <w:t>into the bottom of the tank</w:t>
      </w:r>
      <w:r>
        <w:t xml:space="preserve">. When the water temperature in the tank gets too low, a thermostat sensing the water temperature (often called an </w:t>
      </w:r>
      <w:proofErr w:type="spellStart"/>
      <w:r>
        <w:t>aquastat</w:t>
      </w:r>
      <w:proofErr w:type="spellEnd"/>
      <w:r>
        <w:t xml:space="preserve">) turns on the burner. When the water temperature in the tank reaches the setpoint, the thermostat turns off the burner.  </w:t>
      </w:r>
      <w:r w:rsidRPr="00C976DD">
        <w:t xml:space="preserve">The burner </w:t>
      </w:r>
      <w:r>
        <w:t>may be</w:t>
      </w:r>
      <w:r w:rsidRPr="00C976DD">
        <w:t xml:space="preserve"> ignited by an electroni</w:t>
      </w:r>
      <w:r>
        <w:t>c</w:t>
      </w:r>
      <w:r w:rsidRPr="008C0DC4">
        <w:t xml:space="preserve"> </w:t>
      </w:r>
      <w:r>
        <w:t>spark ignition, glow plug, or, in</w:t>
      </w:r>
      <w:r w:rsidRPr="00C976DD">
        <w:t xml:space="preserve"> </w:t>
      </w:r>
      <w:r>
        <w:t xml:space="preserve">some </w:t>
      </w:r>
      <w:r w:rsidRPr="00C976DD">
        <w:t xml:space="preserve">models, by a standing pilot light.  </w:t>
      </w:r>
    </w:p>
    <w:p w14:paraId="43802737" w14:textId="4BA9B568" w:rsidR="00194891" w:rsidRPr="003A6A18" w:rsidRDefault="00194891" w:rsidP="00194891">
      <w:r w:rsidRPr="003A6A18">
        <w:t xml:space="preserve">Relative to </w:t>
      </w:r>
      <w:r w:rsidR="00C41F8D">
        <w:t xml:space="preserve">a </w:t>
      </w:r>
      <w:r w:rsidRPr="003A6A18">
        <w:t xml:space="preserve">standard model, </w:t>
      </w:r>
      <w:r w:rsidR="00C41F8D">
        <w:t xml:space="preserve">an </w:t>
      </w:r>
      <w:r w:rsidRPr="003A6A18">
        <w:t>energy efficient unit</w:t>
      </w:r>
      <w:r w:rsidR="00C41F8D">
        <w:t xml:space="preserve"> will</w:t>
      </w:r>
      <w:r w:rsidRPr="003A6A18">
        <w:t xml:space="preserve"> typically have</w:t>
      </w:r>
      <w:r w:rsidR="00C41F8D">
        <w:t xml:space="preserve"> one or more</w:t>
      </w:r>
      <w:r w:rsidRPr="003A6A18">
        <w:t xml:space="preserve"> features such as no standing pilot light, larger heat exchange surfaces, additional tank insulation, and the capability to condense moisture in the flue gas.</w:t>
      </w:r>
    </w:p>
    <w:p w14:paraId="0AD633C1" w14:textId="77777777" w:rsidR="00020218" w:rsidRPr="003A6A18" w:rsidRDefault="00020218" w:rsidP="00787FCA">
      <w:pPr>
        <w:tabs>
          <w:tab w:val="left" w:pos="2962"/>
        </w:tabs>
        <w:rPr>
          <w:rFonts w:cs="Calibri Light"/>
          <w:szCs w:val="22"/>
        </w:rPr>
      </w:pPr>
    </w:p>
    <w:p w14:paraId="60B6317B" w14:textId="07E25407" w:rsidR="00BB297A" w:rsidRPr="003A6A18" w:rsidRDefault="007D230B" w:rsidP="003A6A18">
      <w:pPr>
        <w:pStyle w:val="eTRMHeading3"/>
      </w:pPr>
      <w:bookmarkStart w:id="9" w:name="_Toc486490848"/>
      <w:bookmarkStart w:id="10" w:name="_Toc486580919"/>
      <w:bookmarkStart w:id="11" w:name="_Toc2074015"/>
      <w:r w:rsidRPr="003A6A18">
        <w:t>Measure Case Description</w:t>
      </w:r>
      <w:bookmarkStart w:id="12" w:name="_Toc486490849"/>
      <w:bookmarkStart w:id="13" w:name="_Toc486580920"/>
      <w:bookmarkEnd w:id="9"/>
      <w:bookmarkEnd w:id="10"/>
      <w:bookmarkEnd w:id="11"/>
    </w:p>
    <w:p w14:paraId="1198F229" w14:textId="723D86BF" w:rsidR="00194891" w:rsidRDefault="003A6A18" w:rsidP="00194891">
      <w:r w:rsidRPr="00ED5C20">
        <w:rPr>
          <w:rFonts w:cs="Arial"/>
          <w:szCs w:val="20"/>
        </w:rPr>
        <w:t xml:space="preserve">The measure case is defined as </w:t>
      </w:r>
      <w:r>
        <w:rPr>
          <w:rFonts w:cs="Arial"/>
          <w:szCs w:val="20"/>
        </w:rPr>
        <w:t xml:space="preserve">the replacement of a standard efficiency central storage water heater with an energy efficient central </w:t>
      </w:r>
      <w:r w:rsidRPr="00ED5C20">
        <w:rPr>
          <w:rFonts w:cs="Arial"/>
          <w:szCs w:val="20"/>
        </w:rPr>
        <w:t>storage water heater</w:t>
      </w:r>
      <w:r>
        <w:rPr>
          <w:rFonts w:cs="Arial"/>
          <w:szCs w:val="20"/>
        </w:rPr>
        <w:t xml:space="preserve">. </w:t>
      </w:r>
      <w:r w:rsidR="00B20DA3" w:rsidRPr="003A6A18">
        <w:t xml:space="preserve">The qualifying measure </w:t>
      </w:r>
      <w:r w:rsidR="00195CF3">
        <w:t>efficiency rating</w:t>
      </w:r>
      <w:r w:rsidR="00B20DA3" w:rsidRPr="003A6A18">
        <w:t xml:space="preserve"> for </w:t>
      </w:r>
      <w:r w:rsidR="00195CF3">
        <w:t>each measure offering is</w:t>
      </w:r>
      <w:r w:rsidR="00B20DA3" w:rsidRPr="003A6A18">
        <w:t xml:space="preserve"> specified </w:t>
      </w:r>
      <w:r w:rsidR="00BD053D">
        <w:t>below</w:t>
      </w:r>
      <w:r w:rsidR="00B20DA3" w:rsidRPr="003A6A18">
        <w:t xml:space="preserve">. </w:t>
      </w:r>
      <w:r w:rsidR="00195CF3">
        <w:t>Energy savings were calculated by climate zone for each offering.</w:t>
      </w:r>
    </w:p>
    <w:p w14:paraId="5DACC979" w14:textId="22D94D80" w:rsidR="00433289" w:rsidRDefault="00433289" w:rsidP="0090621B">
      <w:pPr>
        <w:pStyle w:val="Caption"/>
      </w:pPr>
      <w:bookmarkStart w:id="14" w:name="_Ref501257276"/>
      <w:r w:rsidRPr="00421242">
        <w:t xml:space="preserve">Measure Case Specification </w:t>
      </w:r>
      <w:bookmarkEnd w:id="14"/>
    </w:p>
    <w:tbl>
      <w:tblPr>
        <w:tblW w:w="86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765"/>
        <w:gridCol w:w="1800"/>
        <w:gridCol w:w="2075"/>
      </w:tblGrid>
      <w:tr w:rsidR="003A6A18" w14:paraId="7D7FD5FF" w14:textId="77777777" w:rsidTr="00BF552E">
        <w:trPr>
          <w:cantSplit/>
          <w:trHeight w:val="20"/>
        </w:trPr>
        <w:tc>
          <w:tcPr>
            <w:tcW w:w="4765" w:type="dxa"/>
            <w:shd w:val="clear" w:color="auto" w:fill="F2F2F2" w:themeFill="background1" w:themeFillShade="F2"/>
            <w:vAlign w:val="bottom"/>
          </w:tcPr>
          <w:p w14:paraId="1487CA3B" w14:textId="35657BBD" w:rsidR="003A6A18" w:rsidRPr="004B4A93" w:rsidRDefault="003A6A18" w:rsidP="002B547B">
            <w:pPr>
              <w:keepNext/>
              <w:keepLines/>
              <w:spacing w:before="0" w:after="0"/>
              <w:jc w:val="center"/>
              <w:rPr>
                <w:b/>
                <w:sz w:val="20"/>
                <w:szCs w:val="20"/>
              </w:rPr>
            </w:pPr>
            <w:r>
              <w:rPr>
                <w:b/>
                <w:sz w:val="20"/>
                <w:szCs w:val="20"/>
              </w:rPr>
              <w:t>Equipment Tier Type</w:t>
            </w:r>
          </w:p>
        </w:tc>
        <w:tc>
          <w:tcPr>
            <w:tcW w:w="1800" w:type="dxa"/>
            <w:shd w:val="clear" w:color="auto" w:fill="F2F2F2" w:themeFill="background1" w:themeFillShade="F2"/>
            <w:vAlign w:val="bottom"/>
          </w:tcPr>
          <w:p w14:paraId="49CE685C" w14:textId="3E61256D" w:rsidR="003A6A18" w:rsidRDefault="002B547B" w:rsidP="002B547B">
            <w:pPr>
              <w:keepNext/>
              <w:keepLines/>
              <w:spacing w:before="0" w:after="0"/>
              <w:jc w:val="center"/>
              <w:rPr>
                <w:b/>
                <w:sz w:val="20"/>
                <w:szCs w:val="20"/>
              </w:rPr>
            </w:pPr>
            <w:r>
              <w:rPr>
                <w:rFonts w:cs="Arial"/>
                <w:b/>
                <w:sz w:val="20"/>
              </w:rPr>
              <w:t>Rated Input (</w:t>
            </w:r>
            <w:proofErr w:type="spellStart"/>
            <w:r>
              <w:rPr>
                <w:rFonts w:cs="Arial"/>
                <w:b/>
                <w:sz w:val="20"/>
              </w:rPr>
              <w:t>k</w:t>
            </w:r>
            <w:r w:rsidRPr="00914E43">
              <w:rPr>
                <w:rFonts w:cs="Arial"/>
                <w:b/>
                <w:sz w:val="20"/>
              </w:rPr>
              <w:t>Btu</w:t>
            </w:r>
            <w:proofErr w:type="spellEnd"/>
            <w:r w:rsidRPr="00914E43">
              <w:rPr>
                <w:rFonts w:cs="Arial"/>
                <w:b/>
                <w:sz w:val="20"/>
              </w:rPr>
              <w:t>/</w:t>
            </w:r>
            <w:proofErr w:type="spellStart"/>
            <w:r w:rsidRPr="00914E43">
              <w:rPr>
                <w:rFonts w:cs="Arial"/>
                <w:b/>
                <w:sz w:val="20"/>
              </w:rPr>
              <w:t>hr</w:t>
            </w:r>
            <w:proofErr w:type="spellEnd"/>
            <w:r w:rsidRPr="00914E43">
              <w:rPr>
                <w:rFonts w:cs="Arial"/>
                <w:b/>
                <w:sz w:val="20"/>
              </w:rPr>
              <w:t>)</w:t>
            </w:r>
          </w:p>
        </w:tc>
        <w:tc>
          <w:tcPr>
            <w:tcW w:w="2075" w:type="dxa"/>
            <w:shd w:val="clear" w:color="auto" w:fill="F2F2F2" w:themeFill="background1" w:themeFillShade="F2"/>
            <w:vAlign w:val="bottom"/>
          </w:tcPr>
          <w:p w14:paraId="3865E69E" w14:textId="4A5393BE" w:rsidR="003A6A18" w:rsidRDefault="003A6A18" w:rsidP="002B547B">
            <w:pPr>
              <w:keepNext/>
              <w:keepLines/>
              <w:spacing w:before="0" w:after="0"/>
              <w:jc w:val="center"/>
              <w:rPr>
                <w:b/>
                <w:sz w:val="20"/>
                <w:szCs w:val="20"/>
              </w:rPr>
            </w:pPr>
            <w:r>
              <w:rPr>
                <w:b/>
                <w:sz w:val="20"/>
                <w:szCs w:val="20"/>
              </w:rPr>
              <w:t>Min. Qualifying Thermal Efficiency (TE)</w:t>
            </w:r>
          </w:p>
        </w:tc>
      </w:tr>
      <w:tr w:rsidR="003A6A18" w:rsidRPr="00B20DA3" w14:paraId="5C826E06" w14:textId="77777777" w:rsidTr="00BF552E">
        <w:trPr>
          <w:cantSplit/>
          <w:trHeight w:val="20"/>
        </w:trPr>
        <w:tc>
          <w:tcPr>
            <w:tcW w:w="4765" w:type="dxa"/>
            <w:shd w:val="clear" w:color="auto" w:fill="auto"/>
            <w:vAlign w:val="center"/>
          </w:tcPr>
          <w:p w14:paraId="2C41931F" w14:textId="49EE1774" w:rsidR="003A6A18" w:rsidRPr="00B20DA3" w:rsidRDefault="00BF552E" w:rsidP="002B547B">
            <w:pPr>
              <w:spacing w:before="0" w:after="0"/>
              <w:rPr>
                <w:rFonts w:cs="Calibri Light"/>
                <w:sz w:val="20"/>
                <w:szCs w:val="20"/>
              </w:rPr>
            </w:pPr>
            <w:r>
              <w:rPr>
                <w:rFonts w:cs="Calibri Light"/>
                <w:sz w:val="20"/>
                <w:szCs w:val="20"/>
              </w:rPr>
              <w:t>Central Storage Water Heater, Tier 1 – Non</w:t>
            </w:r>
            <w:r w:rsidR="003A6A18" w:rsidRPr="00B20DA3">
              <w:rPr>
                <w:rFonts w:cs="Calibri Light"/>
                <w:sz w:val="20"/>
                <w:szCs w:val="20"/>
              </w:rPr>
              <w:t xml:space="preserve">-condensing </w:t>
            </w:r>
          </w:p>
        </w:tc>
        <w:tc>
          <w:tcPr>
            <w:tcW w:w="1800" w:type="dxa"/>
            <w:vMerge w:val="restart"/>
            <w:vAlign w:val="center"/>
          </w:tcPr>
          <w:p w14:paraId="55915DBA" w14:textId="1965220C" w:rsidR="003A6A18" w:rsidRPr="00B20DA3" w:rsidRDefault="003A6A18" w:rsidP="002B547B">
            <w:pPr>
              <w:spacing w:before="0" w:after="0"/>
              <w:jc w:val="center"/>
              <w:rPr>
                <w:sz w:val="20"/>
                <w:szCs w:val="20"/>
              </w:rPr>
            </w:pPr>
            <w:r>
              <w:rPr>
                <w:sz w:val="20"/>
                <w:szCs w:val="20"/>
              </w:rPr>
              <w:t>&gt;</w:t>
            </w:r>
            <w:r w:rsidR="002B547B">
              <w:rPr>
                <w:sz w:val="20"/>
                <w:szCs w:val="20"/>
              </w:rPr>
              <w:t xml:space="preserve"> </w:t>
            </w:r>
            <w:r w:rsidRPr="00B20DA3">
              <w:rPr>
                <w:sz w:val="20"/>
                <w:szCs w:val="20"/>
              </w:rPr>
              <w:t>75</w:t>
            </w:r>
          </w:p>
        </w:tc>
        <w:tc>
          <w:tcPr>
            <w:tcW w:w="2075" w:type="dxa"/>
            <w:vAlign w:val="center"/>
          </w:tcPr>
          <w:p w14:paraId="6AB5CCEC" w14:textId="0E25761F" w:rsidR="003A6A18" w:rsidRPr="00B20DA3" w:rsidRDefault="003A6A18" w:rsidP="002B547B">
            <w:pPr>
              <w:spacing w:before="0" w:after="0"/>
              <w:jc w:val="center"/>
              <w:rPr>
                <w:sz w:val="20"/>
                <w:szCs w:val="20"/>
              </w:rPr>
            </w:pPr>
            <w:r w:rsidRPr="00B20DA3">
              <w:rPr>
                <w:sz w:val="20"/>
                <w:szCs w:val="20"/>
              </w:rPr>
              <w:t xml:space="preserve">83% </w:t>
            </w:r>
          </w:p>
        </w:tc>
      </w:tr>
      <w:tr w:rsidR="003A6A18" w:rsidRPr="00B20DA3" w14:paraId="1AD16D0A" w14:textId="77777777" w:rsidTr="00BF552E">
        <w:trPr>
          <w:cantSplit/>
          <w:trHeight w:val="20"/>
        </w:trPr>
        <w:tc>
          <w:tcPr>
            <w:tcW w:w="4765" w:type="dxa"/>
            <w:shd w:val="clear" w:color="auto" w:fill="auto"/>
            <w:vAlign w:val="center"/>
          </w:tcPr>
          <w:p w14:paraId="12C3C5FB" w14:textId="7B9F5895" w:rsidR="003A6A18" w:rsidRPr="00B20DA3" w:rsidRDefault="00BF552E" w:rsidP="002B547B">
            <w:pPr>
              <w:spacing w:before="0" w:after="0"/>
              <w:rPr>
                <w:rFonts w:cs="Calibri Light"/>
                <w:sz w:val="20"/>
                <w:szCs w:val="20"/>
              </w:rPr>
            </w:pPr>
            <w:r>
              <w:rPr>
                <w:rFonts w:cs="Calibri Light"/>
                <w:sz w:val="20"/>
                <w:szCs w:val="20"/>
              </w:rPr>
              <w:t>Central Storage Water Heater, Tier 2 – C</w:t>
            </w:r>
            <w:r w:rsidRPr="00B20DA3">
              <w:rPr>
                <w:rFonts w:cs="Calibri Light"/>
                <w:sz w:val="20"/>
                <w:szCs w:val="20"/>
              </w:rPr>
              <w:t>ondensing</w:t>
            </w:r>
          </w:p>
        </w:tc>
        <w:tc>
          <w:tcPr>
            <w:tcW w:w="1800" w:type="dxa"/>
            <w:vMerge/>
            <w:vAlign w:val="center"/>
          </w:tcPr>
          <w:p w14:paraId="699017A6" w14:textId="55C33232" w:rsidR="003A6A18" w:rsidRPr="00B20DA3" w:rsidRDefault="003A6A18" w:rsidP="002B547B">
            <w:pPr>
              <w:spacing w:before="0" w:after="0"/>
              <w:jc w:val="center"/>
              <w:rPr>
                <w:sz w:val="20"/>
                <w:szCs w:val="20"/>
              </w:rPr>
            </w:pPr>
          </w:p>
        </w:tc>
        <w:tc>
          <w:tcPr>
            <w:tcW w:w="2075" w:type="dxa"/>
            <w:vAlign w:val="center"/>
          </w:tcPr>
          <w:p w14:paraId="7B8EF3F0" w14:textId="36C3BC8E" w:rsidR="003A6A18" w:rsidRPr="00B20DA3" w:rsidRDefault="002B547B" w:rsidP="002B547B">
            <w:pPr>
              <w:spacing w:before="0" w:after="0"/>
              <w:jc w:val="center"/>
              <w:rPr>
                <w:sz w:val="20"/>
                <w:szCs w:val="20"/>
              </w:rPr>
            </w:pPr>
            <w:r>
              <w:rPr>
                <w:sz w:val="20"/>
                <w:szCs w:val="20"/>
              </w:rPr>
              <w:t>90</w:t>
            </w:r>
            <w:r w:rsidR="003A6A18" w:rsidRPr="00B20DA3">
              <w:rPr>
                <w:sz w:val="20"/>
                <w:szCs w:val="20"/>
              </w:rPr>
              <w:t>%</w:t>
            </w:r>
          </w:p>
        </w:tc>
      </w:tr>
    </w:tbl>
    <w:p w14:paraId="438C1CC9" w14:textId="77777777" w:rsidR="007562C1" w:rsidRDefault="007562C1" w:rsidP="003D1635">
      <w:pPr>
        <w:rPr>
          <w:rFonts w:cs="Calibri Light"/>
          <w:szCs w:val="22"/>
        </w:rPr>
      </w:pPr>
    </w:p>
    <w:p w14:paraId="54FD79D6" w14:textId="249670D4" w:rsidR="00E70CBD" w:rsidRPr="00171BB8" w:rsidRDefault="00E70CBD" w:rsidP="000F1A47">
      <w:pPr>
        <w:pStyle w:val="eTRMHeading3"/>
      </w:pPr>
      <w:bookmarkStart w:id="15" w:name="_Toc2074016"/>
      <w:r w:rsidRPr="004B06E3">
        <w:t>Base Case Description</w:t>
      </w:r>
      <w:bookmarkEnd w:id="12"/>
      <w:bookmarkEnd w:id="13"/>
      <w:bookmarkEnd w:id="15"/>
      <w:r w:rsidRPr="00171BB8">
        <w:t xml:space="preserve"> </w:t>
      </w:r>
    </w:p>
    <w:p w14:paraId="6BCA5E01" w14:textId="52E81529" w:rsidR="006E1519" w:rsidRPr="00D04D41" w:rsidRDefault="00433289" w:rsidP="006E1519">
      <w:r>
        <w:rPr>
          <w:rFonts w:cs="Calibri Light"/>
        </w:rPr>
        <w:t xml:space="preserve">The base case is defined as </w:t>
      </w:r>
      <w:r w:rsidR="00481F11">
        <w:rPr>
          <w:rFonts w:cs="Calibri Light"/>
        </w:rPr>
        <w:t>standard efficiency central</w:t>
      </w:r>
      <w:r>
        <w:t xml:space="preserve"> </w:t>
      </w:r>
      <w:r w:rsidR="00620008">
        <w:t>storage water heater</w:t>
      </w:r>
      <w:r>
        <w:t>.</w:t>
      </w:r>
      <w:r w:rsidR="006E1519">
        <w:t xml:space="preserve"> </w:t>
      </w:r>
      <w:r w:rsidR="00481F11">
        <w:t>The minimum qualifying measure efficiencies exceed the California Appliance Efficiency Regulations (Title 20)</w:t>
      </w:r>
      <w:r w:rsidR="00481F11" w:rsidRPr="00BA170E">
        <w:t xml:space="preserve"> standard</w:t>
      </w:r>
      <w:r w:rsidR="00481F11">
        <w:t xml:space="preserve"> for large gas storage water heaters with less than 4,000 Btu/</w:t>
      </w:r>
      <w:proofErr w:type="spellStart"/>
      <w:r w:rsidR="00481F11">
        <w:t>hr</w:t>
      </w:r>
      <w:proofErr w:type="spellEnd"/>
      <w:r w:rsidR="00481F11">
        <w:t xml:space="preserve"> of rated input per gallon of storage volume.</w:t>
      </w:r>
      <w:r w:rsidR="00D90AD6">
        <w:t xml:space="preserve"> (See Code Requirements.)</w:t>
      </w:r>
    </w:p>
    <w:p w14:paraId="68B11DED" w14:textId="057EEE29" w:rsidR="00433289" w:rsidRPr="00421242" w:rsidRDefault="00433289" w:rsidP="0090621B">
      <w:pPr>
        <w:pStyle w:val="Caption"/>
      </w:pPr>
      <w:r>
        <w:t>Base</w:t>
      </w:r>
      <w:r w:rsidRPr="00421242">
        <w:t xml:space="preserve"> Case Specification </w:t>
      </w:r>
    </w:p>
    <w:tbl>
      <w:tblPr>
        <w:tblW w:w="864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860"/>
        <w:gridCol w:w="1800"/>
        <w:gridCol w:w="1980"/>
      </w:tblGrid>
      <w:tr w:rsidR="00BF552E" w14:paraId="306EEC35" w14:textId="77777777" w:rsidTr="00BF552E">
        <w:trPr>
          <w:cantSplit/>
          <w:trHeight w:val="20"/>
        </w:trPr>
        <w:tc>
          <w:tcPr>
            <w:tcW w:w="4860" w:type="dxa"/>
            <w:shd w:val="clear" w:color="auto" w:fill="F2F2F2" w:themeFill="background1" w:themeFillShade="F2"/>
            <w:vAlign w:val="bottom"/>
          </w:tcPr>
          <w:p w14:paraId="6818F21C" w14:textId="17B31CCE" w:rsidR="00BF552E" w:rsidRPr="004B4A93" w:rsidRDefault="00BF552E" w:rsidP="00937863">
            <w:pPr>
              <w:keepNext/>
              <w:keepLines/>
              <w:spacing w:before="0" w:after="0"/>
              <w:jc w:val="center"/>
              <w:rPr>
                <w:b/>
                <w:sz w:val="20"/>
                <w:szCs w:val="20"/>
              </w:rPr>
            </w:pPr>
            <w:bookmarkStart w:id="16" w:name="_Toc486490850"/>
            <w:bookmarkStart w:id="17" w:name="_Toc486580921"/>
            <w:r>
              <w:rPr>
                <w:b/>
                <w:sz w:val="20"/>
                <w:szCs w:val="20"/>
              </w:rPr>
              <w:t>Equipment Type</w:t>
            </w:r>
          </w:p>
        </w:tc>
        <w:tc>
          <w:tcPr>
            <w:tcW w:w="1800" w:type="dxa"/>
            <w:shd w:val="clear" w:color="auto" w:fill="F2F2F2" w:themeFill="background1" w:themeFillShade="F2"/>
            <w:vAlign w:val="bottom"/>
          </w:tcPr>
          <w:p w14:paraId="0B085C66" w14:textId="48813C95" w:rsidR="00BF552E" w:rsidRDefault="00BF552E" w:rsidP="00937863">
            <w:pPr>
              <w:keepNext/>
              <w:keepLines/>
              <w:spacing w:before="0" w:after="0"/>
              <w:jc w:val="center"/>
              <w:rPr>
                <w:b/>
                <w:sz w:val="20"/>
                <w:szCs w:val="20"/>
              </w:rPr>
            </w:pPr>
            <w:r>
              <w:rPr>
                <w:rFonts w:cs="Arial"/>
                <w:b/>
                <w:sz w:val="20"/>
              </w:rPr>
              <w:t>Rated Input (</w:t>
            </w:r>
            <w:proofErr w:type="spellStart"/>
            <w:r>
              <w:rPr>
                <w:rFonts w:cs="Arial"/>
                <w:b/>
                <w:sz w:val="20"/>
              </w:rPr>
              <w:t>k</w:t>
            </w:r>
            <w:r w:rsidRPr="00914E43">
              <w:rPr>
                <w:rFonts w:cs="Arial"/>
                <w:b/>
                <w:sz w:val="20"/>
              </w:rPr>
              <w:t>Btu</w:t>
            </w:r>
            <w:proofErr w:type="spellEnd"/>
            <w:r w:rsidRPr="00914E43">
              <w:rPr>
                <w:rFonts w:cs="Arial"/>
                <w:b/>
                <w:sz w:val="20"/>
              </w:rPr>
              <w:t>/</w:t>
            </w:r>
            <w:proofErr w:type="spellStart"/>
            <w:r w:rsidRPr="00914E43">
              <w:rPr>
                <w:rFonts w:cs="Arial"/>
                <w:b/>
                <w:sz w:val="20"/>
              </w:rPr>
              <w:t>hr</w:t>
            </w:r>
            <w:proofErr w:type="spellEnd"/>
            <w:r w:rsidRPr="00914E43">
              <w:rPr>
                <w:rFonts w:cs="Arial"/>
                <w:b/>
                <w:sz w:val="20"/>
              </w:rPr>
              <w:t>)</w:t>
            </w:r>
          </w:p>
        </w:tc>
        <w:tc>
          <w:tcPr>
            <w:tcW w:w="1980" w:type="dxa"/>
            <w:shd w:val="clear" w:color="auto" w:fill="F2F2F2" w:themeFill="background1" w:themeFillShade="F2"/>
            <w:vAlign w:val="bottom"/>
          </w:tcPr>
          <w:p w14:paraId="318AC61C" w14:textId="77777777" w:rsidR="00BF552E" w:rsidRDefault="00BF552E" w:rsidP="00937863">
            <w:pPr>
              <w:keepNext/>
              <w:keepLines/>
              <w:spacing w:before="0" w:after="0"/>
              <w:jc w:val="center"/>
              <w:rPr>
                <w:b/>
                <w:sz w:val="20"/>
                <w:szCs w:val="20"/>
              </w:rPr>
            </w:pPr>
            <w:r>
              <w:rPr>
                <w:b/>
                <w:sz w:val="20"/>
                <w:szCs w:val="20"/>
              </w:rPr>
              <w:t>Min. Thermal Efficiency (TE)</w:t>
            </w:r>
          </w:p>
        </w:tc>
      </w:tr>
      <w:tr w:rsidR="00BF552E" w:rsidRPr="00B20DA3" w14:paraId="57531AF2" w14:textId="77777777" w:rsidTr="00BF552E">
        <w:trPr>
          <w:cantSplit/>
          <w:trHeight w:val="20"/>
        </w:trPr>
        <w:tc>
          <w:tcPr>
            <w:tcW w:w="4860" w:type="dxa"/>
            <w:shd w:val="clear" w:color="auto" w:fill="auto"/>
          </w:tcPr>
          <w:p w14:paraId="2A687CE8" w14:textId="3D016EA7" w:rsidR="00BF552E" w:rsidRPr="00BF552E" w:rsidRDefault="00BF552E" w:rsidP="00937863">
            <w:pPr>
              <w:spacing w:before="0" w:after="0"/>
              <w:rPr>
                <w:rFonts w:cs="Calibri Light"/>
                <w:sz w:val="20"/>
                <w:szCs w:val="20"/>
              </w:rPr>
            </w:pPr>
            <w:r w:rsidRPr="00BF552E">
              <w:rPr>
                <w:rFonts w:cs="Calibri Light"/>
                <w:sz w:val="20"/>
                <w:szCs w:val="20"/>
              </w:rPr>
              <w:t>Central Storage Water Heater</w:t>
            </w:r>
          </w:p>
        </w:tc>
        <w:tc>
          <w:tcPr>
            <w:tcW w:w="1800" w:type="dxa"/>
          </w:tcPr>
          <w:p w14:paraId="1826D8F0" w14:textId="0143D48B" w:rsidR="00BF552E" w:rsidRDefault="00BF552E" w:rsidP="00937863">
            <w:pPr>
              <w:spacing w:before="0" w:after="0"/>
              <w:jc w:val="center"/>
              <w:rPr>
                <w:sz w:val="20"/>
                <w:szCs w:val="20"/>
                <w:highlight w:val="yellow"/>
              </w:rPr>
            </w:pPr>
            <w:r>
              <w:rPr>
                <w:sz w:val="20"/>
                <w:szCs w:val="20"/>
              </w:rPr>
              <w:t xml:space="preserve">&gt; </w:t>
            </w:r>
            <w:r w:rsidRPr="00B20DA3">
              <w:rPr>
                <w:sz w:val="20"/>
                <w:szCs w:val="20"/>
              </w:rPr>
              <w:t>75</w:t>
            </w:r>
          </w:p>
        </w:tc>
        <w:tc>
          <w:tcPr>
            <w:tcW w:w="1980" w:type="dxa"/>
          </w:tcPr>
          <w:p w14:paraId="7B231596" w14:textId="2D70ADE9" w:rsidR="00BF552E" w:rsidRPr="00B20DA3" w:rsidRDefault="00BF552E" w:rsidP="00937863">
            <w:pPr>
              <w:spacing w:before="0" w:after="0"/>
              <w:jc w:val="center"/>
              <w:rPr>
                <w:sz w:val="20"/>
                <w:szCs w:val="20"/>
              </w:rPr>
            </w:pPr>
            <w:r>
              <w:rPr>
                <w:sz w:val="20"/>
                <w:szCs w:val="20"/>
              </w:rPr>
              <w:t>80%</w:t>
            </w:r>
          </w:p>
        </w:tc>
      </w:tr>
    </w:tbl>
    <w:p w14:paraId="6A9A0D57" w14:textId="77777777" w:rsidR="00B20DA3" w:rsidRDefault="00B20DA3" w:rsidP="00B20DA3">
      <w:pPr>
        <w:rPr>
          <w:b/>
          <w:sz w:val="20"/>
          <w:szCs w:val="20"/>
        </w:rPr>
      </w:pPr>
    </w:p>
    <w:p w14:paraId="7D9DA4A6" w14:textId="77777777" w:rsidR="007D230B" w:rsidRPr="00171BB8" w:rsidRDefault="007D230B" w:rsidP="000F1A47">
      <w:pPr>
        <w:pStyle w:val="eTRMHeading3"/>
      </w:pPr>
      <w:bookmarkStart w:id="18" w:name="_Toc2074017"/>
      <w:r w:rsidRPr="004B06E3">
        <w:lastRenderedPageBreak/>
        <w:t>Code Requirements</w:t>
      </w:r>
      <w:bookmarkEnd w:id="16"/>
      <w:bookmarkEnd w:id="17"/>
      <w:bookmarkEnd w:id="18"/>
    </w:p>
    <w:p w14:paraId="034A932D" w14:textId="71835962" w:rsidR="00134EC3" w:rsidRDefault="00350004" w:rsidP="008F02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
        <w:t xml:space="preserve">Applicable state and federal codes and standards </w:t>
      </w:r>
      <w:r w:rsidRPr="00557AC6">
        <w:t xml:space="preserve">for </w:t>
      </w:r>
      <w:r w:rsidR="00A9044F">
        <w:t xml:space="preserve">instantaneous heater/boilers </w:t>
      </w:r>
      <w:r w:rsidR="00A13D53">
        <w:t xml:space="preserve">are </w:t>
      </w:r>
      <w:r w:rsidR="0016220C">
        <w:t>noted</w:t>
      </w:r>
      <w:r w:rsidR="00A13D53">
        <w:t xml:space="preserve"> in </w:t>
      </w:r>
      <w:r w:rsidR="00BD053D">
        <w:t>the table below</w:t>
      </w:r>
      <w:r w:rsidR="0021757C">
        <w:t>.</w:t>
      </w:r>
      <w:bookmarkStart w:id="19" w:name="_Ref486591603"/>
      <w:r w:rsidR="00481F11">
        <w:rPr>
          <w:rStyle w:val="FootnoteReference"/>
        </w:rPr>
        <w:footnoteReference w:id="2"/>
      </w:r>
      <w:r w:rsidR="00D058FA">
        <w:t xml:space="preserve"> </w:t>
      </w:r>
      <w:r w:rsidR="005E7900">
        <w:t>In addition to the state and federal energy use standards, water heating equipment must comply with nitrogen oxide (NOx) emissions limits set forth by air quality management districts (AQMDs) or air pollution control districts (APCDs) throughout the California.</w:t>
      </w:r>
      <w:r w:rsidR="005E7900">
        <w:rPr>
          <w:rStyle w:val="FootnoteReference"/>
        </w:rPr>
        <w:footnoteReference w:id="3"/>
      </w:r>
    </w:p>
    <w:bookmarkEnd w:id="19"/>
    <w:p w14:paraId="0B9A678C" w14:textId="66BC7D38" w:rsidR="0029646E" w:rsidRDefault="00FD2C54" w:rsidP="00481F11">
      <w:pPr>
        <w:pStyle w:val="Caption"/>
      </w:pPr>
      <w:r w:rsidRPr="001F114E">
        <w:t xml:space="preserve">Applicable State and Federal Codes and Standards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430"/>
        <w:gridCol w:w="2160"/>
      </w:tblGrid>
      <w:tr w:rsidR="0090621B" w:rsidRPr="00154391" w14:paraId="304EF174" w14:textId="77777777" w:rsidTr="0090621B">
        <w:tc>
          <w:tcPr>
            <w:tcW w:w="4765" w:type="dxa"/>
            <w:shd w:val="clear" w:color="auto" w:fill="F2F2F2" w:themeFill="background1" w:themeFillShade="F2"/>
            <w:vAlign w:val="bottom"/>
          </w:tcPr>
          <w:p w14:paraId="5B292D29" w14:textId="77777777" w:rsidR="00982189" w:rsidRPr="00154391" w:rsidRDefault="00982189" w:rsidP="00057E21">
            <w:pPr>
              <w:keepNext/>
              <w:keepLines/>
              <w:spacing w:before="20" w:after="20"/>
              <w:rPr>
                <w:b/>
                <w:sz w:val="20"/>
                <w:szCs w:val="20"/>
              </w:rPr>
            </w:pPr>
            <w:r w:rsidRPr="0079498E">
              <w:rPr>
                <w:b/>
                <w:sz w:val="20"/>
              </w:rPr>
              <w:t>Code</w:t>
            </w:r>
          </w:p>
        </w:tc>
        <w:tc>
          <w:tcPr>
            <w:tcW w:w="2430" w:type="dxa"/>
            <w:shd w:val="clear" w:color="auto" w:fill="F2F2F2" w:themeFill="background1" w:themeFillShade="F2"/>
            <w:vAlign w:val="bottom"/>
          </w:tcPr>
          <w:p w14:paraId="55B657F6" w14:textId="77777777" w:rsidR="00982189" w:rsidRPr="00154391" w:rsidRDefault="00982189" w:rsidP="00057E21">
            <w:pPr>
              <w:keepNext/>
              <w:keepLines/>
              <w:spacing w:before="20" w:after="20"/>
              <w:jc w:val="center"/>
              <w:rPr>
                <w:b/>
                <w:sz w:val="20"/>
                <w:szCs w:val="20"/>
              </w:rPr>
            </w:pPr>
            <w:r w:rsidRPr="0079498E">
              <w:rPr>
                <w:b/>
                <w:sz w:val="20"/>
              </w:rPr>
              <w:t>Applicable Code Reference</w:t>
            </w:r>
          </w:p>
        </w:tc>
        <w:tc>
          <w:tcPr>
            <w:tcW w:w="2160" w:type="dxa"/>
            <w:shd w:val="clear" w:color="auto" w:fill="F2F2F2" w:themeFill="background1" w:themeFillShade="F2"/>
            <w:vAlign w:val="bottom"/>
          </w:tcPr>
          <w:p w14:paraId="4F594F95" w14:textId="77777777" w:rsidR="00982189" w:rsidRPr="00154391" w:rsidRDefault="00982189" w:rsidP="00057E21">
            <w:pPr>
              <w:keepNext/>
              <w:keepLines/>
              <w:spacing w:before="20" w:after="20"/>
              <w:jc w:val="center"/>
              <w:rPr>
                <w:b/>
                <w:sz w:val="20"/>
                <w:szCs w:val="20"/>
              </w:rPr>
            </w:pPr>
            <w:r w:rsidRPr="0079498E">
              <w:rPr>
                <w:b/>
                <w:sz w:val="20"/>
              </w:rPr>
              <w:t>Effective Date</w:t>
            </w:r>
          </w:p>
        </w:tc>
      </w:tr>
      <w:tr w:rsidR="0090621B" w:rsidRPr="00FB030E" w14:paraId="5A76D658" w14:textId="77777777" w:rsidTr="0090621B">
        <w:trPr>
          <w:cantSplit/>
          <w:trHeight w:val="20"/>
        </w:trPr>
        <w:tc>
          <w:tcPr>
            <w:tcW w:w="4765" w:type="dxa"/>
            <w:shd w:val="clear" w:color="auto" w:fill="auto"/>
            <w:vAlign w:val="center"/>
          </w:tcPr>
          <w:p w14:paraId="5F91BF50" w14:textId="3688FB3E" w:rsidR="00A9044F" w:rsidRPr="00557AC6" w:rsidRDefault="00A9044F" w:rsidP="00057E21">
            <w:pPr>
              <w:keepNext/>
              <w:keepLines/>
              <w:spacing w:before="20" w:after="20"/>
              <w:rPr>
                <w:rFonts w:cs="Calibri Light"/>
                <w:sz w:val="20"/>
                <w:szCs w:val="20"/>
              </w:rPr>
            </w:pPr>
            <w:r w:rsidRPr="00557AC6">
              <w:rPr>
                <w:rFonts w:cs="Calibri Light"/>
                <w:sz w:val="20"/>
                <w:szCs w:val="20"/>
              </w:rPr>
              <w:t xml:space="preserve">CA Appliance Efficiency Regulations – Title 20 </w:t>
            </w:r>
            <w:r>
              <w:rPr>
                <w:rFonts w:cs="Calibri Light"/>
                <w:sz w:val="20"/>
                <w:szCs w:val="20"/>
              </w:rPr>
              <w:t>(2015</w:t>
            </w:r>
            <w:r w:rsidRPr="00557AC6">
              <w:rPr>
                <w:rFonts w:cs="Calibri Light"/>
                <w:sz w:val="20"/>
                <w:szCs w:val="20"/>
              </w:rPr>
              <w:t>)</w:t>
            </w:r>
          </w:p>
        </w:tc>
        <w:tc>
          <w:tcPr>
            <w:tcW w:w="2430" w:type="dxa"/>
            <w:shd w:val="clear" w:color="auto" w:fill="auto"/>
            <w:vAlign w:val="center"/>
          </w:tcPr>
          <w:p w14:paraId="75654789" w14:textId="2D1BD0EE" w:rsidR="00A9044F" w:rsidRPr="0090621B" w:rsidRDefault="00A9044F" w:rsidP="00057E21">
            <w:pPr>
              <w:keepNext/>
              <w:keepLines/>
              <w:spacing w:before="20" w:after="20"/>
              <w:rPr>
                <w:rFonts w:cs="Arial"/>
                <w:sz w:val="20"/>
                <w:szCs w:val="20"/>
              </w:rPr>
            </w:pPr>
            <w:r w:rsidRPr="0090621B">
              <w:rPr>
                <w:rFonts w:cstheme="minorHAnsi"/>
                <w:sz w:val="20"/>
              </w:rPr>
              <w:t>Section 1605.3(f)</w:t>
            </w:r>
          </w:p>
        </w:tc>
        <w:tc>
          <w:tcPr>
            <w:tcW w:w="2160" w:type="dxa"/>
            <w:shd w:val="clear" w:color="auto" w:fill="auto"/>
            <w:vAlign w:val="center"/>
          </w:tcPr>
          <w:p w14:paraId="49764D0D" w14:textId="2FD07B21" w:rsidR="00A9044F" w:rsidRPr="0090621B" w:rsidRDefault="00E92862" w:rsidP="00481F11">
            <w:pPr>
              <w:keepNext/>
              <w:keepLines/>
              <w:spacing w:before="20" w:after="20"/>
              <w:rPr>
                <w:rFonts w:cs="Calibri Light"/>
                <w:sz w:val="20"/>
                <w:szCs w:val="20"/>
              </w:rPr>
            </w:pPr>
            <w:r>
              <w:rPr>
                <w:rFonts w:cstheme="minorHAnsi"/>
                <w:sz w:val="20"/>
              </w:rPr>
              <w:t>January 20, 2004</w:t>
            </w:r>
          </w:p>
        </w:tc>
      </w:tr>
      <w:tr w:rsidR="0090621B" w:rsidRPr="00FB030E" w14:paraId="0B84FBEB" w14:textId="77777777" w:rsidTr="0090621B">
        <w:trPr>
          <w:cantSplit/>
          <w:trHeight w:val="20"/>
        </w:trPr>
        <w:tc>
          <w:tcPr>
            <w:tcW w:w="4765" w:type="dxa"/>
            <w:shd w:val="clear" w:color="auto" w:fill="auto"/>
            <w:vAlign w:val="center"/>
          </w:tcPr>
          <w:p w14:paraId="1C09DA05" w14:textId="10AF8EC7" w:rsidR="00A9044F" w:rsidRPr="00557AC6" w:rsidRDefault="00A9044F" w:rsidP="00057E21">
            <w:pPr>
              <w:keepNext/>
              <w:keepLines/>
              <w:spacing w:before="20" w:after="20"/>
              <w:rPr>
                <w:rFonts w:cs="Calibri Light"/>
                <w:sz w:val="20"/>
                <w:szCs w:val="20"/>
              </w:rPr>
            </w:pPr>
            <w:r w:rsidRPr="00557AC6">
              <w:rPr>
                <w:rFonts w:cs="Calibri Light"/>
                <w:sz w:val="20"/>
                <w:szCs w:val="20"/>
              </w:rPr>
              <w:t xml:space="preserve">CA Building Energy </w:t>
            </w:r>
            <w:r>
              <w:rPr>
                <w:rFonts w:cs="Calibri Light"/>
                <w:sz w:val="20"/>
                <w:szCs w:val="20"/>
              </w:rPr>
              <w:t>Efficiency Standards – Title 24 (2013)</w:t>
            </w:r>
          </w:p>
        </w:tc>
        <w:tc>
          <w:tcPr>
            <w:tcW w:w="2430" w:type="dxa"/>
            <w:shd w:val="clear" w:color="auto" w:fill="auto"/>
            <w:vAlign w:val="center"/>
          </w:tcPr>
          <w:p w14:paraId="40FDA272" w14:textId="1149F596" w:rsidR="00A9044F" w:rsidRPr="0090621B" w:rsidRDefault="00A9044F" w:rsidP="00057E21">
            <w:pPr>
              <w:spacing w:before="20" w:after="20"/>
              <w:rPr>
                <w:rFonts w:cs="Calibri Light"/>
                <w:sz w:val="20"/>
                <w:szCs w:val="20"/>
              </w:rPr>
            </w:pPr>
            <w:r w:rsidRPr="0090621B">
              <w:rPr>
                <w:rFonts w:cstheme="minorHAnsi"/>
                <w:sz w:val="20"/>
              </w:rPr>
              <w:t>Section 110.3</w:t>
            </w:r>
          </w:p>
        </w:tc>
        <w:tc>
          <w:tcPr>
            <w:tcW w:w="2160" w:type="dxa"/>
            <w:shd w:val="clear" w:color="auto" w:fill="auto"/>
            <w:vAlign w:val="center"/>
          </w:tcPr>
          <w:p w14:paraId="5D4DC4D5" w14:textId="3DCC1010" w:rsidR="00A9044F" w:rsidRPr="0090621B" w:rsidRDefault="00170D1A" w:rsidP="00481F11">
            <w:pPr>
              <w:keepNext/>
              <w:keepLines/>
              <w:spacing w:before="20" w:after="20"/>
              <w:rPr>
                <w:rFonts w:cs="Calibri Light"/>
                <w:sz w:val="20"/>
                <w:szCs w:val="20"/>
              </w:rPr>
            </w:pPr>
            <w:r>
              <w:rPr>
                <w:rFonts w:cstheme="minorHAnsi"/>
                <w:sz w:val="20"/>
              </w:rPr>
              <w:t xml:space="preserve">November 26, </w:t>
            </w:r>
            <w:r w:rsidR="00A9044F" w:rsidRPr="0090621B">
              <w:rPr>
                <w:rFonts w:cstheme="minorHAnsi"/>
                <w:sz w:val="20"/>
              </w:rPr>
              <w:t>2013</w:t>
            </w:r>
          </w:p>
        </w:tc>
      </w:tr>
      <w:tr w:rsidR="0090621B" w:rsidRPr="00FB030E" w14:paraId="79C796B2" w14:textId="77777777" w:rsidTr="0090621B">
        <w:trPr>
          <w:cantSplit/>
          <w:trHeight w:val="20"/>
        </w:trPr>
        <w:tc>
          <w:tcPr>
            <w:tcW w:w="4765" w:type="dxa"/>
            <w:tcBorders>
              <w:bottom w:val="single" w:sz="4" w:space="0" w:color="A6A6A6" w:themeColor="background1" w:themeShade="A6"/>
            </w:tcBorders>
            <w:shd w:val="clear" w:color="auto" w:fill="auto"/>
            <w:vAlign w:val="center"/>
          </w:tcPr>
          <w:p w14:paraId="07C1265D" w14:textId="1097FF84" w:rsidR="00A9044F" w:rsidRPr="00557AC6" w:rsidRDefault="00A9044F" w:rsidP="00057E21">
            <w:pPr>
              <w:keepNext/>
              <w:keepLines/>
              <w:spacing w:before="20" w:after="20"/>
              <w:rPr>
                <w:rFonts w:cs="Calibri Light"/>
                <w:sz w:val="20"/>
                <w:szCs w:val="20"/>
              </w:rPr>
            </w:pPr>
            <w:r w:rsidRPr="00557AC6">
              <w:rPr>
                <w:rFonts w:cs="Calibri Light"/>
                <w:sz w:val="20"/>
                <w:szCs w:val="20"/>
              </w:rPr>
              <w:t>Federal Standards</w:t>
            </w:r>
            <w:r>
              <w:rPr>
                <w:rFonts w:cs="Calibri Light"/>
                <w:sz w:val="20"/>
                <w:szCs w:val="20"/>
              </w:rPr>
              <w:t xml:space="preserve"> – Code of Federal Regulations</w:t>
            </w:r>
          </w:p>
        </w:tc>
        <w:tc>
          <w:tcPr>
            <w:tcW w:w="2430" w:type="dxa"/>
            <w:tcBorders>
              <w:bottom w:val="single" w:sz="4" w:space="0" w:color="A6A6A6" w:themeColor="background1" w:themeShade="A6"/>
            </w:tcBorders>
            <w:shd w:val="clear" w:color="auto" w:fill="auto"/>
            <w:vAlign w:val="center"/>
          </w:tcPr>
          <w:p w14:paraId="17E975E9" w14:textId="1D46671B" w:rsidR="00A9044F" w:rsidRPr="0090621B" w:rsidRDefault="00A9044F" w:rsidP="00057E21">
            <w:pPr>
              <w:keepNext/>
              <w:keepLines/>
              <w:spacing w:before="20" w:after="20"/>
              <w:rPr>
                <w:rFonts w:cs="Calibri Light"/>
                <w:sz w:val="20"/>
                <w:szCs w:val="20"/>
              </w:rPr>
            </w:pPr>
            <w:r w:rsidRPr="0090621B">
              <w:rPr>
                <w:rFonts w:cstheme="minorHAnsi"/>
                <w:sz w:val="20"/>
              </w:rPr>
              <w:t>10 CFR 430.32(d)</w:t>
            </w:r>
          </w:p>
        </w:tc>
        <w:tc>
          <w:tcPr>
            <w:tcW w:w="2160" w:type="dxa"/>
            <w:tcBorders>
              <w:bottom w:val="single" w:sz="4" w:space="0" w:color="A6A6A6" w:themeColor="background1" w:themeShade="A6"/>
            </w:tcBorders>
            <w:shd w:val="clear" w:color="auto" w:fill="auto"/>
            <w:vAlign w:val="center"/>
          </w:tcPr>
          <w:p w14:paraId="725D20FE" w14:textId="31828B5C" w:rsidR="00A9044F" w:rsidRPr="0090621B" w:rsidRDefault="00170D1A" w:rsidP="00481F11">
            <w:pPr>
              <w:keepNext/>
              <w:keepLines/>
              <w:spacing w:before="20" w:after="20"/>
              <w:rPr>
                <w:rFonts w:cs="Calibri Light"/>
                <w:sz w:val="20"/>
                <w:szCs w:val="20"/>
              </w:rPr>
            </w:pPr>
            <w:r>
              <w:rPr>
                <w:rFonts w:cstheme="minorHAnsi"/>
                <w:sz w:val="20"/>
              </w:rPr>
              <w:t xml:space="preserve">April 16, </w:t>
            </w:r>
            <w:r w:rsidR="00A9044F" w:rsidRPr="0090621B">
              <w:rPr>
                <w:rFonts w:cstheme="minorHAnsi"/>
                <w:sz w:val="20"/>
              </w:rPr>
              <w:t>2015</w:t>
            </w:r>
          </w:p>
        </w:tc>
      </w:tr>
      <w:tr w:rsidR="00481F11" w:rsidRPr="0090621B" w14:paraId="22B69A19" w14:textId="77777777" w:rsidTr="00CB4ACF">
        <w:trPr>
          <w:cantSplit/>
          <w:trHeight w:val="20"/>
        </w:trPr>
        <w:tc>
          <w:tcPr>
            <w:tcW w:w="9355" w:type="dxa"/>
            <w:gridSpan w:val="3"/>
            <w:shd w:val="clear" w:color="auto" w:fill="auto"/>
            <w:vAlign w:val="center"/>
          </w:tcPr>
          <w:p w14:paraId="3425A1A2" w14:textId="3BF8F50A" w:rsidR="00481F11" w:rsidRPr="0090621B" w:rsidRDefault="00481F11" w:rsidP="00481F11">
            <w:pPr>
              <w:keepNext/>
              <w:keepLines/>
              <w:spacing w:before="20" w:after="20"/>
              <w:rPr>
                <w:rFonts w:cstheme="minorHAnsi"/>
                <w:sz w:val="20"/>
                <w:szCs w:val="20"/>
              </w:rPr>
            </w:pPr>
            <w:r w:rsidRPr="00DA77D3">
              <w:rPr>
                <w:rFonts w:cs="Calibri Light"/>
                <w:sz w:val="20"/>
                <w:szCs w:val="20"/>
              </w:rPr>
              <w:t>California Air Quality Management</w:t>
            </w:r>
            <w:r>
              <w:rPr>
                <w:rFonts w:cs="Calibri Light"/>
                <w:sz w:val="20"/>
                <w:szCs w:val="20"/>
              </w:rPr>
              <w:t xml:space="preserve"> and Air Pollution Control</w:t>
            </w:r>
            <w:r w:rsidRPr="00DA77D3">
              <w:rPr>
                <w:rFonts w:cs="Calibri Light"/>
                <w:sz w:val="20"/>
                <w:szCs w:val="20"/>
              </w:rPr>
              <w:t xml:space="preserve"> District</w:t>
            </w:r>
            <w:r>
              <w:rPr>
                <w:rFonts w:cs="Calibri Light"/>
                <w:sz w:val="20"/>
                <w:szCs w:val="20"/>
              </w:rPr>
              <w:t>s</w:t>
            </w:r>
          </w:p>
        </w:tc>
      </w:tr>
      <w:tr w:rsidR="00481F11" w:rsidRPr="0090621B" w14:paraId="115A7416" w14:textId="77777777" w:rsidTr="0090621B">
        <w:trPr>
          <w:cantSplit/>
          <w:trHeight w:val="20"/>
        </w:trPr>
        <w:tc>
          <w:tcPr>
            <w:tcW w:w="4765" w:type="dxa"/>
            <w:shd w:val="clear" w:color="auto" w:fill="auto"/>
            <w:vAlign w:val="center"/>
          </w:tcPr>
          <w:p w14:paraId="241FF39A" w14:textId="36CDD96B" w:rsidR="00481F11" w:rsidRPr="0090621B" w:rsidRDefault="00481F11" w:rsidP="00481F11">
            <w:pPr>
              <w:keepNext/>
              <w:keepLines/>
              <w:spacing w:before="20" w:after="20"/>
              <w:ind w:left="336"/>
              <w:rPr>
                <w:rFonts w:cs="Calibri Light"/>
                <w:sz w:val="20"/>
                <w:szCs w:val="20"/>
              </w:rPr>
            </w:pPr>
            <w:r w:rsidRPr="0090621B">
              <w:rPr>
                <w:rFonts w:cstheme="minorHAnsi"/>
                <w:sz w:val="20"/>
                <w:szCs w:val="20"/>
              </w:rPr>
              <w:t>South Coast AQMD</w:t>
            </w:r>
          </w:p>
        </w:tc>
        <w:tc>
          <w:tcPr>
            <w:tcW w:w="2430" w:type="dxa"/>
            <w:shd w:val="clear" w:color="auto" w:fill="auto"/>
            <w:vAlign w:val="center"/>
          </w:tcPr>
          <w:p w14:paraId="25E76254" w14:textId="77777777" w:rsidR="00481F11" w:rsidRDefault="00481F11" w:rsidP="00481F11">
            <w:pPr>
              <w:keepNext/>
              <w:keepLines/>
              <w:spacing w:before="20" w:after="20"/>
              <w:rPr>
                <w:rFonts w:cstheme="minorHAnsi"/>
                <w:sz w:val="20"/>
                <w:szCs w:val="20"/>
              </w:rPr>
            </w:pPr>
            <w:r>
              <w:rPr>
                <w:rFonts w:cstheme="minorHAnsi"/>
                <w:sz w:val="20"/>
                <w:szCs w:val="20"/>
              </w:rPr>
              <w:t>Rule 1121</w:t>
            </w:r>
          </w:p>
          <w:p w14:paraId="78D1165C" w14:textId="38B3F454" w:rsidR="00481F11" w:rsidRPr="0090621B" w:rsidRDefault="00481F11" w:rsidP="00481F11">
            <w:pPr>
              <w:keepNext/>
              <w:keepLines/>
              <w:spacing w:before="20" w:after="20"/>
              <w:rPr>
                <w:rFonts w:cstheme="minorHAnsi"/>
                <w:sz w:val="20"/>
                <w:szCs w:val="20"/>
              </w:rPr>
            </w:pPr>
            <w:r w:rsidRPr="00DA77D3">
              <w:rPr>
                <w:rFonts w:cstheme="minorHAnsi"/>
                <w:sz w:val="20"/>
                <w:szCs w:val="20"/>
              </w:rPr>
              <w:t>Rule 1146.2</w:t>
            </w:r>
          </w:p>
        </w:tc>
        <w:tc>
          <w:tcPr>
            <w:tcW w:w="2160" w:type="dxa"/>
            <w:shd w:val="clear" w:color="auto" w:fill="auto"/>
            <w:vAlign w:val="center"/>
          </w:tcPr>
          <w:p w14:paraId="130D88C3" w14:textId="77777777" w:rsidR="00481F11" w:rsidRDefault="00481F11" w:rsidP="00481F11">
            <w:pPr>
              <w:keepNext/>
              <w:keepLines/>
              <w:spacing w:before="20" w:after="20"/>
              <w:rPr>
                <w:rFonts w:cstheme="minorHAnsi"/>
                <w:sz w:val="20"/>
                <w:szCs w:val="20"/>
              </w:rPr>
            </w:pPr>
            <w:r w:rsidRPr="00DA77D3">
              <w:rPr>
                <w:rFonts w:cstheme="minorHAnsi"/>
                <w:sz w:val="20"/>
                <w:szCs w:val="20"/>
              </w:rPr>
              <w:t>September 3, 2004</w:t>
            </w:r>
          </w:p>
          <w:p w14:paraId="0853C934" w14:textId="09444DBA" w:rsidR="00481F11" w:rsidRPr="00170D1A" w:rsidRDefault="00481F11" w:rsidP="00481F11">
            <w:pPr>
              <w:keepNext/>
              <w:keepLines/>
              <w:spacing w:before="20" w:after="20"/>
              <w:rPr>
                <w:rFonts w:cstheme="minorHAnsi"/>
                <w:i/>
                <w:sz w:val="20"/>
                <w:szCs w:val="20"/>
              </w:rPr>
            </w:pPr>
            <w:r>
              <w:rPr>
                <w:rFonts w:cstheme="minorHAnsi"/>
                <w:sz w:val="20"/>
                <w:szCs w:val="20"/>
              </w:rPr>
              <w:t>May 5, 2006</w:t>
            </w:r>
          </w:p>
        </w:tc>
      </w:tr>
      <w:tr w:rsidR="00481F11" w:rsidRPr="0090621B" w14:paraId="0FAF93B3" w14:textId="77777777" w:rsidTr="0090621B">
        <w:trPr>
          <w:cantSplit/>
          <w:trHeight w:val="20"/>
        </w:trPr>
        <w:tc>
          <w:tcPr>
            <w:tcW w:w="4765" w:type="dxa"/>
            <w:shd w:val="clear" w:color="auto" w:fill="auto"/>
            <w:vAlign w:val="center"/>
          </w:tcPr>
          <w:p w14:paraId="58A8C12A" w14:textId="0F4353D1" w:rsidR="00481F11" w:rsidRPr="0090621B" w:rsidRDefault="00481F11" w:rsidP="00481F11">
            <w:pPr>
              <w:keepNext/>
              <w:keepLines/>
              <w:spacing w:before="20" w:after="20"/>
              <w:ind w:left="336"/>
              <w:rPr>
                <w:rFonts w:cs="Calibri Light"/>
                <w:sz w:val="20"/>
                <w:szCs w:val="20"/>
              </w:rPr>
            </w:pPr>
            <w:r w:rsidRPr="0090621B">
              <w:rPr>
                <w:rFonts w:cstheme="minorHAnsi"/>
                <w:sz w:val="20"/>
                <w:szCs w:val="20"/>
              </w:rPr>
              <w:t>Bay Area AQMD</w:t>
            </w:r>
          </w:p>
        </w:tc>
        <w:tc>
          <w:tcPr>
            <w:tcW w:w="2430" w:type="dxa"/>
            <w:shd w:val="clear" w:color="auto" w:fill="auto"/>
            <w:vAlign w:val="center"/>
          </w:tcPr>
          <w:p w14:paraId="5D074A30" w14:textId="23F52718" w:rsidR="00481F11" w:rsidRPr="0090621B" w:rsidRDefault="00481F11" w:rsidP="00481F11">
            <w:pPr>
              <w:keepNext/>
              <w:keepLines/>
              <w:spacing w:before="20" w:after="20"/>
              <w:rPr>
                <w:rFonts w:cstheme="minorHAnsi"/>
                <w:sz w:val="20"/>
                <w:szCs w:val="20"/>
              </w:rPr>
            </w:pPr>
            <w:r w:rsidRPr="006B3568">
              <w:rPr>
                <w:rFonts w:cstheme="minorHAnsi"/>
                <w:sz w:val="20"/>
                <w:szCs w:val="20"/>
              </w:rPr>
              <w:t>Regulation 9, Rule 6</w:t>
            </w:r>
          </w:p>
        </w:tc>
        <w:tc>
          <w:tcPr>
            <w:tcW w:w="2160" w:type="dxa"/>
            <w:shd w:val="clear" w:color="auto" w:fill="auto"/>
            <w:vAlign w:val="center"/>
          </w:tcPr>
          <w:p w14:paraId="7BB5FCC9" w14:textId="325FB35B" w:rsidR="00481F11" w:rsidRPr="00170D1A" w:rsidRDefault="00481F11" w:rsidP="00481F11">
            <w:pPr>
              <w:keepNext/>
              <w:keepLines/>
              <w:spacing w:before="20" w:after="20"/>
              <w:rPr>
                <w:rFonts w:cstheme="minorHAnsi"/>
                <w:i/>
                <w:sz w:val="20"/>
                <w:szCs w:val="20"/>
              </w:rPr>
            </w:pPr>
            <w:r w:rsidRPr="006B3568">
              <w:rPr>
                <w:rFonts w:cstheme="minorHAnsi"/>
                <w:sz w:val="20"/>
                <w:szCs w:val="20"/>
              </w:rPr>
              <w:t>November 7, 2007</w:t>
            </w:r>
          </w:p>
        </w:tc>
      </w:tr>
      <w:tr w:rsidR="00481F11" w:rsidRPr="0090621B" w14:paraId="03D6C6AA" w14:textId="77777777" w:rsidTr="0090621B">
        <w:trPr>
          <w:cantSplit/>
          <w:trHeight w:val="20"/>
        </w:trPr>
        <w:tc>
          <w:tcPr>
            <w:tcW w:w="4765" w:type="dxa"/>
            <w:shd w:val="clear" w:color="auto" w:fill="auto"/>
            <w:vAlign w:val="center"/>
          </w:tcPr>
          <w:p w14:paraId="5A472DA5" w14:textId="0BC0CACA" w:rsidR="00481F11" w:rsidRPr="0090621B" w:rsidRDefault="00481F11" w:rsidP="00481F11">
            <w:pPr>
              <w:keepNext/>
              <w:keepLines/>
              <w:spacing w:before="20" w:after="20"/>
              <w:ind w:left="336"/>
              <w:rPr>
                <w:rFonts w:cs="Calibri Light"/>
                <w:sz w:val="20"/>
                <w:szCs w:val="20"/>
              </w:rPr>
            </w:pPr>
            <w:r w:rsidRPr="0090621B">
              <w:rPr>
                <w:rFonts w:cstheme="minorHAnsi"/>
                <w:sz w:val="20"/>
                <w:szCs w:val="20"/>
              </w:rPr>
              <w:t>San Joaquin Valley APCD</w:t>
            </w:r>
          </w:p>
        </w:tc>
        <w:tc>
          <w:tcPr>
            <w:tcW w:w="2430" w:type="dxa"/>
            <w:shd w:val="clear" w:color="auto" w:fill="auto"/>
            <w:vAlign w:val="center"/>
          </w:tcPr>
          <w:p w14:paraId="77AEFB63" w14:textId="22F40691" w:rsidR="00481F11" w:rsidRPr="0090621B" w:rsidRDefault="00481F11" w:rsidP="00481F11">
            <w:pPr>
              <w:keepNext/>
              <w:keepLines/>
              <w:spacing w:before="20" w:after="20"/>
              <w:rPr>
                <w:rFonts w:cstheme="minorHAnsi"/>
                <w:sz w:val="20"/>
                <w:szCs w:val="20"/>
              </w:rPr>
            </w:pPr>
            <w:r w:rsidRPr="006B3568">
              <w:rPr>
                <w:rFonts w:cstheme="minorHAnsi"/>
                <w:sz w:val="20"/>
                <w:szCs w:val="20"/>
              </w:rPr>
              <w:t>Rule 4902</w:t>
            </w:r>
          </w:p>
        </w:tc>
        <w:tc>
          <w:tcPr>
            <w:tcW w:w="2160" w:type="dxa"/>
            <w:shd w:val="clear" w:color="auto" w:fill="auto"/>
            <w:vAlign w:val="center"/>
          </w:tcPr>
          <w:p w14:paraId="0EEF0D1D" w14:textId="28622529" w:rsidR="00481F11" w:rsidRPr="00170D1A" w:rsidRDefault="00481F11" w:rsidP="00481F11">
            <w:pPr>
              <w:keepNext/>
              <w:keepLines/>
              <w:spacing w:before="20" w:after="20"/>
              <w:rPr>
                <w:rFonts w:cstheme="minorHAnsi"/>
                <w:i/>
                <w:sz w:val="20"/>
                <w:szCs w:val="20"/>
              </w:rPr>
            </w:pPr>
            <w:r w:rsidRPr="006B3568">
              <w:rPr>
                <w:rFonts w:cstheme="minorHAnsi"/>
                <w:sz w:val="20"/>
                <w:szCs w:val="20"/>
              </w:rPr>
              <w:t>March 19, 2009</w:t>
            </w:r>
          </w:p>
        </w:tc>
      </w:tr>
      <w:tr w:rsidR="00481F11" w:rsidRPr="0090621B" w14:paraId="6984FC83" w14:textId="77777777" w:rsidTr="0090621B">
        <w:trPr>
          <w:cantSplit/>
          <w:trHeight w:val="20"/>
        </w:trPr>
        <w:tc>
          <w:tcPr>
            <w:tcW w:w="4765" w:type="dxa"/>
            <w:shd w:val="clear" w:color="auto" w:fill="auto"/>
            <w:vAlign w:val="center"/>
          </w:tcPr>
          <w:p w14:paraId="27A1DD6B" w14:textId="798D50CC" w:rsidR="00481F11" w:rsidRPr="0090621B" w:rsidRDefault="00481F11" w:rsidP="00481F11">
            <w:pPr>
              <w:keepNext/>
              <w:keepLines/>
              <w:spacing w:before="20" w:after="20"/>
              <w:ind w:left="336"/>
              <w:rPr>
                <w:rFonts w:cs="Calibri Light"/>
                <w:sz w:val="20"/>
                <w:szCs w:val="20"/>
              </w:rPr>
            </w:pPr>
            <w:r w:rsidRPr="0090621B">
              <w:rPr>
                <w:rFonts w:cstheme="minorHAnsi"/>
                <w:sz w:val="20"/>
                <w:szCs w:val="20"/>
              </w:rPr>
              <w:t>Sacramento Metropolitan AQMD</w:t>
            </w:r>
          </w:p>
        </w:tc>
        <w:tc>
          <w:tcPr>
            <w:tcW w:w="2430" w:type="dxa"/>
            <w:shd w:val="clear" w:color="auto" w:fill="auto"/>
            <w:vAlign w:val="center"/>
          </w:tcPr>
          <w:p w14:paraId="07B80C78" w14:textId="03242A86" w:rsidR="00481F11" w:rsidRPr="0090621B" w:rsidRDefault="00481F11" w:rsidP="00481F11">
            <w:pPr>
              <w:keepNext/>
              <w:keepLines/>
              <w:spacing w:before="20" w:after="20"/>
              <w:rPr>
                <w:rFonts w:cstheme="minorHAnsi"/>
                <w:sz w:val="20"/>
                <w:szCs w:val="20"/>
              </w:rPr>
            </w:pPr>
            <w:r w:rsidRPr="006B3568">
              <w:rPr>
                <w:rFonts w:cstheme="minorHAnsi"/>
                <w:sz w:val="20"/>
                <w:szCs w:val="20"/>
              </w:rPr>
              <w:t>Rule 414</w:t>
            </w:r>
          </w:p>
        </w:tc>
        <w:tc>
          <w:tcPr>
            <w:tcW w:w="2160" w:type="dxa"/>
            <w:shd w:val="clear" w:color="auto" w:fill="auto"/>
            <w:vAlign w:val="center"/>
          </w:tcPr>
          <w:p w14:paraId="3AC31838" w14:textId="52DEE00B" w:rsidR="00481F11" w:rsidRPr="00170D1A" w:rsidRDefault="00481F11" w:rsidP="00481F11">
            <w:pPr>
              <w:keepNext/>
              <w:keepLines/>
              <w:spacing w:before="20" w:after="20"/>
              <w:rPr>
                <w:rFonts w:cstheme="minorHAnsi"/>
                <w:i/>
                <w:sz w:val="20"/>
                <w:szCs w:val="20"/>
              </w:rPr>
            </w:pPr>
            <w:r w:rsidRPr="006B3568">
              <w:rPr>
                <w:rFonts w:cstheme="minorHAnsi"/>
                <w:sz w:val="20"/>
                <w:szCs w:val="20"/>
              </w:rPr>
              <w:t>March 25, 2010.</w:t>
            </w:r>
          </w:p>
        </w:tc>
      </w:tr>
      <w:tr w:rsidR="00481F11" w:rsidRPr="0090621B" w14:paraId="55C0F69B" w14:textId="77777777" w:rsidTr="0090621B">
        <w:trPr>
          <w:cantSplit/>
          <w:trHeight w:val="20"/>
        </w:trPr>
        <w:tc>
          <w:tcPr>
            <w:tcW w:w="4765" w:type="dxa"/>
            <w:shd w:val="clear" w:color="auto" w:fill="auto"/>
            <w:vAlign w:val="center"/>
          </w:tcPr>
          <w:p w14:paraId="74385399" w14:textId="57F9DE02" w:rsidR="00481F11" w:rsidRPr="0090621B" w:rsidRDefault="00481F11" w:rsidP="00481F11">
            <w:pPr>
              <w:keepNext/>
              <w:keepLines/>
              <w:spacing w:before="20" w:after="20"/>
              <w:ind w:left="336"/>
              <w:rPr>
                <w:rFonts w:cs="Calibri Light"/>
                <w:sz w:val="20"/>
                <w:szCs w:val="20"/>
              </w:rPr>
            </w:pPr>
            <w:r w:rsidRPr="0090621B">
              <w:rPr>
                <w:rFonts w:cstheme="minorHAnsi"/>
                <w:sz w:val="20"/>
                <w:szCs w:val="20"/>
              </w:rPr>
              <w:t>Yolo-Solano AQMD</w:t>
            </w:r>
          </w:p>
        </w:tc>
        <w:tc>
          <w:tcPr>
            <w:tcW w:w="2430" w:type="dxa"/>
            <w:shd w:val="clear" w:color="auto" w:fill="auto"/>
            <w:vAlign w:val="center"/>
          </w:tcPr>
          <w:p w14:paraId="2FEC1C34" w14:textId="5321A0FB" w:rsidR="00481F11" w:rsidRPr="0090621B" w:rsidRDefault="00481F11" w:rsidP="00481F11">
            <w:pPr>
              <w:keepNext/>
              <w:keepLines/>
              <w:spacing w:before="20" w:after="20"/>
              <w:rPr>
                <w:rFonts w:cstheme="minorHAnsi"/>
                <w:sz w:val="20"/>
                <w:szCs w:val="20"/>
              </w:rPr>
            </w:pPr>
            <w:r w:rsidRPr="007F7411">
              <w:rPr>
                <w:rFonts w:cstheme="minorHAnsi"/>
                <w:sz w:val="20"/>
                <w:szCs w:val="20"/>
              </w:rPr>
              <w:t>Regulation II, Rule 2.37</w:t>
            </w:r>
          </w:p>
        </w:tc>
        <w:tc>
          <w:tcPr>
            <w:tcW w:w="2160" w:type="dxa"/>
            <w:shd w:val="clear" w:color="auto" w:fill="auto"/>
            <w:vAlign w:val="center"/>
          </w:tcPr>
          <w:p w14:paraId="1002C80B" w14:textId="7550F34B" w:rsidR="00481F11" w:rsidRPr="00170D1A" w:rsidRDefault="00481F11" w:rsidP="00481F11">
            <w:pPr>
              <w:keepNext/>
              <w:keepLines/>
              <w:spacing w:before="20" w:after="20"/>
              <w:rPr>
                <w:rFonts w:cstheme="minorHAnsi"/>
                <w:i/>
                <w:sz w:val="20"/>
                <w:szCs w:val="20"/>
              </w:rPr>
            </w:pPr>
            <w:r w:rsidRPr="007F7411">
              <w:rPr>
                <w:sz w:val="20"/>
                <w:szCs w:val="20"/>
              </w:rPr>
              <w:t>April 8, 2009.</w:t>
            </w:r>
          </w:p>
        </w:tc>
      </w:tr>
      <w:tr w:rsidR="00481F11" w:rsidRPr="0090621B" w14:paraId="0BD8B17C" w14:textId="77777777" w:rsidTr="0090621B">
        <w:trPr>
          <w:cantSplit/>
          <w:trHeight w:val="20"/>
        </w:trPr>
        <w:tc>
          <w:tcPr>
            <w:tcW w:w="4765" w:type="dxa"/>
            <w:shd w:val="clear" w:color="auto" w:fill="auto"/>
            <w:vAlign w:val="center"/>
          </w:tcPr>
          <w:p w14:paraId="4D0434FA" w14:textId="79FDBC52" w:rsidR="00481F11" w:rsidRPr="0090621B" w:rsidRDefault="00481F11" w:rsidP="00481F11">
            <w:pPr>
              <w:keepNext/>
              <w:keepLines/>
              <w:spacing w:before="20" w:after="20"/>
              <w:ind w:left="336"/>
              <w:rPr>
                <w:rFonts w:cs="Calibri Light"/>
                <w:sz w:val="20"/>
                <w:szCs w:val="20"/>
              </w:rPr>
            </w:pPr>
            <w:r w:rsidRPr="0090621B">
              <w:rPr>
                <w:rFonts w:cstheme="minorHAnsi"/>
                <w:sz w:val="20"/>
                <w:szCs w:val="20"/>
              </w:rPr>
              <w:t>Ventura County Air Pollution Control District</w:t>
            </w:r>
          </w:p>
        </w:tc>
        <w:tc>
          <w:tcPr>
            <w:tcW w:w="2430" w:type="dxa"/>
            <w:shd w:val="clear" w:color="auto" w:fill="auto"/>
            <w:vAlign w:val="center"/>
          </w:tcPr>
          <w:p w14:paraId="35714897" w14:textId="37A85045" w:rsidR="00481F11" w:rsidRPr="0090621B" w:rsidRDefault="00481F11" w:rsidP="00481F11">
            <w:pPr>
              <w:keepNext/>
              <w:keepLines/>
              <w:spacing w:before="20" w:after="20"/>
              <w:rPr>
                <w:rFonts w:cstheme="minorHAnsi"/>
                <w:sz w:val="20"/>
                <w:szCs w:val="20"/>
              </w:rPr>
            </w:pPr>
            <w:r w:rsidRPr="00CF680F">
              <w:rPr>
                <w:rFonts w:cstheme="minorHAnsi"/>
                <w:sz w:val="20"/>
                <w:szCs w:val="20"/>
              </w:rPr>
              <w:t>Rule 74.11</w:t>
            </w:r>
          </w:p>
        </w:tc>
        <w:tc>
          <w:tcPr>
            <w:tcW w:w="2160" w:type="dxa"/>
            <w:shd w:val="clear" w:color="auto" w:fill="auto"/>
            <w:vAlign w:val="center"/>
          </w:tcPr>
          <w:p w14:paraId="55FAA6AA" w14:textId="06975CA0" w:rsidR="00481F11" w:rsidRPr="00170D1A" w:rsidRDefault="00481F11" w:rsidP="00481F11">
            <w:pPr>
              <w:keepNext/>
              <w:keepLines/>
              <w:spacing w:before="20" w:after="20"/>
              <w:rPr>
                <w:rFonts w:cstheme="minorHAnsi"/>
                <w:i/>
                <w:sz w:val="20"/>
                <w:szCs w:val="20"/>
              </w:rPr>
            </w:pPr>
            <w:r w:rsidRPr="00CF680F">
              <w:rPr>
                <w:rFonts w:cstheme="minorHAnsi"/>
                <w:sz w:val="20"/>
                <w:szCs w:val="20"/>
              </w:rPr>
              <w:t>January 12, 2010</w:t>
            </w:r>
          </w:p>
        </w:tc>
      </w:tr>
    </w:tbl>
    <w:p w14:paraId="0FB180F7" w14:textId="77777777" w:rsidR="00A9044F" w:rsidRDefault="00A9044F" w:rsidP="00170D1A">
      <w:bookmarkStart w:id="21" w:name="_Toc460941291"/>
      <w:bookmarkStart w:id="22" w:name="_Toc462148365"/>
    </w:p>
    <w:p w14:paraId="1EE16D20" w14:textId="25BC78D5" w:rsidR="007D230B" w:rsidRPr="00171BB8" w:rsidRDefault="007D230B" w:rsidP="000F1A47">
      <w:pPr>
        <w:pStyle w:val="eTRMHeading3"/>
      </w:pPr>
      <w:bookmarkStart w:id="23" w:name="_Toc486490851"/>
      <w:bookmarkStart w:id="24" w:name="_Toc486580922"/>
      <w:bookmarkStart w:id="25" w:name="_Toc2074018"/>
      <w:bookmarkEnd w:id="21"/>
      <w:bookmarkEnd w:id="22"/>
      <w:r w:rsidRPr="00A83458">
        <w:t>Normalizing</w:t>
      </w:r>
      <w:r w:rsidRPr="00171BB8">
        <w:t xml:space="preserve"> Unit</w:t>
      </w:r>
      <w:bookmarkEnd w:id="23"/>
      <w:bookmarkEnd w:id="24"/>
      <w:bookmarkEnd w:id="25"/>
    </w:p>
    <w:p w14:paraId="6F2848EE" w14:textId="7F547973" w:rsidR="00DF47A9" w:rsidRDefault="00EF2CB5" w:rsidP="0016220C">
      <w:r>
        <w:t>The normalizing unit is p</w:t>
      </w:r>
      <w:r w:rsidRPr="001744E0">
        <w:t xml:space="preserve">er </w:t>
      </w:r>
      <w:proofErr w:type="spellStart"/>
      <w:r w:rsidR="00AB014C">
        <w:t>k</w:t>
      </w:r>
      <w:r w:rsidRPr="001744E0">
        <w:t>Btu</w:t>
      </w:r>
      <w:proofErr w:type="spellEnd"/>
      <w:r w:rsidR="00AB014C">
        <w:t>/</w:t>
      </w:r>
      <w:proofErr w:type="spellStart"/>
      <w:r w:rsidRPr="001744E0">
        <w:t>h</w:t>
      </w:r>
      <w:r w:rsidR="00AB014C">
        <w:t>r</w:t>
      </w:r>
      <w:proofErr w:type="spellEnd"/>
      <w:r w:rsidRPr="001744E0">
        <w:t xml:space="preserve"> of rated input capacity</w:t>
      </w:r>
      <w:r>
        <w:t>.</w:t>
      </w:r>
    </w:p>
    <w:p w14:paraId="48FB6DDC" w14:textId="77777777" w:rsidR="005D0817" w:rsidRPr="007D230B" w:rsidRDefault="005D0817" w:rsidP="00486585"/>
    <w:p w14:paraId="2F4904E6" w14:textId="77777777" w:rsidR="007D230B" w:rsidRPr="004B06E3" w:rsidRDefault="007D230B" w:rsidP="00277AFF">
      <w:pPr>
        <w:pStyle w:val="eTRMHeading3"/>
      </w:pPr>
      <w:bookmarkStart w:id="26" w:name="_Toc486490852"/>
      <w:bookmarkStart w:id="27" w:name="_Toc486580923"/>
      <w:bookmarkStart w:id="28" w:name="_Toc2074019"/>
      <w:r w:rsidRPr="004B06E3">
        <w:t>Program Requirements</w:t>
      </w:r>
      <w:bookmarkEnd w:id="26"/>
      <w:bookmarkEnd w:id="27"/>
      <w:bookmarkEnd w:id="28"/>
      <w:r w:rsidRPr="004B06E3">
        <w:t xml:space="preserve"> </w:t>
      </w:r>
    </w:p>
    <w:p w14:paraId="38EC4DB9" w14:textId="77777777" w:rsidR="00CB37F6" w:rsidRDefault="00CB37F6" w:rsidP="00CB37F6">
      <w:pPr>
        <w:pStyle w:val="eTRMHeading5"/>
        <w:keepNext/>
        <w:keepLines/>
      </w:pPr>
      <w:bookmarkStart w:id="29" w:name="_Hlk516047641"/>
      <w:r>
        <w:t>Measure Implementation Eligibility</w:t>
      </w:r>
    </w:p>
    <w:p w14:paraId="5C6E8168" w14:textId="77777777" w:rsidR="00CB37F6" w:rsidRDefault="00CB37F6" w:rsidP="00CB37F6">
      <w:bookmarkStart w:id="30" w:name="_Hlk527543844"/>
      <w:bookmarkStart w:id="31"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0"/>
    </w:p>
    <w:bookmarkEnd w:id="31"/>
    <w:p w14:paraId="16674C66" w14:textId="77777777" w:rsidR="00CB37F6" w:rsidRPr="00CC4643" w:rsidRDefault="00CB37F6" w:rsidP="00CB37F6">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02F71F6E" w14:textId="0B36021A" w:rsidR="003260CB" w:rsidRDefault="003260CB" w:rsidP="003260CB">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3260CB" w:rsidRPr="00A47168" w14:paraId="6DB6631B" w14:textId="77777777" w:rsidTr="00045C04">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5D7D6DA4" w14:textId="77777777" w:rsidR="003260CB" w:rsidRPr="00A47168" w:rsidRDefault="003260CB" w:rsidP="00045C04">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2FE40CA4" w14:textId="77777777" w:rsidR="003260CB" w:rsidRPr="00A47168" w:rsidRDefault="003260CB" w:rsidP="00045C04">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5AC5B4D0" w14:textId="77777777" w:rsidR="003260CB" w:rsidRPr="00A47168" w:rsidRDefault="003260CB" w:rsidP="00045C04">
            <w:pPr>
              <w:keepNext/>
              <w:spacing w:before="0" w:after="0"/>
              <w:rPr>
                <w:b/>
                <w:bCs/>
                <w:sz w:val="20"/>
              </w:rPr>
            </w:pPr>
            <w:r w:rsidRPr="00A47168">
              <w:rPr>
                <w:b/>
                <w:bCs/>
                <w:sz w:val="20"/>
              </w:rPr>
              <w:t>Sector</w:t>
            </w:r>
          </w:p>
        </w:tc>
      </w:tr>
      <w:tr w:rsidR="001B2D38" w:rsidRPr="00A47168" w14:paraId="4ECEF593" w14:textId="77777777" w:rsidTr="00045C04">
        <w:trPr>
          <w:trHeight w:val="290"/>
        </w:trPr>
        <w:tc>
          <w:tcPr>
            <w:tcW w:w="3024" w:type="dxa"/>
            <w:noWrap/>
            <w:tcMar>
              <w:top w:w="0" w:type="dxa"/>
              <w:left w:w="108" w:type="dxa"/>
              <w:bottom w:w="0" w:type="dxa"/>
              <w:right w:w="108" w:type="dxa"/>
            </w:tcMar>
            <w:vAlign w:val="bottom"/>
          </w:tcPr>
          <w:p w14:paraId="0904F0F5" w14:textId="783F668D" w:rsidR="001B2D38" w:rsidRPr="001B2D38" w:rsidRDefault="00CB37F6" w:rsidP="001B2D38">
            <w:pPr>
              <w:keepNext/>
              <w:spacing w:before="0" w:after="0"/>
              <w:rPr>
                <w:rFonts w:cs="Calibri Light"/>
                <w:sz w:val="20"/>
              </w:rPr>
            </w:pPr>
            <w:r>
              <w:rPr>
                <w:rFonts w:cs="Calibri Light"/>
                <w:sz w:val="20"/>
                <w:szCs w:val="22"/>
              </w:rPr>
              <w:t>Normal replacement</w:t>
            </w:r>
          </w:p>
        </w:tc>
        <w:tc>
          <w:tcPr>
            <w:tcW w:w="3024" w:type="dxa"/>
            <w:noWrap/>
            <w:tcMar>
              <w:top w:w="0" w:type="dxa"/>
              <w:left w:w="108" w:type="dxa"/>
              <w:bottom w:w="0" w:type="dxa"/>
              <w:right w:w="108" w:type="dxa"/>
            </w:tcMar>
            <w:vAlign w:val="bottom"/>
          </w:tcPr>
          <w:p w14:paraId="1D9C9B15" w14:textId="4F16F8CD" w:rsidR="001B2D38" w:rsidRPr="001B2D38" w:rsidRDefault="00CB37F6" w:rsidP="001B2D38">
            <w:pPr>
              <w:keepNext/>
              <w:spacing w:before="0" w:after="0"/>
              <w:rPr>
                <w:rFonts w:cs="Calibri Light"/>
                <w:sz w:val="20"/>
              </w:rPr>
            </w:pPr>
            <w:proofErr w:type="spellStart"/>
            <w:r>
              <w:rPr>
                <w:rFonts w:cs="Calibri Light"/>
                <w:sz w:val="20"/>
                <w:szCs w:val="22"/>
              </w:rPr>
              <w:t>DnDeemed</w:t>
            </w:r>
            <w:proofErr w:type="spellEnd"/>
          </w:p>
        </w:tc>
        <w:tc>
          <w:tcPr>
            <w:tcW w:w="3024" w:type="dxa"/>
            <w:noWrap/>
            <w:tcMar>
              <w:top w:w="0" w:type="dxa"/>
              <w:left w:w="108" w:type="dxa"/>
              <w:bottom w:w="0" w:type="dxa"/>
              <w:right w:w="108" w:type="dxa"/>
            </w:tcMar>
            <w:vAlign w:val="bottom"/>
          </w:tcPr>
          <w:p w14:paraId="1BF63153" w14:textId="34921BF4" w:rsidR="001B2D38" w:rsidRPr="001B2D38" w:rsidRDefault="006C753D" w:rsidP="001B2D38">
            <w:pPr>
              <w:keepNext/>
              <w:spacing w:before="0" w:after="0"/>
              <w:rPr>
                <w:rFonts w:cs="Calibri Light"/>
                <w:sz w:val="20"/>
              </w:rPr>
            </w:pPr>
            <w:r>
              <w:rPr>
                <w:rFonts w:cs="Calibri Light"/>
                <w:sz w:val="20"/>
                <w:szCs w:val="22"/>
              </w:rPr>
              <w:t>Res</w:t>
            </w:r>
          </w:p>
        </w:tc>
      </w:tr>
      <w:tr w:rsidR="006C753D" w:rsidRPr="00A47168" w14:paraId="0EE6E4D6" w14:textId="77777777" w:rsidTr="00F045DE">
        <w:trPr>
          <w:trHeight w:val="290"/>
        </w:trPr>
        <w:tc>
          <w:tcPr>
            <w:tcW w:w="3024" w:type="dxa"/>
            <w:noWrap/>
            <w:tcMar>
              <w:top w:w="0" w:type="dxa"/>
              <w:left w:w="108" w:type="dxa"/>
              <w:bottom w:w="0" w:type="dxa"/>
              <w:right w:w="108" w:type="dxa"/>
            </w:tcMar>
            <w:vAlign w:val="bottom"/>
          </w:tcPr>
          <w:p w14:paraId="60DA16FA" w14:textId="71509FD6" w:rsidR="006C753D" w:rsidRDefault="006C753D" w:rsidP="006C753D">
            <w:pPr>
              <w:keepNext/>
              <w:spacing w:before="0" w:after="0"/>
              <w:rPr>
                <w:rFonts w:cs="Calibri Light"/>
                <w:sz w:val="20"/>
                <w:szCs w:val="22"/>
              </w:rPr>
            </w:pPr>
            <w:r>
              <w:rPr>
                <w:rFonts w:cs="Calibri Light"/>
                <w:sz w:val="20"/>
                <w:szCs w:val="22"/>
              </w:rPr>
              <w:t>Normal replacement</w:t>
            </w:r>
          </w:p>
        </w:tc>
        <w:tc>
          <w:tcPr>
            <w:tcW w:w="3024" w:type="dxa"/>
            <w:noWrap/>
            <w:tcMar>
              <w:top w:w="0" w:type="dxa"/>
              <w:left w:w="108" w:type="dxa"/>
              <w:bottom w:w="0" w:type="dxa"/>
              <w:right w:w="108" w:type="dxa"/>
            </w:tcMar>
            <w:vAlign w:val="bottom"/>
          </w:tcPr>
          <w:p w14:paraId="29B05554" w14:textId="428FE5DF" w:rsidR="006C753D" w:rsidRDefault="006C753D" w:rsidP="006C753D">
            <w:pPr>
              <w:keepNext/>
              <w:spacing w:before="0" w:after="0"/>
              <w:rPr>
                <w:rFonts w:cs="Calibri Light"/>
                <w:sz w:val="20"/>
                <w:szCs w:val="22"/>
              </w:rPr>
            </w:pPr>
            <w:proofErr w:type="spellStart"/>
            <w:r>
              <w:rPr>
                <w:rFonts w:cs="Calibri Light"/>
                <w:sz w:val="20"/>
                <w:szCs w:val="22"/>
              </w:rPr>
              <w:t>UpDeemed</w:t>
            </w:r>
            <w:proofErr w:type="spellEnd"/>
          </w:p>
        </w:tc>
        <w:tc>
          <w:tcPr>
            <w:tcW w:w="3024" w:type="dxa"/>
            <w:noWrap/>
            <w:tcMar>
              <w:top w:w="0" w:type="dxa"/>
              <w:left w:w="108" w:type="dxa"/>
              <w:bottom w:w="0" w:type="dxa"/>
              <w:right w:w="108" w:type="dxa"/>
            </w:tcMar>
          </w:tcPr>
          <w:p w14:paraId="6CC64F8E" w14:textId="25993E62" w:rsidR="006C753D" w:rsidRPr="001B2D38" w:rsidRDefault="006C753D" w:rsidP="006C753D">
            <w:pPr>
              <w:keepNext/>
              <w:spacing w:before="0" w:after="0"/>
              <w:rPr>
                <w:rFonts w:cs="Calibri Light"/>
                <w:sz w:val="20"/>
                <w:szCs w:val="22"/>
              </w:rPr>
            </w:pPr>
            <w:r w:rsidRPr="004F4038">
              <w:rPr>
                <w:rFonts w:cs="Calibri Light"/>
                <w:sz w:val="20"/>
                <w:szCs w:val="22"/>
              </w:rPr>
              <w:t>Res</w:t>
            </w:r>
          </w:p>
        </w:tc>
      </w:tr>
      <w:tr w:rsidR="006C753D" w:rsidRPr="00A47168" w14:paraId="6C31EF5C" w14:textId="77777777" w:rsidTr="00F045DE">
        <w:trPr>
          <w:trHeight w:val="290"/>
        </w:trPr>
        <w:tc>
          <w:tcPr>
            <w:tcW w:w="3024" w:type="dxa"/>
            <w:noWrap/>
            <w:tcMar>
              <w:top w:w="0" w:type="dxa"/>
              <w:left w:w="108" w:type="dxa"/>
              <w:bottom w:w="0" w:type="dxa"/>
              <w:right w:w="108" w:type="dxa"/>
            </w:tcMar>
            <w:vAlign w:val="bottom"/>
          </w:tcPr>
          <w:p w14:paraId="74AFD99F" w14:textId="46C4D7AC" w:rsidR="006C753D" w:rsidRPr="001B2D38" w:rsidRDefault="006C753D" w:rsidP="006C753D">
            <w:pPr>
              <w:keepNext/>
              <w:spacing w:before="0" w:after="0"/>
              <w:rPr>
                <w:rFonts w:cs="Calibri Light"/>
                <w:sz w:val="20"/>
              </w:rPr>
            </w:pPr>
            <w:r>
              <w:rPr>
                <w:rFonts w:cs="Calibri Light"/>
                <w:sz w:val="20"/>
                <w:szCs w:val="22"/>
              </w:rPr>
              <w:t>Normal replacement</w:t>
            </w:r>
          </w:p>
        </w:tc>
        <w:tc>
          <w:tcPr>
            <w:tcW w:w="3024" w:type="dxa"/>
            <w:noWrap/>
            <w:tcMar>
              <w:top w:w="0" w:type="dxa"/>
              <w:left w:w="108" w:type="dxa"/>
              <w:bottom w:w="0" w:type="dxa"/>
              <w:right w:w="108" w:type="dxa"/>
            </w:tcMar>
            <w:vAlign w:val="bottom"/>
          </w:tcPr>
          <w:p w14:paraId="193CA512" w14:textId="793C0063" w:rsidR="006C753D" w:rsidRPr="001B2D38" w:rsidRDefault="006C753D" w:rsidP="006C753D">
            <w:pPr>
              <w:keepNext/>
              <w:spacing w:before="0" w:after="0"/>
              <w:rPr>
                <w:rFonts w:cs="Calibri Light"/>
                <w:sz w:val="20"/>
              </w:rPr>
            </w:pPr>
            <w:proofErr w:type="spellStart"/>
            <w:r>
              <w:rPr>
                <w:rFonts w:cs="Calibri Light"/>
                <w:sz w:val="20"/>
                <w:szCs w:val="22"/>
              </w:rPr>
              <w:t>DnDeemDI</w:t>
            </w:r>
            <w:proofErr w:type="spellEnd"/>
          </w:p>
        </w:tc>
        <w:tc>
          <w:tcPr>
            <w:tcW w:w="3024" w:type="dxa"/>
            <w:noWrap/>
            <w:tcMar>
              <w:top w:w="0" w:type="dxa"/>
              <w:left w:w="108" w:type="dxa"/>
              <w:bottom w:w="0" w:type="dxa"/>
              <w:right w:w="108" w:type="dxa"/>
            </w:tcMar>
          </w:tcPr>
          <w:p w14:paraId="46956434" w14:textId="70872205" w:rsidR="006C753D" w:rsidRPr="001B2D38" w:rsidRDefault="006C753D" w:rsidP="006C753D">
            <w:pPr>
              <w:keepNext/>
              <w:spacing w:before="0" w:after="0"/>
              <w:rPr>
                <w:rFonts w:cs="Calibri Light"/>
                <w:sz w:val="20"/>
              </w:rPr>
            </w:pPr>
            <w:r w:rsidRPr="004F4038">
              <w:rPr>
                <w:rFonts w:cs="Calibri Light"/>
                <w:sz w:val="20"/>
                <w:szCs w:val="22"/>
              </w:rPr>
              <w:t>Res</w:t>
            </w:r>
          </w:p>
        </w:tc>
      </w:tr>
      <w:tr w:rsidR="006C753D" w:rsidRPr="00A47168" w14:paraId="72011594" w14:textId="77777777" w:rsidTr="00F045DE">
        <w:trPr>
          <w:trHeight w:val="290"/>
        </w:trPr>
        <w:tc>
          <w:tcPr>
            <w:tcW w:w="3024" w:type="dxa"/>
            <w:noWrap/>
            <w:tcMar>
              <w:top w:w="0" w:type="dxa"/>
              <w:left w:w="108" w:type="dxa"/>
              <w:bottom w:w="0" w:type="dxa"/>
              <w:right w:w="108" w:type="dxa"/>
            </w:tcMar>
            <w:vAlign w:val="bottom"/>
          </w:tcPr>
          <w:p w14:paraId="506231DF" w14:textId="7C9CD65C" w:rsidR="006C753D" w:rsidRDefault="006C753D" w:rsidP="006C753D">
            <w:pPr>
              <w:keepNext/>
              <w:spacing w:before="0" w:after="0"/>
              <w:rPr>
                <w:rFonts w:cs="Calibri Light"/>
                <w:sz w:val="20"/>
                <w:szCs w:val="22"/>
              </w:rPr>
            </w:pPr>
            <w:r>
              <w:rPr>
                <w:rFonts w:cs="Calibri Light"/>
                <w:sz w:val="20"/>
                <w:szCs w:val="22"/>
              </w:rPr>
              <w:t>New construction</w:t>
            </w:r>
          </w:p>
        </w:tc>
        <w:tc>
          <w:tcPr>
            <w:tcW w:w="3024" w:type="dxa"/>
            <w:noWrap/>
            <w:tcMar>
              <w:top w:w="0" w:type="dxa"/>
              <w:left w:w="108" w:type="dxa"/>
              <w:bottom w:w="0" w:type="dxa"/>
              <w:right w:w="108" w:type="dxa"/>
            </w:tcMar>
            <w:vAlign w:val="bottom"/>
          </w:tcPr>
          <w:p w14:paraId="622028C7" w14:textId="494AFD1F" w:rsidR="006C753D" w:rsidRDefault="006C753D" w:rsidP="006C753D">
            <w:pPr>
              <w:keepNext/>
              <w:spacing w:before="0" w:after="0"/>
              <w:rPr>
                <w:rFonts w:cs="Calibri Light"/>
                <w:sz w:val="20"/>
                <w:szCs w:val="22"/>
              </w:rPr>
            </w:pPr>
            <w:proofErr w:type="spellStart"/>
            <w:r>
              <w:rPr>
                <w:rFonts w:cs="Calibri Light"/>
                <w:sz w:val="20"/>
                <w:szCs w:val="22"/>
              </w:rPr>
              <w:t>DnDeemed</w:t>
            </w:r>
            <w:proofErr w:type="spellEnd"/>
          </w:p>
        </w:tc>
        <w:tc>
          <w:tcPr>
            <w:tcW w:w="3024" w:type="dxa"/>
            <w:noWrap/>
            <w:tcMar>
              <w:top w:w="0" w:type="dxa"/>
              <w:left w:w="108" w:type="dxa"/>
              <w:bottom w:w="0" w:type="dxa"/>
              <w:right w:w="108" w:type="dxa"/>
            </w:tcMar>
          </w:tcPr>
          <w:p w14:paraId="06C9424C" w14:textId="728FBF38" w:rsidR="006C753D" w:rsidRDefault="006C753D" w:rsidP="006C753D">
            <w:pPr>
              <w:keepNext/>
              <w:spacing w:before="0" w:after="0"/>
              <w:rPr>
                <w:rFonts w:cs="Calibri Light"/>
                <w:sz w:val="20"/>
                <w:szCs w:val="22"/>
              </w:rPr>
            </w:pPr>
            <w:r w:rsidRPr="004F4038">
              <w:rPr>
                <w:rFonts w:cs="Calibri Light"/>
                <w:sz w:val="20"/>
                <w:szCs w:val="22"/>
              </w:rPr>
              <w:t>Res</w:t>
            </w:r>
          </w:p>
        </w:tc>
      </w:tr>
      <w:tr w:rsidR="006C753D" w:rsidRPr="00A47168" w14:paraId="24C4B743" w14:textId="77777777" w:rsidTr="00F045DE">
        <w:trPr>
          <w:trHeight w:val="290"/>
        </w:trPr>
        <w:tc>
          <w:tcPr>
            <w:tcW w:w="3024" w:type="dxa"/>
            <w:noWrap/>
            <w:tcMar>
              <w:top w:w="0" w:type="dxa"/>
              <w:left w:w="108" w:type="dxa"/>
              <w:bottom w:w="0" w:type="dxa"/>
              <w:right w:w="108" w:type="dxa"/>
            </w:tcMar>
            <w:vAlign w:val="bottom"/>
          </w:tcPr>
          <w:p w14:paraId="12C21A05" w14:textId="1D04F3A0" w:rsidR="006C753D" w:rsidRDefault="006C753D" w:rsidP="006C753D">
            <w:pPr>
              <w:keepNext/>
              <w:spacing w:before="0" w:after="0"/>
              <w:rPr>
                <w:rFonts w:cs="Calibri Light"/>
                <w:sz w:val="20"/>
                <w:szCs w:val="22"/>
              </w:rPr>
            </w:pPr>
            <w:r>
              <w:rPr>
                <w:rFonts w:cs="Calibri Light"/>
                <w:sz w:val="20"/>
                <w:szCs w:val="22"/>
              </w:rPr>
              <w:t>New construction</w:t>
            </w:r>
          </w:p>
        </w:tc>
        <w:tc>
          <w:tcPr>
            <w:tcW w:w="3024" w:type="dxa"/>
            <w:noWrap/>
            <w:tcMar>
              <w:top w:w="0" w:type="dxa"/>
              <w:left w:w="108" w:type="dxa"/>
              <w:bottom w:w="0" w:type="dxa"/>
              <w:right w:w="108" w:type="dxa"/>
            </w:tcMar>
            <w:vAlign w:val="bottom"/>
          </w:tcPr>
          <w:p w14:paraId="3B6CE2E5" w14:textId="3354719D" w:rsidR="006C753D" w:rsidRDefault="006C753D" w:rsidP="006C753D">
            <w:pPr>
              <w:keepNext/>
              <w:spacing w:before="0" w:after="0"/>
              <w:rPr>
                <w:rFonts w:cs="Calibri Light"/>
                <w:sz w:val="20"/>
                <w:szCs w:val="22"/>
              </w:rPr>
            </w:pPr>
            <w:proofErr w:type="spellStart"/>
            <w:r>
              <w:rPr>
                <w:rFonts w:cs="Calibri Light"/>
                <w:sz w:val="20"/>
                <w:szCs w:val="22"/>
              </w:rPr>
              <w:t>UpDeemed</w:t>
            </w:r>
            <w:proofErr w:type="spellEnd"/>
          </w:p>
        </w:tc>
        <w:tc>
          <w:tcPr>
            <w:tcW w:w="3024" w:type="dxa"/>
            <w:noWrap/>
            <w:tcMar>
              <w:top w:w="0" w:type="dxa"/>
              <w:left w:w="108" w:type="dxa"/>
              <w:bottom w:w="0" w:type="dxa"/>
              <w:right w:w="108" w:type="dxa"/>
            </w:tcMar>
          </w:tcPr>
          <w:p w14:paraId="5B49440E" w14:textId="2E5DA88C" w:rsidR="006C753D" w:rsidRDefault="006C753D" w:rsidP="006C753D">
            <w:pPr>
              <w:keepNext/>
              <w:spacing w:before="0" w:after="0"/>
              <w:rPr>
                <w:rFonts w:cs="Calibri Light"/>
                <w:sz w:val="20"/>
                <w:szCs w:val="22"/>
              </w:rPr>
            </w:pPr>
            <w:r w:rsidRPr="004F4038">
              <w:rPr>
                <w:rFonts w:cs="Calibri Light"/>
                <w:sz w:val="20"/>
                <w:szCs w:val="22"/>
              </w:rPr>
              <w:t>Res</w:t>
            </w:r>
          </w:p>
        </w:tc>
      </w:tr>
      <w:tr w:rsidR="006C753D" w:rsidRPr="00A47168" w14:paraId="29B5FB91" w14:textId="77777777" w:rsidTr="00F045DE">
        <w:trPr>
          <w:trHeight w:val="290"/>
        </w:trPr>
        <w:tc>
          <w:tcPr>
            <w:tcW w:w="3024" w:type="dxa"/>
            <w:noWrap/>
            <w:tcMar>
              <w:top w:w="0" w:type="dxa"/>
              <w:left w:w="108" w:type="dxa"/>
              <w:bottom w:w="0" w:type="dxa"/>
              <w:right w:w="108" w:type="dxa"/>
            </w:tcMar>
            <w:vAlign w:val="bottom"/>
          </w:tcPr>
          <w:p w14:paraId="6B0095E9" w14:textId="558C6B04" w:rsidR="006C753D" w:rsidRDefault="006C753D" w:rsidP="006C753D">
            <w:pPr>
              <w:keepNext/>
              <w:spacing w:before="0" w:after="0"/>
              <w:rPr>
                <w:rFonts w:cs="Calibri Light"/>
                <w:sz w:val="20"/>
                <w:szCs w:val="22"/>
              </w:rPr>
            </w:pPr>
            <w:r>
              <w:rPr>
                <w:rFonts w:cs="Calibri Light"/>
                <w:sz w:val="20"/>
                <w:szCs w:val="22"/>
              </w:rPr>
              <w:t>New construction</w:t>
            </w:r>
          </w:p>
        </w:tc>
        <w:tc>
          <w:tcPr>
            <w:tcW w:w="3024" w:type="dxa"/>
            <w:noWrap/>
            <w:tcMar>
              <w:top w:w="0" w:type="dxa"/>
              <w:left w:w="108" w:type="dxa"/>
              <w:bottom w:w="0" w:type="dxa"/>
              <w:right w:w="108" w:type="dxa"/>
            </w:tcMar>
            <w:vAlign w:val="bottom"/>
          </w:tcPr>
          <w:p w14:paraId="1083EEDA" w14:textId="4210C928" w:rsidR="006C753D" w:rsidRDefault="006C753D" w:rsidP="006C753D">
            <w:pPr>
              <w:keepNext/>
              <w:spacing w:before="0" w:after="0"/>
              <w:rPr>
                <w:rFonts w:cs="Calibri Light"/>
                <w:sz w:val="20"/>
                <w:szCs w:val="22"/>
              </w:rPr>
            </w:pPr>
            <w:proofErr w:type="spellStart"/>
            <w:r>
              <w:rPr>
                <w:rFonts w:cs="Calibri Light"/>
                <w:sz w:val="20"/>
                <w:szCs w:val="22"/>
              </w:rPr>
              <w:t>DnDeemDI</w:t>
            </w:r>
            <w:proofErr w:type="spellEnd"/>
          </w:p>
        </w:tc>
        <w:tc>
          <w:tcPr>
            <w:tcW w:w="3024" w:type="dxa"/>
            <w:noWrap/>
            <w:tcMar>
              <w:top w:w="0" w:type="dxa"/>
              <w:left w:w="108" w:type="dxa"/>
              <w:bottom w:w="0" w:type="dxa"/>
              <w:right w:w="108" w:type="dxa"/>
            </w:tcMar>
          </w:tcPr>
          <w:p w14:paraId="306EE78E" w14:textId="5EC2C47C" w:rsidR="006C753D" w:rsidRDefault="006C753D" w:rsidP="006C753D">
            <w:pPr>
              <w:keepNext/>
              <w:spacing w:before="0" w:after="0"/>
              <w:rPr>
                <w:rFonts w:cs="Calibri Light"/>
                <w:sz w:val="20"/>
                <w:szCs w:val="22"/>
              </w:rPr>
            </w:pPr>
            <w:r w:rsidRPr="004F4038">
              <w:rPr>
                <w:rFonts w:cs="Calibri Light"/>
                <w:sz w:val="20"/>
                <w:szCs w:val="22"/>
              </w:rPr>
              <w:t>Res</w:t>
            </w:r>
          </w:p>
        </w:tc>
      </w:tr>
    </w:tbl>
    <w:p w14:paraId="7E2FD6C6" w14:textId="77777777" w:rsidR="003260CB" w:rsidRDefault="003260CB" w:rsidP="003260CB"/>
    <w:bookmarkEnd w:id="29"/>
    <w:p w14:paraId="249440E5" w14:textId="49ED6D52" w:rsidR="00246F25" w:rsidRDefault="00196649" w:rsidP="00277AFF">
      <w:pPr>
        <w:pStyle w:val="eTRMHeading5"/>
        <w:keepNext/>
        <w:keepLines/>
      </w:pPr>
      <w:r>
        <w:t>Eligible Products</w:t>
      </w:r>
    </w:p>
    <w:p w14:paraId="265D9130" w14:textId="37CCEC7F" w:rsidR="00202532" w:rsidRDefault="00202532" w:rsidP="00A03EBC">
      <w:r>
        <w:t>Program eligibility requirements for storage water heaters defined for this measure include:</w:t>
      </w:r>
    </w:p>
    <w:p w14:paraId="4B99A192" w14:textId="26FB535B" w:rsidR="00202532" w:rsidRDefault="00045C04" w:rsidP="00202532">
      <w:pPr>
        <w:pStyle w:val="eTRMBulletedText"/>
      </w:pPr>
      <w:r>
        <w:t>Measure offerings</w:t>
      </w:r>
      <w:r w:rsidR="00A63AA6" w:rsidRPr="00D0217D">
        <w:t xml:space="preserve"> </w:t>
      </w:r>
      <w:r w:rsidR="00A63AA6">
        <w:t xml:space="preserve">are applicable to multifamily properties.  </w:t>
      </w:r>
    </w:p>
    <w:p w14:paraId="780B3043" w14:textId="50FDB2AB" w:rsidR="00A63AA6" w:rsidRDefault="00A63AA6" w:rsidP="00202532">
      <w:pPr>
        <w:pStyle w:val="eTRMBulletedText"/>
      </w:pPr>
      <w:r>
        <w:t>The large natural gas central water heaters must serve two or more dwelling units.</w:t>
      </w:r>
    </w:p>
    <w:p w14:paraId="350DC0E5" w14:textId="22EDC05C" w:rsidR="00194891" w:rsidRDefault="00194891" w:rsidP="00202532">
      <w:pPr>
        <w:pStyle w:val="eTRMBulletedText"/>
      </w:pPr>
      <w:r w:rsidRPr="00E3741E">
        <w:t xml:space="preserve">The rated input </w:t>
      </w:r>
      <w:r>
        <w:t xml:space="preserve">for a natural gas fueled </w:t>
      </w:r>
      <w:r w:rsidRPr="00E3741E">
        <w:t xml:space="preserve">storage water heater for this multifamily residential </w:t>
      </w:r>
      <w:r>
        <w:t>measure</w:t>
      </w:r>
      <w:r w:rsidR="00286385">
        <w:t xml:space="preserve"> must exceed </w:t>
      </w:r>
      <w:r w:rsidRPr="00E3741E">
        <w:t xml:space="preserve">75 </w:t>
      </w:r>
      <w:proofErr w:type="spellStart"/>
      <w:r w:rsidRPr="00E3741E">
        <w:t>kBtu</w:t>
      </w:r>
      <w:proofErr w:type="spellEnd"/>
      <w:r w:rsidR="00AB014C">
        <w:t>/hr</w:t>
      </w:r>
      <w:r w:rsidRPr="00E3741E">
        <w:t xml:space="preserve">.  </w:t>
      </w:r>
    </w:p>
    <w:p w14:paraId="08A0CB02" w14:textId="15F9594C" w:rsidR="00A03EBC" w:rsidRDefault="00194891" w:rsidP="00202532">
      <w:pPr>
        <w:pStyle w:val="eTRMBulletedText"/>
      </w:pPr>
      <w:r>
        <w:t xml:space="preserve">Qualifying storage water heaters must have a storage tank </w:t>
      </w:r>
      <w:r w:rsidR="00202532">
        <w:t xml:space="preserve">size of </w:t>
      </w:r>
      <w:r>
        <w:t>least 80 gallons.</w:t>
      </w:r>
    </w:p>
    <w:p w14:paraId="1BACFF81" w14:textId="019FBB96" w:rsidR="00202532" w:rsidRDefault="00202532" w:rsidP="00CF0347">
      <w:pPr>
        <w:pStyle w:val="eTRMBulletedText"/>
      </w:pPr>
      <w:r w:rsidRPr="006A6691">
        <w:t xml:space="preserve">The rebate applies to </w:t>
      </w:r>
      <w:r w:rsidR="00CB37F6">
        <w:t xml:space="preserve">normal replacement of </w:t>
      </w:r>
      <w:r w:rsidRPr="006A6691">
        <w:t>g</w:t>
      </w:r>
      <w:r w:rsidR="00286385">
        <w:t>as-for-gas equipment</w:t>
      </w:r>
      <w:r w:rsidRPr="006A6691">
        <w:t>.</w:t>
      </w:r>
      <w:r>
        <w:t xml:space="preserve"> </w:t>
      </w:r>
    </w:p>
    <w:p w14:paraId="3820EFD0" w14:textId="174BD10D" w:rsidR="00202532" w:rsidRDefault="00202532" w:rsidP="00BF552E">
      <w:pPr>
        <w:pStyle w:val="eTRMBulletedText"/>
      </w:pPr>
      <w:r>
        <w:t xml:space="preserve">The equipment model must be </w:t>
      </w:r>
      <w:r w:rsidR="00286385">
        <w:t xml:space="preserve">registered in the </w:t>
      </w:r>
      <w:r w:rsidRPr="00E3741E">
        <w:t>California Energy Commission</w:t>
      </w:r>
      <w:r w:rsidR="00286385">
        <w:t xml:space="preserve"> (CEC)</w:t>
      </w:r>
      <w:r w:rsidRPr="00E3741E">
        <w:t xml:space="preserve"> </w:t>
      </w:r>
      <w:r w:rsidR="00BF552E" w:rsidRPr="00BF552E">
        <w:t>Modernized Appliance Efficiency Database System</w:t>
      </w:r>
      <w:r w:rsidR="00CF0347">
        <w:t xml:space="preserve">. </w:t>
      </w:r>
    </w:p>
    <w:p w14:paraId="529F9033" w14:textId="77777777" w:rsidR="00C41F8D" w:rsidRDefault="00C41F8D" w:rsidP="00C41F8D">
      <w:pPr>
        <w:pStyle w:val="eTRMBulletedText"/>
        <w:numPr>
          <w:ilvl w:val="0"/>
          <w:numId w:val="0"/>
        </w:numPr>
        <w:ind w:left="720" w:hanging="360"/>
      </w:pPr>
    </w:p>
    <w:p w14:paraId="7CE938DA" w14:textId="4B1EF8EC" w:rsidR="007B6A74" w:rsidRDefault="007B6A74" w:rsidP="00401C43">
      <w:pPr>
        <w:pStyle w:val="eTRMHeading5"/>
      </w:pPr>
      <w:r w:rsidRPr="00401C43">
        <w:t>Eligible Building Types</w:t>
      </w:r>
    </w:p>
    <w:p w14:paraId="31CB7EF5" w14:textId="4E6BE25F" w:rsidR="000E4A4B" w:rsidRDefault="00F10491" w:rsidP="000E4A4B">
      <w:r>
        <w:t xml:space="preserve">This measure is only applicable to </w:t>
      </w:r>
      <w:r w:rsidR="00BF552E">
        <w:t xml:space="preserve">existing </w:t>
      </w:r>
      <w:r>
        <w:t>multifamily building types</w:t>
      </w:r>
      <w:r w:rsidR="00CF0347">
        <w:t xml:space="preserve"> of any vintage</w:t>
      </w:r>
      <w:r>
        <w:t>.</w:t>
      </w:r>
      <w:r w:rsidR="000E4A4B" w:rsidRPr="000E4A4B">
        <w:t xml:space="preserve"> </w:t>
      </w:r>
    </w:p>
    <w:p w14:paraId="1BD83B4B" w14:textId="77777777" w:rsidR="00C41F8D" w:rsidRDefault="00C41F8D" w:rsidP="000E4A4B"/>
    <w:p w14:paraId="1A3705F3" w14:textId="4BC0985D" w:rsidR="007B6A74" w:rsidRPr="004B06E3" w:rsidRDefault="00196649" w:rsidP="00154391">
      <w:pPr>
        <w:pStyle w:val="eTRMHeading5"/>
      </w:pPr>
      <w:r>
        <w:t>Eligible Climate Zones</w:t>
      </w:r>
    </w:p>
    <w:p w14:paraId="499A97CB" w14:textId="6A0E3103" w:rsidR="00C6105E" w:rsidRDefault="00C15D93" w:rsidP="004B06E3">
      <w:r>
        <w:t>The measure is applicable in all California climate zones.</w:t>
      </w:r>
    </w:p>
    <w:p w14:paraId="0BAC7130" w14:textId="77777777" w:rsidR="007823C2" w:rsidRPr="004B06E3" w:rsidRDefault="007823C2" w:rsidP="004B06E3"/>
    <w:p w14:paraId="47630D60" w14:textId="77777777" w:rsidR="007D230B" w:rsidRDefault="007D230B" w:rsidP="000F1A47">
      <w:pPr>
        <w:pStyle w:val="eTRMHeading3"/>
      </w:pPr>
      <w:bookmarkStart w:id="32" w:name="_Toc486490853"/>
      <w:bookmarkStart w:id="33" w:name="_Toc486580924"/>
      <w:bookmarkStart w:id="34" w:name="_Toc2074020"/>
      <w:r w:rsidRPr="004B06E3">
        <w:lastRenderedPageBreak/>
        <w:t>Program Exclusions</w:t>
      </w:r>
      <w:bookmarkEnd w:id="32"/>
      <w:bookmarkEnd w:id="33"/>
      <w:bookmarkEnd w:id="34"/>
      <w:r w:rsidRPr="004B06E3">
        <w:t xml:space="preserve"> </w:t>
      </w:r>
    </w:p>
    <w:p w14:paraId="1993C545" w14:textId="77777777" w:rsidR="00FB79C4" w:rsidRDefault="00202532" w:rsidP="00FB79C4">
      <w:r w:rsidRPr="008942A0">
        <w:t xml:space="preserve">Tankless water heaters </w:t>
      </w:r>
      <w:r>
        <w:t xml:space="preserve">or hot water boilers </w:t>
      </w:r>
      <w:r w:rsidRPr="008942A0">
        <w:t>with a separate storage tank that are factory mounted on the same skid</w:t>
      </w:r>
      <w:bookmarkStart w:id="35" w:name="_Ref320695554"/>
      <w:r w:rsidR="00FB79C4">
        <w:t xml:space="preserve"> are not eligible</w:t>
      </w:r>
      <w:r w:rsidRPr="008942A0">
        <w:t xml:space="preserve">. </w:t>
      </w:r>
      <w:bookmarkEnd w:id="35"/>
    </w:p>
    <w:p w14:paraId="16E7D5CA" w14:textId="646BE096" w:rsidR="00202532" w:rsidRDefault="00202532" w:rsidP="00FB79C4">
      <w:r>
        <w:t>S</w:t>
      </w:r>
      <w:r w:rsidRPr="00A50306">
        <w:t xml:space="preserve">torage water heaters used </w:t>
      </w:r>
      <w:r w:rsidR="00FB79C4">
        <w:t>for space heating applications and w</w:t>
      </w:r>
      <w:r w:rsidRPr="00A50306">
        <w:t>ater heaters used for pools or spas</w:t>
      </w:r>
      <w:r w:rsidR="00FB79C4">
        <w:t xml:space="preserve"> are not eligible</w:t>
      </w:r>
      <w:r w:rsidRPr="00A50306">
        <w:t xml:space="preserve">.  </w:t>
      </w:r>
    </w:p>
    <w:p w14:paraId="37D557ED" w14:textId="77777777" w:rsidR="00020218" w:rsidRPr="004B06E3" w:rsidRDefault="00020218" w:rsidP="004B06E3"/>
    <w:p w14:paraId="1CB0E01A" w14:textId="35EF8CEE" w:rsidR="007D230B" w:rsidRPr="004B06E3" w:rsidRDefault="007D230B" w:rsidP="002920CC">
      <w:pPr>
        <w:pStyle w:val="eTRMHeading3"/>
      </w:pPr>
      <w:bookmarkStart w:id="36" w:name="_Toc486490854"/>
      <w:bookmarkStart w:id="37" w:name="_Toc486580925"/>
      <w:bookmarkStart w:id="38" w:name="_Toc2074021"/>
      <w:r w:rsidRPr="004B06E3">
        <w:t>Data Collection Requirements</w:t>
      </w:r>
      <w:bookmarkEnd w:id="36"/>
      <w:bookmarkEnd w:id="37"/>
      <w:bookmarkEnd w:id="38"/>
      <w:r w:rsidRPr="004B06E3">
        <w:t xml:space="preserve"> </w:t>
      </w:r>
    </w:p>
    <w:p w14:paraId="74F1DCA4" w14:textId="1735A5DF" w:rsidR="000551F6" w:rsidRDefault="00BD053D" w:rsidP="004B06E3">
      <w:r>
        <w:t>Data collection requirements are to be determined.</w:t>
      </w:r>
    </w:p>
    <w:p w14:paraId="00291449" w14:textId="77777777" w:rsidR="00BD053D" w:rsidRPr="004B06E3" w:rsidRDefault="00BD053D" w:rsidP="004B06E3"/>
    <w:p w14:paraId="4891FCAB" w14:textId="77777777" w:rsidR="007D230B" w:rsidRPr="004B06E3" w:rsidRDefault="007D230B" w:rsidP="000F1A47">
      <w:pPr>
        <w:pStyle w:val="eTRMHeading3"/>
      </w:pPr>
      <w:bookmarkStart w:id="39" w:name="_Toc486490855"/>
      <w:bookmarkStart w:id="40" w:name="_Toc486580926"/>
      <w:bookmarkStart w:id="41" w:name="_Toc2074022"/>
      <w:r w:rsidRPr="004B06E3">
        <w:t>Use Category</w:t>
      </w:r>
      <w:bookmarkEnd w:id="39"/>
      <w:bookmarkEnd w:id="40"/>
      <w:bookmarkEnd w:id="41"/>
    </w:p>
    <w:p w14:paraId="5D07E710" w14:textId="4366A5C4" w:rsidR="004142EF" w:rsidRDefault="00C67AC9" w:rsidP="004142EF">
      <w:r>
        <w:t xml:space="preserve">Service </w:t>
      </w:r>
      <w:r w:rsidR="00CB37F6">
        <w:t>&amp; domestic hot water</w:t>
      </w:r>
    </w:p>
    <w:p w14:paraId="13382FF9" w14:textId="77777777" w:rsidR="004142EF" w:rsidRPr="004B06E3" w:rsidRDefault="004142EF" w:rsidP="004B06E3"/>
    <w:p w14:paraId="4B62D367" w14:textId="370A839E" w:rsidR="007D230B" w:rsidRPr="004B06E3" w:rsidRDefault="007D230B" w:rsidP="000F1A47">
      <w:pPr>
        <w:pStyle w:val="eTRMHeading3"/>
      </w:pPr>
      <w:bookmarkStart w:id="42" w:name="_Toc486490857"/>
      <w:bookmarkStart w:id="43" w:name="_Toc486580928"/>
      <w:bookmarkStart w:id="44" w:name="_Toc2074023"/>
      <w:r w:rsidRPr="004B06E3">
        <w:t>Electric Savings</w:t>
      </w:r>
      <w:r w:rsidR="00245AFF" w:rsidRPr="004B06E3">
        <w:t xml:space="preserve"> (</w:t>
      </w:r>
      <w:r w:rsidR="00E14349" w:rsidRPr="00BD053D">
        <w:rPr>
          <w:caps w:val="0"/>
        </w:rPr>
        <w:t>k</w:t>
      </w:r>
      <w:r w:rsidR="00245AFF" w:rsidRPr="00BD053D">
        <w:rPr>
          <w:caps w:val="0"/>
        </w:rPr>
        <w:t>Wh</w:t>
      </w:r>
      <w:r w:rsidR="00245AFF" w:rsidRPr="004B06E3">
        <w:t>)</w:t>
      </w:r>
      <w:bookmarkEnd w:id="42"/>
      <w:bookmarkEnd w:id="43"/>
      <w:bookmarkEnd w:id="44"/>
    </w:p>
    <w:p w14:paraId="5C215448" w14:textId="11BFD819" w:rsidR="00BE0CA4" w:rsidRPr="004142EF" w:rsidRDefault="00BE0CA4" w:rsidP="00BE0CA4">
      <w:bookmarkStart w:id="45" w:name="_Toc486490856"/>
      <w:bookmarkStart w:id="46" w:name="_Toc486580927"/>
      <w:r>
        <w:t>Not applicable.</w:t>
      </w:r>
    </w:p>
    <w:p w14:paraId="05AB253A" w14:textId="77777777" w:rsidR="00BE0CA4" w:rsidRPr="004B06E3" w:rsidRDefault="00BE0CA4" w:rsidP="00BE0CA4"/>
    <w:p w14:paraId="7A78C6BF" w14:textId="23922C16" w:rsidR="00BE0CA4" w:rsidRPr="004B06E3" w:rsidRDefault="00BE0CA4" w:rsidP="000F1A47">
      <w:pPr>
        <w:pStyle w:val="eTRMHeading3"/>
      </w:pPr>
      <w:bookmarkStart w:id="47" w:name="_Toc2074024"/>
      <w:r w:rsidRPr="004B06E3">
        <w:t>Peak Electric Demand Reduction (</w:t>
      </w:r>
      <w:r w:rsidR="00BD053D" w:rsidRPr="00BD053D">
        <w:rPr>
          <w:caps w:val="0"/>
        </w:rPr>
        <w:t>kW</w:t>
      </w:r>
      <w:r w:rsidRPr="004B06E3">
        <w:t>)</w:t>
      </w:r>
      <w:bookmarkEnd w:id="45"/>
      <w:bookmarkEnd w:id="46"/>
      <w:bookmarkEnd w:id="47"/>
    </w:p>
    <w:p w14:paraId="1AE9A415" w14:textId="77777777" w:rsidR="00BE0CA4" w:rsidRPr="004142EF" w:rsidRDefault="00BE0CA4" w:rsidP="00BE0CA4">
      <w:r>
        <w:t>Not applicable.</w:t>
      </w:r>
    </w:p>
    <w:p w14:paraId="11540D3D" w14:textId="77777777" w:rsidR="004142EF" w:rsidRPr="004B06E3" w:rsidRDefault="004142EF" w:rsidP="004B06E3"/>
    <w:p w14:paraId="0E9D248B" w14:textId="48895F94" w:rsidR="007D230B" w:rsidRDefault="007D230B" w:rsidP="000F1A47">
      <w:pPr>
        <w:pStyle w:val="eTRMHeading3"/>
      </w:pPr>
      <w:bookmarkStart w:id="48" w:name="_Toc486490858"/>
      <w:bookmarkStart w:id="49" w:name="_Toc486580929"/>
      <w:bookmarkStart w:id="50" w:name="_Toc2074025"/>
      <w:r w:rsidRPr="004B06E3">
        <w:t>Gas Savings</w:t>
      </w:r>
      <w:r w:rsidR="00245AFF" w:rsidRPr="004B06E3">
        <w:t xml:space="preserve"> (</w:t>
      </w:r>
      <w:proofErr w:type="spellStart"/>
      <w:r w:rsidR="00245AFF" w:rsidRPr="00CB37F6">
        <w:rPr>
          <w:caps w:val="0"/>
        </w:rPr>
        <w:t>Therms</w:t>
      </w:r>
      <w:proofErr w:type="spellEnd"/>
      <w:r w:rsidR="00245AFF" w:rsidRPr="004B06E3">
        <w:t>)</w:t>
      </w:r>
      <w:bookmarkEnd w:id="48"/>
      <w:bookmarkEnd w:id="49"/>
      <w:bookmarkEnd w:id="50"/>
    </w:p>
    <w:p w14:paraId="30E008AC" w14:textId="39CF53F5" w:rsidR="00F32A6A" w:rsidRDefault="00F32A6A" w:rsidP="00F32A6A">
      <w:r>
        <w:t>T</w:t>
      </w:r>
      <w:r w:rsidRPr="00976D87">
        <w:t xml:space="preserve">he </w:t>
      </w:r>
      <w:r>
        <w:t xml:space="preserve">calculation of the gas </w:t>
      </w:r>
      <w:r w:rsidR="00CB37F6">
        <w:t>unit energy savings (</w:t>
      </w:r>
      <w:r w:rsidR="00E92862">
        <w:t>UES</w:t>
      </w:r>
      <w:r w:rsidR="00CB37F6">
        <w:t>)</w:t>
      </w:r>
      <w:r w:rsidR="00C670DB">
        <w:t xml:space="preserve"> </w:t>
      </w:r>
      <w:r>
        <w:t xml:space="preserve">of </w:t>
      </w:r>
      <w:r w:rsidRPr="00976D87">
        <w:t xml:space="preserve">a high-efficiency </w:t>
      </w:r>
      <w:r w:rsidR="00FF5180">
        <w:t>(</w:t>
      </w:r>
      <w:r>
        <w:t xml:space="preserve">measure </w:t>
      </w:r>
      <w:r w:rsidR="00FF5180">
        <w:t xml:space="preserve">case) </w:t>
      </w:r>
      <w:r>
        <w:t>storage water heater</w:t>
      </w:r>
      <w:r w:rsidRPr="00976D87">
        <w:t xml:space="preserve"> </w:t>
      </w:r>
      <w:r w:rsidR="00FF5180">
        <w:t xml:space="preserve">is shown </w:t>
      </w:r>
      <w:r w:rsidR="00CB37F6">
        <w:t>below</w:t>
      </w:r>
      <w:r w:rsidR="00FF5180">
        <w:t xml:space="preserve">. </w:t>
      </w:r>
      <w:r w:rsidR="00FB79C4">
        <w:t xml:space="preserve">The annual energy consumption (UEC) for each climate zone was derived by applying a climate zone adjustment factor to the average storage water heater gas UEC for multifamily apartments/units from the 2009 California Residential </w:t>
      </w:r>
      <w:r w:rsidR="00FB79C4" w:rsidRPr="00BC395D">
        <w:t>Appliance Saturation Study (RASS).</w:t>
      </w:r>
      <w:bookmarkStart w:id="51" w:name="_Ref362522598"/>
      <w:r w:rsidR="00FB79C4">
        <w:rPr>
          <w:rStyle w:val="FootnoteReference"/>
        </w:rPr>
        <w:footnoteReference w:id="4"/>
      </w:r>
      <w:r w:rsidR="00FB79C4">
        <w:t xml:space="preserve"> </w:t>
      </w:r>
      <w:bookmarkEnd w:id="51"/>
      <w:r w:rsidR="00FF5180">
        <w:t xml:space="preserve"> </w:t>
      </w:r>
    </w:p>
    <w:p w14:paraId="58014493" w14:textId="173F6BAB" w:rsidR="00F300CE" w:rsidRPr="00BE7299" w:rsidRDefault="00F300CE" w:rsidP="00BE7299">
      <w:pPr>
        <w:ind w:left="720"/>
        <w:rPr>
          <w:sz w:val="18"/>
        </w:rPr>
      </w:pPr>
      <m:oMathPara>
        <m:oMathParaPr>
          <m:jc m:val="left"/>
        </m:oMathParaPr>
        <m:oMath>
          <m:r>
            <w:rPr>
              <w:rFonts w:ascii="Cambria Math" w:hAnsi="Cambria Math"/>
              <w:sz w:val="18"/>
            </w:rPr>
            <m:t>UES=</m:t>
          </m:r>
          <m:f>
            <m:fPr>
              <m:ctrlPr>
                <w:rPr>
                  <w:rFonts w:ascii="Cambria Math" w:hAnsi="Cambria Math"/>
                  <w:i/>
                  <w:sz w:val="18"/>
                </w:rPr>
              </m:ctrlPr>
            </m:fPr>
            <m:num>
              <m:sSub>
                <m:sSubPr>
                  <m:ctrlPr>
                    <w:rPr>
                      <w:rFonts w:ascii="Cambria Math" w:hAnsi="Cambria Math"/>
                      <w:i/>
                      <w:sz w:val="18"/>
                    </w:rPr>
                  </m:ctrlPr>
                </m:sSubPr>
                <m:e>
                  <m:r>
                    <w:rPr>
                      <w:rFonts w:ascii="Cambria Math" w:hAnsi="Cambria Math"/>
                      <w:sz w:val="18"/>
                    </w:rPr>
                    <m:t>AvgUEC</m:t>
                  </m:r>
                </m:e>
                <m:sub>
                  <m:r>
                    <w:rPr>
                      <w:rFonts w:ascii="Cambria Math" w:hAnsi="Cambria Math"/>
                      <w:sz w:val="18"/>
                    </w:rPr>
                    <m:t>RASS</m:t>
                  </m:r>
                </m:sub>
              </m:sSub>
              <m:r>
                <w:rPr>
                  <w:rFonts w:ascii="Cambria Math" w:hAnsi="Cambria Math"/>
                  <w:sz w:val="18"/>
                </w:rPr>
                <m:t>×</m:t>
              </m:r>
              <m:sSub>
                <m:sSubPr>
                  <m:ctrlPr>
                    <w:rPr>
                      <w:rFonts w:ascii="Cambria Math" w:hAnsi="Cambria Math"/>
                      <w:i/>
                      <w:sz w:val="18"/>
                    </w:rPr>
                  </m:ctrlPr>
                </m:sSubPr>
                <m:e>
                  <m:r>
                    <w:rPr>
                      <w:rFonts w:ascii="Cambria Math" w:hAnsi="Cambria Math"/>
                      <w:sz w:val="18"/>
                    </w:rPr>
                    <m:t>CZ</m:t>
                  </m:r>
                </m:e>
                <m:sub>
                  <m:r>
                    <w:rPr>
                      <w:rFonts w:ascii="Cambria Math" w:hAnsi="Cambria Math"/>
                      <w:sz w:val="18"/>
                    </w:rPr>
                    <m:t>x</m:t>
                  </m:r>
                </m:sub>
              </m:sSub>
              <m:r>
                <w:rPr>
                  <w:rFonts w:ascii="Cambria Math" w:hAnsi="Cambria Math"/>
                  <w:sz w:val="18"/>
                </w:rPr>
                <m:t>×</m:t>
              </m:r>
              <m:d>
                <m:dPr>
                  <m:ctrlPr>
                    <w:rPr>
                      <w:rFonts w:ascii="Cambria Math" w:hAnsi="Cambria Math"/>
                      <w:i/>
                      <w:sz w:val="18"/>
                    </w:rPr>
                  </m:ctrlPr>
                </m:dPr>
                <m:e>
                  <m:f>
                    <m:fPr>
                      <m:ctrlPr>
                        <w:rPr>
                          <w:rFonts w:ascii="Cambria Math" w:hAnsi="Cambria Math"/>
                          <w:i/>
                          <w:sz w:val="18"/>
                        </w:rPr>
                      </m:ctrlPr>
                    </m:fPr>
                    <m:num>
                      <m:r>
                        <w:rPr>
                          <w:rFonts w:ascii="Cambria Math" w:hAnsi="Cambria Math"/>
                          <w:sz w:val="18"/>
                        </w:rPr>
                        <m:t>1-</m:t>
                      </m:r>
                      <m:sSub>
                        <m:sSubPr>
                          <m:ctrlPr>
                            <w:rPr>
                              <w:rFonts w:ascii="Cambria Math" w:hAnsi="Cambria Math"/>
                              <w:i/>
                              <w:sz w:val="18"/>
                            </w:rPr>
                          </m:ctrlPr>
                        </m:sSubPr>
                        <m:e>
                          <m:r>
                            <w:rPr>
                              <w:rFonts w:ascii="Cambria Math" w:hAnsi="Cambria Math"/>
                              <w:sz w:val="18"/>
                            </w:rPr>
                            <m:t>TE</m:t>
                          </m:r>
                        </m:e>
                        <m:sub>
                          <m:r>
                            <w:rPr>
                              <w:rFonts w:ascii="Cambria Math" w:hAnsi="Cambria Math"/>
                              <w:sz w:val="18"/>
                            </w:rPr>
                            <m:t>Base</m:t>
                          </m:r>
                        </m:sub>
                      </m:sSub>
                    </m:num>
                    <m:den>
                      <m:sSub>
                        <m:sSubPr>
                          <m:ctrlPr>
                            <w:rPr>
                              <w:rFonts w:ascii="Cambria Math" w:hAnsi="Cambria Math"/>
                              <w:i/>
                              <w:sz w:val="18"/>
                            </w:rPr>
                          </m:ctrlPr>
                        </m:sSubPr>
                        <m:e>
                          <m:r>
                            <w:rPr>
                              <w:rFonts w:ascii="Cambria Math" w:hAnsi="Cambria Math"/>
                              <w:sz w:val="18"/>
                            </w:rPr>
                            <m:t>TE</m:t>
                          </m:r>
                        </m:e>
                        <m:sub>
                          <m:r>
                            <w:rPr>
                              <w:rFonts w:ascii="Cambria Math" w:hAnsi="Cambria Math"/>
                              <w:sz w:val="18"/>
                            </w:rPr>
                            <m:t>Measure</m:t>
                          </m:r>
                        </m:sub>
                      </m:sSub>
                    </m:den>
                  </m:f>
                </m:e>
              </m:d>
            </m:num>
            <m:den>
              <m:r>
                <w:rPr>
                  <w:rFonts w:ascii="Cambria Math" w:hAnsi="Cambria Math"/>
                  <w:sz w:val="18"/>
                </w:rPr>
                <m:t>Cap</m:t>
              </m:r>
            </m:den>
          </m:f>
        </m:oMath>
      </m:oMathPara>
    </w:p>
    <w:p w14:paraId="67BC244E" w14:textId="77777777" w:rsidR="00F300CE" w:rsidRPr="00F300CE" w:rsidRDefault="00F300CE" w:rsidP="00F300CE"/>
    <w:p w14:paraId="0D8721CC" w14:textId="1B0A22A2" w:rsidR="00F32A6A" w:rsidRDefault="00F300CE" w:rsidP="00F64DBE">
      <w:pPr>
        <w:keepNext/>
        <w:keepLines/>
        <w:tabs>
          <w:tab w:val="left" w:pos="2700"/>
        </w:tabs>
        <w:spacing w:before="20" w:after="20" w:line="240" w:lineRule="auto"/>
        <w:ind w:left="2700" w:hanging="1260"/>
        <w:rPr>
          <w:rFonts w:ascii="Cambria Math" w:hAnsi="Cambria Math"/>
          <w:i/>
          <w:sz w:val="18"/>
        </w:rPr>
      </w:pPr>
      <w:r>
        <w:rPr>
          <w:rFonts w:ascii="Cambria Math" w:hAnsi="Cambria Math"/>
          <w:i/>
          <w:sz w:val="18"/>
        </w:rPr>
        <w:lastRenderedPageBreak/>
        <w:t>UES</w:t>
      </w:r>
      <w:r w:rsidR="00F32A6A" w:rsidRPr="00F32A6A">
        <w:rPr>
          <w:rFonts w:ascii="Cambria Math" w:hAnsi="Cambria Math"/>
          <w:i/>
          <w:sz w:val="18"/>
        </w:rPr>
        <w:t xml:space="preserve"> </w:t>
      </w:r>
      <w:r>
        <w:rPr>
          <w:rFonts w:ascii="Cambria Math" w:hAnsi="Cambria Math"/>
          <w:i/>
          <w:sz w:val="18"/>
        </w:rPr>
        <w:t xml:space="preserve">= </w:t>
      </w:r>
      <w:r>
        <w:rPr>
          <w:rFonts w:ascii="Cambria Math" w:hAnsi="Cambria Math"/>
          <w:i/>
          <w:sz w:val="18"/>
        </w:rPr>
        <w:tab/>
      </w:r>
      <w:r w:rsidR="00F32A6A" w:rsidRPr="00F32A6A">
        <w:rPr>
          <w:rFonts w:ascii="Cambria Math" w:hAnsi="Cambria Math"/>
          <w:i/>
          <w:sz w:val="18"/>
        </w:rPr>
        <w:t xml:space="preserve">Gas </w:t>
      </w:r>
      <w:r>
        <w:rPr>
          <w:rFonts w:ascii="Cambria Math" w:hAnsi="Cambria Math"/>
          <w:i/>
          <w:sz w:val="18"/>
        </w:rPr>
        <w:t>unit energy savings (</w:t>
      </w:r>
      <w:proofErr w:type="spellStart"/>
      <w:r>
        <w:rPr>
          <w:rFonts w:ascii="Cambria Math" w:hAnsi="Cambria Math"/>
          <w:i/>
          <w:sz w:val="18"/>
        </w:rPr>
        <w:t>therms</w:t>
      </w:r>
      <w:proofErr w:type="spellEnd"/>
      <w:r>
        <w:rPr>
          <w:rFonts w:ascii="Cambria Math" w:hAnsi="Cambria Math"/>
          <w:i/>
          <w:sz w:val="18"/>
        </w:rPr>
        <w:t>/</w:t>
      </w:r>
      <w:proofErr w:type="spellStart"/>
      <w:r>
        <w:rPr>
          <w:rFonts w:ascii="Cambria Math" w:hAnsi="Cambria Math"/>
          <w:i/>
          <w:sz w:val="18"/>
        </w:rPr>
        <w:t>yr</w:t>
      </w:r>
      <w:proofErr w:type="spellEnd"/>
      <w:r>
        <w:rPr>
          <w:rFonts w:ascii="Cambria Math" w:hAnsi="Cambria Math"/>
          <w:i/>
          <w:sz w:val="18"/>
        </w:rPr>
        <w:t>)</w:t>
      </w:r>
    </w:p>
    <w:p w14:paraId="43CAE7A4" w14:textId="7FD03A0C" w:rsidR="001342D2" w:rsidRDefault="00F64DBE" w:rsidP="00F64DBE">
      <w:pPr>
        <w:keepNext/>
        <w:keepLines/>
        <w:tabs>
          <w:tab w:val="left" w:pos="2700"/>
        </w:tabs>
        <w:spacing w:before="20" w:after="20" w:line="240" w:lineRule="auto"/>
        <w:ind w:left="2700" w:hanging="1260"/>
        <w:rPr>
          <w:rFonts w:ascii="Cambria Math" w:hAnsi="Cambria Math"/>
          <w:i/>
          <w:sz w:val="18"/>
        </w:rPr>
      </w:pPr>
      <w:proofErr w:type="spellStart"/>
      <w:r>
        <w:rPr>
          <w:rFonts w:ascii="Cambria Math" w:hAnsi="Cambria Math"/>
          <w:i/>
          <w:sz w:val="18"/>
        </w:rPr>
        <w:t>Avg</w:t>
      </w:r>
      <w:r w:rsidR="00F300CE">
        <w:rPr>
          <w:rFonts w:ascii="Cambria Math" w:hAnsi="Cambria Math"/>
          <w:i/>
          <w:sz w:val="18"/>
        </w:rPr>
        <w:t>UEC</w:t>
      </w:r>
      <w:r>
        <w:rPr>
          <w:rFonts w:ascii="Cambria Math" w:hAnsi="Cambria Math"/>
          <w:i/>
          <w:sz w:val="18"/>
          <w:vertAlign w:val="subscript"/>
        </w:rPr>
        <w:t>RASS</w:t>
      </w:r>
      <w:proofErr w:type="spellEnd"/>
      <w:r w:rsidR="001342D2">
        <w:rPr>
          <w:rFonts w:ascii="Cambria Math" w:hAnsi="Cambria Math"/>
          <w:i/>
          <w:sz w:val="18"/>
        </w:rPr>
        <w:t xml:space="preserve"> = </w:t>
      </w:r>
      <w:r w:rsidR="00F300CE">
        <w:rPr>
          <w:rFonts w:ascii="Cambria Math" w:hAnsi="Cambria Math"/>
          <w:i/>
          <w:sz w:val="18"/>
        </w:rPr>
        <w:tab/>
      </w:r>
      <w:r>
        <w:rPr>
          <w:rFonts w:ascii="Cambria Math" w:hAnsi="Cambria Math"/>
          <w:i/>
          <w:sz w:val="18"/>
        </w:rPr>
        <w:t>Average g</w:t>
      </w:r>
      <w:r w:rsidR="001342D2">
        <w:rPr>
          <w:rFonts w:ascii="Cambria Math" w:hAnsi="Cambria Math"/>
          <w:i/>
          <w:sz w:val="18"/>
        </w:rPr>
        <w:t xml:space="preserve">as </w:t>
      </w:r>
      <w:r w:rsidR="00D45190">
        <w:rPr>
          <w:rFonts w:ascii="Cambria Math" w:hAnsi="Cambria Math"/>
          <w:i/>
          <w:sz w:val="18"/>
        </w:rPr>
        <w:t xml:space="preserve">unit energy consumption for hot water </w:t>
      </w:r>
      <w:r w:rsidR="001342D2">
        <w:rPr>
          <w:rFonts w:ascii="Cambria Math" w:hAnsi="Cambria Math"/>
          <w:i/>
          <w:sz w:val="18"/>
        </w:rPr>
        <w:t>usage</w:t>
      </w:r>
      <w:r w:rsidR="00960792">
        <w:rPr>
          <w:rFonts w:ascii="Cambria Math" w:hAnsi="Cambria Math"/>
          <w:i/>
          <w:sz w:val="18"/>
        </w:rPr>
        <w:t xml:space="preserve"> </w:t>
      </w:r>
      <w:r>
        <w:rPr>
          <w:rFonts w:ascii="Cambria Math" w:hAnsi="Cambria Math"/>
          <w:i/>
          <w:sz w:val="18"/>
        </w:rPr>
        <w:t xml:space="preserve">per dwelling unit, reported in RASS </w:t>
      </w:r>
      <w:r w:rsidR="00D45190">
        <w:rPr>
          <w:rFonts w:ascii="Cambria Math" w:hAnsi="Cambria Math"/>
          <w:i/>
          <w:sz w:val="18"/>
        </w:rPr>
        <w:t>(</w:t>
      </w:r>
      <w:proofErr w:type="spellStart"/>
      <w:r w:rsidR="00D45190">
        <w:rPr>
          <w:rFonts w:ascii="Cambria Math" w:hAnsi="Cambria Math"/>
          <w:i/>
          <w:sz w:val="18"/>
        </w:rPr>
        <w:t>therms</w:t>
      </w:r>
      <w:proofErr w:type="spellEnd"/>
      <w:r w:rsidR="00D45190">
        <w:rPr>
          <w:rFonts w:ascii="Cambria Math" w:hAnsi="Cambria Math"/>
          <w:i/>
          <w:sz w:val="18"/>
        </w:rPr>
        <w:t>/</w:t>
      </w:r>
      <w:proofErr w:type="spellStart"/>
      <w:r w:rsidR="00D45190">
        <w:rPr>
          <w:rFonts w:ascii="Cambria Math" w:hAnsi="Cambria Math"/>
          <w:i/>
          <w:sz w:val="18"/>
        </w:rPr>
        <w:t>yr</w:t>
      </w:r>
      <w:proofErr w:type="spellEnd"/>
      <w:r w:rsidR="00D45190">
        <w:rPr>
          <w:rFonts w:ascii="Cambria Math" w:hAnsi="Cambria Math"/>
          <w:i/>
          <w:sz w:val="18"/>
        </w:rPr>
        <w:t>)</w:t>
      </w:r>
    </w:p>
    <w:p w14:paraId="1E39B54E" w14:textId="16672DA2" w:rsidR="00960792" w:rsidRPr="00F32A6A" w:rsidRDefault="00960792" w:rsidP="00F64DBE">
      <w:pPr>
        <w:keepNext/>
        <w:keepLines/>
        <w:tabs>
          <w:tab w:val="left" w:pos="2700"/>
        </w:tabs>
        <w:spacing w:before="20" w:after="20" w:line="240" w:lineRule="auto"/>
        <w:ind w:left="2700" w:hanging="1260"/>
        <w:rPr>
          <w:rFonts w:ascii="Cambria Math" w:hAnsi="Cambria Math"/>
          <w:i/>
          <w:sz w:val="18"/>
        </w:rPr>
      </w:pPr>
      <w:proofErr w:type="spellStart"/>
      <w:r>
        <w:rPr>
          <w:rFonts w:ascii="Cambria Math" w:hAnsi="Cambria Math"/>
          <w:i/>
          <w:sz w:val="18"/>
        </w:rPr>
        <w:t>CZ</w:t>
      </w:r>
      <w:r>
        <w:rPr>
          <w:rFonts w:ascii="Cambria Math" w:hAnsi="Cambria Math"/>
          <w:i/>
          <w:sz w:val="18"/>
          <w:vertAlign w:val="subscript"/>
        </w:rPr>
        <w:t>x</w:t>
      </w:r>
      <w:proofErr w:type="spellEnd"/>
      <w:r>
        <w:rPr>
          <w:rFonts w:ascii="Cambria Math" w:hAnsi="Cambria Math"/>
          <w:i/>
          <w:sz w:val="18"/>
          <w:vertAlign w:val="subscript"/>
        </w:rPr>
        <w:t xml:space="preserve"> = </w:t>
      </w:r>
      <w:r w:rsidR="00F300CE">
        <w:rPr>
          <w:rFonts w:ascii="Cambria Math" w:hAnsi="Cambria Math"/>
          <w:i/>
          <w:sz w:val="18"/>
          <w:vertAlign w:val="subscript"/>
        </w:rPr>
        <w:tab/>
      </w:r>
      <w:r>
        <w:rPr>
          <w:rFonts w:ascii="Cambria Math" w:hAnsi="Cambria Math"/>
          <w:i/>
          <w:sz w:val="18"/>
        </w:rPr>
        <w:t>Climate Zone adjustment factor (CZ 1 -16)</w:t>
      </w:r>
    </w:p>
    <w:p w14:paraId="14283E18" w14:textId="510BEC36" w:rsidR="00F32A6A" w:rsidRPr="00F32A6A" w:rsidRDefault="00F300CE" w:rsidP="00F64DBE">
      <w:pPr>
        <w:keepNext/>
        <w:keepLines/>
        <w:tabs>
          <w:tab w:val="left" w:pos="2700"/>
        </w:tabs>
        <w:spacing w:before="20" w:after="20" w:line="240" w:lineRule="auto"/>
        <w:ind w:left="2700" w:hanging="1260"/>
        <w:rPr>
          <w:rFonts w:ascii="Cambria Math" w:hAnsi="Cambria Math"/>
          <w:i/>
          <w:sz w:val="18"/>
        </w:rPr>
      </w:pPr>
      <w:r>
        <w:rPr>
          <w:rFonts w:ascii="Cambria Math" w:hAnsi="Cambria Math"/>
          <w:i/>
          <w:sz w:val="18"/>
        </w:rPr>
        <w:t>TE =</w:t>
      </w:r>
      <w:r w:rsidR="00F32A6A" w:rsidRPr="00F32A6A">
        <w:rPr>
          <w:rFonts w:ascii="Cambria Math" w:hAnsi="Cambria Math"/>
          <w:i/>
          <w:sz w:val="18"/>
        </w:rPr>
        <w:t xml:space="preserve"> </w:t>
      </w:r>
      <w:r>
        <w:rPr>
          <w:rFonts w:ascii="Cambria Math" w:hAnsi="Cambria Math"/>
          <w:i/>
          <w:sz w:val="18"/>
        </w:rPr>
        <w:tab/>
        <w:t>Thermal efficiency rating</w:t>
      </w:r>
      <w:r w:rsidR="00F32A6A" w:rsidRPr="00F32A6A">
        <w:rPr>
          <w:rFonts w:ascii="Cambria Math" w:hAnsi="Cambria Math"/>
          <w:i/>
          <w:sz w:val="18"/>
        </w:rPr>
        <w:t xml:space="preserve"> </w:t>
      </w:r>
      <w:r>
        <w:rPr>
          <w:rFonts w:ascii="Cambria Math" w:hAnsi="Cambria Math"/>
          <w:i/>
          <w:sz w:val="18"/>
        </w:rPr>
        <w:t>(%)</w:t>
      </w:r>
    </w:p>
    <w:p w14:paraId="32CCBEA6" w14:textId="69A0EF69" w:rsidR="00960792" w:rsidRDefault="00960792" w:rsidP="00F64DBE">
      <w:pPr>
        <w:keepNext/>
        <w:keepLines/>
        <w:tabs>
          <w:tab w:val="left" w:pos="2700"/>
        </w:tabs>
        <w:spacing w:before="20" w:after="20" w:line="240" w:lineRule="auto"/>
        <w:ind w:left="2700" w:hanging="1260"/>
        <w:rPr>
          <w:rFonts w:ascii="Cambria Math" w:hAnsi="Cambria Math"/>
          <w:i/>
          <w:sz w:val="18"/>
        </w:rPr>
      </w:pPr>
      <w:r>
        <w:rPr>
          <w:rFonts w:ascii="Cambria Math" w:hAnsi="Cambria Math"/>
          <w:i/>
          <w:sz w:val="18"/>
        </w:rPr>
        <w:t xml:space="preserve">Cap = </w:t>
      </w:r>
      <w:r w:rsidR="00F300CE">
        <w:rPr>
          <w:rFonts w:ascii="Cambria Math" w:hAnsi="Cambria Math"/>
          <w:i/>
          <w:sz w:val="18"/>
        </w:rPr>
        <w:tab/>
      </w:r>
      <w:r w:rsidR="00264CCB">
        <w:rPr>
          <w:rFonts w:ascii="Cambria Math" w:hAnsi="Cambria Math"/>
          <w:i/>
          <w:sz w:val="18"/>
        </w:rPr>
        <w:t xml:space="preserve">Average </w:t>
      </w:r>
      <w:r>
        <w:rPr>
          <w:rFonts w:ascii="Cambria Math" w:hAnsi="Cambria Math"/>
          <w:i/>
          <w:sz w:val="18"/>
        </w:rPr>
        <w:t xml:space="preserve">Capacity per </w:t>
      </w:r>
      <w:r w:rsidR="00264CCB">
        <w:rPr>
          <w:rFonts w:ascii="Cambria Math" w:hAnsi="Cambria Math"/>
          <w:i/>
          <w:sz w:val="18"/>
        </w:rPr>
        <w:t>Dwelling U</w:t>
      </w:r>
      <w:r>
        <w:rPr>
          <w:rFonts w:ascii="Cambria Math" w:hAnsi="Cambria Math"/>
          <w:i/>
          <w:sz w:val="18"/>
        </w:rPr>
        <w:t xml:space="preserve">nit </w:t>
      </w:r>
    </w:p>
    <w:p w14:paraId="0970D4BD" w14:textId="77777777" w:rsidR="00F32A6A" w:rsidRDefault="00F32A6A" w:rsidP="00F32A6A"/>
    <w:p w14:paraId="52BAEC5D" w14:textId="7B7A3513" w:rsidR="00F32A6A" w:rsidRDefault="004F1A85" w:rsidP="00F32A6A">
      <w:r>
        <w:t xml:space="preserve">Key parameters for </w:t>
      </w:r>
      <w:r w:rsidR="00E92862">
        <w:t>the UES calculation</w:t>
      </w:r>
      <w:r>
        <w:t xml:space="preserve"> are </w:t>
      </w:r>
      <w:r w:rsidR="00CB37F6">
        <w:t>specified and</w:t>
      </w:r>
      <w:r>
        <w:t xml:space="preserve"> explained below. </w:t>
      </w:r>
    </w:p>
    <w:p w14:paraId="40359117" w14:textId="1A5305BA" w:rsidR="003B28EF" w:rsidRDefault="004A3BFF" w:rsidP="004F1A85">
      <w:pPr>
        <w:pStyle w:val="Caption"/>
        <w:rPr>
          <w:rFonts w:ascii="Arial" w:hAnsi="Arial"/>
        </w:rPr>
      </w:pPr>
      <w:r>
        <w:t xml:space="preserve">Gas </w:t>
      </w:r>
      <w:r w:rsidR="00E01831">
        <w:t xml:space="preserve">Unit </w:t>
      </w:r>
      <w:r>
        <w:t>Energy Savings Input Parameters</w:t>
      </w: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592"/>
        <w:gridCol w:w="1296"/>
        <w:gridCol w:w="1296"/>
        <w:gridCol w:w="1296"/>
        <w:gridCol w:w="3150"/>
      </w:tblGrid>
      <w:tr w:rsidR="002A1D7D" w:rsidRPr="004A3BFF" w14:paraId="4559F7EF" w14:textId="1CA13427" w:rsidTr="00DF4742">
        <w:trPr>
          <w:trHeight w:val="296"/>
        </w:trPr>
        <w:tc>
          <w:tcPr>
            <w:tcW w:w="2592" w:type="dxa"/>
            <w:shd w:val="clear" w:color="auto" w:fill="F2F2F2" w:themeFill="background1" w:themeFillShade="F2"/>
            <w:noWrap/>
            <w:vAlign w:val="bottom"/>
          </w:tcPr>
          <w:p w14:paraId="1683F913" w14:textId="238C127C" w:rsidR="002A1D7D" w:rsidRPr="004A3BFF" w:rsidRDefault="002A1D7D" w:rsidP="004F1A85">
            <w:pPr>
              <w:keepNext/>
              <w:keepLines/>
              <w:spacing w:before="0" w:after="0" w:line="240" w:lineRule="auto"/>
              <w:rPr>
                <w:rFonts w:eastAsia="Times New Roman" w:cs="Times New Roman"/>
                <w:b/>
                <w:color w:val="000000"/>
                <w:sz w:val="20"/>
                <w:szCs w:val="20"/>
              </w:rPr>
            </w:pPr>
            <w:r>
              <w:rPr>
                <w:rFonts w:eastAsia="Times New Roman" w:cs="Times New Roman"/>
                <w:b/>
                <w:color w:val="000000"/>
                <w:sz w:val="20"/>
                <w:szCs w:val="20"/>
              </w:rPr>
              <w:t>Parameter</w:t>
            </w:r>
          </w:p>
        </w:tc>
        <w:tc>
          <w:tcPr>
            <w:tcW w:w="1296" w:type="dxa"/>
            <w:shd w:val="clear" w:color="auto" w:fill="F2F2F2" w:themeFill="background1" w:themeFillShade="F2"/>
            <w:noWrap/>
            <w:vAlign w:val="bottom"/>
          </w:tcPr>
          <w:p w14:paraId="2563B0BA" w14:textId="27895EC6" w:rsidR="002A1D7D" w:rsidRPr="004A3BFF" w:rsidRDefault="002A1D7D" w:rsidP="00620008">
            <w:pPr>
              <w:keepNext/>
              <w:keepLines/>
              <w:spacing w:before="0" w:after="0" w:line="240" w:lineRule="auto"/>
              <w:jc w:val="center"/>
              <w:rPr>
                <w:rFonts w:eastAsia="Times New Roman" w:cs="Times New Roman"/>
                <w:b/>
                <w:color w:val="000000"/>
                <w:sz w:val="20"/>
                <w:szCs w:val="20"/>
              </w:rPr>
            </w:pPr>
            <w:r w:rsidRPr="004A3BFF">
              <w:rPr>
                <w:rFonts w:eastAsia="Times New Roman" w:cs="Times New Roman"/>
                <w:b/>
                <w:color w:val="000000"/>
                <w:sz w:val="20"/>
                <w:szCs w:val="20"/>
              </w:rPr>
              <w:t>Base Case Model</w:t>
            </w:r>
          </w:p>
        </w:tc>
        <w:tc>
          <w:tcPr>
            <w:tcW w:w="1296" w:type="dxa"/>
            <w:shd w:val="clear" w:color="auto" w:fill="F2F2F2" w:themeFill="background1" w:themeFillShade="F2"/>
            <w:vAlign w:val="bottom"/>
          </w:tcPr>
          <w:p w14:paraId="65F28EF0" w14:textId="56330C5D" w:rsidR="002A1D7D" w:rsidRPr="004A3BFF" w:rsidRDefault="002A1D7D" w:rsidP="00620008">
            <w:pPr>
              <w:keepNext/>
              <w:keepLines/>
              <w:spacing w:before="0" w:after="0" w:line="240" w:lineRule="auto"/>
              <w:jc w:val="center"/>
              <w:rPr>
                <w:rFonts w:eastAsia="Times New Roman" w:cs="Times New Roman"/>
                <w:b/>
                <w:color w:val="000000"/>
                <w:sz w:val="20"/>
                <w:szCs w:val="20"/>
              </w:rPr>
            </w:pPr>
            <w:r>
              <w:rPr>
                <w:rFonts w:eastAsia="Times New Roman" w:cs="Times New Roman"/>
                <w:b/>
                <w:color w:val="000000"/>
                <w:sz w:val="20"/>
                <w:szCs w:val="20"/>
              </w:rPr>
              <w:t>Measure Case Model – Tier 1</w:t>
            </w:r>
          </w:p>
        </w:tc>
        <w:tc>
          <w:tcPr>
            <w:tcW w:w="1296" w:type="dxa"/>
            <w:shd w:val="clear" w:color="auto" w:fill="F2F2F2" w:themeFill="background1" w:themeFillShade="F2"/>
            <w:vAlign w:val="bottom"/>
          </w:tcPr>
          <w:p w14:paraId="03E624AC" w14:textId="04A1A92B" w:rsidR="002A1D7D" w:rsidRDefault="002A1D7D" w:rsidP="00620008">
            <w:pPr>
              <w:keepNext/>
              <w:keepLines/>
              <w:spacing w:before="0" w:after="0" w:line="240" w:lineRule="auto"/>
              <w:jc w:val="center"/>
              <w:rPr>
                <w:rFonts w:eastAsia="Times New Roman" w:cs="Times New Roman"/>
                <w:b/>
                <w:color w:val="000000"/>
                <w:sz w:val="20"/>
                <w:szCs w:val="20"/>
              </w:rPr>
            </w:pPr>
            <w:r>
              <w:rPr>
                <w:rFonts w:eastAsia="Times New Roman" w:cs="Times New Roman"/>
                <w:b/>
                <w:color w:val="000000"/>
                <w:sz w:val="20"/>
                <w:szCs w:val="20"/>
              </w:rPr>
              <w:t xml:space="preserve">Measure Case Model – Tier </w:t>
            </w:r>
            <w:r w:rsidR="00FF5180">
              <w:rPr>
                <w:rFonts w:eastAsia="Times New Roman" w:cs="Times New Roman"/>
                <w:b/>
                <w:color w:val="000000"/>
                <w:sz w:val="20"/>
                <w:szCs w:val="20"/>
              </w:rPr>
              <w:t>2</w:t>
            </w:r>
          </w:p>
        </w:tc>
        <w:tc>
          <w:tcPr>
            <w:tcW w:w="3150" w:type="dxa"/>
            <w:shd w:val="clear" w:color="auto" w:fill="F2F2F2" w:themeFill="background1" w:themeFillShade="F2"/>
            <w:vAlign w:val="bottom"/>
          </w:tcPr>
          <w:p w14:paraId="6F5A88D1" w14:textId="75B5FC25" w:rsidR="002A1D7D" w:rsidRDefault="002A1D7D" w:rsidP="00620008">
            <w:pPr>
              <w:keepNext/>
              <w:keepLines/>
              <w:spacing w:before="0" w:after="0" w:line="240" w:lineRule="auto"/>
              <w:jc w:val="center"/>
              <w:rPr>
                <w:rFonts w:eastAsia="Times New Roman" w:cs="Times New Roman"/>
                <w:b/>
                <w:color w:val="000000"/>
                <w:sz w:val="20"/>
                <w:szCs w:val="20"/>
              </w:rPr>
            </w:pPr>
            <w:r>
              <w:rPr>
                <w:rFonts w:eastAsia="Times New Roman" w:cs="Times New Roman"/>
                <w:b/>
                <w:color w:val="000000"/>
                <w:sz w:val="20"/>
                <w:szCs w:val="20"/>
              </w:rPr>
              <w:t>Source</w:t>
            </w:r>
          </w:p>
        </w:tc>
      </w:tr>
      <w:tr w:rsidR="002A1D7D" w:rsidRPr="004A3BFF" w14:paraId="673FCC34" w14:textId="7F3FB328" w:rsidTr="00DF4742">
        <w:trPr>
          <w:trHeight w:val="296"/>
        </w:trPr>
        <w:tc>
          <w:tcPr>
            <w:tcW w:w="2592" w:type="dxa"/>
            <w:shd w:val="clear" w:color="000000" w:fill="FFFFFF"/>
            <w:noWrap/>
            <w:vAlign w:val="center"/>
            <w:hideMark/>
          </w:tcPr>
          <w:p w14:paraId="32747EFF" w14:textId="57776B27" w:rsidR="002A1D7D" w:rsidRPr="004A3BFF" w:rsidRDefault="00264CCB" w:rsidP="004F1A85">
            <w:pPr>
              <w:keepNext/>
              <w:keepLines/>
              <w:spacing w:before="0" w:after="0" w:line="240" w:lineRule="auto"/>
              <w:rPr>
                <w:rFonts w:eastAsia="Times New Roman" w:cs="Times New Roman"/>
                <w:color w:val="000000"/>
                <w:sz w:val="20"/>
                <w:szCs w:val="20"/>
              </w:rPr>
            </w:pPr>
            <w:r>
              <w:rPr>
                <w:rFonts w:eastAsia="Times New Roman" w:cs="Times New Roman"/>
                <w:color w:val="000000"/>
                <w:sz w:val="20"/>
                <w:szCs w:val="20"/>
              </w:rPr>
              <w:t>Average UEC per</w:t>
            </w:r>
            <w:r w:rsidR="001334F9">
              <w:rPr>
                <w:rFonts w:eastAsia="Times New Roman" w:cs="Times New Roman"/>
                <w:color w:val="000000"/>
                <w:sz w:val="20"/>
                <w:szCs w:val="20"/>
              </w:rPr>
              <w:t xml:space="preserve"> </w:t>
            </w:r>
            <w:r>
              <w:rPr>
                <w:rFonts w:eastAsia="Times New Roman" w:cs="Times New Roman"/>
                <w:color w:val="000000"/>
                <w:sz w:val="20"/>
                <w:szCs w:val="20"/>
              </w:rPr>
              <w:t>D</w:t>
            </w:r>
            <w:r w:rsidR="001334F9">
              <w:rPr>
                <w:rFonts w:eastAsia="Times New Roman" w:cs="Times New Roman"/>
                <w:color w:val="000000"/>
                <w:sz w:val="20"/>
                <w:szCs w:val="20"/>
              </w:rPr>
              <w:t xml:space="preserve">welling </w:t>
            </w:r>
            <w:r>
              <w:rPr>
                <w:rFonts w:eastAsia="Times New Roman" w:cs="Times New Roman"/>
                <w:color w:val="000000"/>
                <w:sz w:val="20"/>
                <w:szCs w:val="20"/>
              </w:rPr>
              <w:t>U</w:t>
            </w:r>
            <w:r w:rsidR="001334F9">
              <w:rPr>
                <w:rFonts w:eastAsia="Times New Roman" w:cs="Times New Roman"/>
                <w:color w:val="000000"/>
                <w:sz w:val="20"/>
                <w:szCs w:val="20"/>
              </w:rPr>
              <w:t>nit</w:t>
            </w:r>
            <w:r w:rsidR="00F64DBE">
              <w:rPr>
                <w:rFonts w:eastAsia="Times New Roman" w:cs="Times New Roman"/>
                <w:color w:val="000000"/>
                <w:sz w:val="20"/>
                <w:szCs w:val="20"/>
              </w:rPr>
              <w:t xml:space="preserve"> (</w:t>
            </w:r>
            <w:proofErr w:type="spellStart"/>
            <w:r w:rsidR="00F64DBE" w:rsidRPr="004A3BFF">
              <w:rPr>
                <w:rFonts w:eastAsia="Times New Roman" w:cs="Times New Roman"/>
                <w:color w:val="000000"/>
                <w:sz w:val="20"/>
                <w:szCs w:val="20"/>
              </w:rPr>
              <w:t>therms</w:t>
            </w:r>
            <w:proofErr w:type="spellEnd"/>
            <w:r w:rsidR="00F64DBE" w:rsidRPr="004A3BFF">
              <w:rPr>
                <w:rFonts w:eastAsia="Times New Roman" w:cs="Times New Roman"/>
                <w:color w:val="000000"/>
                <w:sz w:val="20"/>
                <w:szCs w:val="20"/>
              </w:rPr>
              <w:t>/</w:t>
            </w:r>
            <w:proofErr w:type="spellStart"/>
            <w:r w:rsidR="00F64DBE" w:rsidRPr="004A3BFF">
              <w:rPr>
                <w:rFonts w:eastAsia="Times New Roman" w:cs="Times New Roman"/>
                <w:color w:val="000000"/>
                <w:sz w:val="20"/>
                <w:szCs w:val="20"/>
              </w:rPr>
              <w:t>yr</w:t>
            </w:r>
            <w:proofErr w:type="spellEnd"/>
            <w:r w:rsidR="00F64DBE">
              <w:rPr>
                <w:rFonts w:eastAsia="Times New Roman" w:cs="Times New Roman"/>
                <w:color w:val="000000"/>
                <w:sz w:val="20"/>
                <w:szCs w:val="20"/>
              </w:rPr>
              <w:t>)</w:t>
            </w:r>
          </w:p>
        </w:tc>
        <w:tc>
          <w:tcPr>
            <w:tcW w:w="1296" w:type="dxa"/>
            <w:shd w:val="clear" w:color="auto" w:fill="auto"/>
            <w:noWrap/>
            <w:vAlign w:val="center"/>
            <w:hideMark/>
          </w:tcPr>
          <w:p w14:paraId="326ECDA6" w14:textId="77777777" w:rsidR="002A1D7D" w:rsidRPr="004A3BFF" w:rsidRDefault="002A1D7D" w:rsidP="004F1A85">
            <w:pPr>
              <w:keepNext/>
              <w:keepLines/>
              <w:spacing w:before="0" w:after="0" w:line="240" w:lineRule="auto"/>
              <w:jc w:val="center"/>
              <w:rPr>
                <w:rFonts w:eastAsia="Times New Roman" w:cs="Times New Roman"/>
                <w:color w:val="000000"/>
                <w:sz w:val="20"/>
                <w:szCs w:val="20"/>
              </w:rPr>
            </w:pPr>
            <w:r w:rsidRPr="004A3BFF">
              <w:rPr>
                <w:rFonts w:eastAsia="Times New Roman" w:cs="Times New Roman"/>
                <w:color w:val="000000"/>
                <w:sz w:val="20"/>
                <w:szCs w:val="20"/>
              </w:rPr>
              <w:t>183</w:t>
            </w:r>
          </w:p>
        </w:tc>
        <w:tc>
          <w:tcPr>
            <w:tcW w:w="1296" w:type="dxa"/>
            <w:vAlign w:val="center"/>
          </w:tcPr>
          <w:p w14:paraId="4BFA5EFF" w14:textId="16E7AF9A" w:rsidR="002A1D7D" w:rsidRPr="004A3BFF" w:rsidRDefault="002A1D7D" w:rsidP="004F1A85">
            <w:pPr>
              <w:keepNext/>
              <w:keepLines/>
              <w:spacing w:before="0" w:after="0" w:line="240" w:lineRule="auto"/>
              <w:jc w:val="center"/>
              <w:rPr>
                <w:rFonts w:eastAsia="Times New Roman" w:cs="Times New Roman"/>
                <w:color w:val="000000"/>
                <w:sz w:val="20"/>
                <w:szCs w:val="20"/>
              </w:rPr>
            </w:pPr>
            <w:r>
              <w:rPr>
                <w:rFonts w:eastAsia="Times New Roman"/>
                <w:color w:val="000000"/>
                <w:sz w:val="20"/>
                <w:szCs w:val="20"/>
              </w:rPr>
              <w:t>183</w:t>
            </w:r>
          </w:p>
        </w:tc>
        <w:tc>
          <w:tcPr>
            <w:tcW w:w="1296" w:type="dxa"/>
            <w:vAlign w:val="center"/>
          </w:tcPr>
          <w:p w14:paraId="0031A185" w14:textId="0470C3C4" w:rsidR="002A1D7D" w:rsidRPr="004A3BFF" w:rsidRDefault="002A1D7D" w:rsidP="004F1A85">
            <w:pPr>
              <w:keepNext/>
              <w:keepLines/>
              <w:spacing w:before="0" w:after="0" w:line="240" w:lineRule="auto"/>
              <w:jc w:val="center"/>
              <w:rPr>
                <w:rFonts w:eastAsia="Times New Roman" w:cs="Times New Roman"/>
                <w:color w:val="000000"/>
                <w:sz w:val="20"/>
                <w:szCs w:val="20"/>
              </w:rPr>
            </w:pPr>
            <w:r>
              <w:rPr>
                <w:rFonts w:eastAsia="Times New Roman"/>
                <w:color w:val="000000"/>
                <w:sz w:val="20"/>
                <w:szCs w:val="20"/>
              </w:rPr>
              <w:t>183</w:t>
            </w:r>
          </w:p>
        </w:tc>
        <w:tc>
          <w:tcPr>
            <w:tcW w:w="3150" w:type="dxa"/>
            <w:vAlign w:val="center"/>
          </w:tcPr>
          <w:p w14:paraId="49C901D6" w14:textId="508A0051" w:rsidR="002A1D7D" w:rsidRPr="0075183A" w:rsidRDefault="00F300CE" w:rsidP="004F1A85">
            <w:pPr>
              <w:keepNext/>
              <w:keepLines/>
              <w:spacing w:before="0" w:after="0" w:line="240" w:lineRule="auto"/>
              <w:rPr>
                <w:rFonts w:eastAsia="Times New Roman" w:cs="Times New Roman"/>
                <w:color w:val="000000"/>
                <w:sz w:val="18"/>
                <w:szCs w:val="18"/>
                <w:highlight w:val="yellow"/>
              </w:rPr>
            </w:pPr>
            <w:r w:rsidRPr="0075183A">
              <w:rPr>
                <w:sz w:val="18"/>
                <w:szCs w:val="18"/>
              </w:rPr>
              <w:t xml:space="preserve">KEMA, Inc. 2010. </w:t>
            </w:r>
            <w:r w:rsidRPr="0075183A">
              <w:rPr>
                <w:i/>
                <w:sz w:val="18"/>
                <w:szCs w:val="18"/>
              </w:rPr>
              <w:t>2009 California Residential Appliance Saturation Survey. Volume 2: Results.</w:t>
            </w:r>
            <w:r w:rsidRPr="0075183A">
              <w:rPr>
                <w:sz w:val="18"/>
                <w:szCs w:val="18"/>
              </w:rPr>
              <w:t xml:space="preserve"> Prepared for the California Energy Commission. CC-200-2010-004.</w:t>
            </w:r>
          </w:p>
        </w:tc>
      </w:tr>
      <w:tr w:rsidR="00656F12" w:rsidRPr="004A3BFF" w14:paraId="743266F9" w14:textId="3F5855C5" w:rsidTr="00DF4742">
        <w:trPr>
          <w:trHeight w:val="280"/>
        </w:trPr>
        <w:tc>
          <w:tcPr>
            <w:tcW w:w="2592" w:type="dxa"/>
            <w:shd w:val="clear" w:color="000000" w:fill="FFFFFF"/>
            <w:noWrap/>
            <w:vAlign w:val="center"/>
            <w:hideMark/>
          </w:tcPr>
          <w:p w14:paraId="1589CBD2" w14:textId="0CCEFC86" w:rsidR="00656F12" w:rsidRPr="004A3BFF" w:rsidRDefault="00B95441" w:rsidP="00656F12">
            <w:pPr>
              <w:keepNext/>
              <w:keepLines/>
              <w:spacing w:before="0" w:after="0" w:line="240" w:lineRule="auto"/>
              <w:rPr>
                <w:rFonts w:eastAsia="Times New Roman" w:cs="Times New Roman"/>
                <w:color w:val="000000"/>
                <w:sz w:val="20"/>
                <w:szCs w:val="20"/>
              </w:rPr>
            </w:pPr>
            <w:r>
              <w:rPr>
                <w:rFonts w:eastAsia="Times New Roman" w:cs="Times New Roman"/>
                <w:color w:val="000000"/>
                <w:sz w:val="20"/>
                <w:szCs w:val="20"/>
              </w:rPr>
              <w:t>Climate Zone</w:t>
            </w:r>
            <w:r w:rsidR="00656F12" w:rsidRPr="004A3BFF">
              <w:rPr>
                <w:rFonts w:eastAsia="Times New Roman" w:cs="Times New Roman"/>
                <w:color w:val="000000"/>
                <w:sz w:val="20"/>
                <w:szCs w:val="20"/>
              </w:rPr>
              <w:t xml:space="preserve"> Adjustment Factor </w:t>
            </w:r>
          </w:p>
        </w:tc>
        <w:tc>
          <w:tcPr>
            <w:tcW w:w="1296" w:type="dxa"/>
            <w:shd w:val="clear" w:color="auto" w:fill="auto"/>
            <w:noWrap/>
            <w:vAlign w:val="center"/>
            <w:hideMark/>
          </w:tcPr>
          <w:p w14:paraId="25812685" w14:textId="5182D18F" w:rsidR="00656F12" w:rsidRPr="004A3BFF" w:rsidRDefault="00656F12" w:rsidP="00656F12">
            <w:pPr>
              <w:keepNext/>
              <w:keepLines/>
              <w:spacing w:before="0" w:after="0" w:line="240" w:lineRule="auto"/>
              <w:jc w:val="center"/>
              <w:rPr>
                <w:rFonts w:eastAsia="Times New Roman" w:cs="Times New Roman"/>
                <w:color w:val="000000"/>
                <w:sz w:val="20"/>
                <w:szCs w:val="20"/>
              </w:rPr>
            </w:pPr>
            <w:r>
              <w:rPr>
                <w:rFonts w:eastAsia="Times New Roman" w:cs="Times New Roman"/>
                <w:color w:val="000000"/>
                <w:sz w:val="20"/>
                <w:szCs w:val="20"/>
              </w:rPr>
              <w:t>1.00</w:t>
            </w:r>
          </w:p>
        </w:tc>
        <w:tc>
          <w:tcPr>
            <w:tcW w:w="1296" w:type="dxa"/>
            <w:vAlign w:val="center"/>
          </w:tcPr>
          <w:p w14:paraId="34E876C2" w14:textId="22AE42E0" w:rsidR="00656F12" w:rsidRPr="004A3BFF" w:rsidRDefault="00656F12" w:rsidP="00656F12">
            <w:pPr>
              <w:keepNext/>
              <w:keepLines/>
              <w:spacing w:before="0" w:after="0" w:line="240" w:lineRule="auto"/>
              <w:jc w:val="center"/>
              <w:rPr>
                <w:rFonts w:eastAsia="Times New Roman" w:cs="Times New Roman"/>
                <w:color w:val="000000"/>
                <w:sz w:val="20"/>
                <w:szCs w:val="20"/>
              </w:rPr>
            </w:pPr>
            <w:r w:rsidRPr="00DD70DF">
              <w:rPr>
                <w:rFonts w:eastAsia="Times New Roman" w:cs="Times New Roman"/>
                <w:color w:val="000000"/>
                <w:sz w:val="20"/>
                <w:szCs w:val="20"/>
              </w:rPr>
              <w:t>Varies by CZ</w:t>
            </w:r>
          </w:p>
        </w:tc>
        <w:tc>
          <w:tcPr>
            <w:tcW w:w="1296" w:type="dxa"/>
            <w:vAlign w:val="center"/>
          </w:tcPr>
          <w:p w14:paraId="389D7976" w14:textId="124862BF" w:rsidR="00656F12" w:rsidRPr="004A3BFF" w:rsidRDefault="00656F12" w:rsidP="00656F12">
            <w:pPr>
              <w:keepNext/>
              <w:keepLines/>
              <w:spacing w:before="0" w:after="0" w:line="240" w:lineRule="auto"/>
              <w:jc w:val="center"/>
              <w:rPr>
                <w:rFonts w:eastAsia="Times New Roman" w:cs="Times New Roman"/>
                <w:color w:val="000000"/>
                <w:sz w:val="20"/>
                <w:szCs w:val="20"/>
              </w:rPr>
            </w:pPr>
            <w:r w:rsidRPr="00DD70DF">
              <w:rPr>
                <w:rFonts w:eastAsia="Times New Roman" w:cs="Times New Roman"/>
                <w:color w:val="000000"/>
                <w:sz w:val="20"/>
                <w:szCs w:val="20"/>
              </w:rPr>
              <w:t>Varies by CZ</w:t>
            </w:r>
          </w:p>
        </w:tc>
        <w:tc>
          <w:tcPr>
            <w:tcW w:w="3150" w:type="dxa"/>
            <w:vAlign w:val="center"/>
          </w:tcPr>
          <w:p w14:paraId="3ADF370A" w14:textId="2397369E" w:rsidR="00656F12" w:rsidRPr="0075183A" w:rsidRDefault="0075183A" w:rsidP="00656F12">
            <w:pPr>
              <w:keepNext/>
              <w:keepLines/>
              <w:spacing w:before="0" w:after="0" w:line="240" w:lineRule="auto"/>
              <w:rPr>
                <w:rFonts w:eastAsia="Times New Roman" w:cs="Times New Roman"/>
                <w:color w:val="000000"/>
                <w:sz w:val="18"/>
                <w:szCs w:val="18"/>
                <w:highlight w:val="yellow"/>
              </w:rPr>
            </w:pPr>
            <w:r w:rsidRPr="0075183A">
              <w:rPr>
                <w:rFonts w:eastAsia="Times New Roman" w:cs="Times New Roman"/>
                <w:color w:val="000000"/>
                <w:sz w:val="18"/>
                <w:szCs w:val="18"/>
              </w:rPr>
              <w:t>Southern California Gas Company. (n.d.) "WPSCGREWH130613A-Rev1 BA-MF MODELING and ADJ FACTORS CALC.xls."</w:t>
            </w:r>
          </w:p>
        </w:tc>
      </w:tr>
      <w:tr w:rsidR="002A1D7D" w:rsidRPr="004A3BFF" w14:paraId="0019F224" w14:textId="404F9449" w:rsidTr="00DF4742">
        <w:trPr>
          <w:trHeight w:val="280"/>
        </w:trPr>
        <w:tc>
          <w:tcPr>
            <w:tcW w:w="2592" w:type="dxa"/>
            <w:shd w:val="clear" w:color="000000" w:fill="FFFFFF"/>
            <w:noWrap/>
            <w:vAlign w:val="center"/>
            <w:hideMark/>
          </w:tcPr>
          <w:p w14:paraId="4921C442" w14:textId="0E8BD97B" w:rsidR="002A1D7D" w:rsidRPr="00264CCB" w:rsidRDefault="002A1D7D" w:rsidP="004A3BFF">
            <w:pPr>
              <w:spacing w:before="0" w:after="0" w:line="240" w:lineRule="auto"/>
              <w:rPr>
                <w:rFonts w:eastAsia="Times New Roman" w:cs="Calibri Light"/>
                <w:color w:val="000000"/>
                <w:sz w:val="20"/>
                <w:szCs w:val="20"/>
              </w:rPr>
            </w:pPr>
            <w:bookmarkStart w:id="52" w:name="_Hlk502425585"/>
            <w:r w:rsidRPr="00264CCB">
              <w:rPr>
                <w:rFonts w:eastAsia="Times New Roman" w:cs="Calibri Light"/>
                <w:color w:val="000000"/>
                <w:sz w:val="20"/>
                <w:szCs w:val="20"/>
              </w:rPr>
              <w:t xml:space="preserve">Average </w:t>
            </w:r>
            <w:r w:rsidR="00264CCB" w:rsidRPr="00264CCB">
              <w:rPr>
                <w:rFonts w:eastAsia="Times New Roman" w:cs="Calibri Light"/>
                <w:color w:val="000000"/>
                <w:sz w:val="20"/>
                <w:szCs w:val="20"/>
              </w:rPr>
              <w:t>Capacity per Dwelling Unit</w:t>
            </w:r>
            <w:bookmarkEnd w:id="52"/>
            <w:r w:rsidR="00264CCB" w:rsidRPr="00264CCB">
              <w:rPr>
                <w:rFonts w:eastAsia="Times New Roman" w:cs="Calibri Light"/>
                <w:color w:val="000000"/>
                <w:sz w:val="20"/>
                <w:szCs w:val="20"/>
              </w:rPr>
              <w:t xml:space="preserve"> (</w:t>
            </w:r>
            <w:proofErr w:type="spellStart"/>
            <w:r w:rsidR="00264CCB" w:rsidRPr="00264CCB">
              <w:rPr>
                <w:rFonts w:cs="Calibri Light"/>
                <w:sz w:val="20"/>
                <w:szCs w:val="20"/>
              </w:rPr>
              <w:t>kBtu</w:t>
            </w:r>
            <w:proofErr w:type="spellEnd"/>
            <w:r w:rsidR="00264CCB" w:rsidRPr="00264CCB">
              <w:rPr>
                <w:rFonts w:cs="Calibri Light"/>
                <w:sz w:val="20"/>
                <w:szCs w:val="20"/>
              </w:rPr>
              <w:t>/</w:t>
            </w:r>
            <w:proofErr w:type="spellStart"/>
            <w:r w:rsidR="00264CCB" w:rsidRPr="00264CCB">
              <w:rPr>
                <w:rFonts w:cs="Calibri Light"/>
                <w:sz w:val="20"/>
                <w:szCs w:val="20"/>
              </w:rPr>
              <w:t>hr</w:t>
            </w:r>
            <w:proofErr w:type="spellEnd"/>
            <w:r w:rsidR="00264CCB" w:rsidRPr="00264CCB">
              <w:rPr>
                <w:rFonts w:cs="Calibri Light"/>
                <w:sz w:val="20"/>
                <w:szCs w:val="20"/>
              </w:rPr>
              <w:t>/unit)</w:t>
            </w:r>
          </w:p>
        </w:tc>
        <w:tc>
          <w:tcPr>
            <w:tcW w:w="1296" w:type="dxa"/>
            <w:shd w:val="clear" w:color="auto" w:fill="auto"/>
            <w:noWrap/>
            <w:vAlign w:val="center"/>
            <w:hideMark/>
          </w:tcPr>
          <w:p w14:paraId="671E3752" w14:textId="77777777" w:rsidR="002A1D7D" w:rsidRPr="004A3BFF" w:rsidRDefault="002A1D7D" w:rsidP="002A1D7D">
            <w:pPr>
              <w:spacing w:before="0" w:after="0" w:line="240" w:lineRule="auto"/>
              <w:jc w:val="center"/>
              <w:rPr>
                <w:rFonts w:eastAsia="Times New Roman" w:cs="Times New Roman"/>
                <w:color w:val="000000"/>
                <w:sz w:val="20"/>
                <w:szCs w:val="20"/>
              </w:rPr>
            </w:pPr>
            <w:r w:rsidRPr="004A3BFF">
              <w:rPr>
                <w:rFonts w:eastAsia="Times New Roman" w:cs="Times New Roman"/>
                <w:color w:val="000000"/>
                <w:sz w:val="20"/>
                <w:szCs w:val="20"/>
              </w:rPr>
              <w:t>6.5</w:t>
            </w:r>
          </w:p>
        </w:tc>
        <w:tc>
          <w:tcPr>
            <w:tcW w:w="1296" w:type="dxa"/>
            <w:vAlign w:val="center"/>
          </w:tcPr>
          <w:p w14:paraId="152426E8" w14:textId="0ED657E7" w:rsidR="002A1D7D" w:rsidRPr="004A3BFF" w:rsidRDefault="002A1D7D" w:rsidP="002A1D7D">
            <w:pPr>
              <w:spacing w:before="0" w:after="0" w:line="240" w:lineRule="auto"/>
              <w:jc w:val="center"/>
              <w:rPr>
                <w:rFonts w:eastAsia="Times New Roman" w:cs="Times New Roman"/>
                <w:color w:val="000000"/>
                <w:sz w:val="20"/>
                <w:szCs w:val="20"/>
              </w:rPr>
            </w:pPr>
            <w:r>
              <w:rPr>
                <w:rFonts w:eastAsia="Times New Roman"/>
                <w:color w:val="000000"/>
                <w:sz w:val="20"/>
                <w:szCs w:val="20"/>
              </w:rPr>
              <w:t>6.5</w:t>
            </w:r>
          </w:p>
        </w:tc>
        <w:tc>
          <w:tcPr>
            <w:tcW w:w="1296" w:type="dxa"/>
            <w:vAlign w:val="center"/>
          </w:tcPr>
          <w:p w14:paraId="373FDFEF" w14:textId="3FB39BF6" w:rsidR="002A1D7D" w:rsidRPr="004A3BFF" w:rsidRDefault="002A1D7D" w:rsidP="002A1D7D">
            <w:pPr>
              <w:spacing w:before="0" w:after="0" w:line="240" w:lineRule="auto"/>
              <w:jc w:val="center"/>
              <w:rPr>
                <w:rFonts w:eastAsia="Times New Roman" w:cs="Times New Roman"/>
                <w:color w:val="000000"/>
                <w:sz w:val="20"/>
                <w:szCs w:val="20"/>
              </w:rPr>
            </w:pPr>
            <w:r>
              <w:rPr>
                <w:rFonts w:eastAsia="Times New Roman"/>
                <w:color w:val="000000"/>
                <w:sz w:val="20"/>
                <w:szCs w:val="20"/>
              </w:rPr>
              <w:t>6.5</w:t>
            </w:r>
          </w:p>
        </w:tc>
        <w:tc>
          <w:tcPr>
            <w:tcW w:w="3150" w:type="dxa"/>
            <w:vAlign w:val="center"/>
          </w:tcPr>
          <w:p w14:paraId="47F8927B" w14:textId="2590CF8A" w:rsidR="002A1D7D" w:rsidRPr="00264CCB" w:rsidRDefault="00264CCB" w:rsidP="004A3BFF">
            <w:pPr>
              <w:spacing w:before="0" w:after="0" w:line="240" w:lineRule="auto"/>
              <w:rPr>
                <w:rFonts w:eastAsia="Times New Roman" w:cs="Times New Roman"/>
                <w:color w:val="000000"/>
                <w:sz w:val="18"/>
                <w:szCs w:val="18"/>
              </w:rPr>
            </w:pPr>
            <w:r w:rsidRPr="00264CCB">
              <w:rPr>
                <w:rFonts w:eastAsia="Times New Roman" w:cs="Times New Roman"/>
                <w:color w:val="000000"/>
                <w:sz w:val="18"/>
                <w:szCs w:val="18"/>
              </w:rPr>
              <w:t>Professional judgement</w:t>
            </w:r>
            <w:r w:rsidR="002A1D7D" w:rsidRPr="00264CCB">
              <w:rPr>
                <w:rFonts w:eastAsia="Times New Roman" w:cs="Times New Roman"/>
                <w:color w:val="000000"/>
                <w:sz w:val="18"/>
                <w:szCs w:val="18"/>
              </w:rPr>
              <w:t xml:space="preserve"> </w:t>
            </w:r>
          </w:p>
        </w:tc>
      </w:tr>
      <w:tr w:rsidR="002A1D7D" w:rsidRPr="004A3BFF" w14:paraId="2AB8611B" w14:textId="48791E8D" w:rsidTr="00DF4742">
        <w:trPr>
          <w:trHeight w:val="280"/>
        </w:trPr>
        <w:tc>
          <w:tcPr>
            <w:tcW w:w="2592" w:type="dxa"/>
            <w:shd w:val="clear" w:color="000000" w:fill="FFFFFF"/>
            <w:noWrap/>
            <w:vAlign w:val="center"/>
            <w:hideMark/>
          </w:tcPr>
          <w:p w14:paraId="67080634" w14:textId="0F173A89" w:rsidR="002A1D7D" w:rsidRPr="004A3BFF" w:rsidRDefault="00264CCB" w:rsidP="004A3BFF">
            <w:pPr>
              <w:spacing w:before="0" w:after="0" w:line="240" w:lineRule="auto"/>
              <w:rPr>
                <w:rFonts w:eastAsia="Times New Roman" w:cs="Times New Roman"/>
                <w:color w:val="000000"/>
                <w:sz w:val="20"/>
                <w:szCs w:val="20"/>
              </w:rPr>
            </w:pPr>
            <w:r>
              <w:rPr>
                <w:rFonts w:eastAsia="Times New Roman" w:cs="Times New Roman"/>
                <w:color w:val="000000"/>
                <w:sz w:val="20"/>
                <w:szCs w:val="20"/>
              </w:rPr>
              <w:t xml:space="preserve">Thermal </w:t>
            </w:r>
            <w:r w:rsidR="002A1D7D" w:rsidRPr="004A3BFF">
              <w:rPr>
                <w:rFonts w:eastAsia="Times New Roman" w:cs="Times New Roman"/>
                <w:color w:val="000000"/>
                <w:sz w:val="20"/>
                <w:szCs w:val="20"/>
              </w:rPr>
              <w:t xml:space="preserve">Efficiency </w:t>
            </w:r>
            <w:r w:rsidR="002A1D7D">
              <w:rPr>
                <w:rFonts w:eastAsia="Times New Roman" w:cs="Times New Roman"/>
                <w:color w:val="000000"/>
                <w:sz w:val="20"/>
                <w:szCs w:val="20"/>
              </w:rPr>
              <w:t>(%)</w:t>
            </w:r>
          </w:p>
        </w:tc>
        <w:tc>
          <w:tcPr>
            <w:tcW w:w="1296" w:type="dxa"/>
            <w:shd w:val="clear" w:color="auto" w:fill="auto"/>
            <w:noWrap/>
            <w:vAlign w:val="center"/>
            <w:hideMark/>
          </w:tcPr>
          <w:p w14:paraId="50618315" w14:textId="77777777" w:rsidR="002A1D7D" w:rsidRPr="004A3BFF" w:rsidRDefault="002A1D7D" w:rsidP="002A1D7D">
            <w:pPr>
              <w:spacing w:before="0" w:after="0" w:line="240" w:lineRule="auto"/>
              <w:jc w:val="center"/>
              <w:rPr>
                <w:rFonts w:eastAsia="Times New Roman" w:cs="Times New Roman"/>
                <w:color w:val="000000"/>
                <w:sz w:val="20"/>
                <w:szCs w:val="20"/>
              </w:rPr>
            </w:pPr>
            <w:r w:rsidRPr="004A3BFF">
              <w:rPr>
                <w:rFonts w:eastAsia="Times New Roman" w:cs="Times New Roman"/>
                <w:color w:val="000000"/>
                <w:sz w:val="20"/>
                <w:szCs w:val="20"/>
              </w:rPr>
              <w:t>80%</w:t>
            </w:r>
          </w:p>
        </w:tc>
        <w:tc>
          <w:tcPr>
            <w:tcW w:w="1296" w:type="dxa"/>
            <w:vAlign w:val="center"/>
          </w:tcPr>
          <w:p w14:paraId="2326A46E" w14:textId="4FDD4498" w:rsidR="002A1D7D" w:rsidRPr="004A3BFF" w:rsidRDefault="002A1D7D" w:rsidP="002A1D7D">
            <w:pPr>
              <w:spacing w:before="0" w:after="0" w:line="240" w:lineRule="auto"/>
              <w:jc w:val="center"/>
              <w:rPr>
                <w:rFonts w:eastAsia="Times New Roman" w:cs="Times New Roman"/>
                <w:color w:val="000000"/>
                <w:sz w:val="20"/>
                <w:szCs w:val="20"/>
              </w:rPr>
            </w:pPr>
            <w:r>
              <w:rPr>
                <w:rFonts w:eastAsia="Times New Roman"/>
                <w:color w:val="000000"/>
                <w:sz w:val="20"/>
                <w:szCs w:val="20"/>
              </w:rPr>
              <w:t>83%</w:t>
            </w:r>
          </w:p>
        </w:tc>
        <w:tc>
          <w:tcPr>
            <w:tcW w:w="1296" w:type="dxa"/>
            <w:vAlign w:val="center"/>
          </w:tcPr>
          <w:p w14:paraId="419959F7" w14:textId="1EC4FC4F" w:rsidR="002A1D7D" w:rsidRPr="004A3BFF" w:rsidRDefault="002A1D7D" w:rsidP="002A1D7D">
            <w:pPr>
              <w:spacing w:before="0" w:after="0" w:line="240" w:lineRule="auto"/>
              <w:jc w:val="center"/>
              <w:rPr>
                <w:rFonts w:eastAsia="Times New Roman" w:cs="Times New Roman"/>
                <w:color w:val="000000"/>
                <w:sz w:val="20"/>
                <w:szCs w:val="20"/>
              </w:rPr>
            </w:pPr>
            <w:r>
              <w:rPr>
                <w:rFonts w:eastAsia="Times New Roman"/>
                <w:color w:val="000000"/>
                <w:sz w:val="20"/>
                <w:szCs w:val="20"/>
              </w:rPr>
              <w:t>90%</w:t>
            </w:r>
          </w:p>
        </w:tc>
        <w:tc>
          <w:tcPr>
            <w:tcW w:w="3150" w:type="dxa"/>
            <w:vAlign w:val="center"/>
          </w:tcPr>
          <w:p w14:paraId="4A3D2168" w14:textId="77777777" w:rsidR="002A1D7D" w:rsidRPr="0055779A" w:rsidRDefault="004F1A85" w:rsidP="004A3BFF">
            <w:pPr>
              <w:spacing w:before="0" w:after="0" w:line="240" w:lineRule="auto"/>
              <w:rPr>
                <w:rFonts w:eastAsia="Times New Roman" w:cs="Times New Roman"/>
                <w:color w:val="000000"/>
                <w:sz w:val="18"/>
                <w:szCs w:val="18"/>
              </w:rPr>
            </w:pPr>
            <w:r w:rsidRPr="0055779A">
              <w:rPr>
                <w:rFonts w:eastAsia="Times New Roman" w:cs="Times New Roman"/>
                <w:color w:val="000000"/>
                <w:sz w:val="18"/>
                <w:szCs w:val="18"/>
              </w:rPr>
              <w:t>Base Case:</w:t>
            </w:r>
          </w:p>
          <w:p w14:paraId="37ECFA52" w14:textId="1F5924C9" w:rsidR="004F1A85" w:rsidRPr="0055779A" w:rsidRDefault="0055779A" w:rsidP="004A3BFF">
            <w:pPr>
              <w:spacing w:before="0" w:after="0" w:line="240" w:lineRule="auto"/>
              <w:rPr>
                <w:sz w:val="18"/>
                <w:szCs w:val="18"/>
              </w:rPr>
            </w:pPr>
            <w:r w:rsidRPr="0055779A">
              <w:rPr>
                <w:sz w:val="18"/>
                <w:szCs w:val="18"/>
              </w:rPr>
              <w:t xml:space="preserve">California Energy Commission (CEC). 2015. </w:t>
            </w:r>
            <w:r w:rsidRPr="0055779A">
              <w:rPr>
                <w:i/>
                <w:sz w:val="18"/>
                <w:szCs w:val="18"/>
              </w:rPr>
              <w:t>2015 Appliance Efficiency Regulations.</w:t>
            </w:r>
            <w:r w:rsidRPr="0055779A">
              <w:rPr>
                <w:sz w:val="18"/>
                <w:szCs w:val="18"/>
              </w:rPr>
              <w:t xml:space="preserve"> CEC 400-2015-021. Section 1605.3(f).</w:t>
            </w:r>
          </w:p>
          <w:p w14:paraId="39E4FD59" w14:textId="77777777" w:rsidR="0055779A" w:rsidRPr="0055779A" w:rsidRDefault="0055779A" w:rsidP="004A3BFF">
            <w:pPr>
              <w:spacing w:before="0" w:after="0" w:line="240" w:lineRule="auto"/>
              <w:rPr>
                <w:rFonts w:eastAsia="Times New Roman" w:cs="Times New Roman"/>
                <w:color w:val="000000"/>
                <w:sz w:val="18"/>
                <w:szCs w:val="18"/>
              </w:rPr>
            </w:pPr>
          </w:p>
          <w:p w14:paraId="59F22CED" w14:textId="77777777" w:rsidR="004F1A85" w:rsidRPr="0055779A" w:rsidRDefault="004F1A85" w:rsidP="004A3BFF">
            <w:pPr>
              <w:spacing w:before="0" w:after="0" w:line="240" w:lineRule="auto"/>
              <w:rPr>
                <w:rFonts w:eastAsia="Times New Roman" w:cs="Times New Roman"/>
                <w:color w:val="000000"/>
                <w:sz w:val="18"/>
                <w:szCs w:val="18"/>
              </w:rPr>
            </w:pPr>
            <w:r w:rsidRPr="0055779A">
              <w:rPr>
                <w:rFonts w:eastAsia="Times New Roman" w:cs="Times New Roman"/>
                <w:color w:val="000000"/>
                <w:sz w:val="18"/>
                <w:szCs w:val="18"/>
              </w:rPr>
              <w:t>Measure Case:</w:t>
            </w:r>
          </w:p>
          <w:p w14:paraId="6995D11A" w14:textId="58739B09" w:rsidR="0055779A" w:rsidRPr="006A7968" w:rsidRDefault="0055779A" w:rsidP="004A3BFF">
            <w:pPr>
              <w:spacing w:before="0" w:after="0" w:line="240" w:lineRule="auto"/>
              <w:rPr>
                <w:rFonts w:eastAsia="Times New Roman" w:cs="Times New Roman"/>
                <w:color w:val="000000"/>
                <w:sz w:val="18"/>
                <w:szCs w:val="18"/>
                <w:highlight w:val="yellow"/>
              </w:rPr>
            </w:pPr>
            <w:r w:rsidRPr="0055779A">
              <w:rPr>
                <w:rStyle w:val="eTRMFootnoteTextChar"/>
              </w:rPr>
              <w:t xml:space="preserve">California Energy Commission (CEC). "Modernized Appliance Efficiency Database System (MAEDBS)." </w:t>
            </w:r>
            <w:hyperlink r:id="rId14" w:history="1">
              <w:r w:rsidRPr="0055779A">
                <w:rPr>
                  <w:rStyle w:val="eTRMFootnoteTextChar"/>
                </w:rPr>
                <w:t>http://www.appliances.energy.ca.gov/AdvancedSearch.aspx</w:t>
              </w:r>
            </w:hyperlink>
            <w:r w:rsidRPr="0055779A">
              <w:rPr>
                <w:rStyle w:val="eTRMFootnoteTextChar"/>
              </w:rPr>
              <w:t>.</w:t>
            </w:r>
            <w:r w:rsidRPr="004F1A85">
              <w:rPr>
                <w:rStyle w:val="eTRMFootnoteTextChar"/>
              </w:rPr>
              <w:t xml:space="preserve">  </w:t>
            </w:r>
            <w:r w:rsidR="00045C04">
              <w:rPr>
                <w:rStyle w:val="eTRMFootnoteTextChar"/>
              </w:rPr>
              <w:t>Accessed on March 7, 2012.</w:t>
            </w:r>
          </w:p>
        </w:tc>
      </w:tr>
    </w:tbl>
    <w:p w14:paraId="5673ECEF" w14:textId="263770BE" w:rsidR="004A3BFF" w:rsidRDefault="004A3BFF" w:rsidP="00A8679D">
      <w:pPr>
        <w:rPr>
          <w:rFonts w:ascii="Arial" w:hAnsi="Arial" w:cs="Arial"/>
          <w:szCs w:val="22"/>
        </w:rPr>
      </w:pPr>
    </w:p>
    <w:p w14:paraId="51ED4CCD" w14:textId="19ACFECB" w:rsidR="006A7968" w:rsidRPr="006A7968" w:rsidRDefault="00E01831" w:rsidP="006A7968">
      <w:pPr>
        <w:rPr>
          <w:b/>
          <w:szCs w:val="22"/>
        </w:rPr>
      </w:pPr>
      <w:r w:rsidRPr="00D45190">
        <w:rPr>
          <w:b/>
          <w:szCs w:val="22"/>
        </w:rPr>
        <w:t xml:space="preserve">Average </w:t>
      </w:r>
      <w:r w:rsidR="00F300CE" w:rsidRPr="00D45190">
        <w:rPr>
          <w:b/>
          <w:szCs w:val="22"/>
        </w:rPr>
        <w:t>UEC</w:t>
      </w:r>
      <w:r w:rsidR="006A7968" w:rsidRPr="00D45190">
        <w:rPr>
          <w:b/>
          <w:szCs w:val="22"/>
        </w:rPr>
        <w:t xml:space="preserve"> per Dwelling Unit.</w:t>
      </w:r>
      <w:r w:rsidR="006A7968" w:rsidRPr="00D45190">
        <w:rPr>
          <w:rFonts w:eastAsia="Times New Roman" w:cs="Times New Roman"/>
          <w:color w:val="000000"/>
          <w:szCs w:val="22"/>
        </w:rPr>
        <w:t xml:space="preserve"> </w:t>
      </w:r>
      <w:r w:rsidRPr="00D45190">
        <w:rPr>
          <w:rFonts w:eastAsia="Times New Roman" w:cs="Times New Roman"/>
          <w:color w:val="000000"/>
          <w:szCs w:val="22"/>
        </w:rPr>
        <w:t xml:space="preserve"> The </w:t>
      </w:r>
      <w:r w:rsidR="00D45190" w:rsidRPr="00D45190">
        <w:t>average storage water heater gas UEC per multifamily dwelling unit was drawn from the 2009 California Residential Appliance Saturation Study (RASS)</w:t>
      </w:r>
      <w:r w:rsidR="00D45190" w:rsidRPr="00D45190">
        <w:rPr>
          <w:rFonts w:eastAsia="Times New Roman" w:cs="Times New Roman"/>
          <w:color w:val="000000"/>
          <w:szCs w:val="22"/>
        </w:rPr>
        <w:t xml:space="preserve">. </w:t>
      </w:r>
      <w:r w:rsidR="00D45190">
        <w:rPr>
          <w:rFonts w:eastAsia="Times New Roman" w:cs="Times New Roman"/>
          <w:color w:val="000000"/>
          <w:szCs w:val="22"/>
        </w:rPr>
        <w:t>This value represents the base case scenario.</w:t>
      </w:r>
    </w:p>
    <w:p w14:paraId="5B9AAF47" w14:textId="734F7592" w:rsidR="00FF5180" w:rsidRDefault="00FF5180" w:rsidP="00FF5180">
      <w:pPr>
        <w:rPr>
          <w:szCs w:val="22"/>
        </w:rPr>
      </w:pPr>
      <w:r w:rsidRPr="006A7968">
        <w:rPr>
          <w:b/>
          <w:szCs w:val="22"/>
        </w:rPr>
        <w:t xml:space="preserve">Climate Zone Adjustment Factor. </w:t>
      </w:r>
      <w:r w:rsidR="00663E1E">
        <w:t xml:space="preserve">A parameter for determining the thermal efficiency </w:t>
      </w:r>
      <w:r w:rsidR="00304502">
        <w:t xml:space="preserve">(TE) </w:t>
      </w:r>
      <w:r w:rsidR="00663E1E">
        <w:t xml:space="preserve">and energy consumption of water heaters is the cold water temperature at the inlet to the storage water heater. The nominal ANSI standard temperature of the supply water entering the water heater is 70 </w:t>
      </w:r>
      <w:r w:rsidR="00663E1E">
        <w:sym w:font="Symbol" w:char="F0B0"/>
      </w:r>
      <w:r w:rsidR="00663E1E">
        <w:t xml:space="preserve">F. The actual inlet water temperature in California varies with climate zone and </w:t>
      </w:r>
      <w:r w:rsidR="00663E1E" w:rsidRPr="00E3741E">
        <w:t xml:space="preserve">season, </w:t>
      </w:r>
      <w:r w:rsidR="00663E1E">
        <w:t>so adjustment factors were created based on ground</w:t>
      </w:r>
      <w:r w:rsidR="00304502">
        <w:t>water</w:t>
      </w:r>
      <w:r w:rsidR="00663E1E">
        <w:t xml:space="preserve"> temperature data for each climate zone to account for varying water heater consumption due to inlet water temperature. </w:t>
      </w:r>
      <w:r w:rsidR="00304502">
        <w:t>Specifically, t</w:t>
      </w:r>
      <w:r w:rsidRPr="006A7968">
        <w:rPr>
          <w:szCs w:val="22"/>
        </w:rPr>
        <w:t xml:space="preserve">he </w:t>
      </w:r>
      <w:r w:rsidR="00264CCB">
        <w:rPr>
          <w:szCs w:val="22"/>
        </w:rPr>
        <w:t xml:space="preserve">climate zone </w:t>
      </w:r>
      <w:r w:rsidRPr="006A7968">
        <w:rPr>
          <w:szCs w:val="22"/>
        </w:rPr>
        <w:t>adjustment factors were developed using 2013 ground</w:t>
      </w:r>
      <w:r w:rsidR="00DF4742">
        <w:rPr>
          <w:szCs w:val="22"/>
        </w:rPr>
        <w:t>water</w:t>
      </w:r>
      <w:r w:rsidRPr="006A7968">
        <w:rPr>
          <w:szCs w:val="22"/>
        </w:rPr>
        <w:t xml:space="preserve"> temperature data and the “Building America Multi-Family Central Water Heating Evaluation Tool” from the </w:t>
      </w:r>
      <w:r w:rsidR="00B95441">
        <w:rPr>
          <w:szCs w:val="22"/>
        </w:rPr>
        <w:t xml:space="preserve">U.S. </w:t>
      </w:r>
      <w:r w:rsidRPr="006A7968">
        <w:rPr>
          <w:szCs w:val="22"/>
        </w:rPr>
        <w:t>Department of Energy</w:t>
      </w:r>
      <w:r w:rsidR="00B95441">
        <w:rPr>
          <w:szCs w:val="22"/>
        </w:rPr>
        <w:t xml:space="preserve"> (DOE)</w:t>
      </w:r>
      <w:r w:rsidRPr="006A7968">
        <w:rPr>
          <w:szCs w:val="22"/>
        </w:rPr>
        <w:t xml:space="preserve"> Office of Energy </w:t>
      </w:r>
      <w:r w:rsidRPr="006A7968">
        <w:rPr>
          <w:szCs w:val="22"/>
        </w:rPr>
        <w:lastRenderedPageBreak/>
        <w:t>Efficiency and Renewable Energy</w:t>
      </w:r>
      <w:r w:rsidR="00663E1E">
        <w:rPr>
          <w:rStyle w:val="FootnoteReference"/>
          <w:szCs w:val="22"/>
        </w:rPr>
        <w:footnoteReference w:id="5"/>
      </w:r>
      <w:r w:rsidRPr="006A7968">
        <w:rPr>
          <w:szCs w:val="22"/>
        </w:rPr>
        <w:t xml:space="preserve"> to model the annual water heater gas </w:t>
      </w:r>
      <w:r w:rsidR="00264CCB">
        <w:rPr>
          <w:szCs w:val="22"/>
        </w:rPr>
        <w:t>UEC</w:t>
      </w:r>
      <w:r w:rsidRPr="006A7968">
        <w:rPr>
          <w:szCs w:val="22"/>
        </w:rPr>
        <w:t xml:space="preserve"> for </w:t>
      </w:r>
      <w:r w:rsidR="00264CCB">
        <w:rPr>
          <w:szCs w:val="22"/>
        </w:rPr>
        <w:t>each</w:t>
      </w:r>
      <w:r w:rsidR="00B95441">
        <w:rPr>
          <w:szCs w:val="22"/>
        </w:rPr>
        <w:t xml:space="preserve"> California</w:t>
      </w:r>
      <w:r w:rsidRPr="006A7968">
        <w:rPr>
          <w:szCs w:val="22"/>
        </w:rPr>
        <w:t xml:space="preserve"> climate zone. The annual </w:t>
      </w:r>
      <w:r w:rsidR="00B95441">
        <w:rPr>
          <w:szCs w:val="22"/>
        </w:rPr>
        <w:t>UEC</w:t>
      </w:r>
      <w:r w:rsidRPr="006A7968">
        <w:rPr>
          <w:szCs w:val="22"/>
        </w:rPr>
        <w:t xml:space="preserve"> associated with each climate zone was then divided by the median </w:t>
      </w:r>
      <w:r w:rsidR="00B95441">
        <w:rPr>
          <w:szCs w:val="22"/>
        </w:rPr>
        <w:t>UEC</w:t>
      </w:r>
      <w:r w:rsidRPr="006A7968">
        <w:rPr>
          <w:szCs w:val="22"/>
        </w:rPr>
        <w:t xml:space="preserve"> in all climate zones to estimate the adjustme</w:t>
      </w:r>
      <w:r w:rsidR="00B86F8A">
        <w:rPr>
          <w:szCs w:val="22"/>
        </w:rPr>
        <w:t>nt factor for each climate zone,</w:t>
      </w:r>
      <w:r w:rsidRPr="006A7968">
        <w:rPr>
          <w:szCs w:val="22"/>
        </w:rPr>
        <w:t xml:space="preserve"> </w:t>
      </w:r>
      <w:r w:rsidR="00B356B6">
        <w:rPr>
          <w:szCs w:val="22"/>
        </w:rPr>
        <w:t xml:space="preserve">shown </w:t>
      </w:r>
      <w:r w:rsidR="00B86F8A">
        <w:rPr>
          <w:szCs w:val="22"/>
        </w:rPr>
        <w:t xml:space="preserve">in </w:t>
      </w:r>
      <w:r w:rsidR="00045C04">
        <w:rPr>
          <w:szCs w:val="22"/>
        </w:rPr>
        <w:t>the following table</w:t>
      </w:r>
      <w:r w:rsidR="00B356B6">
        <w:rPr>
          <w:szCs w:val="22"/>
        </w:rPr>
        <w:t xml:space="preserve">. </w:t>
      </w:r>
    </w:p>
    <w:p w14:paraId="7F31A530" w14:textId="7E0F72BB" w:rsidR="000551F6" w:rsidRPr="006A7968" w:rsidRDefault="000551F6" w:rsidP="000551F6">
      <w:pPr>
        <w:pStyle w:val="Caption"/>
      </w:pPr>
      <w:r>
        <w:t>Climate Zone Adjustment Factors</w:t>
      </w:r>
    </w:p>
    <w:tbl>
      <w:tblPr>
        <w:tblW w:w="56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160"/>
        <w:gridCol w:w="1697"/>
        <w:gridCol w:w="1808"/>
      </w:tblGrid>
      <w:tr w:rsidR="00B86F8A" w:rsidRPr="00B86F8A" w14:paraId="627386BC" w14:textId="77777777" w:rsidTr="00264CCB">
        <w:trPr>
          <w:cantSplit/>
          <w:trHeight w:val="20"/>
          <w:tblHeader/>
        </w:trPr>
        <w:tc>
          <w:tcPr>
            <w:tcW w:w="2160" w:type="dxa"/>
            <w:shd w:val="clear" w:color="auto" w:fill="F2F2F2" w:themeFill="background1" w:themeFillShade="F2"/>
            <w:vAlign w:val="bottom"/>
            <w:hideMark/>
          </w:tcPr>
          <w:p w14:paraId="77252566" w14:textId="77777777" w:rsidR="00B356B6" w:rsidRPr="00B86F8A" w:rsidRDefault="00B356B6" w:rsidP="00B95441">
            <w:pPr>
              <w:spacing w:before="0" w:after="0" w:line="240" w:lineRule="auto"/>
              <w:jc w:val="center"/>
              <w:rPr>
                <w:rFonts w:eastAsia="Times New Roman" w:cs="Calibri Light"/>
                <w:b/>
                <w:sz w:val="20"/>
                <w:szCs w:val="20"/>
              </w:rPr>
            </w:pPr>
            <w:r w:rsidRPr="00B86F8A">
              <w:rPr>
                <w:rFonts w:eastAsia="Times New Roman" w:cs="Calibri Light"/>
                <w:b/>
                <w:sz w:val="20"/>
                <w:szCs w:val="20"/>
              </w:rPr>
              <w:t>Climate Zone</w:t>
            </w:r>
          </w:p>
        </w:tc>
        <w:tc>
          <w:tcPr>
            <w:tcW w:w="1697" w:type="dxa"/>
            <w:shd w:val="clear" w:color="auto" w:fill="F2F2F2" w:themeFill="background1" w:themeFillShade="F2"/>
            <w:vAlign w:val="bottom"/>
            <w:hideMark/>
          </w:tcPr>
          <w:p w14:paraId="6718C246" w14:textId="0D593AFB" w:rsidR="00B356B6" w:rsidRPr="00B86F8A" w:rsidRDefault="00DF4742" w:rsidP="00B95441">
            <w:pPr>
              <w:spacing w:before="0" w:after="0" w:line="240" w:lineRule="auto"/>
              <w:jc w:val="center"/>
              <w:rPr>
                <w:rFonts w:eastAsia="Times New Roman" w:cs="Calibri Light"/>
                <w:b/>
                <w:sz w:val="20"/>
                <w:szCs w:val="20"/>
              </w:rPr>
            </w:pPr>
            <w:r>
              <w:rPr>
                <w:rFonts w:eastAsia="Times New Roman" w:cs="Calibri Light"/>
                <w:b/>
                <w:sz w:val="20"/>
                <w:szCs w:val="20"/>
              </w:rPr>
              <w:t>Groundwater</w:t>
            </w:r>
            <w:r>
              <w:rPr>
                <w:rFonts w:eastAsia="Times New Roman" w:cs="Calibri Light"/>
                <w:b/>
                <w:sz w:val="20"/>
                <w:szCs w:val="20"/>
              </w:rPr>
              <w:br/>
            </w:r>
            <w:r w:rsidR="00B356B6" w:rsidRPr="00B86F8A">
              <w:rPr>
                <w:rFonts w:eastAsia="Times New Roman" w:cs="Calibri Light"/>
                <w:b/>
                <w:sz w:val="20"/>
                <w:szCs w:val="20"/>
              </w:rPr>
              <w:t>Temperature (°F)</w:t>
            </w:r>
            <w:r>
              <w:rPr>
                <w:rStyle w:val="FootnoteReference"/>
                <w:rFonts w:eastAsia="Times New Roman" w:cs="Calibri Light"/>
                <w:b/>
                <w:sz w:val="20"/>
                <w:szCs w:val="20"/>
              </w:rPr>
              <w:footnoteReference w:id="6"/>
            </w:r>
          </w:p>
        </w:tc>
        <w:tc>
          <w:tcPr>
            <w:tcW w:w="1808" w:type="dxa"/>
            <w:shd w:val="clear" w:color="auto" w:fill="F2F2F2" w:themeFill="background1" w:themeFillShade="F2"/>
            <w:vAlign w:val="bottom"/>
            <w:hideMark/>
          </w:tcPr>
          <w:p w14:paraId="3BE1D9F6" w14:textId="0B5026F3" w:rsidR="00B356B6" w:rsidRPr="00B86F8A" w:rsidRDefault="00663E1E" w:rsidP="00B95441">
            <w:pPr>
              <w:spacing w:before="0" w:after="0" w:line="240" w:lineRule="auto"/>
              <w:jc w:val="center"/>
              <w:rPr>
                <w:rFonts w:eastAsia="Times New Roman" w:cs="Calibri Light"/>
                <w:b/>
                <w:sz w:val="20"/>
                <w:szCs w:val="20"/>
              </w:rPr>
            </w:pPr>
            <w:r>
              <w:rPr>
                <w:rFonts w:eastAsia="Times New Roman" w:cs="Calibri Light"/>
                <w:b/>
                <w:sz w:val="20"/>
                <w:szCs w:val="20"/>
              </w:rPr>
              <w:t>Climate Zone</w:t>
            </w:r>
            <w:r w:rsidR="00B356B6" w:rsidRPr="00B86F8A">
              <w:rPr>
                <w:rFonts w:eastAsia="Times New Roman" w:cs="Calibri Light"/>
                <w:b/>
                <w:sz w:val="20"/>
                <w:szCs w:val="20"/>
              </w:rPr>
              <w:t xml:space="preserve"> Adjustment Factor</w:t>
            </w:r>
          </w:p>
        </w:tc>
      </w:tr>
      <w:tr w:rsidR="00B86F8A" w:rsidRPr="00B86F8A" w14:paraId="3355AF08" w14:textId="77777777" w:rsidTr="00264CCB">
        <w:trPr>
          <w:cantSplit/>
          <w:trHeight w:val="20"/>
        </w:trPr>
        <w:tc>
          <w:tcPr>
            <w:tcW w:w="2160" w:type="dxa"/>
            <w:shd w:val="clear" w:color="auto" w:fill="auto"/>
            <w:noWrap/>
            <w:vAlign w:val="bottom"/>
            <w:hideMark/>
          </w:tcPr>
          <w:p w14:paraId="0504C85F"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w:t>
            </w:r>
          </w:p>
        </w:tc>
        <w:tc>
          <w:tcPr>
            <w:tcW w:w="1697" w:type="dxa"/>
            <w:shd w:val="clear" w:color="auto" w:fill="auto"/>
            <w:noWrap/>
            <w:vAlign w:val="bottom"/>
            <w:hideMark/>
          </w:tcPr>
          <w:p w14:paraId="23879179" w14:textId="6B6C5489"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51.38</w:t>
            </w:r>
          </w:p>
        </w:tc>
        <w:tc>
          <w:tcPr>
            <w:tcW w:w="1808" w:type="dxa"/>
            <w:shd w:val="clear" w:color="auto" w:fill="auto"/>
            <w:noWrap/>
            <w:vAlign w:val="bottom"/>
            <w:hideMark/>
          </w:tcPr>
          <w:p w14:paraId="22E481D6" w14:textId="35F40574"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1.07</w:t>
            </w:r>
          </w:p>
        </w:tc>
      </w:tr>
      <w:tr w:rsidR="00B86F8A" w:rsidRPr="00B86F8A" w14:paraId="0DF22285" w14:textId="77777777" w:rsidTr="00264CCB">
        <w:trPr>
          <w:cantSplit/>
          <w:trHeight w:val="20"/>
        </w:trPr>
        <w:tc>
          <w:tcPr>
            <w:tcW w:w="2160" w:type="dxa"/>
            <w:shd w:val="clear" w:color="auto" w:fill="auto"/>
            <w:noWrap/>
            <w:vAlign w:val="bottom"/>
            <w:hideMark/>
          </w:tcPr>
          <w:p w14:paraId="792899E6"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2</w:t>
            </w:r>
          </w:p>
        </w:tc>
        <w:tc>
          <w:tcPr>
            <w:tcW w:w="1697" w:type="dxa"/>
            <w:shd w:val="clear" w:color="auto" w:fill="auto"/>
            <w:noWrap/>
            <w:vAlign w:val="bottom"/>
            <w:hideMark/>
          </w:tcPr>
          <w:p w14:paraId="25A4FE26" w14:textId="6D820C61"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57.29</w:t>
            </w:r>
          </w:p>
        </w:tc>
        <w:tc>
          <w:tcPr>
            <w:tcW w:w="1808" w:type="dxa"/>
            <w:shd w:val="clear" w:color="auto" w:fill="auto"/>
            <w:noWrap/>
            <w:vAlign w:val="bottom"/>
            <w:hideMark/>
          </w:tcPr>
          <w:p w14:paraId="45B6B95E" w14:textId="3121CBE4"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1.03</w:t>
            </w:r>
          </w:p>
        </w:tc>
      </w:tr>
      <w:tr w:rsidR="00B86F8A" w:rsidRPr="00B86F8A" w14:paraId="6B4A8912" w14:textId="77777777" w:rsidTr="00264CCB">
        <w:trPr>
          <w:cantSplit/>
          <w:trHeight w:val="20"/>
        </w:trPr>
        <w:tc>
          <w:tcPr>
            <w:tcW w:w="2160" w:type="dxa"/>
            <w:shd w:val="clear" w:color="auto" w:fill="auto"/>
            <w:noWrap/>
            <w:vAlign w:val="bottom"/>
            <w:hideMark/>
          </w:tcPr>
          <w:p w14:paraId="1D22F3DA"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3</w:t>
            </w:r>
          </w:p>
        </w:tc>
        <w:tc>
          <w:tcPr>
            <w:tcW w:w="1697" w:type="dxa"/>
            <w:shd w:val="clear" w:color="auto" w:fill="auto"/>
            <w:noWrap/>
            <w:vAlign w:val="bottom"/>
            <w:hideMark/>
          </w:tcPr>
          <w:p w14:paraId="60F1BA20" w14:textId="7897BDF8"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57.05</w:t>
            </w:r>
          </w:p>
        </w:tc>
        <w:tc>
          <w:tcPr>
            <w:tcW w:w="1808" w:type="dxa"/>
            <w:shd w:val="clear" w:color="auto" w:fill="auto"/>
            <w:noWrap/>
            <w:vAlign w:val="bottom"/>
            <w:hideMark/>
          </w:tcPr>
          <w:p w14:paraId="347E45DA" w14:textId="705FD29E"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1.03</w:t>
            </w:r>
          </w:p>
        </w:tc>
      </w:tr>
      <w:tr w:rsidR="00B86F8A" w:rsidRPr="00B86F8A" w14:paraId="4BCB4A19" w14:textId="77777777" w:rsidTr="00264CCB">
        <w:trPr>
          <w:cantSplit/>
          <w:trHeight w:val="20"/>
        </w:trPr>
        <w:tc>
          <w:tcPr>
            <w:tcW w:w="2160" w:type="dxa"/>
            <w:shd w:val="clear" w:color="auto" w:fill="auto"/>
            <w:noWrap/>
            <w:vAlign w:val="bottom"/>
            <w:hideMark/>
          </w:tcPr>
          <w:p w14:paraId="25795F51"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4</w:t>
            </w:r>
          </w:p>
        </w:tc>
        <w:tc>
          <w:tcPr>
            <w:tcW w:w="1697" w:type="dxa"/>
            <w:shd w:val="clear" w:color="auto" w:fill="auto"/>
            <w:noWrap/>
            <w:vAlign w:val="bottom"/>
            <w:hideMark/>
          </w:tcPr>
          <w:p w14:paraId="3C4A6FEE" w14:textId="271FFD99"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59.51</w:t>
            </w:r>
          </w:p>
        </w:tc>
        <w:tc>
          <w:tcPr>
            <w:tcW w:w="1808" w:type="dxa"/>
            <w:shd w:val="clear" w:color="auto" w:fill="auto"/>
            <w:noWrap/>
            <w:vAlign w:val="bottom"/>
            <w:hideMark/>
          </w:tcPr>
          <w:p w14:paraId="0EB4DE92" w14:textId="11509659"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1.02</w:t>
            </w:r>
          </w:p>
        </w:tc>
      </w:tr>
      <w:tr w:rsidR="00B86F8A" w:rsidRPr="00B86F8A" w14:paraId="1AF92D38" w14:textId="77777777" w:rsidTr="00264CCB">
        <w:trPr>
          <w:cantSplit/>
          <w:trHeight w:val="20"/>
        </w:trPr>
        <w:tc>
          <w:tcPr>
            <w:tcW w:w="2160" w:type="dxa"/>
            <w:shd w:val="clear" w:color="auto" w:fill="auto"/>
            <w:noWrap/>
            <w:vAlign w:val="bottom"/>
            <w:hideMark/>
          </w:tcPr>
          <w:p w14:paraId="50E690B9"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5</w:t>
            </w:r>
          </w:p>
        </w:tc>
        <w:tc>
          <w:tcPr>
            <w:tcW w:w="1697" w:type="dxa"/>
            <w:shd w:val="clear" w:color="auto" w:fill="auto"/>
            <w:noWrap/>
            <w:vAlign w:val="bottom"/>
            <w:hideMark/>
          </w:tcPr>
          <w:p w14:paraId="384AFBC6" w14:textId="5BA49DE9"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55.83</w:t>
            </w:r>
          </w:p>
        </w:tc>
        <w:tc>
          <w:tcPr>
            <w:tcW w:w="1808" w:type="dxa"/>
            <w:shd w:val="clear" w:color="auto" w:fill="auto"/>
            <w:noWrap/>
            <w:vAlign w:val="bottom"/>
            <w:hideMark/>
          </w:tcPr>
          <w:p w14:paraId="2FA9AA5B" w14:textId="554ADBB8"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1.04</w:t>
            </w:r>
          </w:p>
        </w:tc>
      </w:tr>
      <w:tr w:rsidR="00B86F8A" w:rsidRPr="00B86F8A" w14:paraId="3198A764" w14:textId="77777777" w:rsidTr="00264CCB">
        <w:trPr>
          <w:cantSplit/>
          <w:trHeight w:val="20"/>
        </w:trPr>
        <w:tc>
          <w:tcPr>
            <w:tcW w:w="2160" w:type="dxa"/>
            <w:shd w:val="clear" w:color="auto" w:fill="auto"/>
            <w:noWrap/>
            <w:vAlign w:val="bottom"/>
            <w:hideMark/>
          </w:tcPr>
          <w:p w14:paraId="64486DBF"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w:t>
            </w:r>
          </w:p>
        </w:tc>
        <w:tc>
          <w:tcPr>
            <w:tcW w:w="1697" w:type="dxa"/>
            <w:shd w:val="clear" w:color="auto" w:fill="auto"/>
            <w:noWrap/>
            <w:vAlign w:val="bottom"/>
            <w:hideMark/>
          </w:tcPr>
          <w:p w14:paraId="49A71F43" w14:textId="33DC0726"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61.75</w:t>
            </w:r>
          </w:p>
        </w:tc>
        <w:tc>
          <w:tcPr>
            <w:tcW w:w="1808" w:type="dxa"/>
            <w:shd w:val="clear" w:color="auto" w:fill="auto"/>
            <w:noWrap/>
            <w:vAlign w:val="bottom"/>
            <w:hideMark/>
          </w:tcPr>
          <w:p w14:paraId="2B67363E" w14:textId="1B0B0676"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1.00</w:t>
            </w:r>
          </w:p>
        </w:tc>
      </w:tr>
      <w:tr w:rsidR="00B86F8A" w:rsidRPr="00B86F8A" w14:paraId="742F8AC8" w14:textId="77777777" w:rsidTr="00264CCB">
        <w:trPr>
          <w:cantSplit/>
          <w:trHeight w:val="20"/>
        </w:trPr>
        <w:tc>
          <w:tcPr>
            <w:tcW w:w="2160" w:type="dxa"/>
            <w:shd w:val="clear" w:color="auto" w:fill="auto"/>
            <w:noWrap/>
            <w:vAlign w:val="bottom"/>
            <w:hideMark/>
          </w:tcPr>
          <w:p w14:paraId="485A6A04"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7</w:t>
            </w:r>
          </w:p>
        </w:tc>
        <w:tc>
          <w:tcPr>
            <w:tcW w:w="1697" w:type="dxa"/>
            <w:shd w:val="clear" w:color="auto" w:fill="auto"/>
            <w:noWrap/>
            <w:vAlign w:val="bottom"/>
            <w:hideMark/>
          </w:tcPr>
          <w:p w14:paraId="4FA1E841" w14:textId="1103A58D"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62.55</w:t>
            </w:r>
          </w:p>
        </w:tc>
        <w:tc>
          <w:tcPr>
            <w:tcW w:w="1808" w:type="dxa"/>
            <w:shd w:val="clear" w:color="auto" w:fill="auto"/>
            <w:noWrap/>
            <w:vAlign w:val="bottom"/>
            <w:hideMark/>
          </w:tcPr>
          <w:p w14:paraId="1157E66C" w14:textId="53F2CD0A"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1.00</w:t>
            </w:r>
          </w:p>
        </w:tc>
      </w:tr>
      <w:tr w:rsidR="00B86F8A" w:rsidRPr="00B86F8A" w14:paraId="725A2579" w14:textId="77777777" w:rsidTr="00264CCB">
        <w:trPr>
          <w:cantSplit/>
          <w:trHeight w:val="20"/>
        </w:trPr>
        <w:tc>
          <w:tcPr>
            <w:tcW w:w="2160" w:type="dxa"/>
            <w:shd w:val="clear" w:color="auto" w:fill="auto"/>
            <w:noWrap/>
            <w:vAlign w:val="bottom"/>
            <w:hideMark/>
          </w:tcPr>
          <w:p w14:paraId="5EEC1AC8"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8</w:t>
            </w:r>
          </w:p>
        </w:tc>
        <w:tc>
          <w:tcPr>
            <w:tcW w:w="1697" w:type="dxa"/>
            <w:shd w:val="clear" w:color="auto" w:fill="auto"/>
            <w:noWrap/>
            <w:vAlign w:val="bottom"/>
            <w:hideMark/>
          </w:tcPr>
          <w:p w14:paraId="22CC5BE0" w14:textId="24B0E90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63.74</w:t>
            </w:r>
          </w:p>
        </w:tc>
        <w:tc>
          <w:tcPr>
            <w:tcW w:w="1808" w:type="dxa"/>
            <w:shd w:val="clear" w:color="auto" w:fill="auto"/>
            <w:noWrap/>
            <w:vAlign w:val="bottom"/>
            <w:hideMark/>
          </w:tcPr>
          <w:p w14:paraId="14ED6576" w14:textId="31E876B4"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0.99</w:t>
            </w:r>
          </w:p>
        </w:tc>
      </w:tr>
      <w:tr w:rsidR="00B86F8A" w:rsidRPr="00B86F8A" w14:paraId="54B218D6" w14:textId="77777777" w:rsidTr="00264CCB">
        <w:trPr>
          <w:cantSplit/>
          <w:trHeight w:val="20"/>
        </w:trPr>
        <w:tc>
          <w:tcPr>
            <w:tcW w:w="2160" w:type="dxa"/>
            <w:shd w:val="clear" w:color="auto" w:fill="auto"/>
            <w:noWrap/>
            <w:vAlign w:val="bottom"/>
            <w:hideMark/>
          </w:tcPr>
          <w:p w14:paraId="075C8959"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9</w:t>
            </w:r>
          </w:p>
        </w:tc>
        <w:tc>
          <w:tcPr>
            <w:tcW w:w="1697" w:type="dxa"/>
            <w:shd w:val="clear" w:color="auto" w:fill="auto"/>
            <w:noWrap/>
            <w:vAlign w:val="bottom"/>
            <w:hideMark/>
          </w:tcPr>
          <w:p w14:paraId="040DCE83" w14:textId="3E1EA3F8"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63.82</w:t>
            </w:r>
          </w:p>
        </w:tc>
        <w:tc>
          <w:tcPr>
            <w:tcW w:w="1808" w:type="dxa"/>
            <w:shd w:val="clear" w:color="auto" w:fill="auto"/>
            <w:noWrap/>
            <w:vAlign w:val="bottom"/>
            <w:hideMark/>
          </w:tcPr>
          <w:p w14:paraId="20B82D64" w14:textId="38852CFF"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0.99</w:t>
            </w:r>
          </w:p>
        </w:tc>
      </w:tr>
      <w:tr w:rsidR="00B86F8A" w:rsidRPr="00B86F8A" w14:paraId="426C69D8" w14:textId="77777777" w:rsidTr="00264CCB">
        <w:trPr>
          <w:cantSplit/>
          <w:trHeight w:val="20"/>
        </w:trPr>
        <w:tc>
          <w:tcPr>
            <w:tcW w:w="2160" w:type="dxa"/>
            <w:shd w:val="clear" w:color="auto" w:fill="auto"/>
            <w:noWrap/>
            <w:vAlign w:val="bottom"/>
            <w:hideMark/>
          </w:tcPr>
          <w:p w14:paraId="4F6FBCD5"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w:t>
            </w:r>
          </w:p>
        </w:tc>
        <w:tc>
          <w:tcPr>
            <w:tcW w:w="1697" w:type="dxa"/>
            <w:shd w:val="clear" w:color="auto" w:fill="auto"/>
            <w:noWrap/>
            <w:vAlign w:val="bottom"/>
            <w:hideMark/>
          </w:tcPr>
          <w:p w14:paraId="0CAC1139" w14:textId="681C0C8C"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64.15</w:t>
            </w:r>
          </w:p>
        </w:tc>
        <w:tc>
          <w:tcPr>
            <w:tcW w:w="1808" w:type="dxa"/>
            <w:shd w:val="clear" w:color="auto" w:fill="auto"/>
            <w:noWrap/>
            <w:vAlign w:val="bottom"/>
            <w:hideMark/>
          </w:tcPr>
          <w:p w14:paraId="401D6304" w14:textId="171A55DE"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0.99</w:t>
            </w:r>
          </w:p>
        </w:tc>
      </w:tr>
      <w:tr w:rsidR="00B86F8A" w:rsidRPr="00B86F8A" w14:paraId="48B636B7" w14:textId="77777777" w:rsidTr="00264CCB">
        <w:trPr>
          <w:cantSplit/>
          <w:trHeight w:val="20"/>
        </w:trPr>
        <w:tc>
          <w:tcPr>
            <w:tcW w:w="2160" w:type="dxa"/>
            <w:shd w:val="clear" w:color="auto" w:fill="auto"/>
            <w:noWrap/>
            <w:vAlign w:val="bottom"/>
            <w:hideMark/>
          </w:tcPr>
          <w:p w14:paraId="542551B1"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11</w:t>
            </w:r>
          </w:p>
        </w:tc>
        <w:tc>
          <w:tcPr>
            <w:tcW w:w="1697" w:type="dxa"/>
            <w:shd w:val="clear" w:color="auto" w:fill="auto"/>
            <w:noWrap/>
            <w:vAlign w:val="bottom"/>
            <w:hideMark/>
          </w:tcPr>
          <w:p w14:paraId="36BBE56B" w14:textId="685CD48D"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63.19</w:t>
            </w:r>
          </w:p>
        </w:tc>
        <w:tc>
          <w:tcPr>
            <w:tcW w:w="1808" w:type="dxa"/>
            <w:shd w:val="clear" w:color="auto" w:fill="auto"/>
            <w:noWrap/>
            <w:vAlign w:val="bottom"/>
            <w:hideMark/>
          </w:tcPr>
          <w:p w14:paraId="615D05D9" w14:textId="4C531A2F"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0.99</w:t>
            </w:r>
          </w:p>
        </w:tc>
      </w:tr>
      <w:tr w:rsidR="00B86F8A" w:rsidRPr="00B86F8A" w14:paraId="24CE82CF" w14:textId="77777777" w:rsidTr="00264CCB">
        <w:trPr>
          <w:cantSplit/>
          <w:trHeight w:val="20"/>
        </w:trPr>
        <w:tc>
          <w:tcPr>
            <w:tcW w:w="2160" w:type="dxa"/>
            <w:shd w:val="clear" w:color="auto" w:fill="auto"/>
            <w:noWrap/>
            <w:vAlign w:val="bottom"/>
            <w:hideMark/>
          </w:tcPr>
          <w:p w14:paraId="115DDF01"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12</w:t>
            </w:r>
          </w:p>
        </w:tc>
        <w:tc>
          <w:tcPr>
            <w:tcW w:w="1697" w:type="dxa"/>
            <w:shd w:val="clear" w:color="auto" w:fill="auto"/>
            <w:noWrap/>
            <w:vAlign w:val="bottom"/>
            <w:hideMark/>
          </w:tcPr>
          <w:p w14:paraId="5940D8A4" w14:textId="2B206BAC"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60.88</w:t>
            </w:r>
          </w:p>
        </w:tc>
        <w:tc>
          <w:tcPr>
            <w:tcW w:w="1808" w:type="dxa"/>
            <w:shd w:val="clear" w:color="auto" w:fill="auto"/>
            <w:noWrap/>
            <w:vAlign w:val="bottom"/>
            <w:hideMark/>
          </w:tcPr>
          <w:p w14:paraId="27C3FD05" w14:textId="15CF5CDC"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1.01</w:t>
            </w:r>
          </w:p>
        </w:tc>
      </w:tr>
      <w:tr w:rsidR="00B86F8A" w:rsidRPr="00B86F8A" w14:paraId="39C04098" w14:textId="77777777" w:rsidTr="00264CCB">
        <w:trPr>
          <w:cantSplit/>
          <w:trHeight w:val="20"/>
        </w:trPr>
        <w:tc>
          <w:tcPr>
            <w:tcW w:w="2160" w:type="dxa"/>
            <w:shd w:val="clear" w:color="auto" w:fill="auto"/>
            <w:noWrap/>
            <w:vAlign w:val="bottom"/>
            <w:hideMark/>
          </w:tcPr>
          <w:p w14:paraId="217CF872"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13</w:t>
            </w:r>
          </w:p>
        </w:tc>
        <w:tc>
          <w:tcPr>
            <w:tcW w:w="1697" w:type="dxa"/>
            <w:shd w:val="clear" w:color="auto" w:fill="auto"/>
            <w:noWrap/>
            <w:vAlign w:val="bottom"/>
            <w:hideMark/>
          </w:tcPr>
          <w:p w14:paraId="5253FE90" w14:textId="4F2A2050"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64.10</w:t>
            </w:r>
          </w:p>
        </w:tc>
        <w:tc>
          <w:tcPr>
            <w:tcW w:w="1808" w:type="dxa"/>
            <w:shd w:val="clear" w:color="auto" w:fill="auto"/>
            <w:noWrap/>
            <w:vAlign w:val="bottom"/>
            <w:hideMark/>
          </w:tcPr>
          <w:p w14:paraId="7B59A949" w14:textId="1E26865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0.99</w:t>
            </w:r>
          </w:p>
        </w:tc>
      </w:tr>
      <w:tr w:rsidR="00B86F8A" w:rsidRPr="00B86F8A" w14:paraId="4A96CBE1" w14:textId="77777777" w:rsidTr="00264CCB">
        <w:trPr>
          <w:cantSplit/>
          <w:trHeight w:val="20"/>
        </w:trPr>
        <w:tc>
          <w:tcPr>
            <w:tcW w:w="2160" w:type="dxa"/>
            <w:shd w:val="clear" w:color="auto" w:fill="auto"/>
            <w:noWrap/>
            <w:vAlign w:val="bottom"/>
            <w:hideMark/>
          </w:tcPr>
          <w:p w14:paraId="1F7AD06D"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14</w:t>
            </w:r>
          </w:p>
        </w:tc>
        <w:tc>
          <w:tcPr>
            <w:tcW w:w="1697" w:type="dxa"/>
            <w:shd w:val="clear" w:color="auto" w:fill="auto"/>
            <w:noWrap/>
            <w:vAlign w:val="bottom"/>
            <w:hideMark/>
          </w:tcPr>
          <w:p w14:paraId="459AAAD5" w14:textId="46FC72F3"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62.67</w:t>
            </w:r>
          </w:p>
        </w:tc>
        <w:tc>
          <w:tcPr>
            <w:tcW w:w="1808" w:type="dxa"/>
            <w:shd w:val="clear" w:color="auto" w:fill="auto"/>
            <w:noWrap/>
            <w:vAlign w:val="bottom"/>
            <w:hideMark/>
          </w:tcPr>
          <w:p w14:paraId="599880EC" w14:textId="5DD2A8B8"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1.00</w:t>
            </w:r>
          </w:p>
        </w:tc>
      </w:tr>
      <w:tr w:rsidR="00B86F8A" w:rsidRPr="00B86F8A" w14:paraId="31604FB5" w14:textId="77777777" w:rsidTr="00264CCB">
        <w:trPr>
          <w:cantSplit/>
          <w:trHeight w:val="20"/>
        </w:trPr>
        <w:tc>
          <w:tcPr>
            <w:tcW w:w="2160" w:type="dxa"/>
            <w:shd w:val="clear" w:color="auto" w:fill="auto"/>
            <w:noWrap/>
            <w:vAlign w:val="bottom"/>
            <w:hideMark/>
          </w:tcPr>
          <w:p w14:paraId="16185108"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15</w:t>
            </w:r>
          </w:p>
        </w:tc>
        <w:tc>
          <w:tcPr>
            <w:tcW w:w="1697" w:type="dxa"/>
            <w:shd w:val="clear" w:color="auto" w:fill="auto"/>
            <w:noWrap/>
            <w:vAlign w:val="bottom"/>
            <w:hideMark/>
          </w:tcPr>
          <w:p w14:paraId="3DE94EA9" w14:textId="759F8FE1"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75.47</w:t>
            </w:r>
          </w:p>
        </w:tc>
        <w:tc>
          <w:tcPr>
            <w:tcW w:w="1808" w:type="dxa"/>
            <w:shd w:val="clear" w:color="auto" w:fill="auto"/>
            <w:noWrap/>
            <w:vAlign w:val="bottom"/>
            <w:hideMark/>
          </w:tcPr>
          <w:p w14:paraId="3A7B906C" w14:textId="055FA04E"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0.92</w:t>
            </w:r>
          </w:p>
        </w:tc>
      </w:tr>
      <w:tr w:rsidR="00B86F8A" w:rsidRPr="00B86F8A" w14:paraId="6B2A8315" w14:textId="77777777" w:rsidTr="00264CCB">
        <w:trPr>
          <w:cantSplit/>
          <w:trHeight w:val="20"/>
        </w:trPr>
        <w:tc>
          <w:tcPr>
            <w:tcW w:w="2160" w:type="dxa"/>
            <w:shd w:val="clear" w:color="auto" w:fill="auto"/>
            <w:noWrap/>
            <w:vAlign w:val="bottom"/>
            <w:hideMark/>
          </w:tcPr>
          <w:p w14:paraId="56DEAFBD" w14:textId="77777777"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16</w:t>
            </w:r>
          </w:p>
        </w:tc>
        <w:tc>
          <w:tcPr>
            <w:tcW w:w="1697" w:type="dxa"/>
            <w:shd w:val="clear" w:color="auto" w:fill="auto"/>
            <w:noWrap/>
            <w:vAlign w:val="bottom"/>
            <w:hideMark/>
          </w:tcPr>
          <w:p w14:paraId="3808CF76" w14:textId="409583AA"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51.75</w:t>
            </w:r>
          </w:p>
        </w:tc>
        <w:tc>
          <w:tcPr>
            <w:tcW w:w="1808" w:type="dxa"/>
            <w:shd w:val="clear" w:color="auto" w:fill="auto"/>
            <w:noWrap/>
            <w:vAlign w:val="bottom"/>
            <w:hideMark/>
          </w:tcPr>
          <w:p w14:paraId="450BA7A0" w14:textId="42E8D47E" w:rsidR="00B356B6" w:rsidRPr="00B86F8A" w:rsidRDefault="00B356B6" w:rsidP="00B95441">
            <w:pPr>
              <w:spacing w:before="0" w:after="0" w:line="240" w:lineRule="auto"/>
              <w:jc w:val="center"/>
              <w:rPr>
                <w:rFonts w:eastAsia="Times New Roman" w:cs="Calibri Light"/>
                <w:sz w:val="20"/>
                <w:szCs w:val="20"/>
              </w:rPr>
            </w:pPr>
            <w:r w:rsidRPr="00B86F8A">
              <w:rPr>
                <w:rFonts w:eastAsia="Times New Roman" w:cs="Calibri Light"/>
                <w:sz w:val="20"/>
                <w:szCs w:val="20"/>
              </w:rPr>
              <w:t>1.07</w:t>
            </w:r>
          </w:p>
        </w:tc>
      </w:tr>
    </w:tbl>
    <w:p w14:paraId="3EF427D1" w14:textId="77777777" w:rsidR="005246CE" w:rsidRDefault="005246CE" w:rsidP="005246CE">
      <w:pPr>
        <w:rPr>
          <w:rFonts w:ascii="Arial" w:hAnsi="Arial" w:cs="Arial"/>
          <w:szCs w:val="22"/>
        </w:rPr>
      </w:pPr>
    </w:p>
    <w:p w14:paraId="3C725AB0" w14:textId="0147C884" w:rsidR="00AA2D62" w:rsidRPr="000551F6" w:rsidRDefault="00A778BF" w:rsidP="00A8679D">
      <w:pPr>
        <w:rPr>
          <w:rFonts w:ascii="Arial" w:hAnsi="Arial" w:cs="Arial"/>
          <w:szCs w:val="22"/>
        </w:rPr>
      </w:pPr>
      <w:r w:rsidRPr="000551F6">
        <w:rPr>
          <w:rFonts w:eastAsia="Times New Roman" w:cs="Times New Roman"/>
          <w:b/>
          <w:color w:val="000000"/>
          <w:szCs w:val="22"/>
        </w:rPr>
        <w:t xml:space="preserve">Average </w:t>
      </w:r>
      <w:r w:rsidR="00D45190">
        <w:rPr>
          <w:rFonts w:eastAsia="Times New Roman" w:cs="Times New Roman"/>
          <w:b/>
          <w:color w:val="000000"/>
          <w:szCs w:val="22"/>
        </w:rPr>
        <w:t xml:space="preserve">Capacity per Dwelling Unit. </w:t>
      </w:r>
      <w:r w:rsidR="00B86F8A">
        <w:rPr>
          <w:rFonts w:eastAsia="Times New Roman" w:cs="Times New Roman"/>
          <w:color w:val="000000"/>
          <w:szCs w:val="22"/>
        </w:rPr>
        <w:t>T</w:t>
      </w:r>
      <w:r w:rsidRPr="000551F6">
        <w:rPr>
          <w:rFonts w:eastAsia="Times New Roman" w:cs="Times New Roman"/>
          <w:color w:val="000000"/>
          <w:szCs w:val="22"/>
        </w:rPr>
        <w:t xml:space="preserve">he average rated input </w:t>
      </w:r>
      <w:proofErr w:type="spellStart"/>
      <w:r w:rsidR="00264CCB">
        <w:rPr>
          <w:rFonts w:eastAsia="Times New Roman" w:cs="Times New Roman"/>
          <w:color w:val="000000"/>
          <w:szCs w:val="22"/>
        </w:rPr>
        <w:t>kBtu</w:t>
      </w:r>
      <w:proofErr w:type="spellEnd"/>
      <w:r w:rsidR="00264CCB">
        <w:rPr>
          <w:rFonts w:eastAsia="Times New Roman" w:cs="Times New Roman"/>
          <w:color w:val="000000"/>
          <w:szCs w:val="22"/>
        </w:rPr>
        <w:t>/</w:t>
      </w:r>
      <w:proofErr w:type="spellStart"/>
      <w:r w:rsidR="00264CCB">
        <w:rPr>
          <w:rFonts w:eastAsia="Times New Roman" w:cs="Times New Roman"/>
          <w:color w:val="000000"/>
          <w:szCs w:val="22"/>
        </w:rPr>
        <w:t>hr</w:t>
      </w:r>
      <w:proofErr w:type="spellEnd"/>
      <w:r w:rsidR="00264CCB">
        <w:rPr>
          <w:rFonts w:eastAsia="Times New Roman" w:cs="Times New Roman"/>
          <w:color w:val="000000"/>
          <w:szCs w:val="22"/>
        </w:rPr>
        <w:t xml:space="preserve"> per dwelling unit assumes a multifamily property with more than</w:t>
      </w:r>
      <w:r w:rsidRPr="000551F6">
        <w:rPr>
          <w:rFonts w:eastAsia="Times New Roman" w:cs="Times New Roman"/>
          <w:color w:val="000000"/>
          <w:szCs w:val="22"/>
        </w:rPr>
        <w:t xml:space="preserve"> 10 </w:t>
      </w:r>
      <w:r w:rsidR="00264CCB">
        <w:rPr>
          <w:rFonts w:eastAsia="Times New Roman" w:cs="Times New Roman"/>
          <w:color w:val="000000"/>
          <w:szCs w:val="22"/>
        </w:rPr>
        <w:t xml:space="preserve">dwelling </w:t>
      </w:r>
      <w:r w:rsidRPr="000551F6">
        <w:rPr>
          <w:rFonts w:eastAsia="Times New Roman" w:cs="Times New Roman"/>
          <w:color w:val="000000"/>
          <w:szCs w:val="22"/>
        </w:rPr>
        <w:t xml:space="preserve">units. </w:t>
      </w:r>
    </w:p>
    <w:p w14:paraId="209A9E40" w14:textId="441D6ECF" w:rsidR="00AC0548" w:rsidRPr="000551F6" w:rsidRDefault="004F1A85" w:rsidP="00AC0548">
      <w:pPr>
        <w:rPr>
          <w:szCs w:val="22"/>
        </w:rPr>
      </w:pPr>
      <w:r w:rsidRPr="000551F6">
        <w:rPr>
          <w:b/>
          <w:szCs w:val="22"/>
        </w:rPr>
        <w:t xml:space="preserve">Base Case </w:t>
      </w:r>
      <w:r w:rsidR="00D45190">
        <w:rPr>
          <w:b/>
          <w:szCs w:val="22"/>
        </w:rPr>
        <w:t xml:space="preserve">Central Storage Water Heater Thermal </w:t>
      </w:r>
      <w:r w:rsidRPr="000551F6">
        <w:rPr>
          <w:b/>
          <w:szCs w:val="22"/>
        </w:rPr>
        <w:t xml:space="preserve">Efficiency (%). </w:t>
      </w:r>
      <w:r w:rsidR="00B356B6" w:rsidRPr="000551F6">
        <w:rPr>
          <w:rFonts w:eastAsia="Times New Roman" w:cs="Times New Roman"/>
          <w:color w:val="000000"/>
          <w:szCs w:val="22"/>
        </w:rPr>
        <w:t xml:space="preserve">The base case </w:t>
      </w:r>
      <w:r w:rsidR="00D45190">
        <w:rPr>
          <w:rFonts w:eastAsia="Times New Roman" w:cs="Times New Roman"/>
          <w:color w:val="000000"/>
          <w:szCs w:val="22"/>
        </w:rPr>
        <w:t>storage water heater TE rating</w:t>
      </w:r>
      <w:r w:rsidR="00B356B6" w:rsidRPr="000551F6">
        <w:rPr>
          <w:rFonts w:eastAsia="Times New Roman" w:cs="Times New Roman"/>
          <w:color w:val="000000"/>
          <w:szCs w:val="22"/>
        </w:rPr>
        <w:t xml:space="preserve"> is </w:t>
      </w:r>
      <w:r w:rsidR="00D45190">
        <w:rPr>
          <w:rFonts w:eastAsia="Times New Roman" w:cs="Times New Roman"/>
          <w:color w:val="000000"/>
          <w:szCs w:val="22"/>
        </w:rPr>
        <w:t>consistent with the</w:t>
      </w:r>
      <w:r w:rsidR="00B356B6" w:rsidRPr="000551F6">
        <w:rPr>
          <w:rFonts w:eastAsia="Times New Roman" w:cs="Times New Roman"/>
          <w:color w:val="000000"/>
          <w:szCs w:val="22"/>
        </w:rPr>
        <w:t xml:space="preserve"> </w:t>
      </w:r>
      <w:r w:rsidR="00D45190">
        <w:rPr>
          <w:rFonts w:eastAsia="Times New Roman" w:cs="Times New Roman"/>
          <w:color w:val="000000"/>
          <w:szCs w:val="22"/>
        </w:rPr>
        <w:t xml:space="preserve">minimum </w:t>
      </w:r>
      <w:r w:rsidR="00B356B6" w:rsidRPr="000551F6">
        <w:rPr>
          <w:rFonts w:eastAsia="Times New Roman" w:cs="Times New Roman"/>
          <w:color w:val="000000"/>
          <w:szCs w:val="22"/>
        </w:rPr>
        <w:t xml:space="preserve">efficiency </w:t>
      </w:r>
      <w:r w:rsidR="00D45190">
        <w:rPr>
          <w:rFonts w:eastAsia="Times New Roman" w:cs="Times New Roman"/>
          <w:color w:val="000000"/>
          <w:szCs w:val="22"/>
        </w:rPr>
        <w:t>as per state and federal code requirements. See Base Case Description and Code Requirements.</w:t>
      </w:r>
      <w:r w:rsidR="00AC0548" w:rsidRPr="000551F6">
        <w:rPr>
          <w:szCs w:val="22"/>
        </w:rPr>
        <w:t xml:space="preserve"> </w:t>
      </w:r>
    </w:p>
    <w:p w14:paraId="2DA97199" w14:textId="182E3C5D" w:rsidR="00AC0548" w:rsidRDefault="004F1A85" w:rsidP="00AC0548">
      <w:r>
        <w:rPr>
          <w:b/>
        </w:rPr>
        <w:t xml:space="preserve">Measure Case </w:t>
      </w:r>
      <w:r w:rsidR="00D45190">
        <w:rPr>
          <w:b/>
          <w:szCs w:val="22"/>
        </w:rPr>
        <w:t xml:space="preserve">Central Storage Water Heater Thermal </w:t>
      </w:r>
      <w:r w:rsidR="00D45190" w:rsidRPr="000551F6">
        <w:rPr>
          <w:b/>
          <w:szCs w:val="22"/>
        </w:rPr>
        <w:t xml:space="preserve">Efficiency </w:t>
      </w:r>
      <w:r w:rsidR="006A7968" w:rsidRPr="006A7968">
        <w:rPr>
          <w:b/>
        </w:rPr>
        <w:t xml:space="preserve">(%). </w:t>
      </w:r>
      <w:r w:rsidR="00AC0548" w:rsidRPr="00C17A74">
        <w:t xml:space="preserve">Large storage water heaters for multifamily residential applications are not </w:t>
      </w:r>
      <w:r w:rsidR="00AC0548">
        <w:t>specified</w:t>
      </w:r>
      <w:r w:rsidR="00AC0548" w:rsidRPr="00C17A74">
        <w:t xml:space="preserve"> in</w:t>
      </w:r>
      <w:r w:rsidR="00AC0548" w:rsidRPr="00CA7FE4">
        <w:t xml:space="preserve"> the 201</w:t>
      </w:r>
      <w:r w:rsidR="00AC0548">
        <w:t>3</w:t>
      </w:r>
      <w:r w:rsidR="00AC0548" w:rsidRPr="00CA7FE4">
        <w:t xml:space="preserve"> Database for Energy-Efficien</w:t>
      </w:r>
      <w:r w:rsidR="00AC0548">
        <w:t>cy</w:t>
      </w:r>
      <w:r w:rsidR="00AC0548" w:rsidRPr="00CA7FE4">
        <w:t xml:space="preserve"> Resources (</w:t>
      </w:r>
      <w:r w:rsidR="00AC0548">
        <w:t>DEER2013</w:t>
      </w:r>
      <w:r w:rsidR="00AC0548" w:rsidRPr="00CA7FE4">
        <w:t xml:space="preserve">) </w:t>
      </w:r>
      <w:r w:rsidR="00AC0548">
        <w:t>Update for 2014 Codes</w:t>
      </w:r>
      <w:r w:rsidR="00AC0548" w:rsidRPr="00CA7FE4">
        <w:t>.</w:t>
      </w:r>
      <w:r w:rsidR="00AC0548">
        <w:t xml:space="preserve"> The minimum </w:t>
      </w:r>
      <w:r w:rsidR="00AC0548" w:rsidRPr="001131B7">
        <w:t xml:space="preserve">qualifying </w:t>
      </w:r>
      <w:r w:rsidR="00AC0548">
        <w:t xml:space="preserve">DEER </w:t>
      </w:r>
      <w:r w:rsidR="00AC0548" w:rsidRPr="001131B7">
        <w:t xml:space="preserve">measure efficiencies </w:t>
      </w:r>
      <w:r w:rsidR="00AC0548">
        <w:t xml:space="preserve">for commercial storage water heaters were applied to the Tier 1 and Tier 2 large storage water heater measures for multifamily applications.  </w:t>
      </w:r>
    </w:p>
    <w:p w14:paraId="40CE89B6" w14:textId="5D39F772" w:rsidR="00195CF3" w:rsidRDefault="00195CF3" w:rsidP="00AC0548">
      <w:r>
        <w:t xml:space="preserve">This measure is based upon </w:t>
      </w:r>
      <w:r w:rsidR="00CB37F6">
        <w:t xml:space="preserve">the </w:t>
      </w:r>
      <w:r>
        <w:t xml:space="preserve">commercial storage water heater because they are typically </w:t>
      </w:r>
      <w:r w:rsidR="00CB37F6">
        <w:t>installed</w:t>
      </w:r>
      <w:r>
        <w:t xml:space="preserve"> in multifamily buildings. All commercial storage water heaters have standby losses of 0.56% per hour.  Standby losses are expressed as a percentage of the energy stored in the hot water relative to the average ambient air temperature.</w:t>
      </w:r>
    </w:p>
    <w:p w14:paraId="159944A1" w14:textId="18B31912" w:rsidR="004F1A85" w:rsidRDefault="004F1A85" w:rsidP="004F1A85">
      <w:r>
        <w:lastRenderedPageBreak/>
        <w:t>Measure case</w:t>
      </w:r>
      <w:r w:rsidRPr="00E3741E">
        <w:t xml:space="preserve"> efficiencies </w:t>
      </w:r>
      <w:r>
        <w:t xml:space="preserve">were </w:t>
      </w:r>
      <w:r w:rsidR="00663E1E">
        <w:t xml:space="preserve">then </w:t>
      </w:r>
      <w:r>
        <w:t>derived from analysis</w:t>
      </w:r>
      <w:r w:rsidRPr="00E3741E">
        <w:t xml:space="preserve"> of high-efficiency storage water heaters listed </w:t>
      </w:r>
      <w:r w:rsidRPr="00BB4442">
        <w:t xml:space="preserve">in the </w:t>
      </w:r>
      <w:bookmarkStart w:id="53" w:name="_Ref320696611"/>
      <w:r w:rsidR="00BB4442" w:rsidRPr="00BB4442">
        <w:t>California Energy Commission (CEC) Modernized Appliance Efficiency Database System (MAEDBS)</w:t>
      </w:r>
      <w:r w:rsidR="001F344D">
        <w:t xml:space="preserve"> as of May 2012</w:t>
      </w:r>
      <w:r w:rsidRPr="00BB4442">
        <w:t>.</w:t>
      </w:r>
      <w:r w:rsidRPr="00BB4442">
        <w:rPr>
          <w:rStyle w:val="FootnoteReference"/>
        </w:rPr>
        <w:footnoteReference w:id="7"/>
      </w:r>
      <w:r w:rsidRPr="00BB4442">
        <w:t xml:space="preserve"> </w:t>
      </w:r>
      <w:bookmarkEnd w:id="53"/>
      <w:r w:rsidR="00CB37F6">
        <w:t xml:space="preserve"> The figures below</w:t>
      </w:r>
      <w:r w:rsidR="00BB4442">
        <w:t xml:space="preserve"> </w:t>
      </w:r>
      <w:r w:rsidRPr="00E3741E">
        <w:t xml:space="preserve">shows the distribution of </w:t>
      </w:r>
      <w:r w:rsidR="00BB4442">
        <w:t>TE ratings</w:t>
      </w:r>
      <w:r w:rsidRPr="00E3741E">
        <w:t xml:space="preserve"> for the 965 large</w:t>
      </w:r>
      <w:r w:rsidR="00BB4442">
        <w:t>,</w:t>
      </w:r>
      <w:r w:rsidRPr="00E3741E">
        <w:t xml:space="preserve"> non-condensing storage water heater products found </w:t>
      </w:r>
      <w:r>
        <w:t xml:space="preserve">in </w:t>
      </w:r>
      <w:r w:rsidR="00BB4442">
        <w:t>CEC database</w:t>
      </w:r>
      <w:r>
        <w:t xml:space="preserve">. </w:t>
      </w:r>
      <w:r w:rsidRPr="00E3741E">
        <w:t xml:space="preserve">About 80% of the products </w:t>
      </w:r>
      <w:r>
        <w:t>are</w:t>
      </w:r>
      <w:r w:rsidRPr="00E3741E">
        <w:t xml:space="preserve"> considered </w:t>
      </w:r>
      <w:r w:rsidR="00BB4442">
        <w:t>base case</w:t>
      </w:r>
      <w:r>
        <w:t xml:space="preserve"> while 20% of the </w:t>
      </w:r>
      <w:r w:rsidR="00BB4442">
        <w:t>models</w:t>
      </w:r>
      <w:r>
        <w:t xml:space="preserve"> m</w:t>
      </w:r>
      <w:r w:rsidR="00B326A8">
        <w:t xml:space="preserve">eet the minimum TE for Tier 1. </w:t>
      </w:r>
      <w:r w:rsidR="00CB37F6">
        <w:t>Also shown is</w:t>
      </w:r>
      <w:r>
        <w:t xml:space="preserve"> the distribution of </w:t>
      </w:r>
      <w:r w:rsidR="00BB4442">
        <w:t>TE ratings</w:t>
      </w:r>
      <w:r>
        <w:t xml:space="preserve"> for the 266 large</w:t>
      </w:r>
      <w:r w:rsidR="00620008">
        <w:t>,</w:t>
      </w:r>
      <w:r>
        <w:t xml:space="preserve"> condensing storage water heater products found in the CEC </w:t>
      </w:r>
      <w:r w:rsidR="00BB4442">
        <w:t>d</w:t>
      </w:r>
      <w:r>
        <w:t xml:space="preserve">atabase. Over 90% of the </w:t>
      </w:r>
      <w:r w:rsidR="00BB4442">
        <w:t>models</w:t>
      </w:r>
      <w:r>
        <w:t xml:space="preserve"> </w:t>
      </w:r>
      <w:r w:rsidR="00620008">
        <w:t xml:space="preserve">listed </w:t>
      </w:r>
      <w:r>
        <w:t xml:space="preserve">meet the minimum TE for Tier 2.  </w:t>
      </w:r>
    </w:p>
    <w:p w14:paraId="0F907084" w14:textId="29D5934B" w:rsidR="004F1A85" w:rsidRPr="00BC3DD7" w:rsidRDefault="004F1A85" w:rsidP="004F1A85">
      <w:pPr>
        <w:pStyle w:val="Caption"/>
        <w:rPr>
          <w:color w:val="808080" w:themeColor="background1" w:themeShade="80"/>
          <w14:textFill>
            <w14:solidFill>
              <w14:schemeClr w14:val="bg1">
                <w14:lumMod w14:val="50000"/>
                <w14:lumMod w14:val="50000"/>
              </w14:schemeClr>
            </w14:solidFill>
          </w14:textFill>
        </w:rPr>
      </w:pPr>
      <w:bookmarkStart w:id="54" w:name="_Toc370197566"/>
      <w:bookmarkStart w:id="55" w:name="_Toc461101181"/>
      <w:r>
        <w:t>Distribution of Thermal Efficienc</w:t>
      </w:r>
      <w:r w:rsidR="00B95441">
        <w:t>y Ratings</w:t>
      </w:r>
      <w:r>
        <w:t xml:space="preserve"> of </w:t>
      </w:r>
      <w:r w:rsidR="00B95441">
        <w:br/>
      </w:r>
      <w:r>
        <w:t xml:space="preserve">Non-condensing Large Storage Water Heaters </w:t>
      </w:r>
      <w:bookmarkEnd w:id="54"/>
      <w:bookmarkEnd w:id="55"/>
    </w:p>
    <w:p w14:paraId="027034DF" w14:textId="16E6B951" w:rsidR="004F1A85" w:rsidRDefault="004F1A85" w:rsidP="00B95441">
      <w:pPr>
        <w:pStyle w:val="Vertical"/>
        <w:keepNext/>
        <w:jc w:val="left"/>
      </w:pPr>
      <w:r w:rsidRPr="004F1A85">
        <w:rPr>
          <w:rFonts w:ascii="Calibri" w:hAnsi="Calibri"/>
          <w:noProof/>
        </w:rPr>
        <w:drawing>
          <wp:inline distT="0" distB="0" distL="0" distR="0" wp14:anchorId="081884E1" wp14:editId="61AC22C2">
            <wp:extent cx="2743200" cy="1820848"/>
            <wp:effectExtent l="0" t="0" r="0" b="825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DDA1D0A" w14:textId="0180703A" w:rsidR="004F1A85" w:rsidRDefault="004F1A85" w:rsidP="00FB79C4">
      <w:pPr>
        <w:pStyle w:val="Caption"/>
      </w:pPr>
      <w:bookmarkStart w:id="56" w:name="_Toc461101182"/>
      <w:r w:rsidRPr="00350153">
        <w:t>Distribution</w:t>
      </w:r>
      <w:r>
        <w:t xml:space="preserve"> of </w:t>
      </w:r>
      <w:r w:rsidRPr="00FB79C4">
        <w:t>Thermal</w:t>
      </w:r>
      <w:r>
        <w:t xml:space="preserve"> Efficiencies</w:t>
      </w:r>
      <w:r w:rsidR="00B95441">
        <w:t xml:space="preserve"> Ratings</w:t>
      </w:r>
      <w:r>
        <w:t xml:space="preserve"> </w:t>
      </w:r>
      <w:r w:rsidR="00B95441">
        <w:t>of</w:t>
      </w:r>
      <w:r w:rsidR="00B95441">
        <w:br/>
      </w:r>
      <w:r>
        <w:t xml:space="preserve">Condensing Large Storage Water Heaters </w:t>
      </w:r>
      <w:bookmarkEnd w:id="56"/>
    </w:p>
    <w:p w14:paraId="1AAB5D91" w14:textId="77777777" w:rsidR="004F1A85" w:rsidRDefault="004F1A85" w:rsidP="002D58AE">
      <w:pPr>
        <w:pStyle w:val="Vertical"/>
        <w:jc w:val="left"/>
      </w:pPr>
      <w:r>
        <w:rPr>
          <w:noProof/>
        </w:rPr>
        <w:drawing>
          <wp:inline distT="0" distB="0" distL="0" distR="0" wp14:anchorId="5095C67F" wp14:editId="23BE5740">
            <wp:extent cx="2751151" cy="18288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20BE975" w14:textId="77777777" w:rsidR="003B28EF" w:rsidRDefault="003B28EF" w:rsidP="00A8679D">
      <w:pPr>
        <w:rPr>
          <w:rFonts w:ascii="Arial" w:hAnsi="Arial" w:cs="Arial"/>
          <w:szCs w:val="22"/>
        </w:rPr>
      </w:pPr>
    </w:p>
    <w:p w14:paraId="4DDCD51F" w14:textId="4A90B0B0" w:rsidR="007D230B" w:rsidRPr="004B06E3" w:rsidRDefault="00245AFF" w:rsidP="000F1A47">
      <w:pPr>
        <w:pStyle w:val="eTRMHeading3"/>
      </w:pPr>
      <w:bookmarkStart w:id="57" w:name="_Toc2074026"/>
      <w:bookmarkStart w:id="58" w:name="_Toc486490859"/>
      <w:bookmarkStart w:id="59" w:name="_Toc486580930"/>
      <w:r w:rsidRPr="004B06E3">
        <w:t>Life Cycle</w:t>
      </w:r>
      <w:bookmarkEnd w:id="57"/>
      <w:r w:rsidR="007D230B" w:rsidRPr="004B06E3">
        <w:t xml:space="preserve"> </w:t>
      </w:r>
      <w:bookmarkEnd w:id="58"/>
      <w:bookmarkEnd w:id="59"/>
    </w:p>
    <w:p w14:paraId="5BA94C9B" w14:textId="77777777" w:rsidR="00590848" w:rsidRDefault="00590848" w:rsidP="00590848">
      <w:r w:rsidRPr="000F211A">
        <w:t xml:space="preserve">Effective Useful Life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w:t>
      </w:r>
      <w:r>
        <w:t xml:space="preserve">EUL is often, but not always, derived from measure persistence or retention studies. </w:t>
      </w:r>
      <w:r w:rsidRPr="000F211A">
        <w:t xml:space="preserve">Remaining Useful Life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lastRenderedPageBreak/>
        <w:t>remain</w:t>
      </w:r>
      <w:r>
        <w:t>ed</w:t>
      </w:r>
      <w:r w:rsidRPr="000F211A">
        <w:t xml:space="preserve"> in service and operational had the program intervention not cause</w:t>
      </w:r>
      <w:r>
        <w:t>d</w:t>
      </w:r>
      <w:r w:rsidRPr="000F211A">
        <w:t xml:space="preserve"> the replacement or alteration. </w:t>
      </w:r>
    </w:p>
    <w:p w14:paraId="08ECC9ED" w14:textId="504B40B9" w:rsidR="00590848" w:rsidRDefault="00590848" w:rsidP="00590848">
      <w:r>
        <w:t xml:space="preserve">The EUL specified for </w:t>
      </w:r>
      <w:r w:rsidR="003F606B">
        <w:t>this measure</w:t>
      </w:r>
      <w:r w:rsidR="00020218">
        <w:t xml:space="preserve"> </w:t>
      </w:r>
      <w:r>
        <w:t xml:space="preserve">is </w:t>
      </w:r>
      <w:r w:rsidR="00CB37F6">
        <w:t>specified below</w:t>
      </w:r>
      <w:r>
        <w:t xml:space="preserve">. </w:t>
      </w:r>
      <w:r w:rsidR="00A4005C">
        <w:t xml:space="preserve">Note that RUL is only applicable for add-on </w:t>
      </w:r>
      <w:r w:rsidR="00CB37F6">
        <w:t xml:space="preserve">equipment and accelerated replacement installations </w:t>
      </w:r>
      <w:r w:rsidR="00A4005C">
        <w:t>and is not applicable for this measure.</w:t>
      </w:r>
    </w:p>
    <w:p w14:paraId="7D542FEF" w14:textId="1131CA83" w:rsidR="00FD2C54" w:rsidRPr="00920905" w:rsidRDefault="00FD2C54" w:rsidP="0090621B">
      <w:pPr>
        <w:pStyle w:val="Caption"/>
      </w:pPr>
      <w:r>
        <w:t>Effective Useful Life</w:t>
      </w:r>
      <w:r w:rsidR="00CB37F6">
        <w:t xml:space="preserve"> and Remaining Useful Life</w:t>
      </w: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740"/>
        <w:gridCol w:w="1440"/>
        <w:gridCol w:w="6450"/>
      </w:tblGrid>
      <w:tr w:rsidR="00975B91" w:rsidRPr="00052C24" w14:paraId="7BA58394" w14:textId="77777777" w:rsidTr="003F606B">
        <w:tc>
          <w:tcPr>
            <w:tcW w:w="1740" w:type="dxa"/>
            <w:shd w:val="clear" w:color="auto" w:fill="F2F2F2" w:themeFill="background1" w:themeFillShade="F2"/>
            <w:vAlign w:val="bottom"/>
          </w:tcPr>
          <w:p w14:paraId="608C89BF" w14:textId="77777777" w:rsidR="00975B91" w:rsidRPr="00052C24" w:rsidRDefault="00975B91" w:rsidP="00B86F8A">
            <w:pPr>
              <w:keepNext/>
              <w:keepLines/>
              <w:spacing w:before="20" w:after="20" w:line="240" w:lineRule="auto"/>
              <w:jc w:val="center"/>
              <w:rPr>
                <w:b/>
                <w:sz w:val="20"/>
              </w:rPr>
            </w:pPr>
            <w:r>
              <w:rPr>
                <w:b/>
                <w:sz w:val="20"/>
              </w:rPr>
              <w:t>Parameter</w:t>
            </w:r>
          </w:p>
        </w:tc>
        <w:tc>
          <w:tcPr>
            <w:tcW w:w="1440" w:type="dxa"/>
            <w:shd w:val="clear" w:color="auto" w:fill="F2F2F2" w:themeFill="background1" w:themeFillShade="F2"/>
            <w:vAlign w:val="bottom"/>
          </w:tcPr>
          <w:p w14:paraId="0A8D4A5E" w14:textId="7661DB88" w:rsidR="00975B91" w:rsidRPr="00052C24" w:rsidRDefault="00B02DFD" w:rsidP="00B86F8A">
            <w:pPr>
              <w:keepNext/>
              <w:keepLines/>
              <w:spacing w:before="20" w:after="20" w:line="240" w:lineRule="auto"/>
              <w:jc w:val="center"/>
              <w:rPr>
                <w:b/>
                <w:sz w:val="20"/>
              </w:rPr>
            </w:pPr>
            <w:r>
              <w:rPr>
                <w:b/>
                <w:sz w:val="20"/>
              </w:rPr>
              <w:t>Value</w:t>
            </w:r>
          </w:p>
        </w:tc>
        <w:tc>
          <w:tcPr>
            <w:tcW w:w="6450" w:type="dxa"/>
            <w:shd w:val="clear" w:color="auto" w:fill="F2F2F2" w:themeFill="background1" w:themeFillShade="F2"/>
            <w:vAlign w:val="bottom"/>
          </w:tcPr>
          <w:p w14:paraId="3D803CB3" w14:textId="77777777" w:rsidR="00975B91" w:rsidRDefault="00975B91" w:rsidP="00B86F8A">
            <w:pPr>
              <w:keepNext/>
              <w:keepLines/>
              <w:spacing w:before="20" w:after="20" w:line="240" w:lineRule="auto"/>
              <w:jc w:val="center"/>
              <w:rPr>
                <w:b/>
                <w:sz w:val="20"/>
              </w:rPr>
            </w:pPr>
            <w:r>
              <w:rPr>
                <w:b/>
                <w:sz w:val="20"/>
              </w:rPr>
              <w:t>Source</w:t>
            </w:r>
          </w:p>
        </w:tc>
      </w:tr>
      <w:tr w:rsidR="00975B91" w:rsidRPr="00052C24" w14:paraId="539F925A" w14:textId="77777777" w:rsidTr="003F606B">
        <w:trPr>
          <w:trHeight w:val="260"/>
        </w:trPr>
        <w:tc>
          <w:tcPr>
            <w:tcW w:w="1740" w:type="dxa"/>
            <w:vAlign w:val="center"/>
          </w:tcPr>
          <w:p w14:paraId="17B5BBD4" w14:textId="77777777" w:rsidR="00975B91" w:rsidRPr="00C45400" w:rsidRDefault="00975B91" w:rsidP="00B86F8A">
            <w:pPr>
              <w:keepNext/>
              <w:keepLines/>
              <w:spacing w:before="20" w:after="20" w:line="240" w:lineRule="auto"/>
              <w:rPr>
                <w:sz w:val="20"/>
              </w:rPr>
            </w:pPr>
            <w:r w:rsidRPr="00C45400">
              <w:rPr>
                <w:sz w:val="20"/>
              </w:rPr>
              <w:t>EUL (</w:t>
            </w:r>
            <w:proofErr w:type="spellStart"/>
            <w:r w:rsidRPr="00C45400">
              <w:rPr>
                <w:sz w:val="20"/>
              </w:rPr>
              <w:t>yrs</w:t>
            </w:r>
            <w:proofErr w:type="spellEnd"/>
            <w:r w:rsidRPr="00C45400">
              <w:rPr>
                <w:sz w:val="20"/>
              </w:rPr>
              <w:t>)</w:t>
            </w:r>
          </w:p>
        </w:tc>
        <w:tc>
          <w:tcPr>
            <w:tcW w:w="1440" w:type="dxa"/>
            <w:shd w:val="clear" w:color="auto" w:fill="auto"/>
            <w:vAlign w:val="center"/>
          </w:tcPr>
          <w:p w14:paraId="31F37F9F" w14:textId="24A2DEDA" w:rsidR="00975B91" w:rsidRPr="00E952A7" w:rsidRDefault="003F606B" w:rsidP="00B86F8A">
            <w:pPr>
              <w:keepNext/>
              <w:keepLines/>
              <w:spacing w:before="20" w:after="20" w:line="240" w:lineRule="auto"/>
              <w:jc w:val="center"/>
              <w:rPr>
                <w:sz w:val="20"/>
              </w:rPr>
            </w:pPr>
            <w:r w:rsidRPr="00E952A7">
              <w:rPr>
                <w:sz w:val="20"/>
              </w:rPr>
              <w:t>15</w:t>
            </w:r>
            <w:r w:rsidR="00321489" w:rsidRPr="00E952A7">
              <w:rPr>
                <w:sz w:val="20"/>
              </w:rPr>
              <w:t>.0</w:t>
            </w:r>
          </w:p>
        </w:tc>
        <w:tc>
          <w:tcPr>
            <w:tcW w:w="6450" w:type="dxa"/>
            <w:vAlign w:val="center"/>
          </w:tcPr>
          <w:p w14:paraId="22EC0599" w14:textId="770C020B" w:rsidR="00975B91" w:rsidRPr="00A4005C" w:rsidRDefault="00A4005C" w:rsidP="00B86F8A">
            <w:pPr>
              <w:keepNext/>
              <w:keepLines/>
              <w:spacing w:before="20" w:after="20" w:line="240" w:lineRule="auto"/>
              <w:rPr>
                <w:rFonts w:eastAsia="Times New Roman" w:cs="Calibri Light"/>
                <w:color w:val="000000"/>
                <w:sz w:val="18"/>
                <w:szCs w:val="18"/>
                <w:highlight w:val="yellow"/>
              </w:rPr>
            </w:pPr>
            <w:r w:rsidRPr="00A4005C">
              <w:rPr>
                <w:rFonts w:eastAsia="Calibri" w:cs="Calibri Light"/>
                <w:sz w:val="18"/>
                <w:szCs w:val="22"/>
              </w:rPr>
              <w:t>California Public Utilities Commission (CPUC). 2014. “DEER2014-EUL-table-update_2014-02-05.xlsx.”</w:t>
            </w:r>
          </w:p>
        </w:tc>
      </w:tr>
      <w:tr w:rsidR="00975B91" w:rsidRPr="00052C24" w14:paraId="19183592" w14:textId="77777777" w:rsidTr="003F606B">
        <w:tc>
          <w:tcPr>
            <w:tcW w:w="1740" w:type="dxa"/>
            <w:vAlign w:val="center"/>
          </w:tcPr>
          <w:p w14:paraId="2BBE6362" w14:textId="77777777" w:rsidR="00975B91" w:rsidRPr="00C45400" w:rsidRDefault="00975B91" w:rsidP="00B86F8A">
            <w:pPr>
              <w:keepNext/>
              <w:keepLines/>
              <w:spacing w:before="20" w:after="20" w:line="240" w:lineRule="auto"/>
              <w:rPr>
                <w:sz w:val="20"/>
              </w:rPr>
            </w:pPr>
            <w:r w:rsidRPr="00C45400">
              <w:rPr>
                <w:sz w:val="20"/>
              </w:rPr>
              <w:t>RUL (</w:t>
            </w:r>
            <w:proofErr w:type="spellStart"/>
            <w:r w:rsidRPr="00C45400">
              <w:rPr>
                <w:sz w:val="20"/>
              </w:rPr>
              <w:t>yrs</w:t>
            </w:r>
            <w:proofErr w:type="spellEnd"/>
            <w:r w:rsidRPr="00C45400">
              <w:rPr>
                <w:sz w:val="20"/>
              </w:rPr>
              <w:t>)</w:t>
            </w:r>
          </w:p>
        </w:tc>
        <w:tc>
          <w:tcPr>
            <w:tcW w:w="1440" w:type="dxa"/>
            <w:shd w:val="clear" w:color="auto" w:fill="auto"/>
            <w:vAlign w:val="center"/>
          </w:tcPr>
          <w:p w14:paraId="41F77487" w14:textId="77777777" w:rsidR="00975B91" w:rsidRPr="00E952A7" w:rsidRDefault="00975B91" w:rsidP="00B86F8A">
            <w:pPr>
              <w:keepNext/>
              <w:keepLines/>
              <w:spacing w:before="20" w:after="20" w:line="240" w:lineRule="auto"/>
              <w:jc w:val="center"/>
              <w:rPr>
                <w:sz w:val="20"/>
              </w:rPr>
            </w:pPr>
            <w:r w:rsidRPr="00E952A7">
              <w:rPr>
                <w:sz w:val="20"/>
              </w:rPr>
              <w:t>n/a</w:t>
            </w:r>
          </w:p>
        </w:tc>
        <w:tc>
          <w:tcPr>
            <w:tcW w:w="6450" w:type="dxa"/>
            <w:vAlign w:val="center"/>
          </w:tcPr>
          <w:p w14:paraId="668F0DFB" w14:textId="77777777" w:rsidR="00975B91" w:rsidRPr="00EB04AC" w:rsidRDefault="00975B91" w:rsidP="00B86F8A">
            <w:pPr>
              <w:keepNext/>
              <w:keepLines/>
              <w:spacing w:before="20" w:after="20" w:line="240" w:lineRule="auto"/>
              <w:rPr>
                <w:rFonts w:eastAsia="Times New Roman" w:cs="Times New Roman"/>
                <w:color w:val="000000"/>
                <w:sz w:val="18"/>
                <w:szCs w:val="18"/>
              </w:rPr>
            </w:pPr>
            <w:r>
              <w:rPr>
                <w:sz w:val="18"/>
              </w:rPr>
              <w:t>n/a</w:t>
            </w:r>
          </w:p>
        </w:tc>
      </w:tr>
    </w:tbl>
    <w:p w14:paraId="21BBC22B" w14:textId="77777777" w:rsidR="007D230B" w:rsidRPr="004B06E3" w:rsidRDefault="007D230B" w:rsidP="004142EF"/>
    <w:p w14:paraId="3B14B593" w14:textId="77777777" w:rsidR="007D230B" w:rsidRPr="004B06E3" w:rsidRDefault="007D230B" w:rsidP="000F1A47">
      <w:pPr>
        <w:pStyle w:val="eTRMHeading3"/>
      </w:pPr>
      <w:bookmarkStart w:id="60" w:name="_Toc486490860"/>
      <w:bookmarkStart w:id="61" w:name="_Toc486580931"/>
      <w:bookmarkStart w:id="62" w:name="_Toc2074027"/>
      <w:r w:rsidRPr="004B06E3">
        <w:t>Base Case Material Cost ($/unit)</w:t>
      </w:r>
      <w:bookmarkEnd w:id="60"/>
      <w:bookmarkEnd w:id="61"/>
      <w:bookmarkEnd w:id="62"/>
    </w:p>
    <w:p w14:paraId="419927B4" w14:textId="553214FE" w:rsidR="00E15183" w:rsidRDefault="001219B1" w:rsidP="004142EF">
      <w:r>
        <w:t xml:space="preserve">For a </w:t>
      </w:r>
      <w:r w:rsidRPr="001219B1">
        <w:rPr>
          <w:i/>
        </w:rPr>
        <w:t xml:space="preserve">normal replacement </w:t>
      </w:r>
      <w:r w:rsidR="00FD186A" w:rsidRPr="00FD186A">
        <w:t>or a</w:t>
      </w:r>
      <w:r w:rsidR="00FD186A">
        <w:rPr>
          <w:i/>
        </w:rPr>
        <w:t xml:space="preserve"> new construction </w:t>
      </w:r>
      <w:r w:rsidRPr="001219B1">
        <w:rPr>
          <w:i/>
        </w:rPr>
        <w:t>installation</w:t>
      </w:r>
      <w:r>
        <w:t>,</w:t>
      </w:r>
      <w:r w:rsidR="006635C0" w:rsidRPr="00215BF0">
        <w:t xml:space="preserve"> </w:t>
      </w:r>
      <w:r w:rsidR="006635C0" w:rsidRPr="001E027B">
        <w:t xml:space="preserve">the customer must buy a new </w:t>
      </w:r>
      <w:r w:rsidR="006635C0">
        <w:t>storage water heater</w:t>
      </w:r>
      <w:r w:rsidR="006635C0" w:rsidRPr="001E027B">
        <w:t xml:space="preserve">, so the base </w:t>
      </w:r>
      <w:r w:rsidR="006635C0">
        <w:t xml:space="preserve">case cost is that of a </w:t>
      </w:r>
      <w:r w:rsidR="00B367B3">
        <w:t>standard efficiency</w:t>
      </w:r>
      <w:r w:rsidR="006635C0" w:rsidRPr="001E027B">
        <w:t xml:space="preserve"> </w:t>
      </w:r>
      <w:r w:rsidR="006635C0">
        <w:t>storage water heater</w:t>
      </w:r>
      <w:r w:rsidR="006635C0" w:rsidRPr="001E027B">
        <w:t xml:space="preserve">.  </w:t>
      </w:r>
    </w:p>
    <w:p w14:paraId="6A4DDEF4" w14:textId="1BC47B88" w:rsidR="006635C0" w:rsidRDefault="000F1AA3" w:rsidP="006635C0">
      <w:r>
        <w:t>Base case labor and material c</w:t>
      </w:r>
      <w:r w:rsidR="006635C0">
        <w:t>ost</w:t>
      </w:r>
      <w:r>
        <w:t xml:space="preserve">s were </w:t>
      </w:r>
      <w:r w:rsidR="002E32E3">
        <w:t xml:space="preserve">derived </w:t>
      </w:r>
      <w:r>
        <w:t>from data drawn</w:t>
      </w:r>
      <w:r w:rsidR="006635C0">
        <w:t xml:space="preserve"> from </w:t>
      </w:r>
      <w:r w:rsidR="002E32E3">
        <w:t xml:space="preserve">the U.S. Department of Energy (DOE) </w:t>
      </w:r>
      <w:r w:rsidR="006635C0">
        <w:t xml:space="preserve">Technical Support Document (TSD) “Commercial Water </w:t>
      </w:r>
      <w:r w:rsidR="00A778BF">
        <w:t>H</w:t>
      </w:r>
      <w:r w:rsidR="006635C0">
        <w:t>eating Equipment (EERE-2014-BT-STD-0042)”.</w:t>
      </w:r>
      <w:r w:rsidR="002E32E3">
        <w:rPr>
          <w:rStyle w:val="FootnoteReference"/>
        </w:rPr>
        <w:footnoteReference w:id="8"/>
      </w:r>
      <w:r w:rsidR="00143736">
        <w:t xml:space="preserve"> </w:t>
      </w:r>
      <w:r w:rsidR="006635C0">
        <w:t xml:space="preserve">Condensing water heaters typically use </w:t>
      </w:r>
      <w:r w:rsidR="004E0E94">
        <w:t>PVC</w:t>
      </w:r>
      <w:r w:rsidR="006635C0">
        <w:t xml:space="preserve"> for venting flue exhaust</w:t>
      </w:r>
      <w:r>
        <w:t>,</w:t>
      </w:r>
      <w:r w:rsidR="006635C0">
        <w:t xml:space="preserve"> which is cheaper and easier to install than sheet metal used for non-condensing water heaters. The cost difference in venting material and installation is </w:t>
      </w:r>
      <w:r>
        <w:t>accounted for</w:t>
      </w:r>
      <w:r w:rsidR="006635C0">
        <w:t xml:space="preserve"> in the </w:t>
      </w:r>
      <w:r w:rsidR="00B367B3">
        <w:t>data extracted from the TSD</w:t>
      </w:r>
      <w:r w:rsidR="006635C0">
        <w:t xml:space="preserve">. </w:t>
      </w:r>
    </w:p>
    <w:p w14:paraId="7879AEF3" w14:textId="409911AA" w:rsidR="000F1AA3" w:rsidRDefault="000F1AA3" w:rsidP="006635C0">
      <w:r>
        <w:t>The TSD</w:t>
      </w:r>
      <w:r w:rsidRPr="007A7754">
        <w:t xml:space="preserve"> reports the total installed cost for large storage water heaters as the sum of </w:t>
      </w:r>
      <w:r>
        <w:t xml:space="preserve">the </w:t>
      </w:r>
      <w:r w:rsidRPr="007A7754">
        <w:t xml:space="preserve">equipment retail price and the installation </w:t>
      </w:r>
      <w:r w:rsidR="00FB79C4" w:rsidRPr="007A7754">
        <w:t>cost but</w:t>
      </w:r>
      <w:r w:rsidRPr="007A7754">
        <w:t xml:space="preserve"> does not present </w:t>
      </w:r>
      <w:r>
        <w:t>each cost component separately</w:t>
      </w:r>
      <w:r w:rsidRPr="007A7754">
        <w:t>.</w:t>
      </w:r>
    </w:p>
    <w:p w14:paraId="486F3798" w14:textId="45B92738" w:rsidR="006635C0" w:rsidRPr="007A7754" w:rsidRDefault="006635C0" w:rsidP="006635C0"/>
    <w:p w14:paraId="44E8DBEB" w14:textId="77777777" w:rsidR="007D230B" w:rsidRPr="004B06E3" w:rsidRDefault="007D230B" w:rsidP="000F1A47">
      <w:pPr>
        <w:pStyle w:val="eTRMHeading3"/>
      </w:pPr>
      <w:bookmarkStart w:id="63" w:name="_Toc486490861"/>
      <w:bookmarkStart w:id="64" w:name="_Toc486580932"/>
      <w:bookmarkStart w:id="65" w:name="_Toc2074028"/>
      <w:r w:rsidRPr="004B06E3">
        <w:t>Measure Case Material Cost ($/unit)</w:t>
      </w:r>
      <w:bookmarkEnd w:id="63"/>
      <w:bookmarkEnd w:id="64"/>
      <w:bookmarkEnd w:id="65"/>
    </w:p>
    <w:p w14:paraId="6BF7E6E0" w14:textId="7AB9341A" w:rsidR="000F1AA3" w:rsidRDefault="000F1AA3" w:rsidP="000F1AA3">
      <w:r>
        <w:t xml:space="preserve">Measure case labor and material costs </w:t>
      </w:r>
      <w:r w:rsidR="002E32E3">
        <w:t>were derived from data drawn from the U.S. Department of Energy (DOE) Technical Support Document (TSD)</w:t>
      </w:r>
      <w:r>
        <w:t xml:space="preserve"> “Commercial Water </w:t>
      </w:r>
      <w:r w:rsidR="00A778BF">
        <w:t>H</w:t>
      </w:r>
      <w:r>
        <w:t>eating Equipment (EERE-2014-BT-STD-0042)”.</w:t>
      </w:r>
      <w:r w:rsidR="002E32E3">
        <w:rPr>
          <w:rStyle w:val="FootnoteReference"/>
        </w:rPr>
        <w:footnoteReference w:id="9"/>
      </w:r>
      <w:r>
        <w:t xml:space="preserve"> Condensing water heaters typically use PVC for venting flue exhaust, which is cheaper and easier to install than sheet metal used for non-condensing water heaters. The cost difference in venting material and installation is accounted for in the </w:t>
      </w:r>
      <w:r w:rsidR="00B367B3">
        <w:t>data extracted from this TSD</w:t>
      </w:r>
      <w:r>
        <w:t xml:space="preserve">. </w:t>
      </w:r>
    </w:p>
    <w:p w14:paraId="2060FE9C" w14:textId="5C687EAD" w:rsidR="000F1AA3" w:rsidRDefault="000F1AA3" w:rsidP="000F1AA3">
      <w:r>
        <w:t>The TSD</w:t>
      </w:r>
      <w:r w:rsidRPr="007A7754">
        <w:t xml:space="preserve"> reports the total installed cost for large storage water heaters as the sum of </w:t>
      </w:r>
      <w:r>
        <w:t xml:space="preserve">the </w:t>
      </w:r>
      <w:r w:rsidRPr="007A7754">
        <w:t xml:space="preserve">equipment retail price and the installation </w:t>
      </w:r>
      <w:r w:rsidR="00FB79C4" w:rsidRPr="007A7754">
        <w:t>cost but</w:t>
      </w:r>
      <w:r w:rsidRPr="007A7754">
        <w:t xml:space="preserve"> does not present </w:t>
      </w:r>
      <w:r>
        <w:t>each cost component separately</w:t>
      </w:r>
      <w:r w:rsidRPr="007A7754">
        <w:t>.</w:t>
      </w:r>
    </w:p>
    <w:p w14:paraId="1BB8EDF3" w14:textId="538B070B" w:rsidR="00622869" w:rsidRDefault="00622869" w:rsidP="004142EF"/>
    <w:p w14:paraId="0EB501DA" w14:textId="032461A0" w:rsidR="001219B1" w:rsidRPr="004B06E3" w:rsidRDefault="001219B1" w:rsidP="001219B1">
      <w:pPr>
        <w:pStyle w:val="eTRMHeading3"/>
      </w:pPr>
      <w:bookmarkStart w:id="66" w:name="_Toc2074029"/>
      <w:r>
        <w:lastRenderedPageBreak/>
        <w:t xml:space="preserve">Base Case </w:t>
      </w:r>
      <w:r w:rsidRPr="004B06E3">
        <w:t>Labor Cost ($/unit)</w:t>
      </w:r>
      <w:bookmarkEnd w:id="66"/>
    </w:p>
    <w:p w14:paraId="63E00184" w14:textId="5B18E5EE" w:rsidR="001219B1" w:rsidRDefault="001219B1" w:rsidP="001219B1">
      <w:r>
        <w:t>Labor installation costs were derived from Technical Support Document (TSD) “Commercial Water Heating Equipment (EERE-2014-BT-STD-0042)”.</w:t>
      </w:r>
      <w:r>
        <w:rPr>
          <w:rStyle w:val="FootnoteReference"/>
        </w:rPr>
        <w:footnoteReference w:id="10"/>
      </w:r>
      <w:r>
        <w:t xml:space="preserve"> The TSD</w:t>
      </w:r>
      <w:r w:rsidRPr="007A7754">
        <w:t xml:space="preserve"> reports the total installed cost for large storage water heaters as the sum of </w:t>
      </w:r>
      <w:r>
        <w:t xml:space="preserve">the </w:t>
      </w:r>
      <w:r w:rsidRPr="007A7754">
        <w:t>equipment retail price and the installation cost,</w:t>
      </w:r>
      <w:r>
        <w:t xml:space="preserve"> and thus</w:t>
      </w:r>
      <w:r w:rsidRPr="007A7754">
        <w:t xml:space="preserve"> does not present </w:t>
      </w:r>
      <w:r>
        <w:t>the labor cost component separately</w:t>
      </w:r>
      <w:r w:rsidRPr="007A7754">
        <w:t>.</w:t>
      </w:r>
    </w:p>
    <w:p w14:paraId="179A1F71" w14:textId="75449A4A" w:rsidR="001219B1" w:rsidRPr="004B06E3" w:rsidRDefault="001219B1" w:rsidP="001219B1">
      <w:pPr>
        <w:tabs>
          <w:tab w:val="left" w:pos="1790"/>
        </w:tabs>
      </w:pPr>
    </w:p>
    <w:p w14:paraId="02691007" w14:textId="7074FEEC" w:rsidR="007D230B" w:rsidRPr="004B06E3" w:rsidRDefault="001219B1" w:rsidP="000F1A47">
      <w:pPr>
        <w:pStyle w:val="eTRMHeading3"/>
      </w:pPr>
      <w:bookmarkStart w:id="67" w:name="_Toc486490862"/>
      <w:bookmarkStart w:id="68" w:name="_Toc486580933"/>
      <w:bookmarkStart w:id="69" w:name="_Toc2074030"/>
      <w:r>
        <w:t xml:space="preserve">Measure Case </w:t>
      </w:r>
      <w:r w:rsidR="007D230B" w:rsidRPr="004B06E3">
        <w:t>Labor Cost ($/unit)</w:t>
      </w:r>
      <w:bookmarkEnd w:id="67"/>
      <w:bookmarkEnd w:id="68"/>
      <w:bookmarkEnd w:id="69"/>
    </w:p>
    <w:p w14:paraId="53975CA5" w14:textId="22E9D3DD" w:rsidR="000F1AA3" w:rsidRDefault="000F1AA3" w:rsidP="000F1AA3">
      <w:r>
        <w:t xml:space="preserve">Labor installation costs were derived from Technical Support Document (TSD) “Commercial Water </w:t>
      </w:r>
      <w:r w:rsidR="00A778BF">
        <w:t>H</w:t>
      </w:r>
      <w:r>
        <w:t>eating Equipment (EERE-2014-BT-STD-0042)”.</w:t>
      </w:r>
      <w:r w:rsidR="002E32E3">
        <w:rPr>
          <w:rStyle w:val="FootnoteReference"/>
        </w:rPr>
        <w:footnoteReference w:id="11"/>
      </w:r>
      <w:r>
        <w:t xml:space="preserve"> </w:t>
      </w:r>
      <w:r w:rsidR="00B367B3">
        <w:t xml:space="preserve">The </w:t>
      </w:r>
      <w:r>
        <w:t>TSD</w:t>
      </w:r>
      <w:r w:rsidRPr="007A7754">
        <w:t xml:space="preserve"> reports the total installed cost for large storage water heaters as the sum of </w:t>
      </w:r>
      <w:r>
        <w:t xml:space="preserve">the </w:t>
      </w:r>
      <w:r w:rsidRPr="007A7754">
        <w:t>equipment retail price and the installation cost,</w:t>
      </w:r>
      <w:r w:rsidR="00A778BF">
        <w:t xml:space="preserve"> and </w:t>
      </w:r>
      <w:r>
        <w:t>thus</w:t>
      </w:r>
      <w:r w:rsidRPr="007A7754">
        <w:t xml:space="preserve"> does not present </w:t>
      </w:r>
      <w:r>
        <w:t>the labor cost component separately</w:t>
      </w:r>
      <w:r w:rsidRPr="007A7754">
        <w:t>.</w:t>
      </w:r>
    </w:p>
    <w:p w14:paraId="52633BAF" w14:textId="77777777" w:rsidR="00143736" w:rsidRDefault="00143736" w:rsidP="00AC6CCE">
      <w:pPr>
        <w:rPr>
          <w:rFonts w:cs="Arial"/>
          <w:sz w:val="20"/>
        </w:rPr>
      </w:pPr>
    </w:p>
    <w:p w14:paraId="050D9183" w14:textId="7ABF5C13" w:rsidR="007D230B" w:rsidRPr="004B06E3" w:rsidRDefault="004B06E3" w:rsidP="000F1A47">
      <w:pPr>
        <w:pStyle w:val="eTRMHeading3"/>
      </w:pPr>
      <w:bookmarkStart w:id="70" w:name="_Toc486490863"/>
      <w:bookmarkStart w:id="71" w:name="_Toc486580934"/>
      <w:bookmarkStart w:id="72" w:name="_Toc2074031"/>
      <w:r>
        <w:t>Net-to-Gross</w:t>
      </w:r>
      <w:bookmarkEnd w:id="70"/>
      <w:bookmarkEnd w:id="71"/>
      <w:r w:rsidR="008D4652">
        <w:t xml:space="preserve"> (NTG)</w:t>
      </w:r>
      <w:bookmarkEnd w:id="72"/>
    </w:p>
    <w:p w14:paraId="74940D3A" w14:textId="6539C854" w:rsidR="007D230B" w:rsidRPr="004B06E3" w:rsidRDefault="00297CCD" w:rsidP="004142EF">
      <w:r w:rsidRPr="00AF3038">
        <w:t xml:space="preserve">The net-to-gross (NTG) ratio represents the portion of gross impacts that are determined to be directly attributed to a specific program intervention. </w:t>
      </w:r>
      <w:r w:rsidR="00BC70D1">
        <w:t>This</w:t>
      </w:r>
      <w:r w:rsidRPr="009D1C2F">
        <w:t xml:space="preserve"> NTG value</w:t>
      </w:r>
      <w:r w:rsidR="00BC70D1">
        <w:t xml:space="preserve"> is</w:t>
      </w:r>
      <w:r w:rsidRPr="009D1C2F">
        <w:t xml:space="preserve"> based upon the average of all NTG ratios for all evaluated 2006 – 2008 </w:t>
      </w:r>
      <w:r w:rsidR="00045C04">
        <w:t>residential</w:t>
      </w:r>
      <w:r w:rsidR="00045C04" w:rsidRPr="009D1C2F">
        <w:t xml:space="preserve"> </w:t>
      </w:r>
      <w:r w:rsidRPr="009D1C2F">
        <w:t xml:space="preserve">programs, as documented in the 2011 DEER Update Study conducted by </w:t>
      </w:r>
      <w:proofErr w:type="spellStart"/>
      <w:r w:rsidRPr="009D1C2F">
        <w:t>Itron</w:t>
      </w:r>
      <w:proofErr w:type="spellEnd"/>
      <w:r w:rsidRPr="009D1C2F">
        <w:t xml:space="preserve">, Inc. </w:t>
      </w:r>
      <w:r w:rsidR="00BC70D1">
        <w:t>This</w:t>
      </w:r>
      <w:r w:rsidRPr="009D1C2F">
        <w:t xml:space="preserve"> sector average NTG (“default NTG”) </w:t>
      </w:r>
      <w:r w:rsidR="00BC70D1">
        <w:t>is</w:t>
      </w:r>
      <w:r w:rsidRPr="009D1C2F">
        <w:t xml:space="preserve"> applicable to all energy</w:t>
      </w:r>
      <w:r w:rsidRPr="00AF3038">
        <w:t xml:space="preserve"> efficiency measures that have been offered </w:t>
      </w:r>
      <w:r>
        <w:t>through</w:t>
      </w:r>
      <w:r w:rsidRPr="00AF3038">
        <w:t xml:space="preserve"> </w:t>
      </w:r>
      <w:r w:rsidR="00045C04">
        <w:t>residential</w:t>
      </w:r>
      <w:r w:rsidR="00045C04" w:rsidRPr="00AF3038">
        <w:t xml:space="preserve"> </w:t>
      </w:r>
      <w:r>
        <w:t xml:space="preserve">sector </w:t>
      </w:r>
      <w:r w:rsidRPr="00AF3038">
        <w:t>programs for more than two years and for which impact evaluation results are not available.</w:t>
      </w:r>
      <w:r w:rsidRPr="00765218">
        <w:t> </w:t>
      </w:r>
    </w:p>
    <w:p w14:paraId="0D1CEED6" w14:textId="63D0F0A0" w:rsidR="00DE1A0F" w:rsidRDefault="00DE1A0F" w:rsidP="0090621B">
      <w:pPr>
        <w:pStyle w:val="Caption"/>
      </w:pPr>
      <w:r>
        <w:t>Net-to-Gross Ratios</w:t>
      </w:r>
    </w:p>
    <w:tbl>
      <w:tblPr>
        <w:tblW w:w="888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190"/>
      </w:tblGrid>
      <w:tr w:rsidR="006B28A2" w:rsidRPr="00052C24" w14:paraId="0B8F7265" w14:textId="77777777" w:rsidTr="006B28A2">
        <w:tc>
          <w:tcPr>
            <w:tcW w:w="2070" w:type="dxa"/>
            <w:shd w:val="clear" w:color="auto" w:fill="F2F2F2" w:themeFill="background1" w:themeFillShade="F2"/>
            <w:vAlign w:val="bottom"/>
          </w:tcPr>
          <w:p w14:paraId="27E4A5FE" w14:textId="77777777" w:rsidR="006B28A2" w:rsidRPr="00052C24" w:rsidRDefault="006B28A2" w:rsidP="00BE7299">
            <w:pPr>
              <w:keepNext/>
              <w:keepLines/>
              <w:spacing w:beforeLines="20" w:before="48" w:afterLines="20" w:after="48" w:line="240" w:lineRule="auto"/>
              <w:jc w:val="center"/>
              <w:rPr>
                <w:b/>
                <w:sz w:val="20"/>
              </w:rPr>
            </w:pPr>
            <w:r>
              <w:rPr>
                <w:b/>
                <w:sz w:val="20"/>
              </w:rPr>
              <w:t>Parameter</w:t>
            </w:r>
          </w:p>
        </w:tc>
        <w:tc>
          <w:tcPr>
            <w:tcW w:w="1620" w:type="dxa"/>
            <w:shd w:val="clear" w:color="auto" w:fill="F2F2F2" w:themeFill="background1" w:themeFillShade="F2"/>
            <w:vAlign w:val="bottom"/>
          </w:tcPr>
          <w:p w14:paraId="09C0C623" w14:textId="27C7CCEB" w:rsidR="006B28A2" w:rsidRPr="00052C24" w:rsidRDefault="006B28A2" w:rsidP="00BE7299">
            <w:pPr>
              <w:keepNext/>
              <w:keepLines/>
              <w:spacing w:beforeLines="20" w:before="48" w:afterLines="20" w:after="48" w:line="240" w:lineRule="auto"/>
              <w:jc w:val="center"/>
              <w:rPr>
                <w:b/>
                <w:sz w:val="20"/>
              </w:rPr>
            </w:pPr>
            <w:r>
              <w:rPr>
                <w:b/>
                <w:sz w:val="20"/>
              </w:rPr>
              <w:t>Value</w:t>
            </w:r>
          </w:p>
        </w:tc>
        <w:tc>
          <w:tcPr>
            <w:tcW w:w="5190" w:type="dxa"/>
            <w:shd w:val="clear" w:color="auto" w:fill="F2F2F2" w:themeFill="background1" w:themeFillShade="F2"/>
            <w:vAlign w:val="bottom"/>
          </w:tcPr>
          <w:p w14:paraId="4EA42E42" w14:textId="77777777" w:rsidR="006B28A2" w:rsidRDefault="006B28A2" w:rsidP="00BE7299">
            <w:pPr>
              <w:keepNext/>
              <w:keepLines/>
              <w:spacing w:beforeLines="20" w:before="48" w:afterLines="20" w:after="48" w:line="240" w:lineRule="auto"/>
              <w:jc w:val="center"/>
              <w:rPr>
                <w:b/>
                <w:sz w:val="20"/>
              </w:rPr>
            </w:pPr>
            <w:r>
              <w:rPr>
                <w:b/>
                <w:sz w:val="20"/>
              </w:rPr>
              <w:t>Source</w:t>
            </w:r>
          </w:p>
        </w:tc>
      </w:tr>
      <w:tr w:rsidR="006B28A2" w:rsidRPr="009062D0" w14:paraId="53AEB245" w14:textId="77777777" w:rsidTr="00E16E6B">
        <w:trPr>
          <w:trHeight w:val="20"/>
        </w:trPr>
        <w:tc>
          <w:tcPr>
            <w:tcW w:w="2070" w:type="dxa"/>
            <w:vAlign w:val="center"/>
          </w:tcPr>
          <w:p w14:paraId="19244D0F" w14:textId="6B8D0DF0" w:rsidR="006B28A2" w:rsidRPr="009062D0" w:rsidRDefault="006B28A2" w:rsidP="00BE7299">
            <w:pPr>
              <w:keepNext/>
              <w:keepLines/>
              <w:spacing w:beforeLines="20" w:before="48" w:afterLines="20" w:after="48" w:line="240" w:lineRule="auto"/>
              <w:rPr>
                <w:sz w:val="20"/>
              </w:rPr>
            </w:pPr>
            <w:r w:rsidRPr="009062D0">
              <w:rPr>
                <w:sz w:val="20"/>
              </w:rPr>
              <w:t xml:space="preserve">NTG </w:t>
            </w:r>
            <w:r w:rsidR="00045C04">
              <w:rPr>
                <w:sz w:val="20"/>
              </w:rPr>
              <w:t>- residential</w:t>
            </w:r>
          </w:p>
        </w:tc>
        <w:tc>
          <w:tcPr>
            <w:tcW w:w="1620" w:type="dxa"/>
            <w:shd w:val="clear" w:color="auto" w:fill="auto"/>
            <w:vAlign w:val="center"/>
          </w:tcPr>
          <w:p w14:paraId="20ACED0D" w14:textId="3FB71D50" w:rsidR="006B28A2" w:rsidRPr="001219B1" w:rsidRDefault="006B28A2" w:rsidP="00BE7299">
            <w:pPr>
              <w:keepNext/>
              <w:keepLines/>
              <w:spacing w:beforeLines="20" w:before="48" w:afterLines="20" w:after="48" w:line="240" w:lineRule="auto"/>
              <w:jc w:val="center"/>
              <w:rPr>
                <w:sz w:val="20"/>
              </w:rPr>
            </w:pPr>
            <w:r w:rsidRPr="001219B1">
              <w:rPr>
                <w:sz w:val="20"/>
                <w:szCs w:val="20"/>
              </w:rPr>
              <w:t>0.</w:t>
            </w:r>
            <w:r w:rsidR="00045C04" w:rsidRPr="001219B1">
              <w:rPr>
                <w:sz w:val="20"/>
                <w:szCs w:val="20"/>
              </w:rPr>
              <w:t>55</w:t>
            </w:r>
          </w:p>
        </w:tc>
        <w:tc>
          <w:tcPr>
            <w:tcW w:w="5190" w:type="dxa"/>
            <w:vAlign w:val="center"/>
          </w:tcPr>
          <w:p w14:paraId="44BAF751" w14:textId="09A157F3" w:rsidR="006B28A2" w:rsidRPr="00466C27" w:rsidRDefault="00612370" w:rsidP="00BE7299">
            <w:pPr>
              <w:spacing w:beforeLines="20" w:before="48" w:afterLines="20" w:after="48" w:line="240" w:lineRule="auto"/>
              <w:rPr>
                <w:rFonts w:eastAsia="Times New Roman" w:cs="Times New Roman"/>
                <w:color w:val="000000"/>
                <w:sz w:val="18"/>
                <w:szCs w:val="18"/>
                <w:highlight w:val="yellow"/>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1FFF2DBA" w14:textId="77777777" w:rsidR="008607C0" w:rsidRPr="00CC67A9" w:rsidRDefault="008607C0" w:rsidP="00CC67A9"/>
    <w:p w14:paraId="323B5B02" w14:textId="4C4B13DC" w:rsidR="007D230B" w:rsidRPr="004B06E3" w:rsidRDefault="00D02C36" w:rsidP="000F1A47">
      <w:pPr>
        <w:pStyle w:val="eTRMHeading3"/>
      </w:pPr>
      <w:bookmarkStart w:id="73" w:name="_Toc486490864"/>
      <w:bookmarkStart w:id="74" w:name="_Toc486580935"/>
      <w:bookmarkStart w:id="75" w:name="_Toc2074032"/>
      <w:r>
        <w:t>Gross Savings Installation Adjustment (</w:t>
      </w:r>
      <w:r w:rsidR="007D230B" w:rsidRPr="004B06E3">
        <w:t>GSIA</w:t>
      </w:r>
      <w:bookmarkEnd w:id="73"/>
      <w:bookmarkEnd w:id="74"/>
      <w:r>
        <w:t>)</w:t>
      </w:r>
      <w:bookmarkEnd w:id="75"/>
    </w:p>
    <w:p w14:paraId="1FCA48A5" w14:textId="362081AF" w:rsidR="00975B91" w:rsidRDefault="00975B91" w:rsidP="00975B91">
      <w:bookmarkStart w:id="76" w:name="_Ref48902390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plication, and delivery method. This GSIA rate is the current “default” rate specified for measures for which an alternative GSIA has not been estimated and approved.</w:t>
      </w:r>
    </w:p>
    <w:p w14:paraId="2E5192F2" w14:textId="181BDD29" w:rsidR="00975B91" w:rsidRPr="0059426D" w:rsidRDefault="00975B91" w:rsidP="0090621B">
      <w:pPr>
        <w:pStyle w:val="Caption"/>
      </w:pPr>
      <w:r>
        <w:lastRenderedPageBreak/>
        <w:t>Gross Savings Installation Adjustment Rates</w:t>
      </w:r>
    </w:p>
    <w:tbl>
      <w:tblPr>
        <w:tblW w:w="888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190"/>
      </w:tblGrid>
      <w:tr w:rsidR="00CD5D79" w:rsidRPr="00052C24" w14:paraId="0D293D27" w14:textId="77777777" w:rsidTr="00CD5D79">
        <w:tc>
          <w:tcPr>
            <w:tcW w:w="2070" w:type="dxa"/>
            <w:shd w:val="clear" w:color="auto" w:fill="F2F2F2" w:themeFill="background1" w:themeFillShade="F2"/>
            <w:vAlign w:val="bottom"/>
          </w:tcPr>
          <w:p w14:paraId="0A7F1FD0" w14:textId="77777777" w:rsidR="00CD5D79" w:rsidRPr="00052C24" w:rsidRDefault="00CD5D79" w:rsidP="00975B91">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49F4367E" w14:textId="7500B1FA" w:rsidR="00CD5D79" w:rsidRPr="00052C24" w:rsidRDefault="00CD5D79" w:rsidP="00975B91">
            <w:pPr>
              <w:keepNext/>
              <w:keepLines/>
              <w:spacing w:before="0" w:after="0" w:line="200" w:lineRule="atLeast"/>
              <w:jc w:val="center"/>
              <w:rPr>
                <w:b/>
                <w:sz w:val="20"/>
              </w:rPr>
            </w:pPr>
            <w:r>
              <w:rPr>
                <w:b/>
                <w:sz w:val="20"/>
              </w:rPr>
              <w:t>Value</w:t>
            </w:r>
          </w:p>
        </w:tc>
        <w:tc>
          <w:tcPr>
            <w:tcW w:w="5190" w:type="dxa"/>
            <w:shd w:val="clear" w:color="auto" w:fill="F2F2F2" w:themeFill="background1" w:themeFillShade="F2"/>
            <w:vAlign w:val="bottom"/>
          </w:tcPr>
          <w:p w14:paraId="543194E0" w14:textId="77777777" w:rsidR="00CD5D79" w:rsidRDefault="00CD5D79" w:rsidP="00975B91">
            <w:pPr>
              <w:keepNext/>
              <w:keepLines/>
              <w:spacing w:before="0" w:after="0" w:line="200" w:lineRule="atLeast"/>
              <w:jc w:val="center"/>
              <w:rPr>
                <w:b/>
                <w:sz w:val="20"/>
              </w:rPr>
            </w:pPr>
            <w:r>
              <w:rPr>
                <w:b/>
                <w:sz w:val="20"/>
              </w:rPr>
              <w:t>Source</w:t>
            </w:r>
          </w:p>
        </w:tc>
      </w:tr>
      <w:tr w:rsidR="00CD5D79" w:rsidRPr="009062D0" w14:paraId="774D03AF" w14:textId="77777777" w:rsidTr="00CD5D79">
        <w:trPr>
          <w:trHeight w:val="260"/>
        </w:trPr>
        <w:tc>
          <w:tcPr>
            <w:tcW w:w="2070" w:type="dxa"/>
            <w:vAlign w:val="center"/>
          </w:tcPr>
          <w:p w14:paraId="021BCA9A" w14:textId="77777777" w:rsidR="00CD5D79" w:rsidRPr="009062D0" w:rsidRDefault="00CD5D79" w:rsidP="00975B91">
            <w:pPr>
              <w:keepNext/>
              <w:keepLines/>
              <w:spacing w:before="0" w:after="0" w:line="200" w:lineRule="atLeast"/>
              <w:rPr>
                <w:sz w:val="20"/>
              </w:rPr>
            </w:pPr>
            <w:r>
              <w:rPr>
                <w:sz w:val="20"/>
              </w:rPr>
              <w:t>GSIA</w:t>
            </w:r>
          </w:p>
        </w:tc>
        <w:tc>
          <w:tcPr>
            <w:tcW w:w="1620" w:type="dxa"/>
            <w:shd w:val="clear" w:color="auto" w:fill="auto"/>
            <w:vAlign w:val="center"/>
          </w:tcPr>
          <w:p w14:paraId="7F3829B8" w14:textId="77777777" w:rsidR="00CD5D79" w:rsidRPr="001219B1" w:rsidRDefault="00CD5D79" w:rsidP="00975B91">
            <w:pPr>
              <w:keepNext/>
              <w:keepLines/>
              <w:spacing w:before="0" w:after="0" w:line="200" w:lineRule="atLeast"/>
              <w:jc w:val="center"/>
              <w:rPr>
                <w:sz w:val="20"/>
              </w:rPr>
            </w:pPr>
            <w:r w:rsidRPr="001219B1">
              <w:rPr>
                <w:sz w:val="20"/>
                <w:szCs w:val="20"/>
              </w:rPr>
              <w:t>1.0</w:t>
            </w:r>
          </w:p>
        </w:tc>
        <w:tc>
          <w:tcPr>
            <w:tcW w:w="5190" w:type="dxa"/>
            <w:vAlign w:val="center"/>
          </w:tcPr>
          <w:p w14:paraId="6C2F8D4F" w14:textId="77777777" w:rsidR="00CD5D79" w:rsidRPr="009062D0" w:rsidRDefault="00CD5D79" w:rsidP="00975B91">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609357AB" w14:textId="77777777" w:rsidR="00975B91" w:rsidRDefault="00975B91" w:rsidP="00975B91">
      <w:pPr>
        <w:rPr>
          <w:rFonts w:cs="Arial"/>
          <w:sz w:val="20"/>
          <w:szCs w:val="20"/>
        </w:rPr>
      </w:pPr>
    </w:p>
    <w:p w14:paraId="498C05E5" w14:textId="0054A6D4" w:rsidR="002C67DF" w:rsidRPr="004B06E3" w:rsidRDefault="002C67DF" w:rsidP="000F1A47">
      <w:pPr>
        <w:pStyle w:val="eTRMHeading3"/>
      </w:pPr>
      <w:bookmarkStart w:id="77" w:name="_Toc486490865"/>
      <w:bookmarkStart w:id="78" w:name="_Toc486580936"/>
      <w:bookmarkStart w:id="79" w:name="_Toc2074033"/>
      <w:bookmarkEnd w:id="76"/>
      <w:r w:rsidRPr="004B06E3">
        <w:t xml:space="preserve">Non-Energy </w:t>
      </w:r>
      <w:bookmarkEnd w:id="77"/>
      <w:bookmarkEnd w:id="78"/>
      <w:r w:rsidR="00975B91">
        <w:t>Impacts</w:t>
      </w:r>
      <w:bookmarkEnd w:id="79"/>
    </w:p>
    <w:p w14:paraId="01E07C41" w14:textId="77777777" w:rsidR="00975B91" w:rsidRDefault="00975B91" w:rsidP="00975B91">
      <w:r>
        <w:t>Non-energy impacts for this measure have not been quantified.</w:t>
      </w:r>
    </w:p>
    <w:p w14:paraId="1035BD07" w14:textId="77777777" w:rsidR="009C31A4" w:rsidRPr="004B06E3" w:rsidRDefault="009C31A4" w:rsidP="004142EF"/>
    <w:p w14:paraId="7D8551BB" w14:textId="760F7D39" w:rsidR="009C31A4" w:rsidRPr="004B06E3" w:rsidRDefault="009C31A4" w:rsidP="000F1A47">
      <w:pPr>
        <w:pStyle w:val="eTRMHeading3"/>
      </w:pPr>
      <w:bookmarkStart w:id="80" w:name="_Toc2074034"/>
      <w:r>
        <w:t>DEER Differences Analysis</w:t>
      </w:r>
      <w:bookmarkEnd w:id="80"/>
    </w:p>
    <w:p w14:paraId="7E9E16DF" w14:textId="0207309D" w:rsidR="00E16E6B" w:rsidRPr="001E3A20" w:rsidRDefault="00376715" w:rsidP="00171CCA">
      <w:r>
        <w:t>This section provides a summary of DEER-based inputs and methods, and the rationale for inputs and methods that are not DEER-based.</w:t>
      </w:r>
      <w:r w:rsidR="00171CCA">
        <w:t xml:space="preserve"> </w:t>
      </w:r>
    </w:p>
    <w:p w14:paraId="756C62FB" w14:textId="0000256C" w:rsidR="00EA057C" w:rsidRPr="00920905" w:rsidRDefault="00EA057C" w:rsidP="0090621B">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1219B1" w:rsidRPr="001219B1" w14:paraId="59D017C8" w14:textId="77777777" w:rsidTr="001219B1">
        <w:trPr>
          <w:trHeight w:val="20"/>
          <w:tblHeader/>
        </w:trPr>
        <w:tc>
          <w:tcPr>
            <w:tcW w:w="1730" w:type="pct"/>
            <w:shd w:val="clear" w:color="auto" w:fill="F2F2F2" w:themeFill="background1" w:themeFillShade="F2"/>
          </w:tcPr>
          <w:p w14:paraId="5A1E2CE5" w14:textId="77777777" w:rsidR="00EA057C" w:rsidRPr="001219B1" w:rsidRDefault="00EA057C" w:rsidP="001219B1">
            <w:pPr>
              <w:tabs>
                <w:tab w:val="right" w:pos="2957"/>
              </w:tabs>
              <w:spacing w:before="20" w:after="20"/>
              <w:rPr>
                <w:rFonts w:cs="Arial"/>
                <w:b/>
                <w:sz w:val="20"/>
                <w:szCs w:val="20"/>
              </w:rPr>
            </w:pPr>
            <w:r w:rsidRPr="001219B1">
              <w:rPr>
                <w:rFonts w:cs="Arial"/>
                <w:b/>
                <w:sz w:val="20"/>
                <w:szCs w:val="20"/>
              </w:rPr>
              <w:t>DEER Item</w:t>
            </w:r>
          </w:p>
        </w:tc>
        <w:tc>
          <w:tcPr>
            <w:tcW w:w="3270" w:type="pct"/>
            <w:shd w:val="clear" w:color="auto" w:fill="F2F2F2" w:themeFill="background1" w:themeFillShade="F2"/>
          </w:tcPr>
          <w:p w14:paraId="52AD34D1" w14:textId="0CFF441B" w:rsidR="00EA057C" w:rsidRPr="001219B1" w:rsidRDefault="00EA057C" w:rsidP="001219B1">
            <w:pPr>
              <w:spacing w:before="20" w:after="20"/>
              <w:rPr>
                <w:rFonts w:cs="Arial"/>
                <w:b/>
                <w:sz w:val="20"/>
                <w:szCs w:val="20"/>
              </w:rPr>
            </w:pPr>
            <w:r w:rsidRPr="001219B1">
              <w:rPr>
                <w:rFonts w:cs="Arial"/>
                <w:b/>
                <w:sz w:val="20"/>
                <w:szCs w:val="20"/>
              </w:rPr>
              <w:t>Comment / Used for Workpaper</w:t>
            </w:r>
          </w:p>
        </w:tc>
      </w:tr>
      <w:tr w:rsidR="00EA057C" w:rsidRPr="001219B1" w14:paraId="33003020" w14:textId="77777777" w:rsidTr="00EA057C">
        <w:trPr>
          <w:trHeight w:val="20"/>
        </w:trPr>
        <w:tc>
          <w:tcPr>
            <w:tcW w:w="1730" w:type="pct"/>
          </w:tcPr>
          <w:p w14:paraId="1F2D360A" w14:textId="77777777" w:rsidR="00EA057C" w:rsidRPr="001219B1" w:rsidRDefault="00EA057C" w:rsidP="001219B1">
            <w:pPr>
              <w:spacing w:before="20" w:after="20"/>
              <w:rPr>
                <w:rFonts w:cs="Arial"/>
                <w:sz w:val="20"/>
                <w:szCs w:val="20"/>
              </w:rPr>
            </w:pPr>
            <w:r w:rsidRPr="001219B1">
              <w:rPr>
                <w:rFonts w:cs="Arial"/>
                <w:sz w:val="20"/>
                <w:szCs w:val="20"/>
              </w:rPr>
              <w:t>Modified DEER methodology</w:t>
            </w:r>
          </w:p>
        </w:tc>
        <w:tc>
          <w:tcPr>
            <w:tcW w:w="3270" w:type="pct"/>
          </w:tcPr>
          <w:p w14:paraId="247EE411" w14:textId="60838694" w:rsidR="00EA057C" w:rsidRPr="001219B1" w:rsidRDefault="00EA057C" w:rsidP="001219B1">
            <w:pPr>
              <w:spacing w:before="20" w:after="20"/>
              <w:rPr>
                <w:rFonts w:cs="Arial"/>
                <w:b/>
                <w:sz w:val="20"/>
                <w:szCs w:val="20"/>
              </w:rPr>
            </w:pPr>
          </w:p>
        </w:tc>
      </w:tr>
      <w:tr w:rsidR="00EA057C" w:rsidRPr="001219B1" w14:paraId="507422EA" w14:textId="77777777" w:rsidTr="00EA057C">
        <w:trPr>
          <w:trHeight w:val="20"/>
        </w:trPr>
        <w:tc>
          <w:tcPr>
            <w:tcW w:w="1730" w:type="pct"/>
          </w:tcPr>
          <w:p w14:paraId="29430E33" w14:textId="77777777" w:rsidR="00EA057C" w:rsidRPr="001219B1" w:rsidRDefault="00EA057C" w:rsidP="001219B1">
            <w:pPr>
              <w:spacing w:before="20" w:after="20"/>
              <w:rPr>
                <w:rFonts w:cs="Arial"/>
                <w:sz w:val="20"/>
                <w:szCs w:val="20"/>
              </w:rPr>
            </w:pPr>
            <w:r w:rsidRPr="001219B1">
              <w:rPr>
                <w:rFonts w:cs="Arial"/>
                <w:sz w:val="20"/>
                <w:szCs w:val="20"/>
              </w:rPr>
              <w:t>Scaled DEER measure</w:t>
            </w:r>
          </w:p>
        </w:tc>
        <w:tc>
          <w:tcPr>
            <w:tcW w:w="3270" w:type="pct"/>
          </w:tcPr>
          <w:p w14:paraId="0C847473" w14:textId="30CEC412" w:rsidR="00EA057C" w:rsidRPr="001219B1" w:rsidRDefault="00EA057C" w:rsidP="001219B1">
            <w:pPr>
              <w:spacing w:before="20" w:after="20"/>
              <w:rPr>
                <w:rFonts w:cs="Arial"/>
                <w:sz w:val="20"/>
                <w:szCs w:val="20"/>
              </w:rPr>
            </w:pPr>
          </w:p>
        </w:tc>
      </w:tr>
      <w:tr w:rsidR="00EA057C" w:rsidRPr="001219B1" w14:paraId="335CDE40" w14:textId="77777777" w:rsidTr="00EA057C">
        <w:trPr>
          <w:trHeight w:val="20"/>
        </w:trPr>
        <w:tc>
          <w:tcPr>
            <w:tcW w:w="1730" w:type="pct"/>
          </w:tcPr>
          <w:p w14:paraId="126C3B42" w14:textId="77777777" w:rsidR="00EA057C" w:rsidRPr="001219B1" w:rsidRDefault="00EA057C" w:rsidP="001219B1">
            <w:pPr>
              <w:spacing w:before="20" w:after="20"/>
              <w:rPr>
                <w:rFonts w:cs="Arial"/>
                <w:sz w:val="20"/>
                <w:szCs w:val="20"/>
              </w:rPr>
            </w:pPr>
            <w:r w:rsidRPr="001219B1">
              <w:rPr>
                <w:rFonts w:cs="Arial"/>
                <w:sz w:val="20"/>
                <w:szCs w:val="20"/>
              </w:rPr>
              <w:t>DEER Base Case</w:t>
            </w:r>
          </w:p>
        </w:tc>
        <w:tc>
          <w:tcPr>
            <w:tcW w:w="3270" w:type="pct"/>
          </w:tcPr>
          <w:p w14:paraId="5D2A1B0E" w14:textId="0744AB07" w:rsidR="00EA057C" w:rsidRPr="001219B1" w:rsidRDefault="00EA057C" w:rsidP="001219B1">
            <w:pPr>
              <w:spacing w:before="20" w:after="20"/>
              <w:rPr>
                <w:rFonts w:cs="Arial"/>
                <w:sz w:val="20"/>
                <w:szCs w:val="20"/>
              </w:rPr>
            </w:pPr>
          </w:p>
        </w:tc>
      </w:tr>
      <w:tr w:rsidR="00EA057C" w:rsidRPr="001219B1" w14:paraId="1F8399E1" w14:textId="77777777" w:rsidTr="00EA057C">
        <w:trPr>
          <w:trHeight w:val="20"/>
        </w:trPr>
        <w:tc>
          <w:tcPr>
            <w:tcW w:w="1730" w:type="pct"/>
          </w:tcPr>
          <w:p w14:paraId="0CC701E3" w14:textId="77777777" w:rsidR="00EA057C" w:rsidRPr="001219B1" w:rsidRDefault="00EA057C" w:rsidP="001219B1">
            <w:pPr>
              <w:spacing w:before="20" w:after="20"/>
              <w:rPr>
                <w:rFonts w:cs="Arial"/>
                <w:sz w:val="20"/>
                <w:szCs w:val="20"/>
              </w:rPr>
            </w:pPr>
            <w:r w:rsidRPr="001219B1">
              <w:rPr>
                <w:rFonts w:cs="Arial"/>
                <w:sz w:val="20"/>
                <w:szCs w:val="20"/>
              </w:rPr>
              <w:t>DEER Measure Case</w:t>
            </w:r>
          </w:p>
        </w:tc>
        <w:tc>
          <w:tcPr>
            <w:tcW w:w="3270" w:type="pct"/>
          </w:tcPr>
          <w:p w14:paraId="49A023A0" w14:textId="7061DFC4" w:rsidR="00EA057C" w:rsidRPr="001219B1" w:rsidRDefault="00EA057C" w:rsidP="001219B1">
            <w:pPr>
              <w:spacing w:before="20" w:after="20"/>
              <w:rPr>
                <w:rFonts w:cs="Arial"/>
                <w:sz w:val="20"/>
                <w:szCs w:val="20"/>
              </w:rPr>
            </w:pPr>
          </w:p>
        </w:tc>
      </w:tr>
      <w:tr w:rsidR="00EA057C" w:rsidRPr="001219B1" w14:paraId="663742C6" w14:textId="77777777" w:rsidTr="00EA057C">
        <w:trPr>
          <w:trHeight w:val="20"/>
        </w:trPr>
        <w:tc>
          <w:tcPr>
            <w:tcW w:w="1730" w:type="pct"/>
          </w:tcPr>
          <w:p w14:paraId="16B2FDAB" w14:textId="77777777" w:rsidR="00EA057C" w:rsidRPr="001219B1" w:rsidRDefault="00EA057C" w:rsidP="001219B1">
            <w:pPr>
              <w:spacing w:before="20" w:after="20"/>
              <w:rPr>
                <w:rFonts w:cs="Arial"/>
                <w:sz w:val="20"/>
                <w:szCs w:val="20"/>
              </w:rPr>
            </w:pPr>
            <w:r w:rsidRPr="001219B1">
              <w:rPr>
                <w:rFonts w:cs="Arial"/>
                <w:sz w:val="20"/>
                <w:szCs w:val="20"/>
              </w:rPr>
              <w:t>DEER Building Types</w:t>
            </w:r>
          </w:p>
        </w:tc>
        <w:tc>
          <w:tcPr>
            <w:tcW w:w="3270" w:type="pct"/>
          </w:tcPr>
          <w:p w14:paraId="6BBA540C" w14:textId="75D25331" w:rsidR="00EA057C" w:rsidRPr="001219B1" w:rsidRDefault="00EA057C" w:rsidP="001219B1">
            <w:pPr>
              <w:spacing w:before="20" w:after="20"/>
              <w:rPr>
                <w:rFonts w:cs="Arial"/>
                <w:sz w:val="20"/>
                <w:szCs w:val="20"/>
              </w:rPr>
            </w:pPr>
          </w:p>
        </w:tc>
      </w:tr>
      <w:tr w:rsidR="00EA057C" w:rsidRPr="001219B1" w14:paraId="424F1325" w14:textId="77777777" w:rsidTr="00EA057C">
        <w:trPr>
          <w:trHeight w:val="20"/>
        </w:trPr>
        <w:tc>
          <w:tcPr>
            <w:tcW w:w="1730" w:type="pct"/>
          </w:tcPr>
          <w:p w14:paraId="71098DDA" w14:textId="77777777" w:rsidR="00EA057C" w:rsidRPr="001219B1" w:rsidRDefault="00EA057C" w:rsidP="001219B1">
            <w:pPr>
              <w:spacing w:before="20" w:after="20"/>
              <w:rPr>
                <w:rFonts w:cs="Arial"/>
                <w:sz w:val="20"/>
                <w:szCs w:val="20"/>
              </w:rPr>
            </w:pPr>
            <w:r w:rsidRPr="001219B1">
              <w:rPr>
                <w:rFonts w:cs="Arial"/>
                <w:sz w:val="20"/>
                <w:szCs w:val="20"/>
              </w:rPr>
              <w:t>DEER Operating Hours</w:t>
            </w:r>
          </w:p>
        </w:tc>
        <w:tc>
          <w:tcPr>
            <w:tcW w:w="3270" w:type="pct"/>
          </w:tcPr>
          <w:p w14:paraId="1693E1EE" w14:textId="20CE7BB5" w:rsidR="00EA057C" w:rsidRPr="001219B1" w:rsidRDefault="00EA057C" w:rsidP="001219B1">
            <w:pPr>
              <w:spacing w:before="20" w:after="20"/>
              <w:rPr>
                <w:rFonts w:cs="Arial"/>
                <w:sz w:val="20"/>
                <w:szCs w:val="20"/>
              </w:rPr>
            </w:pPr>
          </w:p>
        </w:tc>
      </w:tr>
      <w:tr w:rsidR="00EA057C" w:rsidRPr="001219B1" w14:paraId="0B93AD47" w14:textId="77777777" w:rsidTr="00EA057C">
        <w:trPr>
          <w:trHeight w:val="20"/>
        </w:trPr>
        <w:tc>
          <w:tcPr>
            <w:tcW w:w="1730" w:type="pct"/>
          </w:tcPr>
          <w:p w14:paraId="6E9E484F" w14:textId="77777777" w:rsidR="00EA057C" w:rsidRPr="001219B1" w:rsidRDefault="00EA057C" w:rsidP="001219B1">
            <w:pPr>
              <w:spacing w:before="20" w:after="20"/>
              <w:rPr>
                <w:rFonts w:cs="Arial"/>
                <w:sz w:val="20"/>
                <w:szCs w:val="20"/>
              </w:rPr>
            </w:pPr>
            <w:r w:rsidRPr="001219B1">
              <w:rPr>
                <w:rFonts w:cs="Arial"/>
                <w:sz w:val="20"/>
                <w:szCs w:val="20"/>
              </w:rPr>
              <w:t xml:space="preserve">DEER </w:t>
            </w:r>
            <w:proofErr w:type="spellStart"/>
            <w:r w:rsidRPr="001219B1">
              <w:rPr>
                <w:rFonts w:cs="Arial"/>
                <w:sz w:val="20"/>
                <w:szCs w:val="20"/>
              </w:rPr>
              <w:t>eQUEST</w:t>
            </w:r>
            <w:proofErr w:type="spellEnd"/>
            <w:r w:rsidRPr="001219B1">
              <w:rPr>
                <w:rFonts w:cs="Arial"/>
                <w:sz w:val="20"/>
                <w:szCs w:val="20"/>
              </w:rPr>
              <w:t xml:space="preserve"> Prototypes</w:t>
            </w:r>
          </w:p>
        </w:tc>
        <w:tc>
          <w:tcPr>
            <w:tcW w:w="3270" w:type="pct"/>
          </w:tcPr>
          <w:p w14:paraId="4948DEAF" w14:textId="2C6CA0CD" w:rsidR="00EA057C" w:rsidRPr="001219B1" w:rsidDel="00505CEC" w:rsidRDefault="00EA057C" w:rsidP="001219B1">
            <w:pPr>
              <w:spacing w:before="20" w:after="20"/>
              <w:rPr>
                <w:rFonts w:cs="Arial"/>
                <w:sz w:val="20"/>
                <w:szCs w:val="20"/>
              </w:rPr>
            </w:pPr>
          </w:p>
        </w:tc>
      </w:tr>
      <w:tr w:rsidR="00EA057C" w:rsidRPr="001219B1" w14:paraId="2CFDE9D3" w14:textId="77777777" w:rsidTr="00EA057C">
        <w:trPr>
          <w:trHeight w:val="180"/>
        </w:trPr>
        <w:tc>
          <w:tcPr>
            <w:tcW w:w="1730" w:type="pct"/>
          </w:tcPr>
          <w:p w14:paraId="3B6B3E22" w14:textId="77777777" w:rsidR="00EA057C" w:rsidRPr="001219B1" w:rsidRDefault="00EA057C" w:rsidP="001219B1">
            <w:pPr>
              <w:spacing w:before="20" w:after="20"/>
              <w:rPr>
                <w:rFonts w:cs="Arial"/>
                <w:sz w:val="20"/>
                <w:szCs w:val="20"/>
              </w:rPr>
            </w:pPr>
            <w:r w:rsidRPr="001219B1">
              <w:rPr>
                <w:rFonts w:cs="Arial"/>
                <w:sz w:val="20"/>
                <w:szCs w:val="20"/>
              </w:rPr>
              <w:t>DEER Version</w:t>
            </w:r>
          </w:p>
        </w:tc>
        <w:tc>
          <w:tcPr>
            <w:tcW w:w="3270" w:type="pct"/>
          </w:tcPr>
          <w:p w14:paraId="1C3B60D1" w14:textId="5E61AE57" w:rsidR="00EA057C" w:rsidRPr="001219B1" w:rsidRDefault="00EA057C" w:rsidP="001219B1">
            <w:pPr>
              <w:spacing w:before="20" w:after="20"/>
              <w:rPr>
                <w:rFonts w:cs="Arial"/>
                <w:sz w:val="20"/>
                <w:szCs w:val="20"/>
              </w:rPr>
            </w:pPr>
          </w:p>
        </w:tc>
      </w:tr>
      <w:tr w:rsidR="00EA057C" w:rsidRPr="001219B1" w14:paraId="3B7464D7" w14:textId="77777777" w:rsidTr="00EA057C">
        <w:trPr>
          <w:trHeight w:val="20"/>
        </w:trPr>
        <w:tc>
          <w:tcPr>
            <w:tcW w:w="1730" w:type="pct"/>
          </w:tcPr>
          <w:p w14:paraId="24000A76" w14:textId="77777777" w:rsidR="00EA057C" w:rsidRPr="001219B1" w:rsidRDefault="00EA057C" w:rsidP="001219B1">
            <w:pPr>
              <w:spacing w:before="20" w:after="20"/>
              <w:rPr>
                <w:rFonts w:cs="Arial"/>
                <w:sz w:val="20"/>
                <w:szCs w:val="20"/>
              </w:rPr>
            </w:pPr>
            <w:r w:rsidRPr="001219B1">
              <w:rPr>
                <w:rFonts w:cs="Arial"/>
                <w:sz w:val="20"/>
                <w:szCs w:val="20"/>
              </w:rPr>
              <w:t>Reason for Deviation from DEER</w:t>
            </w:r>
          </w:p>
        </w:tc>
        <w:tc>
          <w:tcPr>
            <w:tcW w:w="3270" w:type="pct"/>
          </w:tcPr>
          <w:p w14:paraId="125AAB90" w14:textId="646A1F96" w:rsidR="00EA057C" w:rsidRPr="001219B1" w:rsidRDefault="00EA057C" w:rsidP="001219B1">
            <w:pPr>
              <w:spacing w:before="20" w:after="20"/>
              <w:rPr>
                <w:rFonts w:cs="Arial"/>
                <w:sz w:val="20"/>
                <w:szCs w:val="20"/>
              </w:rPr>
            </w:pPr>
          </w:p>
        </w:tc>
      </w:tr>
      <w:tr w:rsidR="00EA057C" w:rsidRPr="001219B1" w14:paraId="4A7EE859" w14:textId="77777777" w:rsidTr="00EA057C">
        <w:trPr>
          <w:trHeight w:val="20"/>
        </w:trPr>
        <w:tc>
          <w:tcPr>
            <w:tcW w:w="1730" w:type="pct"/>
          </w:tcPr>
          <w:p w14:paraId="7B4D686A" w14:textId="77777777" w:rsidR="00EA057C" w:rsidRPr="001219B1" w:rsidRDefault="00EA057C" w:rsidP="001219B1">
            <w:pPr>
              <w:spacing w:before="20" w:after="20"/>
              <w:rPr>
                <w:rFonts w:cs="Arial"/>
                <w:sz w:val="20"/>
                <w:szCs w:val="20"/>
              </w:rPr>
            </w:pPr>
            <w:r w:rsidRPr="001219B1">
              <w:rPr>
                <w:rFonts w:cs="Arial"/>
                <w:sz w:val="20"/>
                <w:szCs w:val="20"/>
              </w:rPr>
              <w:t>DEER Measure IDs Used</w:t>
            </w:r>
          </w:p>
        </w:tc>
        <w:tc>
          <w:tcPr>
            <w:tcW w:w="3270" w:type="pct"/>
          </w:tcPr>
          <w:p w14:paraId="63ABA251" w14:textId="37E47F20" w:rsidR="00EA057C" w:rsidRPr="001219B1" w:rsidRDefault="00EA057C" w:rsidP="001219B1">
            <w:pPr>
              <w:spacing w:before="20" w:after="20"/>
              <w:rPr>
                <w:rFonts w:cs="Arial"/>
                <w:sz w:val="20"/>
                <w:szCs w:val="20"/>
              </w:rPr>
            </w:pPr>
          </w:p>
        </w:tc>
      </w:tr>
      <w:tr w:rsidR="00EA057C" w:rsidRPr="001219B1" w14:paraId="5A83EC74" w14:textId="77777777" w:rsidTr="00EA057C">
        <w:trPr>
          <w:trHeight w:val="20"/>
        </w:trPr>
        <w:tc>
          <w:tcPr>
            <w:tcW w:w="1730" w:type="pct"/>
          </w:tcPr>
          <w:p w14:paraId="2C82A9E0" w14:textId="121308D7" w:rsidR="00EA057C" w:rsidRPr="001219B1" w:rsidRDefault="00EA057C" w:rsidP="001219B1">
            <w:pPr>
              <w:spacing w:before="20" w:after="20"/>
              <w:rPr>
                <w:rFonts w:cs="Arial"/>
                <w:sz w:val="20"/>
                <w:szCs w:val="20"/>
              </w:rPr>
            </w:pPr>
            <w:r w:rsidRPr="001219B1">
              <w:rPr>
                <w:rFonts w:cs="Arial"/>
                <w:sz w:val="20"/>
                <w:szCs w:val="20"/>
              </w:rPr>
              <w:t>NTG</w:t>
            </w:r>
          </w:p>
        </w:tc>
        <w:tc>
          <w:tcPr>
            <w:tcW w:w="3270" w:type="pct"/>
          </w:tcPr>
          <w:p w14:paraId="2BBBB10C" w14:textId="2DA721F7" w:rsidR="00EA057C" w:rsidRPr="001219B1" w:rsidRDefault="00466C27" w:rsidP="001219B1">
            <w:pPr>
              <w:spacing w:before="20" w:after="20"/>
              <w:rPr>
                <w:rFonts w:cs="Arial"/>
                <w:sz w:val="20"/>
                <w:szCs w:val="20"/>
              </w:rPr>
            </w:pPr>
            <w:r w:rsidRPr="001219B1">
              <w:rPr>
                <w:sz w:val="20"/>
                <w:szCs w:val="20"/>
              </w:rPr>
              <w:t xml:space="preserve">Source: </w:t>
            </w:r>
            <w:r w:rsidR="008607C0" w:rsidRPr="001219B1">
              <w:rPr>
                <w:sz w:val="20"/>
                <w:szCs w:val="20"/>
              </w:rPr>
              <w:t>DEER2014</w:t>
            </w:r>
            <w:r w:rsidR="00FB79C4" w:rsidRPr="001219B1">
              <w:rPr>
                <w:sz w:val="20"/>
                <w:szCs w:val="20"/>
              </w:rPr>
              <w:t>. NTG of 0.</w:t>
            </w:r>
            <w:r w:rsidR="006B6CE1" w:rsidRPr="001219B1">
              <w:rPr>
                <w:sz w:val="20"/>
                <w:szCs w:val="20"/>
              </w:rPr>
              <w:t xml:space="preserve">55 </w:t>
            </w:r>
            <w:r w:rsidRPr="001219B1">
              <w:rPr>
                <w:sz w:val="20"/>
                <w:szCs w:val="20"/>
              </w:rPr>
              <w:t xml:space="preserve">is associate with NTG ID: </w:t>
            </w:r>
            <w:r w:rsidR="006B6CE1" w:rsidRPr="001219B1">
              <w:rPr>
                <w:sz w:val="20"/>
                <w:szCs w:val="20"/>
              </w:rPr>
              <w:t>Res</w:t>
            </w:r>
            <w:r w:rsidRPr="001219B1">
              <w:rPr>
                <w:i/>
                <w:sz w:val="20"/>
                <w:szCs w:val="20"/>
              </w:rPr>
              <w:t>-Default&gt;2</w:t>
            </w:r>
            <w:r w:rsidR="006B6CE1" w:rsidRPr="001219B1">
              <w:rPr>
                <w:i/>
                <w:sz w:val="20"/>
                <w:szCs w:val="20"/>
              </w:rPr>
              <w:t>yrs</w:t>
            </w:r>
            <w:r w:rsidRPr="001219B1">
              <w:rPr>
                <w:i/>
                <w:sz w:val="20"/>
                <w:szCs w:val="20"/>
              </w:rPr>
              <w:t xml:space="preserve">. </w:t>
            </w:r>
          </w:p>
        </w:tc>
      </w:tr>
      <w:tr w:rsidR="00EA057C" w:rsidRPr="001219B1" w14:paraId="131D1F9D" w14:textId="77777777" w:rsidTr="00EA057C">
        <w:trPr>
          <w:trHeight w:val="20"/>
        </w:trPr>
        <w:tc>
          <w:tcPr>
            <w:tcW w:w="1730" w:type="pct"/>
          </w:tcPr>
          <w:p w14:paraId="45FFA983" w14:textId="5F527A83" w:rsidR="00EA057C" w:rsidRPr="001219B1" w:rsidRDefault="00EA057C" w:rsidP="001219B1">
            <w:pPr>
              <w:spacing w:before="20" w:after="20"/>
              <w:rPr>
                <w:rFonts w:cs="Arial"/>
                <w:sz w:val="20"/>
                <w:szCs w:val="20"/>
              </w:rPr>
            </w:pPr>
            <w:r w:rsidRPr="001219B1">
              <w:rPr>
                <w:rFonts w:cs="Arial"/>
                <w:sz w:val="20"/>
                <w:szCs w:val="20"/>
              </w:rPr>
              <w:t>GSIA</w:t>
            </w:r>
          </w:p>
        </w:tc>
        <w:tc>
          <w:tcPr>
            <w:tcW w:w="3270" w:type="pct"/>
          </w:tcPr>
          <w:p w14:paraId="7C16D603" w14:textId="73EE10E0" w:rsidR="00EA057C" w:rsidRPr="001219B1" w:rsidRDefault="002C4CA2" w:rsidP="001219B1">
            <w:pPr>
              <w:spacing w:before="20" w:after="20"/>
              <w:rPr>
                <w:rFonts w:cs="Arial"/>
                <w:sz w:val="20"/>
                <w:szCs w:val="20"/>
              </w:rPr>
            </w:pPr>
            <w:r w:rsidRPr="001219B1">
              <w:rPr>
                <w:rFonts w:cs="Arial"/>
                <w:sz w:val="20"/>
                <w:szCs w:val="20"/>
              </w:rPr>
              <w:t xml:space="preserve">GSIA ID: </w:t>
            </w:r>
            <w:r w:rsidRPr="001219B1">
              <w:rPr>
                <w:rFonts w:cs="Arial"/>
                <w:i/>
                <w:sz w:val="20"/>
                <w:szCs w:val="20"/>
              </w:rPr>
              <w:t>Def-GSIA</w:t>
            </w:r>
          </w:p>
        </w:tc>
      </w:tr>
      <w:tr w:rsidR="00EA057C" w:rsidRPr="001219B1" w14:paraId="4D0F7E1B" w14:textId="77777777" w:rsidTr="00EA057C">
        <w:trPr>
          <w:trHeight w:val="20"/>
        </w:trPr>
        <w:tc>
          <w:tcPr>
            <w:tcW w:w="1730" w:type="pct"/>
          </w:tcPr>
          <w:p w14:paraId="103BA947" w14:textId="6665B2EA" w:rsidR="00EA057C" w:rsidRPr="001219B1" w:rsidRDefault="00EA057C" w:rsidP="001219B1">
            <w:pPr>
              <w:spacing w:before="20" w:after="20"/>
              <w:rPr>
                <w:rFonts w:cs="Arial"/>
                <w:sz w:val="20"/>
                <w:szCs w:val="20"/>
              </w:rPr>
            </w:pPr>
            <w:r w:rsidRPr="001219B1">
              <w:rPr>
                <w:rFonts w:cs="Arial"/>
                <w:sz w:val="20"/>
                <w:szCs w:val="20"/>
              </w:rPr>
              <w:t>EUL/RUL</w:t>
            </w:r>
          </w:p>
        </w:tc>
        <w:tc>
          <w:tcPr>
            <w:tcW w:w="3270" w:type="pct"/>
          </w:tcPr>
          <w:p w14:paraId="20B44A63" w14:textId="77777777" w:rsidR="007219FC" w:rsidRDefault="00321489" w:rsidP="001219B1">
            <w:pPr>
              <w:spacing w:before="20" w:after="20"/>
              <w:rPr>
                <w:i/>
                <w:sz w:val="20"/>
                <w:szCs w:val="20"/>
              </w:rPr>
            </w:pPr>
            <w:r w:rsidRPr="001219B1">
              <w:rPr>
                <w:sz w:val="20"/>
                <w:szCs w:val="20"/>
              </w:rPr>
              <w:t xml:space="preserve">Source: </w:t>
            </w:r>
            <w:r w:rsidR="008607C0" w:rsidRPr="001219B1">
              <w:rPr>
                <w:sz w:val="20"/>
                <w:szCs w:val="20"/>
              </w:rPr>
              <w:t>DEER201</w:t>
            </w:r>
            <w:r w:rsidRPr="001219B1">
              <w:rPr>
                <w:sz w:val="20"/>
                <w:szCs w:val="20"/>
              </w:rPr>
              <w:t xml:space="preserve">4. The EUL of 15 years is associated with EUL ID: </w:t>
            </w:r>
            <w:proofErr w:type="spellStart"/>
            <w:r w:rsidR="00045C04" w:rsidRPr="001219B1">
              <w:rPr>
                <w:i/>
                <w:sz w:val="20"/>
                <w:szCs w:val="20"/>
              </w:rPr>
              <w:t>WtrHt</w:t>
            </w:r>
            <w:proofErr w:type="spellEnd"/>
            <w:r w:rsidR="00045C04" w:rsidRPr="001219B1">
              <w:rPr>
                <w:i/>
                <w:sz w:val="20"/>
                <w:szCs w:val="20"/>
              </w:rPr>
              <w:t>-MF-Gas</w:t>
            </w:r>
            <w:r w:rsidR="003B514F">
              <w:rPr>
                <w:i/>
                <w:sz w:val="20"/>
                <w:szCs w:val="20"/>
              </w:rPr>
              <w:t>.</w:t>
            </w:r>
          </w:p>
          <w:p w14:paraId="5BD9C961" w14:textId="09653710" w:rsidR="00EA057C" w:rsidRPr="003B514F" w:rsidRDefault="003B514F" w:rsidP="001219B1">
            <w:pPr>
              <w:spacing w:before="20" w:after="20"/>
              <w:rPr>
                <w:rFonts w:cs="Arial"/>
                <w:sz w:val="20"/>
                <w:szCs w:val="20"/>
              </w:rPr>
            </w:pPr>
            <w:r w:rsidRPr="008E6A55">
              <w:rPr>
                <w:i/>
                <w:sz w:val="20"/>
                <w:szCs w:val="20"/>
              </w:rPr>
              <w:t xml:space="preserve">This </w:t>
            </w:r>
            <w:r w:rsidR="008E6A55" w:rsidRPr="008E6A55">
              <w:rPr>
                <w:i/>
                <w:sz w:val="20"/>
                <w:szCs w:val="20"/>
              </w:rPr>
              <w:t xml:space="preserve">EUL </w:t>
            </w:r>
            <w:r w:rsidRPr="008E6A55">
              <w:rPr>
                <w:i/>
                <w:sz w:val="20"/>
                <w:szCs w:val="20"/>
              </w:rPr>
              <w:t xml:space="preserve">ID is a proposed ID that is based upon the EUL ID </w:t>
            </w:r>
            <w:proofErr w:type="spellStart"/>
            <w:r w:rsidRPr="008E6A55">
              <w:rPr>
                <w:i/>
                <w:sz w:val="20"/>
                <w:szCs w:val="20"/>
              </w:rPr>
              <w:t>WtrHt</w:t>
            </w:r>
            <w:proofErr w:type="spellEnd"/>
            <w:r w:rsidRPr="008E6A55">
              <w:rPr>
                <w:i/>
                <w:sz w:val="20"/>
                <w:szCs w:val="20"/>
              </w:rPr>
              <w:t>-Com with a value of 15 years.</w:t>
            </w:r>
          </w:p>
        </w:tc>
      </w:tr>
    </w:tbl>
    <w:p w14:paraId="3D440479" w14:textId="77777777" w:rsidR="00EA057C" w:rsidRDefault="00EA057C" w:rsidP="004142EF"/>
    <w:p w14:paraId="59542C0D" w14:textId="77777777" w:rsidR="007D230B" w:rsidRDefault="007D230B" w:rsidP="000F1A47">
      <w:pPr>
        <w:pStyle w:val="eTRMHeading3"/>
      </w:pPr>
      <w:bookmarkStart w:id="81" w:name="_Toc486490866"/>
      <w:bookmarkStart w:id="82" w:name="_Toc486580937"/>
      <w:bookmarkStart w:id="83" w:name="_Toc2074035"/>
      <w:r w:rsidRPr="004B06E3">
        <w:lastRenderedPageBreak/>
        <w:t>Revision History</w:t>
      </w:r>
      <w:bookmarkEnd w:id="81"/>
      <w:bookmarkEnd w:id="82"/>
      <w:bookmarkEnd w:id="83"/>
    </w:p>
    <w:p w14:paraId="117D0345" w14:textId="03157BF5" w:rsidR="002634C6" w:rsidRDefault="002634C6" w:rsidP="002634C6">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754"/>
        <w:gridCol w:w="1891"/>
        <w:gridCol w:w="4765"/>
      </w:tblGrid>
      <w:tr w:rsidR="002634C6" w:rsidRPr="007413E0" w14:paraId="298E16B1" w14:textId="77777777" w:rsidTr="00BF1B20">
        <w:trPr>
          <w:trHeight w:val="20"/>
        </w:trPr>
        <w:tc>
          <w:tcPr>
            <w:tcW w:w="503" w:type="pct"/>
            <w:shd w:val="clear" w:color="auto" w:fill="F2F2F2" w:themeFill="background1" w:themeFillShade="F2"/>
            <w:vAlign w:val="bottom"/>
          </w:tcPr>
          <w:p w14:paraId="03F3218C" w14:textId="77777777" w:rsidR="002634C6" w:rsidRPr="007413E0" w:rsidRDefault="002634C6" w:rsidP="00937863">
            <w:pPr>
              <w:keepNext/>
              <w:keepLines/>
              <w:tabs>
                <w:tab w:val="right" w:pos="2957"/>
              </w:tabs>
              <w:spacing w:before="20" w:after="20"/>
              <w:rPr>
                <w:rFonts w:cs="Arial"/>
                <w:b/>
                <w:sz w:val="20"/>
                <w:szCs w:val="20"/>
              </w:rPr>
            </w:pPr>
            <w:r w:rsidRPr="007413E0">
              <w:rPr>
                <w:rFonts w:cs="Arial"/>
                <w:b/>
                <w:sz w:val="20"/>
                <w:szCs w:val="20"/>
              </w:rPr>
              <w:t>Revision Number</w:t>
            </w:r>
          </w:p>
        </w:tc>
        <w:tc>
          <w:tcPr>
            <w:tcW w:w="938" w:type="pct"/>
            <w:shd w:val="clear" w:color="auto" w:fill="F2F2F2" w:themeFill="background1" w:themeFillShade="F2"/>
            <w:vAlign w:val="bottom"/>
          </w:tcPr>
          <w:p w14:paraId="215AA32C" w14:textId="588986DF" w:rsidR="002634C6" w:rsidRPr="007413E0" w:rsidRDefault="00BF1B20" w:rsidP="00937863">
            <w:pPr>
              <w:keepNext/>
              <w:keepLines/>
              <w:spacing w:before="20" w:after="20"/>
              <w:rPr>
                <w:rFonts w:cs="Arial"/>
                <w:b/>
                <w:sz w:val="20"/>
                <w:szCs w:val="20"/>
              </w:rPr>
            </w:pPr>
            <w:r>
              <w:rPr>
                <w:rFonts w:cs="Arial"/>
                <w:b/>
                <w:sz w:val="20"/>
                <w:szCs w:val="20"/>
              </w:rPr>
              <w:t xml:space="preserve">Revision Complete </w:t>
            </w:r>
            <w:r w:rsidR="002634C6" w:rsidRPr="007413E0">
              <w:rPr>
                <w:rFonts w:cs="Arial"/>
                <w:b/>
                <w:sz w:val="20"/>
                <w:szCs w:val="20"/>
              </w:rPr>
              <w:t>Date</w:t>
            </w:r>
          </w:p>
        </w:tc>
        <w:tc>
          <w:tcPr>
            <w:tcW w:w="1011" w:type="pct"/>
            <w:shd w:val="clear" w:color="auto" w:fill="F2F2F2" w:themeFill="background1" w:themeFillShade="F2"/>
            <w:vAlign w:val="bottom"/>
          </w:tcPr>
          <w:p w14:paraId="2D328203" w14:textId="77777777" w:rsidR="002634C6" w:rsidRPr="007413E0" w:rsidRDefault="002634C6" w:rsidP="00937863">
            <w:pPr>
              <w:keepNext/>
              <w:keepLines/>
              <w:spacing w:before="20" w:after="20"/>
              <w:rPr>
                <w:rFonts w:cs="Arial"/>
                <w:b/>
                <w:sz w:val="20"/>
                <w:szCs w:val="20"/>
              </w:rPr>
            </w:pPr>
            <w:r w:rsidRPr="007413E0">
              <w:rPr>
                <w:rFonts w:cs="Arial"/>
                <w:b/>
                <w:sz w:val="20"/>
                <w:szCs w:val="20"/>
              </w:rPr>
              <w:t>Primary Author, Title, Organization</w:t>
            </w:r>
          </w:p>
        </w:tc>
        <w:tc>
          <w:tcPr>
            <w:tcW w:w="2548" w:type="pct"/>
            <w:shd w:val="clear" w:color="auto" w:fill="F2F2F2" w:themeFill="background1" w:themeFillShade="F2"/>
            <w:vAlign w:val="bottom"/>
          </w:tcPr>
          <w:p w14:paraId="05B27B52" w14:textId="77777777" w:rsidR="002634C6" w:rsidRPr="007413E0" w:rsidRDefault="002634C6" w:rsidP="00937863">
            <w:pPr>
              <w:keepNext/>
              <w:keepLines/>
              <w:spacing w:before="20" w:after="20"/>
              <w:rPr>
                <w:rFonts w:cs="Arial"/>
                <w:b/>
                <w:sz w:val="20"/>
                <w:szCs w:val="20"/>
              </w:rPr>
            </w:pPr>
            <w:r w:rsidRPr="007413E0">
              <w:rPr>
                <w:rFonts w:cs="Arial"/>
                <w:b/>
                <w:sz w:val="20"/>
                <w:szCs w:val="20"/>
              </w:rPr>
              <w:t>Revision Summary and Rationale for Revision</w:t>
            </w:r>
          </w:p>
          <w:p w14:paraId="2B319E2E" w14:textId="77777777" w:rsidR="002634C6" w:rsidRPr="007413E0" w:rsidRDefault="002634C6" w:rsidP="00937863">
            <w:pPr>
              <w:keepNext/>
              <w:keepLines/>
              <w:spacing w:before="20" w:after="20"/>
              <w:rPr>
                <w:rFonts w:cs="Arial"/>
                <w:b/>
                <w:sz w:val="20"/>
                <w:szCs w:val="20"/>
              </w:rPr>
            </w:pPr>
            <w:r w:rsidRPr="007413E0">
              <w:rPr>
                <w:rFonts w:cs="Arial"/>
                <w:b/>
                <w:sz w:val="20"/>
                <w:szCs w:val="20"/>
              </w:rPr>
              <w:t>Effective Date and Approved By</w:t>
            </w:r>
          </w:p>
        </w:tc>
      </w:tr>
      <w:tr w:rsidR="00A21EA4" w:rsidRPr="007413E0" w14:paraId="55322192" w14:textId="77777777" w:rsidTr="00BF1B20">
        <w:trPr>
          <w:trHeight w:val="20"/>
        </w:trPr>
        <w:tc>
          <w:tcPr>
            <w:tcW w:w="503" w:type="pct"/>
            <w:vMerge w:val="restart"/>
          </w:tcPr>
          <w:p w14:paraId="4B093ED2" w14:textId="77777777" w:rsidR="00A21EA4" w:rsidRPr="007413E0" w:rsidRDefault="00A21EA4" w:rsidP="00937863">
            <w:pPr>
              <w:keepNext/>
              <w:keepLines/>
              <w:spacing w:before="20" w:after="20"/>
              <w:rPr>
                <w:rFonts w:cs="Arial"/>
                <w:sz w:val="20"/>
                <w:szCs w:val="20"/>
              </w:rPr>
            </w:pPr>
            <w:r w:rsidRPr="007413E0">
              <w:rPr>
                <w:rFonts w:cs="Arial"/>
                <w:sz w:val="20"/>
                <w:szCs w:val="20"/>
              </w:rPr>
              <w:t>01</w:t>
            </w:r>
          </w:p>
        </w:tc>
        <w:tc>
          <w:tcPr>
            <w:tcW w:w="938" w:type="pct"/>
          </w:tcPr>
          <w:p w14:paraId="3CBBD2CF" w14:textId="77777777" w:rsidR="00A21EA4" w:rsidRPr="007413E0" w:rsidRDefault="00A21EA4" w:rsidP="00937863">
            <w:pPr>
              <w:keepNext/>
              <w:keepLines/>
              <w:spacing w:before="20" w:after="20"/>
              <w:rPr>
                <w:rFonts w:cs="Arial"/>
                <w:sz w:val="20"/>
                <w:szCs w:val="20"/>
              </w:rPr>
            </w:pPr>
            <w:r>
              <w:rPr>
                <w:rFonts w:cs="Arial"/>
                <w:sz w:val="20"/>
                <w:szCs w:val="20"/>
              </w:rPr>
              <w:t>03/14</w:t>
            </w:r>
            <w:r w:rsidRPr="007413E0">
              <w:rPr>
                <w:rFonts w:cs="Arial"/>
                <w:sz w:val="20"/>
                <w:szCs w:val="20"/>
              </w:rPr>
              <w:t>/2018</w:t>
            </w:r>
          </w:p>
        </w:tc>
        <w:tc>
          <w:tcPr>
            <w:tcW w:w="1011" w:type="pct"/>
          </w:tcPr>
          <w:p w14:paraId="0C9324D9" w14:textId="77777777" w:rsidR="00A21EA4" w:rsidRPr="007413E0" w:rsidRDefault="00A21EA4" w:rsidP="00937863">
            <w:pPr>
              <w:keepNext/>
              <w:keepLines/>
              <w:spacing w:before="20" w:after="20"/>
              <w:rPr>
                <w:rFonts w:cs="Arial"/>
                <w:sz w:val="20"/>
                <w:szCs w:val="20"/>
              </w:rPr>
            </w:pPr>
            <w:r w:rsidRPr="007413E0">
              <w:rPr>
                <w:rFonts w:cs="Arial"/>
                <w:sz w:val="20"/>
                <w:szCs w:val="20"/>
              </w:rPr>
              <w:t>Jennifer Holmes, Cal TF Staff</w:t>
            </w:r>
          </w:p>
        </w:tc>
        <w:tc>
          <w:tcPr>
            <w:tcW w:w="2548" w:type="pct"/>
          </w:tcPr>
          <w:p w14:paraId="03F93D8D" w14:textId="77777777" w:rsidR="00A21EA4" w:rsidRPr="007413E0" w:rsidRDefault="00A21EA4" w:rsidP="00937863">
            <w:pPr>
              <w:keepNext/>
              <w:keepLines/>
              <w:spacing w:before="20" w:after="20"/>
              <w:rPr>
                <w:rFonts w:cs="Arial"/>
                <w:sz w:val="20"/>
                <w:szCs w:val="20"/>
              </w:rPr>
            </w:pPr>
            <w:r w:rsidRPr="007413E0">
              <w:rPr>
                <w:rFonts w:cs="Arial"/>
                <w:sz w:val="20"/>
                <w:szCs w:val="20"/>
              </w:rPr>
              <w:t>The draft of the text fields for this statewide measure is based upon:</w:t>
            </w:r>
          </w:p>
          <w:p w14:paraId="0BBAFDDA" w14:textId="36F1FED2" w:rsidR="00A21EA4" w:rsidRPr="00D849C7" w:rsidRDefault="00A21EA4" w:rsidP="00D849C7">
            <w:pPr>
              <w:keepNext/>
              <w:keepLines/>
              <w:spacing w:before="20" w:after="20"/>
              <w:rPr>
                <w:rFonts w:cs="Arial"/>
                <w:sz w:val="20"/>
                <w:szCs w:val="20"/>
              </w:rPr>
            </w:pPr>
            <w:r w:rsidRPr="00D849C7">
              <w:rPr>
                <w:rFonts w:cs="Arial"/>
                <w:sz w:val="20"/>
                <w:szCs w:val="20"/>
              </w:rPr>
              <w:t>WPSCGREWH130613A Revision 1 (September 8, 2016)</w:t>
            </w:r>
          </w:p>
          <w:p w14:paraId="2C29A881" w14:textId="6A412158" w:rsidR="00A21EA4" w:rsidRPr="007413E0" w:rsidRDefault="00A21EA4" w:rsidP="001219B1">
            <w:pPr>
              <w:keepNext/>
              <w:keepLines/>
              <w:spacing w:before="20" w:after="20"/>
              <w:rPr>
                <w:rFonts w:cs="Arial"/>
                <w:sz w:val="20"/>
                <w:szCs w:val="20"/>
              </w:rPr>
            </w:pPr>
            <w:r w:rsidRPr="00D849C7">
              <w:rPr>
                <w:rFonts w:cs="Arial"/>
                <w:sz w:val="20"/>
                <w:szCs w:val="20"/>
              </w:rPr>
              <w:t>Consensus reached among Cal TF members</w:t>
            </w:r>
          </w:p>
        </w:tc>
      </w:tr>
      <w:tr w:rsidR="00A21EA4" w:rsidRPr="007413E0" w14:paraId="0DDFAA57" w14:textId="77777777" w:rsidTr="00BF1B20">
        <w:trPr>
          <w:trHeight w:val="20"/>
        </w:trPr>
        <w:tc>
          <w:tcPr>
            <w:tcW w:w="503" w:type="pct"/>
            <w:vMerge/>
          </w:tcPr>
          <w:p w14:paraId="2CF2A0A1" w14:textId="77777777" w:rsidR="00A21EA4" w:rsidRPr="007413E0" w:rsidRDefault="00A21EA4" w:rsidP="007219FC">
            <w:pPr>
              <w:keepNext/>
              <w:keepLines/>
              <w:spacing w:before="20" w:after="20"/>
              <w:rPr>
                <w:rFonts w:cs="Arial"/>
                <w:sz w:val="20"/>
                <w:szCs w:val="20"/>
              </w:rPr>
            </w:pPr>
          </w:p>
        </w:tc>
        <w:tc>
          <w:tcPr>
            <w:tcW w:w="938" w:type="pct"/>
          </w:tcPr>
          <w:p w14:paraId="73091E85" w14:textId="1DD81B7B" w:rsidR="00A21EA4" w:rsidRDefault="00A21EA4" w:rsidP="007219FC">
            <w:pPr>
              <w:keepNext/>
              <w:keepLines/>
              <w:spacing w:before="20" w:after="20"/>
              <w:rPr>
                <w:rFonts w:cs="Arial"/>
                <w:sz w:val="20"/>
                <w:szCs w:val="20"/>
              </w:rPr>
            </w:pPr>
            <w:r>
              <w:rPr>
                <w:rFonts w:cs="Arial"/>
                <w:sz w:val="20"/>
                <w:szCs w:val="20"/>
              </w:rPr>
              <w:t>02/28/2019</w:t>
            </w:r>
          </w:p>
        </w:tc>
        <w:tc>
          <w:tcPr>
            <w:tcW w:w="1011" w:type="pct"/>
          </w:tcPr>
          <w:p w14:paraId="3FE4D2F2" w14:textId="51AF0763" w:rsidR="00A21EA4" w:rsidRPr="007413E0" w:rsidRDefault="00A21EA4" w:rsidP="007219FC">
            <w:pPr>
              <w:keepNext/>
              <w:keepLines/>
              <w:spacing w:before="20" w:after="20"/>
              <w:rPr>
                <w:rFonts w:cs="Arial"/>
                <w:sz w:val="20"/>
                <w:szCs w:val="20"/>
              </w:rPr>
            </w:pPr>
            <w:r w:rsidRPr="007413E0">
              <w:rPr>
                <w:rFonts w:cs="Arial"/>
                <w:sz w:val="20"/>
                <w:szCs w:val="20"/>
              </w:rPr>
              <w:t>Jennifer Holmes, Cal TF Staff</w:t>
            </w:r>
          </w:p>
        </w:tc>
        <w:tc>
          <w:tcPr>
            <w:tcW w:w="2548" w:type="pct"/>
          </w:tcPr>
          <w:p w14:paraId="487D66DB" w14:textId="64B5F2EA" w:rsidR="00A21EA4" w:rsidRPr="007413E0" w:rsidRDefault="00A21EA4" w:rsidP="007219FC">
            <w:pPr>
              <w:keepNext/>
              <w:keepLines/>
              <w:spacing w:before="20" w:after="20"/>
              <w:rPr>
                <w:rFonts w:cs="Arial"/>
                <w:sz w:val="20"/>
                <w:szCs w:val="20"/>
              </w:rPr>
            </w:pPr>
            <w:r>
              <w:rPr>
                <w:rFonts w:cs="Arial"/>
                <w:sz w:val="20"/>
                <w:szCs w:val="20"/>
              </w:rPr>
              <w:t>Revisions for submission of version 01.</w:t>
            </w:r>
          </w:p>
        </w:tc>
      </w:tr>
      <w:tr w:rsidR="00A21EA4" w:rsidRPr="007413E0" w14:paraId="468708B7" w14:textId="77777777" w:rsidTr="00BF1B20">
        <w:trPr>
          <w:trHeight w:val="20"/>
        </w:trPr>
        <w:tc>
          <w:tcPr>
            <w:tcW w:w="503" w:type="pct"/>
            <w:vMerge/>
          </w:tcPr>
          <w:p w14:paraId="76F7A060" w14:textId="77777777" w:rsidR="00A21EA4" w:rsidRPr="007413E0" w:rsidRDefault="00A21EA4" w:rsidP="007219FC">
            <w:pPr>
              <w:keepNext/>
              <w:keepLines/>
              <w:spacing w:before="20" w:after="20"/>
              <w:rPr>
                <w:rFonts w:cs="Arial"/>
                <w:sz w:val="20"/>
                <w:szCs w:val="20"/>
              </w:rPr>
            </w:pPr>
          </w:p>
        </w:tc>
        <w:tc>
          <w:tcPr>
            <w:tcW w:w="938" w:type="pct"/>
          </w:tcPr>
          <w:p w14:paraId="14D07E96" w14:textId="299F86B3" w:rsidR="00A21EA4" w:rsidRDefault="005316AA" w:rsidP="007219FC">
            <w:pPr>
              <w:keepNext/>
              <w:keepLines/>
              <w:spacing w:before="20" w:after="20"/>
              <w:rPr>
                <w:rFonts w:cs="Arial"/>
                <w:sz w:val="20"/>
                <w:szCs w:val="20"/>
              </w:rPr>
            </w:pPr>
            <w:r>
              <w:rPr>
                <w:rFonts w:cs="Arial"/>
                <w:sz w:val="20"/>
                <w:szCs w:val="20"/>
              </w:rPr>
              <w:t>0</w:t>
            </w:r>
            <w:r w:rsidR="003C4230">
              <w:rPr>
                <w:rFonts w:cs="Arial"/>
                <w:sz w:val="20"/>
                <w:szCs w:val="20"/>
              </w:rPr>
              <w:t>8</w:t>
            </w:r>
            <w:r>
              <w:rPr>
                <w:rFonts w:cs="Arial"/>
                <w:sz w:val="20"/>
                <w:szCs w:val="20"/>
              </w:rPr>
              <w:t>/</w:t>
            </w:r>
            <w:r w:rsidR="003C4230">
              <w:rPr>
                <w:rFonts w:cs="Arial"/>
                <w:sz w:val="20"/>
                <w:szCs w:val="20"/>
              </w:rPr>
              <w:t>02</w:t>
            </w:r>
            <w:r>
              <w:rPr>
                <w:rFonts w:cs="Arial"/>
                <w:sz w:val="20"/>
                <w:szCs w:val="20"/>
              </w:rPr>
              <w:t>/2021</w:t>
            </w:r>
          </w:p>
        </w:tc>
        <w:tc>
          <w:tcPr>
            <w:tcW w:w="1011" w:type="pct"/>
          </w:tcPr>
          <w:p w14:paraId="2C3028A9" w14:textId="77777777" w:rsidR="005316AA" w:rsidRPr="005316AA" w:rsidRDefault="005316AA" w:rsidP="005316AA">
            <w:pPr>
              <w:keepNext/>
              <w:keepLines/>
              <w:spacing w:before="20" w:after="20"/>
              <w:rPr>
                <w:rFonts w:cs="Arial"/>
                <w:sz w:val="20"/>
                <w:szCs w:val="20"/>
              </w:rPr>
            </w:pPr>
            <w:r w:rsidRPr="005316AA">
              <w:rPr>
                <w:rFonts w:cs="Arial"/>
                <w:sz w:val="20"/>
                <w:szCs w:val="20"/>
              </w:rPr>
              <w:t>Soe K Hla</w:t>
            </w:r>
          </w:p>
          <w:p w14:paraId="1D94EFC6" w14:textId="4E9498C3" w:rsidR="00A21EA4" w:rsidRPr="007413E0" w:rsidRDefault="005316AA" w:rsidP="005316AA">
            <w:pPr>
              <w:keepNext/>
              <w:keepLines/>
              <w:spacing w:before="20" w:after="20"/>
              <w:rPr>
                <w:rFonts w:cs="Arial"/>
                <w:sz w:val="20"/>
                <w:szCs w:val="20"/>
              </w:rPr>
            </w:pPr>
            <w:r w:rsidRPr="005316AA">
              <w:rPr>
                <w:rFonts w:cs="Arial"/>
                <w:sz w:val="20"/>
                <w:szCs w:val="20"/>
              </w:rPr>
              <w:t>PG&amp;E</w:t>
            </w:r>
          </w:p>
        </w:tc>
        <w:tc>
          <w:tcPr>
            <w:tcW w:w="2548" w:type="pct"/>
          </w:tcPr>
          <w:p w14:paraId="0B47571A" w14:textId="77777777" w:rsidR="00A21EA4" w:rsidRDefault="00F62874" w:rsidP="007219FC">
            <w:pPr>
              <w:keepNext/>
              <w:keepLines/>
              <w:spacing w:before="20" w:after="20"/>
              <w:rPr>
                <w:rFonts w:cs="Arial"/>
                <w:sz w:val="20"/>
                <w:szCs w:val="20"/>
              </w:rPr>
            </w:pPr>
            <w:r>
              <w:rPr>
                <w:rFonts w:cs="Arial"/>
                <w:sz w:val="20"/>
                <w:szCs w:val="20"/>
              </w:rPr>
              <w:t>Adopted all measures for PG&amp;E.</w:t>
            </w:r>
          </w:p>
          <w:p w14:paraId="59AE3B8D" w14:textId="77777777" w:rsidR="00F62874" w:rsidRDefault="008836D3" w:rsidP="007219FC">
            <w:pPr>
              <w:keepNext/>
              <w:keepLines/>
              <w:spacing w:before="20" w:after="20"/>
              <w:rPr>
                <w:rFonts w:cs="Arial"/>
                <w:sz w:val="20"/>
                <w:szCs w:val="20"/>
              </w:rPr>
            </w:pPr>
            <w:r>
              <w:rPr>
                <w:rFonts w:cs="Arial"/>
                <w:sz w:val="20"/>
                <w:szCs w:val="20"/>
              </w:rPr>
              <w:t xml:space="preserve">Removed unrelated data </w:t>
            </w:r>
            <w:r w:rsidR="00BC0330">
              <w:rPr>
                <w:rFonts w:cs="Arial"/>
                <w:sz w:val="20"/>
                <w:szCs w:val="20"/>
              </w:rPr>
              <w:t>starting row 101, f</w:t>
            </w:r>
            <w:r w:rsidR="00AB6899">
              <w:rPr>
                <w:rFonts w:cs="Arial"/>
                <w:sz w:val="20"/>
                <w:szCs w:val="20"/>
              </w:rPr>
              <w:t>ixed incorrect sector</w:t>
            </w:r>
            <w:r w:rsidR="007B4C27">
              <w:rPr>
                <w:rFonts w:cs="Arial"/>
                <w:sz w:val="20"/>
                <w:szCs w:val="20"/>
              </w:rPr>
              <w:t xml:space="preserve"> and EUL_ID</w:t>
            </w:r>
            <w:r w:rsidR="00AB6899">
              <w:rPr>
                <w:rFonts w:cs="Arial"/>
                <w:sz w:val="20"/>
                <w:szCs w:val="20"/>
              </w:rPr>
              <w:t xml:space="preserve"> from EAD Measure Tab</w:t>
            </w:r>
            <w:r w:rsidR="007B4C27">
              <w:rPr>
                <w:rFonts w:cs="Arial"/>
                <w:sz w:val="20"/>
                <w:szCs w:val="20"/>
              </w:rPr>
              <w:t>.</w:t>
            </w:r>
          </w:p>
          <w:p w14:paraId="75BF4A01" w14:textId="3A5C1CC0" w:rsidR="007B4C27" w:rsidRDefault="007B4C27" w:rsidP="007219FC">
            <w:pPr>
              <w:keepNext/>
              <w:keepLines/>
              <w:spacing w:before="20" w:after="20"/>
              <w:rPr>
                <w:rFonts w:cs="Arial"/>
                <w:sz w:val="20"/>
                <w:szCs w:val="20"/>
              </w:rPr>
            </w:pPr>
            <w:r>
              <w:rPr>
                <w:rFonts w:cs="Arial"/>
                <w:sz w:val="20"/>
                <w:szCs w:val="20"/>
              </w:rPr>
              <w:t>Relocate</w:t>
            </w:r>
            <w:r w:rsidR="00AF07BA">
              <w:rPr>
                <w:rFonts w:cs="Arial"/>
                <w:sz w:val="20"/>
                <w:szCs w:val="20"/>
              </w:rPr>
              <w:t xml:space="preserve"> cost values from </w:t>
            </w:r>
            <w:proofErr w:type="spellStart"/>
            <w:r w:rsidR="00AF07BA">
              <w:rPr>
                <w:rFonts w:cs="Arial"/>
                <w:sz w:val="20"/>
                <w:szCs w:val="20"/>
              </w:rPr>
              <w:t>GenCost</w:t>
            </w:r>
            <w:proofErr w:type="spellEnd"/>
            <w:r w:rsidR="00AF07BA">
              <w:rPr>
                <w:rFonts w:cs="Arial"/>
                <w:sz w:val="20"/>
                <w:szCs w:val="20"/>
              </w:rPr>
              <w:t xml:space="preserve"> to </w:t>
            </w:r>
            <w:proofErr w:type="spellStart"/>
            <w:r w:rsidR="00AF07BA">
              <w:rPr>
                <w:rFonts w:cs="Arial"/>
                <w:sz w:val="20"/>
                <w:szCs w:val="20"/>
              </w:rPr>
              <w:t>MatlCost</w:t>
            </w:r>
            <w:proofErr w:type="spellEnd"/>
            <w:r w:rsidR="00AF07BA">
              <w:rPr>
                <w:rFonts w:cs="Arial"/>
                <w:sz w:val="20"/>
                <w:szCs w:val="20"/>
              </w:rPr>
              <w:t xml:space="preserve"> in EAD.</w:t>
            </w:r>
          </w:p>
        </w:tc>
      </w:tr>
    </w:tbl>
    <w:p w14:paraId="7F3ECD87" w14:textId="77777777" w:rsidR="002634C6" w:rsidRDefault="002634C6" w:rsidP="002634C6"/>
    <w:p w14:paraId="0F133B60" w14:textId="77777777" w:rsidR="00387072" w:rsidRDefault="00387072" w:rsidP="002634C6">
      <w:pPr>
        <w:spacing w:before="20" w:after="20" w:line="280" w:lineRule="exact"/>
      </w:pPr>
    </w:p>
    <w:sectPr w:rsidR="00387072"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4B8DC9" w14:textId="77777777" w:rsidR="00E35948" w:rsidRDefault="00E35948" w:rsidP="00A2690C">
      <w:r>
        <w:separator/>
      </w:r>
    </w:p>
    <w:p w14:paraId="638B44BD" w14:textId="77777777" w:rsidR="00E35948" w:rsidRDefault="00E35948"/>
  </w:endnote>
  <w:endnote w:type="continuationSeparator" w:id="0">
    <w:p w14:paraId="4E653AED" w14:textId="77777777" w:rsidR="00E35948" w:rsidRDefault="00E35948" w:rsidP="00A2690C">
      <w:r>
        <w:continuationSeparator/>
      </w:r>
    </w:p>
    <w:p w14:paraId="1C92720A" w14:textId="77777777" w:rsidR="00E35948" w:rsidRDefault="00E35948"/>
  </w:endnote>
  <w:endnote w:type="continuationNotice" w:id="1">
    <w:p w14:paraId="25363540" w14:textId="77777777" w:rsidR="00E35948" w:rsidRDefault="00E3594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C41F8D" w:rsidRDefault="00C41F8D"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C41F8D" w:rsidRPr="00B837C1" w:rsidRDefault="00C41F8D"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C41F8D" w:rsidRDefault="00C41F8D"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7BB7777" w:rsidR="00C41F8D" w:rsidRPr="00B837C1" w:rsidRDefault="00C41F8D"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13</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C41F8D" w:rsidRDefault="00C41F8D"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EB2E8F8" w:rsidR="00C41F8D" w:rsidRPr="005F505E" w:rsidRDefault="00C41F8D"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46FEB" w14:textId="77777777" w:rsidR="00E35948" w:rsidRDefault="00E35948" w:rsidP="00A2690C">
      <w:r>
        <w:separator/>
      </w:r>
    </w:p>
    <w:p w14:paraId="21167DD6" w14:textId="77777777" w:rsidR="00E35948" w:rsidRDefault="00E35948"/>
  </w:footnote>
  <w:footnote w:type="continuationSeparator" w:id="0">
    <w:p w14:paraId="7CC36FBF" w14:textId="77777777" w:rsidR="00E35948" w:rsidRDefault="00E35948" w:rsidP="00A2690C">
      <w:r>
        <w:continuationSeparator/>
      </w:r>
    </w:p>
    <w:p w14:paraId="70A2EFE4" w14:textId="77777777" w:rsidR="00E35948" w:rsidRDefault="00E35948"/>
  </w:footnote>
  <w:footnote w:type="continuationNotice" w:id="1">
    <w:p w14:paraId="02A37C51" w14:textId="77777777" w:rsidR="00E35948" w:rsidRDefault="00E35948">
      <w:pPr>
        <w:spacing w:before="0" w:after="0" w:line="240" w:lineRule="auto"/>
      </w:pPr>
    </w:p>
  </w:footnote>
  <w:footnote w:id="2">
    <w:p w14:paraId="7B3E02AF" w14:textId="48A139FC" w:rsidR="00C41F8D" w:rsidRPr="0055779A" w:rsidRDefault="00C41F8D" w:rsidP="0055779A">
      <w:pPr>
        <w:pStyle w:val="FootnoteText"/>
      </w:pPr>
      <w:r>
        <w:rPr>
          <w:rStyle w:val="FootnoteReference"/>
        </w:rPr>
        <w:footnoteRef/>
      </w:r>
      <w:r>
        <w:t xml:space="preserve"> </w:t>
      </w:r>
      <w:r w:rsidRPr="0055779A">
        <w:t>California Energy Commission (CEC). 2015. 2015 Appliance Efficiency Regulations. CEC 400-2015-021. Section 1605.3(f).</w:t>
      </w:r>
    </w:p>
    <w:p w14:paraId="14F9FE32" w14:textId="7A88DD87" w:rsidR="00C41F8D" w:rsidRPr="00026C72" w:rsidRDefault="00C41F8D" w:rsidP="00702751">
      <w:pPr>
        <w:pStyle w:val="eTRMFootnoteText"/>
      </w:pPr>
      <w:r w:rsidRPr="00026C72">
        <w:t xml:space="preserve">California Energy Commission (CEC). 2012. 2013 Building Energy Efficiency Standards for Residential and Nonresidential Buildings (Title 24). </w:t>
      </w:r>
      <w:bookmarkStart w:id="20" w:name="_Hlk500765150"/>
      <w:r w:rsidRPr="00026C72">
        <w:t>CEC‐400‐2012‐004-CMF-REV2</w:t>
      </w:r>
      <w:bookmarkEnd w:id="20"/>
      <w:r w:rsidRPr="00026C72">
        <w:t xml:space="preserve">. </w:t>
      </w:r>
      <w:r w:rsidRPr="00026C72">
        <w:rPr>
          <w:rFonts w:cstheme="minorHAnsi"/>
        </w:rPr>
        <w:t>Section 110.3.</w:t>
      </w:r>
    </w:p>
    <w:p w14:paraId="55997923" w14:textId="77777777" w:rsidR="00C41F8D" w:rsidRDefault="00C41F8D" w:rsidP="00481F11">
      <w:pPr>
        <w:pStyle w:val="FootnoteText"/>
      </w:pPr>
      <w:r w:rsidRPr="00026C72">
        <w:t>Code of Federal Regulations at 10 CFR 430.32(d).</w:t>
      </w:r>
    </w:p>
  </w:footnote>
  <w:footnote w:id="3">
    <w:p w14:paraId="0733528E" w14:textId="6C3A6544" w:rsidR="00C41F8D" w:rsidRDefault="00C41F8D" w:rsidP="005E7900">
      <w:pPr>
        <w:pStyle w:val="FootnoteText"/>
      </w:pPr>
      <w:r>
        <w:rPr>
          <w:rStyle w:val="FootnoteReference"/>
        </w:rPr>
        <w:footnoteRef/>
      </w:r>
      <w:r>
        <w:t xml:space="preserve"> </w:t>
      </w:r>
      <w:r w:rsidRPr="00406D2E">
        <w:t>South Coast Air Quality Management District (AQMD). 2004. Rule 1121 - Control of Nitrogen Oxides from Residential-Type, Natural Gas-Fired Water Heaters. Amended September 3, 2004.</w:t>
      </w:r>
    </w:p>
    <w:p w14:paraId="56F2D791" w14:textId="77777777" w:rsidR="00C41F8D" w:rsidRDefault="00C41F8D" w:rsidP="005E7900">
      <w:pPr>
        <w:pStyle w:val="FootnoteText"/>
      </w:pPr>
      <w:r w:rsidRPr="00DA3FC7">
        <w:t>South Coast Air Quality Management District (AQMD). 2006. Rule 1146.2 - Emissions of Oxides of Nitrogen from Large Water Heaters and Small Boilers and Process Heaters. Amended May 5, 2006.</w:t>
      </w:r>
    </w:p>
    <w:p w14:paraId="3D44C88B" w14:textId="77777777" w:rsidR="00C41F8D" w:rsidRDefault="00C41F8D" w:rsidP="005E7900">
      <w:pPr>
        <w:pStyle w:val="FootnoteText"/>
      </w:pPr>
      <w:r>
        <w:t xml:space="preserve">Bay Area Air Quality Management District (BAAQMD). 2007. </w:t>
      </w:r>
      <w:r w:rsidRPr="006B3568">
        <w:rPr>
          <w:i/>
        </w:rPr>
        <w:t>Regulation 9 – Inorganic Gaseous Pollutants: Rule 6 – Nitrogen Oxides Emissions from Natural Gas-Fired Boilers and Water Heaters.</w:t>
      </w:r>
      <w:r>
        <w:t xml:space="preserve"> November 7.</w:t>
      </w:r>
    </w:p>
    <w:p w14:paraId="12CE416F" w14:textId="77777777" w:rsidR="00C41F8D" w:rsidRDefault="00C41F8D" w:rsidP="005E7900">
      <w:pPr>
        <w:pStyle w:val="FootnoteText"/>
      </w:pPr>
      <w:r w:rsidRPr="006B3568">
        <w:t>San Joaquin Valley Air Pollution Control District. 2009</w:t>
      </w:r>
      <w:r w:rsidRPr="006B3568">
        <w:rPr>
          <w:i/>
        </w:rPr>
        <w:t>. Rule 4902 - Residential Water Heaters.</w:t>
      </w:r>
      <w:r w:rsidRPr="006B3568">
        <w:t xml:space="preserve"> Amended March 19, 2009.</w:t>
      </w:r>
    </w:p>
    <w:p w14:paraId="0DB0F700" w14:textId="77777777" w:rsidR="00C41F8D" w:rsidRDefault="00C41F8D" w:rsidP="005E7900">
      <w:pPr>
        <w:pStyle w:val="FootnoteText"/>
      </w:pPr>
      <w:r w:rsidRPr="006B3568">
        <w:t xml:space="preserve">Sacramento Metropolitan Air Quality Management District. 2010. </w:t>
      </w:r>
      <w:r w:rsidRPr="006B3568">
        <w:rPr>
          <w:i/>
        </w:rPr>
        <w:t>Rule 414, Water Heaters, Boilers and Process Heaters Rated Less Than 1,000,000 BTU Per Hour.</w:t>
      </w:r>
      <w:r w:rsidRPr="006B3568">
        <w:t xml:space="preserve"> Amended March 25, 2010.</w:t>
      </w:r>
    </w:p>
    <w:p w14:paraId="59006CE7" w14:textId="77777777" w:rsidR="00C41F8D" w:rsidRDefault="00C41F8D" w:rsidP="005E7900">
      <w:pPr>
        <w:pStyle w:val="FootnoteText"/>
      </w:pPr>
      <w:r w:rsidRPr="006B3568">
        <w:t xml:space="preserve">Yolo-Solano Air Quality Management District. 2009. </w:t>
      </w:r>
      <w:r w:rsidRPr="006B3568">
        <w:rPr>
          <w:i/>
        </w:rPr>
        <w:t>Rule 2.38 - Natural Gas-Fired Water Heaters and Small Boilers.</w:t>
      </w:r>
      <w:r w:rsidRPr="006B3568">
        <w:t xml:space="preserve"> Revised April 8, 2009.</w:t>
      </w:r>
    </w:p>
    <w:p w14:paraId="005EB2B6" w14:textId="77777777" w:rsidR="00C41F8D" w:rsidRDefault="00C41F8D" w:rsidP="005E7900">
      <w:pPr>
        <w:pStyle w:val="FootnoteText"/>
      </w:pPr>
      <w:r w:rsidRPr="00CF680F">
        <w:t>Ventura County Air Pollution Control District. 2010. Rule 74.11 - Natural Gas-Fired Water Heaters. Revised January 12, 2010.</w:t>
      </w:r>
    </w:p>
  </w:footnote>
  <w:footnote w:id="4">
    <w:p w14:paraId="2E62D6CA" w14:textId="77777777" w:rsidR="00C41F8D" w:rsidRDefault="00C41F8D" w:rsidP="00FB79C4">
      <w:pPr>
        <w:pStyle w:val="FootnoteText"/>
      </w:pPr>
      <w:r w:rsidRPr="00F300CE">
        <w:rPr>
          <w:rStyle w:val="FootnoteReference"/>
        </w:rPr>
        <w:footnoteRef/>
      </w:r>
      <w:r w:rsidRPr="00F300CE">
        <w:t xml:space="preserve"> </w:t>
      </w:r>
      <w:r w:rsidRPr="00F300CE">
        <w:rPr>
          <w:rStyle w:val="eTRMFootnoteTextChar"/>
        </w:rPr>
        <w:t>KEMA, Inc. 2010</w:t>
      </w:r>
      <w:r w:rsidRPr="00F300CE">
        <w:rPr>
          <w:rStyle w:val="eTRMFootnoteTextChar"/>
          <w:i/>
        </w:rPr>
        <w:t>. 2009 California Residential Appliance Saturation Survey. Volume 2: Results.</w:t>
      </w:r>
      <w:r w:rsidRPr="00F300CE">
        <w:rPr>
          <w:rStyle w:val="eTRMFootnoteTextChar"/>
        </w:rPr>
        <w:t xml:space="preserve"> Prepared for the California Energy Commission. CC-200-2010-004.</w:t>
      </w:r>
    </w:p>
  </w:footnote>
  <w:footnote w:id="5">
    <w:p w14:paraId="5552157D" w14:textId="3B176759" w:rsidR="00C41F8D" w:rsidRDefault="00C41F8D">
      <w:pPr>
        <w:pStyle w:val="FootnoteText"/>
      </w:pPr>
      <w:r>
        <w:rPr>
          <w:rStyle w:val="FootnoteReference"/>
        </w:rPr>
        <w:footnoteRef/>
      </w:r>
      <w:r>
        <w:t xml:space="preserve"> This reference could not be located.</w:t>
      </w:r>
    </w:p>
  </w:footnote>
  <w:footnote w:id="6">
    <w:p w14:paraId="3338606A" w14:textId="2CE59045" w:rsidR="00DF4742" w:rsidRDefault="00DF4742">
      <w:pPr>
        <w:pStyle w:val="FootnoteText"/>
      </w:pPr>
      <w:r>
        <w:rPr>
          <w:rStyle w:val="FootnoteReference"/>
        </w:rPr>
        <w:footnoteRef/>
      </w:r>
      <w:r>
        <w:t xml:space="preserve"> </w:t>
      </w:r>
      <w:r w:rsidRPr="00DF4742">
        <w:t>Reeves, P. (Consultant to California Public Utilities Commission, Energy Division). 2013. "Comparison-of-Ground-Temperatures-v2_byPaulReeves.xlsx."</w:t>
      </w:r>
    </w:p>
  </w:footnote>
  <w:footnote w:id="7">
    <w:p w14:paraId="6776B453" w14:textId="6A86ECC8" w:rsidR="00C41F8D" w:rsidRDefault="00C41F8D">
      <w:pPr>
        <w:pStyle w:val="FootnoteText"/>
      </w:pPr>
      <w:r>
        <w:rPr>
          <w:rStyle w:val="FootnoteReference"/>
        </w:rPr>
        <w:footnoteRef/>
      </w:r>
      <w:r>
        <w:t xml:space="preserve">  </w:t>
      </w:r>
      <w:r w:rsidRPr="007C1AA4">
        <w:rPr>
          <w:rStyle w:val="eTRMFootnoteTextChar"/>
        </w:rPr>
        <w:t xml:space="preserve">California Energy Commission (CEC). "Modernized Appliance Efficiency Database System (MAEDBS)." </w:t>
      </w:r>
      <w:hyperlink r:id="rId1" w:history="1">
        <w:r w:rsidRPr="007C1AA4">
          <w:rPr>
            <w:rStyle w:val="eTRMFootnoteTextChar"/>
          </w:rPr>
          <w:t>http://www.appliances.energy.ca.gov/AdvancedSearch.aspx</w:t>
        </w:r>
      </w:hyperlink>
      <w:r w:rsidRPr="007C1AA4">
        <w:rPr>
          <w:rStyle w:val="eTRMFootnoteTextChar"/>
        </w:rPr>
        <w:t>. Accessed March 7, 2012.</w:t>
      </w:r>
      <w:r w:rsidRPr="004F1A85">
        <w:rPr>
          <w:rStyle w:val="eTRMFootnoteTextChar"/>
        </w:rPr>
        <w:t xml:space="preserve">  </w:t>
      </w:r>
    </w:p>
  </w:footnote>
  <w:footnote w:id="8">
    <w:p w14:paraId="225EF115" w14:textId="1C8D9439" w:rsidR="00C41F8D" w:rsidRDefault="00C41F8D" w:rsidP="002E32E3">
      <w:pPr>
        <w:pStyle w:val="EndnoteText"/>
        <w:rPr>
          <w:rStyle w:val="eTRMFootnoteTextChar"/>
        </w:rPr>
      </w:pPr>
      <w:r>
        <w:rPr>
          <w:rStyle w:val="FootnoteReference"/>
        </w:rPr>
        <w:footnoteRef/>
      </w:r>
      <w:r>
        <w:t xml:space="preserve"> </w:t>
      </w:r>
      <w:r w:rsidRPr="00B7543F">
        <w:rPr>
          <w:rStyle w:val="eTRMFootnoteTextChar"/>
        </w:rPr>
        <w:t xml:space="preserve">U.S. Department of Energy (DOE). 2016. </w:t>
      </w:r>
      <w:r w:rsidRPr="007B797D">
        <w:rPr>
          <w:rStyle w:val="eTRMFootnoteTextChar"/>
          <w:i/>
        </w:rPr>
        <w:t>Technical Support Document: Energy Efficiency Program for Consumer Products and Commercial and Industrial Equipment: Commercial Water Heating Equipment.</w:t>
      </w:r>
      <w:r w:rsidRPr="00B7543F">
        <w:rPr>
          <w:rStyle w:val="eTRMFootnoteTextChar"/>
        </w:rPr>
        <w:t xml:space="preserve"> Prepared by Navigant Consulting</w:t>
      </w:r>
      <w:r>
        <w:rPr>
          <w:rStyle w:val="eTRMFootnoteTextChar"/>
          <w:lang w:val="en-US"/>
        </w:rPr>
        <w:t>, Inc.</w:t>
      </w:r>
      <w:r w:rsidRPr="00B7543F">
        <w:rPr>
          <w:rStyle w:val="eTRMFootnoteTextChar"/>
        </w:rPr>
        <w:t xml:space="preserve"> and Pacific Northwest National Laboratory.</w:t>
      </w:r>
      <w:r w:rsidRPr="006D3BC4">
        <w:t xml:space="preserve"> </w:t>
      </w:r>
      <w:r w:rsidRPr="006D3BC4">
        <w:rPr>
          <w:rStyle w:val="eTRMFootnoteTextChar"/>
        </w:rPr>
        <w:t>Docket ID: EERE-2014-BT-STD-0042.</w:t>
      </w:r>
    </w:p>
    <w:p w14:paraId="7E7C136A" w14:textId="7901B8FF" w:rsidR="00C41F8D" w:rsidRDefault="00C41F8D" w:rsidP="00702751">
      <w:pPr>
        <w:pStyle w:val="eTRMFootnoteText"/>
      </w:pPr>
      <w:r w:rsidRPr="00702751">
        <w:t>Southern California Gas Company. 2012. "WPSCGREWH130613A-Rev1 Vendor Cost Data.xlsx"</w:t>
      </w:r>
    </w:p>
  </w:footnote>
  <w:footnote w:id="9">
    <w:p w14:paraId="15EBB159" w14:textId="5BC3C408" w:rsidR="00C41F8D" w:rsidRDefault="00C41F8D" w:rsidP="002E32E3">
      <w:pPr>
        <w:pStyle w:val="EndnoteText"/>
        <w:rPr>
          <w:rStyle w:val="eTRMFootnoteTextChar"/>
        </w:rPr>
      </w:pPr>
      <w:r>
        <w:rPr>
          <w:rStyle w:val="FootnoteReference"/>
        </w:rPr>
        <w:footnoteRef/>
      </w:r>
      <w:r>
        <w:t xml:space="preserve"> </w:t>
      </w:r>
      <w:r w:rsidRPr="00B7543F">
        <w:rPr>
          <w:rStyle w:val="eTRMFootnoteTextChar"/>
        </w:rPr>
        <w:t xml:space="preserve">U.S. Department of Energy (DOE). 2016. </w:t>
      </w:r>
      <w:r w:rsidRPr="007B797D">
        <w:rPr>
          <w:rStyle w:val="eTRMFootnoteTextChar"/>
          <w:i/>
        </w:rPr>
        <w:t>Technical Support Document: Energy Efficiency Program for Consumer Products and Commercial and Industrial Equipment: Commercial Water Heating Equipment.</w:t>
      </w:r>
      <w:r w:rsidRPr="00B7543F">
        <w:rPr>
          <w:rStyle w:val="eTRMFootnoteTextChar"/>
        </w:rPr>
        <w:t xml:space="preserve"> Prepared by Navigant Consulting</w:t>
      </w:r>
      <w:r>
        <w:rPr>
          <w:rStyle w:val="eTRMFootnoteTextChar"/>
          <w:lang w:val="en-US"/>
        </w:rPr>
        <w:t>, Inc.</w:t>
      </w:r>
      <w:r w:rsidRPr="00B7543F">
        <w:rPr>
          <w:rStyle w:val="eTRMFootnoteTextChar"/>
        </w:rPr>
        <w:t xml:space="preserve"> and Pacific Northwest National Laboratory.</w:t>
      </w:r>
      <w:r w:rsidRPr="006D3BC4">
        <w:t xml:space="preserve"> </w:t>
      </w:r>
      <w:r w:rsidRPr="006D3BC4">
        <w:rPr>
          <w:rStyle w:val="eTRMFootnoteTextChar"/>
        </w:rPr>
        <w:t>Docket ID: EERE-2014-BT-STD-0042.</w:t>
      </w:r>
    </w:p>
    <w:p w14:paraId="00444685" w14:textId="56520719" w:rsidR="00C41F8D" w:rsidRDefault="00C41F8D" w:rsidP="00702751">
      <w:pPr>
        <w:pStyle w:val="eTRMFootnoteText"/>
      </w:pPr>
      <w:r w:rsidRPr="00702751">
        <w:t>Southern California Gas Company. 2012. "WPSCGREWH130613A-Rev1 Vendor Cost Data.xlsx"</w:t>
      </w:r>
    </w:p>
  </w:footnote>
  <w:footnote w:id="10">
    <w:p w14:paraId="23A70FE1" w14:textId="23E73F6C" w:rsidR="00C41F8D" w:rsidRDefault="00C41F8D" w:rsidP="001219B1">
      <w:pPr>
        <w:pStyle w:val="EndnoteText"/>
        <w:rPr>
          <w:rStyle w:val="eTRMFootnoteTextChar"/>
        </w:rPr>
      </w:pPr>
      <w:r>
        <w:rPr>
          <w:rStyle w:val="FootnoteReference"/>
        </w:rPr>
        <w:footnoteRef/>
      </w:r>
      <w:r>
        <w:t xml:space="preserve"> </w:t>
      </w:r>
      <w:r w:rsidRPr="00B7543F">
        <w:rPr>
          <w:rStyle w:val="eTRMFootnoteTextChar"/>
        </w:rPr>
        <w:t xml:space="preserve">U.S. Department of Energy (DOE). 2016. </w:t>
      </w:r>
      <w:r w:rsidRPr="007B797D">
        <w:rPr>
          <w:rStyle w:val="eTRMFootnoteTextChar"/>
          <w:i/>
        </w:rPr>
        <w:t>Technical Support Document: Energy Efficiency Program for Consumer Products and Commercial and Industrial Equipment: Commercial Water Heating Equipment.</w:t>
      </w:r>
      <w:r w:rsidRPr="00B7543F">
        <w:rPr>
          <w:rStyle w:val="eTRMFootnoteTextChar"/>
        </w:rPr>
        <w:t xml:space="preserve"> Prepared by Navigant Consulting</w:t>
      </w:r>
      <w:r>
        <w:rPr>
          <w:rStyle w:val="eTRMFootnoteTextChar"/>
          <w:lang w:val="en-US"/>
        </w:rPr>
        <w:t>, Inc.</w:t>
      </w:r>
      <w:r w:rsidRPr="00B7543F">
        <w:rPr>
          <w:rStyle w:val="eTRMFootnoteTextChar"/>
        </w:rPr>
        <w:t xml:space="preserve"> and Pacific Northwest National Laboratory.</w:t>
      </w:r>
      <w:r w:rsidRPr="006D3BC4">
        <w:t xml:space="preserve"> </w:t>
      </w:r>
      <w:r w:rsidRPr="006D3BC4">
        <w:rPr>
          <w:rStyle w:val="eTRMFootnoteTextChar"/>
        </w:rPr>
        <w:t>Docket ID: EERE-2014-BT-STD-0042.</w:t>
      </w:r>
    </w:p>
    <w:p w14:paraId="7978E554" w14:textId="2E02B237" w:rsidR="00C41F8D" w:rsidRDefault="00C41F8D" w:rsidP="00702751">
      <w:pPr>
        <w:pStyle w:val="eTRMFootnoteText"/>
      </w:pPr>
      <w:r w:rsidRPr="00702751">
        <w:t>Southern California Gas Company. 2012. "WPSCGREWH130613A-Rev1 Vendor Cost Data.xlsx"</w:t>
      </w:r>
    </w:p>
  </w:footnote>
  <w:footnote w:id="11">
    <w:p w14:paraId="54588CF6" w14:textId="6DA42E97" w:rsidR="00C41F8D" w:rsidRDefault="00C41F8D" w:rsidP="002E32E3">
      <w:pPr>
        <w:pStyle w:val="EndnoteText"/>
        <w:rPr>
          <w:rStyle w:val="eTRMFootnoteTextChar"/>
        </w:rPr>
      </w:pPr>
      <w:r>
        <w:rPr>
          <w:rStyle w:val="FootnoteReference"/>
        </w:rPr>
        <w:footnoteRef/>
      </w:r>
      <w:r>
        <w:t xml:space="preserve"> </w:t>
      </w:r>
      <w:r w:rsidRPr="00B7543F">
        <w:rPr>
          <w:rStyle w:val="eTRMFootnoteTextChar"/>
        </w:rPr>
        <w:t xml:space="preserve">U.S. Department of Energy (DOE). 2016. </w:t>
      </w:r>
      <w:r w:rsidRPr="007B797D">
        <w:rPr>
          <w:rStyle w:val="eTRMFootnoteTextChar"/>
          <w:i/>
        </w:rPr>
        <w:t>Technical Support Document: Energy Efficiency Program for Consumer Products and Commercial and Industrial Equipment: Commercial Water Heating Equipment.</w:t>
      </w:r>
      <w:r w:rsidRPr="00B7543F">
        <w:rPr>
          <w:rStyle w:val="eTRMFootnoteTextChar"/>
        </w:rPr>
        <w:t xml:space="preserve"> Prepared by Navigant Consulting</w:t>
      </w:r>
      <w:r>
        <w:rPr>
          <w:rStyle w:val="eTRMFootnoteTextChar"/>
          <w:lang w:val="en-US"/>
        </w:rPr>
        <w:t>, Inc.</w:t>
      </w:r>
      <w:r w:rsidRPr="00B7543F">
        <w:rPr>
          <w:rStyle w:val="eTRMFootnoteTextChar"/>
        </w:rPr>
        <w:t xml:space="preserve"> and Pacific Northwest National Laboratory.</w:t>
      </w:r>
      <w:r w:rsidRPr="006D3BC4">
        <w:t xml:space="preserve"> </w:t>
      </w:r>
      <w:r w:rsidRPr="006D3BC4">
        <w:rPr>
          <w:rStyle w:val="eTRMFootnoteTextChar"/>
        </w:rPr>
        <w:t>Docket ID: EERE-2014-BT-STD-0042.</w:t>
      </w:r>
    </w:p>
    <w:p w14:paraId="4E9C45D3" w14:textId="5C2F89F1" w:rsidR="00C41F8D" w:rsidRDefault="00C41F8D" w:rsidP="00702751">
      <w:pPr>
        <w:pStyle w:val="eTRMFootnoteText"/>
      </w:pPr>
      <w:r w:rsidRPr="00702751">
        <w:t>Southern California Gas Company. 2012. "WPSCGREWH130613A-Rev1 Vendor Cost Data.xlsx"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C41F8D" w:rsidRPr="000220A0" w:rsidRDefault="00C41F8D"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C41F8D" w:rsidRDefault="00C41F8D">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C41F8D" w:rsidRDefault="00C41F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C41F8D" w:rsidRDefault="00C41F8D" w:rsidP="00BD221D">
    <w:pPr>
      <w:jc w:val="center"/>
    </w:pPr>
  </w:p>
  <w:p w14:paraId="342310D5" w14:textId="5BACBCD8" w:rsidR="00C41F8D" w:rsidRDefault="00C41F8D"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65A95030" w:rsidR="00C41F8D" w:rsidRDefault="00C41F8D" w:rsidP="001D7A57">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Central Storage Water Heater, Multifamily</w:t>
    </w:r>
  </w:p>
  <w:p w14:paraId="2AC97B25" w14:textId="77777777" w:rsidR="00C41F8D" w:rsidRDefault="00C41F8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C41F8D" w:rsidRDefault="00C41F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CE40F1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58743F0"/>
    <w:multiLevelType w:val="hybridMultilevel"/>
    <w:tmpl w:val="0D085F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5C19D9"/>
    <w:multiLevelType w:val="multilevel"/>
    <w:tmpl w:val="746A82EE"/>
    <w:lvl w:ilvl="0">
      <w:start w:val="1"/>
      <w:numFmt w:val="decimal"/>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D6430C4"/>
    <w:multiLevelType w:val="hybridMultilevel"/>
    <w:tmpl w:val="C7B401D2"/>
    <w:lvl w:ilvl="0" w:tplc="31CA7F00">
      <w:start w:val="1"/>
      <w:numFmt w:val="decimal"/>
      <w:pStyle w:val="FIG"/>
      <w:lvlText w:val="Figure %1 -"/>
      <w:lvlJc w:val="center"/>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8" w15:restartNumberingAfterBreak="0">
    <w:nsid w:val="5E21731C"/>
    <w:multiLevelType w:val="hybridMultilevel"/>
    <w:tmpl w:val="9EDCD1E6"/>
    <w:lvl w:ilvl="0" w:tplc="D488DE60">
      <w:start w:val="1"/>
      <w:numFmt w:val="decimal"/>
      <w:pStyle w:val="TBL"/>
      <w:lvlText w:val="Table %1 - "/>
      <w:lvlJc w:val="left"/>
      <w:pPr>
        <w:ind w:left="108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CA4821"/>
    <w:multiLevelType w:val="hybridMultilevel"/>
    <w:tmpl w:val="B6DA6AE2"/>
    <w:lvl w:ilvl="0" w:tplc="797E59F6">
      <w:start w:val="1"/>
      <w:numFmt w:val="bullet"/>
      <w:lvlText w:val="-"/>
      <w:lvlJc w:val="left"/>
      <w:pPr>
        <w:ind w:left="720" w:hanging="360"/>
      </w:pPr>
      <w:rPr>
        <w:rFonts w:ascii="Courier New" w:hAnsi="Courier New" w:hint="default"/>
        <w:color w:val="404040" w:themeColor="accent3"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C4134B"/>
    <w:multiLevelType w:val="hybridMultilevel"/>
    <w:tmpl w:val="B3820A4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6FC07B80"/>
    <w:multiLevelType w:val="hybridMultilevel"/>
    <w:tmpl w:val="C84A5CF4"/>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pStyle w:val="WPPR2"/>
      <w:lvlText w:val="%1.%2.%3.%4"/>
      <w:lvlJc w:val="left"/>
      <w:pPr>
        <w:ind w:left="1584" w:hanging="864"/>
      </w:pPr>
      <w:rPr>
        <w:rFonts w:hint="default"/>
      </w:rPr>
    </w:lvl>
    <w:lvl w:ilvl="4">
      <w:start w:val="1"/>
      <w:numFmt w:val="decimal"/>
      <w:pStyle w:val="WPPR3"/>
      <w:lvlText w:val="%1.%2.%3.%4.%5"/>
      <w:lvlJc w:val="left"/>
      <w:pPr>
        <w:ind w:left="1728" w:hanging="1008"/>
      </w:pPr>
      <w:rPr>
        <w:rFonts w:hint="default"/>
      </w:rPr>
    </w:lvl>
    <w:lvl w:ilvl="5">
      <w:start w:val="1"/>
      <w:numFmt w:val="decimal"/>
      <w:pStyle w:val="WPPR4"/>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4" w15:restartNumberingAfterBreak="0">
    <w:nsid w:val="7FD56A96"/>
    <w:multiLevelType w:val="hybridMultilevel"/>
    <w:tmpl w:val="0150958A"/>
    <w:lvl w:ilvl="0" w:tplc="7B80543E">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1"/>
  </w:num>
  <w:num w:numId="5">
    <w:abstractNumId w:val="3"/>
  </w:num>
  <w:num w:numId="6">
    <w:abstractNumId w:val="2"/>
  </w:num>
  <w:num w:numId="7">
    <w:abstractNumId w:val="14"/>
  </w:num>
  <w:num w:numId="8">
    <w:abstractNumId w:val="1"/>
  </w:num>
  <w:num w:numId="9">
    <w:abstractNumId w:val="1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3">
    <w:abstractNumId w:val="8"/>
  </w:num>
  <w:num w:numId="14">
    <w:abstractNumId w:val="6"/>
  </w:num>
  <w:num w:numId="15">
    <w:abstractNumId w:val="0"/>
  </w:num>
  <w:num w:numId="1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369"/>
    <w:rsid w:val="00001AD9"/>
    <w:rsid w:val="00004D9A"/>
    <w:rsid w:val="000051B5"/>
    <w:rsid w:val="00005B06"/>
    <w:rsid w:val="000063B0"/>
    <w:rsid w:val="000110D9"/>
    <w:rsid w:val="000111AF"/>
    <w:rsid w:val="000112C4"/>
    <w:rsid w:val="00012240"/>
    <w:rsid w:val="00014432"/>
    <w:rsid w:val="00016928"/>
    <w:rsid w:val="00020218"/>
    <w:rsid w:val="00021D6F"/>
    <w:rsid w:val="000220A0"/>
    <w:rsid w:val="0002389A"/>
    <w:rsid w:val="00026C72"/>
    <w:rsid w:val="00026D58"/>
    <w:rsid w:val="000302DF"/>
    <w:rsid w:val="00031184"/>
    <w:rsid w:val="00036523"/>
    <w:rsid w:val="0003685D"/>
    <w:rsid w:val="00037A06"/>
    <w:rsid w:val="00041B32"/>
    <w:rsid w:val="0004333F"/>
    <w:rsid w:val="00045C04"/>
    <w:rsid w:val="00046BB0"/>
    <w:rsid w:val="00050EA9"/>
    <w:rsid w:val="00051DBB"/>
    <w:rsid w:val="00052C95"/>
    <w:rsid w:val="00054D4D"/>
    <w:rsid w:val="000551F6"/>
    <w:rsid w:val="00057E21"/>
    <w:rsid w:val="00057EBB"/>
    <w:rsid w:val="00061D34"/>
    <w:rsid w:val="000621A8"/>
    <w:rsid w:val="00063E11"/>
    <w:rsid w:val="00064281"/>
    <w:rsid w:val="000672E5"/>
    <w:rsid w:val="000678A8"/>
    <w:rsid w:val="000723DB"/>
    <w:rsid w:val="00072AB5"/>
    <w:rsid w:val="00074C5D"/>
    <w:rsid w:val="00074E3E"/>
    <w:rsid w:val="00075353"/>
    <w:rsid w:val="00075A20"/>
    <w:rsid w:val="000767E9"/>
    <w:rsid w:val="0008108C"/>
    <w:rsid w:val="000841AA"/>
    <w:rsid w:val="0008474A"/>
    <w:rsid w:val="00090BBF"/>
    <w:rsid w:val="000910B7"/>
    <w:rsid w:val="00091581"/>
    <w:rsid w:val="00092330"/>
    <w:rsid w:val="00094235"/>
    <w:rsid w:val="00094517"/>
    <w:rsid w:val="00094831"/>
    <w:rsid w:val="00096485"/>
    <w:rsid w:val="000978C8"/>
    <w:rsid w:val="000A00D6"/>
    <w:rsid w:val="000A031F"/>
    <w:rsid w:val="000A4D3A"/>
    <w:rsid w:val="000A62EF"/>
    <w:rsid w:val="000A66B7"/>
    <w:rsid w:val="000A7058"/>
    <w:rsid w:val="000B0732"/>
    <w:rsid w:val="000B6004"/>
    <w:rsid w:val="000B7A91"/>
    <w:rsid w:val="000C36B4"/>
    <w:rsid w:val="000C4736"/>
    <w:rsid w:val="000C680A"/>
    <w:rsid w:val="000C68C6"/>
    <w:rsid w:val="000C6D9B"/>
    <w:rsid w:val="000C6E80"/>
    <w:rsid w:val="000C72C1"/>
    <w:rsid w:val="000D3D6A"/>
    <w:rsid w:val="000D46DF"/>
    <w:rsid w:val="000D4975"/>
    <w:rsid w:val="000D7391"/>
    <w:rsid w:val="000E290A"/>
    <w:rsid w:val="000E486C"/>
    <w:rsid w:val="000E4A4B"/>
    <w:rsid w:val="000F1833"/>
    <w:rsid w:val="000F1A47"/>
    <w:rsid w:val="000F1AA3"/>
    <w:rsid w:val="000F33C7"/>
    <w:rsid w:val="0010064D"/>
    <w:rsid w:val="0010287E"/>
    <w:rsid w:val="00103399"/>
    <w:rsid w:val="001041D8"/>
    <w:rsid w:val="00104933"/>
    <w:rsid w:val="00111A53"/>
    <w:rsid w:val="00112346"/>
    <w:rsid w:val="00112C97"/>
    <w:rsid w:val="00113A08"/>
    <w:rsid w:val="0011498C"/>
    <w:rsid w:val="00117784"/>
    <w:rsid w:val="00120592"/>
    <w:rsid w:val="001216F4"/>
    <w:rsid w:val="001217DF"/>
    <w:rsid w:val="0012187D"/>
    <w:rsid w:val="001219B1"/>
    <w:rsid w:val="00122D0C"/>
    <w:rsid w:val="00122DD8"/>
    <w:rsid w:val="00124BFE"/>
    <w:rsid w:val="00126809"/>
    <w:rsid w:val="00127D8D"/>
    <w:rsid w:val="00130805"/>
    <w:rsid w:val="00131C5A"/>
    <w:rsid w:val="001334F9"/>
    <w:rsid w:val="001342D2"/>
    <w:rsid w:val="00134EC3"/>
    <w:rsid w:val="00142D3C"/>
    <w:rsid w:val="001436D7"/>
    <w:rsid w:val="00143736"/>
    <w:rsid w:val="00144451"/>
    <w:rsid w:val="001445DB"/>
    <w:rsid w:val="001451AB"/>
    <w:rsid w:val="001460AC"/>
    <w:rsid w:val="001471F3"/>
    <w:rsid w:val="00147B05"/>
    <w:rsid w:val="00151B9F"/>
    <w:rsid w:val="00154391"/>
    <w:rsid w:val="001564FC"/>
    <w:rsid w:val="00161DF1"/>
    <w:rsid w:val="0016220C"/>
    <w:rsid w:val="00163256"/>
    <w:rsid w:val="001634E4"/>
    <w:rsid w:val="00163A7E"/>
    <w:rsid w:val="00163BA6"/>
    <w:rsid w:val="001648F6"/>
    <w:rsid w:val="001652C2"/>
    <w:rsid w:val="001702F9"/>
    <w:rsid w:val="00170D1A"/>
    <w:rsid w:val="00171BB8"/>
    <w:rsid w:val="00171CCA"/>
    <w:rsid w:val="00174707"/>
    <w:rsid w:val="0017748F"/>
    <w:rsid w:val="00180DAD"/>
    <w:rsid w:val="00181672"/>
    <w:rsid w:val="00181E01"/>
    <w:rsid w:val="001838B8"/>
    <w:rsid w:val="0018684E"/>
    <w:rsid w:val="0018694F"/>
    <w:rsid w:val="00186EF2"/>
    <w:rsid w:val="00190075"/>
    <w:rsid w:val="001944A0"/>
    <w:rsid w:val="00194891"/>
    <w:rsid w:val="00195B03"/>
    <w:rsid w:val="00195CF3"/>
    <w:rsid w:val="00196649"/>
    <w:rsid w:val="001966D3"/>
    <w:rsid w:val="00196919"/>
    <w:rsid w:val="001A039F"/>
    <w:rsid w:val="001A11C7"/>
    <w:rsid w:val="001A4BAE"/>
    <w:rsid w:val="001A4BE1"/>
    <w:rsid w:val="001A7A21"/>
    <w:rsid w:val="001B1D23"/>
    <w:rsid w:val="001B1F35"/>
    <w:rsid w:val="001B281D"/>
    <w:rsid w:val="001B2D38"/>
    <w:rsid w:val="001C2ACE"/>
    <w:rsid w:val="001C3F39"/>
    <w:rsid w:val="001C45A1"/>
    <w:rsid w:val="001C4E84"/>
    <w:rsid w:val="001C55E2"/>
    <w:rsid w:val="001C6C9B"/>
    <w:rsid w:val="001C7134"/>
    <w:rsid w:val="001D227C"/>
    <w:rsid w:val="001D3A40"/>
    <w:rsid w:val="001D65A6"/>
    <w:rsid w:val="001D7A57"/>
    <w:rsid w:val="001E19A3"/>
    <w:rsid w:val="001E4C3F"/>
    <w:rsid w:val="001E6273"/>
    <w:rsid w:val="001F114E"/>
    <w:rsid w:val="001F344D"/>
    <w:rsid w:val="001F735E"/>
    <w:rsid w:val="002005A8"/>
    <w:rsid w:val="002006B6"/>
    <w:rsid w:val="00202110"/>
    <w:rsid w:val="00202532"/>
    <w:rsid w:val="002042DB"/>
    <w:rsid w:val="00205BAF"/>
    <w:rsid w:val="00207F85"/>
    <w:rsid w:val="0021226A"/>
    <w:rsid w:val="00212899"/>
    <w:rsid w:val="00214F83"/>
    <w:rsid w:val="00215CFF"/>
    <w:rsid w:val="0021757C"/>
    <w:rsid w:val="00217985"/>
    <w:rsid w:val="00220C27"/>
    <w:rsid w:val="00225142"/>
    <w:rsid w:val="00226694"/>
    <w:rsid w:val="00226D55"/>
    <w:rsid w:val="00227BDD"/>
    <w:rsid w:val="002308DB"/>
    <w:rsid w:val="002315C6"/>
    <w:rsid w:val="002318A4"/>
    <w:rsid w:val="00232FA4"/>
    <w:rsid w:val="00233125"/>
    <w:rsid w:val="002335FF"/>
    <w:rsid w:val="00233D87"/>
    <w:rsid w:val="0023666C"/>
    <w:rsid w:val="00236E0A"/>
    <w:rsid w:val="00236E2F"/>
    <w:rsid w:val="00237964"/>
    <w:rsid w:val="002379CC"/>
    <w:rsid w:val="002434DE"/>
    <w:rsid w:val="00245AFF"/>
    <w:rsid w:val="0024628D"/>
    <w:rsid w:val="0024690E"/>
    <w:rsid w:val="0024691D"/>
    <w:rsid w:val="00246F25"/>
    <w:rsid w:val="00251ABC"/>
    <w:rsid w:val="002524CF"/>
    <w:rsid w:val="00256400"/>
    <w:rsid w:val="00256841"/>
    <w:rsid w:val="00260C0F"/>
    <w:rsid w:val="0026182B"/>
    <w:rsid w:val="00261DDA"/>
    <w:rsid w:val="002634C6"/>
    <w:rsid w:val="00264CCB"/>
    <w:rsid w:val="002737D3"/>
    <w:rsid w:val="00274E9C"/>
    <w:rsid w:val="002760E3"/>
    <w:rsid w:val="00276F9B"/>
    <w:rsid w:val="00277AFF"/>
    <w:rsid w:val="00285C3A"/>
    <w:rsid w:val="00286385"/>
    <w:rsid w:val="002866DC"/>
    <w:rsid w:val="0028789E"/>
    <w:rsid w:val="00287B25"/>
    <w:rsid w:val="002920CC"/>
    <w:rsid w:val="00293E33"/>
    <w:rsid w:val="00294233"/>
    <w:rsid w:val="002942B0"/>
    <w:rsid w:val="0029555D"/>
    <w:rsid w:val="0029646E"/>
    <w:rsid w:val="0029781E"/>
    <w:rsid w:val="00297CCD"/>
    <w:rsid w:val="002A0B1F"/>
    <w:rsid w:val="002A1B5C"/>
    <w:rsid w:val="002A1D7D"/>
    <w:rsid w:val="002A2471"/>
    <w:rsid w:val="002A2A94"/>
    <w:rsid w:val="002B107C"/>
    <w:rsid w:val="002B2C97"/>
    <w:rsid w:val="002B3BF4"/>
    <w:rsid w:val="002B4848"/>
    <w:rsid w:val="002B547B"/>
    <w:rsid w:val="002B6DED"/>
    <w:rsid w:val="002B6F2A"/>
    <w:rsid w:val="002B7E54"/>
    <w:rsid w:val="002C06FC"/>
    <w:rsid w:val="002C1117"/>
    <w:rsid w:val="002C2FBD"/>
    <w:rsid w:val="002C4CA2"/>
    <w:rsid w:val="002C67DF"/>
    <w:rsid w:val="002C7708"/>
    <w:rsid w:val="002D0036"/>
    <w:rsid w:val="002D1E44"/>
    <w:rsid w:val="002D29F8"/>
    <w:rsid w:val="002D2CC7"/>
    <w:rsid w:val="002D40EE"/>
    <w:rsid w:val="002D4993"/>
    <w:rsid w:val="002D50E9"/>
    <w:rsid w:val="002D58AE"/>
    <w:rsid w:val="002D5CFA"/>
    <w:rsid w:val="002E32E3"/>
    <w:rsid w:val="002E580F"/>
    <w:rsid w:val="002F2635"/>
    <w:rsid w:val="002F376F"/>
    <w:rsid w:val="002F48A2"/>
    <w:rsid w:val="00302710"/>
    <w:rsid w:val="00302A82"/>
    <w:rsid w:val="00304502"/>
    <w:rsid w:val="00307F3B"/>
    <w:rsid w:val="003103FB"/>
    <w:rsid w:val="00313055"/>
    <w:rsid w:val="00313E1D"/>
    <w:rsid w:val="00321420"/>
    <w:rsid w:val="00321489"/>
    <w:rsid w:val="00321E45"/>
    <w:rsid w:val="003225AD"/>
    <w:rsid w:val="003247FA"/>
    <w:rsid w:val="003260CB"/>
    <w:rsid w:val="0032690D"/>
    <w:rsid w:val="00327732"/>
    <w:rsid w:val="003309DA"/>
    <w:rsid w:val="00332B1B"/>
    <w:rsid w:val="00333809"/>
    <w:rsid w:val="00336313"/>
    <w:rsid w:val="00337D1D"/>
    <w:rsid w:val="00340EBC"/>
    <w:rsid w:val="0034138D"/>
    <w:rsid w:val="00341DAE"/>
    <w:rsid w:val="00344076"/>
    <w:rsid w:val="0034585A"/>
    <w:rsid w:val="00350004"/>
    <w:rsid w:val="003501C3"/>
    <w:rsid w:val="0035060F"/>
    <w:rsid w:val="00352864"/>
    <w:rsid w:val="00356AEA"/>
    <w:rsid w:val="00360FD8"/>
    <w:rsid w:val="00361B16"/>
    <w:rsid w:val="00362F9E"/>
    <w:rsid w:val="003634C6"/>
    <w:rsid w:val="00363BE8"/>
    <w:rsid w:val="003657E1"/>
    <w:rsid w:val="0037028A"/>
    <w:rsid w:val="00372F61"/>
    <w:rsid w:val="00376715"/>
    <w:rsid w:val="0037673C"/>
    <w:rsid w:val="0038390D"/>
    <w:rsid w:val="00385069"/>
    <w:rsid w:val="00387072"/>
    <w:rsid w:val="00392097"/>
    <w:rsid w:val="00392684"/>
    <w:rsid w:val="00394414"/>
    <w:rsid w:val="003A322F"/>
    <w:rsid w:val="003A5079"/>
    <w:rsid w:val="003A5565"/>
    <w:rsid w:val="003A6A18"/>
    <w:rsid w:val="003B075F"/>
    <w:rsid w:val="003B28EF"/>
    <w:rsid w:val="003B514F"/>
    <w:rsid w:val="003B7610"/>
    <w:rsid w:val="003C16DE"/>
    <w:rsid w:val="003C2CC3"/>
    <w:rsid w:val="003C3701"/>
    <w:rsid w:val="003C4230"/>
    <w:rsid w:val="003C6546"/>
    <w:rsid w:val="003C73AD"/>
    <w:rsid w:val="003C7721"/>
    <w:rsid w:val="003D07C1"/>
    <w:rsid w:val="003D1635"/>
    <w:rsid w:val="003D1FB8"/>
    <w:rsid w:val="003D234F"/>
    <w:rsid w:val="003D7091"/>
    <w:rsid w:val="003D7104"/>
    <w:rsid w:val="003E083E"/>
    <w:rsid w:val="003E5605"/>
    <w:rsid w:val="003E75E0"/>
    <w:rsid w:val="003F0226"/>
    <w:rsid w:val="003F269E"/>
    <w:rsid w:val="003F4964"/>
    <w:rsid w:val="003F606B"/>
    <w:rsid w:val="003F65F3"/>
    <w:rsid w:val="003F766B"/>
    <w:rsid w:val="00401C34"/>
    <w:rsid w:val="00401C43"/>
    <w:rsid w:val="004030CD"/>
    <w:rsid w:val="004046FF"/>
    <w:rsid w:val="00410790"/>
    <w:rsid w:val="00411EF4"/>
    <w:rsid w:val="004133BB"/>
    <w:rsid w:val="004142EF"/>
    <w:rsid w:val="00414D03"/>
    <w:rsid w:val="00417D5A"/>
    <w:rsid w:val="00420958"/>
    <w:rsid w:val="00420EF1"/>
    <w:rsid w:val="00421242"/>
    <w:rsid w:val="00421920"/>
    <w:rsid w:val="0042307C"/>
    <w:rsid w:val="00423D33"/>
    <w:rsid w:val="004249A0"/>
    <w:rsid w:val="004251BC"/>
    <w:rsid w:val="00426469"/>
    <w:rsid w:val="0043116F"/>
    <w:rsid w:val="00431705"/>
    <w:rsid w:val="00432D49"/>
    <w:rsid w:val="00433289"/>
    <w:rsid w:val="00433570"/>
    <w:rsid w:val="004339EA"/>
    <w:rsid w:val="00433E8F"/>
    <w:rsid w:val="00434145"/>
    <w:rsid w:val="00434BF5"/>
    <w:rsid w:val="00434DF5"/>
    <w:rsid w:val="00444DFC"/>
    <w:rsid w:val="0044560D"/>
    <w:rsid w:val="0044577B"/>
    <w:rsid w:val="004517F1"/>
    <w:rsid w:val="00452FD9"/>
    <w:rsid w:val="004534D4"/>
    <w:rsid w:val="00453B87"/>
    <w:rsid w:val="00453B92"/>
    <w:rsid w:val="00454ABB"/>
    <w:rsid w:val="004556DF"/>
    <w:rsid w:val="00461AE3"/>
    <w:rsid w:val="00462548"/>
    <w:rsid w:val="00462BB6"/>
    <w:rsid w:val="004644E1"/>
    <w:rsid w:val="00464A63"/>
    <w:rsid w:val="004655A0"/>
    <w:rsid w:val="00466C27"/>
    <w:rsid w:val="00466DD6"/>
    <w:rsid w:val="0046736E"/>
    <w:rsid w:val="00467C34"/>
    <w:rsid w:val="00470670"/>
    <w:rsid w:val="00472121"/>
    <w:rsid w:val="00472286"/>
    <w:rsid w:val="00474A19"/>
    <w:rsid w:val="00475A47"/>
    <w:rsid w:val="00475D57"/>
    <w:rsid w:val="00477EDD"/>
    <w:rsid w:val="004801AC"/>
    <w:rsid w:val="004813F7"/>
    <w:rsid w:val="00481F11"/>
    <w:rsid w:val="00483751"/>
    <w:rsid w:val="00484197"/>
    <w:rsid w:val="00484536"/>
    <w:rsid w:val="00486585"/>
    <w:rsid w:val="00490EB6"/>
    <w:rsid w:val="00492436"/>
    <w:rsid w:val="004940CC"/>
    <w:rsid w:val="00497289"/>
    <w:rsid w:val="004A06AE"/>
    <w:rsid w:val="004A231C"/>
    <w:rsid w:val="004A3BFF"/>
    <w:rsid w:val="004A510D"/>
    <w:rsid w:val="004A5A65"/>
    <w:rsid w:val="004A6DF0"/>
    <w:rsid w:val="004B06E3"/>
    <w:rsid w:val="004B35DC"/>
    <w:rsid w:val="004B4900"/>
    <w:rsid w:val="004B4A93"/>
    <w:rsid w:val="004B5888"/>
    <w:rsid w:val="004B6EFC"/>
    <w:rsid w:val="004B7F05"/>
    <w:rsid w:val="004C2A36"/>
    <w:rsid w:val="004C3663"/>
    <w:rsid w:val="004C57EC"/>
    <w:rsid w:val="004C69F2"/>
    <w:rsid w:val="004C709B"/>
    <w:rsid w:val="004D0C20"/>
    <w:rsid w:val="004D1461"/>
    <w:rsid w:val="004D2452"/>
    <w:rsid w:val="004D3045"/>
    <w:rsid w:val="004D3A71"/>
    <w:rsid w:val="004D3CE4"/>
    <w:rsid w:val="004D4EE6"/>
    <w:rsid w:val="004D7E51"/>
    <w:rsid w:val="004E04EE"/>
    <w:rsid w:val="004E0525"/>
    <w:rsid w:val="004E0E94"/>
    <w:rsid w:val="004E1B37"/>
    <w:rsid w:val="004E2704"/>
    <w:rsid w:val="004E4D01"/>
    <w:rsid w:val="004F1A85"/>
    <w:rsid w:val="004F65E1"/>
    <w:rsid w:val="004F705B"/>
    <w:rsid w:val="00500964"/>
    <w:rsid w:val="00500C66"/>
    <w:rsid w:val="00501103"/>
    <w:rsid w:val="00503E46"/>
    <w:rsid w:val="00503F65"/>
    <w:rsid w:val="00505555"/>
    <w:rsid w:val="00505B94"/>
    <w:rsid w:val="005130EC"/>
    <w:rsid w:val="005146E6"/>
    <w:rsid w:val="005171CD"/>
    <w:rsid w:val="00521CA2"/>
    <w:rsid w:val="00522EEB"/>
    <w:rsid w:val="005246CE"/>
    <w:rsid w:val="00526427"/>
    <w:rsid w:val="00530A79"/>
    <w:rsid w:val="005316AA"/>
    <w:rsid w:val="00534105"/>
    <w:rsid w:val="00535A42"/>
    <w:rsid w:val="00537219"/>
    <w:rsid w:val="0053748E"/>
    <w:rsid w:val="00540157"/>
    <w:rsid w:val="005449C6"/>
    <w:rsid w:val="00546B24"/>
    <w:rsid w:val="0055671E"/>
    <w:rsid w:val="00556D8E"/>
    <w:rsid w:val="0055779A"/>
    <w:rsid w:val="00557AC6"/>
    <w:rsid w:val="00566B42"/>
    <w:rsid w:val="00566F11"/>
    <w:rsid w:val="0057165C"/>
    <w:rsid w:val="00571983"/>
    <w:rsid w:val="005722C6"/>
    <w:rsid w:val="00572421"/>
    <w:rsid w:val="0057466D"/>
    <w:rsid w:val="00577815"/>
    <w:rsid w:val="00580CEA"/>
    <w:rsid w:val="00580FF8"/>
    <w:rsid w:val="00581857"/>
    <w:rsid w:val="00585C8D"/>
    <w:rsid w:val="005862CC"/>
    <w:rsid w:val="00587076"/>
    <w:rsid w:val="00590848"/>
    <w:rsid w:val="005911FE"/>
    <w:rsid w:val="00592778"/>
    <w:rsid w:val="0059312F"/>
    <w:rsid w:val="00595758"/>
    <w:rsid w:val="00596081"/>
    <w:rsid w:val="005A3943"/>
    <w:rsid w:val="005A51E6"/>
    <w:rsid w:val="005A632E"/>
    <w:rsid w:val="005B1411"/>
    <w:rsid w:val="005B4E72"/>
    <w:rsid w:val="005B7418"/>
    <w:rsid w:val="005C03A9"/>
    <w:rsid w:val="005C2BFC"/>
    <w:rsid w:val="005C324B"/>
    <w:rsid w:val="005C39FB"/>
    <w:rsid w:val="005C43E2"/>
    <w:rsid w:val="005C454A"/>
    <w:rsid w:val="005C51E0"/>
    <w:rsid w:val="005C6E32"/>
    <w:rsid w:val="005C74C9"/>
    <w:rsid w:val="005D000F"/>
    <w:rsid w:val="005D0817"/>
    <w:rsid w:val="005D1B14"/>
    <w:rsid w:val="005D257B"/>
    <w:rsid w:val="005D2680"/>
    <w:rsid w:val="005D2E97"/>
    <w:rsid w:val="005D30DE"/>
    <w:rsid w:val="005D4B52"/>
    <w:rsid w:val="005D5F38"/>
    <w:rsid w:val="005D6280"/>
    <w:rsid w:val="005E0DDF"/>
    <w:rsid w:val="005E1D5C"/>
    <w:rsid w:val="005E25DC"/>
    <w:rsid w:val="005E3998"/>
    <w:rsid w:val="005E52AE"/>
    <w:rsid w:val="005E5607"/>
    <w:rsid w:val="005E567C"/>
    <w:rsid w:val="005E7900"/>
    <w:rsid w:val="005E7E7E"/>
    <w:rsid w:val="005F334B"/>
    <w:rsid w:val="005F3A35"/>
    <w:rsid w:val="005F505E"/>
    <w:rsid w:val="005F5106"/>
    <w:rsid w:val="005F5FA4"/>
    <w:rsid w:val="00602976"/>
    <w:rsid w:val="0060388D"/>
    <w:rsid w:val="00603EEE"/>
    <w:rsid w:val="00604231"/>
    <w:rsid w:val="006068F3"/>
    <w:rsid w:val="00610C2F"/>
    <w:rsid w:val="00610C9A"/>
    <w:rsid w:val="00612370"/>
    <w:rsid w:val="00615003"/>
    <w:rsid w:val="0061791A"/>
    <w:rsid w:val="00620008"/>
    <w:rsid w:val="0062187C"/>
    <w:rsid w:val="00621CD7"/>
    <w:rsid w:val="00622869"/>
    <w:rsid w:val="00625805"/>
    <w:rsid w:val="00626CF0"/>
    <w:rsid w:val="00627AC4"/>
    <w:rsid w:val="0063253B"/>
    <w:rsid w:val="0063341D"/>
    <w:rsid w:val="00634C2E"/>
    <w:rsid w:val="006363C8"/>
    <w:rsid w:val="006378F8"/>
    <w:rsid w:val="00637AB8"/>
    <w:rsid w:val="0064370D"/>
    <w:rsid w:val="00643771"/>
    <w:rsid w:val="00644946"/>
    <w:rsid w:val="00645C12"/>
    <w:rsid w:val="00646AB8"/>
    <w:rsid w:val="00647BD9"/>
    <w:rsid w:val="00654A3E"/>
    <w:rsid w:val="00656F12"/>
    <w:rsid w:val="00661FA9"/>
    <w:rsid w:val="006624A7"/>
    <w:rsid w:val="006635C0"/>
    <w:rsid w:val="00663E1E"/>
    <w:rsid w:val="0066515F"/>
    <w:rsid w:val="006668AF"/>
    <w:rsid w:val="00667840"/>
    <w:rsid w:val="0067278C"/>
    <w:rsid w:val="00673EBD"/>
    <w:rsid w:val="00676D41"/>
    <w:rsid w:val="00680235"/>
    <w:rsid w:val="0068298E"/>
    <w:rsid w:val="00686439"/>
    <w:rsid w:val="00687649"/>
    <w:rsid w:val="00690F7A"/>
    <w:rsid w:val="00694140"/>
    <w:rsid w:val="006978C5"/>
    <w:rsid w:val="006A38AB"/>
    <w:rsid w:val="006A4588"/>
    <w:rsid w:val="006A5210"/>
    <w:rsid w:val="006A6051"/>
    <w:rsid w:val="006A7968"/>
    <w:rsid w:val="006B28A2"/>
    <w:rsid w:val="006B31D9"/>
    <w:rsid w:val="006B6CE1"/>
    <w:rsid w:val="006C0102"/>
    <w:rsid w:val="006C07D4"/>
    <w:rsid w:val="006C41AD"/>
    <w:rsid w:val="006C6562"/>
    <w:rsid w:val="006C66A1"/>
    <w:rsid w:val="006C753D"/>
    <w:rsid w:val="006C7855"/>
    <w:rsid w:val="006D04BD"/>
    <w:rsid w:val="006D54FF"/>
    <w:rsid w:val="006D6644"/>
    <w:rsid w:val="006D7180"/>
    <w:rsid w:val="006E13A9"/>
    <w:rsid w:val="006E1519"/>
    <w:rsid w:val="006E3C10"/>
    <w:rsid w:val="006E433B"/>
    <w:rsid w:val="006E663C"/>
    <w:rsid w:val="006E67A2"/>
    <w:rsid w:val="006E6ECE"/>
    <w:rsid w:val="006E7899"/>
    <w:rsid w:val="006E7C78"/>
    <w:rsid w:val="006F27F4"/>
    <w:rsid w:val="006F2E23"/>
    <w:rsid w:val="006F4F34"/>
    <w:rsid w:val="006F5726"/>
    <w:rsid w:val="006F7024"/>
    <w:rsid w:val="00702751"/>
    <w:rsid w:val="00703A7C"/>
    <w:rsid w:val="007065E4"/>
    <w:rsid w:val="007076DA"/>
    <w:rsid w:val="00707860"/>
    <w:rsid w:val="0071415E"/>
    <w:rsid w:val="0071713E"/>
    <w:rsid w:val="007205BD"/>
    <w:rsid w:val="007207BF"/>
    <w:rsid w:val="007219FC"/>
    <w:rsid w:val="0072431B"/>
    <w:rsid w:val="00725CB0"/>
    <w:rsid w:val="00733299"/>
    <w:rsid w:val="0073517D"/>
    <w:rsid w:val="007353FF"/>
    <w:rsid w:val="00735B94"/>
    <w:rsid w:val="0073638D"/>
    <w:rsid w:val="0073685C"/>
    <w:rsid w:val="00736D87"/>
    <w:rsid w:val="00737EA5"/>
    <w:rsid w:val="007400AE"/>
    <w:rsid w:val="00741F3E"/>
    <w:rsid w:val="00743AA8"/>
    <w:rsid w:val="00747A55"/>
    <w:rsid w:val="00750840"/>
    <w:rsid w:val="0075183A"/>
    <w:rsid w:val="007550BD"/>
    <w:rsid w:val="007562C1"/>
    <w:rsid w:val="00757617"/>
    <w:rsid w:val="00760E9C"/>
    <w:rsid w:val="00762B98"/>
    <w:rsid w:val="00763AD8"/>
    <w:rsid w:val="00765016"/>
    <w:rsid w:val="00766564"/>
    <w:rsid w:val="00767EDE"/>
    <w:rsid w:val="0077100C"/>
    <w:rsid w:val="00776C39"/>
    <w:rsid w:val="00776D6D"/>
    <w:rsid w:val="00781D00"/>
    <w:rsid w:val="007823C2"/>
    <w:rsid w:val="00783C18"/>
    <w:rsid w:val="00784C28"/>
    <w:rsid w:val="00787FCA"/>
    <w:rsid w:val="007900F3"/>
    <w:rsid w:val="00791B69"/>
    <w:rsid w:val="0079329B"/>
    <w:rsid w:val="0079395C"/>
    <w:rsid w:val="00793B08"/>
    <w:rsid w:val="0079498E"/>
    <w:rsid w:val="0079618B"/>
    <w:rsid w:val="00796F10"/>
    <w:rsid w:val="007A312F"/>
    <w:rsid w:val="007A603F"/>
    <w:rsid w:val="007A6AB5"/>
    <w:rsid w:val="007A72AC"/>
    <w:rsid w:val="007B14D9"/>
    <w:rsid w:val="007B2B46"/>
    <w:rsid w:val="007B30F2"/>
    <w:rsid w:val="007B377F"/>
    <w:rsid w:val="007B4274"/>
    <w:rsid w:val="007B4C27"/>
    <w:rsid w:val="007B5117"/>
    <w:rsid w:val="007B5417"/>
    <w:rsid w:val="007B599D"/>
    <w:rsid w:val="007B5F04"/>
    <w:rsid w:val="007B6650"/>
    <w:rsid w:val="007B66BC"/>
    <w:rsid w:val="007B6A74"/>
    <w:rsid w:val="007B7903"/>
    <w:rsid w:val="007C14DA"/>
    <w:rsid w:val="007C1843"/>
    <w:rsid w:val="007C1AA4"/>
    <w:rsid w:val="007C2DC8"/>
    <w:rsid w:val="007C34F0"/>
    <w:rsid w:val="007C5DB6"/>
    <w:rsid w:val="007C6163"/>
    <w:rsid w:val="007D0051"/>
    <w:rsid w:val="007D097E"/>
    <w:rsid w:val="007D1994"/>
    <w:rsid w:val="007D230B"/>
    <w:rsid w:val="007D2D80"/>
    <w:rsid w:val="007D2E64"/>
    <w:rsid w:val="007D3681"/>
    <w:rsid w:val="007D3824"/>
    <w:rsid w:val="007D3EB8"/>
    <w:rsid w:val="007D49A1"/>
    <w:rsid w:val="007D59DD"/>
    <w:rsid w:val="007E042A"/>
    <w:rsid w:val="007E1F66"/>
    <w:rsid w:val="007E2CB5"/>
    <w:rsid w:val="007E4C10"/>
    <w:rsid w:val="007E6501"/>
    <w:rsid w:val="007E6C25"/>
    <w:rsid w:val="007F0F72"/>
    <w:rsid w:val="007F19FD"/>
    <w:rsid w:val="007F31BE"/>
    <w:rsid w:val="007F32D7"/>
    <w:rsid w:val="00801632"/>
    <w:rsid w:val="00801BCF"/>
    <w:rsid w:val="00802334"/>
    <w:rsid w:val="0080520B"/>
    <w:rsid w:val="0080590C"/>
    <w:rsid w:val="00807B3E"/>
    <w:rsid w:val="00810D4A"/>
    <w:rsid w:val="00812DD4"/>
    <w:rsid w:val="00812F82"/>
    <w:rsid w:val="0081335F"/>
    <w:rsid w:val="008146FD"/>
    <w:rsid w:val="00816AAB"/>
    <w:rsid w:val="00817457"/>
    <w:rsid w:val="00820402"/>
    <w:rsid w:val="008225F5"/>
    <w:rsid w:val="008238A9"/>
    <w:rsid w:val="008243B2"/>
    <w:rsid w:val="00824F08"/>
    <w:rsid w:val="00826AEF"/>
    <w:rsid w:val="008310DF"/>
    <w:rsid w:val="00831105"/>
    <w:rsid w:val="00832FC3"/>
    <w:rsid w:val="00835487"/>
    <w:rsid w:val="00835A19"/>
    <w:rsid w:val="00844A4B"/>
    <w:rsid w:val="0084664B"/>
    <w:rsid w:val="00850327"/>
    <w:rsid w:val="00854676"/>
    <w:rsid w:val="008563EB"/>
    <w:rsid w:val="008607C0"/>
    <w:rsid w:val="00860CED"/>
    <w:rsid w:val="00863CD4"/>
    <w:rsid w:val="00865296"/>
    <w:rsid w:val="00867086"/>
    <w:rsid w:val="00867FCD"/>
    <w:rsid w:val="00871118"/>
    <w:rsid w:val="00873783"/>
    <w:rsid w:val="00874046"/>
    <w:rsid w:val="00874663"/>
    <w:rsid w:val="00881B95"/>
    <w:rsid w:val="00882B6B"/>
    <w:rsid w:val="008831CA"/>
    <w:rsid w:val="008836D3"/>
    <w:rsid w:val="00884557"/>
    <w:rsid w:val="00885258"/>
    <w:rsid w:val="008913CB"/>
    <w:rsid w:val="0089272A"/>
    <w:rsid w:val="00894078"/>
    <w:rsid w:val="00894890"/>
    <w:rsid w:val="00897247"/>
    <w:rsid w:val="008A23C9"/>
    <w:rsid w:val="008A49FA"/>
    <w:rsid w:val="008A64BC"/>
    <w:rsid w:val="008B08F0"/>
    <w:rsid w:val="008B262C"/>
    <w:rsid w:val="008B4FEB"/>
    <w:rsid w:val="008B604E"/>
    <w:rsid w:val="008B6FC8"/>
    <w:rsid w:val="008C186F"/>
    <w:rsid w:val="008C19E9"/>
    <w:rsid w:val="008C26E9"/>
    <w:rsid w:val="008C2B86"/>
    <w:rsid w:val="008C3E91"/>
    <w:rsid w:val="008C774E"/>
    <w:rsid w:val="008D0340"/>
    <w:rsid w:val="008D4652"/>
    <w:rsid w:val="008D6D9D"/>
    <w:rsid w:val="008E0BDD"/>
    <w:rsid w:val="008E3D70"/>
    <w:rsid w:val="008E6A55"/>
    <w:rsid w:val="008F02EB"/>
    <w:rsid w:val="008F1691"/>
    <w:rsid w:val="008F22E2"/>
    <w:rsid w:val="008F3D9A"/>
    <w:rsid w:val="008F53D0"/>
    <w:rsid w:val="008F5698"/>
    <w:rsid w:val="008F56B6"/>
    <w:rsid w:val="008F639E"/>
    <w:rsid w:val="00901E63"/>
    <w:rsid w:val="00901EF2"/>
    <w:rsid w:val="00903185"/>
    <w:rsid w:val="00903330"/>
    <w:rsid w:val="00903EB6"/>
    <w:rsid w:val="00904906"/>
    <w:rsid w:val="00904F9D"/>
    <w:rsid w:val="00904FDB"/>
    <w:rsid w:val="0090621B"/>
    <w:rsid w:val="0090760E"/>
    <w:rsid w:val="009079D0"/>
    <w:rsid w:val="00913D0A"/>
    <w:rsid w:val="009148A1"/>
    <w:rsid w:val="00917815"/>
    <w:rsid w:val="00922205"/>
    <w:rsid w:val="00924972"/>
    <w:rsid w:val="00925C55"/>
    <w:rsid w:val="00926530"/>
    <w:rsid w:val="00932E1E"/>
    <w:rsid w:val="00934068"/>
    <w:rsid w:val="00935CD5"/>
    <w:rsid w:val="009371B2"/>
    <w:rsid w:val="00937854"/>
    <w:rsid w:val="00937863"/>
    <w:rsid w:val="00937CF7"/>
    <w:rsid w:val="00941552"/>
    <w:rsid w:val="009418AA"/>
    <w:rsid w:val="00942D57"/>
    <w:rsid w:val="00945529"/>
    <w:rsid w:val="009469E0"/>
    <w:rsid w:val="009475EC"/>
    <w:rsid w:val="00951C4D"/>
    <w:rsid w:val="00952B58"/>
    <w:rsid w:val="00952E03"/>
    <w:rsid w:val="00952E4D"/>
    <w:rsid w:val="00953678"/>
    <w:rsid w:val="009547E2"/>
    <w:rsid w:val="00954C4B"/>
    <w:rsid w:val="00956488"/>
    <w:rsid w:val="00956F5F"/>
    <w:rsid w:val="00960792"/>
    <w:rsid w:val="009610DC"/>
    <w:rsid w:val="009625FD"/>
    <w:rsid w:val="0097154F"/>
    <w:rsid w:val="00972F8D"/>
    <w:rsid w:val="00975B91"/>
    <w:rsid w:val="009809DC"/>
    <w:rsid w:val="00982189"/>
    <w:rsid w:val="00985996"/>
    <w:rsid w:val="00986978"/>
    <w:rsid w:val="00994F74"/>
    <w:rsid w:val="0099563A"/>
    <w:rsid w:val="009A13F4"/>
    <w:rsid w:val="009A44BE"/>
    <w:rsid w:val="009B029F"/>
    <w:rsid w:val="009B27F8"/>
    <w:rsid w:val="009B4A8B"/>
    <w:rsid w:val="009B74FB"/>
    <w:rsid w:val="009C0660"/>
    <w:rsid w:val="009C07BA"/>
    <w:rsid w:val="009C31A4"/>
    <w:rsid w:val="009C4845"/>
    <w:rsid w:val="009C7314"/>
    <w:rsid w:val="009C7DFA"/>
    <w:rsid w:val="009D1C2F"/>
    <w:rsid w:val="009D2442"/>
    <w:rsid w:val="009D4E44"/>
    <w:rsid w:val="009D5D9F"/>
    <w:rsid w:val="009E02FA"/>
    <w:rsid w:val="009E0D97"/>
    <w:rsid w:val="009E0FA2"/>
    <w:rsid w:val="009E2244"/>
    <w:rsid w:val="009F2BAA"/>
    <w:rsid w:val="009F57FD"/>
    <w:rsid w:val="009F7F9F"/>
    <w:rsid w:val="00A00EEB"/>
    <w:rsid w:val="00A01E02"/>
    <w:rsid w:val="00A0247E"/>
    <w:rsid w:val="00A02E26"/>
    <w:rsid w:val="00A03EBC"/>
    <w:rsid w:val="00A05BA0"/>
    <w:rsid w:val="00A0627D"/>
    <w:rsid w:val="00A06AF7"/>
    <w:rsid w:val="00A071D2"/>
    <w:rsid w:val="00A13D53"/>
    <w:rsid w:val="00A159C9"/>
    <w:rsid w:val="00A167FB"/>
    <w:rsid w:val="00A21B70"/>
    <w:rsid w:val="00A21D02"/>
    <w:rsid w:val="00A21D82"/>
    <w:rsid w:val="00A21DDB"/>
    <w:rsid w:val="00A21EA4"/>
    <w:rsid w:val="00A23CF6"/>
    <w:rsid w:val="00A24D3D"/>
    <w:rsid w:val="00A2690C"/>
    <w:rsid w:val="00A2792F"/>
    <w:rsid w:val="00A27C15"/>
    <w:rsid w:val="00A30970"/>
    <w:rsid w:val="00A314E8"/>
    <w:rsid w:val="00A315E4"/>
    <w:rsid w:val="00A31D96"/>
    <w:rsid w:val="00A31FEE"/>
    <w:rsid w:val="00A33C55"/>
    <w:rsid w:val="00A34771"/>
    <w:rsid w:val="00A35A08"/>
    <w:rsid w:val="00A4005C"/>
    <w:rsid w:val="00A406C3"/>
    <w:rsid w:val="00A41291"/>
    <w:rsid w:val="00A42875"/>
    <w:rsid w:val="00A44DC1"/>
    <w:rsid w:val="00A458D6"/>
    <w:rsid w:val="00A45AC7"/>
    <w:rsid w:val="00A478BF"/>
    <w:rsid w:val="00A47A98"/>
    <w:rsid w:val="00A47EE7"/>
    <w:rsid w:val="00A500CB"/>
    <w:rsid w:val="00A50B43"/>
    <w:rsid w:val="00A51585"/>
    <w:rsid w:val="00A51C87"/>
    <w:rsid w:val="00A5363C"/>
    <w:rsid w:val="00A54197"/>
    <w:rsid w:val="00A5477B"/>
    <w:rsid w:val="00A57C46"/>
    <w:rsid w:val="00A601F5"/>
    <w:rsid w:val="00A602DB"/>
    <w:rsid w:val="00A61821"/>
    <w:rsid w:val="00A61E3A"/>
    <w:rsid w:val="00A631BA"/>
    <w:rsid w:val="00A63AA6"/>
    <w:rsid w:val="00A67CA5"/>
    <w:rsid w:val="00A72DAA"/>
    <w:rsid w:val="00A73004"/>
    <w:rsid w:val="00A75CCD"/>
    <w:rsid w:val="00A773D6"/>
    <w:rsid w:val="00A778BF"/>
    <w:rsid w:val="00A80506"/>
    <w:rsid w:val="00A806AE"/>
    <w:rsid w:val="00A8118F"/>
    <w:rsid w:val="00A83458"/>
    <w:rsid w:val="00A84241"/>
    <w:rsid w:val="00A8679D"/>
    <w:rsid w:val="00A86C41"/>
    <w:rsid w:val="00A90148"/>
    <w:rsid w:val="00A9044F"/>
    <w:rsid w:val="00A917F8"/>
    <w:rsid w:val="00A96488"/>
    <w:rsid w:val="00AA0D8C"/>
    <w:rsid w:val="00AA25BC"/>
    <w:rsid w:val="00AA2D62"/>
    <w:rsid w:val="00AA3077"/>
    <w:rsid w:val="00AA46AF"/>
    <w:rsid w:val="00AA5AE7"/>
    <w:rsid w:val="00AB014C"/>
    <w:rsid w:val="00AB0B95"/>
    <w:rsid w:val="00AB2BD9"/>
    <w:rsid w:val="00AB4E9E"/>
    <w:rsid w:val="00AB511A"/>
    <w:rsid w:val="00AB6899"/>
    <w:rsid w:val="00AB6C99"/>
    <w:rsid w:val="00AB739A"/>
    <w:rsid w:val="00AC0548"/>
    <w:rsid w:val="00AC11D5"/>
    <w:rsid w:val="00AC15E5"/>
    <w:rsid w:val="00AC177D"/>
    <w:rsid w:val="00AC22BB"/>
    <w:rsid w:val="00AC4080"/>
    <w:rsid w:val="00AC4F25"/>
    <w:rsid w:val="00AC5A6D"/>
    <w:rsid w:val="00AC5D73"/>
    <w:rsid w:val="00AC6CCE"/>
    <w:rsid w:val="00AC73AD"/>
    <w:rsid w:val="00AD056B"/>
    <w:rsid w:val="00AD4084"/>
    <w:rsid w:val="00AD5D26"/>
    <w:rsid w:val="00AD705A"/>
    <w:rsid w:val="00AD78F9"/>
    <w:rsid w:val="00AE008D"/>
    <w:rsid w:val="00AE067B"/>
    <w:rsid w:val="00AE30E0"/>
    <w:rsid w:val="00AE346F"/>
    <w:rsid w:val="00AE3AD5"/>
    <w:rsid w:val="00AF07BA"/>
    <w:rsid w:val="00AF0A71"/>
    <w:rsid w:val="00AF2329"/>
    <w:rsid w:val="00AF251C"/>
    <w:rsid w:val="00AF3660"/>
    <w:rsid w:val="00AF5D51"/>
    <w:rsid w:val="00AF5DED"/>
    <w:rsid w:val="00AF7A20"/>
    <w:rsid w:val="00B00A2F"/>
    <w:rsid w:val="00B01312"/>
    <w:rsid w:val="00B01C0E"/>
    <w:rsid w:val="00B0246C"/>
    <w:rsid w:val="00B0296E"/>
    <w:rsid w:val="00B02D98"/>
    <w:rsid w:val="00B02DFD"/>
    <w:rsid w:val="00B075B1"/>
    <w:rsid w:val="00B15D2F"/>
    <w:rsid w:val="00B16399"/>
    <w:rsid w:val="00B164ED"/>
    <w:rsid w:val="00B1760F"/>
    <w:rsid w:val="00B20DA3"/>
    <w:rsid w:val="00B242AF"/>
    <w:rsid w:val="00B2586D"/>
    <w:rsid w:val="00B25AE4"/>
    <w:rsid w:val="00B26909"/>
    <w:rsid w:val="00B275F9"/>
    <w:rsid w:val="00B27664"/>
    <w:rsid w:val="00B30EC6"/>
    <w:rsid w:val="00B31169"/>
    <w:rsid w:val="00B31828"/>
    <w:rsid w:val="00B326A8"/>
    <w:rsid w:val="00B356B6"/>
    <w:rsid w:val="00B35E81"/>
    <w:rsid w:val="00B363CD"/>
    <w:rsid w:val="00B367B3"/>
    <w:rsid w:val="00B37D1D"/>
    <w:rsid w:val="00B40C72"/>
    <w:rsid w:val="00B41E6B"/>
    <w:rsid w:val="00B42BEE"/>
    <w:rsid w:val="00B44D24"/>
    <w:rsid w:val="00B452B7"/>
    <w:rsid w:val="00B45709"/>
    <w:rsid w:val="00B458E3"/>
    <w:rsid w:val="00B4779C"/>
    <w:rsid w:val="00B50E0E"/>
    <w:rsid w:val="00B51052"/>
    <w:rsid w:val="00B518FF"/>
    <w:rsid w:val="00B51F5A"/>
    <w:rsid w:val="00B54F17"/>
    <w:rsid w:val="00B561EE"/>
    <w:rsid w:val="00B57D47"/>
    <w:rsid w:val="00B6210E"/>
    <w:rsid w:val="00B63097"/>
    <w:rsid w:val="00B632E3"/>
    <w:rsid w:val="00B64DC8"/>
    <w:rsid w:val="00B650EF"/>
    <w:rsid w:val="00B70688"/>
    <w:rsid w:val="00B70796"/>
    <w:rsid w:val="00B72ADC"/>
    <w:rsid w:val="00B73548"/>
    <w:rsid w:val="00B736F7"/>
    <w:rsid w:val="00B73741"/>
    <w:rsid w:val="00B77091"/>
    <w:rsid w:val="00B81908"/>
    <w:rsid w:val="00B8268A"/>
    <w:rsid w:val="00B837C1"/>
    <w:rsid w:val="00B841E0"/>
    <w:rsid w:val="00B860BA"/>
    <w:rsid w:val="00B865F5"/>
    <w:rsid w:val="00B86F8A"/>
    <w:rsid w:val="00B870A0"/>
    <w:rsid w:val="00B91DFE"/>
    <w:rsid w:val="00B95441"/>
    <w:rsid w:val="00B966E9"/>
    <w:rsid w:val="00B96BC7"/>
    <w:rsid w:val="00B97229"/>
    <w:rsid w:val="00BA08A3"/>
    <w:rsid w:val="00BA5AB3"/>
    <w:rsid w:val="00BA5E48"/>
    <w:rsid w:val="00BB0D4E"/>
    <w:rsid w:val="00BB227E"/>
    <w:rsid w:val="00BB297A"/>
    <w:rsid w:val="00BB3058"/>
    <w:rsid w:val="00BB3A41"/>
    <w:rsid w:val="00BB3BF6"/>
    <w:rsid w:val="00BB3E60"/>
    <w:rsid w:val="00BB4442"/>
    <w:rsid w:val="00BB5D48"/>
    <w:rsid w:val="00BB7E3D"/>
    <w:rsid w:val="00BC0330"/>
    <w:rsid w:val="00BC0B7E"/>
    <w:rsid w:val="00BC3CD1"/>
    <w:rsid w:val="00BC4961"/>
    <w:rsid w:val="00BC5EC6"/>
    <w:rsid w:val="00BC5F0E"/>
    <w:rsid w:val="00BC70D1"/>
    <w:rsid w:val="00BD053D"/>
    <w:rsid w:val="00BD2211"/>
    <w:rsid w:val="00BD221D"/>
    <w:rsid w:val="00BD3E65"/>
    <w:rsid w:val="00BD5934"/>
    <w:rsid w:val="00BD5DA5"/>
    <w:rsid w:val="00BD7785"/>
    <w:rsid w:val="00BE0944"/>
    <w:rsid w:val="00BE0CA4"/>
    <w:rsid w:val="00BE15E9"/>
    <w:rsid w:val="00BE3B2E"/>
    <w:rsid w:val="00BE7299"/>
    <w:rsid w:val="00BE7D30"/>
    <w:rsid w:val="00BF1B20"/>
    <w:rsid w:val="00BF1C69"/>
    <w:rsid w:val="00BF1CBD"/>
    <w:rsid w:val="00BF52C4"/>
    <w:rsid w:val="00BF552E"/>
    <w:rsid w:val="00BF691F"/>
    <w:rsid w:val="00C006BE"/>
    <w:rsid w:val="00C0213A"/>
    <w:rsid w:val="00C03920"/>
    <w:rsid w:val="00C05B8E"/>
    <w:rsid w:val="00C07B71"/>
    <w:rsid w:val="00C1063D"/>
    <w:rsid w:val="00C116FA"/>
    <w:rsid w:val="00C12F0B"/>
    <w:rsid w:val="00C12FD6"/>
    <w:rsid w:val="00C15D93"/>
    <w:rsid w:val="00C15E0E"/>
    <w:rsid w:val="00C23FB5"/>
    <w:rsid w:val="00C24518"/>
    <w:rsid w:val="00C24A1A"/>
    <w:rsid w:val="00C3033C"/>
    <w:rsid w:val="00C328B6"/>
    <w:rsid w:val="00C331BB"/>
    <w:rsid w:val="00C41A08"/>
    <w:rsid w:val="00C41F8D"/>
    <w:rsid w:val="00C420D5"/>
    <w:rsid w:val="00C422B9"/>
    <w:rsid w:val="00C4241E"/>
    <w:rsid w:val="00C50EFE"/>
    <w:rsid w:val="00C574EF"/>
    <w:rsid w:val="00C6105E"/>
    <w:rsid w:val="00C615A3"/>
    <w:rsid w:val="00C6198D"/>
    <w:rsid w:val="00C635DA"/>
    <w:rsid w:val="00C639E7"/>
    <w:rsid w:val="00C659BE"/>
    <w:rsid w:val="00C66B4B"/>
    <w:rsid w:val="00C670DB"/>
    <w:rsid w:val="00C67AC9"/>
    <w:rsid w:val="00C72BE1"/>
    <w:rsid w:val="00C76F09"/>
    <w:rsid w:val="00C772CF"/>
    <w:rsid w:val="00C80300"/>
    <w:rsid w:val="00C81384"/>
    <w:rsid w:val="00C82307"/>
    <w:rsid w:val="00C82C8D"/>
    <w:rsid w:val="00C84826"/>
    <w:rsid w:val="00C8613B"/>
    <w:rsid w:val="00C87FA0"/>
    <w:rsid w:val="00C9126E"/>
    <w:rsid w:val="00C917BB"/>
    <w:rsid w:val="00C92622"/>
    <w:rsid w:val="00C960AA"/>
    <w:rsid w:val="00C96855"/>
    <w:rsid w:val="00C97228"/>
    <w:rsid w:val="00C97320"/>
    <w:rsid w:val="00C9780D"/>
    <w:rsid w:val="00CA02DA"/>
    <w:rsid w:val="00CA0B61"/>
    <w:rsid w:val="00CA1A54"/>
    <w:rsid w:val="00CA2A76"/>
    <w:rsid w:val="00CB2B98"/>
    <w:rsid w:val="00CB37F6"/>
    <w:rsid w:val="00CB4ACF"/>
    <w:rsid w:val="00CC39EE"/>
    <w:rsid w:val="00CC46B2"/>
    <w:rsid w:val="00CC50A5"/>
    <w:rsid w:val="00CC5718"/>
    <w:rsid w:val="00CC67A9"/>
    <w:rsid w:val="00CD0008"/>
    <w:rsid w:val="00CD1352"/>
    <w:rsid w:val="00CD1CBE"/>
    <w:rsid w:val="00CD1E3E"/>
    <w:rsid w:val="00CD32E2"/>
    <w:rsid w:val="00CD4B0B"/>
    <w:rsid w:val="00CD5252"/>
    <w:rsid w:val="00CD5D79"/>
    <w:rsid w:val="00CD6698"/>
    <w:rsid w:val="00CD7F29"/>
    <w:rsid w:val="00CE07DB"/>
    <w:rsid w:val="00CE1E5B"/>
    <w:rsid w:val="00CE43D8"/>
    <w:rsid w:val="00CE5F3F"/>
    <w:rsid w:val="00CF0347"/>
    <w:rsid w:val="00CF1D92"/>
    <w:rsid w:val="00CF3DA2"/>
    <w:rsid w:val="00CF45C5"/>
    <w:rsid w:val="00CF5D91"/>
    <w:rsid w:val="00D0025C"/>
    <w:rsid w:val="00D004FB"/>
    <w:rsid w:val="00D02BBC"/>
    <w:rsid w:val="00D02C36"/>
    <w:rsid w:val="00D058FA"/>
    <w:rsid w:val="00D07117"/>
    <w:rsid w:val="00D07603"/>
    <w:rsid w:val="00D12172"/>
    <w:rsid w:val="00D12B8C"/>
    <w:rsid w:val="00D16C72"/>
    <w:rsid w:val="00D17F6F"/>
    <w:rsid w:val="00D17FFC"/>
    <w:rsid w:val="00D200F6"/>
    <w:rsid w:val="00D21646"/>
    <w:rsid w:val="00D22B13"/>
    <w:rsid w:val="00D24AC8"/>
    <w:rsid w:val="00D354E4"/>
    <w:rsid w:val="00D36A3A"/>
    <w:rsid w:val="00D416E3"/>
    <w:rsid w:val="00D4241D"/>
    <w:rsid w:val="00D45190"/>
    <w:rsid w:val="00D454F2"/>
    <w:rsid w:val="00D47A99"/>
    <w:rsid w:val="00D47CE9"/>
    <w:rsid w:val="00D52995"/>
    <w:rsid w:val="00D609C0"/>
    <w:rsid w:val="00D618DC"/>
    <w:rsid w:val="00D639F4"/>
    <w:rsid w:val="00D647ED"/>
    <w:rsid w:val="00D64B11"/>
    <w:rsid w:val="00D65202"/>
    <w:rsid w:val="00D728D8"/>
    <w:rsid w:val="00D72ADE"/>
    <w:rsid w:val="00D75233"/>
    <w:rsid w:val="00D7728F"/>
    <w:rsid w:val="00D77696"/>
    <w:rsid w:val="00D81621"/>
    <w:rsid w:val="00D81CC4"/>
    <w:rsid w:val="00D832D8"/>
    <w:rsid w:val="00D849C7"/>
    <w:rsid w:val="00D85498"/>
    <w:rsid w:val="00D86D52"/>
    <w:rsid w:val="00D90AD6"/>
    <w:rsid w:val="00D92DAB"/>
    <w:rsid w:val="00D94592"/>
    <w:rsid w:val="00D9581E"/>
    <w:rsid w:val="00D9765E"/>
    <w:rsid w:val="00D97E50"/>
    <w:rsid w:val="00DA247E"/>
    <w:rsid w:val="00DA3854"/>
    <w:rsid w:val="00DA3B26"/>
    <w:rsid w:val="00DA4591"/>
    <w:rsid w:val="00DA525E"/>
    <w:rsid w:val="00DA5B1F"/>
    <w:rsid w:val="00DA6430"/>
    <w:rsid w:val="00DB0AA1"/>
    <w:rsid w:val="00DB63DB"/>
    <w:rsid w:val="00DB7824"/>
    <w:rsid w:val="00DC16D9"/>
    <w:rsid w:val="00DC308E"/>
    <w:rsid w:val="00DC3F30"/>
    <w:rsid w:val="00DC4097"/>
    <w:rsid w:val="00DC5F50"/>
    <w:rsid w:val="00DC7F73"/>
    <w:rsid w:val="00DC7FF0"/>
    <w:rsid w:val="00DD7697"/>
    <w:rsid w:val="00DD7848"/>
    <w:rsid w:val="00DE0D15"/>
    <w:rsid w:val="00DE191A"/>
    <w:rsid w:val="00DE1A0F"/>
    <w:rsid w:val="00DE3123"/>
    <w:rsid w:val="00DE339F"/>
    <w:rsid w:val="00DE56F5"/>
    <w:rsid w:val="00DF1535"/>
    <w:rsid w:val="00DF3A14"/>
    <w:rsid w:val="00DF4742"/>
    <w:rsid w:val="00DF47A9"/>
    <w:rsid w:val="00DF53F5"/>
    <w:rsid w:val="00DF61FD"/>
    <w:rsid w:val="00DF6D25"/>
    <w:rsid w:val="00E01831"/>
    <w:rsid w:val="00E01E38"/>
    <w:rsid w:val="00E02DCB"/>
    <w:rsid w:val="00E03C6D"/>
    <w:rsid w:val="00E11EE3"/>
    <w:rsid w:val="00E135F9"/>
    <w:rsid w:val="00E14349"/>
    <w:rsid w:val="00E14F5B"/>
    <w:rsid w:val="00E15183"/>
    <w:rsid w:val="00E154AD"/>
    <w:rsid w:val="00E15A73"/>
    <w:rsid w:val="00E16889"/>
    <w:rsid w:val="00E16E6B"/>
    <w:rsid w:val="00E20C28"/>
    <w:rsid w:val="00E21D9C"/>
    <w:rsid w:val="00E21DF8"/>
    <w:rsid w:val="00E22A77"/>
    <w:rsid w:val="00E22E84"/>
    <w:rsid w:val="00E24AE2"/>
    <w:rsid w:val="00E24B18"/>
    <w:rsid w:val="00E3016C"/>
    <w:rsid w:val="00E348BC"/>
    <w:rsid w:val="00E35948"/>
    <w:rsid w:val="00E3649B"/>
    <w:rsid w:val="00E37F00"/>
    <w:rsid w:val="00E41B6C"/>
    <w:rsid w:val="00E4307D"/>
    <w:rsid w:val="00E4318F"/>
    <w:rsid w:val="00E4392E"/>
    <w:rsid w:val="00E444AA"/>
    <w:rsid w:val="00E51579"/>
    <w:rsid w:val="00E54395"/>
    <w:rsid w:val="00E54725"/>
    <w:rsid w:val="00E54741"/>
    <w:rsid w:val="00E55514"/>
    <w:rsid w:val="00E568E5"/>
    <w:rsid w:val="00E603BD"/>
    <w:rsid w:val="00E6453F"/>
    <w:rsid w:val="00E659EF"/>
    <w:rsid w:val="00E65A5D"/>
    <w:rsid w:val="00E66C40"/>
    <w:rsid w:val="00E70CBD"/>
    <w:rsid w:val="00E717E8"/>
    <w:rsid w:val="00E72BAF"/>
    <w:rsid w:val="00E736D3"/>
    <w:rsid w:val="00E7391D"/>
    <w:rsid w:val="00E73D81"/>
    <w:rsid w:val="00E74641"/>
    <w:rsid w:val="00E754F4"/>
    <w:rsid w:val="00E8129B"/>
    <w:rsid w:val="00E92862"/>
    <w:rsid w:val="00E947DA"/>
    <w:rsid w:val="00E952A7"/>
    <w:rsid w:val="00EA057C"/>
    <w:rsid w:val="00EA2D3D"/>
    <w:rsid w:val="00EA5B84"/>
    <w:rsid w:val="00EB20F9"/>
    <w:rsid w:val="00EB24EB"/>
    <w:rsid w:val="00EB34AF"/>
    <w:rsid w:val="00EC3DCE"/>
    <w:rsid w:val="00EC6905"/>
    <w:rsid w:val="00ED06CC"/>
    <w:rsid w:val="00ED2C8E"/>
    <w:rsid w:val="00ED379E"/>
    <w:rsid w:val="00ED5D6A"/>
    <w:rsid w:val="00ED70EC"/>
    <w:rsid w:val="00ED7680"/>
    <w:rsid w:val="00EE0424"/>
    <w:rsid w:val="00EE0D47"/>
    <w:rsid w:val="00EE3802"/>
    <w:rsid w:val="00EE5358"/>
    <w:rsid w:val="00EE564F"/>
    <w:rsid w:val="00EE5819"/>
    <w:rsid w:val="00EF10D7"/>
    <w:rsid w:val="00EF2CB5"/>
    <w:rsid w:val="00EF4240"/>
    <w:rsid w:val="00EF6899"/>
    <w:rsid w:val="00EF71E9"/>
    <w:rsid w:val="00F006D2"/>
    <w:rsid w:val="00F00BD1"/>
    <w:rsid w:val="00F00DB0"/>
    <w:rsid w:val="00F016C0"/>
    <w:rsid w:val="00F01FD9"/>
    <w:rsid w:val="00F022E2"/>
    <w:rsid w:val="00F04B07"/>
    <w:rsid w:val="00F058E8"/>
    <w:rsid w:val="00F05BA8"/>
    <w:rsid w:val="00F10491"/>
    <w:rsid w:val="00F13CDD"/>
    <w:rsid w:val="00F14AC0"/>
    <w:rsid w:val="00F1519F"/>
    <w:rsid w:val="00F1625C"/>
    <w:rsid w:val="00F16F13"/>
    <w:rsid w:val="00F175F4"/>
    <w:rsid w:val="00F23E9A"/>
    <w:rsid w:val="00F242D9"/>
    <w:rsid w:val="00F257B6"/>
    <w:rsid w:val="00F300CE"/>
    <w:rsid w:val="00F31BB9"/>
    <w:rsid w:val="00F32A6A"/>
    <w:rsid w:val="00F33C89"/>
    <w:rsid w:val="00F34837"/>
    <w:rsid w:val="00F34A6D"/>
    <w:rsid w:val="00F3715D"/>
    <w:rsid w:val="00F42E31"/>
    <w:rsid w:val="00F44836"/>
    <w:rsid w:val="00F44B62"/>
    <w:rsid w:val="00F45574"/>
    <w:rsid w:val="00F5072C"/>
    <w:rsid w:val="00F51CBF"/>
    <w:rsid w:val="00F52471"/>
    <w:rsid w:val="00F53CC8"/>
    <w:rsid w:val="00F5411D"/>
    <w:rsid w:val="00F55A5A"/>
    <w:rsid w:val="00F56D2B"/>
    <w:rsid w:val="00F57D2D"/>
    <w:rsid w:val="00F606D8"/>
    <w:rsid w:val="00F62874"/>
    <w:rsid w:val="00F62A49"/>
    <w:rsid w:val="00F64DBE"/>
    <w:rsid w:val="00F64F0D"/>
    <w:rsid w:val="00F7026A"/>
    <w:rsid w:val="00F71826"/>
    <w:rsid w:val="00F72B45"/>
    <w:rsid w:val="00F73B00"/>
    <w:rsid w:val="00F73D9A"/>
    <w:rsid w:val="00F73F2D"/>
    <w:rsid w:val="00F742D8"/>
    <w:rsid w:val="00F77258"/>
    <w:rsid w:val="00F77311"/>
    <w:rsid w:val="00F7791C"/>
    <w:rsid w:val="00F82DAA"/>
    <w:rsid w:val="00F82EB8"/>
    <w:rsid w:val="00F84737"/>
    <w:rsid w:val="00F84C3E"/>
    <w:rsid w:val="00F87631"/>
    <w:rsid w:val="00F87B69"/>
    <w:rsid w:val="00F9005C"/>
    <w:rsid w:val="00F90C95"/>
    <w:rsid w:val="00F9103E"/>
    <w:rsid w:val="00F9215A"/>
    <w:rsid w:val="00F923DD"/>
    <w:rsid w:val="00F95923"/>
    <w:rsid w:val="00F96A39"/>
    <w:rsid w:val="00F97463"/>
    <w:rsid w:val="00FA4263"/>
    <w:rsid w:val="00FA43F4"/>
    <w:rsid w:val="00FA4DC6"/>
    <w:rsid w:val="00FA5D99"/>
    <w:rsid w:val="00FB030E"/>
    <w:rsid w:val="00FB4123"/>
    <w:rsid w:val="00FB571F"/>
    <w:rsid w:val="00FB79C4"/>
    <w:rsid w:val="00FB7D57"/>
    <w:rsid w:val="00FC082D"/>
    <w:rsid w:val="00FC24BE"/>
    <w:rsid w:val="00FC42BA"/>
    <w:rsid w:val="00FC4C19"/>
    <w:rsid w:val="00FC6166"/>
    <w:rsid w:val="00FD045D"/>
    <w:rsid w:val="00FD08C1"/>
    <w:rsid w:val="00FD186A"/>
    <w:rsid w:val="00FD2375"/>
    <w:rsid w:val="00FD2C54"/>
    <w:rsid w:val="00FD2FF5"/>
    <w:rsid w:val="00FD7A7A"/>
    <w:rsid w:val="00FE10C1"/>
    <w:rsid w:val="00FE190E"/>
    <w:rsid w:val="00FE20A9"/>
    <w:rsid w:val="00FE48A9"/>
    <w:rsid w:val="00FE539D"/>
    <w:rsid w:val="00FE7A9B"/>
    <w:rsid w:val="00FF08B7"/>
    <w:rsid w:val="00FF12B8"/>
    <w:rsid w:val="00FF1BB9"/>
    <w:rsid w:val="00FF1FF7"/>
    <w:rsid w:val="00FF5180"/>
    <w:rsid w:val="00FF521D"/>
    <w:rsid w:val="00FF66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FB79C4"/>
    <w:pPr>
      <w:keepNext/>
      <w:keepLines/>
      <w:spacing w:before="280" w:after="80"/>
    </w:pPr>
    <w:rPr>
      <w:rFonts w:ascii="Calibri" w:hAnsi="Calibri" w:cs="Arial"/>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FB79C4"/>
    <w:rPr>
      <w:rFonts w:ascii="Calibri" w:hAnsi="Calibri" w:cs="Arial"/>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val="0"/>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F6615"/>
    <w:pPr>
      <w:numPr>
        <w:numId w:val="7"/>
      </w:numPr>
      <w:spacing w:before="0" w:after="20"/>
    </w:pPr>
    <w:rPr>
      <w:szCs w:val="22"/>
    </w:r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7C6163"/>
    <w:pPr>
      <w:keepNext/>
      <w:keepLines/>
      <w:spacing w:line="360" w:lineRule="exact"/>
      <w:jc w:val="center"/>
      <w:outlineLvl w:val="1"/>
    </w:pPr>
    <w:rPr>
      <w:rFonts w:eastAsiaTheme="majorEastAsia" w:cstheme="majorBidi"/>
      <w:caps/>
      <w:color w:val="FFFFFF" w:themeColor="background1"/>
      <w:spacing w:val="60"/>
      <w:sz w:val="28"/>
      <w:szCs w:val="26"/>
    </w:rPr>
  </w:style>
  <w:style w:type="character" w:customStyle="1" w:styleId="eTRMHeading2Char">
    <w:name w:val="eTRM Heading 2 Char"/>
    <w:basedOn w:val="DefaultParagraphFont"/>
    <w:link w:val="eTRMHeading2"/>
    <w:rsid w:val="007C6163"/>
    <w:rPr>
      <w:rFonts w:ascii="Calibri Light" w:eastAsiaTheme="majorEastAsia" w:hAnsi="Calibri Light" w:cstheme="majorBidi"/>
      <w:caps/>
      <w:color w:val="FFFFFF" w:themeColor="background1"/>
      <w:spacing w:val="60"/>
      <w:sz w:val="28"/>
      <w:szCs w:val="26"/>
    </w:rPr>
  </w:style>
  <w:style w:type="paragraph" w:customStyle="1" w:styleId="eTRMHeading3">
    <w:name w:val="eTRM Heading 3"/>
    <w:basedOn w:val="Heading3"/>
    <w:link w:val="eTRMHeading3Char"/>
    <w:autoRedefine/>
    <w:qFormat/>
    <w:rsid w:val="000F1A47"/>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0F1A47"/>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702751"/>
    <w:pPr>
      <w:spacing w:before="20" w:after="20"/>
    </w:pPr>
  </w:style>
  <w:style w:type="character" w:customStyle="1" w:styleId="eTRMFootnoteTextChar">
    <w:name w:val="eTRM Footnote Text Char"/>
    <w:basedOn w:val="FootnoteTextChar"/>
    <w:link w:val="eTRMFootnoteText"/>
    <w:rsid w:val="0070275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ART">
    <w:name w:val="ART"/>
    <w:basedOn w:val="Normal"/>
    <w:next w:val="Normal"/>
    <w:rsid w:val="00B242AF"/>
    <w:pPr>
      <w:numPr>
        <w:ilvl w:val="1"/>
        <w:numId w:val="6"/>
      </w:numPr>
      <w:suppressAutoHyphens/>
      <w:spacing w:before="240" w:after="0" w:line="240" w:lineRule="auto"/>
      <w:outlineLvl w:val="1"/>
    </w:pPr>
    <w:rPr>
      <w:rFonts w:ascii="Arial" w:eastAsia="Batang" w:hAnsi="Arial" w:cs="Times New Roman"/>
      <w:b/>
      <w:caps/>
      <w:sz w:val="20"/>
      <w:szCs w:val="20"/>
    </w:rPr>
  </w:style>
  <w:style w:type="paragraph" w:customStyle="1" w:styleId="Normal1">
    <w:name w:val="Normal1"/>
    <w:basedOn w:val="Normal"/>
    <w:rsid w:val="00FB4123"/>
    <w:pPr>
      <w:overflowPunct w:val="0"/>
      <w:autoSpaceDE w:val="0"/>
      <w:autoSpaceDN w:val="0"/>
      <w:adjustRightInd w:val="0"/>
      <w:spacing w:before="0" w:line="360" w:lineRule="atLeast"/>
      <w:textAlignment w:val="baseline"/>
    </w:pPr>
    <w:rPr>
      <w:rFonts w:ascii="Times New Roman" w:eastAsia="Batang" w:hAnsi="Times New Roman" w:cs="Times New Roman"/>
      <w:szCs w:val="20"/>
    </w:rPr>
  </w:style>
  <w:style w:type="paragraph" w:customStyle="1" w:styleId="Reminder">
    <w:name w:val="Reminder"/>
    <w:basedOn w:val="Normal"/>
    <w:link w:val="ReminderChar"/>
    <w:rsid w:val="003225AD"/>
    <w:pPr>
      <w:spacing w:before="40" w:after="40" w:line="240" w:lineRule="auto"/>
    </w:pPr>
    <w:rPr>
      <w:rFonts w:ascii="Trebuchet MS" w:eastAsia="Times New Roman" w:hAnsi="Trebuchet MS" w:cs="Times New Roman"/>
      <w:i/>
      <w:color w:val="FF0000"/>
      <w:sz w:val="24"/>
    </w:rPr>
  </w:style>
  <w:style w:type="character" w:customStyle="1" w:styleId="ReminderChar">
    <w:name w:val="Reminder Char"/>
    <w:basedOn w:val="DefaultParagraphFont"/>
    <w:link w:val="Reminder"/>
    <w:rsid w:val="003225AD"/>
    <w:rPr>
      <w:rFonts w:ascii="Trebuchet MS" w:eastAsia="Times New Roman" w:hAnsi="Trebuchet MS" w:cs="Times New Roman"/>
      <w:i/>
      <w:color w:val="FF0000"/>
    </w:rPr>
  </w:style>
  <w:style w:type="paragraph" w:customStyle="1" w:styleId="Default">
    <w:name w:val="Default"/>
    <w:rsid w:val="00C772CF"/>
    <w:pPr>
      <w:autoSpaceDE w:val="0"/>
      <w:autoSpaceDN w:val="0"/>
      <w:adjustRightInd w:val="0"/>
    </w:pPr>
    <w:rPr>
      <w:rFonts w:ascii="Arial" w:eastAsia="Times New Roman" w:hAnsi="Arial" w:cs="Arial"/>
      <w:color w:val="000000"/>
    </w:rPr>
  </w:style>
  <w:style w:type="paragraph" w:styleId="NormalWeb">
    <w:name w:val="Normal (Web)"/>
    <w:basedOn w:val="Normal"/>
    <w:uiPriority w:val="99"/>
    <w:semiHidden/>
    <w:unhideWhenUsed/>
    <w:rsid w:val="00112C97"/>
    <w:pPr>
      <w:spacing w:before="100" w:beforeAutospacing="1" w:after="100" w:afterAutospacing="1" w:line="240" w:lineRule="auto"/>
    </w:pPr>
    <w:rPr>
      <w:rFonts w:ascii="Times New Roman" w:hAnsi="Times New Roman" w:cs="Times New Roman"/>
      <w:sz w:val="24"/>
    </w:rPr>
  </w:style>
  <w:style w:type="character" w:styleId="PlaceholderText">
    <w:name w:val="Placeholder Text"/>
    <w:basedOn w:val="DefaultParagraphFont"/>
    <w:uiPriority w:val="99"/>
    <w:semiHidden/>
    <w:rsid w:val="00760E9C"/>
    <w:rPr>
      <w:color w:val="808080"/>
    </w:rPr>
  </w:style>
  <w:style w:type="paragraph" w:customStyle="1" w:styleId="PR1">
    <w:name w:val="PR1"/>
    <w:basedOn w:val="ART"/>
    <w:rsid w:val="00134EC3"/>
    <w:pPr>
      <w:numPr>
        <w:ilvl w:val="0"/>
        <w:numId w:val="0"/>
      </w:numPr>
      <w:tabs>
        <w:tab w:val="num" w:pos="1152"/>
      </w:tabs>
      <w:ind w:left="1152" w:hanging="432"/>
      <w:outlineLvl w:val="2"/>
    </w:pPr>
    <w:rPr>
      <w:b w:val="0"/>
      <w:caps w:val="0"/>
    </w:rPr>
  </w:style>
  <w:style w:type="paragraph" w:customStyle="1" w:styleId="PR2">
    <w:name w:val="PR2"/>
    <w:basedOn w:val="PR1"/>
    <w:rsid w:val="00134EC3"/>
    <w:pPr>
      <w:tabs>
        <w:tab w:val="clear" w:pos="1152"/>
        <w:tab w:val="num" w:pos="1584"/>
      </w:tabs>
      <w:spacing w:before="0"/>
      <w:ind w:left="1584"/>
      <w:outlineLvl w:val="3"/>
    </w:pPr>
  </w:style>
  <w:style w:type="paragraph" w:customStyle="1" w:styleId="PR3">
    <w:name w:val="PR3"/>
    <w:basedOn w:val="PR1"/>
    <w:rsid w:val="00134EC3"/>
    <w:pPr>
      <w:tabs>
        <w:tab w:val="clear" w:pos="1152"/>
        <w:tab w:val="num" w:pos="2016"/>
      </w:tabs>
      <w:spacing w:before="0"/>
      <w:ind w:left="2016"/>
      <w:outlineLvl w:val="4"/>
    </w:pPr>
  </w:style>
  <w:style w:type="paragraph" w:customStyle="1" w:styleId="PR4">
    <w:name w:val="PR4"/>
    <w:basedOn w:val="PR1"/>
    <w:rsid w:val="00134EC3"/>
    <w:pPr>
      <w:tabs>
        <w:tab w:val="clear" w:pos="1152"/>
        <w:tab w:val="left" w:pos="2448"/>
        <w:tab w:val="num" w:pos="2736"/>
      </w:tabs>
      <w:spacing w:before="0"/>
      <w:ind w:left="2448"/>
      <w:outlineLvl w:val="5"/>
    </w:pPr>
  </w:style>
  <w:style w:type="paragraph" w:customStyle="1" w:styleId="PR5">
    <w:name w:val="PR5"/>
    <w:basedOn w:val="PR1"/>
    <w:rsid w:val="00134EC3"/>
    <w:pPr>
      <w:tabs>
        <w:tab w:val="clear" w:pos="1152"/>
        <w:tab w:val="num" w:pos="2880"/>
      </w:tabs>
      <w:spacing w:before="0"/>
      <w:ind w:left="2880"/>
      <w:outlineLvl w:val="6"/>
    </w:pPr>
  </w:style>
  <w:style w:type="paragraph" w:customStyle="1" w:styleId="PR6">
    <w:name w:val="PR6"/>
    <w:basedOn w:val="PR1"/>
    <w:rsid w:val="00134EC3"/>
    <w:pPr>
      <w:tabs>
        <w:tab w:val="clear" w:pos="1152"/>
        <w:tab w:val="num" w:pos="3600"/>
        <w:tab w:val="left" w:pos="3744"/>
      </w:tabs>
      <w:spacing w:before="0"/>
      <w:ind w:left="3312"/>
      <w:outlineLvl w:val="7"/>
    </w:pPr>
  </w:style>
  <w:style w:type="paragraph" w:customStyle="1" w:styleId="PR7">
    <w:name w:val="PR7"/>
    <w:basedOn w:val="PR6"/>
    <w:rsid w:val="00134EC3"/>
    <w:pPr>
      <w:tabs>
        <w:tab w:val="clear" w:pos="3600"/>
        <w:tab w:val="num" w:pos="3744"/>
        <w:tab w:val="left" w:pos="4464"/>
      </w:tabs>
      <w:ind w:left="3744"/>
    </w:pPr>
  </w:style>
  <w:style w:type="paragraph" w:customStyle="1" w:styleId="WPSCT">
    <w:name w:val="WPSCT"/>
    <w:basedOn w:val="Normal"/>
    <w:next w:val="ART"/>
    <w:qFormat/>
    <w:rsid w:val="00134EC3"/>
    <w:pPr>
      <w:suppressAutoHyphens/>
      <w:spacing w:before="240" w:after="0" w:line="240" w:lineRule="auto"/>
      <w:ind w:left="576" w:hanging="576"/>
      <w:outlineLvl w:val="0"/>
    </w:pPr>
    <w:rPr>
      <w:rFonts w:ascii="Arial" w:eastAsia="Batang" w:hAnsi="Arial" w:cs="Times New Roman"/>
      <w:b/>
      <w:caps/>
      <w:sz w:val="20"/>
      <w:szCs w:val="20"/>
    </w:rPr>
  </w:style>
  <w:style w:type="paragraph" w:customStyle="1" w:styleId="WPPR1">
    <w:name w:val="WPPR1"/>
    <w:basedOn w:val="PR1"/>
    <w:qFormat/>
    <w:rsid w:val="00134EC3"/>
  </w:style>
  <w:style w:type="paragraph" w:customStyle="1" w:styleId="TBL">
    <w:name w:val="TBL"/>
    <w:rsid w:val="00D609C0"/>
    <w:pPr>
      <w:numPr>
        <w:numId w:val="13"/>
      </w:numPr>
      <w:spacing w:before="120" w:after="120"/>
      <w:jc w:val="center"/>
    </w:pPr>
    <w:rPr>
      <w:rFonts w:ascii="Arial" w:eastAsia="Batang" w:hAnsi="Arial" w:cs="Times New Roman"/>
      <w:b/>
      <w:sz w:val="20"/>
      <w:szCs w:val="20"/>
    </w:rPr>
  </w:style>
  <w:style w:type="paragraph" w:customStyle="1" w:styleId="WPPR2">
    <w:name w:val="WPPR2"/>
    <w:basedOn w:val="PR2"/>
    <w:qFormat/>
    <w:rsid w:val="00D609C0"/>
    <w:pPr>
      <w:numPr>
        <w:ilvl w:val="3"/>
        <w:numId w:val="1"/>
      </w:numPr>
    </w:pPr>
  </w:style>
  <w:style w:type="paragraph" w:customStyle="1" w:styleId="Vertical">
    <w:name w:val="Vertical"/>
    <w:basedOn w:val="Normal1"/>
    <w:qFormat/>
    <w:rsid w:val="00D609C0"/>
    <w:pPr>
      <w:spacing w:line="240" w:lineRule="auto"/>
      <w:jc w:val="center"/>
    </w:pPr>
    <w:rPr>
      <w:rFonts w:ascii="Arial" w:eastAsia="Times New Roman" w:hAnsi="Arial"/>
      <w:sz w:val="20"/>
    </w:rPr>
  </w:style>
  <w:style w:type="paragraph" w:customStyle="1" w:styleId="FIG">
    <w:name w:val="FIG"/>
    <w:qFormat/>
    <w:rsid w:val="00F32A6A"/>
    <w:pPr>
      <w:numPr>
        <w:numId w:val="14"/>
      </w:numPr>
    </w:pPr>
    <w:rPr>
      <w:rFonts w:ascii="Arial" w:eastAsia="Batang" w:hAnsi="Arial" w:cs="Times New Roman"/>
      <w:b/>
      <w:sz w:val="20"/>
      <w:szCs w:val="20"/>
    </w:rPr>
  </w:style>
  <w:style w:type="paragraph" w:customStyle="1" w:styleId="WPPR3">
    <w:name w:val="WPPR3"/>
    <w:basedOn w:val="PR3"/>
    <w:qFormat/>
    <w:rsid w:val="00F32A6A"/>
    <w:pPr>
      <w:numPr>
        <w:ilvl w:val="4"/>
        <w:numId w:val="1"/>
      </w:numPr>
    </w:pPr>
  </w:style>
  <w:style w:type="paragraph" w:customStyle="1" w:styleId="WPPR4">
    <w:name w:val="WPPR4"/>
    <w:basedOn w:val="PR4"/>
    <w:qFormat/>
    <w:rsid w:val="00F32A6A"/>
    <w:pPr>
      <w:numPr>
        <w:ilvl w:val="5"/>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81270">
      <w:bodyDiv w:val="1"/>
      <w:marLeft w:val="0"/>
      <w:marRight w:val="0"/>
      <w:marTop w:val="0"/>
      <w:marBottom w:val="0"/>
      <w:divBdr>
        <w:top w:val="none" w:sz="0" w:space="0" w:color="auto"/>
        <w:left w:val="none" w:sz="0" w:space="0" w:color="auto"/>
        <w:bottom w:val="none" w:sz="0" w:space="0" w:color="auto"/>
        <w:right w:val="none" w:sz="0" w:space="0" w:color="auto"/>
      </w:divBdr>
    </w:div>
    <w:div w:id="647250060">
      <w:bodyDiv w:val="1"/>
      <w:marLeft w:val="0"/>
      <w:marRight w:val="0"/>
      <w:marTop w:val="0"/>
      <w:marBottom w:val="0"/>
      <w:divBdr>
        <w:top w:val="none" w:sz="0" w:space="0" w:color="auto"/>
        <w:left w:val="none" w:sz="0" w:space="0" w:color="auto"/>
        <w:bottom w:val="none" w:sz="0" w:space="0" w:color="auto"/>
        <w:right w:val="none" w:sz="0" w:space="0" w:color="auto"/>
      </w:divBdr>
    </w:div>
    <w:div w:id="809595740">
      <w:bodyDiv w:val="1"/>
      <w:marLeft w:val="0"/>
      <w:marRight w:val="0"/>
      <w:marTop w:val="0"/>
      <w:marBottom w:val="0"/>
      <w:divBdr>
        <w:top w:val="none" w:sz="0" w:space="0" w:color="auto"/>
        <w:left w:val="none" w:sz="0" w:space="0" w:color="auto"/>
        <w:bottom w:val="none" w:sz="0" w:space="0" w:color="auto"/>
        <w:right w:val="none" w:sz="0" w:space="0" w:color="auto"/>
      </w:divBdr>
    </w:div>
    <w:div w:id="834346276">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38201663">
      <w:bodyDiv w:val="1"/>
      <w:marLeft w:val="0"/>
      <w:marRight w:val="0"/>
      <w:marTop w:val="0"/>
      <w:marBottom w:val="0"/>
      <w:divBdr>
        <w:top w:val="none" w:sz="0" w:space="0" w:color="auto"/>
        <w:left w:val="none" w:sz="0" w:space="0" w:color="auto"/>
        <w:bottom w:val="none" w:sz="0" w:space="0" w:color="auto"/>
        <w:right w:val="none" w:sz="0" w:space="0" w:color="auto"/>
      </w:divBdr>
    </w:div>
    <w:div w:id="1341544729">
      <w:bodyDiv w:val="1"/>
      <w:marLeft w:val="0"/>
      <w:marRight w:val="0"/>
      <w:marTop w:val="0"/>
      <w:marBottom w:val="0"/>
      <w:divBdr>
        <w:top w:val="none" w:sz="0" w:space="0" w:color="auto"/>
        <w:left w:val="none" w:sz="0" w:space="0" w:color="auto"/>
        <w:bottom w:val="none" w:sz="0" w:space="0" w:color="auto"/>
        <w:right w:val="none" w:sz="0" w:space="0" w:color="auto"/>
      </w:divBdr>
      <w:divsChild>
        <w:div w:id="1614676567">
          <w:marLeft w:val="0"/>
          <w:marRight w:val="0"/>
          <w:marTop w:val="0"/>
          <w:marBottom w:val="0"/>
          <w:divBdr>
            <w:top w:val="none" w:sz="0" w:space="0" w:color="auto"/>
            <w:left w:val="none" w:sz="0" w:space="0" w:color="auto"/>
            <w:bottom w:val="none" w:sz="0" w:space="0" w:color="auto"/>
            <w:right w:val="none" w:sz="0" w:space="0" w:color="auto"/>
          </w:divBdr>
          <w:divsChild>
            <w:div w:id="955872740">
              <w:marLeft w:val="0"/>
              <w:marRight w:val="0"/>
              <w:marTop w:val="0"/>
              <w:marBottom w:val="0"/>
              <w:divBdr>
                <w:top w:val="none" w:sz="0" w:space="0" w:color="auto"/>
                <w:left w:val="none" w:sz="0" w:space="0" w:color="auto"/>
                <w:bottom w:val="none" w:sz="0" w:space="0" w:color="auto"/>
                <w:right w:val="none" w:sz="0" w:space="0" w:color="auto"/>
              </w:divBdr>
              <w:divsChild>
                <w:div w:id="15126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64917111">
      <w:bodyDiv w:val="1"/>
      <w:marLeft w:val="0"/>
      <w:marRight w:val="0"/>
      <w:marTop w:val="0"/>
      <w:marBottom w:val="0"/>
      <w:divBdr>
        <w:top w:val="none" w:sz="0" w:space="0" w:color="auto"/>
        <w:left w:val="none" w:sz="0" w:space="0" w:color="auto"/>
        <w:bottom w:val="none" w:sz="0" w:space="0" w:color="auto"/>
        <w:right w:val="none" w:sz="0" w:space="0" w:color="auto"/>
      </w:divBdr>
    </w:div>
    <w:div w:id="2000618076">
      <w:bodyDiv w:val="1"/>
      <w:marLeft w:val="0"/>
      <w:marRight w:val="0"/>
      <w:marTop w:val="0"/>
      <w:marBottom w:val="0"/>
      <w:divBdr>
        <w:top w:val="none" w:sz="0" w:space="0" w:color="auto"/>
        <w:left w:val="none" w:sz="0" w:space="0" w:color="auto"/>
        <w:bottom w:val="none" w:sz="0" w:space="0" w:color="auto"/>
        <w:right w:val="none" w:sz="0" w:space="0" w:color="auto"/>
      </w:divBdr>
    </w:div>
    <w:div w:id="2039813221">
      <w:bodyDiv w:val="1"/>
      <w:marLeft w:val="0"/>
      <w:marRight w:val="0"/>
      <w:marTop w:val="0"/>
      <w:marBottom w:val="0"/>
      <w:divBdr>
        <w:top w:val="none" w:sz="0" w:space="0" w:color="auto"/>
        <w:left w:val="none" w:sz="0" w:space="0" w:color="auto"/>
        <w:bottom w:val="none" w:sz="0" w:space="0" w:color="auto"/>
        <w:right w:val="none" w:sz="0" w:space="0" w:color="auto"/>
      </w:divBdr>
    </w:div>
    <w:div w:id="2090420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ppliances.energy.ca.gov/AdvancedSearch.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www.appliances.energy.ca.gov/AdvancedSearch.aspx"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6338\Documents\SCG%20Energy%20Efficiency\13SCG%20Condensing%20SWH\MF%20Resid%20SWH%20reference%20materials\CEC%20Appliance%20Efficiency%20Database%20Large%20Water_Heater_Products-v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6338\Documents\SCG%20Energy%20Efficiency\13SCG%20Condensing%20SWH\MF%20Resid%20SWH%20reference%20materials\CEC%20Appliance%20Efficiency%20Database%20Large%20Water_Heater_Products-v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4780183727034"/>
          <c:y val="5.1400554097404502E-2"/>
          <c:w val="0.82466426071740995"/>
          <c:h val="0.83110710119568398"/>
        </c:manualLayout>
      </c:layout>
      <c:barChart>
        <c:barDir val="col"/>
        <c:grouping val="clustered"/>
        <c:varyColors val="0"/>
        <c:ser>
          <c:idx val="0"/>
          <c:order val="0"/>
          <c:spPr>
            <a:solidFill>
              <a:schemeClr val="accent2">
                <a:lumMod val="75000"/>
              </a:schemeClr>
            </a:solidFill>
            <a:ln>
              <a:solidFill>
                <a:schemeClr val="accent4">
                  <a:lumMod val="50000"/>
                </a:schemeClr>
              </a:solidFill>
            </a:ln>
          </c:spPr>
          <c:invertIfNegative val="0"/>
          <c:val>
            <c:numRef>
              <c:f>'LgGasSWH&lt;86'!$I$2:$I$938</c:f>
              <c:numCache>
                <c:formatCode>General</c:formatCode>
                <c:ptCount val="937"/>
                <c:pt idx="0">
                  <c:v>80</c:v>
                </c:pt>
                <c:pt idx="1">
                  <c:v>80</c:v>
                </c:pt>
                <c:pt idx="2">
                  <c:v>80</c:v>
                </c:pt>
                <c:pt idx="3">
                  <c:v>80</c:v>
                </c:pt>
                <c:pt idx="4">
                  <c:v>80</c:v>
                </c:pt>
                <c:pt idx="5">
                  <c:v>80</c:v>
                </c:pt>
                <c:pt idx="6">
                  <c:v>80</c:v>
                </c:pt>
                <c:pt idx="7">
                  <c:v>80</c:v>
                </c:pt>
                <c:pt idx="8">
                  <c:v>80</c:v>
                </c:pt>
                <c:pt idx="9">
                  <c:v>80</c:v>
                </c:pt>
                <c:pt idx="10">
                  <c:v>80</c:v>
                </c:pt>
                <c:pt idx="11">
                  <c:v>80</c:v>
                </c:pt>
                <c:pt idx="12">
                  <c:v>80</c:v>
                </c:pt>
                <c:pt idx="13">
                  <c:v>80</c:v>
                </c:pt>
                <c:pt idx="14">
                  <c:v>80</c:v>
                </c:pt>
                <c:pt idx="15">
                  <c:v>80</c:v>
                </c:pt>
                <c:pt idx="16">
                  <c:v>80</c:v>
                </c:pt>
                <c:pt idx="17">
                  <c:v>80</c:v>
                </c:pt>
                <c:pt idx="18">
                  <c:v>80</c:v>
                </c:pt>
                <c:pt idx="19">
                  <c:v>80</c:v>
                </c:pt>
                <c:pt idx="20">
                  <c:v>80</c:v>
                </c:pt>
                <c:pt idx="21">
                  <c:v>80</c:v>
                </c:pt>
                <c:pt idx="22">
                  <c:v>80</c:v>
                </c:pt>
                <c:pt idx="23">
                  <c:v>80</c:v>
                </c:pt>
                <c:pt idx="24">
                  <c:v>80</c:v>
                </c:pt>
                <c:pt idx="25">
                  <c:v>80</c:v>
                </c:pt>
                <c:pt idx="26">
                  <c:v>80</c:v>
                </c:pt>
                <c:pt idx="27">
                  <c:v>80</c:v>
                </c:pt>
                <c:pt idx="28">
                  <c:v>80</c:v>
                </c:pt>
                <c:pt idx="29">
                  <c:v>80</c:v>
                </c:pt>
                <c:pt idx="30">
                  <c:v>80</c:v>
                </c:pt>
                <c:pt idx="31">
                  <c:v>80</c:v>
                </c:pt>
                <c:pt idx="32">
                  <c:v>80</c:v>
                </c:pt>
                <c:pt idx="33">
                  <c:v>80</c:v>
                </c:pt>
                <c:pt idx="34">
                  <c:v>80</c:v>
                </c:pt>
                <c:pt idx="35">
                  <c:v>80</c:v>
                </c:pt>
                <c:pt idx="36">
                  <c:v>80</c:v>
                </c:pt>
                <c:pt idx="37">
                  <c:v>80</c:v>
                </c:pt>
                <c:pt idx="38">
                  <c:v>80</c:v>
                </c:pt>
                <c:pt idx="39">
                  <c:v>80</c:v>
                </c:pt>
                <c:pt idx="40">
                  <c:v>80</c:v>
                </c:pt>
                <c:pt idx="41">
                  <c:v>80</c:v>
                </c:pt>
                <c:pt idx="42">
                  <c:v>80</c:v>
                </c:pt>
                <c:pt idx="43">
                  <c:v>80</c:v>
                </c:pt>
                <c:pt idx="44">
                  <c:v>80</c:v>
                </c:pt>
                <c:pt idx="45">
                  <c:v>80</c:v>
                </c:pt>
                <c:pt idx="46">
                  <c:v>80</c:v>
                </c:pt>
                <c:pt idx="47">
                  <c:v>80</c:v>
                </c:pt>
                <c:pt idx="48">
                  <c:v>80</c:v>
                </c:pt>
                <c:pt idx="49">
                  <c:v>80</c:v>
                </c:pt>
                <c:pt idx="50">
                  <c:v>80</c:v>
                </c:pt>
                <c:pt idx="51">
                  <c:v>80</c:v>
                </c:pt>
                <c:pt idx="52">
                  <c:v>80</c:v>
                </c:pt>
                <c:pt idx="53">
                  <c:v>80</c:v>
                </c:pt>
                <c:pt idx="54">
                  <c:v>80</c:v>
                </c:pt>
                <c:pt idx="55">
                  <c:v>80</c:v>
                </c:pt>
                <c:pt idx="56">
                  <c:v>80</c:v>
                </c:pt>
                <c:pt idx="57">
                  <c:v>80</c:v>
                </c:pt>
                <c:pt idx="58">
                  <c:v>80</c:v>
                </c:pt>
                <c:pt idx="59">
                  <c:v>80</c:v>
                </c:pt>
                <c:pt idx="60">
                  <c:v>80</c:v>
                </c:pt>
                <c:pt idx="61">
                  <c:v>80</c:v>
                </c:pt>
                <c:pt idx="62">
                  <c:v>80</c:v>
                </c:pt>
                <c:pt idx="63">
                  <c:v>80</c:v>
                </c:pt>
                <c:pt idx="64">
                  <c:v>80</c:v>
                </c:pt>
                <c:pt idx="65">
                  <c:v>80</c:v>
                </c:pt>
                <c:pt idx="66">
                  <c:v>80</c:v>
                </c:pt>
                <c:pt idx="67">
                  <c:v>80</c:v>
                </c:pt>
                <c:pt idx="68">
                  <c:v>80</c:v>
                </c:pt>
                <c:pt idx="69">
                  <c:v>80</c:v>
                </c:pt>
                <c:pt idx="70">
                  <c:v>80</c:v>
                </c:pt>
                <c:pt idx="71">
                  <c:v>80</c:v>
                </c:pt>
                <c:pt idx="72">
                  <c:v>80</c:v>
                </c:pt>
                <c:pt idx="73">
                  <c:v>80</c:v>
                </c:pt>
                <c:pt idx="74">
                  <c:v>80</c:v>
                </c:pt>
                <c:pt idx="75">
                  <c:v>80</c:v>
                </c:pt>
                <c:pt idx="76">
                  <c:v>80</c:v>
                </c:pt>
                <c:pt idx="77">
                  <c:v>80</c:v>
                </c:pt>
                <c:pt idx="78">
                  <c:v>80</c:v>
                </c:pt>
                <c:pt idx="79">
                  <c:v>80</c:v>
                </c:pt>
                <c:pt idx="80">
                  <c:v>80</c:v>
                </c:pt>
                <c:pt idx="81">
                  <c:v>80</c:v>
                </c:pt>
                <c:pt idx="82">
                  <c:v>80</c:v>
                </c:pt>
                <c:pt idx="83">
                  <c:v>80</c:v>
                </c:pt>
                <c:pt idx="84">
                  <c:v>80</c:v>
                </c:pt>
                <c:pt idx="85">
                  <c:v>80</c:v>
                </c:pt>
                <c:pt idx="86">
                  <c:v>80</c:v>
                </c:pt>
                <c:pt idx="87">
                  <c:v>80</c:v>
                </c:pt>
                <c:pt idx="88">
                  <c:v>80</c:v>
                </c:pt>
                <c:pt idx="89">
                  <c:v>80</c:v>
                </c:pt>
                <c:pt idx="90">
                  <c:v>80</c:v>
                </c:pt>
                <c:pt idx="91">
                  <c:v>80</c:v>
                </c:pt>
                <c:pt idx="92">
                  <c:v>80</c:v>
                </c:pt>
                <c:pt idx="93">
                  <c:v>80</c:v>
                </c:pt>
                <c:pt idx="94">
                  <c:v>80</c:v>
                </c:pt>
                <c:pt idx="95">
                  <c:v>80</c:v>
                </c:pt>
                <c:pt idx="96">
                  <c:v>80</c:v>
                </c:pt>
                <c:pt idx="97">
                  <c:v>80</c:v>
                </c:pt>
                <c:pt idx="98">
                  <c:v>80</c:v>
                </c:pt>
                <c:pt idx="99">
                  <c:v>80</c:v>
                </c:pt>
                <c:pt idx="100">
                  <c:v>80</c:v>
                </c:pt>
                <c:pt idx="101">
                  <c:v>80</c:v>
                </c:pt>
                <c:pt idx="102">
                  <c:v>80</c:v>
                </c:pt>
                <c:pt idx="103">
                  <c:v>80</c:v>
                </c:pt>
                <c:pt idx="104">
                  <c:v>80</c:v>
                </c:pt>
                <c:pt idx="105">
                  <c:v>80</c:v>
                </c:pt>
                <c:pt idx="106">
                  <c:v>80</c:v>
                </c:pt>
                <c:pt idx="107">
                  <c:v>80</c:v>
                </c:pt>
                <c:pt idx="108">
                  <c:v>80</c:v>
                </c:pt>
                <c:pt idx="109">
                  <c:v>80</c:v>
                </c:pt>
                <c:pt idx="110">
                  <c:v>80</c:v>
                </c:pt>
                <c:pt idx="111">
                  <c:v>80</c:v>
                </c:pt>
                <c:pt idx="112">
                  <c:v>80</c:v>
                </c:pt>
                <c:pt idx="113">
                  <c:v>80</c:v>
                </c:pt>
                <c:pt idx="114">
                  <c:v>80</c:v>
                </c:pt>
                <c:pt idx="115">
                  <c:v>80</c:v>
                </c:pt>
                <c:pt idx="116">
                  <c:v>80</c:v>
                </c:pt>
                <c:pt idx="117">
                  <c:v>80</c:v>
                </c:pt>
                <c:pt idx="118">
                  <c:v>80</c:v>
                </c:pt>
                <c:pt idx="119">
                  <c:v>80</c:v>
                </c:pt>
                <c:pt idx="120">
                  <c:v>80</c:v>
                </c:pt>
                <c:pt idx="121">
                  <c:v>80</c:v>
                </c:pt>
                <c:pt idx="122">
                  <c:v>80</c:v>
                </c:pt>
                <c:pt idx="123">
                  <c:v>80</c:v>
                </c:pt>
                <c:pt idx="124">
                  <c:v>80</c:v>
                </c:pt>
                <c:pt idx="125">
                  <c:v>80</c:v>
                </c:pt>
                <c:pt idx="126">
                  <c:v>80</c:v>
                </c:pt>
                <c:pt idx="127">
                  <c:v>80</c:v>
                </c:pt>
                <c:pt idx="128">
                  <c:v>80</c:v>
                </c:pt>
                <c:pt idx="129">
                  <c:v>80</c:v>
                </c:pt>
                <c:pt idx="130">
                  <c:v>80</c:v>
                </c:pt>
                <c:pt idx="131">
                  <c:v>80</c:v>
                </c:pt>
                <c:pt idx="132">
                  <c:v>80</c:v>
                </c:pt>
                <c:pt idx="133">
                  <c:v>80</c:v>
                </c:pt>
                <c:pt idx="134">
                  <c:v>80</c:v>
                </c:pt>
                <c:pt idx="135">
                  <c:v>80</c:v>
                </c:pt>
                <c:pt idx="136">
                  <c:v>80</c:v>
                </c:pt>
                <c:pt idx="137">
                  <c:v>80</c:v>
                </c:pt>
                <c:pt idx="138">
                  <c:v>80</c:v>
                </c:pt>
                <c:pt idx="139">
                  <c:v>80</c:v>
                </c:pt>
                <c:pt idx="140">
                  <c:v>80</c:v>
                </c:pt>
                <c:pt idx="141">
                  <c:v>80</c:v>
                </c:pt>
                <c:pt idx="142">
                  <c:v>80</c:v>
                </c:pt>
                <c:pt idx="143">
                  <c:v>80</c:v>
                </c:pt>
                <c:pt idx="144">
                  <c:v>80</c:v>
                </c:pt>
                <c:pt idx="145">
                  <c:v>80</c:v>
                </c:pt>
                <c:pt idx="146">
                  <c:v>80</c:v>
                </c:pt>
                <c:pt idx="147">
                  <c:v>80</c:v>
                </c:pt>
                <c:pt idx="148">
                  <c:v>80</c:v>
                </c:pt>
                <c:pt idx="149">
                  <c:v>80</c:v>
                </c:pt>
                <c:pt idx="150">
                  <c:v>80</c:v>
                </c:pt>
                <c:pt idx="151">
                  <c:v>80</c:v>
                </c:pt>
                <c:pt idx="152">
                  <c:v>80</c:v>
                </c:pt>
                <c:pt idx="153">
                  <c:v>80</c:v>
                </c:pt>
                <c:pt idx="154">
                  <c:v>80</c:v>
                </c:pt>
                <c:pt idx="155">
                  <c:v>80</c:v>
                </c:pt>
                <c:pt idx="156">
                  <c:v>80</c:v>
                </c:pt>
                <c:pt idx="157">
                  <c:v>80</c:v>
                </c:pt>
                <c:pt idx="158">
                  <c:v>80</c:v>
                </c:pt>
                <c:pt idx="159">
                  <c:v>80</c:v>
                </c:pt>
                <c:pt idx="160">
                  <c:v>80</c:v>
                </c:pt>
                <c:pt idx="161">
                  <c:v>80</c:v>
                </c:pt>
                <c:pt idx="162">
                  <c:v>80</c:v>
                </c:pt>
                <c:pt idx="163">
                  <c:v>80</c:v>
                </c:pt>
                <c:pt idx="164">
                  <c:v>80</c:v>
                </c:pt>
                <c:pt idx="165">
                  <c:v>80</c:v>
                </c:pt>
                <c:pt idx="166">
                  <c:v>80</c:v>
                </c:pt>
                <c:pt idx="167">
                  <c:v>80</c:v>
                </c:pt>
                <c:pt idx="168">
                  <c:v>80</c:v>
                </c:pt>
                <c:pt idx="169">
                  <c:v>80</c:v>
                </c:pt>
                <c:pt idx="170">
                  <c:v>80</c:v>
                </c:pt>
                <c:pt idx="171">
                  <c:v>80</c:v>
                </c:pt>
                <c:pt idx="172">
                  <c:v>80</c:v>
                </c:pt>
                <c:pt idx="173">
                  <c:v>80</c:v>
                </c:pt>
                <c:pt idx="174">
                  <c:v>80</c:v>
                </c:pt>
                <c:pt idx="175">
                  <c:v>80</c:v>
                </c:pt>
                <c:pt idx="176">
                  <c:v>80</c:v>
                </c:pt>
                <c:pt idx="177">
                  <c:v>80</c:v>
                </c:pt>
                <c:pt idx="178">
                  <c:v>80</c:v>
                </c:pt>
                <c:pt idx="179">
                  <c:v>80</c:v>
                </c:pt>
                <c:pt idx="180">
                  <c:v>80</c:v>
                </c:pt>
                <c:pt idx="181">
                  <c:v>80</c:v>
                </c:pt>
                <c:pt idx="182">
                  <c:v>80</c:v>
                </c:pt>
                <c:pt idx="183">
                  <c:v>80</c:v>
                </c:pt>
                <c:pt idx="184">
                  <c:v>80</c:v>
                </c:pt>
                <c:pt idx="185">
                  <c:v>80</c:v>
                </c:pt>
                <c:pt idx="186">
                  <c:v>80</c:v>
                </c:pt>
                <c:pt idx="187">
                  <c:v>80</c:v>
                </c:pt>
                <c:pt idx="188">
                  <c:v>80</c:v>
                </c:pt>
                <c:pt idx="189">
                  <c:v>80</c:v>
                </c:pt>
                <c:pt idx="190">
                  <c:v>80</c:v>
                </c:pt>
                <c:pt idx="191">
                  <c:v>80</c:v>
                </c:pt>
                <c:pt idx="192">
                  <c:v>80</c:v>
                </c:pt>
                <c:pt idx="193">
                  <c:v>80</c:v>
                </c:pt>
                <c:pt idx="194">
                  <c:v>80</c:v>
                </c:pt>
                <c:pt idx="195">
                  <c:v>80</c:v>
                </c:pt>
                <c:pt idx="196">
                  <c:v>80</c:v>
                </c:pt>
                <c:pt idx="197">
                  <c:v>80</c:v>
                </c:pt>
                <c:pt idx="198">
                  <c:v>80</c:v>
                </c:pt>
                <c:pt idx="199">
                  <c:v>80</c:v>
                </c:pt>
                <c:pt idx="200">
                  <c:v>80</c:v>
                </c:pt>
                <c:pt idx="201">
                  <c:v>80</c:v>
                </c:pt>
                <c:pt idx="202">
                  <c:v>80</c:v>
                </c:pt>
                <c:pt idx="203">
                  <c:v>80</c:v>
                </c:pt>
                <c:pt idx="204">
                  <c:v>80</c:v>
                </c:pt>
                <c:pt idx="205">
                  <c:v>80</c:v>
                </c:pt>
                <c:pt idx="206">
                  <c:v>80</c:v>
                </c:pt>
                <c:pt idx="207">
                  <c:v>80</c:v>
                </c:pt>
                <c:pt idx="208">
                  <c:v>80</c:v>
                </c:pt>
                <c:pt idx="209">
                  <c:v>80</c:v>
                </c:pt>
                <c:pt idx="210">
                  <c:v>80</c:v>
                </c:pt>
                <c:pt idx="211">
                  <c:v>80</c:v>
                </c:pt>
                <c:pt idx="212">
                  <c:v>80</c:v>
                </c:pt>
                <c:pt idx="213">
                  <c:v>80</c:v>
                </c:pt>
                <c:pt idx="214">
                  <c:v>80</c:v>
                </c:pt>
                <c:pt idx="215">
                  <c:v>80</c:v>
                </c:pt>
                <c:pt idx="216">
                  <c:v>80</c:v>
                </c:pt>
                <c:pt idx="217">
                  <c:v>80</c:v>
                </c:pt>
                <c:pt idx="218">
                  <c:v>80</c:v>
                </c:pt>
                <c:pt idx="219">
                  <c:v>80</c:v>
                </c:pt>
                <c:pt idx="220">
                  <c:v>80</c:v>
                </c:pt>
                <c:pt idx="221">
                  <c:v>80</c:v>
                </c:pt>
                <c:pt idx="222">
                  <c:v>80</c:v>
                </c:pt>
                <c:pt idx="223">
                  <c:v>80</c:v>
                </c:pt>
                <c:pt idx="224">
                  <c:v>80</c:v>
                </c:pt>
                <c:pt idx="225">
                  <c:v>80</c:v>
                </c:pt>
                <c:pt idx="226">
                  <c:v>80</c:v>
                </c:pt>
                <c:pt idx="227">
                  <c:v>80</c:v>
                </c:pt>
                <c:pt idx="228">
                  <c:v>80</c:v>
                </c:pt>
                <c:pt idx="229">
                  <c:v>80</c:v>
                </c:pt>
                <c:pt idx="230">
                  <c:v>80</c:v>
                </c:pt>
                <c:pt idx="231">
                  <c:v>80</c:v>
                </c:pt>
                <c:pt idx="232">
                  <c:v>80</c:v>
                </c:pt>
                <c:pt idx="233">
                  <c:v>80</c:v>
                </c:pt>
                <c:pt idx="234">
                  <c:v>80</c:v>
                </c:pt>
                <c:pt idx="235">
                  <c:v>80</c:v>
                </c:pt>
                <c:pt idx="236">
                  <c:v>80</c:v>
                </c:pt>
                <c:pt idx="237">
                  <c:v>80</c:v>
                </c:pt>
                <c:pt idx="238">
                  <c:v>80</c:v>
                </c:pt>
                <c:pt idx="239">
                  <c:v>80</c:v>
                </c:pt>
                <c:pt idx="240">
                  <c:v>80</c:v>
                </c:pt>
                <c:pt idx="241">
                  <c:v>80</c:v>
                </c:pt>
                <c:pt idx="242">
                  <c:v>80</c:v>
                </c:pt>
                <c:pt idx="243">
                  <c:v>80</c:v>
                </c:pt>
                <c:pt idx="244">
                  <c:v>80</c:v>
                </c:pt>
                <c:pt idx="245">
                  <c:v>80</c:v>
                </c:pt>
                <c:pt idx="246">
                  <c:v>80</c:v>
                </c:pt>
                <c:pt idx="247">
                  <c:v>80</c:v>
                </c:pt>
                <c:pt idx="248">
                  <c:v>80</c:v>
                </c:pt>
                <c:pt idx="249">
                  <c:v>80</c:v>
                </c:pt>
                <c:pt idx="250">
                  <c:v>80</c:v>
                </c:pt>
                <c:pt idx="251">
                  <c:v>80</c:v>
                </c:pt>
                <c:pt idx="252">
                  <c:v>80</c:v>
                </c:pt>
                <c:pt idx="253">
                  <c:v>80</c:v>
                </c:pt>
                <c:pt idx="254">
                  <c:v>80</c:v>
                </c:pt>
                <c:pt idx="255">
                  <c:v>80</c:v>
                </c:pt>
                <c:pt idx="256">
                  <c:v>80</c:v>
                </c:pt>
                <c:pt idx="257">
                  <c:v>80</c:v>
                </c:pt>
                <c:pt idx="258">
                  <c:v>80</c:v>
                </c:pt>
                <c:pt idx="259">
                  <c:v>80</c:v>
                </c:pt>
                <c:pt idx="260">
                  <c:v>80</c:v>
                </c:pt>
                <c:pt idx="261">
                  <c:v>80</c:v>
                </c:pt>
                <c:pt idx="262">
                  <c:v>80</c:v>
                </c:pt>
                <c:pt idx="263">
                  <c:v>80</c:v>
                </c:pt>
                <c:pt idx="264">
                  <c:v>80</c:v>
                </c:pt>
                <c:pt idx="265">
                  <c:v>80</c:v>
                </c:pt>
                <c:pt idx="266">
                  <c:v>80</c:v>
                </c:pt>
                <c:pt idx="267">
                  <c:v>80</c:v>
                </c:pt>
                <c:pt idx="268">
                  <c:v>80</c:v>
                </c:pt>
                <c:pt idx="269">
                  <c:v>80</c:v>
                </c:pt>
                <c:pt idx="270">
                  <c:v>80</c:v>
                </c:pt>
                <c:pt idx="271">
                  <c:v>80</c:v>
                </c:pt>
                <c:pt idx="272">
                  <c:v>80</c:v>
                </c:pt>
                <c:pt idx="273">
                  <c:v>80</c:v>
                </c:pt>
                <c:pt idx="274">
                  <c:v>80</c:v>
                </c:pt>
                <c:pt idx="275">
                  <c:v>80</c:v>
                </c:pt>
                <c:pt idx="276">
                  <c:v>80</c:v>
                </c:pt>
                <c:pt idx="277">
                  <c:v>80</c:v>
                </c:pt>
                <c:pt idx="278">
                  <c:v>80</c:v>
                </c:pt>
                <c:pt idx="279">
                  <c:v>80</c:v>
                </c:pt>
                <c:pt idx="280">
                  <c:v>80</c:v>
                </c:pt>
                <c:pt idx="281">
                  <c:v>80</c:v>
                </c:pt>
                <c:pt idx="282">
                  <c:v>80</c:v>
                </c:pt>
                <c:pt idx="283">
                  <c:v>80</c:v>
                </c:pt>
                <c:pt idx="284">
                  <c:v>80</c:v>
                </c:pt>
                <c:pt idx="285">
                  <c:v>80</c:v>
                </c:pt>
                <c:pt idx="286">
                  <c:v>80</c:v>
                </c:pt>
                <c:pt idx="287">
                  <c:v>80</c:v>
                </c:pt>
                <c:pt idx="288">
                  <c:v>80</c:v>
                </c:pt>
                <c:pt idx="289">
                  <c:v>80</c:v>
                </c:pt>
                <c:pt idx="290">
                  <c:v>80</c:v>
                </c:pt>
                <c:pt idx="291">
                  <c:v>80</c:v>
                </c:pt>
                <c:pt idx="292">
                  <c:v>80</c:v>
                </c:pt>
                <c:pt idx="293">
                  <c:v>80</c:v>
                </c:pt>
                <c:pt idx="294">
                  <c:v>80</c:v>
                </c:pt>
                <c:pt idx="295">
                  <c:v>80</c:v>
                </c:pt>
                <c:pt idx="296">
                  <c:v>80</c:v>
                </c:pt>
                <c:pt idx="297">
                  <c:v>80</c:v>
                </c:pt>
                <c:pt idx="298">
                  <c:v>80</c:v>
                </c:pt>
                <c:pt idx="299">
                  <c:v>80</c:v>
                </c:pt>
                <c:pt idx="300">
                  <c:v>80</c:v>
                </c:pt>
                <c:pt idx="301">
                  <c:v>80</c:v>
                </c:pt>
                <c:pt idx="302">
                  <c:v>80</c:v>
                </c:pt>
                <c:pt idx="303">
                  <c:v>80</c:v>
                </c:pt>
                <c:pt idx="304">
                  <c:v>80</c:v>
                </c:pt>
                <c:pt idx="305">
                  <c:v>80</c:v>
                </c:pt>
                <c:pt idx="306">
                  <c:v>80</c:v>
                </c:pt>
                <c:pt idx="307">
                  <c:v>80</c:v>
                </c:pt>
                <c:pt idx="308">
                  <c:v>80</c:v>
                </c:pt>
                <c:pt idx="309">
                  <c:v>80</c:v>
                </c:pt>
                <c:pt idx="310">
                  <c:v>80</c:v>
                </c:pt>
                <c:pt idx="311">
                  <c:v>80</c:v>
                </c:pt>
                <c:pt idx="312">
                  <c:v>80</c:v>
                </c:pt>
                <c:pt idx="313">
                  <c:v>80</c:v>
                </c:pt>
                <c:pt idx="314">
                  <c:v>80</c:v>
                </c:pt>
                <c:pt idx="315">
                  <c:v>80</c:v>
                </c:pt>
                <c:pt idx="316">
                  <c:v>80</c:v>
                </c:pt>
                <c:pt idx="317">
                  <c:v>80</c:v>
                </c:pt>
                <c:pt idx="318">
                  <c:v>80</c:v>
                </c:pt>
                <c:pt idx="319">
                  <c:v>80</c:v>
                </c:pt>
                <c:pt idx="320">
                  <c:v>80</c:v>
                </c:pt>
                <c:pt idx="321">
                  <c:v>80</c:v>
                </c:pt>
                <c:pt idx="322">
                  <c:v>80</c:v>
                </c:pt>
                <c:pt idx="323">
                  <c:v>80</c:v>
                </c:pt>
                <c:pt idx="324">
                  <c:v>80</c:v>
                </c:pt>
                <c:pt idx="325">
                  <c:v>80</c:v>
                </c:pt>
                <c:pt idx="326">
                  <c:v>80</c:v>
                </c:pt>
                <c:pt idx="327">
                  <c:v>80</c:v>
                </c:pt>
                <c:pt idx="328">
                  <c:v>80</c:v>
                </c:pt>
                <c:pt idx="329">
                  <c:v>80</c:v>
                </c:pt>
                <c:pt idx="330">
                  <c:v>80</c:v>
                </c:pt>
                <c:pt idx="331">
                  <c:v>80</c:v>
                </c:pt>
                <c:pt idx="332">
                  <c:v>80</c:v>
                </c:pt>
                <c:pt idx="333">
                  <c:v>80</c:v>
                </c:pt>
                <c:pt idx="334">
                  <c:v>80</c:v>
                </c:pt>
                <c:pt idx="335">
                  <c:v>80</c:v>
                </c:pt>
                <c:pt idx="336">
                  <c:v>80</c:v>
                </c:pt>
                <c:pt idx="337">
                  <c:v>80</c:v>
                </c:pt>
                <c:pt idx="338">
                  <c:v>80</c:v>
                </c:pt>
                <c:pt idx="339">
                  <c:v>80</c:v>
                </c:pt>
                <c:pt idx="340">
                  <c:v>80</c:v>
                </c:pt>
                <c:pt idx="341">
                  <c:v>80</c:v>
                </c:pt>
                <c:pt idx="342">
                  <c:v>80</c:v>
                </c:pt>
                <c:pt idx="343">
                  <c:v>80</c:v>
                </c:pt>
                <c:pt idx="344">
                  <c:v>80</c:v>
                </c:pt>
                <c:pt idx="345">
                  <c:v>80</c:v>
                </c:pt>
                <c:pt idx="346">
                  <c:v>80</c:v>
                </c:pt>
                <c:pt idx="347">
                  <c:v>80</c:v>
                </c:pt>
                <c:pt idx="348">
                  <c:v>80</c:v>
                </c:pt>
                <c:pt idx="349">
                  <c:v>80</c:v>
                </c:pt>
                <c:pt idx="350">
                  <c:v>80</c:v>
                </c:pt>
                <c:pt idx="351">
                  <c:v>80</c:v>
                </c:pt>
                <c:pt idx="352">
                  <c:v>80</c:v>
                </c:pt>
                <c:pt idx="353">
                  <c:v>80.099999999999994</c:v>
                </c:pt>
                <c:pt idx="354">
                  <c:v>80.099999999999994</c:v>
                </c:pt>
                <c:pt idx="355">
                  <c:v>80.099999999999994</c:v>
                </c:pt>
                <c:pt idx="356">
                  <c:v>80.099999999999994</c:v>
                </c:pt>
                <c:pt idx="357">
                  <c:v>80.099999999999994</c:v>
                </c:pt>
                <c:pt idx="358">
                  <c:v>80.099999999999994</c:v>
                </c:pt>
                <c:pt idx="359">
                  <c:v>80.099999999999994</c:v>
                </c:pt>
                <c:pt idx="360">
                  <c:v>80.099999999999994</c:v>
                </c:pt>
                <c:pt idx="361">
                  <c:v>80.099999999999994</c:v>
                </c:pt>
                <c:pt idx="362">
                  <c:v>80.099999999999994</c:v>
                </c:pt>
                <c:pt idx="363">
                  <c:v>80.099999999999994</c:v>
                </c:pt>
                <c:pt idx="364">
                  <c:v>80.099999999999994</c:v>
                </c:pt>
                <c:pt idx="365">
                  <c:v>80.099999999999994</c:v>
                </c:pt>
                <c:pt idx="366">
                  <c:v>80.099999999999994</c:v>
                </c:pt>
                <c:pt idx="367">
                  <c:v>80.099999999999994</c:v>
                </c:pt>
                <c:pt idx="368">
                  <c:v>80.099999999999994</c:v>
                </c:pt>
                <c:pt idx="369">
                  <c:v>80.099999999999994</c:v>
                </c:pt>
                <c:pt idx="370">
                  <c:v>80.2</c:v>
                </c:pt>
                <c:pt idx="371">
                  <c:v>80.2</c:v>
                </c:pt>
                <c:pt idx="372">
                  <c:v>80.2</c:v>
                </c:pt>
                <c:pt idx="373">
                  <c:v>80.2</c:v>
                </c:pt>
                <c:pt idx="374">
                  <c:v>80.2</c:v>
                </c:pt>
                <c:pt idx="375">
                  <c:v>80.2</c:v>
                </c:pt>
                <c:pt idx="376">
                  <c:v>80.2</c:v>
                </c:pt>
                <c:pt idx="377">
                  <c:v>80.2</c:v>
                </c:pt>
                <c:pt idx="378">
                  <c:v>80.2</c:v>
                </c:pt>
                <c:pt idx="379">
                  <c:v>80.2</c:v>
                </c:pt>
                <c:pt idx="380">
                  <c:v>80.3</c:v>
                </c:pt>
                <c:pt idx="381">
                  <c:v>80.3</c:v>
                </c:pt>
                <c:pt idx="382">
                  <c:v>80.3</c:v>
                </c:pt>
                <c:pt idx="383">
                  <c:v>80.400000000000006</c:v>
                </c:pt>
                <c:pt idx="384">
                  <c:v>80.400000000000006</c:v>
                </c:pt>
                <c:pt idx="385">
                  <c:v>80.400000000000006</c:v>
                </c:pt>
                <c:pt idx="386">
                  <c:v>80.400000000000006</c:v>
                </c:pt>
                <c:pt idx="387">
                  <c:v>80.400000000000006</c:v>
                </c:pt>
                <c:pt idx="388">
                  <c:v>80.400000000000006</c:v>
                </c:pt>
                <c:pt idx="389">
                  <c:v>80.400000000000006</c:v>
                </c:pt>
                <c:pt idx="390">
                  <c:v>80.400000000000006</c:v>
                </c:pt>
                <c:pt idx="391">
                  <c:v>80.400000000000006</c:v>
                </c:pt>
                <c:pt idx="392">
                  <c:v>80.400000000000006</c:v>
                </c:pt>
                <c:pt idx="393">
                  <c:v>80.400000000000006</c:v>
                </c:pt>
                <c:pt idx="394">
                  <c:v>80.400000000000006</c:v>
                </c:pt>
                <c:pt idx="395">
                  <c:v>80.400000000000006</c:v>
                </c:pt>
                <c:pt idx="396">
                  <c:v>80.400000000000006</c:v>
                </c:pt>
                <c:pt idx="397">
                  <c:v>80.400000000000006</c:v>
                </c:pt>
                <c:pt idx="398">
                  <c:v>80.400000000000006</c:v>
                </c:pt>
                <c:pt idx="399">
                  <c:v>80.400000000000006</c:v>
                </c:pt>
                <c:pt idx="400">
                  <c:v>80.5</c:v>
                </c:pt>
                <c:pt idx="401">
                  <c:v>80.5</c:v>
                </c:pt>
                <c:pt idx="402">
                  <c:v>80.5</c:v>
                </c:pt>
                <c:pt idx="403">
                  <c:v>80.5</c:v>
                </c:pt>
                <c:pt idx="404">
                  <c:v>80.5</c:v>
                </c:pt>
                <c:pt idx="405">
                  <c:v>80.599999999999994</c:v>
                </c:pt>
                <c:pt idx="406">
                  <c:v>80.599999999999994</c:v>
                </c:pt>
                <c:pt idx="407">
                  <c:v>80.7</c:v>
                </c:pt>
                <c:pt idx="408">
                  <c:v>80.7</c:v>
                </c:pt>
                <c:pt idx="409">
                  <c:v>80.7</c:v>
                </c:pt>
                <c:pt idx="410">
                  <c:v>80.7</c:v>
                </c:pt>
                <c:pt idx="411">
                  <c:v>80.7</c:v>
                </c:pt>
                <c:pt idx="412">
                  <c:v>80.7</c:v>
                </c:pt>
                <c:pt idx="413">
                  <c:v>80.7</c:v>
                </c:pt>
                <c:pt idx="414">
                  <c:v>80.7</c:v>
                </c:pt>
                <c:pt idx="415">
                  <c:v>80.7</c:v>
                </c:pt>
                <c:pt idx="416">
                  <c:v>80.7</c:v>
                </c:pt>
                <c:pt idx="417">
                  <c:v>80.7</c:v>
                </c:pt>
                <c:pt idx="418">
                  <c:v>80.7</c:v>
                </c:pt>
                <c:pt idx="419">
                  <c:v>80.7</c:v>
                </c:pt>
                <c:pt idx="420">
                  <c:v>80.7</c:v>
                </c:pt>
                <c:pt idx="421">
                  <c:v>80.7</c:v>
                </c:pt>
                <c:pt idx="422">
                  <c:v>80.8</c:v>
                </c:pt>
                <c:pt idx="423">
                  <c:v>80.8</c:v>
                </c:pt>
                <c:pt idx="424">
                  <c:v>80.8</c:v>
                </c:pt>
                <c:pt idx="425">
                  <c:v>80.8</c:v>
                </c:pt>
                <c:pt idx="426">
                  <c:v>80.8</c:v>
                </c:pt>
                <c:pt idx="427">
                  <c:v>80.8</c:v>
                </c:pt>
                <c:pt idx="428">
                  <c:v>80.8</c:v>
                </c:pt>
                <c:pt idx="429">
                  <c:v>80.8</c:v>
                </c:pt>
                <c:pt idx="430">
                  <c:v>80.8</c:v>
                </c:pt>
                <c:pt idx="431">
                  <c:v>80.8</c:v>
                </c:pt>
                <c:pt idx="432">
                  <c:v>80.8</c:v>
                </c:pt>
                <c:pt idx="433">
                  <c:v>80.8</c:v>
                </c:pt>
                <c:pt idx="434">
                  <c:v>80.8</c:v>
                </c:pt>
                <c:pt idx="435">
                  <c:v>80.900000000000006</c:v>
                </c:pt>
                <c:pt idx="436">
                  <c:v>80.900000000000006</c:v>
                </c:pt>
                <c:pt idx="437">
                  <c:v>81</c:v>
                </c:pt>
                <c:pt idx="438">
                  <c:v>81</c:v>
                </c:pt>
                <c:pt idx="439">
                  <c:v>81</c:v>
                </c:pt>
                <c:pt idx="440">
                  <c:v>81</c:v>
                </c:pt>
                <c:pt idx="441">
                  <c:v>81</c:v>
                </c:pt>
                <c:pt idx="442">
                  <c:v>81</c:v>
                </c:pt>
                <c:pt idx="443">
                  <c:v>81</c:v>
                </c:pt>
                <c:pt idx="444">
                  <c:v>81</c:v>
                </c:pt>
                <c:pt idx="445">
                  <c:v>81</c:v>
                </c:pt>
                <c:pt idx="446">
                  <c:v>81</c:v>
                </c:pt>
                <c:pt idx="447">
                  <c:v>81</c:v>
                </c:pt>
                <c:pt idx="448">
                  <c:v>81</c:v>
                </c:pt>
                <c:pt idx="449">
                  <c:v>81</c:v>
                </c:pt>
                <c:pt idx="450">
                  <c:v>81</c:v>
                </c:pt>
                <c:pt idx="451">
                  <c:v>81</c:v>
                </c:pt>
                <c:pt idx="452">
                  <c:v>81</c:v>
                </c:pt>
                <c:pt idx="453">
                  <c:v>81</c:v>
                </c:pt>
                <c:pt idx="454">
                  <c:v>81</c:v>
                </c:pt>
                <c:pt idx="455">
                  <c:v>81</c:v>
                </c:pt>
                <c:pt idx="456">
                  <c:v>81</c:v>
                </c:pt>
                <c:pt idx="457">
                  <c:v>81</c:v>
                </c:pt>
                <c:pt idx="458">
                  <c:v>81</c:v>
                </c:pt>
                <c:pt idx="459">
                  <c:v>81</c:v>
                </c:pt>
                <c:pt idx="460">
                  <c:v>81</c:v>
                </c:pt>
                <c:pt idx="461">
                  <c:v>81</c:v>
                </c:pt>
                <c:pt idx="462">
                  <c:v>81</c:v>
                </c:pt>
                <c:pt idx="463">
                  <c:v>81.099999999999994</c:v>
                </c:pt>
                <c:pt idx="464">
                  <c:v>81.099999999999994</c:v>
                </c:pt>
                <c:pt idx="465">
                  <c:v>81.099999999999994</c:v>
                </c:pt>
                <c:pt idx="466">
                  <c:v>81.2</c:v>
                </c:pt>
                <c:pt idx="467">
                  <c:v>81.2</c:v>
                </c:pt>
                <c:pt idx="468">
                  <c:v>81.2</c:v>
                </c:pt>
                <c:pt idx="469">
                  <c:v>81.2</c:v>
                </c:pt>
                <c:pt idx="470">
                  <c:v>81.2</c:v>
                </c:pt>
                <c:pt idx="471">
                  <c:v>81.2</c:v>
                </c:pt>
                <c:pt idx="472">
                  <c:v>81.2</c:v>
                </c:pt>
                <c:pt idx="473">
                  <c:v>81.3</c:v>
                </c:pt>
                <c:pt idx="474">
                  <c:v>81.3</c:v>
                </c:pt>
                <c:pt idx="475">
                  <c:v>81.3</c:v>
                </c:pt>
                <c:pt idx="476">
                  <c:v>81.400000000000006</c:v>
                </c:pt>
                <c:pt idx="477">
                  <c:v>81.400000000000006</c:v>
                </c:pt>
                <c:pt idx="478">
                  <c:v>81.400000000000006</c:v>
                </c:pt>
                <c:pt idx="479">
                  <c:v>81.400000000000006</c:v>
                </c:pt>
                <c:pt idx="480">
                  <c:v>81.400000000000006</c:v>
                </c:pt>
                <c:pt idx="481">
                  <c:v>81.5</c:v>
                </c:pt>
                <c:pt idx="482">
                  <c:v>81.5</c:v>
                </c:pt>
                <c:pt idx="483">
                  <c:v>81.5</c:v>
                </c:pt>
                <c:pt idx="484">
                  <c:v>81.5</c:v>
                </c:pt>
                <c:pt idx="485">
                  <c:v>81.5</c:v>
                </c:pt>
                <c:pt idx="486">
                  <c:v>81.5</c:v>
                </c:pt>
                <c:pt idx="487">
                  <c:v>81.5</c:v>
                </c:pt>
                <c:pt idx="488">
                  <c:v>81.5</c:v>
                </c:pt>
                <c:pt idx="489">
                  <c:v>81.5</c:v>
                </c:pt>
                <c:pt idx="490">
                  <c:v>81.5</c:v>
                </c:pt>
                <c:pt idx="491">
                  <c:v>81.5</c:v>
                </c:pt>
                <c:pt idx="492">
                  <c:v>81.599999999999994</c:v>
                </c:pt>
                <c:pt idx="493">
                  <c:v>81.7</c:v>
                </c:pt>
                <c:pt idx="494">
                  <c:v>81.7</c:v>
                </c:pt>
                <c:pt idx="495">
                  <c:v>81.7</c:v>
                </c:pt>
                <c:pt idx="496">
                  <c:v>81.7</c:v>
                </c:pt>
                <c:pt idx="497">
                  <c:v>81.7</c:v>
                </c:pt>
                <c:pt idx="498">
                  <c:v>81.7</c:v>
                </c:pt>
                <c:pt idx="499">
                  <c:v>81.8</c:v>
                </c:pt>
                <c:pt idx="500">
                  <c:v>81.8</c:v>
                </c:pt>
                <c:pt idx="501">
                  <c:v>81.8</c:v>
                </c:pt>
                <c:pt idx="502">
                  <c:v>81.8</c:v>
                </c:pt>
                <c:pt idx="503">
                  <c:v>81.8</c:v>
                </c:pt>
                <c:pt idx="504">
                  <c:v>81.8</c:v>
                </c:pt>
                <c:pt idx="505">
                  <c:v>81.8</c:v>
                </c:pt>
                <c:pt idx="506">
                  <c:v>81.900000000000006</c:v>
                </c:pt>
                <c:pt idx="507">
                  <c:v>81.900000000000006</c:v>
                </c:pt>
                <c:pt idx="508">
                  <c:v>81.900000000000006</c:v>
                </c:pt>
                <c:pt idx="509">
                  <c:v>81.900000000000006</c:v>
                </c:pt>
                <c:pt idx="510">
                  <c:v>81.900000000000006</c:v>
                </c:pt>
                <c:pt idx="511">
                  <c:v>81.900000000000006</c:v>
                </c:pt>
                <c:pt idx="512">
                  <c:v>81.900000000000006</c:v>
                </c:pt>
                <c:pt idx="513">
                  <c:v>82</c:v>
                </c:pt>
                <c:pt idx="514">
                  <c:v>82</c:v>
                </c:pt>
                <c:pt idx="515">
                  <c:v>82</c:v>
                </c:pt>
                <c:pt idx="516">
                  <c:v>82</c:v>
                </c:pt>
                <c:pt idx="517">
                  <c:v>82</c:v>
                </c:pt>
                <c:pt idx="518">
                  <c:v>82</c:v>
                </c:pt>
                <c:pt idx="519">
                  <c:v>82</c:v>
                </c:pt>
                <c:pt idx="520">
                  <c:v>82</c:v>
                </c:pt>
                <c:pt idx="521">
                  <c:v>82</c:v>
                </c:pt>
                <c:pt idx="522">
                  <c:v>82</c:v>
                </c:pt>
                <c:pt idx="523">
                  <c:v>82</c:v>
                </c:pt>
                <c:pt idx="524">
                  <c:v>82</c:v>
                </c:pt>
                <c:pt idx="525">
                  <c:v>82</c:v>
                </c:pt>
                <c:pt idx="526">
                  <c:v>82</c:v>
                </c:pt>
                <c:pt idx="527">
                  <c:v>82</c:v>
                </c:pt>
                <c:pt idx="528">
                  <c:v>82</c:v>
                </c:pt>
                <c:pt idx="529">
                  <c:v>82</c:v>
                </c:pt>
                <c:pt idx="530">
                  <c:v>82</c:v>
                </c:pt>
                <c:pt idx="531">
                  <c:v>82</c:v>
                </c:pt>
                <c:pt idx="532">
                  <c:v>82</c:v>
                </c:pt>
                <c:pt idx="533">
                  <c:v>82</c:v>
                </c:pt>
                <c:pt idx="534">
                  <c:v>82</c:v>
                </c:pt>
                <c:pt idx="535">
                  <c:v>82</c:v>
                </c:pt>
                <c:pt idx="536">
                  <c:v>82</c:v>
                </c:pt>
                <c:pt idx="537">
                  <c:v>82</c:v>
                </c:pt>
                <c:pt idx="538">
                  <c:v>82</c:v>
                </c:pt>
                <c:pt idx="539">
                  <c:v>82</c:v>
                </c:pt>
                <c:pt idx="540">
                  <c:v>82</c:v>
                </c:pt>
                <c:pt idx="541">
                  <c:v>82</c:v>
                </c:pt>
                <c:pt idx="542">
                  <c:v>82</c:v>
                </c:pt>
                <c:pt idx="543">
                  <c:v>82</c:v>
                </c:pt>
                <c:pt idx="544">
                  <c:v>82</c:v>
                </c:pt>
                <c:pt idx="545">
                  <c:v>82</c:v>
                </c:pt>
                <c:pt idx="546">
                  <c:v>82</c:v>
                </c:pt>
                <c:pt idx="547">
                  <c:v>82</c:v>
                </c:pt>
                <c:pt idx="548">
                  <c:v>82</c:v>
                </c:pt>
                <c:pt idx="549">
                  <c:v>82</c:v>
                </c:pt>
                <c:pt idx="550">
                  <c:v>82</c:v>
                </c:pt>
                <c:pt idx="551">
                  <c:v>82</c:v>
                </c:pt>
                <c:pt idx="552">
                  <c:v>82</c:v>
                </c:pt>
                <c:pt idx="553">
                  <c:v>82</c:v>
                </c:pt>
                <c:pt idx="554">
                  <c:v>82</c:v>
                </c:pt>
                <c:pt idx="555">
                  <c:v>82</c:v>
                </c:pt>
                <c:pt idx="556">
                  <c:v>82</c:v>
                </c:pt>
                <c:pt idx="557">
                  <c:v>82</c:v>
                </c:pt>
                <c:pt idx="558">
                  <c:v>82</c:v>
                </c:pt>
                <c:pt idx="559">
                  <c:v>82</c:v>
                </c:pt>
                <c:pt idx="560">
                  <c:v>82</c:v>
                </c:pt>
                <c:pt idx="561">
                  <c:v>82</c:v>
                </c:pt>
                <c:pt idx="562">
                  <c:v>82</c:v>
                </c:pt>
                <c:pt idx="563">
                  <c:v>82</c:v>
                </c:pt>
                <c:pt idx="564">
                  <c:v>82</c:v>
                </c:pt>
                <c:pt idx="565">
                  <c:v>82</c:v>
                </c:pt>
                <c:pt idx="566">
                  <c:v>82</c:v>
                </c:pt>
                <c:pt idx="567">
                  <c:v>82</c:v>
                </c:pt>
                <c:pt idx="568">
                  <c:v>82</c:v>
                </c:pt>
                <c:pt idx="569">
                  <c:v>82</c:v>
                </c:pt>
                <c:pt idx="570">
                  <c:v>82</c:v>
                </c:pt>
                <c:pt idx="571">
                  <c:v>82</c:v>
                </c:pt>
                <c:pt idx="572">
                  <c:v>82</c:v>
                </c:pt>
                <c:pt idx="573">
                  <c:v>82</c:v>
                </c:pt>
                <c:pt idx="574">
                  <c:v>82</c:v>
                </c:pt>
                <c:pt idx="575">
                  <c:v>82</c:v>
                </c:pt>
                <c:pt idx="576">
                  <c:v>82</c:v>
                </c:pt>
                <c:pt idx="577">
                  <c:v>82</c:v>
                </c:pt>
                <c:pt idx="578">
                  <c:v>82</c:v>
                </c:pt>
                <c:pt idx="579">
                  <c:v>82</c:v>
                </c:pt>
                <c:pt idx="580">
                  <c:v>82</c:v>
                </c:pt>
                <c:pt idx="581">
                  <c:v>82</c:v>
                </c:pt>
                <c:pt idx="582">
                  <c:v>82</c:v>
                </c:pt>
                <c:pt idx="583">
                  <c:v>82</c:v>
                </c:pt>
                <c:pt idx="584">
                  <c:v>82</c:v>
                </c:pt>
                <c:pt idx="585">
                  <c:v>82</c:v>
                </c:pt>
                <c:pt idx="586">
                  <c:v>82</c:v>
                </c:pt>
                <c:pt idx="587">
                  <c:v>82</c:v>
                </c:pt>
                <c:pt idx="588">
                  <c:v>82</c:v>
                </c:pt>
                <c:pt idx="589">
                  <c:v>82</c:v>
                </c:pt>
                <c:pt idx="590">
                  <c:v>82</c:v>
                </c:pt>
                <c:pt idx="591">
                  <c:v>82</c:v>
                </c:pt>
                <c:pt idx="592">
                  <c:v>82</c:v>
                </c:pt>
                <c:pt idx="593">
                  <c:v>82</c:v>
                </c:pt>
                <c:pt idx="594">
                  <c:v>82</c:v>
                </c:pt>
                <c:pt idx="595">
                  <c:v>82</c:v>
                </c:pt>
                <c:pt idx="596">
                  <c:v>82</c:v>
                </c:pt>
                <c:pt idx="597">
                  <c:v>82</c:v>
                </c:pt>
                <c:pt idx="598">
                  <c:v>82</c:v>
                </c:pt>
                <c:pt idx="599">
                  <c:v>82</c:v>
                </c:pt>
                <c:pt idx="600">
                  <c:v>82</c:v>
                </c:pt>
                <c:pt idx="601">
                  <c:v>82</c:v>
                </c:pt>
                <c:pt idx="602">
                  <c:v>82</c:v>
                </c:pt>
                <c:pt idx="603">
                  <c:v>82</c:v>
                </c:pt>
                <c:pt idx="604">
                  <c:v>82</c:v>
                </c:pt>
                <c:pt idx="605">
                  <c:v>82</c:v>
                </c:pt>
                <c:pt idx="606">
                  <c:v>82</c:v>
                </c:pt>
                <c:pt idx="607">
                  <c:v>82</c:v>
                </c:pt>
                <c:pt idx="608">
                  <c:v>82</c:v>
                </c:pt>
                <c:pt idx="609">
                  <c:v>82</c:v>
                </c:pt>
                <c:pt idx="610">
                  <c:v>82</c:v>
                </c:pt>
                <c:pt idx="611">
                  <c:v>82</c:v>
                </c:pt>
                <c:pt idx="612">
                  <c:v>82</c:v>
                </c:pt>
                <c:pt idx="613">
                  <c:v>82</c:v>
                </c:pt>
                <c:pt idx="614">
                  <c:v>82</c:v>
                </c:pt>
                <c:pt idx="615">
                  <c:v>82</c:v>
                </c:pt>
                <c:pt idx="616">
                  <c:v>82</c:v>
                </c:pt>
                <c:pt idx="617">
                  <c:v>82</c:v>
                </c:pt>
                <c:pt idx="618">
                  <c:v>82</c:v>
                </c:pt>
                <c:pt idx="619">
                  <c:v>82</c:v>
                </c:pt>
                <c:pt idx="620">
                  <c:v>82</c:v>
                </c:pt>
                <c:pt idx="621">
                  <c:v>82</c:v>
                </c:pt>
                <c:pt idx="622">
                  <c:v>82</c:v>
                </c:pt>
                <c:pt idx="623">
                  <c:v>82</c:v>
                </c:pt>
                <c:pt idx="624">
                  <c:v>82</c:v>
                </c:pt>
                <c:pt idx="625">
                  <c:v>82</c:v>
                </c:pt>
                <c:pt idx="626">
                  <c:v>82</c:v>
                </c:pt>
                <c:pt idx="627">
                  <c:v>82</c:v>
                </c:pt>
                <c:pt idx="628">
                  <c:v>82</c:v>
                </c:pt>
                <c:pt idx="629">
                  <c:v>82.1</c:v>
                </c:pt>
                <c:pt idx="630">
                  <c:v>82.1</c:v>
                </c:pt>
                <c:pt idx="631">
                  <c:v>82.1</c:v>
                </c:pt>
                <c:pt idx="632">
                  <c:v>82.1</c:v>
                </c:pt>
                <c:pt idx="633">
                  <c:v>82.1</c:v>
                </c:pt>
                <c:pt idx="634">
                  <c:v>82.1</c:v>
                </c:pt>
                <c:pt idx="635">
                  <c:v>82.1</c:v>
                </c:pt>
                <c:pt idx="636">
                  <c:v>82.1</c:v>
                </c:pt>
                <c:pt idx="637">
                  <c:v>82.1</c:v>
                </c:pt>
                <c:pt idx="638">
                  <c:v>82.1</c:v>
                </c:pt>
                <c:pt idx="639">
                  <c:v>82.1</c:v>
                </c:pt>
                <c:pt idx="640">
                  <c:v>82.1</c:v>
                </c:pt>
                <c:pt idx="641">
                  <c:v>82.1</c:v>
                </c:pt>
                <c:pt idx="642">
                  <c:v>82.1</c:v>
                </c:pt>
                <c:pt idx="643">
                  <c:v>82.1</c:v>
                </c:pt>
                <c:pt idx="644">
                  <c:v>82.1</c:v>
                </c:pt>
                <c:pt idx="645">
                  <c:v>82.1</c:v>
                </c:pt>
                <c:pt idx="646">
                  <c:v>82.1</c:v>
                </c:pt>
                <c:pt idx="647">
                  <c:v>82.1</c:v>
                </c:pt>
                <c:pt idx="648">
                  <c:v>82.1</c:v>
                </c:pt>
                <c:pt idx="649">
                  <c:v>82.1</c:v>
                </c:pt>
                <c:pt idx="650">
                  <c:v>82.1</c:v>
                </c:pt>
                <c:pt idx="651">
                  <c:v>82.1</c:v>
                </c:pt>
                <c:pt idx="652">
                  <c:v>82.1</c:v>
                </c:pt>
                <c:pt idx="653">
                  <c:v>82.1</c:v>
                </c:pt>
                <c:pt idx="654">
                  <c:v>82.1</c:v>
                </c:pt>
                <c:pt idx="655">
                  <c:v>82.1</c:v>
                </c:pt>
                <c:pt idx="656">
                  <c:v>82.1</c:v>
                </c:pt>
                <c:pt idx="657">
                  <c:v>82.1</c:v>
                </c:pt>
                <c:pt idx="658">
                  <c:v>82.1</c:v>
                </c:pt>
                <c:pt idx="659">
                  <c:v>82.1</c:v>
                </c:pt>
                <c:pt idx="660">
                  <c:v>82.1</c:v>
                </c:pt>
                <c:pt idx="661">
                  <c:v>82.1</c:v>
                </c:pt>
                <c:pt idx="662">
                  <c:v>82.1</c:v>
                </c:pt>
                <c:pt idx="663">
                  <c:v>82.1</c:v>
                </c:pt>
                <c:pt idx="664">
                  <c:v>82.2</c:v>
                </c:pt>
                <c:pt idx="665">
                  <c:v>82.2</c:v>
                </c:pt>
                <c:pt idx="666">
                  <c:v>82.2</c:v>
                </c:pt>
                <c:pt idx="667">
                  <c:v>82.2</c:v>
                </c:pt>
                <c:pt idx="668">
                  <c:v>82.2</c:v>
                </c:pt>
                <c:pt idx="669">
                  <c:v>82.2</c:v>
                </c:pt>
                <c:pt idx="670">
                  <c:v>82.2</c:v>
                </c:pt>
                <c:pt idx="671">
                  <c:v>82.2</c:v>
                </c:pt>
                <c:pt idx="672">
                  <c:v>82.2</c:v>
                </c:pt>
                <c:pt idx="673">
                  <c:v>82.2</c:v>
                </c:pt>
                <c:pt idx="674">
                  <c:v>82.2</c:v>
                </c:pt>
                <c:pt idx="675">
                  <c:v>82.2</c:v>
                </c:pt>
                <c:pt idx="676">
                  <c:v>82.2</c:v>
                </c:pt>
                <c:pt idx="677">
                  <c:v>82.2</c:v>
                </c:pt>
                <c:pt idx="678">
                  <c:v>82.2</c:v>
                </c:pt>
                <c:pt idx="679">
                  <c:v>82.2</c:v>
                </c:pt>
                <c:pt idx="680">
                  <c:v>82.2</c:v>
                </c:pt>
                <c:pt idx="681">
                  <c:v>82.2</c:v>
                </c:pt>
                <c:pt idx="682">
                  <c:v>82.2</c:v>
                </c:pt>
                <c:pt idx="683">
                  <c:v>82.2</c:v>
                </c:pt>
                <c:pt idx="684">
                  <c:v>82.2</c:v>
                </c:pt>
                <c:pt idx="685">
                  <c:v>82.2</c:v>
                </c:pt>
                <c:pt idx="686">
                  <c:v>82.2</c:v>
                </c:pt>
                <c:pt idx="687">
                  <c:v>82.2</c:v>
                </c:pt>
                <c:pt idx="688">
                  <c:v>82.2</c:v>
                </c:pt>
                <c:pt idx="689">
                  <c:v>82.2</c:v>
                </c:pt>
                <c:pt idx="690">
                  <c:v>82.2</c:v>
                </c:pt>
                <c:pt idx="691">
                  <c:v>82.2</c:v>
                </c:pt>
                <c:pt idx="692">
                  <c:v>82.2</c:v>
                </c:pt>
                <c:pt idx="693">
                  <c:v>82.3</c:v>
                </c:pt>
                <c:pt idx="694">
                  <c:v>82.3</c:v>
                </c:pt>
                <c:pt idx="695">
                  <c:v>82.3</c:v>
                </c:pt>
                <c:pt idx="696">
                  <c:v>82.3</c:v>
                </c:pt>
                <c:pt idx="697">
                  <c:v>82.3</c:v>
                </c:pt>
                <c:pt idx="698">
                  <c:v>82.3</c:v>
                </c:pt>
                <c:pt idx="699">
                  <c:v>82.3</c:v>
                </c:pt>
                <c:pt idx="700">
                  <c:v>82.3</c:v>
                </c:pt>
                <c:pt idx="701">
                  <c:v>82.3</c:v>
                </c:pt>
                <c:pt idx="702">
                  <c:v>82.3</c:v>
                </c:pt>
                <c:pt idx="703">
                  <c:v>82.4</c:v>
                </c:pt>
                <c:pt idx="704">
                  <c:v>82.4</c:v>
                </c:pt>
                <c:pt idx="705">
                  <c:v>82.5</c:v>
                </c:pt>
                <c:pt idx="706">
                  <c:v>82.5</c:v>
                </c:pt>
                <c:pt idx="707">
                  <c:v>82.5</c:v>
                </c:pt>
                <c:pt idx="708">
                  <c:v>82.5</c:v>
                </c:pt>
                <c:pt idx="709">
                  <c:v>82.5</c:v>
                </c:pt>
                <c:pt idx="710">
                  <c:v>82.5</c:v>
                </c:pt>
                <c:pt idx="711">
                  <c:v>82.5</c:v>
                </c:pt>
                <c:pt idx="712">
                  <c:v>82.5</c:v>
                </c:pt>
                <c:pt idx="713">
                  <c:v>82.5</c:v>
                </c:pt>
                <c:pt idx="714">
                  <c:v>82.5</c:v>
                </c:pt>
                <c:pt idx="715">
                  <c:v>82.6</c:v>
                </c:pt>
                <c:pt idx="716">
                  <c:v>82.6</c:v>
                </c:pt>
                <c:pt idx="717">
                  <c:v>82.7</c:v>
                </c:pt>
                <c:pt idx="718">
                  <c:v>82.7</c:v>
                </c:pt>
                <c:pt idx="719">
                  <c:v>82.7</c:v>
                </c:pt>
                <c:pt idx="720">
                  <c:v>82.7</c:v>
                </c:pt>
                <c:pt idx="721">
                  <c:v>82.7</c:v>
                </c:pt>
                <c:pt idx="722">
                  <c:v>82.7</c:v>
                </c:pt>
                <c:pt idx="723">
                  <c:v>82.7</c:v>
                </c:pt>
                <c:pt idx="724">
                  <c:v>82.7</c:v>
                </c:pt>
                <c:pt idx="725">
                  <c:v>82.7</c:v>
                </c:pt>
                <c:pt idx="726">
                  <c:v>82.7</c:v>
                </c:pt>
                <c:pt idx="727">
                  <c:v>82.7</c:v>
                </c:pt>
                <c:pt idx="728">
                  <c:v>82.7</c:v>
                </c:pt>
                <c:pt idx="729">
                  <c:v>82.7</c:v>
                </c:pt>
                <c:pt idx="730">
                  <c:v>82.7</c:v>
                </c:pt>
                <c:pt idx="731">
                  <c:v>82.8</c:v>
                </c:pt>
                <c:pt idx="732">
                  <c:v>82.9</c:v>
                </c:pt>
                <c:pt idx="733">
                  <c:v>82.9</c:v>
                </c:pt>
                <c:pt idx="734">
                  <c:v>82.9</c:v>
                </c:pt>
                <c:pt idx="735">
                  <c:v>82.9</c:v>
                </c:pt>
                <c:pt idx="736">
                  <c:v>82.9</c:v>
                </c:pt>
                <c:pt idx="737">
                  <c:v>82.9</c:v>
                </c:pt>
                <c:pt idx="738">
                  <c:v>82.9</c:v>
                </c:pt>
                <c:pt idx="739">
                  <c:v>82.9</c:v>
                </c:pt>
                <c:pt idx="740">
                  <c:v>82.9</c:v>
                </c:pt>
                <c:pt idx="741">
                  <c:v>82.9</c:v>
                </c:pt>
                <c:pt idx="742">
                  <c:v>82.9</c:v>
                </c:pt>
                <c:pt idx="743">
                  <c:v>82.9</c:v>
                </c:pt>
                <c:pt idx="744">
                  <c:v>83</c:v>
                </c:pt>
                <c:pt idx="745">
                  <c:v>83</c:v>
                </c:pt>
                <c:pt idx="746">
                  <c:v>83</c:v>
                </c:pt>
                <c:pt idx="747">
                  <c:v>83</c:v>
                </c:pt>
                <c:pt idx="748">
                  <c:v>83</c:v>
                </c:pt>
                <c:pt idx="749">
                  <c:v>83</c:v>
                </c:pt>
                <c:pt idx="750">
                  <c:v>83</c:v>
                </c:pt>
                <c:pt idx="751">
                  <c:v>83</c:v>
                </c:pt>
                <c:pt idx="752">
                  <c:v>83</c:v>
                </c:pt>
                <c:pt idx="753">
                  <c:v>83.2</c:v>
                </c:pt>
                <c:pt idx="754">
                  <c:v>83.2</c:v>
                </c:pt>
                <c:pt idx="755">
                  <c:v>83.2</c:v>
                </c:pt>
                <c:pt idx="756">
                  <c:v>83.2</c:v>
                </c:pt>
                <c:pt idx="757">
                  <c:v>83.2</c:v>
                </c:pt>
                <c:pt idx="758">
                  <c:v>83.2</c:v>
                </c:pt>
                <c:pt idx="759">
                  <c:v>83.2</c:v>
                </c:pt>
                <c:pt idx="760">
                  <c:v>83.2</c:v>
                </c:pt>
                <c:pt idx="761">
                  <c:v>83.2</c:v>
                </c:pt>
                <c:pt idx="762">
                  <c:v>83.2</c:v>
                </c:pt>
                <c:pt idx="763">
                  <c:v>83.3</c:v>
                </c:pt>
                <c:pt idx="764">
                  <c:v>83.3</c:v>
                </c:pt>
                <c:pt idx="765">
                  <c:v>83.3</c:v>
                </c:pt>
                <c:pt idx="766">
                  <c:v>83.3</c:v>
                </c:pt>
                <c:pt idx="767">
                  <c:v>83.3</c:v>
                </c:pt>
                <c:pt idx="768">
                  <c:v>83.3</c:v>
                </c:pt>
                <c:pt idx="769">
                  <c:v>83.3</c:v>
                </c:pt>
                <c:pt idx="770">
                  <c:v>83.3</c:v>
                </c:pt>
                <c:pt idx="771">
                  <c:v>83.3</c:v>
                </c:pt>
                <c:pt idx="772">
                  <c:v>83.3</c:v>
                </c:pt>
                <c:pt idx="773">
                  <c:v>83.3</c:v>
                </c:pt>
                <c:pt idx="774">
                  <c:v>83.3</c:v>
                </c:pt>
                <c:pt idx="775">
                  <c:v>83.3</c:v>
                </c:pt>
                <c:pt idx="776">
                  <c:v>83.3</c:v>
                </c:pt>
                <c:pt idx="777">
                  <c:v>83.3</c:v>
                </c:pt>
                <c:pt idx="778">
                  <c:v>83.3</c:v>
                </c:pt>
                <c:pt idx="779">
                  <c:v>83.3</c:v>
                </c:pt>
                <c:pt idx="780">
                  <c:v>83.3</c:v>
                </c:pt>
                <c:pt idx="781">
                  <c:v>83.3</c:v>
                </c:pt>
                <c:pt idx="782">
                  <c:v>83.3</c:v>
                </c:pt>
                <c:pt idx="783">
                  <c:v>83.3</c:v>
                </c:pt>
                <c:pt idx="784">
                  <c:v>83.3</c:v>
                </c:pt>
                <c:pt idx="785">
                  <c:v>83.3</c:v>
                </c:pt>
                <c:pt idx="786">
                  <c:v>83.3</c:v>
                </c:pt>
                <c:pt idx="787">
                  <c:v>83.3</c:v>
                </c:pt>
                <c:pt idx="788">
                  <c:v>83.3</c:v>
                </c:pt>
                <c:pt idx="789">
                  <c:v>83.5</c:v>
                </c:pt>
                <c:pt idx="790">
                  <c:v>83.5</c:v>
                </c:pt>
                <c:pt idx="791">
                  <c:v>83.5</c:v>
                </c:pt>
                <c:pt idx="792">
                  <c:v>83.5</c:v>
                </c:pt>
                <c:pt idx="793">
                  <c:v>83.5</c:v>
                </c:pt>
                <c:pt idx="794">
                  <c:v>83.5</c:v>
                </c:pt>
                <c:pt idx="795">
                  <c:v>83.5</c:v>
                </c:pt>
                <c:pt idx="796">
                  <c:v>83.5</c:v>
                </c:pt>
                <c:pt idx="797">
                  <c:v>83.5</c:v>
                </c:pt>
                <c:pt idx="798">
                  <c:v>83.5</c:v>
                </c:pt>
                <c:pt idx="799">
                  <c:v>83.5</c:v>
                </c:pt>
                <c:pt idx="800">
                  <c:v>83.5</c:v>
                </c:pt>
                <c:pt idx="801">
                  <c:v>83.5</c:v>
                </c:pt>
                <c:pt idx="802">
                  <c:v>83.5</c:v>
                </c:pt>
                <c:pt idx="803">
                  <c:v>83.5</c:v>
                </c:pt>
                <c:pt idx="804">
                  <c:v>83.5</c:v>
                </c:pt>
                <c:pt idx="805">
                  <c:v>83.5</c:v>
                </c:pt>
                <c:pt idx="806">
                  <c:v>83.5</c:v>
                </c:pt>
                <c:pt idx="807">
                  <c:v>83.5</c:v>
                </c:pt>
                <c:pt idx="808">
                  <c:v>83.5</c:v>
                </c:pt>
                <c:pt idx="809">
                  <c:v>83.5</c:v>
                </c:pt>
                <c:pt idx="810">
                  <c:v>83.5</c:v>
                </c:pt>
                <c:pt idx="811">
                  <c:v>83.5</c:v>
                </c:pt>
                <c:pt idx="812">
                  <c:v>83.5</c:v>
                </c:pt>
                <c:pt idx="813">
                  <c:v>83.5</c:v>
                </c:pt>
                <c:pt idx="814">
                  <c:v>83.5</c:v>
                </c:pt>
                <c:pt idx="815">
                  <c:v>83.5</c:v>
                </c:pt>
                <c:pt idx="816">
                  <c:v>83.5</c:v>
                </c:pt>
                <c:pt idx="817">
                  <c:v>83.5</c:v>
                </c:pt>
                <c:pt idx="818">
                  <c:v>83.5</c:v>
                </c:pt>
                <c:pt idx="819">
                  <c:v>83.5</c:v>
                </c:pt>
                <c:pt idx="820">
                  <c:v>83.5</c:v>
                </c:pt>
                <c:pt idx="821">
                  <c:v>83.5</c:v>
                </c:pt>
                <c:pt idx="822">
                  <c:v>83.5</c:v>
                </c:pt>
                <c:pt idx="823">
                  <c:v>83.5</c:v>
                </c:pt>
                <c:pt idx="824">
                  <c:v>83.5</c:v>
                </c:pt>
                <c:pt idx="825">
                  <c:v>83.5</c:v>
                </c:pt>
                <c:pt idx="826">
                  <c:v>83.5</c:v>
                </c:pt>
                <c:pt idx="827">
                  <c:v>83.5</c:v>
                </c:pt>
                <c:pt idx="828">
                  <c:v>83.5</c:v>
                </c:pt>
                <c:pt idx="829">
                  <c:v>83.5</c:v>
                </c:pt>
                <c:pt idx="830">
                  <c:v>83.5</c:v>
                </c:pt>
                <c:pt idx="831">
                  <c:v>83.5</c:v>
                </c:pt>
                <c:pt idx="832">
                  <c:v>83.5</c:v>
                </c:pt>
                <c:pt idx="833">
                  <c:v>83.5</c:v>
                </c:pt>
                <c:pt idx="834">
                  <c:v>83.5</c:v>
                </c:pt>
                <c:pt idx="835">
                  <c:v>83.5</c:v>
                </c:pt>
                <c:pt idx="836">
                  <c:v>83.5</c:v>
                </c:pt>
                <c:pt idx="837">
                  <c:v>83.5</c:v>
                </c:pt>
                <c:pt idx="838">
                  <c:v>83.5</c:v>
                </c:pt>
                <c:pt idx="839">
                  <c:v>83.5</c:v>
                </c:pt>
                <c:pt idx="840">
                  <c:v>83.5</c:v>
                </c:pt>
                <c:pt idx="841">
                  <c:v>83.5</c:v>
                </c:pt>
                <c:pt idx="842">
                  <c:v>83.5</c:v>
                </c:pt>
                <c:pt idx="843">
                  <c:v>83.5</c:v>
                </c:pt>
                <c:pt idx="844">
                  <c:v>83.5</c:v>
                </c:pt>
                <c:pt idx="845">
                  <c:v>83.5</c:v>
                </c:pt>
                <c:pt idx="846">
                  <c:v>83.5</c:v>
                </c:pt>
                <c:pt idx="847">
                  <c:v>83.5</c:v>
                </c:pt>
                <c:pt idx="848">
                  <c:v>83.5</c:v>
                </c:pt>
                <c:pt idx="849">
                  <c:v>83.5</c:v>
                </c:pt>
                <c:pt idx="850">
                  <c:v>83.5</c:v>
                </c:pt>
                <c:pt idx="851">
                  <c:v>83.5</c:v>
                </c:pt>
                <c:pt idx="852">
                  <c:v>83.5</c:v>
                </c:pt>
                <c:pt idx="853">
                  <c:v>83.5</c:v>
                </c:pt>
                <c:pt idx="854">
                  <c:v>83.5</c:v>
                </c:pt>
                <c:pt idx="855">
                  <c:v>83.5</c:v>
                </c:pt>
                <c:pt idx="856">
                  <c:v>83.5</c:v>
                </c:pt>
                <c:pt idx="857">
                  <c:v>83.5</c:v>
                </c:pt>
                <c:pt idx="858">
                  <c:v>83.5</c:v>
                </c:pt>
                <c:pt idx="859">
                  <c:v>83.5</c:v>
                </c:pt>
                <c:pt idx="860">
                  <c:v>83.5</c:v>
                </c:pt>
                <c:pt idx="861">
                  <c:v>83.5</c:v>
                </c:pt>
                <c:pt idx="862">
                  <c:v>83.5</c:v>
                </c:pt>
                <c:pt idx="863">
                  <c:v>83.5</c:v>
                </c:pt>
                <c:pt idx="864">
                  <c:v>83.5</c:v>
                </c:pt>
                <c:pt idx="865">
                  <c:v>83.5</c:v>
                </c:pt>
                <c:pt idx="866">
                  <c:v>83.5</c:v>
                </c:pt>
                <c:pt idx="867">
                  <c:v>83.5</c:v>
                </c:pt>
                <c:pt idx="868">
                  <c:v>83.5</c:v>
                </c:pt>
                <c:pt idx="869">
                  <c:v>83.5</c:v>
                </c:pt>
                <c:pt idx="870">
                  <c:v>83.5</c:v>
                </c:pt>
                <c:pt idx="871">
                  <c:v>83.5</c:v>
                </c:pt>
                <c:pt idx="872">
                  <c:v>83.5</c:v>
                </c:pt>
                <c:pt idx="873">
                  <c:v>83.5</c:v>
                </c:pt>
                <c:pt idx="874">
                  <c:v>83.5</c:v>
                </c:pt>
                <c:pt idx="875">
                  <c:v>83.5</c:v>
                </c:pt>
                <c:pt idx="876">
                  <c:v>83.5</c:v>
                </c:pt>
                <c:pt idx="877">
                  <c:v>83.7</c:v>
                </c:pt>
                <c:pt idx="878">
                  <c:v>83.7</c:v>
                </c:pt>
                <c:pt idx="879">
                  <c:v>83.7</c:v>
                </c:pt>
                <c:pt idx="880">
                  <c:v>83.7</c:v>
                </c:pt>
                <c:pt idx="881">
                  <c:v>83.7</c:v>
                </c:pt>
                <c:pt idx="882">
                  <c:v>83.7</c:v>
                </c:pt>
                <c:pt idx="883">
                  <c:v>83.7</c:v>
                </c:pt>
                <c:pt idx="884">
                  <c:v>83.7</c:v>
                </c:pt>
                <c:pt idx="885">
                  <c:v>83.7</c:v>
                </c:pt>
                <c:pt idx="886">
                  <c:v>83.7</c:v>
                </c:pt>
                <c:pt idx="887">
                  <c:v>83.7</c:v>
                </c:pt>
                <c:pt idx="888">
                  <c:v>83.7</c:v>
                </c:pt>
                <c:pt idx="889">
                  <c:v>83.7</c:v>
                </c:pt>
                <c:pt idx="890">
                  <c:v>83.7</c:v>
                </c:pt>
                <c:pt idx="891">
                  <c:v>83.7</c:v>
                </c:pt>
                <c:pt idx="892">
                  <c:v>83.7</c:v>
                </c:pt>
                <c:pt idx="893">
                  <c:v>83.7</c:v>
                </c:pt>
                <c:pt idx="894">
                  <c:v>83.7</c:v>
                </c:pt>
                <c:pt idx="895">
                  <c:v>83.7</c:v>
                </c:pt>
                <c:pt idx="896">
                  <c:v>83.7</c:v>
                </c:pt>
                <c:pt idx="897">
                  <c:v>83.7</c:v>
                </c:pt>
                <c:pt idx="898">
                  <c:v>83.7</c:v>
                </c:pt>
                <c:pt idx="899">
                  <c:v>83.7</c:v>
                </c:pt>
                <c:pt idx="900">
                  <c:v>83.7</c:v>
                </c:pt>
                <c:pt idx="901">
                  <c:v>83.7</c:v>
                </c:pt>
                <c:pt idx="902">
                  <c:v>83.8</c:v>
                </c:pt>
                <c:pt idx="903">
                  <c:v>83.8</c:v>
                </c:pt>
                <c:pt idx="904">
                  <c:v>83.8</c:v>
                </c:pt>
                <c:pt idx="905">
                  <c:v>83.8</c:v>
                </c:pt>
                <c:pt idx="906">
                  <c:v>83.8</c:v>
                </c:pt>
                <c:pt idx="907">
                  <c:v>83.8</c:v>
                </c:pt>
                <c:pt idx="908">
                  <c:v>83.8</c:v>
                </c:pt>
                <c:pt idx="909">
                  <c:v>83.8</c:v>
                </c:pt>
                <c:pt idx="910">
                  <c:v>83.8</c:v>
                </c:pt>
                <c:pt idx="911">
                  <c:v>83.8</c:v>
                </c:pt>
                <c:pt idx="912">
                  <c:v>83.8</c:v>
                </c:pt>
                <c:pt idx="913">
                  <c:v>83.8</c:v>
                </c:pt>
                <c:pt idx="914">
                  <c:v>83.8</c:v>
                </c:pt>
                <c:pt idx="915">
                  <c:v>83.8</c:v>
                </c:pt>
                <c:pt idx="916">
                  <c:v>83.8</c:v>
                </c:pt>
                <c:pt idx="917">
                  <c:v>83.8</c:v>
                </c:pt>
                <c:pt idx="918">
                  <c:v>83.9</c:v>
                </c:pt>
                <c:pt idx="919">
                  <c:v>83.9</c:v>
                </c:pt>
                <c:pt idx="920">
                  <c:v>83.9</c:v>
                </c:pt>
                <c:pt idx="921">
                  <c:v>83.9</c:v>
                </c:pt>
                <c:pt idx="922">
                  <c:v>83.9</c:v>
                </c:pt>
                <c:pt idx="923">
                  <c:v>83.9</c:v>
                </c:pt>
                <c:pt idx="924">
                  <c:v>84</c:v>
                </c:pt>
                <c:pt idx="925">
                  <c:v>84.4</c:v>
                </c:pt>
                <c:pt idx="926">
                  <c:v>84.4</c:v>
                </c:pt>
                <c:pt idx="927">
                  <c:v>84.4</c:v>
                </c:pt>
                <c:pt idx="928">
                  <c:v>84.4</c:v>
                </c:pt>
                <c:pt idx="929">
                  <c:v>84.6</c:v>
                </c:pt>
                <c:pt idx="930">
                  <c:v>84.6</c:v>
                </c:pt>
                <c:pt idx="931">
                  <c:v>84.6</c:v>
                </c:pt>
                <c:pt idx="932">
                  <c:v>84.6</c:v>
                </c:pt>
                <c:pt idx="933">
                  <c:v>85</c:v>
                </c:pt>
                <c:pt idx="934">
                  <c:v>85</c:v>
                </c:pt>
                <c:pt idx="935">
                  <c:v>85.2</c:v>
                </c:pt>
                <c:pt idx="936">
                  <c:v>85.3</c:v>
                </c:pt>
              </c:numCache>
            </c:numRef>
          </c:val>
          <c:extLst>
            <c:ext xmlns:c16="http://schemas.microsoft.com/office/drawing/2014/chart" uri="{C3380CC4-5D6E-409C-BE32-E72D297353CC}">
              <c16:uniqueId val="{00000000-C500-4D18-8B8A-0475FC6A2293}"/>
            </c:ext>
          </c:extLst>
        </c:ser>
        <c:dLbls>
          <c:showLegendKey val="0"/>
          <c:showVal val="0"/>
          <c:showCatName val="0"/>
          <c:showSerName val="0"/>
          <c:showPercent val="0"/>
          <c:showBubbleSize val="0"/>
        </c:dLbls>
        <c:gapWidth val="100"/>
        <c:axId val="1171594976"/>
        <c:axId val="1193484528"/>
      </c:barChart>
      <c:catAx>
        <c:axId val="1171594976"/>
        <c:scaling>
          <c:orientation val="minMax"/>
        </c:scaling>
        <c:delete val="1"/>
        <c:axPos val="b"/>
        <c:title>
          <c:tx>
            <c:rich>
              <a:bodyPr/>
              <a:lstStyle/>
              <a:p>
                <a:pPr>
                  <a:defRPr sz="900" b="1" i="0">
                    <a:latin typeface="Calibri Light" charset="0"/>
                    <a:ea typeface="Calibri Light" charset="0"/>
                    <a:cs typeface="Calibri Light" charset="0"/>
                  </a:defRPr>
                </a:pPr>
                <a:r>
                  <a:rPr lang="en-US" sz="900" b="1" i="0">
                    <a:latin typeface="Calibri Light" charset="0"/>
                    <a:ea typeface="Calibri Light" charset="0"/>
                    <a:cs typeface="Calibri Light" charset="0"/>
                  </a:rPr>
                  <a:t>Product Number</a:t>
                </a:r>
              </a:p>
            </c:rich>
          </c:tx>
          <c:layout>
            <c:manualLayout>
              <c:xMode val="edge"/>
              <c:yMode val="edge"/>
              <c:x val="0.43910542432195998"/>
              <c:y val="0.92960629921259796"/>
            </c:manualLayout>
          </c:layout>
          <c:overlay val="0"/>
        </c:title>
        <c:majorTickMark val="none"/>
        <c:minorTickMark val="none"/>
        <c:tickLblPos val="none"/>
        <c:crossAx val="1193484528"/>
        <c:crosses val="autoZero"/>
        <c:auto val="1"/>
        <c:lblAlgn val="ctr"/>
        <c:lblOffset val="100"/>
        <c:noMultiLvlLbl val="0"/>
      </c:catAx>
      <c:valAx>
        <c:axId val="1193484528"/>
        <c:scaling>
          <c:orientation val="minMax"/>
          <c:max val="85"/>
          <c:min val="78"/>
        </c:scaling>
        <c:delete val="0"/>
        <c:axPos val="l"/>
        <c:majorGridlines/>
        <c:title>
          <c:tx>
            <c:rich>
              <a:bodyPr rot="-5400000" vert="horz"/>
              <a:lstStyle/>
              <a:p>
                <a:pPr>
                  <a:defRPr sz="900" b="1" i="0">
                    <a:latin typeface="Calibri Light" charset="0"/>
                    <a:ea typeface="Calibri Light" charset="0"/>
                    <a:cs typeface="Calibri Light" charset="0"/>
                  </a:defRPr>
                </a:pPr>
                <a:r>
                  <a:rPr lang="en-US" sz="900" b="1" i="0">
                    <a:latin typeface="Calibri Light" charset="0"/>
                    <a:ea typeface="Calibri Light" charset="0"/>
                    <a:cs typeface="Calibri Light" charset="0"/>
                  </a:rPr>
                  <a:t>Thermal Efficiency </a:t>
                </a:r>
              </a:p>
            </c:rich>
          </c:tx>
          <c:layout>
            <c:manualLayout>
              <c:xMode val="edge"/>
              <c:yMode val="edge"/>
              <c:x val="2.7777777777777801E-3"/>
              <c:y val="0.27178040244969398"/>
            </c:manualLayout>
          </c:layout>
          <c:overlay val="0"/>
        </c:title>
        <c:numFmt formatCode="General" sourceLinked="1"/>
        <c:majorTickMark val="out"/>
        <c:minorTickMark val="none"/>
        <c:tickLblPos val="nextTo"/>
        <c:txPr>
          <a:bodyPr/>
          <a:lstStyle/>
          <a:p>
            <a:pPr>
              <a:defRPr sz="900" b="0" i="0">
                <a:latin typeface="Calibri Light" charset="0"/>
                <a:ea typeface="Calibri Light" charset="0"/>
                <a:cs typeface="Calibri Light" charset="0"/>
              </a:defRPr>
            </a:pPr>
            <a:endParaRPr lang="en-US"/>
          </a:p>
        </c:txPr>
        <c:crossAx val="1171594976"/>
        <c:crosses val="autoZero"/>
        <c:crossBetween val="between"/>
      </c:valAx>
      <c:spPr>
        <a:noFill/>
      </c:spPr>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589129483814501"/>
          <c:y val="5.1400554097404502E-2"/>
          <c:w val="0.81355314960629899"/>
          <c:h val="0.826477471566054"/>
        </c:manualLayout>
      </c:layout>
      <c:barChart>
        <c:barDir val="col"/>
        <c:grouping val="clustered"/>
        <c:varyColors val="0"/>
        <c:ser>
          <c:idx val="0"/>
          <c:order val="0"/>
          <c:spPr>
            <a:solidFill>
              <a:schemeClr val="accent2">
                <a:lumMod val="75000"/>
              </a:schemeClr>
            </a:solidFill>
          </c:spPr>
          <c:invertIfNegative val="0"/>
          <c:val>
            <c:numRef>
              <c:f>'LgGasSWH&gt;87'!$I$2:$I$265</c:f>
              <c:numCache>
                <c:formatCode>General</c:formatCode>
                <c:ptCount val="264"/>
                <c:pt idx="0">
                  <c:v>86.9</c:v>
                </c:pt>
                <c:pt idx="1">
                  <c:v>86.9</c:v>
                </c:pt>
                <c:pt idx="2">
                  <c:v>86.9</c:v>
                </c:pt>
                <c:pt idx="3">
                  <c:v>86.9</c:v>
                </c:pt>
                <c:pt idx="4">
                  <c:v>86.9</c:v>
                </c:pt>
                <c:pt idx="5">
                  <c:v>86.9</c:v>
                </c:pt>
                <c:pt idx="6">
                  <c:v>86.9</c:v>
                </c:pt>
                <c:pt idx="7">
                  <c:v>86.9</c:v>
                </c:pt>
                <c:pt idx="8">
                  <c:v>86.9</c:v>
                </c:pt>
                <c:pt idx="9">
                  <c:v>86.9</c:v>
                </c:pt>
                <c:pt idx="10">
                  <c:v>86.9</c:v>
                </c:pt>
                <c:pt idx="11">
                  <c:v>86.9</c:v>
                </c:pt>
                <c:pt idx="12">
                  <c:v>86.9</c:v>
                </c:pt>
                <c:pt idx="13">
                  <c:v>89.5</c:v>
                </c:pt>
                <c:pt idx="14">
                  <c:v>89.5</c:v>
                </c:pt>
                <c:pt idx="15">
                  <c:v>89.5</c:v>
                </c:pt>
                <c:pt idx="16">
                  <c:v>89.5</c:v>
                </c:pt>
                <c:pt idx="17">
                  <c:v>90</c:v>
                </c:pt>
                <c:pt idx="18">
                  <c:v>90</c:v>
                </c:pt>
                <c:pt idx="19">
                  <c:v>90</c:v>
                </c:pt>
                <c:pt idx="20">
                  <c:v>90</c:v>
                </c:pt>
                <c:pt idx="21">
                  <c:v>90</c:v>
                </c:pt>
                <c:pt idx="22">
                  <c:v>90</c:v>
                </c:pt>
                <c:pt idx="23">
                  <c:v>90</c:v>
                </c:pt>
                <c:pt idx="24">
                  <c:v>90.4</c:v>
                </c:pt>
                <c:pt idx="25">
                  <c:v>90.4</c:v>
                </c:pt>
                <c:pt idx="26">
                  <c:v>90.4</c:v>
                </c:pt>
                <c:pt idx="27">
                  <c:v>90.4</c:v>
                </c:pt>
                <c:pt idx="28">
                  <c:v>90.5</c:v>
                </c:pt>
                <c:pt idx="29">
                  <c:v>90.5</c:v>
                </c:pt>
                <c:pt idx="30">
                  <c:v>90.9</c:v>
                </c:pt>
                <c:pt idx="31">
                  <c:v>91</c:v>
                </c:pt>
                <c:pt idx="32">
                  <c:v>91.6</c:v>
                </c:pt>
                <c:pt idx="33">
                  <c:v>91.6</c:v>
                </c:pt>
                <c:pt idx="34">
                  <c:v>91.6</c:v>
                </c:pt>
                <c:pt idx="35">
                  <c:v>91.6</c:v>
                </c:pt>
                <c:pt idx="36">
                  <c:v>91.6</c:v>
                </c:pt>
                <c:pt idx="37">
                  <c:v>91.6</c:v>
                </c:pt>
                <c:pt idx="38">
                  <c:v>91.6</c:v>
                </c:pt>
                <c:pt idx="39">
                  <c:v>92</c:v>
                </c:pt>
                <c:pt idx="40">
                  <c:v>92</c:v>
                </c:pt>
                <c:pt idx="41">
                  <c:v>92</c:v>
                </c:pt>
                <c:pt idx="42">
                  <c:v>92</c:v>
                </c:pt>
                <c:pt idx="43">
                  <c:v>92</c:v>
                </c:pt>
                <c:pt idx="44">
                  <c:v>92</c:v>
                </c:pt>
                <c:pt idx="45">
                  <c:v>92</c:v>
                </c:pt>
                <c:pt idx="46">
                  <c:v>92</c:v>
                </c:pt>
                <c:pt idx="47">
                  <c:v>92</c:v>
                </c:pt>
                <c:pt idx="48">
                  <c:v>93</c:v>
                </c:pt>
                <c:pt idx="49">
                  <c:v>93.3</c:v>
                </c:pt>
                <c:pt idx="50">
                  <c:v>93.6</c:v>
                </c:pt>
                <c:pt idx="51">
                  <c:v>94</c:v>
                </c:pt>
                <c:pt idx="52">
                  <c:v>94</c:v>
                </c:pt>
                <c:pt idx="53">
                  <c:v>94</c:v>
                </c:pt>
                <c:pt idx="54">
                  <c:v>94</c:v>
                </c:pt>
                <c:pt idx="55">
                  <c:v>94</c:v>
                </c:pt>
                <c:pt idx="56">
                  <c:v>94</c:v>
                </c:pt>
                <c:pt idx="57">
                  <c:v>94</c:v>
                </c:pt>
                <c:pt idx="58">
                  <c:v>94</c:v>
                </c:pt>
                <c:pt idx="59">
                  <c:v>94</c:v>
                </c:pt>
                <c:pt idx="60">
                  <c:v>94</c:v>
                </c:pt>
                <c:pt idx="61">
                  <c:v>94</c:v>
                </c:pt>
                <c:pt idx="62">
                  <c:v>94</c:v>
                </c:pt>
                <c:pt idx="63">
                  <c:v>94</c:v>
                </c:pt>
                <c:pt idx="64">
                  <c:v>94</c:v>
                </c:pt>
                <c:pt idx="65">
                  <c:v>94</c:v>
                </c:pt>
                <c:pt idx="66">
                  <c:v>94</c:v>
                </c:pt>
                <c:pt idx="67">
                  <c:v>94</c:v>
                </c:pt>
                <c:pt idx="68">
                  <c:v>94</c:v>
                </c:pt>
                <c:pt idx="69">
                  <c:v>94</c:v>
                </c:pt>
                <c:pt idx="70">
                  <c:v>94</c:v>
                </c:pt>
                <c:pt idx="71">
                  <c:v>94</c:v>
                </c:pt>
                <c:pt idx="72">
                  <c:v>94</c:v>
                </c:pt>
                <c:pt idx="73">
                  <c:v>94</c:v>
                </c:pt>
                <c:pt idx="74">
                  <c:v>94.1</c:v>
                </c:pt>
                <c:pt idx="75">
                  <c:v>94.1</c:v>
                </c:pt>
                <c:pt idx="76">
                  <c:v>94.1</c:v>
                </c:pt>
                <c:pt idx="77">
                  <c:v>94.1</c:v>
                </c:pt>
                <c:pt idx="78">
                  <c:v>94.1</c:v>
                </c:pt>
                <c:pt idx="79">
                  <c:v>94.9</c:v>
                </c:pt>
                <c:pt idx="80">
                  <c:v>94.9</c:v>
                </c:pt>
                <c:pt idx="81">
                  <c:v>94.9</c:v>
                </c:pt>
                <c:pt idx="82">
                  <c:v>94.9</c:v>
                </c:pt>
                <c:pt idx="83">
                  <c:v>94.9</c:v>
                </c:pt>
                <c:pt idx="84">
                  <c:v>94.9</c:v>
                </c:pt>
                <c:pt idx="85">
                  <c:v>94.9</c:v>
                </c:pt>
                <c:pt idx="86">
                  <c:v>94.9</c:v>
                </c:pt>
                <c:pt idx="87">
                  <c:v>94.9</c:v>
                </c:pt>
                <c:pt idx="88">
                  <c:v>94.9</c:v>
                </c:pt>
                <c:pt idx="89">
                  <c:v>94.9</c:v>
                </c:pt>
                <c:pt idx="90">
                  <c:v>94.9</c:v>
                </c:pt>
                <c:pt idx="91">
                  <c:v>94.9</c:v>
                </c:pt>
                <c:pt idx="92">
                  <c:v>94.9</c:v>
                </c:pt>
                <c:pt idx="93">
                  <c:v>94.9</c:v>
                </c:pt>
                <c:pt idx="94">
                  <c:v>94.9</c:v>
                </c:pt>
                <c:pt idx="95">
                  <c:v>94.9</c:v>
                </c:pt>
                <c:pt idx="96">
                  <c:v>94.9</c:v>
                </c:pt>
                <c:pt idx="97">
                  <c:v>94.9</c:v>
                </c:pt>
                <c:pt idx="98">
                  <c:v>94.9</c:v>
                </c:pt>
                <c:pt idx="99">
                  <c:v>94.9</c:v>
                </c:pt>
                <c:pt idx="100">
                  <c:v>94.9</c:v>
                </c:pt>
                <c:pt idx="101">
                  <c:v>94.9</c:v>
                </c:pt>
                <c:pt idx="102">
                  <c:v>94.9</c:v>
                </c:pt>
                <c:pt idx="103">
                  <c:v>94.9</c:v>
                </c:pt>
                <c:pt idx="104">
                  <c:v>94.9</c:v>
                </c:pt>
                <c:pt idx="105">
                  <c:v>94.9</c:v>
                </c:pt>
                <c:pt idx="106">
                  <c:v>94.9</c:v>
                </c:pt>
                <c:pt idx="107">
                  <c:v>94.9</c:v>
                </c:pt>
                <c:pt idx="108">
                  <c:v>95</c:v>
                </c:pt>
                <c:pt idx="109">
                  <c:v>95</c:v>
                </c:pt>
                <c:pt idx="110">
                  <c:v>95</c:v>
                </c:pt>
                <c:pt idx="111">
                  <c:v>95</c:v>
                </c:pt>
                <c:pt idx="112">
                  <c:v>95</c:v>
                </c:pt>
                <c:pt idx="113">
                  <c:v>95</c:v>
                </c:pt>
                <c:pt idx="114">
                  <c:v>95</c:v>
                </c:pt>
                <c:pt idx="115">
                  <c:v>95</c:v>
                </c:pt>
                <c:pt idx="116">
                  <c:v>95</c:v>
                </c:pt>
                <c:pt idx="117">
                  <c:v>95</c:v>
                </c:pt>
                <c:pt idx="118">
                  <c:v>95</c:v>
                </c:pt>
                <c:pt idx="119">
                  <c:v>95</c:v>
                </c:pt>
                <c:pt idx="120">
                  <c:v>95</c:v>
                </c:pt>
                <c:pt idx="121">
                  <c:v>95</c:v>
                </c:pt>
                <c:pt idx="122">
                  <c:v>95</c:v>
                </c:pt>
                <c:pt idx="123">
                  <c:v>95.1</c:v>
                </c:pt>
                <c:pt idx="124">
                  <c:v>95.1</c:v>
                </c:pt>
                <c:pt idx="125">
                  <c:v>95.1</c:v>
                </c:pt>
                <c:pt idx="126">
                  <c:v>95.1</c:v>
                </c:pt>
                <c:pt idx="127">
                  <c:v>95.1</c:v>
                </c:pt>
                <c:pt idx="128">
                  <c:v>95.1</c:v>
                </c:pt>
                <c:pt idx="129">
                  <c:v>95.1</c:v>
                </c:pt>
                <c:pt idx="130">
                  <c:v>95.1</c:v>
                </c:pt>
                <c:pt idx="131">
                  <c:v>95.1</c:v>
                </c:pt>
                <c:pt idx="132">
                  <c:v>95.1</c:v>
                </c:pt>
                <c:pt idx="133">
                  <c:v>95.1</c:v>
                </c:pt>
                <c:pt idx="134">
                  <c:v>95.1</c:v>
                </c:pt>
                <c:pt idx="135">
                  <c:v>95.5</c:v>
                </c:pt>
                <c:pt idx="136">
                  <c:v>95.5</c:v>
                </c:pt>
                <c:pt idx="137">
                  <c:v>95.5</c:v>
                </c:pt>
                <c:pt idx="138">
                  <c:v>95.5</c:v>
                </c:pt>
                <c:pt idx="139">
                  <c:v>95.5</c:v>
                </c:pt>
                <c:pt idx="140">
                  <c:v>95.5</c:v>
                </c:pt>
                <c:pt idx="141">
                  <c:v>95.5</c:v>
                </c:pt>
                <c:pt idx="142">
                  <c:v>95.5</c:v>
                </c:pt>
                <c:pt idx="143">
                  <c:v>95.5</c:v>
                </c:pt>
                <c:pt idx="144">
                  <c:v>95.5</c:v>
                </c:pt>
                <c:pt idx="145">
                  <c:v>95.5</c:v>
                </c:pt>
                <c:pt idx="146">
                  <c:v>95.5</c:v>
                </c:pt>
                <c:pt idx="147">
                  <c:v>95.5</c:v>
                </c:pt>
                <c:pt idx="148">
                  <c:v>95.5</c:v>
                </c:pt>
                <c:pt idx="149">
                  <c:v>95.5</c:v>
                </c:pt>
                <c:pt idx="150">
                  <c:v>95.5</c:v>
                </c:pt>
                <c:pt idx="151">
                  <c:v>95.5</c:v>
                </c:pt>
                <c:pt idx="152">
                  <c:v>95.7</c:v>
                </c:pt>
                <c:pt idx="153">
                  <c:v>95.7</c:v>
                </c:pt>
                <c:pt idx="154">
                  <c:v>95.7</c:v>
                </c:pt>
                <c:pt idx="155">
                  <c:v>95.7</c:v>
                </c:pt>
                <c:pt idx="156">
                  <c:v>95.7</c:v>
                </c:pt>
                <c:pt idx="157">
                  <c:v>95.7</c:v>
                </c:pt>
                <c:pt idx="158">
                  <c:v>95.7</c:v>
                </c:pt>
                <c:pt idx="159">
                  <c:v>95.7</c:v>
                </c:pt>
                <c:pt idx="160">
                  <c:v>95.7</c:v>
                </c:pt>
                <c:pt idx="161">
                  <c:v>95.7</c:v>
                </c:pt>
                <c:pt idx="162">
                  <c:v>95.7</c:v>
                </c:pt>
                <c:pt idx="163">
                  <c:v>95.7</c:v>
                </c:pt>
                <c:pt idx="164">
                  <c:v>95.7</c:v>
                </c:pt>
                <c:pt idx="165">
                  <c:v>95.7</c:v>
                </c:pt>
                <c:pt idx="166">
                  <c:v>95.7</c:v>
                </c:pt>
                <c:pt idx="167">
                  <c:v>95.7</c:v>
                </c:pt>
                <c:pt idx="168">
                  <c:v>95.7</c:v>
                </c:pt>
                <c:pt idx="169">
                  <c:v>95.7</c:v>
                </c:pt>
                <c:pt idx="170">
                  <c:v>95.7</c:v>
                </c:pt>
                <c:pt idx="171">
                  <c:v>95.7</c:v>
                </c:pt>
                <c:pt idx="172">
                  <c:v>95.7</c:v>
                </c:pt>
                <c:pt idx="173">
                  <c:v>95.7</c:v>
                </c:pt>
                <c:pt idx="174">
                  <c:v>95.7</c:v>
                </c:pt>
                <c:pt idx="175">
                  <c:v>95.7</c:v>
                </c:pt>
                <c:pt idx="176">
                  <c:v>95.7</c:v>
                </c:pt>
                <c:pt idx="177">
                  <c:v>95.7</c:v>
                </c:pt>
                <c:pt idx="178">
                  <c:v>95.7</c:v>
                </c:pt>
                <c:pt idx="179">
                  <c:v>95.7</c:v>
                </c:pt>
                <c:pt idx="180">
                  <c:v>95.8</c:v>
                </c:pt>
                <c:pt idx="181">
                  <c:v>95.8</c:v>
                </c:pt>
                <c:pt idx="182">
                  <c:v>95.8</c:v>
                </c:pt>
                <c:pt idx="183">
                  <c:v>95.8</c:v>
                </c:pt>
                <c:pt idx="184">
                  <c:v>95.8</c:v>
                </c:pt>
                <c:pt idx="185">
                  <c:v>96</c:v>
                </c:pt>
                <c:pt idx="186">
                  <c:v>96</c:v>
                </c:pt>
                <c:pt idx="187">
                  <c:v>96</c:v>
                </c:pt>
                <c:pt idx="188">
                  <c:v>96</c:v>
                </c:pt>
                <c:pt idx="189">
                  <c:v>96</c:v>
                </c:pt>
                <c:pt idx="190">
                  <c:v>96</c:v>
                </c:pt>
                <c:pt idx="191">
                  <c:v>96</c:v>
                </c:pt>
                <c:pt idx="192">
                  <c:v>96</c:v>
                </c:pt>
                <c:pt idx="193">
                  <c:v>96</c:v>
                </c:pt>
                <c:pt idx="194">
                  <c:v>96</c:v>
                </c:pt>
                <c:pt idx="195">
                  <c:v>96</c:v>
                </c:pt>
                <c:pt idx="196">
                  <c:v>96</c:v>
                </c:pt>
                <c:pt idx="197">
                  <c:v>96</c:v>
                </c:pt>
                <c:pt idx="198">
                  <c:v>96</c:v>
                </c:pt>
                <c:pt idx="199">
                  <c:v>96</c:v>
                </c:pt>
                <c:pt idx="200">
                  <c:v>96</c:v>
                </c:pt>
                <c:pt idx="201">
                  <c:v>96</c:v>
                </c:pt>
                <c:pt idx="202">
                  <c:v>96</c:v>
                </c:pt>
                <c:pt idx="203">
                  <c:v>96</c:v>
                </c:pt>
                <c:pt idx="204">
                  <c:v>96</c:v>
                </c:pt>
                <c:pt idx="205">
                  <c:v>96</c:v>
                </c:pt>
                <c:pt idx="206">
                  <c:v>96</c:v>
                </c:pt>
                <c:pt idx="207">
                  <c:v>96</c:v>
                </c:pt>
                <c:pt idx="208">
                  <c:v>96</c:v>
                </c:pt>
                <c:pt idx="209">
                  <c:v>96</c:v>
                </c:pt>
                <c:pt idx="210">
                  <c:v>96</c:v>
                </c:pt>
                <c:pt idx="211">
                  <c:v>96</c:v>
                </c:pt>
                <c:pt idx="212">
                  <c:v>96.7</c:v>
                </c:pt>
                <c:pt idx="213">
                  <c:v>96.7</c:v>
                </c:pt>
                <c:pt idx="214">
                  <c:v>96.7</c:v>
                </c:pt>
                <c:pt idx="215">
                  <c:v>96.7</c:v>
                </c:pt>
                <c:pt idx="216">
                  <c:v>96.7</c:v>
                </c:pt>
                <c:pt idx="217">
                  <c:v>96.7</c:v>
                </c:pt>
                <c:pt idx="218">
                  <c:v>96.7</c:v>
                </c:pt>
                <c:pt idx="219">
                  <c:v>96.7</c:v>
                </c:pt>
                <c:pt idx="220">
                  <c:v>96.7</c:v>
                </c:pt>
                <c:pt idx="221">
                  <c:v>96.7</c:v>
                </c:pt>
                <c:pt idx="222">
                  <c:v>96.7</c:v>
                </c:pt>
                <c:pt idx="223">
                  <c:v>96.7</c:v>
                </c:pt>
                <c:pt idx="224">
                  <c:v>96.7</c:v>
                </c:pt>
                <c:pt idx="225">
                  <c:v>96.7</c:v>
                </c:pt>
                <c:pt idx="226">
                  <c:v>96.7</c:v>
                </c:pt>
                <c:pt idx="227">
                  <c:v>96.7</c:v>
                </c:pt>
                <c:pt idx="228">
                  <c:v>96.7</c:v>
                </c:pt>
                <c:pt idx="229">
                  <c:v>96.8</c:v>
                </c:pt>
                <c:pt idx="230">
                  <c:v>96.8</c:v>
                </c:pt>
                <c:pt idx="231">
                  <c:v>96.8</c:v>
                </c:pt>
                <c:pt idx="232">
                  <c:v>96.8</c:v>
                </c:pt>
                <c:pt idx="233">
                  <c:v>96.8</c:v>
                </c:pt>
                <c:pt idx="234">
                  <c:v>96.8</c:v>
                </c:pt>
                <c:pt idx="235">
                  <c:v>96.8</c:v>
                </c:pt>
                <c:pt idx="236">
                  <c:v>96.8</c:v>
                </c:pt>
                <c:pt idx="237">
                  <c:v>96.8</c:v>
                </c:pt>
                <c:pt idx="238">
                  <c:v>96.8</c:v>
                </c:pt>
                <c:pt idx="239">
                  <c:v>96.8</c:v>
                </c:pt>
                <c:pt idx="240">
                  <c:v>96.8</c:v>
                </c:pt>
                <c:pt idx="241">
                  <c:v>96.8</c:v>
                </c:pt>
                <c:pt idx="242">
                  <c:v>96.8</c:v>
                </c:pt>
                <c:pt idx="243">
                  <c:v>96.8</c:v>
                </c:pt>
                <c:pt idx="244">
                  <c:v>96.8</c:v>
                </c:pt>
                <c:pt idx="245">
                  <c:v>96.8</c:v>
                </c:pt>
                <c:pt idx="246">
                  <c:v>97</c:v>
                </c:pt>
                <c:pt idx="247">
                  <c:v>97</c:v>
                </c:pt>
                <c:pt idx="248">
                  <c:v>98</c:v>
                </c:pt>
                <c:pt idx="249">
                  <c:v>98.5</c:v>
                </c:pt>
                <c:pt idx="250">
                  <c:v>98.8</c:v>
                </c:pt>
                <c:pt idx="251">
                  <c:v>98.8</c:v>
                </c:pt>
                <c:pt idx="252">
                  <c:v>98.8</c:v>
                </c:pt>
                <c:pt idx="253">
                  <c:v>99</c:v>
                </c:pt>
                <c:pt idx="254">
                  <c:v>99</c:v>
                </c:pt>
                <c:pt idx="255">
                  <c:v>99</c:v>
                </c:pt>
                <c:pt idx="256">
                  <c:v>99</c:v>
                </c:pt>
                <c:pt idx="257">
                  <c:v>99</c:v>
                </c:pt>
                <c:pt idx="258">
                  <c:v>99</c:v>
                </c:pt>
                <c:pt idx="259">
                  <c:v>99</c:v>
                </c:pt>
                <c:pt idx="260">
                  <c:v>99</c:v>
                </c:pt>
                <c:pt idx="261">
                  <c:v>99</c:v>
                </c:pt>
                <c:pt idx="262">
                  <c:v>99</c:v>
                </c:pt>
                <c:pt idx="263">
                  <c:v>99</c:v>
                </c:pt>
              </c:numCache>
            </c:numRef>
          </c:val>
          <c:extLst>
            <c:ext xmlns:c16="http://schemas.microsoft.com/office/drawing/2014/chart" uri="{C3380CC4-5D6E-409C-BE32-E72D297353CC}">
              <c16:uniqueId val="{00000000-1D8F-47EE-81C4-ED8DBB0305D6}"/>
            </c:ext>
          </c:extLst>
        </c:ser>
        <c:dLbls>
          <c:showLegendKey val="0"/>
          <c:showVal val="0"/>
          <c:showCatName val="0"/>
          <c:showSerName val="0"/>
          <c:showPercent val="0"/>
          <c:showBubbleSize val="0"/>
        </c:dLbls>
        <c:gapWidth val="0"/>
        <c:axId val="1112435136"/>
        <c:axId val="1079332352"/>
      </c:barChart>
      <c:catAx>
        <c:axId val="1112435136"/>
        <c:scaling>
          <c:orientation val="minMax"/>
        </c:scaling>
        <c:delete val="0"/>
        <c:axPos val="b"/>
        <c:title>
          <c:tx>
            <c:rich>
              <a:bodyPr/>
              <a:lstStyle/>
              <a:p>
                <a:pPr>
                  <a:defRPr sz="1000" b="1" i="0">
                    <a:latin typeface="Calibri Light" charset="0"/>
                    <a:ea typeface="Calibri Light" charset="0"/>
                    <a:cs typeface="Calibri Light" charset="0"/>
                  </a:defRPr>
                </a:pPr>
                <a:r>
                  <a:rPr lang="en-US" sz="1000" b="1" i="0">
                    <a:latin typeface="Calibri Light" charset="0"/>
                    <a:ea typeface="Calibri Light" charset="0"/>
                    <a:cs typeface="Calibri Light" charset="0"/>
                  </a:rPr>
                  <a:t>Product Number</a:t>
                </a:r>
              </a:p>
            </c:rich>
          </c:tx>
          <c:layout>
            <c:manualLayout>
              <c:xMode val="edge"/>
              <c:yMode val="edge"/>
              <c:x val="0.44188320209973703"/>
              <c:y val="0.90699074074074104"/>
            </c:manualLayout>
          </c:layout>
          <c:overlay val="0"/>
        </c:title>
        <c:majorTickMark val="none"/>
        <c:minorTickMark val="none"/>
        <c:tickLblPos val="none"/>
        <c:crossAx val="1079332352"/>
        <c:crosses val="autoZero"/>
        <c:auto val="1"/>
        <c:lblAlgn val="ctr"/>
        <c:lblOffset val="100"/>
        <c:noMultiLvlLbl val="0"/>
      </c:catAx>
      <c:valAx>
        <c:axId val="1079332352"/>
        <c:scaling>
          <c:orientation val="minMax"/>
          <c:max val="100"/>
          <c:min val="80"/>
        </c:scaling>
        <c:delete val="0"/>
        <c:axPos val="l"/>
        <c:majorGridlines/>
        <c:title>
          <c:tx>
            <c:rich>
              <a:bodyPr rot="-5400000" vert="horz"/>
              <a:lstStyle/>
              <a:p>
                <a:pPr>
                  <a:defRPr sz="900" b="1" i="0">
                    <a:latin typeface="Calibri Light" charset="0"/>
                    <a:ea typeface="Calibri Light" charset="0"/>
                    <a:cs typeface="Calibri Light" charset="0"/>
                  </a:defRPr>
                </a:pPr>
                <a:r>
                  <a:rPr lang="en-US" sz="900" b="1" i="0">
                    <a:latin typeface="Calibri Light" charset="0"/>
                    <a:ea typeface="Calibri Light" charset="0"/>
                    <a:cs typeface="Calibri Light" charset="0"/>
                  </a:rPr>
                  <a:t>Thermal Efficiency</a:t>
                </a:r>
              </a:p>
            </c:rich>
          </c:tx>
          <c:layout>
            <c:manualLayout>
              <c:xMode val="edge"/>
              <c:yMode val="edge"/>
              <c:x val="2.7777777777777801E-3"/>
              <c:y val="0.20696558763487899"/>
            </c:manualLayout>
          </c:layout>
          <c:overlay val="0"/>
        </c:title>
        <c:numFmt formatCode="General" sourceLinked="1"/>
        <c:majorTickMark val="out"/>
        <c:minorTickMark val="none"/>
        <c:tickLblPos val="nextTo"/>
        <c:txPr>
          <a:bodyPr/>
          <a:lstStyle/>
          <a:p>
            <a:pPr>
              <a:defRPr sz="900" b="0" i="0">
                <a:latin typeface="Calibri Light" charset="0"/>
                <a:ea typeface="Calibri Light" charset="0"/>
                <a:cs typeface="Calibri Light" charset="0"/>
              </a:defRPr>
            </a:pPr>
            <a:endParaRPr lang="en-US"/>
          </a:p>
        </c:txPr>
        <c:crossAx val="1112435136"/>
        <c:crosses val="autoZero"/>
        <c:crossBetween val="between"/>
        <c:majorUnit val="5"/>
      </c:valAx>
      <c:spPr>
        <a:noFill/>
        <a:ln>
          <a:noFill/>
        </a:ln>
      </c:spPr>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Title20</b:Tag>
    <b:SourceType>DocumentFromInternetSite</b:SourceType>
    <b:Guid>{B286681F-E789-44B5-8D9E-CF1F84D55DF1}</b:Guid>
    <b:Title>California Energy Commision</b:Title>
    <b:InternetSiteTitle>Appliance Efficiency Program</b:InternetSiteTitle>
    <b:Year>2014</b:Year>
    <b:Month>02</b:Month>
    <b:Day>14</b:Day>
    <b:URL>http://www.energy.ca.gov/2014publications/CEC-400-2014-009/CEC-400-2014-009-CMF.pdf</b:URL>
    <b:YearAccessed>2014</b:YearAccessed>
    <b:MonthAccessed>05</b:MonthAccessed>
    <b:DayAccessed>23</b:DayAccessed>
    <b:ShortTitle>2014 Appliance Efficiency Regulations</b:ShortTitle>
    <b:RefOrder>1</b:RefOrder>
  </b:Source>
  <b:Source>
    <b:Tag>Title24</b:Tag>
    <b:SourceType>DocumentFromInternetSite</b:SourceType>
    <b:Guid>{38ABC1BB-18E8-4F8F-B028-EC59EC86C1DB}</b:Guid>
    <b:Title>2013 Building Energy Efficiency Standards</b:Title>
    <b:InternetSiteTitle>California Energy Commission</b:InternetSiteTitle>
    <b:Year>2013</b:Year>
    <b:Month>11</b:Month>
    <b:Day>25</b:Day>
    <b:URL>http://www.energy.ca.gov/title24/2013standards/index.html</b:URL>
    <b:YearAccessed>2014</b:YearAccessed>
    <b:MonthAccessed>05</b:MonthAccessed>
    <b:DayAccessed>23</b:DayAccessed>
    <b:ShortTitle>2013 Building Energy Efficiency Standards for Residential and Nonresidential Buildings - Revised</b:ShortTitle>
    <b:RefOrder>2</b:RefOrder>
  </b:Source>
</b:Sources>
</file>

<file path=customXml/itemProps1.xml><?xml version="1.0" encoding="utf-8"?>
<ds:datastoreItem xmlns:ds="http://schemas.openxmlformats.org/officeDocument/2006/customXml" ds:itemID="{DB7BDDE5-49C1-42AC-9F2E-C3A727DF2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34</TotalTime>
  <Pages>12</Pages>
  <Words>2827</Words>
  <Characters>16114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18904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25</cp:revision>
  <cp:lastPrinted>2021-08-02T13:48:00Z</cp:lastPrinted>
  <dcterms:created xsi:type="dcterms:W3CDTF">2019-02-28T16:59:00Z</dcterms:created>
  <dcterms:modified xsi:type="dcterms:W3CDTF">2021-08-02T13:48:00Z</dcterms:modified>
  <cp:category/>
</cp:coreProperties>
</file>