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329CB236" w:rsidR="00BD221D" w:rsidRPr="00741F6F" w:rsidRDefault="009C07BA" w:rsidP="00BD221D">
            <w:pPr>
              <w:pStyle w:val="eTRMHeading1"/>
              <w:jc w:val="center"/>
              <w:rPr>
                <w:sz w:val="28"/>
              </w:rPr>
            </w:pPr>
            <w:r w:rsidRPr="00741F6F">
              <w:rPr>
                <w:sz w:val="28"/>
              </w:rPr>
              <w:t>water heating</w:t>
            </w:r>
          </w:p>
          <w:p w14:paraId="63AA9C25" w14:textId="77777777" w:rsidR="00BD221D" w:rsidRPr="00741F6F" w:rsidRDefault="00894078" w:rsidP="00B44D24">
            <w:pPr>
              <w:pStyle w:val="eTRMHeading2"/>
              <w:rPr>
                <w:color w:val="FFFFFF" w:themeColor="background1"/>
                <w:spacing w:val="60"/>
                <w:sz w:val="32"/>
              </w:rPr>
            </w:pPr>
            <w:r w:rsidRPr="00741F6F">
              <w:rPr>
                <w:color w:val="FFFFFF" w:themeColor="background1"/>
                <w:spacing w:val="60"/>
                <w:sz w:val="32"/>
              </w:rPr>
              <w:t>Boiler</w:t>
            </w:r>
            <w:r w:rsidR="002B7E54" w:rsidRPr="00741F6F">
              <w:rPr>
                <w:color w:val="FFFFFF" w:themeColor="background1"/>
                <w:spacing w:val="60"/>
                <w:sz w:val="32"/>
              </w:rPr>
              <w:t xml:space="preserve">, </w:t>
            </w:r>
            <w:r w:rsidR="00B44D24" w:rsidRPr="00741F6F">
              <w:rPr>
                <w:color w:val="FFFFFF" w:themeColor="background1"/>
                <w:spacing w:val="60"/>
                <w:sz w:val="32"/>
              </w:rPr>
              <w:t>Multifamily</w:t>
            </w:r>
          </w:p>
          <w:p w14:paraId="10BE1877" w14:textId="3968B99B" w:rsidR="00741F6F" w:rsidRPr="00741F6F" w:rsidRDefault="00741F6F" w:rsidP="00B44D24">
            <w:pPr>
              <w:pStyle w:val="eTRMHeading2"/>
              <w:rPr>
                <w:color w:val="FFFFFF" w:themeColor="background1"/>
                <w:spacing w:val="0"/>
                <w:sz w:val="28"/>
              </w:rPr>
            </w:pPr>
            <w:r w:rsidRPr="00741F6F">
              <w:rPr>
                <w:color w:val="FFFFFF" w:themeColor="background1"/>
                <w:spacing w:val="0"/>
                <w:sz w:val="28"/>
              </w:rPr>
              <w:t>SWWH010-01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3190BD52" w14:textId="6D422A5F" w:rsidR="00B703EA"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B703EA">
        <w:rPr>
          <w:noProof/>
        </w:rPr>
        <w:t>Measure Name</w:t>
      </w:r>
      <w:r w:rsidR="00B703EA">
        <w:rPr>
          <w:noProof/>
        </w:rPr>
        <w:tab/>
      </w:r>
      <w:r w:rsidR="00B703EA">
        <w:rPr>
          <w:noProof/>
        </w:rPr>
        <w:fldChar w:fldCharType="begin"/>
      </w:r>
      <w:r w:rsidR="00B703EA">
        <w:rPr>
          <w:noProof/>
        </w:rPr>
        <w:instrText xml:space="preserve"> PAGEREF _Toc1723479 \h </w:instrText>
      </w:r>
      <w:r w:rsidR="00B703EA">
        <w:rPr>
          <w:noProof/>
        </w:rPr>
      </w:r>
      <w:r w:rsidR="00B703EA">
        <w:rPr>
          <w:noProof/>
        </w:rPr>
        <w:fldChar w:fldCharType="separate"/>
      </w:r>
      <w:r w:rsidR="00205A64">
        <w:rPr>
          <w:noProof/>
        </w:rPr>
        <w:t>2</w:t>
      </w:r>
      <w:r w:rsidR="00B703EA">
        <w:rPr>
          <w:noProof/>
        </w:rPr>
        <w:fldChar w:fldCharType="end"/>
      </w:r>
    </w:p>
    <w:p w14:paraId="18BBB88D" w14:textId="72F631BF" w:rsidR="00B703EA" w:rsidRDefault="00B703EA">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_Toc1723480 \h </w:instrText>
      </w:r>
      <w:r>
        <w:rPr>
          <w:noProof/>
        </w:rPr>
      </w:r>
      <w:r>
        <w:rPr>
          <w:noProof/>
        </w:rPr>
        <w:fldChar w:fldCharType="separate"/>
      </w:r>
      <w:r w:rsidR="00205A64">
        <w:rPr>
          <w:noProof/>
        </w:rPr>
        <w:t>2</w:t>
      </w:r>
      <w:r>
        <w:rPr>
          <w:noProof/>
        </w:rPr>
        <w:fldChar w:fldCharType="end"/>
      </w:r>
    </w:p>
    <w:p w14:paraId="74A3B0D1" w14:textId="3B3BCFD7" w:rsidR="00B703EA" w:rsidRDefault="00B703EA">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_Toc1723481 \h </w:instrText>
      </w:r>
      <w:r>
        <w:rPr>
          <w:noProof/>
        </w:rPr>
      </w:r>
      <w:r>
        <w:rPr>
          <w:noProof/>
        </w:rPr>
        <w:fldChar w:fldCharType="separate"/>
      </w:r>
      <w:r w:rsidR="00205A64">
        <w:rPr>
          <w:noProof/>
        </w:rPr>
        <w:t>2</w:t>
      </w:r>
      <w:r>
        <w:rPr>
          <w:noProof/>
        </w:rPr>
        <w:fldChar w:fldCharType="end"/>
      </w:r>
    </w:p>
    <w:p w14:paraId="46C33996" w14:textId="47B35481" w:rsidR="00B703EA" w:rsidRDefault="00B703EA">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_Toc1723482 \h </w:instrText>
      </w:r>
      <w:r>
        <w:rPr>
          <w:noProof/>
        </w:rPr>
      </w:r>
      <w:r>
        <w:rPr>
          <w:noProof/>
        </w:rPr>
        <w:fldChar w:fldCharType="separate"/>
      </w:r>
      <w:r w:rsidR="00205A64">
        <w:rPr>
          <w:noProof/>
        </w:rPr>
        <w:t>2</w:t>
      </w:r>
      <w:r>
        <w:rPr>
          <w:noProof/>
        </w:rPr>
        <w:fldChar w:fldCharType="end"/>
      </w:r>
    </w:p>
    <w:p w14:paraId="4A850C7A" w14:textId="1C3DC0D8" w:rsidR="00B703EA" w:rsidRDefault="00B703EA">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_Toc1723483 \h </w:instrText>
      </w:r>
      <w:r>
        <w:rPr>
          <w:noProof/>
        </w:rPr>
      </w:r>
      <w:r>
        <w:rPr>
          <w:noProof/>
        </w:rPr>
        <w:fldChar w:fldCharType="separate"/>
      </w:r>
      <w:r w:rsidR="00205A64">
        <w:rPr>
          <w:noProof/>
        </w:rPr>
        <w:t>3</w:t>
      </w:r>
      <w:r>
        <w:rPr>
          <w:noProof/>
        </w:rPr>
        <w:fldChar w:fldCharType="end"/>
      </w:r>
    </w:p>
    <w:p w14:paraId="6D3C8E1E" w14:textId="30F86411" w:rsidR="00B703EA" w:rsidRDefault="00B703EA">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_Toc1723484 \h </w:instrText>
      </w:r>
      <w:r>
        <w:rPr>
          <w:noProof/>
        </w:rPr>
      </w:r>
      <w:r>
        <w:rPr>
          <w:noProof/>
        </w:rPr>
        <w:fldChar w:fldCharType="separate"/>
      </w:r>
      <w:r w:rsidR="00205A64">
        <w:rPr>
          <w:noProof/>
        </w:rPr>
        <w:t>3</w:t>
      </w:r>
      <w:r>
        <w:rPr>
          <w:noProof/>
        </w:rPr>
        <w:fldChar w:fldCharType="end"/>
      </w:r>
    </w:p>
    <w:p w14:paraId="47250105" w14:textId="278D552E" w:rsidR="00B703EA" w:rsidRDefault="00B703EA">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_Toc1723485 \h </w:instrText>
      </w:r>
      <w:r>
        <w:rPr>
          <w:noProof/>
        </w:rPr>
      </w:r>
      <w:r>
        <w:rPr>
          <w:noProof/>
        </w:rPr>
        <w:fldChar w:fldCharType="separate"/>
      </w:r>
      <w:r w:rsidR="00205A64">
        <w:rPr>
          <w:noProof/>
        </w:rPr>
        <w:t>5</w:t>
      </w:r>
      <w:r>
        <w:rPr>
          <w:noProof/>
        </w:rPr>
        <w:fldChar w:fldCharType="end"/>
      </w:r>
    </w:p>
    <w:p w14:paraId="71A4FAD9" w14:textId="300CB7F7" w:rsidR="00B703EA" w:rsidRDefault="00B703EA">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_Toc1723486 \h </w:instrText>
      </w:r>
      <w:r>
        <w:rPr>
          <w:noProof/>
        </w:rPr>
      </w:r>
      <w:r>
        <w:rPr>
          <w:noProof/>
        </w:rPr>
        <w:fldChar w:fldCharType="separate"/>
      </w:r>
      <w:r w:rsidR="00205A64">
        <w:rPr>
          <w:noProof/>
        </w:rPr>
        <w:t>5</w:t>
      </w:r>
      <w:r>
        <w:rPr>
          <w:noProof/>
        </w:rPr>
        <w:fldChar w:fldCharType="end"/>
      </w:r>
    </w:p>
    <w:p w14:paraId="61385576" w14:textId="077B3DDB" w:rsidR="00B703EA" w:rsidRDefault="00B703EA">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_Toc1723487 \h </w:instrText>
      </w:r>
      <w:r>
        <w:rPr>
          <w:noProof/>
        </w:rPr>
      </w:r>
      <w:r>
        <w:rPr>
          <w:noProof/>
        </w:rPr>
        <w:fldChar w:fldCharType="separate"/>
      </w:r>
      <w:r w:rsidR="00205A64">
        <w:rPr>
          <w:noProof/>
        </w:rPr>
        <w:t>6</w:t>
      </w:r>
      <w:r>
        <w:rPr>
          <w:noProof/>
        </w:rPr>
        <w:fldChar w:fldCharType="end"/>
      </w:r>
    </w:p>
    <w:p w14:paraId="493368CF" w14:textId="1A806830" w:rsidR="00B703EA" w:rsidRDefault="00B703EA">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_Toc1723488 \h </w:instrText>
      </w:r>
      <w:r>
        <w:rPr>
          <w:noProof/>
        </w:rPr>
      </w:r>
      <w:r>
        <w:rPr>
          <w:noProof/>
        </w:rPr>
        <w:fldChar w:fldCharType="separate"/>
      </w:r>
      <w:r w:rsidR="00205A64">
        <w:rPr>
          <w:noProof/>
        </w:rPr>
        <w:t>6</w:t>
      </w:r>
      <w:r>
        <w:rPr>
          <w:noProof/>
        </w:rPr>
        <w:fldChar w:fldCharType="end"/>
      </w:r>
    </w:p>
    <w:p w14:paraId="544897FA" w14:textId="18E11E6C" w:rsidR="00B703EA" w:rsidRDefault="00B703EA">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_Toc1723489 \h </w:instrText>
      </w:r>
      <w:r>
        <w:rPr>
          <w:noProof/>
        </w:rPr>
      </w:r>
      <w:r>
        <w:rPr>
          <w:noProof/>
        </w:rPr>
        <w:fldChar w:fldCharType="separate"/>
      </w:r>
      <w:r w:rsidR="00205A64">
        <w:rPr>
          <w:noProof/>
        </w:rPr>
        <w:t>6</w:t>
      </w:r>
      <w:r>
        <w:rPr>
          <w:noProof/>
        </w:rPr>
        <w:fldChar w:fldCharType="end"/>
      </w:r>
    </w:p>
    <w:p w14:paraId="7FFB364C" w14:textId="608B0C93" w:rsidR="00B703EA" w:rsidRDefault="00B703EA">
      <w:pPr>
        <w:pStyle w:val="TOC3"/>
        <w:rPr>
          <w:rFonts w:asciiTheme="minorHAnsi" w:hAnsiTheme="minorHAnsi"/>
          <w:noProof/>
          <w:szCs w:val="22"/>
        </w:rPr>
      </w:pPr>
      <w:r>
        <w:rPr>
          <w:noProof/>
        </w:rPr>
        <w:t>Electric Savings (</w:t>
      </w:r>
      <w:r w:rsidRPr="004F3F8E">
        <w:rPr>
          <w:noProof/>
        </w:rPr>
        <w:t>kWh</w:t>
      </w:r>
      <w:r>
        <w:rPr>
          <w:noProof/>
        </w:rPr>
        <w:t>)</w:t>
      </w:r>
      <w:r>
        <w:rPr>
          <w:noProof/>
        </w:rPr>
        <w:tab/>
      </w:r>
      <w:r>
        <w:rPr>
          <w:noProof/>
        </w:rPr>
        <w:fldChar w:fldCharType="begin"/>
      </w:r>
      <w:r>
        <w:rPr>
          <w:noProof/>
        </w:rPr>
        <w:instrText xml:space="preserve"> PAGEREF _Toc1723490 \h </w:instrText>
      </w:r>
      <w:r>
        <w:rPr>
          <w:noProof/>
        </w:rPr>
      </w:r>
      <w:r>
        <w:rPr>
          <w:noProof/>
        </w:rPr>
        <w:fldChar w:fldCharType="separate"/>
      </w:r>
      <w:r w:rsidR="00205A64">
        <w:rPr>
          <w:noProof/>
        </w:rPr>
        <w:t>6</w:t>
      </w:r>
      <w:r>
        <w:rPr>
          <w:noProof/>
        </w:rPr>
        <w:fldChar w:fldCharType="end"/>
      </w:r>
    </w:p>
    <w:p w14:paraId="635EF1B3" w14:textId="0FC56774" w:rsidR="00B703EA" w:rsidRDefault="00B703EA">
      <w:pPr>
        <w:pStyle w:val="TOC3"/>
        <w:rPr>
          <w:rFonts w:asciiTheme="minorHAnsi" w:hAnsiTheme="minorHAnsi"/>
          <w:noProof/>
          <w:szCs w:val="22"/>
        </w:rPr>
      </w:pPr>
      <w:r>
        <w:rPr>
          <w:noProof/>
        </w:rPr>
        <w:t>Peak Electric Demand Reduction (</w:t>
      </w:r>
      <w:r w:rsidRPr="004F3F8E">
        <w:rPr>
          <w:noProof/>
        </w:rPr>
        <w:t>kW</w:t>
      </w:r>
      <w:r>
        <w:rPr>
          <w:noProof/>
        </w:rPr>
        <w:t>)</w:t>
      </w:r>
      <w:r>
        <w:rPr>
          <w:noProof/>
        </w:rPr>
        <w:tab/>
      </w:r>
      <w:r>
        <w:rPr>
          <w:noProof/>
        </w:rPr>
        <w:fldChar w:fldCharType="begin"/>
      </w:r>
      <w:r>
        <w:rPr>
          <w:noProof/>
        </w:rPr>
        <w:instrText xml:space="preserve"> PAGEREF _Toc1723491 \h </w:instrText>
      </w:r>
      <w:r>
        <w:rPr>
          <w:noProof/>
        </w:rPr>
      </w:r>
      <w:r>
        <w:rPr>
          <w:noProof/>
        </w:rPr>
        <w:fldChar w:fldCharType="separate"/>
      </w:r>
      <w:r w:rsidR="00205A64">
        <w:rPr>
          <w:noProof/>
        </w:rPr>
        <w:t>6</w:t>
      </w:r>
      <w:r>
        <w:rPr>
          <w:noProof/>
        </w:rPr>
        <w:fldChar w:fldCharType="end"/>
      </w:r>
    </w:p>
    <w:p w14:paraId="4C6B560A" w14:textId="65D6EC72" w:rsidR="00B703EA" w:rsidRDefault="00B703EA">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_Toc1723492 \h </w:instrText>
      </w:r>
      <w:r>
        <w:rPr>
          <w:noProof/>
        </w:rPr>
      </w:r>
      <w:r>
        <w:rPr>
          <w:noProof/>
        </w:rPr>
        <w:fldChar w:fldCharType="separate"/>
      </w:r>
      <w:r w:rsidR="00205A64">
        <w:rPr>
          <w:noProof/>
        </w:rPr>
        <w:t>6</w:t>
      </w:r>
      <w:r>
        <w:rPr>
          <w:noProof/>
        </w:rPr>
        <w:fldChar w:fldCharType="end"/>
      </w:r>
    </w:p>
    <w:p w14:paraId="4CD09AB1" w14:textId="1F684BE3" w:rsidR="00B703EA" w:rsidRDefault="00B703EA">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_Toc1723493 \h </w:instrText>
      </w:r>
      <w:r>
        <w:rPr>
          <w:noProof/>
        </w:rPr>
      </w:r>
      <w:r>
        <w:rPr>
          <w:noProof/>
        </w:rPr>
        <w:fldChar w:fldCharType="separate"/>
      </w:r>
      <w:r w:rsidR="00205A64">
        <w:rPr>
          <w:noProof/>
        </w:rPr>
        <w:t>11</w:t>
      </w:r>
      <w:r>
        <w:rPr>
          <w:noProof/>
        </w:rPr>
        <w:fldChar w:fldCharType="end"/>
      </w:r>
    </w:p>
    <w:p w14:paraId="79CB6911" w14:textId="09F6BD50" w:rsidR="00B703EA" w:rsidRDefault="00B703EA">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_Toc1723494 \h </w:instrText>
      </w:r>
      <w:r>
        <w:rPr>
          <w:noProof/>
        </w:rPr>
      </w:r>
      <w:r>
        <w:rPr>
          <w:noProof/>
        </w:rPr>
        <w:fldChar w:fldCharType="separate"/>
      </w:r>
      <w:r w:rsidR="00205A64">
        <w:rPr>
          <w:noProof/>
        </w:rPr>
        <w:t>11</w:t>
      </w:r>
      <w:r>
        <w:rPr>
          <w:noProof/>
        </w:rPr>
        <w:fldChar w:fldCharType="end"/>
      </w:r>
    </w:p>
    <w:p w14:paraId="0B8A992E" w14:textId="1A2CAF73" w:rsidR="00B703EA" w:rsidRDefault="00B703EA">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_Toc1723495 \h </w:instrText>
      </w:r>
      <w:r>
        <w:rPr>
          <w:noProof/>
        </w:rPr>
      </w:r>
      <w:r>
        <w:rPr>
          <w:noProof/>
        </w:rPr>
        <w:fldChar w:fldCharType="separate"/>
      </w:r>
      <w:r w:rsidR="00205A64">
        <w:rPr>
          <w:noProof/>
        </w:rPr>
        <w:t>12</w:t>
      </w:r>
      <w:r>
        <w:rPr>
          <w:noProof/>
        </w:rPr>
        <w:fldChar w:fldCharType="end"/>
      </w:r>
    </w:p>
    <w:p w14:paraId="5F2331AE" w14:textId="02654188" w:rsidR="00B703EA" w:rsidRDefault="00B703EA">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_Toc1723496 \h </w:instrText>
      </w:r>
      <w:r>
        <w:rPr>
          <w:noProof/>
        </w:rPr>
      </w:r>
      <w:r>
        <w:rPr>
          <w:noProof/>
        </w:rPr>
        <w:fldChar w:fldCharType="separate"/>
      </w:r>
      <w:r w:rsidR="00205A64">
        <w:rPr>
          <w:noProof/>
        </w:rPr>
        <w:t>13</w:t>
      </w:r>
      <w:r>
        <w:rPr>
          <w:noProof/>
        </w:rPr>
        <w:fldChar w:fldCharType="end"/>
      </w:r>
    </w:p>
    <w:p w14:paraId="6435D459" w14:textId="7E075B09" w:rsidR="00B703EA" w:rsidRDefault="00B703EA">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_Toc1723497 \h </w:instrText>
      </w:r>
      <w:r>
        <w:rPr>
          <w:noProof/>
        </w:rPr>
      </w:r>
      <w:r>
        <w:rPr>
          <w:noProof/>
        </w:rPr>
        <w:fldChar w:fldCharType="separate"/>
      </w:r>
      <w:r w:rsidR="00205A64">
        <w:rPr>
          <w:noProof/>
        </w:rPr>
        <w:t>13</w:t>
      </w:r>
      <w:r>
        <w:rPr>
          <w:noProof/>
        </w:rPr>
        <w:fldChar w:fldCharType="end"/>
      </w:r>
    </w:p>
    <w:p w14:paraId="00204901" w14:textId="55EB3478" w:rsidR="00B703EA" w:rsidRDefault="00B703EA">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_Toc1723498 \h </w:instrText>
      </w:r>
      <w:r>
        <w:rPr>
          <w:noProof/>
        </w:rPr>
      </w:r>
      <w:r>
        <w:rPr>
          <w:noProof/>
        </w:rPr>
        <w:fldChar w:fldCharType="separate"/>
      </w:r>
      <w:r w:rsidR="00205A64">
        <w:rPr>
          <w:noProof/>
        </w:rPr>
        <w:t>13</w:t>
      </w:r>
      <w:r>
        <w:rPr>
          <w:noProof/>
        </w:rPr>
        <w:fldChar w:fldCharType="end"/>
      </w:r>
    </w:p>
    <w:p w14:paraId="719D69B3" w14:textId="6FFEA8FE" w:rsidR="00B703EA" w:rsidRDefault="00B703EA">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_Toc1723499 \h </w:instrText>
      </w:r>
      <w:r>
        <w:rPr>
          <w:noProof/>
        </w:rPr>
      </w:r>
      <w:r>
        <w:rPr>
          <w:noProof/>
        </w:rPr>
        <w:fldChar w:fldCharType="separate"/>
      </w:r>
      <w:r w:rsidR="00205A64">
        <w:rPr>
          <w:noProof/>
        </w:rPr>
        <w:t>13</w:t>
      </w:r>
      <w:r>
        <w:rPr>
          <w:noProof/>
        </w:rPr>
        <w:fldChar w:fldCharType="end"/>
      </w:r>
    </w:p>
    <w:p w14:paraId="3EECFD07" w14:textId="59F492D7" w:rsidR="00B703EA" w:rsidRDefault="00B703EA">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_Toc1723500 \h </w:instrText>
      </w:r>
      <w:r>
        <w:rPr>
          <w:noProof/>
        </w:rPr>
      </w:r>
      <w:r>
        <w:rPr>
          <w:noProof/>
        </w:rPr>
        <w:fldChar w:fldCharType="separate"/>
      </w:r>
      <w:r w:rsidR="00205A64">
        <w:rPr>
          <w:noProof/>
        </w:rPr>
        <w:t>13</w:t>
      </w:r>
      <w:r>
        <w:rPr>
          <w:noProof/>
        </w:rPr>
        <w:fldChar w:fldCharType="end"/>
      </w:r>
    </w:p>
    <w:p w14:paraId="24B3C74B" w14:textId="4E958EA8" w:rsidR="00B703EA" w:rsidRDefault="00B703EA">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_Toc1723501 \h </w:instrText>
      </w:r>
      <w:r>
        <w:rPr>
          <w:noProof/>
        </w:rPr>
      </w:r>
      <w:r>
        <w:rPr>
          <w:noProof/>
        </w:rPr>
        <w:fldChar w:fldCharType="separate"/>
      </w:r>
      <w:r w:rsidR="00205A64">
        <w:rPr>
          <w:noProof/>
        </w:rPr>
        <w:t>14</w:t>
      </w:r>
      <w:r>
        <w:rPr>
          <w:noProof/>
        </w:rPr>
        <w:fldChar w:fldCharType="end"/>
      </w:r>
    </w:p>
    <w:p w14:paraId="1FF1423E" w14:textId="2D417BE2" w:rsidR="00B703EA" w:rsidRDefault="00B703EA">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_Toc1723502 \h </w:instrText>
      </w:r>
      <w:r>
        <w:rPr>
          <w:noProof/>
        </w:rPr>
      </w:r>
      <w:r>
        <w:rPr>
          <w:noProof/>
        </w:rPr>
        <w:fldChar w:fldCharType="separate"/>
      </w:r>
      <w:r w:rsidR="00205A64">
        <w:rPr>
          <w:noProof/>
        </w:rPr>
        <w:t>15</w:t>
      </w:r>
      <w:r>
        <w:rPr>
          <w:noProof/>
        </w:rPr>
        <w:fldChar w:fldCharType="end"/>
      </w:r>
    </w:p>
    <w:p w14:paraId="7DD78D3A" w14:textId="60A83F49" w:rsidR="007E1F66" w:rsidRDefault="001C6C9B" w:rsidP="00F87631">
      <w:pPr>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r>
        <w:fldChar w:fldCharType="end"/>
      </w:r>
    </w:p>
    <w:p w14:paraId="44F46621" w14:textId="77777777" w:rsidR="00974CDD" w:rsidRPr="007E1F66" w:rsidRDefault="00974CDD" w:rsidP="0053107B">
      <w:pPr>
        <w:pStyle w:val="eTRMHeading3"/>
        <w:spacing w:beforeLines="20" w:before="48" w:afterLines="20" w:after="48" w:line="240" w:lineRule="auto"/>
      </w:pPr>
      <w:bookmarkStart w:id="0" w:name="_Toc486490839"/>
      <w:bookmarkStart w:id="1" w:name="_Toc486580912"/>
      <w:bookmarkStart w:id="2" w:name="_Toc1723479"/>
      <w:r w:rsidRPr="007E1F66">
        <w:lastRenderedPageBreak/>
        <w:t>Measure Name</w:t>
      </w:r>
      <w:bookmarkEnd w:id="0"/>
      <w:bookmarkEnd w:id="1"/>
      <w:bookmarkEnd w:id="2"/>
    </w:p>
    <w:p w14:paraId="6EFEE524" w14:textId="45550F8E" w:rsidR="00974CDD" w:rsidRDefault="00974CDD" w:rsidP="0053107B">
      <w:pPr>
        <w:spacing w:beforeLines="20" w:before="48" w:afterLines="20" w:after="48" w:line="240" w:lineRule="auto"/>
      </w:pPr>
      <w:r>
        <w:t>Boiler, Multifamily</w:t>
      </w:r>
    </w:p>
    <w:p w14:paraId="6B428822" w14:textId="77777777" w:rsidR="00974CDD" w:rsidRPr="00401C43" w:rsidRDefault="00974CDD" w:rsidP="0053107B">
      <w:pPr>
        <w:spacing w:beforeLines="20" w:before="48" w:afterLines="20" w:after="48" w:line="240" w:lineRule="auto"/>
      </w:pPr>
    </w:p>
    <w:p w14:paraId="43A9868C" w14:textId="77777777" w:rsidR="00974CDD" w:rsidRPr="00074E3E" w:rsidRDefault="00974CDD" w:rsidP="0053107B">
      <w:pPr>
        <w:pStyle w:val="eTRMHeading3"/>
        <w:spacing w:beforeLines="20" w:before="48" w:afterLines="20" w:after="48" w:line="240" w:lineRule="auto"/>
      </w:pPr>
      <w:bookmarkStart w:id="3" w:name="_Toc486490840"/>
      <w:bookmarkStart w:id="4" w:name="_Toc486580913"/>
      <w:bookmarkStart w:id="5" w:name="_Toc1723480"/>
      <w:r>
        <w:t>Statewide Measure ID</w:t>
      </w:r>
      <w:bookmarkEnd w:id="3"/>
      <w:bookmarkEnd w:id="4"/>
      <w:bookmarkEnd w:id="5"/>
    </w:p>
    <w:p w14:paraId="68F4C25B" w14:textId="642E617D" w:rsidR="00187521" w:rsidRDefault="00187521" w:rsidP="00187521">
      <w:r>
        <w:t>SWWH010</w:t>
      </w:r>
      <w:r w:rsidR="00741F6F">
        <w:t>-01</w:t>
      </w:r>
    </w:p>
    <w:p w14:paraId="6DE6B989" w14:textId="77777777" w:rsidR="00974CDD" w:rsidRPr="00462BB6" w:rsidRDefault="00974CDD" w:rsidP="00741F6F"/>
    <w:p w14:paraId="0F7CA2E6" w14:textId="77777777" w:rsidR="00E70CBD" w:rsidRPr="00154391" w:rsidRDefault="00E70CBD" w:rsidP="00777422">
      <w:pPr>
        <w:pStyle w:val="eTRMHeading3"/>
      </w:pPr>
      <w:bookmarkStart w:id="6" w:name="_Toc486490847"/>
      <w:bookmarkStart w:id="7" w:name="_Toc486580918"/>
      <w:bookmarkStart w:id="8" w:name="_Toc1723481"/>
      <w:r w:rsidRPr="00154391">
        <w:t>Technology Summary</w:t>
      </w:r>
      <w:bookmarkEnd w:id="6"/>
      <w:bookmarkEnd w:id="7"/>
      <w:bookmarkEnd w:id="8"/>
      <w:r w:rsidRPr="00154391">
        <w:t xml:space="preserve"> </w:t>
      </w:r>
    </w:p>
    <w:p w14:paraId="58927B7A" w14:textId="370DA30F" w:rsidR="00433289" w:rsidRDefault="00216AC7" w:rsidP="00787FCA">
      <w:pPr>
        <w:tabs>
          <w:tab w:val="left" w:pos="2962"/>
        </w:tabs>
      </w:pPr>
      <w:r>
        <w:t>A b</w:t>
      </w:r>
      <w:r w:rsidR="00020218">
        <w:t>oiler (also referred to as</w:t>
      </w:r>
      <w:r>
        <w:t xml:space="preserve"> an</w:t>
      </w:r>
      <w:r w:rsidR="00020218">
        <w:t xml:space="preserve"> instantaneous water heater) </w:t>
      </w:r>
      <w:r>
        <w:t>is</w:t>
      </w:r>
      <w:r w:rsidR="00020218">
        <w:t xml:space="preserve"> commonly used to heat domestic hot water (DHW) for </w:t>
      </w:r>
      <w:r>
        <w:t xml:space="preserve">a </w:t>
      </w:r>
      <w:r w:rsidR="00020218">
        <w:t xml:space="preserve">multifamily residential building. These systems can either utilize a direct source-to-use configuration or a recirculation loop. </w:t>
      </w:r>
      <w:r w:rsidR="00020218" w:rsidRPr="00D0217D">
        <w:t xml:space="preserve">Relative to </w:t>
      </w:r>
      <w:r>
        <w:t xml:space="preserve">a </w:t>
      </w:r>
      <w:r w:rsidR="00020218" w:rsidRPr="00D0217D">
        <w:t>sta</w:t>
      </w:r>
      <w:r w:rsidR="00020218">
        <w:t>n</w:t>
      </w:r>
      <w:r w:rsidR="00020218" w:rsidRPr="00D0217D">
        <w:t>dard model,</w:t>
      </w:r>
      <w:r>
        <w:t xml:space="preserve"> an</w:t>
      </w:r>
      <w:r w:rsidR="00020218" w:rsidRPr="00D0217D">
        <w:t xml:space="preserve"> energy efficient </w:t>
      </w:r>
      <w:r w:rsidR="00020218">
        <w:t>boiler</w:t>
      </w:r>
      <w:r w:rsidR="00020218" w:rsidRPr="00D0217D">
        <w:t xml:space="preserve"> typically </w:t>
      </w:r>
      <w:r>
        <w:t>has</w:t>
      </w:r>
      <w:r w:rsidR="00020218" w:rsidRPr="00D0217D">
        <w:t xml:space="preserve"> features such as </w:t>
      </w:r>
      <w:r w:rsidR="00020218">
        <w:t xml:space="preserve">no standing pilot light, </w:t>
      </w:r>
      <w:r>
        <w:t xml:space="preserve">a </w:t>
      </w:r>
      <w:r w:rsidR="00020218" w:rsidRPr="00D0217D">
        <w:t>large</w:t>
      </w:r>
      <w:r w:rsidR="00020218">
        <w:t>r</w:t>
      </w:r>
      <w:r w:rsidR="00020218" w:rsidRPr="00D0217D">
        <w:t xml:space="preserve"> heat exchange surface</w:t>
      </w:r>
      <w:r w:rsidR="00020218">
        <w:t>,</w:t>
      </w:r>
      <w:r w:rsidR="00020218" w:rsidRPr="00D0217D">
        <w:t xml:space="preserve"> additional tank insulation</w:t>
      </w:r>
      <w:r w:rsidR="00020218">
        <w:t>, and the capability to condense moisture in the flue gas</w:t>
      </w:r>
      <w:r w:rsidR="00020218" w:rsidRPr="00D0217D">
        <w:t xml:space="preserve">.  </w:t>
      </w:r>
    </w:p>
    <w:p w14:paraId="1464564E" w14:textId="77777777" w:rsidR="002B7AB1" w:rsidRPr="00E21D9C" w:rsidRDefault="002B7AB1" w:rsidP="00787FCA">
      <w:pPr>
        <w:tabs>
          <w:tab w:val="left" w:pos="2962"/>
        </w:tabs>
        <w:rPr>
          <w:rFonts w:cs="Calibri Light"/>
          <w:szCs w:val="22"/>
        </w:rPr>
      </w:pPr>
    </w:p>
    <w:p w14:paraId="5AF18021" w14:textId="37E948F9" w:rsidR="007D230B" w:rsidRPr="004B06E3" w:rsidRDefault="007D230B" w:rsidP="00777422">
      <w:pPr>
        <w:pStyle w:val="eTRMHeading3"/>
      </w:pPr>
      <w:bookmarkStart w:id="9" w:name="_Toc486490848"/>
      <w:bookmarkStart w:id="10" w:name="_Toc486580919"/>
      <w:bookmarkStart w:id="11" w:name="_Toc1723482"/>
      <w:r w:rsidRPr="004B06E3">
        <w:t>Measure Case Description</w:t>
      </w:r>
      <w:bookmarkEnd w:id="9"/>
      <w:bookmarkEnd w:id="10"/>
      <w:bookmarkEnd w:id="11"/>
    </w:p>
    <w:p w14:paraId="70723006" w14:textId="536C0888" w:rsidR="00433289" w:rsidRDefault="00A773D6" w:rsidP="00976C28">
      <w:bookmarkStart w:id="12" w:name="_Toc486490849"/>
      <w:bookmarkStart w:id="13" w:name="_Toc486580920"/>
      <w:r w:rsidRPr="00D24B32">
        <w:rPr>
          <w:rFonts w:cs="Calibri Light"/>
          <w:szCs w:val="22"/>
        </w:rPr>
        <w:t xml:space="preserve">The measure case is defined as the </w:t>
      </w:r>
      <w:r w:rsidRPr="00D24B32">
        <w:t>repl</w:t>
      </w:r>
      <w:r w:rsidR="00433289" w:rsidRPr="00D24B32">
        <w:t xml:space="preserve">acement of </w:t>
      </w:r>
      <w:r w:rsidR="00D24B32" w:rsidRPr="00D24B32">
        <w:t>a</w:t>
      </w:r>
      <w:r w:rsidR="00433289" w:rsidRPr="00D24B32">
        <w:t xml:space="preserve"> </w:t>
      </w:r>
      <w:r w:rsidR="00D24B32">
        <w:t xml:space="preserve">standard efficiency </w:t>
      </w:r>
      <w:r w:rsidR="00433289" w:rsidRPr="00D24B32">
        <w:t>boiler</w:t>
      </w:r>
      <w:r w:rsidR="00D24B32">
        <w:t xml:space="preserve"> of a multifamily central water heating system with a high efficiency boiler</w:t>
      </w:r>
      <w:r w:rsidR="00740076">
        <w:t xml:space="preserve">, </w:t>
      </w:r>
      <w:r w:rsidR="00740076">
        <w:rPr>
          <w:rFonts w:cs="Calibri Light"/>
          <w:szCs w:val="22"/>
        </w:rPr>
        <w:t xml:space="preserve">or a boiler replacement with multiple instantaneous water heaters. The minimum qualifying thermal efficiency (TE) ratings </w:t>
      </w:r>
      <w:r w:rsidR="005351C6">
        <w:rPr>
          <w:rFonts w:cs="Calibri Light"/>
          <w:szCs w:val="22"/>
        </w:rPr>
        <w:t xml:space="preserve">for each measure offering </w:t>
      </w:r>
      <w:r w:rsidR="00740076">
        <w:rPr>
          <w:rFonts w:cs="Calibri Light"/>
          <w:szCs w:val="22"/>
        </w:rPr>
        <w:t xml:space="preserve">are </w:t>
      </w:r>
      <w:r w:rsidR="00433289" w:rsidRPr="00D24B32">
        <w:t xml:space="preserve">specified </w:t>
      </w:r>
      <w:r w:rsidR="00187521">
        <w:t>in the table below</w:t>
      </w:r>
      <w:r w:rsidR="00433289" w:rsidRPr="00D24B32">
        <w:t>.</w:t>
      </w:r>
      <w:r w:rsidR="00020218" w:rsidRPr="00D24B32">
        <w:t xml:space="preserve"> Tier 1</w:t>
      </w:r>
      <w:r w:rsidR="00155A66" w:rsidRPr="00D24B32">
        <w:t xml:space="preserve"> denotes</w:t>
      </w:r>
      <w:r w:rsidR="00020218" w:rsidRPr="00D24B32">
        <w:t xml:space="preserve"> high</w:t>
      </w:r>
      <w:r w:rsidR="00155A66" w:rsidRPr="00D24B32">
        <w:t>-</w:t>
      </w:r>
      <w:r w:rsidR="00020218">
        <w:t>efficiency natural gas non-condensing boilers</w:t>
      </w:r>
      <w:r w:rsidR="00020218" w:rsidRPr="00E3741E">
        <w:t xml:space="preserve"> </w:t>
      </w:r>
      <w:r w:rsidR="00020218">
        <w:t xml:space="preserve">and Tier </w:t>
      </w:r>
      <w:r w:rsidR="00AC3540">
        <w:t xml:space="preserve">2 </w:t>
      </w:r>
      <w:r w:rsidR="00155A66">
        <w:t>denotes high-</w:t>
      </w:r>
      <w:r w:rsidR="00020218">
        <w:t xml:space="preserve">efficiency natural gas </w:t>
      </w:r>
      <w:r w:rsidR="00020218" w:rsidRPr="00E3741E">
        <w:t>condensing</w:t>
      </w:r>
      <w:r w:rsidR="00020218">
        <w:t xml:space="preserve"> boilers. Tier 2 </w:t>
      </w:r>
      <w:r w:rsidR="00155A66">
        <w:t xml:space="preserve">models </w:t>
      </w:r>
      <w:r w:rsidR="00020218">
        <w:t>may require additional modifications to the existing system configuration as the flue requirements are substantially different than the non-condensing alternative.</w:t>
      </w:r>
      <w:r w:rsidR="00020218" w:rsidRPr="00020218">
        <w:t xml:space="preserve"> </w:t>
      </w:r>
      <w:r w:rsidR="005351C6">
        <w:t>Energy savings were calculated by climate zone for each measure offering.</w:t>
      </w:r>
    </w:p>
    <w:p w14:paraId="5DACC979" w14:textId="701B54B7" w:rsidR="00433289" w:rsidRDefault="00433289" w:rsidP="00187521">
      <w:pPr>
        <w:pStyle w:val="Caption"/>
      </w:pPr>
      <w:bookmarkStart w:id="14" w:name="_Ref501257276"/>
      <w:r w:rsidRPr="00421242">
        <w:t xml:space="preserve">Measure Case Specification </w:t>
      </w:r>
      <w:bookmarkEnd w:id="14"/>
    </w:p>
    <w:tbl>
      <w:tblPr>
        <w:tblW w:w="60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865"/>
        <w:gridCol w:w="2160"/>
      </w:tblGrid>
      <w:tr w:rsidR="00430FE5" w14:paraId="06645436" w14:textId="77777777" w:rsidTr="00AF26CF">
        <w:trPr>
          <w:cantSplit/>
          <w:trHeight w:val="20"/>
        </w:trPr>
        <w:tc>
          <w:tcPr>
            <w:tcW w:w="3865" w:type="dxa"/>
            <w:shd w:val="clear" w:color="auto" w:fill="F2F2F2" w:themeFill="background1" w:themeFillShade="F2"/>
            <w:vAlign w:val="bottom"/>
          </w:tcPr>
          <w:p w14:paraId="21BD00FF" w14:textId="77777777" w:rsidR="00430FE5" w:rsidRPr="004B4A93" w:rsidRDefault="00430FE5" w:rsidP="00974CDD">
            <w:pPr>
              <w:keepNext/>
              <w:keepLines/>
              <w:spacing w:before="0" w:after="0"/>
              <w:jc w:val="center"/>
              <w:rPr>
                <w:b/>
                <w:sz w:val="20"/>
                <w:szCs w:val="20"/>
              </w:rPr>
            </w:pPr>
            <w:r>
              <w:rPr>
                <w:b/>
                <w:sz w:val="20"/>
                <w:szCs w:val="20"/>
              </w:rPr>
              <w:t>Boiler Type</w:t>
            </w:r>
          </w:p>
        </w:tc>
        <w:tc>
          <w:tcPr>
            <w:tcW w:w="2160" w:type="dxa"/>
            <w:shd w:val="clear" w:color="auto" w:fill="F2F2F2" w:themeFill="background1" w:themeFillShade="F2"/>
            <w:vAlign w:val="bottom"/>
          </w:tcPr>
          <w:p w14:paraId="1188EE05" w14:textId="4E9F941E" w:rsidR="00430FE5" w:rsidRDefault="00430FE5" w:rsidP="00974CDD">
            <w:pPr>
              <w:keepNext/>
              <w:keepLines/>
              <w:spacing w:before="0" w:after="0"/>
              <w:jc w:val="center"/>
              <w:rPr>
                <w:b/>
                <w:sz w:val="20"/>
                <w:szCs w:val="20"/>
              </w:rPr>
            </w:pPr>
            <w:r>
              <w:rPr>
                <w:b/>
                <w:sz w:val="20"/>
                <w:szCs w:val="20"/>
              </w:rPr>
              <w:t xml:space="preserve">Min. Qualifying </w:t>
            </w:r>
            <w:r>
              <w:rPr>
                <w:b/>
                <w:sz w:val="20"/>
                <w:szCs w:val="20"/>
              </w:rPr>
              <w:br/>
              <w:t>Thermal Efficiency (TE)</w:t>
            </w:r>
          </w:p>
        </w:tc>
      </w:tr>
      <w:tr w:rsidR="00430FE5" w:rsidRPr="00B20DA3" w14:paraId="0778F9A6" w14:textId="77777777" w:rsidTr="00AF26CF">
        <w:trPr>
          <w:cantSplit/>
          <w:trHeight w:val="20"/>
        </w:trPr>
        <w:tc>
          <w:tcPr>
            <w:tcW w:w="3865" w:type="dxa"/>
            <w:shd w:val="clear" w:color="auto" w:fill="auto"/>
          </w:tcPr>
          <w:p w14:paraId="51FF5529" w14:textId="77777777" w:rsidR="00430FE5" w:rsidRPr="00B20DA3" w:rsidRDefault="00430FE5" w:rsidP="00974CDD">
            <w:pPr>
              <w:keepNext/>
              <w:keepLines/>
              <w:spacing w:before="0" w:after="0"/>
              <w:rPr>
                <w:rFonts w:cs="Calibri Light"/>
                <w:sz w:val="20"/>
                <w:szCs w:val="20"/>
              </w:rPr>
            </w:pPr>
            <w:r w:rsidRPr="00B20DA3">
              <w:rPr>
                <w:rFonts w:cs="Calibri Light"/>
                <w:sz w:val="20"/>
                <w:szCs w:val="20"/>
              </w:rPr>
              <w:t>Non-condensing Boiler – Tier 1</w:t>
            </w:r>
          </w:p>
        </w:tc>
        <w:tc>
          <w:tcPr>
            <w:tcW w:w="2160" w:type="dxa"/>
          </w:tcPr>
          <w:p w14:paraId="13DDDFDD" w14:textId="2E45939C" w:rsidR="00430FE5" w:rsidRPr="00B20DA3" w:rsidRDefault="00430FE5" w:rsidP="00974CDD">
            <w:pPr>
              <w:keepNext/>
              <w:keepLines/>
              <w:spacing w:before="0" w:after="0"/>
              <w:jc w:val="center"/>
              <w:rPr>
                <w:sz w:val="20"/>
                <w:szCs w:val="20"/>
              </w:rPr>
            </w:pPr>
            <w:r>
              <w:rPr>
                <w:sz w:val="20"/>
                <w:szCs w:val="20"/>
              </w:rPr>
              <w:t xml:space="preserve">84.0% </w:t>
            </w:r>
          </w:p>
        </w:tc>
      </w:tr>
      <w:tr w:rsidR="00430FE5" w:rsidRPr="00B20DA3" w14:paraId="49D2C0A1" w14:textId="77777777" w:rsidTr="00AF26CF">
        <w:trPr>
          <w:cantSplit/>
          <w:trHeight w:val="20"/>
        </w:trPr>
        <w:tc>
          <w:tcPr>
            <w:tcW w:w="3865" w:type="dxa"/>
            <w:shd w:val="clear" w:color="auto" w:fill="auto"/>
          </w:tcPr>
          <w:p w14:paraId="470E0E1A" w14:textId="17953827" w:rsidR="00430FE5" w:rsidRPr="00B20DA3" w:rsidRDefault="00430FE5" w:rsidP="00974CDD">
            <w:pPr>
              <w:keepNext/>
              <w:keepLines/>
              <w:spacing w:before="0" w:after="0"/>
              <w:rPr>
                <w:rFonts w:cs="Calibri Light"/>
                <w:sz w:val="20"/>
                <w:szCs w:val="20"/>
              </w:rPr>
            </w:pPr>
            <w:r w:rsidRPr="00B20DA3">
              <w:rPr>
                <w:rFonts w:cs="Calibri Light"/>
                <w:sz w:val="20"/>
                <w:szCs w:val="20"/>
              </w:rPr>
              <w:t>Condensing</w:t>
            </w:r>
            <w:r>
              <w:rPr>
                <w:rFonts w:cs="Calibri Light"/>
                <w:sz w:val="20"/>
                <w:szCs w:val="20"/>
              </w:rPr>
              <w:t xml:space="preserve"> </w:t>
            </w:r>
            <w:r w:rsidRPr="00B20DA3">
              <w:rPr>
                <w:rFonts w:cs="Calibri Light"/>
                <w:sz w:val="20"/>
                <w:szCs w:val="20"/>
              </w:rPr>
              <w:t>Boiler – Tier 2</w:t>
            </w:r>
          </w:p>
        </w:tc>
        <w:tc>
          <w:tcPr>
            <w:tcW w:w="2160" w:type="dxa"/>
          </w:tcPr>
          <w:p w14:paraId="07147825" w14:textId="574F54EA" w:rsidR="00430FE5" w:rsidRPr="00B20DA3" w:rsidRDefault="00430FE5" w:rsidP="00974CDD">
            <w:pPr>
              <w:keepNext/>
              <w:keepLines/>
              <w:spacing w:before="0" w:after="0"/>
              <w:jc w:val="center"/>
              <w:rPr>
                <w:sz w:val="20"/>
                <w:szCs w:val="20"/>
              </w:rPr>
            </w:pPr>
            <w:r w:rsidRPr="00B20DA3">
              <w:rPr>
                <w:sz w:val="20"/>
                <w:szCs w:val="20"/>
              </w:rPr>
              <w:t>90.0%</w:t>
            </w:r>
          </w:p>
        </w:tc>
      </w:tr>
    </w:tbl>
    <w:p w14:paraId="13398C03" w14:textId="290CC7A8" w:rsidR="002B7AB1" w:rsidRDefault="002B7AB1" w:rsidP="00EE564F"/>
    <w:p w14:paraId="1588972E" w14:textId="68888DF4" w:rsidR="00016013" w:rsidRDefault="00216AC7" w:rsidP="00016013">
      <w:pPr>
        <w:rPr>
          <w:rFonts w:ascii="Arial" w:hAnsi="Arial"/>
          <w:sz w:val="20"/>
          <w:szCs w:val="20"/>
        </w:rPr>
      </w:pPr>
      <w:r>
        <w:t xml:space="preserve">The minimum qualifying measure case efficiency ratings </w:t>
      </w:r>
      <w:r w:rsidRPr="00216AC7">
        <w:rPr>
          <w:i/>
        </w:rPr>
        <w:t>exceed</w:t>
      </w:r>
      <w:r>
        <w:t xml:space="preserve"> the California Appliance Efficiency Regulations (Title 20) and the Code of Federal Regulations (See Code Requirements). </w:t>
      </w:r>
      <w:r w:rsidR="00430FE5">
        <w:t xml:space="preserve">The minimum qualifying TE ratings were established from analysis </w:t>
      </w:r>
      <w:r w:rsidR="00016013">
        <w:t xml:space="preserve">of the availability of high-efficiency boilers </w:t>
      </w:r>
      <w:r w:rsidR="00AF26CF">
        <w:t>certified</w:t>
      </w:r>
      <w:r w:rsidR="00016013">
        <w:t xml:space="preserve"> in the California Energy Commission </w:t>
      </w:r>
      <w:r w:rsidR="00AF26CF">
        <w:t>(CEC) Modernized Appliance Efficiency Database System</w:t>
      </w:r>
      <w:r w:rsidR="00EE3E96">
        <w:t>, as of March 2012</w:t>
      </w:r>
      <w:r w:rsidR="00016013">
        <w:t>.</w:t>
      </w:r>
      <w:r w:rsidR="00016013">
        <w:rPr>
          <w:rStyle w:val="FootnoteReference"/>
        </w:rPr>
        <w:footnoteReference w:id="2"/>
      </w:r>
      <w:r w:rsidR="00016013">
        <w:t xml:space="preserve"> </w:t>
      </w:r>
      <w:r w:rsidR="00101854">
        <w:t>The figures below</w:t>
      </w:r>
      <w:r w:rsidR="00D24B32">
        <w:t xml:space="preserve"> </w:t>
      </w:r>
      <w:r w:rsidR="00016013">
        <w:t xml:space="preserve">show the distribution of </w:t>
      </w:r>
      <w:r w:rsidR="00D24B32">
        <w:t>TE ratings</w:t>
      </w:r>
      <w:r w:rsidR="00016013">
        <w:t xml:space="preserve"> for 1,640 bo</w:t>
      </w:r>
      <w:r w:rsidR="00430FE5">
        <w:t xml:space="preserve">iler products in the CEC database. </w:t>
      </w:r>
      <w:r w:rsidR="00016013">
        <w:t xml:space="preserve">About 65% of the products are considered to meet the </w:t>
      </w:r>
      <w:r w:rsidR="00D24B32">
        <w:t>California Building Energy Efficiency Standards (Title 24)</w:t>
      </w:r>
      <w:r w:rsidR="00016013">
        <w:t xml:space="preserve"> baseline while 26% of the products meet the minimum TE for Tier 1. </w:t>
      </w:r>
      <w:r w:rsidR="00187521">
        <w:t xml:space="preserve">The </w:t>
      </w:r>
      <w:r w:rsidR="00016013">
        <w:t xml:space="preserve">distribution </w:t>
      </w:r>
      <w:r w:rsidR="00016013">
        <w:lastRenderedPageBreak/>
        <w:t xml:space="preserve">of </w:t>
      </w:r>
      <w:r w:rsidR="00D24B32">
        <w:t>TE ratings</w:t>
      </w:r>
      <w:r w:rsidR="00016013">
        <w:t xml:space="preserve"> for 360 condensing boilers found in the CEC </w:t>
      </w:r>
      <w:r w:rsidR="00AF26CF">
        <w:t>d</w:t>
      </w:r>
      <w:r w:rsidR="00016013">
        <w:t>atabase. Over 96% of the products m</w:t>
      </w:r>
      <w:r w:rsidR="00AF26CF">
        <w:t xml:space="preserve">eet the minimum TE for Tier 2. </w:t>
      </w:r>
    </w:p>
    <w:p w14:paraId="6A543EFC" w14:textId="38E2E2EC" w:rsidR="00016013" w:rsidRDefault="00016013" w:rsidP="00187521">
      <w:pPr>
        <w:pStyle w:val="Caption"/>
      </w:pPr>
      <w:r>
        <w:t>Distribution of Thermal Efficiencies of Non-condensing Boilers</w:t>
      </w:r>
    </w:p>
    <w:p w14:paraId="6F929FD4" w14:textId="0E2C84F7" w:rsidR="00016013" w:rsidRDefault="00016013" w:rsidP="003D1635">
      <w:pPr>
        <w:rPr>
          <w:rFonts w:cs="Calibri Light"/>
          <w:szCs w:val="22"/>
        </w:rPr>
      </w:pPr>
      <w:r>
        <w:rPr>
          <w:rFonts w:cs="Calibri Light"/>
          <w:noProof/>
          <w:szCs w:val="22"/>
        </w:rPr>
        <w:drawing>
          <wp:inline distT="0" distB="0" distL="0" distR="0" wp14:anchorId="5CF5B29F" wp14:editId="4DDBD3AE">
            <wp:extent cx="4572000" cy="2041769"/>
            <wp:effectExtent l="0" t="0" r="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creen Shot 2018-03-12 at 1.00.07 PM.png"/>
                    <pic:cNvPicPr/>
                  </pic:nvPicPr>
                  <pic:blipFill>
                    <a:blip r:embed="rId14"/>
                    <a:stretch>
                      <a:fillRect/>
                    </a:stretch>
                  </pic:blipFill>
                  <pic:spPr>
                    <a:xfrm>
                      <a:off x="0" y="0"/>
                      <a:ext cx="4572000" cy="2041769"/>
                    </a:xfrm>
                    <a:prstGeom prst="rect">
                      <a:avLst/>
                    </a:prstGeom>
                  </pic:spPr>
                </pic:pic>
              </a:graphicData>
            </a:graphic>
          </wp:inline>
        </w:drawing>
      </w:r>
    </w:p>
    <w:p w14:paraId="0AD60E75" w14:textId="38A73ED8" w:rsidR="00016013" w:rsidRDefault="00016013" w:rsidP="00187521">
      <w:pPr>
        <w:pStyle w:val="Caption"/>
      </w:pPr>
      <w:r>
        <w:t>Distribution of Thermal Efficiencies of Condensing Boilers</w:t>
      </w:r>
    </w:p>
    <w:p w14:paraId="078E25FF" w14:textId="7C4B724D" w:rsidR="00016013" w:rsidRDefault="00016013" w:rsidP="003D1635">
      <w:pPr>
        <w:rPr>
          <w:rFonts w:cs="Calibri Light"/>
          <w:szCs w:val="22"/>
        </w:rPr>
      </w:pPr>
      <w:r>
        <w:rPr>
          <w:rFonts w:cs="Calibri Light"/>
          <w:noProof/>
          <w:szCs w:val="22"/>
        </w:rPr>
        <w:drawing>
          <wp:inline distT="0" distB="0" distL="0" distR="0" wp14:anchorId="756CE051" wp14:editId="2D3D6415">
            <wp:extent cx="4572000" cy="1843454"/>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creen Shot 2018-03-12 at 12.57.31 PM.png"/>
                    <pic:cNvPicPr/>
                  </pic:nvPicPr>
                  <pic:blipFill>
                    <a:blip r:embed="rId15"/>
                    <a:stretch>
                      <a:fillRect/>
                    </a:stretch>
                  </pic:blipFill>
                  <pic:spPr>
                    <a:xfrm>
                      <a:off x="0" y="0"/>
                      <a:ext cx="4572000" cy="1843454"/>
                    </a:xfrm>
                    <a:prstGeom prst="rect">
                      <a:avLst/>
                    </a:prstGeom>
                  </pic:spPr>
                </pic:pic>
              </a:graphicData>
            </a:graphic>
          </wp:inline>
        </w:drawing>
      </w:r>
    </w:p>
    <w:p w14:paraId="438C1CC9" w14:textId="77777777" w:rsidR="007562C1" w:rsidRDefault="007562C1" w:rsidP="003D1635">
      <w:pPr>
        <w:rPr>
          <w:rFonts w:cs="Calibri Light"/>
          <w:szCs w:val="22"/>
        </w:rPr>
      </w:pPr>
    </w:p>
    <w:p w14:paraId="54FD79D6" w14:textId="249670D4" w:rsidR="00E70CBD" w:rsidRPr="00171BB8" w:rsidRDefault="00E70CBD" w:rsidP="00777422">
      <w:pPr>
        <w:pStyle w:val="eTRMHeading3"/>
      </w:pPr>
      <w:bookmarkStart w:id="15" w:name="_Toc1723483"/>
      <w:r w:rsidRPr="004B06E3">
        <w:t>Base Case Description</w:t>
      </w:r>
      <w:bookmarkEnd w:id="12"/>
      <w:bookmarkEnd w:id="13"/>
      <w:bookmarkEnd w:id="15"/>
      <w:r w:rsidRPr="00171BB8">
        <w:t xml:space="preserve"> </w:t>
      </w:r>
    </w:p>
    <w:p w14:paraId="4B4827DB" w14:textId="7999CE72" w:rsidR="00976C28" w:rsidRPr="00D04D41" w:rsidRDefault="00433289" w:rsidP="0012196B">
      <w:pPr>
        <w:keepNext/>
        <w:keepLines/>
        <w:spacing w:line="240" w:lineRule="auto"/>
      </w:pPr>
      <w:r>
        <w:rPr>
          <w:rFonts w:cs="Calibri Light"/>
        </w:rPr>
        <w:t xml:space="preserve">The base case is defined as </w:t>
      </w:r>
      <w:r w:rsidR="00D24B32">
        <w:rPr>
          <w:rFonts w:cs="Calibri Light"/>
        </w:rPr>
        <w:t>a standard efficiency</w:t>
      </w:r>
      <w:r w:rsidR="0084664B">
        <w:t xml:space="preserve"> </w:t>
      </w:r>
      <w:r>
        <w:t>boiler</w:t>
      </w:r>
      <w:r w:rsidR="00D24B32">
        <w:t xml:space="preserve"> of a multifamily central water heating system</w:t>
      </w:r>
      <w:r>
        <w:t xml:space="preserve">, as specified </w:t>
      </w:r>
      <w:r w:rsidR="00187521">
        <w:t>below.</w:t>
      </w:r>
      <w:r w:rsidR="006E1519">
        <w:t xml:space="preserve"> </w:t>
      </w:r>
      <w:r w:rsidR="006E1519" w:rsidRPr="00D04D41">
        <w:t xml:space="preserve">Base case </w:t>
      </w:r>
      <w:r w:rsidR="00902295">
        <w:t>efficiency ratings</w:t>
      </w:r>
      <w:r w:rsidR="006E1519" w:rsidRPr="00D04D41">
        <w:t xml:space="preserve"> are based on </w:t>
      </w:r>
      <w:r w:rsidR="00DD30BB">
        <w:t xml:space="preserve">the </w:t>
      </w:r>
      <w:r w:rsidR="00DD30BB" w:rsidRPr="00D04D41">
        <w:t xml:space="preserve">minimum </w:t>
      </w:r>
      <w:r w:rsidR="00902295">
        <w:t>efficiency</w:t>
      </w:r>
      <w:r w:rsidR="00DD30BB">
        <w:t xml:space="preserve"> </w:t>
      </w:r>
      <w:r w:rsidR="00902295">
        <w:t>of</w:t>
      </w:r>
      <w:r w:rsidR="00DD30BB">
        <w:t xml:space="preserve"> boilers stipulated by the California </w:t>
      </w:r>
      <w:r w:rsidR="00902295">
        <w:t xml:space="preserve">Appliance Efficiency Regulations (Title 20) and the </w:t>
      </w:r>
      <w:r w:rsidR="00DD30BB">
        <w:t>Building Energy Efficiency Standards</w:t>
      </w:r>
      <w:r w:rsidR="00902295">
        <w:t xml:space="preserve"> (Title 24)</w:t>
      </w:r>
      <w:r w:rsidR="006E1519" w:rsidRPr="00D04D41">
        <w:t xml:space="preserve">. </w:t>
      </w:r>
      <w:r w:rsidR="00976C28">
        <w:t>The minimum base case efficiency ratings are consistent with the Code of Federal Regulations (</w:t>
      </w:r>
      <w:r w:rsidR="00DD30BB">
        <w:t>See Code Requirements</w:t>
      </w:r>
      <w:r w:rsidR="00976C28">
        <w:t>).</w:t>
      </w:r>
    </w:p>
    <w:p w14:paraId="68B11DED" w14:textId="0322C954" w:rsidR="00433289" w:rsidRPr="00421242" w:rsidRDefault="00433289" w:rsidP="00187521">
      <w:pPr>
        <w:pStyle w:val="Caption"/>
      </w:pPr>
      <w:r>
        <w:t>Base</w:t>
      </w:r>
      <w:r w:rsidRPr="00421242">
        <w:t xml:space="preserve"> Case Specification </w:t>
      </w:r>
    </w:p>
    <w:tbl>
      <w:tblPr>
        <w:tblW w:w="59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775"/>
        <w:gridCol w:w="2160"/>
      </w:tblGrid>
      <w:tr w:rsidR="00AF26CF" w14:paraId="4492F9A2" w14:textId="0C04B1A5" w:rsidTr="00AF26CF">
        <w:tc>
          <w:tcPr>
            <w:tcW w:w="3775" w:type="dxa"/>
            <w:shd w:val="clear" w:color="auto" w:fill="F2F2F2" w:themeFill="background1" w:themeFillShade="F2"/>
            <w:vAlign w:val="bottom"/>
          </w:tcPr>
          <w:p w14:paraId="6DD5F7DE" w14:textId="3AFCFD3F" w:rsidR="00AF26CF" w:rsidRPr="004B4A93" w:rsidRDefault="00AF26CF" w:rsidP="00277AFF">
            <w:pPr>
              <w:keepNext/>
              <w:keepLines/>
              <w:spacing w:before="0" w:after="0"/>
              <w:jc w:val="center"/>
              <w:rPr>
                <w:b/>
                <w:sz w:val="20"/>
                <w:szCs w:val="20"/>
              </w:rPr>
            </w:pPr>
            <w:r>
              <w:rPr>
                <w:b/>
                <w:sz w:val="20"/>
                <w:szCs w:val="20"/>
              </w:rPr>
              <w:t>Boiler Type</w:t>
            </w:r>
          </w:p>
        </w:tc>
        <w:tc>
          <w:tcPr>
            <w:tcW w:w="2160" w:type="dxa"/>
            <w:shd w:val="clear" w:color="auto" w:fill="F2F2F2" w:themeFill="background1" w:themeFillShade="F2"/>
            <w:vAlign w:val="bottom"/>
          </w:tcPr>
          <w:p w14:paraId="573455FF" w14:textId="348CAA87" w:rsidR="00AF26CF" w:rsidRDefault="00AF26CF" w:rsidP="00277AFF">
            <w:pPr>
              <w:keepNext/>
              <w:keepLines/>
              <w:spacing w:before="0" w:after="0"/>
              <w:jc w:val="center"/>
              <w:rPr>
                <w:b/>
                <w:sz w:val="20"/>
                <w:szCs w:val="20"/>
              </w:rPr>
            </w:pPr>
            <w:r>
              <w:rPr>
                <w:b/>
                <w:sz w:val="20"/>
                <w:szCs w:val="20"/>
              </w:rPr>
              <w:t xml:space="preserve">Thermal </w:t>
            </w:r>
            <w:r>
              <w:rPr>
                <w:b/>
                <w:sz w:val="20"/>
                <w:szCs w:val="20"/>
              </w:rPr>
              <w:br/>
              <w:t>Efficiency (TE)</w:t>
            </w:r>
          </w:p>
        </w:tc>
      </w:tr>
      <w:tr w:rsidR="00AF26CF" w14:paraId="18F50C1E" w14:textId="7CCC1AB1" w:rsidTr="00AF26CF">
        <w:trPr>
          <w:trHeight w:val="287"/>
        </w:trPr>
        <w:tc>
          <w:tcPr>
            <w:tcW w:w="3775" w:type="dxa"/>
            <w:shd w:val="clear" w:color="auto" w:fill="auto"/>
            <w:vAlign w:val="center"/>
          </w:tcPr>
          <w:p w14:paraId="557F8A9A" w14:textId="5D3CEB7C" w:rsidR="00AF26CF" w:rsidRPr="00EE564F" w:rsidRDefault="00AF26CF" w:rsidP="00433289">
            <w:pPr>
              <w:spacing w:before="0" w:after="0"/>
              <w:rPr>
                <w:rFonts w:cs="Calibri Light"/>
                <w:sz w:val="20"/>
                <w:szCs w:val="20"/>
              </w:rPr>
            </w:pPr>
            <w:r>
              <w:rPr>
                <w:rFonts w:cs="Calibri Light"/>
                <w:sz w:val="20"/>
                <w:szCs w:val="20"/>
              </w:rPr>
              <w:t xml:space="preserve">Hot Water Boiler  </w:t>
            </w:r>
          </w:p>
        </w:tc>
        <w:tc>
          <w:tcPr>
            <w:tcW w:w="2160" w:type="dxa"/>
            <w:vAlign w:val="center"/>
          </w:tcPr>
          <w:p w14:paraId="1887541D" w14:textId="41DE2F04" w:rsidR="00AF26CF" w:rsidRPr="00EE564F" w:rsidRDefault="00AF26CF" w:rsidP="00EE564F">
            <w:pPr>
              <w:spacing w:before="0" w:after="0"/>
              <w:jc w:val="center"/>
              <w:rPr>
                <w:sz w:val="20"/>
                <w:szCs w:val="20"/>
              </w:rPr>
            </w:pPr>
            <w:r>
              <w:rPr>
                <w:sz w:val="20"/>
                <w:szCs w:val="20"/>
              </w:rPr>
              <w:t>80.0%</w:t>
            </w:r>
          </w:p>
        </w:tc>
      </w:tr>
    </w:tbl>
    <w:p w14:paraId="406A569B" w14:textId="77777777" w:rsidR="005D0817" w:rsidRDefault="005D0817" w:rsidP="002942B0">
      <w:pPr>
        <w:rPr>
          <w:rFonts w:cs="Calibri Light"/>
          <w:szCs w:val="22"/>
        </w:rPr>
      </w:pPr>
    </w:p>
    <w:p w14:paraId="7D9DA4A6" w14:textId="77777777" w:rsidR="007D230B" w:rsidRPr="00171BB8" w:rsidRDefault="007D230B" w:rsidP="00777422">
      <w:pPr>
        <w:pStyle w:val="eTRMHeading3"/>
      </w:pPr>
      <w:bookmarkStart w:id="16" w:name="_Toc486490850"/>
      <w:bookmarkStart w:id="17" w:name="_Toc486580921"/>
      <w:bookmarkStart w:id="18" w:name="_Toc1723484"/>
      <w:r w:rsidRPr="004B06E3">
        <w:t>Code Requirements</w:t>
      </w:r>
      <w:bookmarkEnd w:id="16"/>
      <w:bookmarkEnd w:id="17"/>
      <w:bookmarkEnd w:id="18"/>
    </w:p>
    <w:p w14:paraId="2A571F07" w14:textId="59BABF0D" w:rsidR="00155A66" w:rsidRPr="00976C28" w:rsidRDefault="00155A66" w:rsidP="00155A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bookmarkStart w:id="19" w:name="_Ref486591603"/>
      <w:r>
        <w:t xml:space="preserve">Applicable state and federal codes and standards </w:t>
      </w:r>
      <w:r w:rsidRPr="00557AC6">
        <w:t xml:space="preserve">for </w:t>
      </w:r>
      <w:r>
        <w:t xml:space="preserve">commercial storage water heaters are noted in </w:t>
      </w:r>
      <w:r w:rsidR="00101854">
        <w:t xml:space="preserve">the </w:t>
      </w:r>
      <w:r w:rsidR="00101854">
        <w:lastRenderedPageBreak/>
        <w:t>following table</w:t>
      </w:r>
      <w:r w:rsidRPr="00976C28">
        <w:t>;</w:t>
      </w:r>
      <w:r w:rsidR="00D8317E">
        <w:rPr>
          <w:rStyle w:val="FootnoteReference"/>
        </w:rPr>
        <w:footnoteReference w:id="3"/>
      </w:r>
      <w:r w:rsidRPr="00976C28">
        <w:t xml:space="preserve"> </w:t>
      </w:r>
      <w:r w:rsidR="00101854">
        <w:t xml:space="preserve">followed by </w:t>
      </w:r>
      <w:r w:rsidRPr="00976C28">
        <w:t xml:space="preserve">the specific California standards. </w:t>
      </w:r>
      <w:r w:rsidR="00902295">
        <w:t>Additionally,</w:t>
      </w:r>
      <w:r w:rsidR="00D8317E">
        <w:t xml:space="preserve"> water heating equipment must comply with nitrogen oxide (NOx) emissions limits set forth by air quality management districts (AQMDs) or</w:t>
      </w:r>
      <w:r w:rsidR="00902295">
        <w:t xml:space="preserve"> air </w:t>
      </w:r>
      <w:r w:rsidR="00D8317E">
        <w:t>pollution control districts (</w:t>
      </w:r>
      <w:r w:rsidR="00902295">
        <w:t>A</w:t>
      </w:r>
      <w:r w:rsidR="00D8317E">
        <w:t>PCDs) throughout the California.</w:t>
      </w:r>
      <w:r w:rsidR="00D8317E">
        <w:rPr>
          <w:rStyle w:val="FootnoteReference"/>
        </w:rPr>
        <w:footnoteReference w:id="4"/>
      </w:r>
    </w:p>
    <w:bookmarkEnd w:id="19"/>
    <w:p w14:paraId="0B9A678C" w14:textId="2EE88DDB" w:rsidR="0029646E" w:rsidRPr="00155A66" w:rsidRDefault="00FD2C54" w:rsidP="00187521">
      <w:pPr>
        <w:pStyle w:val="Caption"/>
      </w:pPr>
      <w:r w:rsidRPr="00155A66">
        <w:t xml:space="preserve">Applicable State and Federal Codes and Standards </w:t>
      </w:r>
      <w:r w:rsidR="003D07C1" w:rsidRPr="00155A66">
        <w:t xml:space="preserve">for </w:t>
      </w:r>
      <w:r w:rsidR="00DE56F5" w:rsidRPr="00155A66">
        <w:t>Direct Contact Water Heaters</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430"/>
        <w:gridCol w:w="2160"/>
      </w:tblGrid>
      <w:tr w:rsidR="0090621B" w:rsidRPr="00154391" w14:paraId="304EF174" w14:textId="77777777" w:rsidTr="00C6319C">
        <w:trPr>
          <w:tblHeader/>
        </w:trPr>
        <w:tc>
          <w:tcPr>
            <w:tcW w:w="4765" w:type="dxa"/>
            <w:shd w:val="clear" w:color="auto" w:fill="F2F2F2" w:themeFill="background1" w:themeFillShade="F2"/>
            <w:vAlign w:val="bottom"/>
          </w:tcPr>
          <w:p w14:paraId="5B292D29" w14:textId="77777777" w:rsidR="00982189" w:rsidRPr="00154391" w:rsidRDefault="00982189" w:rsidP="00C6319C">
            <w:pPr>
              <w:spacing w:before="20" w:after="20"/>
              <w:rPr>
                <w:b/>
                <w:sz w:val="20"/>
                <w:szCs w:val="20"/>
              </w:rPr>
            </w:pPr>
            <w:r w:rsidRPr="0079498E">
              <w:rPr>
                <w:b/>
                <w:sz w:val="20"/>
              </w:rPr>
              <w:t>Code</w:t>
            </w:r>
          </w:p>
        </w:tc>
        <w:tc>
          <w:tcPr>
            <w:tcW w:w="2430" w:type="dxa"/>
            <w:shd w:val="clear" w:color="auto" w:fill="F2F2F2" w:themeFill="background1" w:themeFillShade="F2"/>
            <w:vAlign w:val="bottom"/>
          </w:tcPr>
          <w:p w14:paraId="55B657F6" w14:textId="77777777" w:rsidR="00982189" w:rsidRPr="00154391" w:rsidRDefault="00982189" w:rsidP="00C6319C">
            <w:pPr>
              <w:spacing w:before="20" w:after="20"/>
              <w:jc w:val="center"/>
              <w:rPr>
                <w:b/>
                <w:sz w:val="20"/>
                <w:szCs w:val="20"/>
              </w:rPr>
            </w:pPr>
            <w:r w:rsidRPr="0079498E">
              <w:rPr>
                <w:b/>
                <w:sz w:val="20"/>
              </w:rPr>
              <w:t>Applicable Code Reference</w:t>
            </w:r>
          </w:p>
        </w:tc>
        <w:tc>
          <w:tcPr>
            <w:tcW w:w="2160" w:type="dxa"/>
            <w:shd w:val="clear" w:color="auto" w:fill="F2F2F2" w:themeFill="background1" w:themeFillShade="F2"/>
            <w:vAlign w:val="bottom"/>
          </w:tcPr>
          <w:p w14:paraId="4F594F95" w14:textId="77777777" w:rsidR="00982189" w:rsidRPr="00154391" w:rsidRDefault="00982189" w:rsidP="00C6319C">
            <w:pPr>
              <w:spacing w:before="20" w:after="20"/>
              <w:jc w:val="center"/>
              <w:rPr>
                <w:b/>
                <w:sz w:val="20"/>
                <w:szCs w:val="20"/>
              </w:rPr>
            </w:pPr>
            <w:r w:rsidRPr="0079498E">
              <w:rPr>
                <w:b/>
                <w:sz w:val="20"/>
              </w:rPr>
              <w:t>Effective Date</w:t>
            </w:r>
          </w:p>
        </w:tc>
      </w:tr>
      <w:tr w:rsidR="00D8317E" w:rsidRPr="00FB030E" w14:paraId="5A76D658" w14:textId="77777777" w:rsidTr="0090621B">
        <w:trPr>
          <w:cantSplit/>
          <w:trHeight w:val="20"/>
        </w:trPr>
        <w:tc>
          <w:tcPr>
            <w:tcW w:w="4765" w:type="dxa"/>
            <w:shd w:val="clear" w:color="auto" w:fill="auto"/>
            <w:vAlign w:val="center"/>
          </w:tcPr>
          <w:p w14:paraId="5F91BF50" w14:textId="7C2A4BAD" w:rsidR="00D8317E" w:rsidRPr="00557AC6" w:rsidRDefault="00D8317E" w:rsidP="00C6319C">
            <w:pPr>
              <w:spacing w:before="20" w:after="20"/>
              <w:rPr>
                <w:rFonts w:cs="Calibri Light"/>
                <w:sz w:val="20"/>
                <w:szCs w:val="20"/>
              </w:rPr>
            </w:pPr>
            <w:r w:rsidRPr="00557AC6">
              <w:rPr>
                <w:rFonts w:cs="Calibri Light"/>
                <w:sz w:val="20"/>
                <w:szCs w:val="20"/>
              </w:rPr>
              <w:t xml:space="preserve">CA Appliance Efficiency Regulations – Title 20 </w:t>
            </w:r>
            <w:r>
              <w:rPr>
                <w:rFonts w:cs="Calibri Light"/>
                <w:sz w:val="20"/>
                <w:szCs w:val="20"/>
              </w:rPr>
              <w:t>(201</w:t>
            </w:r>
            <w:r w:rsidR="00E950F7">
              <w:rPr>
                <w:rFonts w:cs="Calibri Light"/>
                <w:sz w:val="20"/>
                <w:szCs w:val="20"/>
              </w:rPr>
              <w:t>2</w:t>
            </w:r>
            <w:r w:rsidRPr="00557AC6">
              <w:rPr>
                <w:rFonts w:cs="Calibri Light"/>
                <w:sz w:val="20"/>
                <w:szCs w:val="20"/>
              </w:rPr>
              <w:t>)</w:t>
            </w:r>
            <w:r>
              <w:rPr>
                <w:rFonts w:cs="Calibri Light"/>
                <w:sz w:val="20"/>
                <w:szCs w:val="20"/>
              </w:rPr>
              <w:t xml:space="preserve"> </w:t>
            </w:r>
          </w:p>
        </w:tc>
        <w:tc>
          <w:tcPr>
            <w:tcW w:w="2430" w:type="dxa"/>
            <w:shd w:val="clear" w:color="auto" w:fill="auto"/>
            <w:vAlign w:val="center"/>
          </w:tcPr>
          <w:p w14:paraId="75654789" w14:textId="122A2CF6" w:rsidR="00D8317E" w:rsidRPr="0090621B" w:rsidRDefault="00D8317E" w:rsidP="00C6319C">
            <w:pPr>
              <w:spacing w:before="20" w:after="20"/>
              <w:rPr>
                <w:rFonts w:cs="Arial"/>
                <w:sz w:val="20"/>
                <w:szCs w:val="20"/>
              </w:rPr>
            </w:pPr>
            <w:r w:rsidRPr="0090621B">
              <w:rPr>
                <w:rFonts w:cstheme="minorHAnsi"/>
                <w:sz w:val="20"/>
              </w:rPr>
              <w:t>Section 1605.3(f)</w:t>
            </w:r>
          </w:p>
        </w:tc>
        <w:tc>
          <w:tcPr>
            <w:tcW w:w="2160" w:type="dxa"/>
            <w:shd w:val="clear" w:color="auto" w:fill="auto"/>
            <w:vAlign w:val="center"/>
          </w:tcPr>
          <w:p w14:paraId="49764D0D" w14:textId="2FD35E13" w:rsidR="00D8317E" w:rsidRPr="0090621B" w:rsidRDefault="0087386E" w:rsidP="00C6319C">
            <w:pPr>
              <w:spacing w:before="20" w:after="20"/>
              <w:rPr>
                <w:rFonts w:cs="Calibri Light"/>
                <w:sz w:val="20"/>
                <w:szCs w:val="20"/>
              </w:rPr>
            </w:pPr>
            <w:r>
              <w:rPr>
                <w:rFonts w:cs="Calibri Light"/>
                <w:sz w:val="20"/>
                <w:szCs w:val="20"/>
              </w:rPr>
              <w:t>January 20, 2004</w:t>
            </w:r>
          </w:p>
        </w:tc>
      </w:tr>
      <w:tr w:rsidR="00D8317E" w:rsidRPr="00FB030E" w14:paraId="0B84FBEB" w14:textId="77777777" w:rsidTr="0090621B">
        <w:trPr>
          <w:cantSplit/>
          <w:trHeight w:val="20"/>
        </w:trPr>
        <w:tc>
          <w:tcPr>
            <w:tcW w:w="4765" w:type="dxa"/>
            <w:shd w:val="clear" w:color="auto" w:fill="auto"/>
            <w:vAlign w:val="center"/>
          </w:tcPr>
          <w:p w14:paraId="1C09DA05" w14:textId="7659250D" w:rsidR="00D8317E" w:rsidRPr="00557AC6" w:rsidRDefault="00D8317E" w:rsidP="00C6319C">
            <w:pPr>
              <w:spacing w:before="20" w:after="20"/>
              <w:rPr>
                <w:rFonts w:cs="Calibri Light"/>
                <w:sz w:val="20"/>
                <w:szCs w:val="20"/>
              </w:rPr>
            </w:pPr>
            <w:r w:rsidRPr="00557AC6">
              <w:rPr>
                <w:rFonts w:cs="Calibri Light"/>
                <w:sz w:val="20"/>
                <w:szCs w:val="20"/>
              </w:rPr>
              <w:t xml:space="preserve">CA Building Energy </w:t>
            </w:r>
            <w:r>
              <w:rPr>
                <w:rFonts w:cs="Calibri Light"/>
                <w:sz w:val="20"/>
                <w:szCs w:val="20"/>
              </w:rPr>
              <w:t>Efficiency Standards – Title 24 (201</w:t>
            </w:r>
            <w:r w:rsidR="00E950F7">
              <w:rPr>
                <w:rFonts w:cs="Calibri Light"/>
                <w:sz w:val="20"/>
                <w:szCs w:val="20"/>
              </w:rPr>
              <w:t>3</w:t>
            </w:r>
            <w:r>
              <w:rPr>
                <w:rFonts w:cs="Calibri Light"/>
                <w:sz w:val="20"/>
                <w:szCs w:val="20"/>
              </w:rPr>
              <w:t xml:space="preserve">) </w:t>
            </w:r>
          </w:p>
        </w:tc>
        <w:tc>
          <w:tcPr>
            <w:tcW w:w="2430" w:type="dxa"/>
            <w:shd w:val="clear" w:color="auto" w:fill="auto"/>
            <w:vAlign w:val="center"/>
          </w:tcPr>
          <w:p w14:paraId="40FDA272" w14:textId="1835C0BA" w:rsidR="00D8317E" w:rsidRPr="0090621B" w:rsidRDefault="00D8317E" w:rsidP="00C6319C">
            <w:pPr>
              <w:spacing w:before="20" w:after="20"/>
              <w:rPr>
                <w:rFonts w:cs="Calibri Light"/>
                <w:sz w:val="20"/>
                <w:szCs w:val="20"/>
              </w:rPr>
            </w:pPr>
            <w:r w:rsidRPr="0090621B">
              <w:rPr>
                <w:rFonts w:cstheme="minorHAnsi"/>
                <w:sz w:val="20"/>
              </w:rPr>
              <w:t>Section 110.3</w:t>
            </w:r>
            <w:r>
              <w:rPr>
                <w:rFonts w:cstheme="minorHAnsi"/>
                <w:sz w:val="20"/>
              </w:rPr>
              <w:t xml:space="preserve"> </w:t>
            </w:r>
          </w:p>
        </w:tc>
        <w:tc>
          <w:tcPr>
            <w:tcW w:w="2160" w:type="dxa"/>
            <w:shd w:val="clear" w:color="auto" w:fill="auto"/>
            <w:vAlign w:val="center"/>
          </w:tcPr>
          <w:p w14:paraId="5D4DC4D5" w14:textId="1CB74D1C" w:rsidR="00D8317E" w:rsidRPr="0090621B" w:rsidRDefault="0087386E" w:rsidP="00C6319C">
            <w:pPr>
              <w:spacing w:before="20" w:after="20"/>
              <w:rPr>
                <w:rFonts w:cs="Calibri Light"/>
                <w:sz w:val="20"/>
                <w:szCs w:val="20"/>
              </w:rPr>
            </w:pPr>
            <w:r>
              <w:rPr>
                <w:rFonts w:cs="Calibri Light"/>
                <w:sz w:val="20"/>
                <w:szCs w:val="20"/>
              </w:rPr>
              <w:t>November 26, 2013</w:t>
            </w:r>
          </w:p>
        </w:tc>
      </w:tr>
      <w:tr w:rsidR="006F142D" w:rsidRPr="00FB030E" w14:paraId="79C796B2" w14:textId="77777777" w:rsidTr="000123D0">
        <w:trPr>
          <w:cantSplit/>
          <w:trHeight w:val="20"/>
        </w:trPr>
        <w:tc>
          <w:tcPr>
            <w:tcW w:w="4765" w:type="dxa"/>
            <w:vMerge w:val="restart"/>
            <w:shd w:val="clear" w:color="auto" w:fill="auto"/>
            <w:vAlign w:val="center"/>
          </w:tcPr>
          <w:p w14:paraId="07C1265D" w14:textId="1097FF84" w:rsidR="006F142D" w:rsidRPr="00557AC6" w:rsidRDefault="006F142D" w:rsidP="00C6319C">
            <w:pPr>
              <w:spacing w:before="20" w:after="20"/>
              <w:rPr>
                <w:rFonts w:cs="Calibri Light"/>
                <w:sz w:val="20"/>
                <w:szCs w:val="20"/>
              </w:rPr>
            </w:pPr>
            <w:r w:rsidRPr="00557AC6">
              <w:rPr>
                <w:rFonts w:cs="Calibri Light"/>
                <w:sz w:val="20"/>
                <w:szCs w:val="20"/>
              </w:rPr>
              <w:t>Federal Standards</w:t>
            </w:r>
            <w:r>
              <w:rPr>
                <w:rFonts w:cs="Calibri Light"/>
                <w:sz w:val="20"/>
                <w:szCs w:val="20"/>
              </w:rPr>
              <w:t xml:space="preserve"> – Code of Federal Regulations</w:t>
            </w:r>
          </w:p>
        </w:tc>
        <w:tc>
          <w:tcPr>
            <w:tcW w:w="2430" w:type="dxa"/>
            <w:tcBorders>
              <w:bottom w:val="single" w:sz="4" w:space="0" w:color="A6A6A6" w:themeColor="background1" w:themeShade="A6"/>
            </w:tcBorders>
            <w:shd w:val="clear" w:color="auto" w:fill="auto"/>
            <w:vAlign w:val="center"/>
          </w:tcPr>
          <w:p w14:paraId="17E975E9" w14:textId="6E4C8D9B" w:rsidR="006F142D" w:rsidRPr="0090621B" w:rsidRDefault="006F142D" w:rsidP="00C6319C">
            <w:pPr>
              <w:spacing w:before="20" w:after="20"/>
              <w:rPr>
                <w:rFonts w:cs="Calibri Light"/>
                <w:sz w:val="20"/>
                <w:szCs w:val="20"/>
              </w:rPr>
            </w:pPr>
            <w:r w:rsidRPr="0090621B">
              <w:rPr>
                <w:rFonts w:cstheme="minorHAnsi"/>
                <w:sz w:val="20"/>
              </w:rPr>
              <w:t>10 CFR 430.32(d)</w:t>
            </w:r>
          </w:p>
        </w:tc>
        <w:tc>
          <w:tcPr>
            <w:tcW w:w="2160" w:type="dxa"/>
            <w:tcBorders>
              <w:bottom w:val="single" w:sz="4" w:space="0" w:color="A6A6A6" w:themeColor="background1" w:themeShade="A6"/>
            </w:tcBorders>
            <w:shd w:val="clear" w:color="auto" w:fill="auto"/>
            <w:vAlign w:val="center"/>
          </w:tcPr>
          <w:p w14:paraId="725D20FE" w14:textId="1A8BA072" w:rsidR="006F142D" w:rsidRPr="0090621B" w:rsidRDefault="006F142D" w:rsidP="00C6319C">
            <w:pPr>
              <w:spacing w:before="20" w:after="20"/>
              <w:rPr>
                <w:rFonts w:cs="Calibri Light"/>
                <w:sz w:val="20"/>
                <w:szCs w:val="20"/>
              </w:rPr>
            </w:pPr>
            <w:r>
              <w:rPr>
                <w:rFonts w:cstheme="minorHAnsi"/>
                <w:sz w:val="20"/>
              </w:rPr>
              <w:t xml:space="preserve">April 16, </w:t>
            </w:r>
            <w:r w:rsidRPr="0090621B">
              <w:rPr>
                <w:rFonts w:cstheme="minorHAnsi"/>
                <w:sz w:val="20"/>
              </w:rPr>
              <w:t>2015</w:t>
            </w:r>
          </w:p>
        </w:tc>
      </w:tr>
      <w:tr w:rsidR="006F142D" w:rsidRPr="00FB030E" w14:paraId="00810F71" w14:textId="77777777" w:rsidTr="0090621B">
        <w:trPr>
          <w:cantSplit/>
          <w:trHeight w:val="20"/>
        </w:trPr>
        <w:tc>
          <w:tcPr>
            <w:tcW w:w="4765" w:type="dxa"/>
            <w:vMerge/>
            <w:tcBorders>
              <w:bottom w:val="single" w:sz="4" w:space="0" w:color="A6A6A6" w:themeColor="background1" w:themeShade="A6"/>
            </w:tcBorders>
            <w:shd w:val="clear" w:color="auto" w:fill="auto"/>
            <w:vAlign w:val="center"/>
          </w:tcPr>
          <w:p w14:paraId="3C78A602" w14:textId="77777777" w:rsidR="006F142D" w:rsidRPr="00557AC6" w:rsidRDefault="006F142D" w:rsidP="00C6319C">
            <w:pPr>
              <w:spacing w:before="20" w:after="20"/>
              <w:rPr>
                <w:rFonts w:cs="Calibri Light"/>
                <w:sz w:val="20"/>
                <w:szCs w:val="20"/>
              </w:rPr>
            </w:pPr>
          </w:p>
        </w:tc>
        <w:tc>
          <w:tcPr>
            <w:tcW w:w="2430" w:type="dxa"/>
            <w:tcBorders>
              <w:bottom w:val="single" w:sz="4" w:space="0" w:color="A6A6A6" w:themeColor="background1" w:themeShade="A6"/>
            </w:tcBorders>
            <w:shd w:val="clear" w:color="auto" w:fill="auto"/>
            <w:vAlign w:val="center"/>
          </w:tcPr>
          <w:p w14:paraId="7B857204" w14:textId="799705E2" w:rsidR="006F142D" w:rsidRPr="0090621B" w:rsidRDefault="006F142D" w:rsidP="00C6319C">
            <w:pPr>
              <w:spacing w:before="20" w:after="20"/>
              <w:rPr>
                <w:rFonts w:cstheme="minorHAnsi"/>
                <w:sz w:val="20"/>
              </w:rPr>
            </w:pPr>
            <w:r>
              <w:rPr>
                <w:rFonts w:cstheme="minorHAnsi"/>
                <w:sz w:val="20"/>
              </w:rPr>
              <w:t>10 CFR 431.110(a)</w:t>
            </w:r>
          </w:p>
        </w:tc>
        <w:tc>
          <w:tcPr>
            <w:tcW w:w="2160" w:type="dxa"/>
            <w:tcBorders>
              <w:bottom w:val="single" w:sz="4" w:space="0" w:color="A6A6A6" w:themeColor="background1" w:themeShade="A6"/>
            </w:tcBorders>
            <w:shd w:val="clear" w:color="auto" w:fill="auto"/>
            <w:vAlign w:val="center"/>
          </w:tcPr>
          <w:p w14:paraId="4973F4BF" w14:textId="31C9B274" w:rsidR="006F142D" w:rsidRDefault="006F142D" w:rsidP="00C6319C">
            <w:pPr>
              <w:spacing w:before="20" w:after="20"/>
              <w:rPr>
                <w:rFonts w:cstheme="minorHAnsi"/>
                <w:sz w:val="20"/>
              </w:rPr>
            </w:pPr>
            <w:r>
              <w:rPr>
                <w:rFonts w:cstheme="minorHAnsi"/>
                <w:sz w:val="20"/>
              </w:rPr>
              <w:t>October 9, 2015</w:t>
            </w:r>
          </w:p>
        </w:tc>
      </w:tr>
      <w:tr w:rsidR="0090621B" w:rsidRPr="0090621B" w14:paraId="22B69A19" w14:textId="77777777" w:rsidTr="0090621B">
        <w:trPr>
          <w:cantSplit/>
          <w:trHeight w:val="20"/>
        </w:trPr>
        <w:tc>
          <w:tcPr>
            <w:tcW w:w="4765" w:type="dxa"/>
            <w:tcBorders>
              <w:right w:val="nil"/>
            </w:tcBorders>
            <w:shd w:val="clear" w:color="auto" w:fill="auto"/>
            <w:vAlign w:val="center"/>
          </w:tcPr>
          <w:p w14:paraId="3DFEAD31" w14:textId="5242672E" w:rsidR="00A9044F" w:rsidRPr="0090621B" w:rsidRDefault="00A9044F" w:rsidP="00C6319C">
            <w:pPr>
              <w:spacing w:before="20" w:after="20"/>
              <w:rPr>
                <w:rFonts w:cs="Calibri Light"/>
                <w:sz w:val="20"/>
                <w:szCs w:val="20"/>
              </w:rPr>
            </w:pPr>
            <w:r w:rsidRPr="0090621B">
              <w:rPr>
                <w:rFonts w:cs="Calibri Light"/>
                <w:sz w:val="20"/>
                <w:szCs w:val="20"/>
              </w:rPr>
              <w:t xml:space="preserve">California Air Quality Management District </w:t>
            </w:r>
          </w:p>
        </w:tc>
        <w:tc>
          <w:tcPr>
            <w:tcW w:w="2430" w:type="dxa"/>
            <w:tcBorders>
              <w:left w:val="nil"/>
              <w:right w:val="nil"/>
            </w:tcBorders>
            <w:shd w:val="clear" w:color="auto" w:fill="auto"/>
            <w:vAlign w:val="center"/>
          </w:tcPr>
          <w:p w14:paraId="6E46FB5A" w14:textId="77777777" w:rsidR="00A9044F" w:rsidRPr="0090621B" w:rsidRDefault="00A9044F" w:rsidP="00C6319C">
            <w:pPr>
              <w:spacing w:before="20" w:after="20"/>
              <w:rPr>
                <w:rFonts w:cstheme="minorHAnsi"/>
                <w:sz w:val="20"/>
                <w:szCs w:val="20"/>
              </w:rPr>
            </w:pPr>
          </w:p>
        </w:tc>
        <w:tc>
          <w:tcPr>
            <w:tcW w:w="2160" w:type="dxa"/>
            <w:tcBorders>
              <w:left w:val="nil"/>
            </w:tcBorders>
            <w:shd w:val="clear" w:color="auto" w:fill="auto"/>
            <w:vAlign w:val="center"/>
          </w:tcPr>
          <w:p w14:paraId="3425A1A2" w14:textId="77777777" w:rsidR="00A9044F" w:rsidRPr="0090621B" w:rsidRDefault="00A9044F" w:rsidP="00C6319C">
            <w:pPr>
              <w:spacing w:before="20" w:after="20"/>
              <w:rPr>
                <w:rFonts w:cstheme="minorHAnsi"/>
                <w:sz w:val="20"/>
                <w:szCs w:val="20"/>
              </w:rPr>
            </w:pPr>
          </w:p>
        </w:tc>
      </w:tr>
      <w:tr w:rsidR="00D8317E" w:rsidRPr="0090621B" w14:paraId="115A7416" w14:textId="77777777" w:rsidTr="0090621B">
        <w:trPr>
          <w:cantSplit/>
          <w:trHeight w:val="20"/>
        </w:trPr>
        <w:tc>
          <w:tcPr>
            <w:tcW w:w="4765" w:type="dxa"/>
            <w:shd w:val="clear" w:color="auto" w:fill="auto"/>
            <w:vAlign w:val="center"/>
          </w:tcPr>
          <w:p w14:paraId="241FF39A" w14:textId="36CDD96B" w:rsidR="00D8317E" w:rsidRPr="0090621B" w:rsidRDefault="00D8317E" w:rsidP="00C6319C">
            <w:pPr>
              <w:spacing w:before="20" w:after="20"/>
              <w:ind w:left="336"/>
              <w:rPr>
                <w:rFonts w:cs="Calibri Light"/>
                <w:sz w:val="20"/>
                <w:szCs w:val="20"/>
              </w:rPr>
            </w:pPr>
            <w:r w:rsidRPr="0090621B">
              <w:rPr>
                <w:rFonts w:cstheme="minorHAnsi"/>
                <w:sz w:val="20"/>
                <w:szCs w:val="20"/>
              </w:rPr>
              <w:t>South Coast AQMD</w:t>
            </w:r>
          </w:p>
        </w:tc>
        <w:tc>
          <w:tcPr>
            <w:tcW w:w="2430" w:type="dxa"/>
            <w:shd w:val="clear" w:color="auto" w:fill="auto"/>
            <w:vAlign w:val="center"/>
          </w:tcPr>
          <w:p w14:paraId="67D7674F" w14:textId="77777777" w:rsidR="00D8317E" w:rsidRDefault="00D8317E" w:rsidP="00C6319C">
            <w:pPr>
              <w:spacing w:before="20" w:after="20"/>
              <w:rPr>
                <w:rFonts w:cstheme="minorHAnsi"/>
                <w:sz w:val="20"/>
                <w:szCs w:val="20"/>
              </w:rPr>
            </w:pPr>
            <w:r w:rsidRPr="0090621B">
              <w:rPr>
                <w:rFonts w:cstheme="minorHAnsi"/>
                <w:sz w:val="20"/>
                <w:szCs w:val="20"/>
              </w:rPr>
              <w:t xml:space="preserve">Rule 1121, </w:t>
            </w:r>
          </w:p>
          <w:p w14:paraId="78D1165C" w14:textId="611E70BA" w:rsidR="00D8317E" w:rsidRPr="0090621B" w:rsidRDefault="00D8317E" w:rsidP="00C6319C">
            <w:pPr>
              <w:spacing w:before="20" w:after="20"/>
              <w:rPr>
                <w:rFonts w:cstheme="minorHAnsi"/>
                <w:sz w:val="20"/>
                <w:szCs w:val="20"/>
              </w:rPr>
            </w:pPr>
            <w:r w:rsidRPr="0090621B">
              <w:rPr>
                <w:rFonts w:cstheme="minorHAnsi"/>
                <w:sz w:val="20"/>
                <w:szCs w:val="20"/>
              </w:rPr>
              <w:t>Rule 1146.2</w:t>
            </w:r>
          </w:p>
        </w:tc>
        <w:tc>
          <w:tcPr>
            <w:tcW w:w="2160" w:type="dxa"/>
            <w:shd w:val="clear" w:color="auto" w:fill="auto"/>
            <w:vAlign w:val="center"/>
          </w:tcPr>
          <w:p w14:paraId="0971137E" w14:textId="77777777" w:rsidR="00D8317E" w:rsidRDefault="00D8317E" w:rsidP="00C6319C">
            <w:pPr>
              <w:spacing w:before="20" w:after="20"/>
              <w:rPr>
                <w:rFonts w:cstheme="minorHAnsi"/>
                <w:sz w:val="20"/>
                <w:szCs w:val="20"/>
              </w:rPr>
            </w:pPr>
            <w:r w:rsidRPr="00DA77D3">
              <w:rPr>
                <w:rFonts w:cstheme="minorHAnsi"/>
                <w:sz w:val="20"/>
                <w:szCs w:val="20"/>
              </w:rPr>
              <w:t>September 3, 2004</w:t>
            </w:r>
          </w:p>
          <w:p w14:paraId="0853C934" w14:textId="52056FCF" w:rsidR="00D8317E" w:rsidRPr="00170D1A" w:rsidRDefault="00D8317E" w:rsidP="00C6319C">
            <w:pPr>
              <w:spacing w:before="20" w:after="20"/>
              <w:rPr>
                <w:rFonts w:cstheme="minorHAnsi"/>
                <w:i/>
                <w:sz w:val="20"/>
                <w:szCs w:val="20"/>
              </w:rPr>
            </w:pPr>
            <w:r>
              <w:rPr>
                <w:rFonts w:cstheme="minorHAnsi"/>
                <w:sz w:val="20"/>
                <w:szCs w:val="20"/>
              </w:rPr>
              <w:t>May 5, 2006</w:t>
            </w:r>
          </w:p>
        </w:tc>
      </w:tr>
      <w:tr w:rsidR="00D8317E" w:rsidRPr="0090621B" w14:paraId="0FAF93B3" w14:textId="77777777" w:rsidTr="0090621B">
        <w:trPr>
          <w:cantSplit/>
          <w:trHeight w:val="20"/>
        </w:trPr>
        <w:tc>
          <w:tcPr>
            <w:tcW w:w="4765" w:type="dxa"/>
            <w:shd w:val="clear" w:color="auto" w:fill="auto"/>
            <w:vAlign w:val="center"/>
          </w:tcPr>
          <w:p w14:paraId="58A8C12A" w14:textId="0F4353D1" w:rsidR="00D8317E" w:rsidRPr="0090621B" w:rsidRDefault="00D8317E" w:rsidP="00C6319C">
            <w:pPr>
              <w:spacing w:before="20" w:after="20"/>
              <w:ind w:left="336"/>
              <w:rPr>
                <w:rFonts w:cs="Calibri Light"/>
                <w:sz w:val="20"/>
                <w:szCs w:val="20"/>
              </w:rPr>
            </w:pPr>
            <w:r w:rsidRPr="0090621B">
              <w:rPr>
                <w:rFonts w:cstheme="minorHAnsi"/>
                <w:sz w:val="20"/>
                <w:szCs w:val="20"/>
              </w:rPr>
              <w:t>Bay Area AQMD</w:t>
            </w:r>
          </w:p>
        </w:tc>
        <w:tc>
          <w:tcPr>
            <w:tcW w:w="2430" w:type="dxa"/>
            <w:shd w:val="clear" w:color="auto" w:fill="auto"/>
            <w:vAlign w:val="center"/>
          </w:tcPr>
          <w:p w14:paraId="5D074A30" w14:textId="24F340EF" w:rsidR="00D8317E" w:rsidRPr="0090621B" w:rsidRDefault="00D8317E" w:rsidP="00C6319C">
            <w:pPr>
              <w:spacing w:before="20" w:after="20"/>
              <w:rPr>
                <w:rFonts w:cstheme="minorHAnsi"/>
                <w:sz w:val="20"/>
                <w:szCs w:val="20"/>
              </w:rPr>
            </w:pPr>
            <w:r w:rsidRPr="0090621B">
              <w:rPr>
                <w:rFonts w:cstheme="minorHAnsi"/>
                <w:sz w:val="20"/>
                <w:szCs w:val="20"/>
              </w:rPr>
              <w:t>Regulation 9, Rule 6</w:t>
            </w:r>
          </w:p>
        </w:tc>
        <w:tc>
          <w:tcPr>
            <w:tcW w:w="2160" w:type="dxa"/>
            <w:shd w:val="clear" w:color="auto" w:fill="auto"/>
            <w:vAlign w:val="center"/>
          </w:tcPr>
          <w:p w14:paraId="7BB5FCC9" w14:textId="359F4A64" w:rsidR="00D8317E" w:rsidRPr="00170D1A" w:rsidRDefault="00D8317E" w:rsidP="00C6319C">
            <w:pPr>
              <w:spacing w:before="20" w:after="20"/>
              <w:rPr>
                <w:rFonts w:cstheme="minorHAnsi"/>
                <w:i/>
                <w:sz w:val="20"/>
                <w:szCs w:val="20"/>
              </w:rPr>
            </w:pPr>
            <w:r w:rsidRPr="006B3568">
              <w:rPr>
                <w:rFonts w:cstheme="minorHAnsi"/>
                <w:sz w:val="20"/>
                <w:szCs w:val="20"/>
              </w:rPr>
              <w:t>November 7, 2007</w:t>
            </w:r>
          </w:p>
        </w:tc>
      </w:tr>
      <w:tr w:rsidR="00D8317E" w:rsidRPr="0090621B" w14:paraId="03D6C6AA" w14:textId="77777777" w:rsidTr="0090621B">
        <w:trPr>
          <w:cantSplit/>
          <w:trHeight w:val="20"/>
        </w:trPr>
        <w:tc>
          <w:tcPr>
            <w:tcW w:w="4765" w:type="dxa"/>
            <w:shd w:val="clear" w:color="auto" w:fill="auto"/>
            <w:vAlign w:val="center"/>
          </w:tcPr>
          <w:p w14:paraId="5A472DA5" w14:textId="0BC0CACA" w:rsidR="00D8317E" w:rsidRPr="0090621B" w:rsidRDefault="00D8317E" w:rsidP="00C6319C">
            <w:pPr>
              <w:spacing w:before="20" w:after="20"/>
              <w:ind w:left="336"/>
              <w:rPr>
                <w:rFonts w:cs="Calibri Light"/>
                <w:sz w:val="20"/>
                <w:szCs w:val="20"/>
              </w:rPr>
            </w:pPr>
            <w:r w:rsidRPr="0090621B">
              <w:rPr>
                <w:rFonts w:cstheme="minorHAnsi"/>
                <w:sz w:val="20"/>
                <w:szCs w:val="20"/>
              </w:rPr>
              <w:t>San Joaquin Valley APCD</w:t>
            </w:r>
          </w:p>
        </w:tc>
        <w:tc>
          <w:tcPr>
            <w:tcW w:w="2430" w:type="dxa"/>
            <w:shd w:val="clear" w:color="auto" w:fill="auto"/>
            <w:vAlign w:val="center"/>
          </w:tcPr>
          <w:p w14:paraId="77AEFB63" w14:textId="7E30692B" w:rsidR="00D8317E" w:rsidRPr="0090621B" w:rsidRDefault="00D8317E" w:rsidP="00C6319C">
            <w:pPr>
              <w:spacing w:before="20" w:after="20"/>
              <w:rPr>
                <w:rFonts w:cstheme="minorHAnsi"/>
                <w:sz w:val="20"/>
                <w:szCs w:val="20"/>
              </w:rPr>
            </w:pPr>
            <w:r w:rsidRPr="0090621B">
              <w:rPr>
                <w:rFonts w:cstheme="minorHAnsi"/>
                <w:sz w:val="20"/>
                <w:szCs w:val="20"/>
              </w:rPr>
              <w:t>Rule 4902</w:t>
            </w:r>
          </w:p>
        </w:tc>
        <w:tc>
          <w:tcPr>
            <w:tcW w:w="2160" w:type="dxa"/>
            <w:shd w:val="clear" w:color="auto" w:fill="auto"/>
            <w:vAlign w:val="center"/>
          </w:tcPr>
          <w:p w14:paraId="0EEF0D1D" w14:textId="3AF5B146" w:rsidR="00D8317E" w:rsidRPr="00170D1A" w:rsidRDefault="00D8317E" w:rsidP="00C6319C">
            <w:pPr>
              <w:spacing w:before="20" w:after="20"/>
              <w:rPr>
                <w:rFonts w:cstheme="minorHAnsi"/>
                <w:i/>
                <w:sz w:val="20"/>
                <w:szCs w:val="20"/>
              </w:rPr>
            </w:pPr>
            <w:r w:rsidRPr="006B3568">
              <w:rPr>
                <w:rFonts w:cstheme="minorHAnsi"/>
                <w:sz w:val="20"/>
                <w:szCs w:val="20"/>
              </w:rPr>
              <w:t>March 19, 2009</w:t>
            </w:r>
          </w:p>
        </w:tc>
      </w:tr>
      <w:tr w:rsidR="00D8317E" w:rsidRPr="0090621B" w14:paraId="6984FC83" w14:textId="77777777" w:rsidTr="0090621B">
        <w:trPr>
          <w:cantSplit/>
          <w:trHeight w:val="20"/>
        </w:trPr>
        <w:tc>
          <w:tcPr>
            <w:tcW w:w="4765" w:type="dxa"/>
            <w:shd w:val="clear" w:color="auto" w:fill="auto"/>
            <w:vAlign w:val="center"/>
          </w:tcPr>
          <w:p w14:paraId="27A1DD6B" w14:textId="798D50CC" w:rsidR="00D8317E" w:rsidRPr="0090621B" w:rsidRDefault="00D8317E" w:rsidP="00C6319C">
            <w:pPr>
              <w:spacing w:before="20" w:after="20"/>
              <w:ind w:left="336"/>
              <w:rPr>
                <w:rFonts w:cs="Calibri Light"/>
                <w:sz w:val="20"/>
                <w:szCs w:val="20"/>
              </w:rPr>
            </w:pPr>
            <w:r w:rsidRPr="0090621B">
              <w:rPr>
                <w:rFonts w:cstheme="minorHAnsi"/>
                <w:sz w:val="20"/>
                <w:szCs w:val="20"/>
              </w:rPr>
              <w:t>Sacramento Metropolitan AQMD</w:t>
            </w:r>
          </w:p>
        </w:tc>
        <w:tc>
          <w:tcPr>
            <w:tcW w:w="2430" w:type="dxa"/>
            <w:shd w:val="clear" w:color="auto" w:fill="auto"/>
            <w:vAlign w:val="center"/>
          </w:tcPr>
          <w:p w14:paraId="07B80C78" w14:textId="3D61987F" w:rsidR="00D8317E" w:rsidRPr="0090621B" w:rsidRDefault="00D8317E" w:rsidP="00C6319C">
            <w:pPr>
              <w:spacing w:before="20" w:after="20"/>
              <w:rPr>
                <w:rFonts w:cstheme="minorHAnsi"/>
                <w:sz w:val="20"/>
                <w:szCs w:val="20"/>
              </w:rPr>
            </w:pPr>
            <w:r w:rsidRPr="0090621B">
              <w:rPr>
                <w:rFonts w:cstheme="minorHAnsi"/>
                <w:sz w:val="20"/>
                <w:szCs w:val="20"/>
              </w:rPr>
              <w:t>Rule 414</w:t>
            </w:r>
          </w:p>
        </w:tc>
        <w:tc>
          <w:tcPr>
            <w:tcW w:w="2160" w:type="dxa"/>
            <w:shd w:val="clear" w:color="auto" w:fill="auto"/>
            <w:vAlign w:val="center"/>
          </w:tcPr>
          <w:p w14:paraId="3AC31838" w14:textId="7E9EA730" w:rsidR="00D8317E" w:rsidRPr="00170D1A" w:rsidRDefault="00D8317E" w:rsidP="00C6319C">
            <w:pPr>
              <w:spacing w:before="20" w:after="20"/>
              <w:rPr>
                <w:rFonts w:cstheme="minorHAnsi"/>
                <w:i/>
                <w:sz w:val="20"/>
                <w:szCs w:val="20"/>
              </w:rPr>
            </w:pPr>
            <w:r w:rsidRPr="006B3568">
              <w:rPr>
                <w:rFonts w:cstheme="minorHAnsi"/>
                <w:sz w:val="20"/>
                <w:szCs w:val="20"/>
              </w:rPr>
              <w:t>March 25, 2010.</w:t>
            </w:r>
          </w:p>
        </w:tc>
      </w:tr>
      <w:tr w:rsidR="00D8317E" w:rsidRPr="0090621B" w14:paraId="55C0F69B" w14:textId="77777777" w:rsidTr="0090621B">
        <w:trPr>
          <w:cantSplit/>
          <w:trHeight w:val="20"/>
        </w:trPr>
        <w:tc>
          <w:tcPr>
            <w:tcW w:w="4765" w:type="dxa"/>
            <w:shd w:val="clear" w:color="auto" w:fill="auto"/>
            <w:vAlign w:val="center"/>
          </w:tcPr>
          <w:p w14:paraId="74385399" w14:textId="57F9DE02" w:rsidR="00D8317E" w:rsidRPr="0090621B" w:rsidRDefault="00D8317E" w:rsidP="00C6319C">
            <w:pPr>
              <w:spacing w:before="20" w:after="20"/>
              <w:ind w:left="336"/>
              <w:rPr>
                <w:rFonts w:cs="Calibri Light"/>
                <w:sz w:val="20"/>
                <w:szCs w:val="20"/>
              </w:rPr>
            </w:pPr>
            <w:r w:rsidRPr="0090621B">
              <w:rPr>
                <w:rFonts w:cstheme="minorHAnsi"/>
                <w:sz w:val="20"/>
                <w:szCs w:val="20"/>
              </w:rPr>
              <w:t>Yolo-Solano AQMD</w:t>
            </w:r>
          </w:p>
        </w:tc>
        <w:tc>
          <w:tcPr>
            <w:tcW w:w="2430" w:type="dxa"/>
            <w:shd w:val="clear" w:color="auto" w:fill="auto"/>
            <w:vAlign w:val="center"/>
          </w:tcPr>
          <w:p w14:paraId="2FEC1C34" w14:textId="27C6DC9A" w:rsidR="00D8317E" w:rsidRPr="0090621B" w:rsidRDefault="00D8317E" w:rsidP="00C6319C">
            <w:pPr>
              <w:spacing w:before="20" w:after="20"/>
              <w:rPr>
                <w:rFonts w:cstheme="minorHAnsi"/>
                <w:sz w:val="20"/>
                <w:szCs w:val="20"/>
              </w:rPr>
            </w:pPr>
            <w:r w:rsidRPr="0090621B">
              <w:rPr>
                <w:rFonts w:cstheme="minorHAnsi"/>
                <w:sz w:val="20"/>
                <w:szCs w:val="20"/>
              </w:rPr>
              <w:t>Regulation II, Rule 2.37</w:t>
            </w:r>
          </w:p>
        </w:tc>
        <w:tc>
          <w:tcPr>
            <w:tcW w:w="2160" w:type="dxa"/>
            <w:shd w:val="clear" w:color="auto" w:fill="auto"/>
            <w:vAlign w:val="center"/>
          </w:tcPr>
          <w:p w14:paraId="1002C80B" w14:textId="2780D7B2" w:rsidR="00D8317E" w:rsidRPr="00170D1A" w:rsidRDefault="00D8317E" w:rsidP="00C6319C">
            <w:pPr>
              <w:spacing w:before="20" w:after="20"/>
              <w:rPr>
                <w:rFonts w:cstheme="minorHAnsi"/>
                <w:i/>
                <w:sz w:val="20"/>
                <w:szCs w:val="20"/>
              </w:rPr>
            </w:pPr>
            <w:r w:rsidRPr="007F7411">
              <w:rPr>
                <w:sz w:val="20"/>
                <w:szCs w:val="20"/>
              </w:rPr>
              <w:t>April 8, 2009.</w:t>
            </w:r>
          </w:p>
        </w:tc>
      </w:tr>
      <w:tr w:rsidR="00D8317E" w:rsidRPr="0090621B" w14:paraId="0BD8B17C" w14:textId="77777777" w:rsidTr="0090621B">
        <w:trPr>
          <w:cantSplit/>
          <w:trHeight w:val="20"/>
        </w:trPr>
        <w:tc>
          <w:tcPr>
            <w:tcW w:w="4765" w:type="dxa"/>
            <w:shd w:val="clear" w:color="auto" w:fill="auto"/>
            <w:vAlign w:val="center"/>
          </w:tcPr>
          <w:p w14:paraId="4D0434FA" w14:textId="79FDBC52" w:rsidR="00D8317E" w:rsidRPr="0090621B" w:rsidRDefault="00D8317E" w:rsidP="00C6319C">
            <w:pPr>
              <w:spacing w:before="20" w:after="20"/>
              <w:ind w:left="336"/>
              <w:rPr>
                <w:rFonts w:cs="Calibri Light"/>
                <w:sz w:val="20"/>
                <w:szCs w:val="20"/>
              </w:rPr>
            </w:pPr>
            <w:r w:rsidRPr="0090621B">
              <w:rPr>
                <w:rFonts w:cstheme="minorHAnsi"/>
                <w:sz w:val="20"/>
                <w:szCs w:val="20"/>
              </w:rPr>
              <w:t>Ventura County Air Pollution Control District</w:t>
            </w:r>
          </w:p>
        </w:tc>
        <w:tc>
          <w:tcPr>
            <w:tcW w:w="2430" w:type="dxa"/>
            <w:shd w:val="clear" w:color="auto" w:fill="auto"/>
            <w:vAlign w:val="center"/>
          </w:tcPr>
          <w:p w14:paraId="35714897" w14:textId="162E8DD4" w:rsidR="00D8317E" w:rsidRPr="0090621B" w:rsidRDefault="00D8317E" w:rsidP="00C6319C">
            <w:pPr>
              <w:spacing w:before="20" w:after="20"/>
              <w:rPr>
                <w:rFonts w:cstheme="minorHAnsi"/>
                <w:sz w:val="20"/>
                <w:szCs w:val="20"/>
              </w:rPr>
            </w:pPr>
            <w:r w:rsidRPr="0090621B">
              <w:rPr>
                <w:rFonts w:cstheme="minorHAnsi"/>
                <w:sz w:val="20"/>
                <w:szCs w:val="20"/>
              </w:rPr>
              <w:t>Rule 74.11</w:t>
            </w:r>
          </w:p>
        </w:tc>
        <w:tc>
          <w:tcPr>
            <w:tcW w:w="2160" w:type="dxa"/>
            <w:shd w:val="clear" w:color="auto" w:fill="auto"/>
            <w:vAlign w:val="center"/>
          </w:tcPr>
          <w:p w14:paraId="55FAA6AA" w14:textId="14DF99DD" w:rsidR="00D8317E" w:rsidRPr="00170D1A" w:rsidRDefault="00D8317E" w:rsidP="00C6319C">
            <w:pPr>
              <w:spacing w:before="20" w:after="20"/>
              <w:rPr>
                <w:rFonts w:cstheme="minorHAnsi"/>
                <w:i/>
                <w:sz w:val="20"/>
                <w:szCs w:val="20"/>
              </w:rPr>
            </w:pPr>
            <w:r w:rsidRPr="00CF680F">
              <w:rPr>
                <w:rFonts w:cstheme="minorHAnsi"/>
                <w:sz w:val="20"/>
                <w:szCs w:val="20"/>
              </w:rPr>
              <w:t>January 12, 2010</w:t>
            </w:r>
          </w:p>
        </w:tc>
      </w:tr>
    </w:tbl>
    <w:p w14:paraId="7AF788F2" w14:textId="2A96D6C3" w:rsidR="00155A66" w:rsidRDefault="00155A66" w:rsidP="00C6319C">
      <w:pPr>
        <w:pStyle w:val="Caption"/>
        <w:keepNext/>
        <w:keepLines/>
      </w:pPr>
      <w:bookmarkStart w:id="21" w:name="_Ref385236658"/>
      <w:bookmarkStart w:id="22" w:name="_Toc387065473"/>
      <w:bookmarkStart w:id="23" w:name="_Toc460941292"/>
      <w:bookmarkStart w:id="24" w:name="_Toc462148366"/>
      <w:bookmarkStart w:id="25" w:name="_Toc460941291"/>
      <w:bookmarkStart w:id="26" w:name="_Toc462148365"/>
      <w:r w:rsidRPr="00B13BA7">
        <w:t>C</w:t>
      </w:r>
      <w:r>
        <w:t>alifornia</w:t>
      </w:r>
      <w:r w:rsidRPr="00B13BA7">
        <w:t xml:space="preserve"> T</w:t>
      </w:r>
      <w:r>
        <w:t>itle</w:t>
      </w:r>
      <w:r w:rsidRPr="00B13BA7">
        <w:t xml:space="preserve"> </w:t>
      </w:r>
      <w:r>
        <w:t xml:space="preserve">20 </w:t>
      </w:r>
      <w:r w:rsidRPr="00B13BA7">
        <w:t>G</w:t>
      </w:r>
      <w:r>
        <w:t>as</w:t>
      </w:r>
      <w:r w:rsidRPr="00B13BA7">
        <w:t xml:space="preserve"> A</w:t>
      </w:r>
      <w:r>
        <w:t>ppliance</w:t>
      </w:r>
      <w:r w:rsidRPr="00B13BA7">
        <w:t xml:space="preserve"> S</w:t>
      </w:r>
      <w:r>
        <w:t>tandards</w:t>
      </w:r>
      <w:r w:rsidRPr="00B13BA7">
        <w:t xml:space="preserve"> </w:t>
      </w:r>
      <w:r>
        <w:t>and</w:t>
      </w:r>
      <w:r w:rsidRPr="00B13BA7">
        <w:t xml:space="preserve"> C</w:t>
      </w:r>
      <w:r>
        <w:t>ode</w:t>
      </w:r>
      <w:r w:rsidRPr="00B13BA7">
        <w:t xml:space="preserve"> </w:t>
      </w:r>
      <w:r>
        <w:t>of</w:t>
      </w:r>
      <w:r w:rsidRPr="00B13BA7">
        <w:t xml:space="preserve"> F</w:t>
      </w:r>
      <w:r>
        <w:t>ederal</w:t>
      </w:r>
      <w:r w:rsidRPr="00B13BA7">
        <w:t xml:space="preserve"> R</w:t>
      </w:r>
      <w:r>
        <w:t>egulations</w:t>
      </w:r>
      <w:bookmarkEnd w:id="21"/>
      <w:bookmarkEnd w:id="22"/>
      <w:bookmarkEnd w:id="23"/>
      <w:bookmarkEnd w:id="24"/>
    </w:p>
    <w:tbl>
      <w:tblPr>
        <w:tblStyle w:val="TableGrid"/>
        <w:tblW w:w="9415"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43" w:type="dxa"/>
          <w:left w:w="115" w:type="dxa"/>
          <w:bottom w:w="43" w:type="dxa"/>
          <w:right w:w="115" w:type="dxa"/>
        </w:tblCellMar>
        <w:tblLook w:val="01E0" w:firstRow="1" w:lastRow="1" w:firstColumn="1" w:lastColumn="1" w:noHBand="0" w:noVBand="0"/>
      </w:tblPr>
      <w:tblGrid>
        <w:gridCol w:w="2331"/>
        <w:gridCol w:w="1439"/>
        <w:gridCol w:w="1264"/>
        <w:gridCol w:w="1264"/>
        <w:gridCol w:w="1546"/>
        <w:gridCol w:w="1571"/>
      </w:tblGrid>
      <w:tr w:rsidR="00155A66" w:rsidRPr="0090621B" w14:paraId="19D8CF2C" w14:textId="77777777" w:rsidTr="00C6319C">
        <w:trPr>
          <w:cantSplit/>
          <w:trHeight w:val="20"/>
          <w:tblHeader/>
          <w:jc w:val="center"/>
        </w:trPr>
        <w:tc>
          <w:tcPr>
            <w:tcW w:w="2331" w:type="dxa"/>
            <w:shd w:val="clear" w:color="auto" w:fill="F2F2F2" w:themeFill="background1" w:themeFillShade="F2"/>
            <w:vAlign w:val="bottom"/>
          </w:tcPr>
          <w:p w14:paraId="054D98B7" w14:textId="77777777" w:rsidR="00155A66" w:rsidRPr="0090621B" w:rsidRDefault="00155A66" w:rsidP="00C6319C">
            <w:pPr>
              <w:pStyle w:val="Normal1"/>
              <w:keepNext/>
              <w:keepLines/>
              <w:spacing w:after="0" w:line="240" w:lineRule="auto"/>
              <w:jc w:val="center"/>
              <w:rPr>
                <w:rFonts w:ascii="Calibri Light" w:hAnsi="Calibri Light" w:cs="Arial"/>
                <w:b/>
                <w:sz w:val="20"/>
                <w:szCs w:val="18"/>
              </w:rPr>
            </w:pPr>
            <w:r w:rsidRPr="0090621B">
              <w:rPr>
                <w:rFonts w:ascii="Calibri Light" w:hAnsi="Calibri Light" w:cs="Arial"/>
                <w:b/>
                <w:sz w:val="20"/>
                <w:szCs w:val="18"/>
              </w:rPr>
              <w:t>Equipment Type</w:t>
            </w:r>
          </w:p>
        </w:tc>
        <w:tc>
          <w:tcPr>
            <w:tcW w:w="1439" w:type="dxa"/>
            <w:shd w:val="clear" w:color="auto" w:fill="F2F2F2" w:themeFill="background1" w:themeFillShade="F2"/>
            <w:vAlign w:val="bottom"/>
          </w:tcPr>
          <w:p w14:paraId="0CE84E12" w14:textId="7C3D6971" w:rsidR="00155A66" w:rsidRPr="0090621B" w:rsidRDefault="00976C28" w:rsidP="00C6319C">
            <w:pPr>
              <w:pStyle w:val="Normal1"/>
              <w:keepNext/>
              <w:keepLines/>
              <w:spacing w:after="0" w:line="240" w:lineRule="auto"/>
              <w:jc w:val="center"/>
              <w:rPr>
                <w:rFonts w:ascii="Calibri Light" w:hAnsi="Calibri Light" w:cs="Arial"/>
                <w:b/>
                <w:sz w:val="20"/>
                <w:szCs w:val="18"/>
              </w:rPr>
            </w:pPr>
            <w:r>
              <w:rPr>
                <w:rFonts w:ascii="Calibri Light" w:hAnsi="Calibri Light" w:cs="Arial"/>
                <w:b/>
                <w:sz w:val="20"/>
                <w:szCs w:val="18"/>
              </w:rPr>
              <w:t>Rated Input (</w:t>
            </w:r>
            <w:proofErr w:type="spellStart"/>
            <w:r>
              <w:rPr>
                <w:rFonts w:ascii="Calibri Light" w:hAnsi="Calibri Light" w:cs="Arial"/>
                <w:b/>
                <w:sz w:val="20"/>
                <w:szCs w:val="18"/>
              </w:rPr>
              <w:t>k</w:t>
            </w:r>
            <w:r w:rsidR="00155A66" w:rsidRPr="0090621B">
              <w:rPr>
                <w:rFonts w:ascii="Calibri Light" w:hAnsi="Calibri Light" w:cs="Arial"/>
                <w:b/>
                <w:sz w:val="20"/>
                <w:szCs w:val="18"/>
              </w:rPr>
              <w:t>Btu</w:t>
            </w:r>
            <w:proofErr w:type="spellEnd"/>
            <w:r w:rsidR="00155A66" w:rsidRPr="0090621B">
              <w:rPr>
                <w:rFonts w:ascii="Calibri Light" w:hAnsi="Calibri Light" w:cs="Arial"/>
                <w:b/>
                <w:sz w:val="20"/>
                <w:szCs w:val="18"/>
              </w:rPr>
              <w:t>/</w:t>
            </w:r>
            <w:proofErr w:type="spellStart"/>
            <w:r w:rsidR="00155A66" w:rsidRPr="0090621B">
              <w:rPr>
                <w:rFonts w:ascii="Calibri Light" w:hAnsi="Calibri Light" w:cs="Arial"/>
                <w:b/>
                <w:sz w:val="20"/>
                <w:szCs w:val="18"/>
              </w:rPr>
              <w:t>hr</w:t>
            </w:r>
            <w:proofErr w:type="spellEnd"/>
            <w:r w:rsidR="00155A66" w:rsidRPr="0090621B">
              <w:rPr>
                <w:rFonts w:ascii="Calibri Light" w:hAnsi="Calibri Light" w:cs="Arial"/>
                <w:b/>
                <w:sz w:val="20"/>
                <w:szCs w:val="18"/>
              </w:rPr>
              <w:t>)</w:t>
            </w:r>
          </w:p>
        </w:tc>
        <w:tc>
          <w:tcPr>
            <w:tcW w:w="1264" w:type="dxa"/>
            <w:shd w:val="clear" w:color="auto" w:fill="F2F2F2" w:themeFill="background1" w:themeFillShade="F2"/>
            <w:vAlign w:val="bottom"/>
          </w:tcPr>
          <w:p w14:paraId="4707B4BF" w14:textId="77777777" w:rsidR="00155A66" w:rsidRPr="0090621B" w:rsidRDefault="00155A66" w:rsidP="00C6319C">
            <w:pPr>
              <w:pStyle w:val="Normal1"/>
              <w:keepNext/>
              <w:keepLines/>
              <w:spacing w:after="0" w:line="240" w:lineRule="auto"/>
              <w:jc w:val="center"/>
              <w:rPr>
                <w:rFonts w:ascii="Calibri Light" w:hAnsi="Calibri Light" w:cs="Arial"/>
                <w:b/>
                <w:sz w:val="20"/>
                <w:szCs w:val="18"/>
              </w:rPr>
            </w:pPr>
            <w:r w:rsidRPr="0090621B">
              <w:rPr>
                <w:rFonts w:ascii="Calibri Light" w:hAnsi="Calibri Light" w:cs="Arial"/>
                <w:b/>
                <w:sz w:val="20"/>
                <w:szCs w:val="18"/>
              </w:rPr>
              <w:t>Rated Volume (gal)</w:t>
            </w:r>
          </w:p>
        </w:tc>
        <w:tc>
          <w:tcPr>
            <w:tcW w:w="1264" w:type="dxa"/>
            <w:shd w:val="clear" w:color="auto" w:fill="F2F2F2" w:themeFill="background1" w:themeFillShade="F2"/>
            <w:vAlign w:val="bottom"/>
          </w:tcPr>
          <w:p w14:paraId="0DADE3AC" w14:textId="77777777" w:rsidR="00155A66" w:rsidRPr="0090621B" w:rsidRDefault="00155A66" w:rsidP="00C6319C">
            <w:pPr>
              <w:pStyle w:val="Normal1"/>
              <w:keepNext/>
              <w:keepLines/>
              <w:spacing w:after="0" w:line="240" w:lineRule="auto"/>
              <w:jc w:val="center"/>
              <w:rPr>
                <w:rFonts w:ascii="Calibri Light" w:hAnsi="Calibri Light" w:cs="Arial"/>
                <w:b/>
                <w:sz w:val="20"/>
                <w:szCs w:val="18"/>
              </w:rPr>
            </w:pPr>
            <w:r w:rsidRPr="0090621B">
              <w:rPr>
                <w:rFonts w:ascii="Calibri Light" w:hAnsi="Calibri Light" w:cs="Arial"/>
                <w:b/>
                <w:sz w:val="20"/>
                <w:szCs w:val="18"/>
              </w:rPr>
              <w:t>Efficiency Units</w:t>
            </w:r>
          </w:p>
        </w:tc>
        <w:tc>
          <w:tcPr>
            <w:tcW w:w="1546" w:type="dxa"/>
            <w:shd w:val="clear" w:color="auto" w:fill="F2F2F2" w:themeFill="background1" w:themeFillShade="F2"/>
            <w:vAlign w:val="bottom"/>
          </w:tcPr>
          <w:p w14:paraId="6304009E" w14:textId="77777777" w:rsidR="00155A66" w:rsidRPr="0090621B" w:rsidRDefault="00155A66" w:rsidP="00C6319C">
            <w:pPr>
              <w:pStyle w:val="Normal1"/>
              <w:keepNext/>
              <w:keepLines/>
              <w:spacing w:after="0" w:line="240" w:lineRule="auto"/>
              <w:jc w:val="center"/>
              <w:rPr>
                <w:rFonts w:ascii="Calibri Light" w:hAnsi="Calibri Light" w:cs="Arial"/>
                <w:b/>
                <w:sz w:val="20"/>
                <w:szCs w:val="18"/>
              </w:rPr>
            </w:pPr>
            <w:r w:rsidRPr="0090621B">
              <w:rPr>
                <w:rFonts w:ascii="Calibri Light" w:hAnsi="Calibri Light" w:cs="Arial"/>
                <w:b/>
                <w:sz w:val="20"/>
                <w:szCs w:val="18"/>
              </w:rPr>
              <w:t>Minimum Efficiency</w:t>
            </w:r>
          </w:p>
        </w:tc>
        <w:tc>
          <w:tcPr>
            <w:tcW w:w="1571" w:type="dxa"/>
            <w:shd w:val="clear" w:color="auto" w:fill="F2F2F2" w:themeFill="background1" w:themeFillShade="F2"/>
            <w:vAlign w:val="bottom"/>
          </w:tcPr>
          <w:p w14:paraId="2B98A403" w14:textId="77777777" w:rsidR="00155A66" w:rsidRPr="0090621B" w:rsidRDefault="00155A66" w:rsidP="00C6319C">
            <w:pPr>
              <w:pStyle w:val="Normal1"/>
              <w:keepNext/>
              <w:keepLines/>
              <w:spacing w:after="0" w:line="240" w:lineRule="auto"/>
              <w:jc w:val="center"/>
              <w:rPr>
                <w:rFonts w:ascii="Calibri Light" w:hAnsi="Calibri Light" w:cs="Arial"/>
                <w:b/>
                <w:sz w:val="20"/>
                <w:szCs w:val="18"/>
              </w:rPr>
            </w:pPr>
            <w:r w:rsidRPr="0090621B">
              <w:rPr>
                <w:rFonts w:ascii="Calibri Light" w:hAnsi="Calibri Light" w:cs="Arial"/>
                <w:b/>
                <w:sz w:val="20"/>
                <w:szCs w:val="18"/>
              </w:rPr>
              <w:t>Maximum Standby Loss (Btu/hr)</w:t>
            </w:r>
          </w:p>
        </w:tc>
      </w:tr>
      <w:tr w:rsidR="00155A66" w14:paraId="1F8ED5A8" w14:textId="77777777" w:rsidTr="00187521">
        <w:trPr>
          <w:cantSplit/>
          <w:trHeight w:val="20"/>
          <w:jc w:val="center"/>
        </w:trPr>
        <w:tc>
          <w:tcPr>
            <w:tcW w:w="9415" w:type="dxa"/>
            <w:gridSpan w:val="6"/>
          </w:tcPr>
          <w:p w14:paraId="31E402E9" w14:textId="283B419D" w:rsidR="00155A66" w:rsidRDefault="00155A66" w:rsidP="00C6319C">
            <w:pPr>
              <w:spacing w:before="0" w:after="0" w:line="240" w:lineRule="auto"/>
              <w:jc w:val="center"/>
              <w:rPr>
                <w:rFonts w:cs="Arial"/>
                <w:sz w:val="20"/>
                <w:szCs w:val="18"/>
              </w:rPr>
            </w:pPr>
            <w:r w:rsidRPr="0090621B">
              <w:rPr>
                <w:rFonts w:cs="Arial"/>
                <w:sz w:val="20"/>
                <w:szCs w:val="18"/>
              </w:rPr>
              <w:t>Instantaneous</w:t>
            </w:r>
            <w:r w:rsidRPr="0090621B" w:rsidDel="001211C3">
              <w:rPr>
                <w:rFonts w:cs="Arial"/>
                <w:sz w:val="20"/>
                <w:szCs w:val="18"/>
              </w:rPr>
              <w:t xml:space="preserve"> </w:t>
            </w:r>
            <w:r w:rsidRPr="0090621B">
              <w:rPr>
                <w:rFonts w:cs="Arial"/>
                <w:sz w:val="20"/>
                <w:szCs w:val="18"/>
              </w:rPr>
              <w:t>Water Heaters</w:t>
            </w:r>
          </w:p>
          <w:p w14:paraId="2D909AC9" w14:textId="69D765EB" w:rsidR="00187521" w:rsidRPr="00187521" w:rsidRDefault="00187521" w:rsidP="00C6319C">
            <w:pPr>
              <w:spacing w:before="0" w:after="0" w:line="240" w:lineRule="auto"/>
              <w:jc w:val="center"/>
              <w:rPr>
                <w:rFonts w:cs="Arial"/>
                <w:i/>
                <w:sz w:val="20"/>
                <w:szCs w:val="18"/>
              </w:rPr>
            </w:pPr>
            <w:r w:rsidRPr="00187521">
              <w:rPr>
                <w:rFonts w:cs="Arial"/>
                <w:i/>
                <w:sz w:val="16"/>
                <w:szCs w:val="18"/>
              </w:rPr>
              <w:t>V is the rated volume in gallons; Q is the rated input in Btu/hr.</w:t>
            </w:r>
          </w:p>
        </w:tc>
      </w:tr>
      <w:tr w:rsidR="00155A66" w14:paraId="3AD20C29" w14:textId="77777777" w:rsidTr="00187521">
        <w:trPr>
          <w:cantSplit/>
          <w:trHeight w:val="20"/>
          <w:jc w:val="center"/>
        </w:trPr>
        <w:tc>
          <w:tcPr>
            <w:tcW w:w="2331" w:type="dxa"/>
          </w:tcPr>
          <w:p w14:paraId="45A75031" w14:textId="77777777" w:rsidR="00155A66" w:rsidRPr="0090621B" w:rsidRDefault="00155A66" w:rsidP="00C6319C">
            <w:pPr>
              <w:spacing w:before="0" w:after="0" w:line="240" w:lineRule="auto"/>
              <w:rPr>
                <w:rFonts w:cs="Arial"/>
                <w:sz w:val="20"/>
              </w:rPr>
            </w:pPr>
            <w:r w:rsidRPr="0090621B">
              <w:rPr>
                <w:rFonts w:cs="Arial"/>
                <w:sz w:val="20"/>
                <w:szCs w:val="18"/>
              </w:rPr>
              <w:lastRenderedPageBreak/>
              <w:t>Small federally-regulated</w:t>
            </w:r>
          </w:p>
        </w:tc>
        <w:tc>
          <w:tcPr>
            <w:tcW w:w="1439" w:type="dxa"/>
          </w:tcPr>
          <w:p w14:paraId="3EBC508D"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 200</w:t>
            </w:r>
          </w:p>
        </w:tc>
        <w:tc>
          <w:tcPr>
            <w:tcW w:w="1264" w:type="dxa"/>
          </w:tcPr>
          <w:p w14:paraId="596B0883"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&lt; 2</w:t>
            </w:r>
          </w:p>
        </w:tc>
        <w:tc>
          <w:tcPr>
            <w:tcW w:w="1264" w:type="dxa"/>
          </w:tcPr>
          <w:p w14:paraId="7A327AE1"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EF</w:t>
            </w:r>
          </w:p>
        </w:tc>
        <w:tc>
          <w:tcPr>
            <w:tcW w:w="1546" w:type="dxa"/>
          </w:tcPr>
          <w:p w14:paraId="7DA0FC26" w14:textId="77777777" w:rsidR="00155A66" w:rsidRPr="0090621B" w:rsidRDefault="00155A66" w:rsidP="00C6319C">
            <w:pPr>
              <w:spacing w:before="0" w:after="0" w:line="240" w:lineRule="auto"/>
              <w:jc w:val="center"/>
              <w:rPr>
                <w:rFonts w:cs="Arial"/>
                <w:color w:val="000000"/>
                <w:sz w:val="20"/>
              </w:rPr>
            </w:pPr>
            <w:r>
              <w:rPr>
                <w:rFonts w:cs="Arial"/>
                <w:color w:val="000000"/>
                <w:sz w:val="20"/>
              </w:rPr>
              <w:t>0.82-(0.0019x</w:t>
            </w:r>
            <w:r w:rsidRPr="0090621B">
              <w:rPr>
                <w:rFonts w:cs="Arial"/>
                <w:color w:val="000000"/>
                <w:sz w:val="20"/>
              </w:rPr>
              <w:t>V)</w:t>
            </w:r>
          </w:p>
        </w:tc>
        <w:tc>
          <w:tcPr>
            <w:tcW w:w="1571" w:type="dxa"/>
          </w:tcPr>
          <w:p w14:paraId="23F64C18" w14:textId="77777777" w:rsidR="00155A66" w:rsidRPr="0090621B" w:rsidRDefault="00155A66" w:rsidP="00C6319C">
            <w:pPr>
              <w:spacing w:before="0" w:after="0" w:line="240" w:lineRule="auto"/>
              <w:jc w:val="center"/>
              <w:rPr>
                <w:rFonts w:cs="Arial"/>
                <w:color w:val="000000"/>
                <w:sz w:val="20"/>
              </w:rPr>
            </w:pPr>
            <w:r w:rsidRPr="0090621B">
              <w:rPr>
                <w:rFonts w:cs="Arial"/>
                <w:sz w:val="20"/>
                <w:szCs w:val="18"/>
              </w:rPr>
              <w:t>---</w:t>
            </w:r>
          </w:p>
        </w:tc>
      </w:tr>
      <w:tr w:rsidR="00155A66" w14:paraId="4C33E299" w14:textId="77777777" w:rsidTr="00187521">
        <w:trPr>
          <w:cantSplit/>
          <w:trHeight w:val="20"/>
          <w:jc w:val="center"/>
        </w:trPr>
        <w:tc>
          <w:tcPr>
            <w:tcW w:w="2331" w:type="dxa"/>
          </w:tcPr>
          <w:p w14:paraId="272959C3" w14:textId="77777777" w:rsidR="00155A66" w:rsidRPr="0090621B" w:rsidRDefault="00155A66" w:rsidP="00C6319C">
            <w:pPr>
              <w:spacing w:before="0" w:after="0" w:line="240" w:lineRule="auto"/>
              <w:rPr>
                <w:rFonts w:cs="Arial"/>
                <w:sz w:val="20"/>
                <w:szCs w:val="18"/>
              </w:rPr>
            </w:pPr>
            <w:r w:rsidRPr="0090621B">
              <w:rPr>
                <w:rFonts w:cs="Arial"/>
                <w:sz w:val="20"/>
                <w:szCs w:val="18"/>
              </w:rPr>
              <w:t>Small non-federal regulated</w:t>
            </w:r>
          </w:p>
        </w:tc>
        <w:tc>
          <w:tcPr>
            <w:tcW w:w="1439" w:type="dxa"/>
          </w:tcPr>
          <w:p w14:paraId="786551A6"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 50</w:t>
            </w:r>
          </w:p>
        </w:tc>
        <w:tc>
          <w:tcPr>
            <w:tcW w:w="1264" w:type="dxa"/>
          </w:tcPr>
          <w:p w14:paraId="61FA35E7"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Unspecified</w:t>
            </w:r>
          </w:p>
        </w:tc>
        <w:tc>
          <w:tcPr>
            <w:tcW w:w="1264" w:type="dxa"/>
          </w:tcPr>
          <w:p w14:paraId="56F2CEA3"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EF</w:t>
            </w:r>
          </w:p>
        </w:tc>
        <w:tc>
          <w:tcPr>
            <w:tcW w:w="1546" w:type="dxa"/>
          </w:tcPr>
          <w:p w14:paraId="3BEE1663" w14:textId="77777777" w:rsidR="00155A66" w:rsidRPr="0090621B" w:rsidRDefault="00155A66" w:rsidP="00C6319C">
            <w:pPr>
              <w:spacing w:before="0" w:after="0" w:line="240" w:lineRule="auto"/>
              <w:jc w:val="center"/>
              <w:rPr>
                <w:rFonts w:cs="Arial"/>
                <w:color w:val="000000"/>
                <w:sz w:val="20"/>
              </w:rPr>
            </w:pPr>
            <w:r>
              <w:rPr>
                <w:rFonts w:cs="Arial"/>
                <w:color w:val="000000"/>
                <w:sz w:val="20"/>
              </w:rPr>
              <w:t>0.62-(0.0019x</w:t>
            </w:r>
            <w:r w:rsidRPr="0090621B">
              <w:rPr>
                <w:rFonts w:cs="Arial"/>
                <w:color w:val="000000"/>
                <w:sz w:val="20"/>
              </w:rPr>
              <w:t>V)</w:t>
            </w:r>
          </w:p>
        </w:tc>
        <w:tc>
          <w:tcPr>
            <w:tcW w:w="1571" w:type="dxa"/>
          </w:tcPr>
          <w:p w14:paraId="37DD9F45" w14:textId="77777777" w:rsidR="00155A66" w:rsidRPr="0090621B" w:rsidRDefault="00155A66" w:rsidP="00C6319C">
            <w:pPr>
              <w:spacing w:before="0" w:after="0" w:line="240" w:lineRule="auto"/>
              <w:jc w:val="center"/>
              <w:rPr>
                <w:rFonts w:cs="Arial"/>
                <w:color w:val="000000"/>
                <w:sz w:val="20"/>
              </w:rPr>
            </w:pPr>
            <w:r w:rsidRPr="0090621B">
              <w:rPr>
                <w:rFonts w:cs="Arial"/>
                <w:sz w:val="20"/>
                <w:szCs w:val="18"/>
              </w:rPr>
              <w:t>---</w:t>
            </w:r>
          </w:p>
        </w:tc>
      </w:tr>
      <w:tr w:rsidR="00155A66" w14:paraId="10974CD0" w14:textId="77777777" w:rsidTr="00187521">
        <w:trPr>
          <w:cantSplit/>
          <w:trHeight w:val="20"/>
          <w:jc w:val="center"/>
        </w:trPr>
        <w:tc>
          <w:tcPr>
            <w:tcW w:w="2331" w:type="dxa"/>
          </w:tcPr>
          <w:p w14:paraId="7D88DAD3" w14:textId="77777777" w:rsidR="00155A66" w:rsidRPr="0090621B" w:rsidRDefault="00155A66" w:rsidP="00C6319C">
            <w:pPr>
              <w:spacing w:before="0" w:after="0" w:line="240" w:lineRule="auto"/>
              <w:rPr>
                <w:rFonts w:cs="Arial"/>
                <w:sz w:val="20"/>
                <w:szCs w:val="18"/>
              </w:rPr>
            </w:pPr>
            <w:r w:rsidRPr="0090621B">
              <w:rPr>
                <w:rFonts w:cs="Arial"/>
                <w:sz w:val="20"/>
                <w:szCs w:val="18"/>
              </w:rPr>
              <w:t>Small non-federal regulated</w:t>
            </w:r>
          </w:p>
        </w:tc>
        <w:tc>
          <w:tcPr>
            <w:tcW w:w="1439" w:type="dxa"/>
          </w:tcPr>
          <w:p w14:paraId="063FC94A"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 200</w:t>
            </w:r>
          </w:p>
        </w:tc>
        <w:tc>
          <w:tcPr>
            <w:tcW w:w="1264" w:type="dxa"/>
          </w:tcPr>
          <w:p w14:paraId="5819E071"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 2</w:t>
            </w:r>
          </w:p>
        </w:tc>
        <w:tc>
          <w:tcPr>
            <w:tcW w:w="1264" w:type="dxa"/>
          </w:tcPr>
          <w:p w14:paraId="73C4309B"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EF</w:t>
            </w:r>
          </w:p>
        </w:tc>
        <w:tc>
          <w:tcPr>
            <w:tcW w:w="1546" w:type="dxa"/>
          </w:tcPr>
          <w:p w14:paraId="4889972E" w14:textId="77777777" w:rsidR="00155A66" w:rsidRPr="0090621B" w:rsidRDefault="00155A66" w:rsidP="00C6319C">
            <w:pPr>
              <w:spacing w:before="0" w:after="0" w:line="240" w:lineRule="auto"/>
              <w:jc w:val="center"/>
              <w:rPr>
                <w:rFonts w:cs="Arial"/>
                <w:color w:val="000000"/>
                <w:sz w:val="20"/>
              </w:rPr>
            </w:pPr>
            <w:r>
              <w:rPr>
                <w:rFonts w:cs="Arial"/>
                <w:color w:val="000000"/>
                <w:sz w:val="20"/>
              </w:rPr>
              <w:t>0.62-(0.0019x</w:t>
            </w:r>
            <w:r w:rsidRPr="0090621B">
              <w:rPr>
                <w:rFonts w:cs="Arial"/>
                <w:color w:val="000000"/>
                <w:sz w:val="20"/>
              </w:rPr>
              <w:t>V)</w:t>
            </w:r>
          </w:p>
        </w:tc>
        <w:tc>
          <w:tcPr>
            <w:tcW w:w="1571" w:type="dxa"/>
          </w:tcPr>
          <w:p w14:paraId="617996B3" w14:textId="77777777" w:rsidR="00155A66" w:rsidRPr="0090621B" w:rsidRDefault="00155A66" w:rsidP="00C6319C">
            <w:pPr>
              <w:spacing w:before="0" w:after="0" w:line="240" w:lineRule="auto"/>
              <w:jc w:val="center"/>
              <w:rPr>
                <w:rFonts w:cs="Arial"/>
                <w:color w:val="000000"/>
                <w:sz w:val="20"/>
              </w:rPr>
            </w:pPr>
            <w:r w:rsidRPr="0090621B">
              <w:rPr>
                <w:rFonts w:cs="Arial"/>
                <w:sz w:val="20"/>
                <w:szCs w:val="18"/>
              </w:rPr>
              <w:t>---</w:t>
            </w:r>
          </w:p>
        </w:tc>
      </w:tr>
      <w:tr w:rsidR="00155A66" w14:paraId="2F9A81FD" w14:textId="77777777" w:rsidTr="00187521">
        <w:trPr>
          <w:cantSplit/>
          <w:trHeight w:val="20"/>
          <w:jc w:val="center"/>
        </w:trPr>
        <w:tc>
          <w:tcPr>
            <w:tcW w:w="2331" w:type="dxa"/>
          </w:tcPr>
          <w:p w14:paraId="176A7DBD" w14:textId="77777777" w:rsidR="00155A66" w:rsidRPr="0090621B" w:rsidRDefault="00155A66" w:rsidP="00C6319C">
            <w:pPr>
              <w:spacing w:before="0" w:after="0" w:line="240" w:lineRule="auto"/>
              <w:rPr>
                <w:rFonts w:cs="Arial"/>
                <w:sz w:val="20"/>
                <w:szCs w:val="18"/>
              </w:rPr>
            </w:pPr>
            <w:r w:rsidRPr="0090621B">
              <w:rPr>
                <w:rFonts w:cs="Arial"/>
                <w:sz w:val="20"/>
                <w:szCs w:val="18"/>
              </w:rPr>
              <w:t>Large</w:t>
            </w:r>
          </w:p>
        </w:tc>
        <w:tc>
          <w:tcPr>
            <w:tcW w:w="1439" w:type="dxa"/>
          </w:tcPr>
          <w:p w14:paraId="6B667BA6"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&gt; 200</w:t>
            </w:r>
          </w:p>
        </w:tc>
        <w:tc>
          <w:tcPr>
            <w:tcW w:w="1264" w:type="dxa"/>
          </w:tcPr>
          <w:p w14:paraId="55A26DCA"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&lt; 10</w:t>
            </w:r>
          </w:p>
        </w:tc>
        <w:tc>
          <w:tcPr>
            <w:tcW w:w="1264" w:type="dxa"/>
          </w:tcPr>
          <w:p w14:paraId="535ABA2B"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TE</w:t>
            </w:r>
          </w:p>
        </w:tc>
        <w:tc>
          <w:tcPr>
            <w:tcW w:w="1546" w:type="dxa"/>
          </w:tcPr>
          <w:p w14:paraId="5AA4F104" w14:textId="77777777" w:rsidR="00155A66" w:rsidRPr="0090621B" w:rsidRDefault="00155A66" w:rsidP="00C6319C">
            <w:pPr>
              <w:spacing w:before="0" w:after="0" w:line="240" w:lineRule="auto"/>
              <w:jc w:val="center"/>
              <w:rPr>
                <w:rFonts w:cs="Arial"/>
                <w:color w:val="000000"/>
                <w:sz w:val="20"/>
              </w:rPr>
            </w:pPr>
            <w:r w:rsidRPr="0090621B">
              <w:rPr>
                <w:rFonts w:cs="Arial"/>
                <w:color w:val="000000"/>
                <w:sz w:val="20"/>
              </w:rPr>
              <w:t>80%</w:t>
            </w:r>
          </w:p>
        </w:tc>
        <w:tc>
          <w:tcPr>
            <w:tcW w:w="1571" w:type="dxa"/>
          </w:tcPr>
          <w:p w14:paraId="04BF07CA" w14:textId="374E2F91" w:rsidR="00155A66" w:rsidRPr="0090621B" w:rsidRDefault="006F142D" w:rsidP="00C6319C">
            <w:pPr>
              <w:spacing w:before="0" w:after="0" w:line="240" w:lineRule="auto"/>
              <w:jc w:val="center"/>
              <w:rPr>
                <w:rFonts w:cs="Arial"/>
                <w:sz w:val="20"/>
                <w:szCs w:val="18"/>
              </w:rPr>
            </w:pPr>
            <w:r>
              <w:rPr>
                <w:rFonts w:cs="Arial"/>
                <w:sz w:val="20"/>
                <w:szCs w:val="18"/>
              </w:rPr>
              <w:t>n/a</w:t>
            </w:r>
          </w:p>
        </w:tc>
      </w:tr>
      <w:tr w:rsidR="00155A66" w14:paraId="45C5FF60" w14:textId="77777777" w:rsidTr="00187521">
        <w:trPr>
          <w:cantSplit/>
          <w:trHeight w:val="20"/>
          <w:jc w:val="center"/>
        </w:trPr>
        <w:tc>
          <w:tcPr>
            <w:tcW w:w="2331" w:type="dxa"/>
          </w:tcPr>
          <w:p w14:paraId="557983D3" w14:textId="77777777" w:rsidR="00155A66" w:rsidRPr="0090621B" w:rsidRDefault="00155A66" w:rsidP="00C6319C">
            <w:pPr>
              <w:spacing w:before="0" w:after="0" w:line="240" w:lineRule="auto"/>
              <w:rPr>
                <w:rFonts w:cs="Arial"/>
                <w:sz w:val="20"/>
                <w:szCs w:val="18"/>
              </w:rPr>
            </w:pPr>
            <w:r w:rsidRPr="0090621B">
              <w:rPr>
                <w:rFonts w:cs="Arial"/>
                <w:sz w:val="20"/>
                <w:szCs w:val="18"/>
              </w:rPr>
              <w:t>Large</w:t>
            </w:r>
          </w:p>
        </w:tc>
        <w:tc>
          <w:tcPr>
            <w:tcW w:w="1439" w:type="dxa"/>
          </w:tcPr>
          <w:p w14:paraId="31C32958"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&gt; 200</w:t>
            </w:r>
          </w:p>
        </w:tc>
        <w:tc>
          <w:tcPr>
            <w:tcW w:w="1264" w:type="dxa"/>
          </w:tcPr>
          <w:p w14:paraId="2715D9D4"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 10</w:t>
            </w:r>
          </w:p>
        </w:tc>
        <w:tc>
          <w:tcPr>
            <w:tcW w:w="1264" w:type="dxa"/>
          </w:tcPr>
          <w:p w14:paraId="0C527116" w14:textId="77777777" w:rsidR="00155A66" w:rsidRPr="0090621B" w:rsidRDefault="00155A66" w:rsidP="00C6319C">
            <w:pPr>
              <w:spacing w:before="0" w:after="0" w:line="240" w:lineRule="auto"/>
              <w:jc w:val="center"/>
              <w:rPr>
                <w:rFonts w:cs="Arial"/>
                <w:sz w:val="20"/>
                <w:szCs w:val="18"/>
              </w:rPr>
            </w:pPr>
            <w:r w:rsidRPr="0090621B">
              <w:rPr>
                <w:rFonts w:cs="Arial"/>
                <w:sz w:val="20"/>
                <w:szCs w:val="18"/>
              </w:rPr>
              <w:t>TE</w:t>
            </w:r>
          </w:p>
        </w:tc>
        <w:tc>
          <w:tcPr>
            <w:tcW w:w="1546" w:type="dxa"/>
          </w:tcPr>
          <w:p w14:paraId="51C90F04" w14:textId="77777777" w:rsidR="00155A66" w:rsidRPr="0090621B" w:rsidRDefault="00155A66" w:rsidP="00C6319C">
            <w:pPr>
              <w:spacing w:before="0" w:after="0" w:line="240" w:lineRule="auto"/>
              <w:jc w:val="center"/>
              <w:rPr>
                <w:rFonts w:cs="Arial"/>
                <w:color w:val="000000"/>
                <w:sz w:val="20"/>
              </w:rPr>
            </w:pPr>
            <w:r w:rsidRPr="0090621B">
              <w:rPr>
                <w:rFonts w:cs="Arial"/>
                <w:color w:val="000000"/>
                <w:sz w:val="20"/>
              </w:rPr>
              <w:t>80%</w:t>
            </w:r>
          </w:p>
        </w:tc>
        <w:tc>
          <w:tcPr>
            <w:tcW w:w="1571" w:type="dxa"/>
          </w:tcPr>
          <w:p w14:paraId="2951E4DF" w14:textId="77777777" w:rsidR="00155A66" w:rsidRPr="0090621B" w:rsidRDefault="00155A66" w:rsidP="00C6319C">
            <w:pPr>
              <w:spacing w:before="0" w:after="0" w:line="240" w:lineRule="auto"/>
              <w:jc w:val="center"/>
              <w:rPr>
                <w:rFonts w:cs="Arial"/>
                <w:color w:val="000000"/>
                <w:sz w:val="20"/>
              </w:rPr>
            </w:pPr>
            <w:r w:rsidRPr="0090621B">
              <w:rPr>
                <w:rFonts w:cs="Arial"/>
                <w:color w:val="000000"/>
                <w:sz w:val="20"/>
              </w:rPr>
              <w:t>Q/800 + 110</w:t>
            </w:r>
            <w:r w:rsidRPr="0090621B">
              <w:rPr>
                <w:rFonts w:cs="Arial"/>
                <w:color w:val="000000"/>
                <w:sz w:val="20"/>
              </w:rPr>
              <w:sym w:font="Symbol" w:char="F0D6"/>
            </w:r>
            <w:r w:rsidRPr="0090621B">
              <w:rPr>
                <w:rFonts w:cs="Arial"/>
                <w:color w:val="000000"/>
                <w:sz w:val="20"/>
              </w:rPr>
              <w:t>V</w:t>
            </w:r>
          </w:p>
        </w:tc>
      </w:tr>
    </w:tbl>
    <w:p w14:paraId="45CD95C5" w14:textId="77777777" w:rsidR="00155A66" w:rsidRDefault="00155A66" w:rsidP="00170D1A"/>
    <w:p w14:paraId="1EE16D20" w14:textId="25BC78D5" w:rsidR="007D230B" w:rsidRPr="00171BB8" w:rsidRDefault="007D230B" w:rsidP="00777422">
      <w:pPr>
        <w:pStyle w:val="eTRMHeading3"/>
      </w:pPr>
      <w:bookmarkStart w:id="27" w:name="_Toc486490851"/>
      <w:bookmarkStart w:id="28" w:name="_Toc486580922"/>
      <w:bookmarkStart w:id="29" w:name="_Toc1723485"/>
      <w:bookmarkEnd w:id="25"/>
      <w:bookmarkEnd w:id="26"/>
      <w:r w:rsidRPr="00A83458">
        <w:t>Normalizing</w:t>
      </w:r>
      <w:r w:rsidRPr="00171BB8">
        <w:t xml:space="preserve"> Unit</w:t>
      </w:r>
      <w:bookmarkEnd w:id="27"/>
      <w:bookmarkEnd w:id="28"/>
      <w:bookmarkEnd w:id="29"/>
    </w:p>
    <w:p w14:paraId="74B1B7ED" w14:textId="77777777" w:rsidR="00155A66" w:rsidRDefault="00155A66" w:rsidP="00155A66">
      <w:r w:rsidRPr="000A2323">
        <w:t xml:space="preserve">The normalizing unit is per </w:t>
      </w:r>
      <w:proofErr w:type="spellStart"/>
      <w:r w:rsidRPr="000A2323">
        <w:t>kBtu</w:t>
      </w:r>
      <w:proofErr w:type="spellEnd"/>
      <w:r w:rsidRPr="000A2323">
        <w:t>/</w:t>
      </w:r>
      <w:proofErr w:type="spellStart"/>
      <w:r w:rsidRPr="000A2323">
        <w:t>hr</w:t>
      </w:r>
      <w:proofErr w:type="spellEnd"/>
      <w:r w:rsidRPr="000A2323">
        <w:t xml:space="preserve"> of rated input capacity.</w:t>
      </w:r>
    </w:p>
    <w:p w14:paraId="48FB6DDC" w14:textId="77777777" w:rsidR="005D0817" w:rsidRPr="007D230B" w:rsidRDefault="005D0817" w:rsidP="00486585"/>
    <w:p w14:paraId="2F4904E6" w14:textId="77777777" w:rsidR="007D230B" w:rsidRPr="004B06E3" w:rsidRDefault="007D230B" w:rsidP="00777422">
      <w:pPr>
        <w:pStyle w:val="eTRMHeading3"/>
      </w:pPr>
      <w:bookmarkStart w:id="30" w:name="_Toc486490852"/>
      <w:bookmarkStart w:id="31" w:name="_Toc486580923"/>
      <w:bookmarkStart w:id="32" w:name="_Toc1723486"/>
      <w:r w:rsidRPr="004B06E3">
        <w:t>Program Requirements</w:t>
      </w:r>
      <w:bookmarkEnd w:id="30"/>
      <w:bookmarkEnd w:id="31"/>
      <w:bookmarkEnd w:id="32"/>
      <w:r w:rsidRPr="004B06E3">
        <w:t xml:space="preserve"> </w:t>
      </w:r>
    </w:p>
    <w:p w14:paraId="611BCC1C" w14:textId="77777777" w:rsidR="00101854" w:rsidRDefault="00101854" w:rsidP="00101854">
      <w:bookmarkStart w:id="33" w:name="_Hlk527543844"/>
      <w:bookmarkStart w:id="34" w:name="_Hlk526859582"/>
      <w:bookmarkStart w:id="35" w:name="_Hlk516047641"/>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3"/>
    </w:p>
    <w:bookmarkEnd w:id="34"/>
    <w:p w14:paraId="0272307B" w14:textId="77777777" w:rsidR="00101854" w:rsidRPr="00CC4643" w:rsidRDefault="00101854" w:rsidP="00101854">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52618F97" w14:textId="33AF285B" w:rsidR="005E18B9" w:rsidRDefault="005E18B9" w:rsidP="00187521">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5E18B9" w:rsidRPr="00A47168" w14:paraId="72BB1FA0" w14:textId="77777777" w:rsidTr="00ED2242">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03CE8681" w14:textId="77777777" w:rsidR="005E18B9" w:rsidRPr="00A47168" w:rsidRDefault="005E18B9" w:rsidP="00ED2242">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250AA389" w14:textId="77777777" w:rsidR="005E18B9" w:rsidRPr="00A47168" w:rsidRDefault="005E18B9" w:rsidP="00ED2242">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243079BD" w14:textId="77777777" w:rsidR="005E18B9" w:rsidRPr="00A47168" w:rsidRDefault="005E18B9" w:rsidP="00ED2242">
            <w:pPr>
              <w:keepNext/>
              <w:spacing w:before="0" w:after="0"/>
              <w:rPr>
                <w:b/>
                <w:bCs/>
                <w:sz w:val="20"/>
              </w:rPr>
            </w:pPr>
            <w:r w:rsidRPr="00A47168">
              <w:rPr>
                <w:b/>
                <w:bCs/>
                <w:sz w:val="20"/>
              </w:rPr>
              <w:t>Sector</w:t>
            </w:r>
          </w:p>
        </w:tc>
      </w:tr>
      <w:tr w:rsidR="00E34357" w:rsidRPr="00A47168" w14:paraId="4E2689DD" w14:textId="77777777" w:rsidTr="00ED2242">
        <w:trPr>
          <w:trHeight w:val="290"/>
        </w:trPr>
        <w:tc>
          <w:tcPr>
            <w:tcW w:w="3024" w:type="dxa"/>
            <w:noWrap/>
            <w:tcMar>
              <w:top w:w="0" w:type="dxa"/>
              <w:left w:w="108" w:type="dxa"/>
              <w:bottom w:w="0" w:type="dxa"/>
              <w:right w:w="108" w:type="dxa"/>
            </w:tcMar>
            <w:vAlign w:val="bottom"/>
          </w:tcPr>
          <w:p w14:paraId="0FB92069" w14:textId="7B898AF0" w:rsidR="00E34357" w:rsidRPr="00E34357" w:rsidRDefault="00101854" w:rsidP="00E34357">
            <w:pPr>
              <w:keepNext/>
              <w:spacing w:before="0" w:after="0"/>
              <w:rPr>
                <w:rFonts w:cs="Calibri Light"/>
                <w:color w:val="000000"/>
                <w:sz w:val="20"/>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4C1D032F" w14:textId="6C63194F" w:rsidR="00E34357" w:rsidRPr="00E34357" w:rsidRDefault="00101854" w:rsidP="00E34357">
            <w:pPr>
              <w:keepNext/>
              <w:spacing w:before="0" w:after="0"/>
              <w:rPr>
                <w:rFonts w:cs="Calibri Light"/>
                <w:color w:val="000000"/>
                <w:sz w:val="20"/>
              </w:rPr>
            </w:pPr>
            <w:proofErr w:type="spellStart"/>
            <w:r>
              <w:rPr>
                <w:rFonts w:cs="Calibri Light"/>
                <w:color w:val="000000"/>
                <w:sz w:val="20"/>
                <w:szCs w:val="22"/>
              </w:rPr>
              <w:t>DnDeemed</w:t>
            </w:r>
            <w:proofErr w:type="spellEnd"/>
          </w:p>
        </w:tc>
        <w:tc>
          <w:tcPr>
            <w:tcW w:w="3024" w:type="dxa"/>
            <w:noWrap/>
            <w:tcMar>
              <w:top w:w="0" w:type="dxa"/>
              <w:left w:w="108" w:type="dxa"/>
              <w:bottom w:w="0" w:type="dxa"/>
              <w:right w:w="108" w:type="dxa"/>
            </w:tcMar>
            <w:vAlign w:val="bottom"/>
          </w:tcPr>
          <w:p w14:paraId="100FEDE8" w14:textId="414B32FE" w:rsidR="00E34357" w:rsidRPr="00C6319C" w:rsidRDefault="00A2194A" w:rsidP="00E34357">
            <w:pPr>
              <w:keepNext/>
              <w:spacing w:before="0" w:after="0"/>
              <w:rPr>
                <w:rFonts w:cs="Calibri Light"/>
                <w:sz w:val="20"/>
              </w:rPr>
            </w:pPr>
            <w:r>
              <w:rPr>
                <w:rFonts w:cs="Calibri Light"/>
                <w:sz w:val="20"/>
              </w:rPr>
              <w:t>Res</w:t>
            </w:r>
          </w:p>
        </w:tc>
      </w:tr>
      <w:tr w:rsidR="006E1FA5" w:rsidRPr="00A47168" w14:paraId="35384A15" w14:textId="77777777" w:rsidTr="00ED2242">
        <w:trPr>
          <w:trHeight w:val="290"/>
        </w:trPr>
        <w:tc>
          <w:tcPr>
            <w:tcW w:w="3024" w:type="dxa"/>
            <w:noWrap/>
            <w:tcMar>
              <w:top w:w="0" w:type="dxa"/>
              <w:left w:w="108" w:type="dxa"/>
              <w:bottom w:w="0" w:type="dxa"/>
              <w:right w:w="108" w:type="dxa"/>
            </w:tcMar>
            <w:vAlign w:val="bottom"/>
          </w:tcPr>
          <w:p w14:paraId="48D355D3" w14:textId="7F72635B" w:rsidR="006E1FA5" w:rsidRDefault="006E1FA5" w:rsidP="00E34357">
            <w:pPr>
              <w:keepNext/>
              <w:spacing w:before="0" w:after="0"/>
              <w:rPr>
                <w:rFonts w:cs="Calibri Light"/>
                <w:color w:val="000000"/>
                <w:sz w:val="20"/>
                <w:szCs w:val="22"/>
              </w:rPr>
            </w:pPr>
            <w:r>
              <w:rPr>
                <w:rFonts w:cs="Calibri Light"/>
                <w:color w:val="000000"/>
                <w:sz w:val="20"/>
                <w:szCs w:val="22"/>
              </w:rPr>
              <w:t>Normal replacement</w:t>
            </w:r>
          </w:p>
        </w:tc>
        <w:tc>
          <w:tcPr>
            <w:tcW w:w="3024" w:type="dxa"/>
            <w:noWrap/>
            <w:tcMar>
              <w:top w:w="0" w:type="dxa"/>
              <w:left w:w="108" w:type="dxa"/>
              <w:bottom w:w="0" w:type="dxa"/>
              <w:right w:w="108" w:type="dxa"/>
            </w:tcMar>
            <w:vAlign w:val="bottom"/>
          </w:tcPr>
          <w:p w14:paraId="6E9058AA" w14:textId="1FA0E81A" w:rsidR="006E1FA5" w:rsidRDefault="006E1FA5" w:rsidP="00E34357">
            <w:pPr>
              <w:keepNext/>
              <w:spacing w:before="0" w:after="0"/>
              <w:rPr>
                <w:rFonts w:cs="Calibri Light"/>
                <w:color w:val="000000"/>
                <w:sz w:val="20"/>
                <w:szCs w:val="22"/>
              </w:rPr>
            </w:pPr>
            <w:proofErr w:type="spellStart"/>
            <w:r>
              <w:rPr>
                <w:rFonts w:cs="Calibri Light"/>
                <w:color w:val="000000"/>
                <w:sz w:val="20"/>
                <w:szCs w:val="22"/>
              </w:rPr>
              <w:t>UpDeemed</w:t>
            </w:r>
            <w:proofErr w:type="spellEnd"/>
          </w:p>
        </w:tc>
        <w:tc>
          <w:tcPr>
            <w:tcW w:w="3024" w:type="dxa"/>
            <w:noWrap/>
            <w:tcMar>
              <w:top w:w="0" w:type="dxa"/>
              <w:left w:w="108" w:type="dxa"/>
              <w:bottom w:w="0" w:type="dxa"/>
              <w:right w:w="108" w:type="dxa"/>
            </w:tcMar>
            <w:vAlign w:val="bottom"/>
          </w:tcPr>
          <w:p w14:paraId="32A669DE" w14:textId="3C4132BB" w:rsidR="006E1FA5" w:rsidRPr="00C6319C" w:rsidRDefault="00A2194A" w:rsidP="00E34357">
            <w:pPr>
              <w:keepNext/>
              <w:spacing w:before="0" w:after="0"/>
              <w:rPr>
                <w:rFonts w:cs="Calibri Light"/>
                <w:sz w:val="20"/>
                <w:szCs w:val="22"/>
              </w:rPr>
            </w:pPr>
            <w:r>
              <w:rPr>
                <w:rFonts w:cs="Calibri Light"/>
                <w:sz w:val="20"/>
                <w:szCs w:val="22"/>
              </w:rPr>
              <w:t>Res</w:t>
            </w:r>
          </w:p>
        </w:tc>
      </w:tr>
      <w:tr w:rsidR="006E1FA5" w:rsidRPr="00A47168" w14:paraId="3C36D75E" w14:textId="77777777" w:rsidTr="00ED2242">
        <w:trPr>
          <w:trHeight w:val="290"/>
        </w:trPr>
        <w:tc>
          <w:tcPr>
            <w:tcW w:w="3024" w:type="dxa"/>
            <w:noWrap/>
            <w:tcMar>
              <w:top w:w="0" w:type="dxa"/>
              <w:left w:w="108" w:type="dxa"/>
              <w:bottom w:w="0" w:type="dxa"/>
              <w:right w:w="108" w:type="dxa"/>
            </w:tcMar>
            <w:vAlign w:val="bottom"/>
          </w:tcPr>
          <w:p w14:paraId="7500DEB3" w14:textId="0EF72A26" w:rsidR="006E1FA5" w:rsidRDefault="006E1FA5" w:rsidP="00E34357">
            <w:pPr>
              <w:keepNext/>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3D6C605B" w14:textId="47B9AA88" w:rsidR="006E1FA5" w:rsidRDefault="006E1FA5" w:rsidP="00E34357">
            <w:pPr>
              <w:keepNext/>
              <w:spacing w:before="0" w:after="0"/>
              <w:rPr>
                <w:rFonts w:cs="Calibri Light"/>
                <w:color w:val="000000"/>
                <w:sz w:val="20"/>
                <w:szCs w:val="22"/>
              </w:rPr>
            </w:pPr>
            <w:proofErr w:type="spellStart"/>
            <w:r>
              <w:rPr>
                <w:rFonts w:cs="Calibri Light"/>
                <w:color w:val="000000"/>
                <w:sz w:val="20"/>
                <w:szCs w:val="22"/>
              </w:rPr>
              <w:t>DnDeemed</w:t>
            </w:r>
            <w:proofErr w:type="spellEnd"/>
          </w:p>
        </w:tc>
        <w:tc>
          <w:tcPr>
            <w:tcW w:w="3024" w:type="dxa"/>
            <w:noWrap/>
            <w:tcMar>
              <w:top w:w="0" w:type="dxa"/>
              <w:left w:w="108" w:type="dxa"/>
              <w:bottom w:w="0" w:type="dxa"/>
              <w:right w:w="108" w:type="dxa"/>
            </w:tcMar>
            <w:vAlign w:val="bottom"/>
          </w:tcPr>
          <w:p w14:paraId="01B9491F" w14:textId="3E6914C0" w:rsidR="006E1FA5" w:rsidRPr="00C6319C" w:rsidRDefault="00A2194A" w:rsidP="00E34357">
            <w:pPr>
              <w:keepNext/>
              <w:spacing w:before="0" w:after="0"/>
              <w:rPr>
                <w:rFonts w:cs="Calibri Light"/>
                <w:sz w:val="20"/>
                <w:szCs w:val="22"/>
              </w:rPr>
            </w:pPr>
            <w:r>
              <w:rPr>
                <w:rFonts w:cs="Calibri Light"/>
                <w:sz w:val="20"/>
                <w:szCs w:val="22"/>
              </w:rPr>
              <w:t>Res</w:t>
            </w:r>
          </w:p>
        </w:tc>
      </w:tr>
      <w:tr w:rsidR="006E1FA5" w:rsidRPr="00A47168" w14:paraId="015390B3" w14:textId="77777777" w:rsidTr="00ED2242">
        <w:trPr>
          <w:trHeight w:val="290"/>
        </w:trPr>
        <w:tc>
          <w:tcPr>
            <w:tcW w:w="3024" w:type="dxa"/>
            <w:noWrap/>
            <w:tcMar>
              <w:top w:w="0" w:type="dxa"/>
              <w:left w:w="108" w:type="dxa"/>
              <w:bottom w:w="0" w:type="dxa"/>
              <w:right w:w="108" w:type="dxa"/>
            </w:tcMar>
            <w:vAlign w:val="bottom"/>
          </w:tcPr>
          <w:p w14:paraId="091A0ED6" w14:textId="32621FCA" w:rsidR="006E1FA5" w:rsidRDefault="006E1FA5" w:rsidP="00E34357">
            <w:pPr>
              <w:keepNext/>
              <w:spacing w:before="0" w:after="0"/>
              <w:rPr>
                <w:rFonts w:cs="Calibri Light"/>
                <w:color w:val="000000"/>
                <w:sz w:val="20"/>
                <w:szCs w:val="22"/>
              </w:rPr>
            </w:pPr>
            <w:r>
              <w:rPr>
                <w:rFonts w:cs="Calibri Light"/>
                <w:color w:val="000000"/>
                <w:sz w:val="20"/>
                <w:szCs w:val="22"/>
              </w:rPr>
              <w:t>New construction</w:t>
            </w:r>
          </w:p>
        </w:tc>
        <w:tc>
          <w:tcPr>
            <w:tcW w:w="3024" w:type="dxa"/>
            <w:noWrap/>
            <w:tcMar>
              <w:top w:w="0" w:type="dxa"/>
              <w:left w:w="108" w:type="dxa"/>
              <w:bottom w:w="0" w:type="dxa"/>
              <w:right w:w="108" w:type="dxa"/>
            </w:tcMar>
            <w:vAlign w:val="bottom"/>
          </w:tcPr>
          <w:p w14:paraId="47B7CB8F" w14:textId="254F08DF" w:rsidR="006E1FA5" w:rsidRDefault="006E1FA5" w:rsidP="00E34357">
            <w:pPr>
              <w:keepNext/>
              <w:spacing w:before="0" w:after="0"/>
              <w:rPr>
                <w:rFonts w:cs="Calibri Light"/>
                <w:color w:val="000000"/>
                <w:sz w:val="20"/>
                <w:szCs w:val="22"/>
              </w:rPr>
            </w:pPr>
            <w:proofErr w:type="spellStart"/>
            <w:r>
              <w:rPr>
                <w:rFonts w:cs="Calibri Light"/>
                <w:color w:val="000000"/>
                <w:sz w:val="20"/>
                <w:szCs w:val="22"/>
              </w:rPr>
              <w:t>UpDeemed</w:t>
            </w:r>
            <w:proofErr w:type="spellEnd"/>
          </w:p>
        </w:tc>
        <w:tc>
          <w:tcPr>
            <w:tcW w:w="3024" w:type="dxa"/>
            <w:noWrap/>
            <w:tcMar>
              <w:top w:w="0" w:type="dxa"/>
              <w:left w:w="108" w:type="dxa"/>
              <w:bottom w:w="0" w:type="dxa"/>
              <w:right w:w="108" w:type="dxa"/>
            </w:tcMar>
            <w:vAlign w:val="bottom"/>
          </w:tcPr>
          <w:p w14:paraId="7109000B" w14:textId="59C78F80" w:rsidR="006E1FA5" w:rsidRDefault="00A2194A" w:rsidP="00E34357">
            <w:pPr>
              <w:keepNext/>
              <w:spacing w:before="0" w:after="0"/>
              <w:rPr>
                <w:rFonts w:cs="Calibri Light"/>
                <w:sz w:val="20"/>
                <w:szCs w:val="22"/>
              </w:rPr>
            </w:pPr>
            <w:r>
              <w:rPr>
                <w:rFonts w:cs="Calibri Light"/>
                <w:sz w:val="20"/>
                <w:szCs w:val="22"/>
              </w:rPr>
              <w:t>Res</w:t>
            </w:r>
          </w:p>
        </w:tc>
      </w:tr>
      <w:bookmarkEnd w:id="35"/>
    </w:tbl>
    <w:p w14:paraId="1608D271" w14:textId="77777777" w:rsidR="00E34357" w:rsidRDefault="00E34357" w:rsidP="00E34357"/>
    <w:p w14:paraId="249440E5" w14:textId="3B891C20" w:rsidR="00246F25" w:rsidRDefault="00196649" w:rsidP="00277AFF">
      <w:pPr>
        <w:pStyle w:val="eTRMHeading5"/>
        <w:keepNext/>
        <w:keepLines/>
      </w:pPr>
      <w:r>
        <w:t>Eligible Products</w:t>
      </w:r>
    </w:p>
    <w:p w14:paraId="136ECE39" w14:textId="1ECEEAB1" w:rsidR="00155A66" w:rsidRDefault="00E50B4F" w:rsidP="00155A66">
      <w:r>
        <w:t>The e</w:t>
      </w:r>
      <w:r w:rsidR="00155A66">
        <w:t xml:space="preserve">ligibility requirements for </w:t>
      </w:r>
      <w:r>
        <w:t xml:space="preserve">a </w:t>
      </w:r>
      <w:r w:rsidR="00155A66">
        <w:t>multifamily boiler are enumerated below:</w:t>
      </w:r>
    </w:p>
    <w:p w14:paraId="72F821D0" w14:textId="1CFBEADD" w:rsidR="002260C2" w:rsidRDefault="002260C2" w:rsidP="005E6FDB">
      <w:pPr>
        <w:pStyle w:val="eTRMBulletedText"/>
      </w:pPr>
      <w:r>
        <w:t>The boiler must meet the mini</w:t>
      </w:r>
      <w:r w:rsidR="00155A66">
        <w:t>mum qualifying efficiency ratings in</w:t>
      </w:r>
      <w:r w:rsidR="00DD30BB">
        <w:t xml:space="preserve"> the Measure Case Description</w:t>
      </w:r>
      <w:r>
        <w:t xml:space="preserve">. </w:t>
      </w:r>
    </w:p>
    <w:p w14:paraId="1B98C426" w14:textId="318DC836" w:rsidR="00A03EBC" w:rsidRDefault="00155A66" w:rsidP="00155A66">
      <w:pPr>
        <w:pStyle w:val="eTRMBulletedText"/>
      </w:pPr>
      <w:r>
        <w:t>Only</w:t>
      </w:r>
      <w:r w:rsidR="00A03EBC" w:rsidRPr="006A6691">
        <w:t xml:space="preserve"> </w:t>
      </w:r>
      <w:r w:rsidR="00E50B4F">
        <w:t xml:space="preserve">a </w:t>
      </w:r>
      <w:r w:rsidR="00A03EBC" w:rsidRPr="006A6691">
        <w:t>gas-for-gas equipment replacement</w:t>
      </w:r>
      <w:r w:rsidR="00E50B4F">
        <w:t xml:space="preserve"> is permitted.</w:t>
      </w:r>
      <w:r w:rsidR="00A03EBC">
        <w:t xml:space="preserve"> </w:t>
      </w:r>
    </w:p>
    <w:p w14:paraId="08A0CB02" w14:textId="0005B630" w:rsidR="00A03EBC" w:rsidRDefault="00E50B4F" w:rsidP="00155A66">
      <w:pPr>
        <w:pStyle w:val="eTRMBulletedText"/>
      </w:pPr>
      <w:r>
        <w:t>A q</w:t>
      </w:r>
      <w:r w:rsidR="00A03EBC">
        <w:t xml:space="preserve">ualifying </w:t>
      </w:r>
      <w:bookmarkStart w:id="36" w:name="_Ref320695554"/>
      <w:r w:rsidR="00A03EBC">
        <w:t xml:space="preserve">boiler must meet the minimum efficiency requirements </w:t>
      </w:r>
      <w:bookmarkEnd w:id="36"/>
      <w:r w:rsidR="00656B65">
        <w:t xml:space="preserve">and </w:t>
      </w:r>
      <w:r w:rsidR="00A03EBC">
        <w:t>emission requirements</w:t>
      </w:r>
      <w:r w:rsidR="005E6FDB">
        <w:t xml:space="preserve"> per the</w:t>
      </w:r>
      <w:r w:rsidR="006C4037">
        <w:t>ir AQMD regulations that apply</w:t>
      </w:r>
      <w:r w:rsidR="00656B65">
        <w:t>.</w:t>
      </w:r>
    </w:p>
    <w:p w14:paraId="1D2DC2D6" w14:textId="448C6918" w:rsidR="006E1FA5" w:rsidRDefault="006E1FA5" w:rsidP="00155A66">
      <w:pPr>
        <w:pStyle w:val="eTRMBulletedText"/>
      </w:pPr>
      <w:r>
        <w:t>Any size boiler is eligible.</w:t>
      </w:r>
    </w:p>
    <w:p w14:paraId="59A8A951" w14:textId="762B0CCD" w:rsidR="006E1FA5" w:rsidRDefault="006E1FA5" w:rsidP="00155A66">
      <w:pPr>
        <w:pStyle w:val="eTRMBulletedText"/>
      </w:pPr>
      <w:r>
        <w:t>The boiler must serve two or more dwelling units.</w:t>
      </w:r>
    </w:p>
    <w:p w14:paraId="46CDAB11" w14:textId="77777777" w:rsidR="006E1FA5" w:rsidRPr="00A03EBC" w:rsidRDefault="006E1FA5" w:rsidP="006E1FA5">
      <w:pPr>
        <w:pStyle w:val="eTRMBulletedText"/>
        <w:numPr>
          <w:ilvl w:val="0"/>
          <w:numId w:val="0"/>
        </w:numPr>
        <w:ind w:left="720" w:hanging="360"/>
      </w:pPr>
    </w:p>
    <w:p w14:paraId="7CE938DA" w14:textId="4B1EF8EC" w:rsidR="007B6A74" w:rsidRDefault="007B6A74" w:rsidP="00C6319C">
      <w:pPr>
        <w:pStyle w:val="eTRMHeading5"/>
        <w:keepNext/>
        <w:keepLines/>
      </w:pPr>
      <w:r w:rsidRPr="00401C43">
        <w:t>Eligible Building Types</w:t>
      </w:r>
    </w:p>
    <w:p w14:paraId="31CB7EF5" w14:textId="28F9273D" w:rsidR="000E4A4B" w:rsidRDefault="00F10491" w:rsidP="00C6319C">
      <w:pPr>
        <w:keepNext/>
        <w:keepLines/>
      </w:pPr>
      <w:r>
        <w:t xml:space="preserve">This measure is only applicable </w:t>
      </w:r>
      <w:r w:rsidR="00155A66">
        <w:t>in</w:t>
      </w:r>
      <w:r w:rsidR="00B41561">
        <w:t xml:space="preserve"> existing and new</w:t>
      </w:r>
      <w:r>
        <w:t xml:space="preserve"> multifamily building</w:t>
      </w:r>
      <w:r w:rsidR="00B41561">
        <w:t>s of any vintage</w:t>
      </w:r>
      <w:r>
        <w:t>.</w:t>
      </w:r>
      <w:r w:rsidR="000E4A4B" w:rsidRPr="000E4A4B">
        <w:t xml:space="preserve"> </w:t>
      </w:r>
    </w:p>
    <w:p w14:paraId="3F1BBE40" w14:textId="77777777" w:rsidR="006E1FA5" w:rsidRDefault="006E1FA5" w:rsidP="00C6319C">
      <w:pPr>
        <w:keepNext/>
        <w:keepLines/>
      </w:pPr>
    </w:p>
    <w:p w14:paraId="1A3705F3" w14:textId="4BC0985D" w:rsidR="007B6A74" w:rsidRPr="004B06E3" w:rsidRDefault="00196649" w:rsidP="00154391">
      <w:pPr>
        <w:pStyle w:val="eTRMHeading5"/>
      </w:pPr>
      <w:r>
        <w:t>Eligible Climate Zones</w:t>
      </w:r>
    </w:p>
    <w:p w14:paraId="499A97CB" w14:textId="6A0E3103" w:rsidR="00C6105E" w:rsidRDefault="00C15D93" w:rsidP="004B06E3">
      <w:r>
        <w:t>The measure is applicable in all California climate zones.</w:t>
      </w:r>
    </w:p>
    <w:p w14:paraId="0BAC7130" w14:textId="77777777" w:rsidR="007823C2" w:rsidRPr="004B06E3" w:rsidRDefault="007823C2" w:rsidP="004B06E3"/>
    <w:p w14:paraId="47630D60" w14:textId="77777777" w:rsidR="007D230B" w:rsidRPr="004B06E3" w:rsidRDefault="007D230B" w:rsidP="00777422">
      <w:pPr>
        <w:pStyle w:val="eTRMHeading3"/>
      </w:pPr>
      <w:bookmarkStart w:id="37" w:name="_Toc486490853"/>
      <w:bookmarkStart w:id="38" w:name="_Toc486580924"/>
      <w:bookmarkStart w:id="39" w:name="_Toc1723487"/>
      <w:r w:rsidRPr="004B06E3">
        <w:t>Program Exclusions</w:t>
      </w:r>
      <w:bookmarkEnd w:id="37"/>
      <w:bookmarkEnd w:id="38"/>
      <w:bookmarkEnd w:id="39"/>
      <w:r w:rsidRPr="004B06E3">
        <w:t xml:space="preserve"> </w:t>
      </w:r>
    </w:p>
    <w:p w14:paraId="525A67A8" w14:textId="69D0155C" w:rsidR="000E4A4B" w:rsidRDefault="00060591" w:rsidP="00060591">
      <w:r>
        <w:t>This measure does not include storage water heaters or b</w:t>
      </w:r>
      <w:r w:rsidR="000E4A4B">
        <w:t>oilers</w:t>
      </w:r>
      <w:r w:rsidR="000E4A4B" w:rsidRPr="00A50306">
        <w:t xml:space="preserve"> used for space heating applications. Water heaters used for pools or spas do not qualify.  </w:t>
      </w:r>
    </w:p>
    <w:p w14:paraId="37D557ED" w14:textId="77777777" w:rsidR="00020218" w:rsidRPr="004B06E3" w:rsidRDefault="00020218" w:rsidP="004B06E3"/>
    <w:p w14:paraId="1CB0E01A" w14:textId="35EF8CEE" w:rsidR="007D230B" w:rsidRPr="004B06E3" w:rsidRDefault="007D230B" w:rsidP="00777422">
      <w:pPr>
        <w:pStyle w:val="eTRMHeading3"/>
      </w:pPr>
      <w:bookmarkStart w:id="40" w:name="_Toc486490854"/>
      <w:bookmarkStart w:id="41" w:name="_Toc486580925"/>
      <w:bookmarkStart w:id="42" w:name="_Toc1723488"/>
      <w:r w:rsidRPr="004B06E3">
        <w:t>Data Collection Requirements</w:t>
      </w:r>
      <w:bookmarkEnd w:id="40"/>
      <w:bookmarkEnd w:id="41"/>
      <w:bookmarkEnd w:id="42"/>
      <w:r w:rsidRPr="004B06E3">
        <w:t xml:space="preserve"> </w:t>
      </w:r>
    </w:p>
    <w:p w14:paraId="1DE4B379" w14:textId="2B6AE83E" w:rsidR="00DD30BB" w:rsidRDefault="00187521" w:rsidP="00DD30BB">
      <w:bookmarkStart w:id="43" w:name="_Toc486490855"/>
      <w:bookmarkStart w:id="44" w:name="_Toc486580926"/>
      <w:r>
        <w:t>Data collection requirements are to be determined.</w:t>
      </w:r>
    </w:p>
    <w:p w14:paraId="3F5C4CD1" w14:textId="77777777" w:rsidR="00187521" w:rsidRPr="004B06E3" w:rsidRDefault="00187521" w:rsidP="00DD30BB"/>
    <w:p w14:paraId="75EE1349" w14:textId="06EAC2ED" w:rsidR="00DD30BB" w:rsidRPr="004B06E3" w:rsidRDefault="007D230B" w:rsidP="00777422">
      <w:pPr>
        <w:pStyle w:val="eTRMHeading3"/>
      </w:pPr>
      <w:bookmarkStart w:id="45" w:name="_Toc1723489"/>
      <w:r w:rsidRPr="004B06E3">
        <w:t>Use Category</w:t>
      </w:r>
      <w:bookmarkEnd w:id="43"/>
      <w:bookmarkEnd w:id="44"/>
      <w:bookmarkEnd w:id="45"/>
    </w:p>
    <w:p w14:paraId="5D07E710" w14:textId="467EB660" w:rsidR="004142EF" w:rsidRDefault="00101854" w:rsidP="004142EF">
      <w:r>
        <w:t>Service &amp; domestic hot water</w:t>
      </w:r>
    </w:p>
    <w:p w14:paraId="13382FF9" w14:textId="77777777" w:rsidR="004142EF" w:rsidRPr="004B06E3" w:rsidRDefault="004142EF" w:rsidP="004B06E3"/>
    <w:p w14:paraId="4B62D367" w14:textId="370A839E" w:rsidR="007D230B" w:rsidRPr="004B06E3" w:rsidRDefault="007D230B" w:rsidP="00777422">
      <w:pPr>
        <w:pStyle w:val="eTRMHeading3"/>
      </w:pPr>
      <w:bookmarkStart w:id="46" w:name="_Toc486490857"/>
      <w:bookmarkStart w:id="47" w:name="_Toc486580928"/>
      <w:bookmarkStart w:id="48" w:name="_Toc1723490"/>
      <w:r w:rsidRPr="004B06E3">
        <w:t>Electric Savings</w:t>
      </w:r>
      <w:r w:rsidR="00245AFF" w:rsidRPr="004B06E3">
        <w:t xml:space="preserve"> (</w:t>
      </w:r>
      <w:r w:rsidR="00E14349" w:rsidRPr="00ED2242">
        <w:rPr>
          <w:caps w:val="0"/>
        </w:rPr>
        <w:t>k</w:t>
      </w:r>
      <w:r w:rsidR="00245AFF" w:rsidRPr="00ED2242">
        <w:rPr>
          <w:caps w:val="0"/>
        </w:rPr>
        <w:t>Wh</w:t>
      </w:r>
      <w:r w:rsidR="00245AFF" w:rsidRPr="004B06E3">
        <w:t>)</w:t>
      </w:r>
      <w:bookmarkEnd w:id="46"/>
      <w:bookmarkEnd w:id="47"/>
      <w:bookmarkEnd w:id="48"/>
    </w:p>
    <w:p w14:paraId="5C215448" w14:textId="11BFD819" w:rsidR="00BE0CA4" w:rsidRPr="004142EF" w:rsidRDefault="00BE0CA4" w:rsidP="00BE0CA4">
      <w:bookmarkStart w:id="49" w:name="_Toc486490856"/>
      <w:bookmarkStart w:id="50" w:name="_Toc486580927"/>
      <w:r>
        <w:t>Not applicable.</w:t>
      </w:r>
    </w:p>
    <w:p w14:paraId="05AB253A" w14:textId="77777777" w:rsidR="00BE0CA4" w:rsidRPr="004B06E3" w:rsidRDefault="00BE0CA4" w:rsidP="00BE0CA4"/>
    <w:p w14:paraId="7A78C6BF" w14:textId="29626A6F" w:rsidR="00BE0CA4" w:rsidRPr="004B06E3" w:rsidRDefault="00BE0CA4" w:rsidP="00777422">
      <w:pPr>
        <w:pStyle w:val="eTRMHeading3"/>
      </w:pPr>
      <w:bookmarkStart w:id="51" w:name="_Toc1723491"/>
      <w:r w:rsidRPr="004B06E3">
        <w:t>Peak Electric Demand Reduction (</w:t>
      </w:r>
      <w:r w:rsidR="00ED2242" w:rsidRPr="00ED2242">
        <w:rPr>
          <w:caps w:val="0"/>
        </w:rPr>
        <w:t>kW</w:t>
      </w:r>
      <w:r w:rsidRPr="004B06E3">
        <w:t>)</w:t>
      </w:r>
      <w:bookmarkEnd w:id="49"/>
      <w:bookmarkEnd w:id="50"/>
      <w:bookmarkEnd w:id="51"/>
    </w:p>
    <w:p w14:paraId="1AE9A415" w14:textId="77777777" w:rsidR="00BE0CA4" w:rsidRPr="004142EF" w:rsidRDefault="00BE0CA4" w:rsidP="00BE0CA4">
      <w:r>
        <w:t>Not applicable.</w:t>
      </w:r>
    </w:p>
    <w:p w14:paraId="11540D3D" w14:textId="77777777" w:rsidR="004142EF" w:rsidRPr="004B06E3" w:rsidRDefault="004142EF" w:rsidP="004B06E3"/>
    <w:p w14:paraId="0E9D248B" w14:textId="48895F94" w:rsidR="007D230B" w:rsidRDefault="007D230B" w:rsidP="00777422">
      <w:pPr>
        <w:pStyle w:val="eTRMHeading3"/>
      </w:pPr>
      <w:bookmarkStart w:id="52" w:name="_Toc486490858"/>
      <w:bookmarkStart w:id="53" w:name="_Toc486580929"/>
      <w:bookmarkStart w:id="54" w:name="_Toc1723492"/>
      <w:r w:rsidRPr="004B06E3">
        <w:t>Gas Savings</w:t>
      </w:r>
      <w:r w:rsidR="00245AFF" w:rsidRPr="004B06E3">
        <w:t xml:space="preserve"> (Therms)</w:t>
      </w:r>
      <w:bookmarkEnd w:id="52"/>
      <w:bookmarkEnd w:id="53"/>
      <w:bookmarkEnd w:id="54"/>
    </w:p>
    <w:p w14:paraId="38C572FD" w14:textId="4BDA84D8" w:rsidR="0035745A" w:rsidRDefault="0035745A" w:rsidP="004A2371">
      <w:r>
        <w:t>The annual gas unit energy savings (UES) from the installation of a Tier 1 or Tier 2 boiler at a multifamily facility were determined by using the Building America Central Water Heating Evaluation Tool, modified for California.</w:t>
      </w:r>
      <w:r w:rsidR="004A2371">
        <w:rPr>
          <w:rStyle w:val="FootnoteReference"/>
        </w:rPr>
        <w:footnoteReference w:id="5"/>
      </w:r>
      <w:r w:rsidR="00E73505">
        <w:t xml:space="preserve"> (The Building America calculation tool was modified to model central gas water heaters in the Southern California Gas Company service area.)</w:t>
      </w:r>
    </w:p>
    <w:p w14:paraId="1C037CF5" w14:textId="6681AB44" w:rsidR="00912986" w:rsidRPr="00D07603" w:rsidRDefault="00912986" w:rsidP="00912986">
      <w:r>
        <w:t>T</w:t>
      </w:r>
      <w:r w:rsidRPr="004F5B34">
        <w:t xml:space="preserve">he </w:t>
      </w:r>
      <w:r>
        <w:t xml:space="preserve">fundamental calculation of </w:t>
      </w:r>
      <w:r w:rsidR="0067506C" w:rsidRPr="004E60D6">
        <w:t>annual gas unit energy savings (UES) from the installation of a Tier 1 or Tier 2 boiler at a multifamily facility</w:t>
      </w:r>
      <w:r w:rsidR="00776724">
        <w:t>,</w:t>
      </w:r>
      <w:r w:rsidRPr="004F5B34">
        <w:t xml:space="preserve"> </w:t>
      </w:r>
      <w:r>
        <w:t xml:space="preserve">represented </w:t>
      </w:r>
      <w:r w:rsidR="00101854">
        <w:t>below</w:t>
      </w:r>
      <w:r w:rsidR="00776724">
        <w:t xml:space="preserve">, is </w:t>
      </w:r>
      <w:r w:rsidRPr="00503F65">
        <w:t xml:space="preserve">the difference between the annual gas </w:t>
      </w:r>
      <w:r>
        <w:t>unit energy consumption (UEC)</w:t>
      </w:r>
      <w:r w:rsidRPr="00503F65">
        <w:t xml:space="preserve"> of the base case and the measure </w:t>
      </w:r>
      <w:r>
        <w:t xml:space="preserve">case </w:t>
      </w:r>
      <w:r w:rsidRPr="00503F65">
        <w:t>boiler</w:t>
      </w:r>
      <w:r>
        <w:t>s</w:t>
      </w:r>
      <w:r w:rsidRPr="00503F65">
        <w:t xml:space="preserve">. </w:t>
      </w:r>
    </w:p>
    <w:p w14:paraId="66A9E345" w14:textId="77777777" w:rsidR="00912986" w:rsidRPr="00FA45EF" w:rsidRDefault="00912986" w:rsidP="00912986">
      <w:pPr>
        <w:ind w:left="720"/>
        <w:jc w:val="center"/>
        <w:rPr>
          <w:rFonts w:ascii="Arial" w:hAnsi="Arial" w:cs="Arial"/>
          <w:sz w:val="20"/>
          <w:szCs w:val="22"/>
        </w:rPr>
      </w:pPr>
      <m:oMathPara>
        <m:oMathParaPr>
          <m:jc m:val="left"/>
        </m:oMathParaPr>
        <m:oMath>
          <m:r>
            <w:rPr>
              <w:rFonts w:ascii="Cambria Math" w:hAnsi="Arial" w:cs="Arial"/>
              <w:sz w:val="20"/>
              <w:szCs w:val="22"/>
            </w:rPr>
            <w:lastRenderedPageBreak/>
            <m:t>UES=</m:t>
          </m:r>
          <m:sSub>
            <m:sSubPr>
              <m:ctrlPr>
                <w:rPr>
                  <w:rFonts w:ascii="Cambria Math" w:hAnsi="Arial" w:cs="Arial"/>
                  <w:i/>
                  <w:sz w:val="20"/>
                  <w:szCs w:val="22"/>
                </w:rPr>
              </m:ctrlPr>
            </m:sSubPr>
            <m:e>
              <m:r>
                <w:rPr>
                  <w:rFonts w:ascii="Cambria Math" w:hAnsi="Arial" w:cs="Arial"/>
                  <w:sz w:val="20"/>
                  <w:szCs w:val="22"/>
                </w:rPr>
                <m:t>UEC</m:t>
              </m:r>
            </m:e>
            <m:sub>
              <m:r>
                <w:rPr>
                  <w:rFonts w:ascii="Cambria Math" w:hAnsi="Arial" w:cs="Arial"/>
                  <w:sz w:val="20"/>
                  <w:szCs w:val="22"/>
                </w:rPr>
                <m:t>base</m:t>
              </m:r>
            </m:sub>
          </m:sSub>
          <m:r>
            <w:rPr>
              <w:rFonts w:ascii="Cambria Math" w:hAnsi="Cambria Math" w:cs="Arial"/>
              <w:sz w:val="20"/>
              <w:szCs w:val="22"/>
            </w:rPr>
            <m:t>-</m:t>
          </m:r>
          <m:sSub>
            <m:sSubPr>
              <m:ctrlPr>
                <w:rPr>
                  <w:rFonts w:ascii="Cambria Math" w:hAnsi="Cambria Math" w:cs="Arial"/>
                  <w:i/>
                  <w:sz w:val="20"/>
                  <w:szCs w:val="22"/>
                </w:rPr>
              </m:ctrlPr>
            </m:sSubPr>
            <m:e>
              <m:r>
                <w:rPr>
                  <w:rFonts w:ascii="Cambria Math" w:hAnsi="Cambria Math" w:cs="Arial"/>
                  <w:sz w:val="20"/>
                  <w:szCs w:val="22"/>
                </w:rPr>
                <m:t>UEC</m:t>
              </m:r>
            </m:e>
            <m:sub>
              <m:r>
                <w:rPr>
                  <w:rFonts w:ascii="Cambria Math" w:hAnsi="Cambria Math" w:cs="Arial"/>
                  <w:sz w:val="20"/>
                  <w:szCs w:val="22"/>
                </w:rPr>
                <m:t>measure</m:t>
              </m:r>
            </m:sub>
          </m:sSub>
        </m:oMath>
      </m:oMathPara>
    </w:p>
    <w:p w14:paraId="2A9484F6" w14:textId="77777777" w:rsidR="00101854" w:rsidRDefault="00101854" w:rsidP="00912986">
      <w:pPr>
        <w:tabs>
          <w:tab w:val="left" w:pos="2880"/>
        </w:tabs>
        <w:spacing w:before="20" w:after="20"/>
        <w:ind w:left="1440"/>
        <w:rPr>
          <w:rFonts w:ascii="Cambria Math" w:hAnsi="Cambria Math" w:cs="Arial"/>
          <w:i/>
          <w:sz w:val="18"/>
          <w:szCs w:val="22"/>
        </w:rPr>
      </w:pPr>
    </w:p>
    <w:p w14:paraId="491DBC4C" w14:textId="17942D24" w:rsidR="00912986" w:rsidRPr="00FA45EF" w:rsidRDefault="00912986" w:rsidP="00912986">
      <w:pPr>
        <w:tabs>
          <w:tab w:val="left" w:pos="2880"/>
        </w:tabs>
        <w:spacing w:before="20" w:after="20"/>
        <w:ind w:left="1440"/>
        <w:rPr>
          <w:rFonts w:ascii="Cambria Math" w:hAnsi="Cambria Math" w:cs="Arial"/>
          <w:i/>
          <w:sz w:val="18"/>
          <w:szCs w:val="22"/>
        </w:rPr>
      </w:pPr>
      <w:r w:rsidRPr="00FA45EF">
        <w:rPr>
          <w:rFonts w:ascii="Cambria Math" w:hAnsi="Cambria Math" w:cs="Arial"/>
          <w:i/>
          <w:sz w:val="18"/>
          <w:szCs w:val="22"/>
        </w:rPr>
        <w:t xml:space="preserve">UES= </w:t>
      </w:r>
      <w:r w:rsidRPr="00FA45EF">
        <w:rPr>
          <w:rFonts w:ascii="Cambria Math" w:hAnsi="Cambria Math" w:cs="Arial"/>
          <w:i/>
          <w:sz w:val="18"/>
          <w:szCs w:val="22"/>
        </w:rPr>
        <w:tab/>
      </w:r>
      <w:r>
        <w:rPr>
          <w:rFonts w:ascii="Cambria Math" w:hAnsi="Cambria Math" w:cs="Arial"/>
          <w:i/>
          <w:sz w:val="18"/>
          <w:szCs w:val="22"/>
        </w:rPr>
        <w:t xml:space="preserve">Unit energy </w:t>
      </w:r>
      <w:r w:rsidRPr="00FA45EF">
        <w:rPr>
          <w:rFonts w:ascii="Cambria Math" w:hAnsi="Cambria Math" w:cs="Arial"/>
          <w:i/>
          <w:sz w:val="18"/>
          <w:szCs w:val="22"/>
        </w:rPr>
        <w:t xml:space="preserve">savings, </w:t>
      </w:r>
      <w:proofErr w:type="spellStart"/>
      <w:r w:rsidRPr="00FA45EF">
        <w:rPr>
          <w:rFonts w:ascii="Cambria Math" w:hAnsi="Cambria Math" w:cs="Arial"/>
          <w:i/>
          <w:sz w:val="18"/>
          <w:szCs w:val="22"/>
        </w:rPr>
        <w:t>therms</w:t>
      </w:r>
      <w:proofErr w:type="spellEnd"/>
      <w:r w:rsidRPr="00FA45EF">
        <w:rPr>
          <w:rFonts w:ascii="Cambria Math" w:hAnsi="Cambria Math" w:cs="Arial"/>
          <w:i/>
          <w:sz w:val="18"/>
          <w:szCs w:val="22"/>
        </w:rPr>
        <w:t>/</w:t>
      </w:r>
      <w:proofErr w:type="spellStart"/>
      <w:r w:rsidRPr="00FA45EF">
        <w:rPr>
          <w:rFonts w:ascii="Cambria Math" w:hAnsi="Cambria Math" w:cs="Arial"/>
          <w:i/>
          <w:sz w:val="18"/>
          <w:szCs w:val="22"/>
        </w:rPr>
        <w:t>kBtu</w:t>
      </w:r>
      <w:proofErr w:type="spellEnd"/>
      <w:r w:rsidRPr="00FA45EF">
        <w:rPr>
          <w:rFonts w:ascii="Cambria Math" w:hAnsi="Cambria Math" w:cs="Arial"/>
          <w:i/>
          <w:sz w:val="18"/>
          <w:szCs w:val="22"/>
        </w:rPr>
        <w:t>/</w:t>
      </w:r>
      <w:proofErr w:type="spellStart"/>
      <w:r w:rsidRPr="00FA45EF">
        <w:rPr>
          <w:rFonts w:ascii="Cambria Math" w:hAnsi="Cambria Math" w:cs="Arial"/>
          <w:i/>
          <w:sz w:val="18"/>
          <w:szCs w:val="22"/>
        </w:rPr>
        <w:t>hr</w:t>
      </w:r>
      <w:proofErr w:type="spellEnd"/>
      <w:r w:rsidRPr="00FA45EF">
        <w:rPr>
          <w:rFonts w:ascii="Cambria Math" w:hAnsi="Cambria Math" w:cs="Arial"/>
          <w:i/>
          <w:sz w:val="18"/>
          <w:szCs w:val="22"/>
        </w:rPr>
        <w:t xml:space="preserve"> input rating</w:t>
      </w:r>
    </w:p>
    <w:p w14:paraId="14CD8E19" w14:textId="77777777" w:rsidR="00912986" w:rsidRPr="00FA45EF" w:rsidRDefault="00912986" w:rsidP="00912986">
      <w:pPr>
        <w:tabs>
          <w:tab w:val="left" w:pos="2880"/>
        </w:tabs>
        <w:spacing w:before="20" w:after="20"/>
        <w:ind w:left="1440"/>
        <w:rPr>
          <w:rFonts w:ascii="Cambria Math" w:hAnsi="Cambria Math" w:cs="Arial"/>
          <w:i/>
          <w:sz w:val="18"/>
          <w:szCs w:val="22"/>
        </w:rPr>
      </w:pPr>
      <w:proofErr w:type="spellStart"/>
      <w:r w:rsidRPr="00FA45EF">
        <w:rPr>
          <w:rFonts w:ascii="Cambria Math" w:hAnsi="Cambria Math" w:cs="Arial"/>
          <w:i/>
          <w:sz w:val="18"/>
          <w:szCs w:val="22"/>
        </w:rPr>
        <w:t>UEC</w:t>
      </w:r>
      <w:r w:rsidRPr="00FA45EF">
        <w:rPr>
          <w:rFonts w:ascii="Cambria Math" w:hAnsi="Cambria Math" w:cs="Arial"/>
          <w:i/>
          <w:sz w:val="18"/>
          <w:szCs w:val="22"/>
          <w:vertAlign w:val="subscript"/>
        </w:rPr>
        <w:t>base</w:t>
      </w:r>
      <w:proofErr w:type="spellEnd"/>
      <w:r w:rsidRPr="00FA45EF">
        <w:rPr>
          <w:rFonts w:ascii="Cambria Math" w:hAnsi="Cambria Math" w:cs="Arial"/>
          <w:i/>
          <w:sz w:val="18"/>
          <w:szCs w:val="22"/>
          <w:vertAlign w:val="subscript"/>
        </w:rPr>
        <w:t xml:space="preserve"> </w:t>
      </w:r>
      <w:r w:rsidRPr="00FA45EF">
        <w:rPr>
          <w:rFonts w:ascii="Cambria Math" w:hAnsi="Cambria Math" w:cs="Arial"/>
          <w:i/>
          <w:sz w:val="18"/>
          <w:szCs w:val="22"/>
        </w:rPr>
        <w:t xml:space="preserve">= </w:t>
      </w:r>
      <w:r w:rsidRPr="00FA45EF">
        <w:rPr>
          <w:rFonts w:ascii="Cambria Math" w:hAnsi="Cambria Math" w:cs="Arial"/>
          <w:i/>
          <w:sz w:val="18"/>
          <w:szCs w:val="22"/>
        </w:rPr>
        <w:tab/>
      </w:r>
      <w:r>
        <w:rPr>
          <w:rFonts w:ascii="Cambria Math" w:hAnsi="Cambria Math" w:cs="Arial"/>
          <w:i/>
          <w:sz w:val="18"/>
          <w:szCs w:val="22"/>
        </w:rPr>
        <w:t>Unit energy consumption, b</w:t>
      </w:r>
      <w:r w:rsidRPr="00FA45EF">
        <w:rPr>
          <w:rFonts w:ascii="Cambria Math" w:hAnsi="Cambria Math" w:cs="Arial"/>
          <w:i/>
          <w:sz w:val="18"/>
          <w:szCs w:val="22"/>
        </w:rPr>
        <w:t xml:space="preserve">ase case, </w:t>
      </w:r>
      <w:proofErr w:type="spellStart"/>
      <w:r w:rsidRPr="00FA45EF">
        <w:rPr>
          <w:rFonts w:ascii="Cambria Math" w:hAnsi="Cambria Math" w:cs="Arial"/>
          <w:i/>
          <w:sz w:val="18"/>
          <w:szCs w:val="22"/>
        </w:rPr>
        <w:t>therms</w:t>
      </w:r>
      <w:proofErr w:type="spellEnd"/>
      <w:r w:rsidRPr="00FA45EF">
        <w:rPr>
          <w:rFonts w:ascii="Cambria Math" w:hAnsi="Cambria Math" w:cs="Arial"/>
          <w:i/>
          <w:sz w:val="18"/>
          <w:szCs w:val="22"/>
        </w:rPr>
        <w:t>/</w:t>
      </w:r>
      <w:proofErr w:type="spellStart"/>
      <w:r w:rsidRPr="00FA45EF">
        <w:rPr>
          <w:rFonts w:ascii="Cambria Math" w:hAnsi="Cambria Math" w:cs="Arial"/>
          <w:i/>
          <w:sz w:val="18"/>
          <w:szCs w:val="22"/>
        </w:rPr>
        <w:t>kBtu</w:t>
      </w:r>
      <w:proofErr w:type="spellEnd"/>
      <w:r w:rsidRPr="00FA45EF">
        <w:rPr>
          <w:rFonts w:ascii="Cambria Math" w:hAnsi="Cambria Math" w:cs="Arial"/>
          <w:i/>
          <w:sz w:val="18"/>
          <w:szCs w:val="22"/>
        </w:rPr>
        <w:t>/</w:t>
      </w:r>
      <w:proofErr w:type="spellStart"/>
      <w:r w:rsidRPr="00FA45EF">
        <w:rPr>
          <w:rFonts w:ascii="Cambria Math" w:hAnsi="Cambria Math" w:cs="Arial"/>
          <w:i/>
          <w:sz w:val="18"/>
          <w:szCs w:val="22"/>
        </w:rPr>
        <w:t>hr</w:t>
      </w:r>
      <w:proofErr w:type="spellEnd"/>
      <w:r w:rsidRPr="00FA45EF">
        <w:rPr>
          <w:rFonts w:ascii="Cambria Math" w:hAnsi="Cambria Math" w:cs="Arial"/>
          <w:i/>
          <w:sz w:val="18"/>
          <w:szCs w:val="22"/>
        </w:rPr>
        <w:t xml:space="preserve"> input rating</w:t>
      </w:r>
    </w:p>
    <w:p w14:paraId="2CD10A6F" w14:textId="77777777" w:rsidR="00912986" w:rsidRPr="00FA45EF" w:rsidRDefault="00912986" w:rsidP="00912986">
      <w:pPr>
        <w:tabs>
          <w:tab w:val="left" w:pos="2880"/>
        </w:tabs>
        <w:spacing w:before="20" w:after="20"/>
        <w:ind w:left="1440"/>
        <w:rPr>
          <w:rFonts w:ascii="Cambria Math" w:hAnsi="Cambria Math" w:cs="Arial"/>
          <w:i/>
          <w:sz w:val="18"/>
          <w:szCs w:val="22"/>
        </w:rPr>
      </w:pPr>
      <w:proofErr w:type="spellStart"/>
      <w:r w:rsidRPr="00FA45EF">
        <w:rPr>
          <w:rFonts w:ascii="Cambria Math" w:hAnsi="Cambria Math" w:cs="Arial"/>
          <w:i/>
          <w:sz w:val="18"/>
          <w:szCs w:val="22"/>
        </w:rPr>
        <w:t>UEC</w:t>
      </w:r>
      <w:r w:rsidRPr="00FA45EF">
        <w:rPr>
          <w:rFonts w:ascii="Cambria Math" w:hAnsi="Cambria Math" w:cs="Arial"/>
          <w:i/>
          <w:sz w:val="18"/>
          <w:szCs w:val="22"/>
          <w:vertAlign w:val="subscript"/>
        </w:rPr>
        <w:t>measure</w:t>
      </w:r>
      <w:proofErr w:type="spellEnd"/>
      <w:r w:rsidRPr="00FA45EF">
        <w:rPr>
          <w:rFonts w:ascii="Cambria Math" w:hAnsi="Cambria Math" w:cs="Arial"/>
          <w:i/>
          <w:sz w:val="18"/>
          <w:szCs w:val="22"/>
          <w:vertAlign w:val="subscript"/>
        </w:rPr>
        <w:t xml:space="preserve"> </w:t>
      </w:r>
      <w:r w:rsidRPr="00FA45EF">
        <w:rPr>
          <w:rFonts w:ascii="Cambria Math" w:hAnsi="Cambria Math" w:cs="Arial"/>
          <w:i/>
          <w:sz w:val="18"/>
          <w:szCs w:val="22"/>
        </w:rPr>
        <w:t>=</w:t>
      </w:r>
      <w:r w:rsidRPr="00FA45EF">
        <w:rPr>
          <w:rFonts w:ascii="Cambria Math" w:hAnsi="Cambria Math" w:cs="Arial"/>
          <w:i/>
          <w:sz w:val="18"/>
          <w:szCs w:val="22"/>
        </w:rPr>
        <w:tab/>
      </w:r>
      <w:r>
        <w:rPr>
          <w:rFonts w:ascii="Cambria Math" w:hAnsi="Cambria Math" w:cs="Arial"/>
          <w:i/>
          <w:sz w:val="18"/>
          <w:szCs w:val="22"/>
        </w:rPr>
        <w:t>Unit energy consumption, measure</w:t>
      </w:r>
      <w:r w:rsidRPr="00FA45EF">
        <w:rPr>
          <w:rFonts w:ascii="Cambria Math" w:hAnsi="Cambria Math" w:cs="Arial"/>
          <w:i/>
          <w:sz w:val="18"/>
          <w:szCs w:val="22"/>
        </w:rPr>
        <w:t xml:space="preserve"> case, </w:t>
      </w:r>
      <w:proofErr w:type="spellStart"/>
      <w:r w:rsidRPr="00FA45EF">
        <w:rPr>
          <w:rFonts w:ascii="Cambria Math" w:hAnsi="Cambria Math" w:cs="Arial"/>
          <w:i/>
          <w:sz w:val="18"/>
          <w:szCs w:val="22"/>
        </w:rPr>
        <w:t>therms</w:t>
      </w:r>
      <w:proofErr w:type="spellEnd"/>
      <w:r w:rsidRPr="00FA45EF">
        <w:rPr>
          <w:rFonts w:ascii="Cambria Math" w:hAnsi="Cambria Math" w:cs="Arial"/>
          <w:i/>
          <w:sz w:val="18"/>
          <w:szCs w:val="22"/>
        </w:rPr>
        <w:t>/</w:t>
      </w:r>
      <w:proofErr w:type="spellStart"/>
      <w:r w:rsidRPr="00FA45EF">
        <w:rPr>
          <w:rFonts w:ascii="Cambria Math" w:hAnsi="Cambria Math" w:cs="Arial"/>
          <w:i/>
          <w:sz w:val="18"/>
          <w:szCs w:val="22"/>
        </w:rPr>
        <w:t>kBtu</w:t>
      </w:r>
      <w:proofErr w:type="spellEnd"/>
      <w:r w:rsidRPr="00FA45EF">
        <w:rPr>
          <w:rFonts w:ascii="Cambria Math" w:hAnsi="Cambria Math" w:cs="Arial"/>
          <w:i/>
          <w:sz w:val="18"/>
          <w:szCs w:val="22"/>
        </w:rPr>
        <w:t>/</w:t>
      </w:r>
      <w:proofErr w:type="spellStart"/>
      <w:r w:rsidRPr="00FA45EF">
        <w:rPr>
          <w:rFonts w:ascii="Cambria Math" w:hAnsi="Cambria Math" w:cs="Arial"/>
          <w:i/>
          <w:sz w:val="18"/>
          <w:szCs w:val="22"/>
        </w:rPr>
        <w:t>hr</w:t>
      </w:r>
      <w:proofErr w:type="spellEnd"/>
      <w:r w:rsidRPr="00FA45EF">
        <w:rPr>
          <w:rFonts w:ascii="Cambria Math" w:hAnsi="Cambria Math" w:cs="Arial"/>
          <w:i/>
          <w:sz w:val="18"/>
          <w:szCs w:val="22"/>
        </w:rPr>
        <w:t xml:space="preserve"> input rating</w:t>
      </w:r>
    </w:p>
    <w:p w14:paraId="6A8A0463" w14:textId="0C83BC81" w:rsidR="00912986" w:rsidRDefault="00912986" w:rsidP="00912986">
      <w:pPr>
        <w:rPr>
          <w:rFonts w:ascii="Arial" w:hAnsi="Arial" w:cs="Arial"/>
          <w:szCs w:val="22"/>
        </w:rPr>
      </w:pPr>
    </w:p>
    <w:p w14:paraId="10835B24" w14:textId="752DDB23" w:rsidR="00FA6D11" w:rsidRDefault="00FA6D11" w:rsidP="00FA6D11">
      <w:pPr>
        <w:pStyle w:val="eTRMHeading5"/>
        <w:keepNext/>
        <w:keepLines/>
      </w:pPr>
      <w:r>
        <w:t>Unit Energy Consumption</w:t>
      </w:r>
    </w:p>
    <w:p w14:paraId="1C1BE469" w14:textId="7F1F40BD" w:rsidR="00912986" w:rsidRDefault="00912986" w:rsidP="002042DB">
      <w:r>
        <w:t xml:space="preserve">The </w:t>
      </w:r>
      <w:r w:rsidR="00101854">
        <w:t>baseline</w:t>
      </w:r>
      <w:r>
        <w:t xml:space="preserve"> and measure case UEC, represented </w:t>
      </w:r>
      <w:r w:rsidR="000203DD">
        <w:t>below</w:t>
      </w:r>
      <w:r>
        <w:t xml:space="preserve">, </w:t>
      </w:r>
      <w:r w:rsidR="00101854">
        <w:t>are</w:t>
      </w:r>
      <w:r>
        <w:t xml:space="preserve"> a function of heating load, operating hours, and boiler efficiency</w:t>
      </w:r>
      <w:r w:rsidR="00A92483">
        <w:t xml:space="preserve"> (TE)</w:t>
      </w:r>
      <w:r>
        <w:t>.</w:t>
      </w:r>
      <w:r w:rsidR="005E634E">
        <w:t xml:space="preserve"> </w:t>
      </w:r>
      <w:r w:rsidR="000A49E7">
        <w:t>The calculations to derive these parameters are presented below.</w:t>
      </w:r>
    </w:p>
    <w:p w14:paraId="508C3939" w14:textId="77777777" w:rsidR="00101854" w:rsidRDefault="00101854" w:rsidP="002042DB"/>
    <w:p w14:paraId="16BA9840" w14:textId="2603F9B7" w:rsidR="00912986" w:rsidRPr="00A92483" w:rsidRDefault="00912986" w:rsidP="00776724">
      <w:pPr>
        <w:pStyle w:val="CommentText"/>
        <w:ind w:left="720"/>
        <w:rPr>
          <w:sz w:val="22"/>
        </w:rPr>
      </w:pPr>
      <m:oMathPara>
        <m:oMathParaPr>
          <m:jc m:val="left"/>
        </m:oMathParaPr>
        <m:oMath>
          <m:r>
            <w:rPr>
              <w:rFonts w:ascii="Cambria Math" w:hAnsi="Cambria Math" w:cs="Times New Roman"/>
              <w:sz w:val="18"/>
              <w:szCs w:val="22"/>
            </w:rPr>
            <m:t>UEC=</m:t>
          </m:r>
          <m:f>
            <m:fPr>
              <m:ctrlPr>
                <w:rPr>
                  <w:rFonts w:ascii="Cambria Math" w:hAnsi="Cambria Math" w:cs="Times New Roman"/>
                  <w:i/>
                  <w:sz w:val="18"/>
                  <w:szCs w:val="22"/>
                </w:rPr>
              </m:ctrlPr>
            </m:fPr>
            <m:num>
              <m:r>
                <w:rPr>
                  <w:rFonts w:ascii="Cambria Math" w:hAnsi="Cambria Math" w:cs="Times New Roman"/>
                  <w:sz w:val="18"/>
                  <w:szCs w:val="22"/>
                </w:rPr>
                <m:t xml:space="preserve">HeatLoad ×OpHours </m:t>
              </m:r>
            </m:num>
            <m:den>
              <m:r>
                <w:rPr>
                  <w:rFonts w:ascii="Cambria Math" w:hAnsi="Cambria Math" w:cs="Times New Roman"/>
                  <w:sz w:val="18"/>
                  <w:szCs w:val="22"/>
                </w:rPr>
                <m:t>TE</m:t>
              </m:r>
            </m:den>
          </m:f>
          <m:r>
            <w:rPr>
              <w:rFonts w:ascii="Cambria Math" w:hAnsi="Cambria Math" w:cs="Times New Roman"/>
              <w:sz w:val="18"/>
              <w:szCs w:val="22"/>
            </w:rPr>
            <m:t>×</m:t>
          </m:r>
          <m:f>
            <m:fPr>
              <m:ctrlPr>
                <w:rPr>
                  <w:rFonts w:ascii="Cambria Math" w:hAnsi="Cambria Math" w:cs="Times New Roman"/>
                  <w:i/>
                  <w:sz w:val="18"/>
                  <w:szCs w:val="22"/>
                </w:rPr>
              </m:ctrlPr>
            </m:fPr>
            <m:num>
              <m:r>
                <w:rPr>
                  <w:rFonts w:ascii="Cambria Math" w:hAnsi="Cambria Math" w:cs="Times New Roman"/>
                  <w:sz w:val="18"/>
                  <w:szCs w:val="22"/>
                </w:rPr>
                <m:t>1 Btu</m:t>
              </m:r>
            </m:num>
            <m:den>
              <m:r>
                <w:rPr>
                  <w:rFonts w:ascii="Cambria Math" w:hAnsi="Cambria Math" w:cs="Times New Roman"/>
                  <w:sz w:val="18"/>
                  <w:szCs w:val="22"/>
                </w:rPr>
                <m:t>100,000 Therms</m:t>
              </m:r>
            </m:den>
          </m:f>
        </m:oMath>
      </m:oMathPara>
    </w:p>
    <w:p w14:paraId="289D67A5" w14:textId="77777777" w:rsidR="008066E6" w:rsidRDefault="008066E6" w:rsidP="008066E6">
      <w:pPr>
        <w:ind w:left="720"/>
        <w:rPr>
          <w:rFonts w:ascii="Cambria Math" w:hAnsi="Cambria Math"/>
          <w:i/>
          <w:sz w:val="18"/>
        </w:rPr>
      </w:pPr>
      <w:r>
        <w:rPr>
          <w:rFonts w:ascii="Cambria Math" w:hAnsi="Cambria Math"/>
          <w:i/>
          <w:sz w:val="18"/>
        </w:rPr>
        <w:t>where:</w:t>
      </w:r>
    </w:p>
    <w:p w14:paraId="2AE4331F" w14:textId="11BA7A64" w:rsidR="008066E6" w:rsidRDefault="008066E6" w:rsidP="008066E6">
      <w:pPr>
        <w:tabs>
          <w:tab w:val="left" w:pos="4050"/>
        </w:tabs>
        <w:spacing w:before="20" w:after="20"/>
        <w:ind w:left="4046" w:hanging="2606"/>
        <w:rPr>
          <w:rFonts w:ascii="Cambria Math" w:hAnsi="Cambria Math"/>
          <w:i/>
          <w:sz w:val="18"/>
        </w:rPr>
      </w:pPr>
      <w:proofErr w:type="spellStart"/>
      <w:r>
        <w:rPr>
          <w:rFonts w:ascii="Cambria Math" w:hAnsi="Cambria Math"/>
          <w:i/>
          <w:sz w:val="18"/>
        </w:rPr>
        <w:t>HeatLoad</w:t>
      </w:r>
      <w:proofErr w:type="spellEnd"/>
      <w:r>
        <w:rPr>
          <w:rFonts w:ascii="Cambria Math" w:hAnsi="Cambria Math"/>
          <w:i/>
          <w:sz w:val="18"/>
        </w:rPr>
        <w:t xml:space="preserve"> = </w:t>
      </w:r>
      <w:r>
        <w:rPr>
          <w:rFonts w:ascii="Cambria Math" w:hAnsi="Cambria Math"/>
          <w:i/>
          <w:sz w:val="18"/>
        </w:rPr>
        <w:tab/>
        <w:t>Heating load</w:t>
      </w:r>
      <w:r w:rsidR="00FA6D11">
        <w:rPr>
          <w:rFonts w:ascii="Cambria Math" w:hAnsi="Cambria Math"/>
          <w:i/>
          <w:sz w:val="18"/>
        </w:rPr>
        <w:t>, Btu/hr</w:t>
      </w:r>
    </w:p>
    <w:p w14:paraId="2E737EB4" w14:textId="4749837F" w:rsidR="008066E6" w:rsidRDefault="008066E6" w:rsidP="008066E6">
      <w:pPr>
        <w:tabs>
          <w:tab w:val="left" w:pos="4050"/>
        </w:tabs>
        <w:spacing w:before="20" w:after="20"/>
        <w:ind w:left="4046" w:hanging="2606"/>
        <w:rPr>
          <w:rFonts w:ascii="Cambria Math" w:hAnsi="Cambria Math"/>
          <w:i/>
          <w:sz w:val="18"/>
        </w:rPr>
      </w:pPr>
      <w:proofErr w:type="spellStart"/>
      <w:r>
        <w:rPr>
          <w:rFonts w:ascii="Cambria Math" w:hAnsi="Cambria Math"/>
          <w:i/>
          <w:sz w:val="18"/>
        </w:rPr>
        <w:t>OpHours</w:t>
      </w:r>
      <w:proofErr w:type="spellEnd"/>
      <w:r>
        <w:rPr>
          <w:rFonts w:ascii="Cambria Math" w:hAnsi="Cambria Math"/>
          <w:i/>
          <w:sz w:val="18"/>
        </w:rPr>
        <w:t xml:space="preserve"> = </w:t>
      </w:r>
      <w:r>
        <w:rPr>
          <w:rFonts w:ascii="Cambria Math" w:hAnsi="Cambria Math"/>
          <w:i/>
          <w:sz w:val="18"/>
        </w:rPr>
        <w:tab/>
      </w:r>
      <w:r w:rsidR="00A92483">
        <w:rPr>
          <w:rFonts w:ascii="Cambria Math" w:hAnsi="Cambria Math"/>
          <w:i/>
          <w:sz w:val="18"/>
        </w:rPr>
        <w:t>Annual o</w:t>
      </w:r>
      <w:r>
        <w:rPr>
          <w:rFonts w:ascii="Cambria Math" w:hAnsi="Cambria Math"/>
          <w:i/>
          <w:sz w:val="18"/>
        </w:rPr>
        <w:t>perating hours</w:t>
      </w:r>
    </w:p>
    <w:p w14:paraId="7A90B87C" w14:textId="784ABA02" w:rsidR="008066E6" w:rsidRPr="000550CA" w:rsidRDefault="008066E6" w:rsidP="008066E6">
      <w:pPr>
        <w:tabs>
          <w:tab w:val="left" w:pos="4050"/>
        </w:tabs>
        <w:spacing w:before="20" w:after="20"/>
        <w:ind w:left="4046" w:hanging="2606"/>
        <w:rPr>
          <w:rFonts w:ascii="Cambria Math" w:hAnsi="Cambria Math"/>
          <w:i/>
          <w:sz w:val="18"/>
        </w:rPr>
      </w:pPr>
      <w:r>
        <w:rPr>
          <w:rFonts w:ascii="Cambria Math" w:hAnsi="Cambria Math"/>
          <w:i/>
          <w:sz w:val="18"/>
        </w:rPr>
        <w:t xml:space="preserve">TE = </w:t>
      </w:r>
      <w:r>
        <w:rPr>
          <w:rFonts w:ascii="Cambria Math" w:hAnsi="Cambria Math"/>
          <w:i/>
          <w:sz w:val="18"/>
        </w:rPr>
        <w:tab/>
        <w:t>Thermal efficiency rating</w:t>
      </w:r>
      <w:r w:rsidR="00FA6D11">
        <w:rPr>
          <w:rFonts w:ascii="Cambria Math" w:hAnsi="Cambria Math"/>
          <w:i/>
          <w:sz w:val="18"/>
        </w:rPr>
        <w:t xml:space="preserve"> (%)</w:t>
      </w:r>
    </w:p>
    <w:p w14:paraId="1FDBFDAF" w14:textId="77777777" w:rsidR="0067506C" w:rsidRDefault="0067506C" w:rsidP="0067506C"/>
    <w:p w14:paraId="0A74455B" w14:textId="6714265B" w:rsidR="005E634E" w:rsidRDefault="00FA6D11" w:rsidP="002042DB">
      <w:r w:rsidRPr="00FA6D11">
        <w:rPr>
          <w:b/>
        </w:rPr>
        <w:t>Heating Load.</w:t>
      </w:r>
      <w:r>
        <w:t xml:space="preserve"> </w:t>
      </w:r>
      <w:r w:rsidR="005E634E">
        <w:t xml:space="preserve">The heating load calculation </w:t>
      </w:r>
      <w:r w:rsidR="00E73505">
        <w:t xml:space="preserve">and </w:t>
      </w:r>
      <w:r w:rsidR="005E634E">
        <w:t xml:space="preserve">input assumptions for the heating load simulations </w:t>
      </w:r>
      <w:r>
        <w:t>are provided below</w:t>
      </w:r>
      <w:r w:rsidR="005E634E">
        <w:t>.</w:t>
      </w:r>
    </w:p>
    <w:p w14:paraId="688A6E64" w14:textId="2F671477" w:rsidR="00A92483" w:rsidRPr="00BE1593" w:rsidRDefault="00A92483" w:rsidP="00A92483">
      <w:pPr>
        <w:ind w:left="720"/>
        <w:jc w:val="center"/>
        <w:rPr>
          <w:sz w:val="18"/>
          <w:szCs w:val="18"/>
        </w:rPr>
      </w:pPr>
      <m:oMathPara>
        <m:oMathParaPr>
          <m:jc m:val="left"/>
        </m:oMathParaPr>
        <m:oMath>
          <m:r>
            <w:rPr>
              <w:rFonts w:ascii="Cambria Math" w:hAnsi="Cambria Math"/>
              <w:sz w:val="18"/>
              <w:szCs w:val="18"/>
            </w:rPr>
            <m:t xml:space="preserve">Heating Load, Btu/hr= </m:t>
          </m:r>
          <m:f>
            <m:fPr>
              <m:ctrlPr>
                <w:rPr>
                  <w:rFonts w:ascii="Cambria Math" w:hAnsi="Cambria Math"/>
                  <w:i/>
                  <w:sz w:val="18"/>
                  <w:szCs w:val="18"/>
                </w:rPr>
              </m:ctrlPr>
            </m:fPr>
            <m:num>
              <m:r>
                <w:rPr>
                  <w:rFonts w:ascii="Cambria Math" w:hAnsi="Cambria Math"/>
                  <w:sz w:val="18"/>
                  <w:szCs w:val="18"/>
                </w:rPr>
                <m:t>FluidFactor×</m:t>
              </m:r>
              <m:d>
                <m:dPr>
                  <m:ctrlPr>
                    <w:rPr>
                      <w:rFonts w:ascii="Cambria Math" w:hAnsi="Cambria Math"/>
                      <w:i/>
                      <w:sz w:val="18"/>
                      <w:szCs w:val="18"/>
                    </w:rPr>
                  </m:ctrlPr>
                </m:dPr>
                <m:e>
                  <m:r>
                    <w:rPr>
                      <w:rFonts w:ascii="Cambria Math" w:hAnsi="Cambria Math"/>
                      <w:sz w:val="18"/>
                      <w:szCs w:val="18"/>
                    </w:rPr>
                    <m:t>Average GPM</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Temperature Differential</m:t>
                  </m:r>
                </m:e>
              </m:d>
            </m:num>
            <m:den>
              <m:r>
                <w:rPr>
                  <w:rFonts w:ascii="Cambria Math" w:hAnsi="Cambria Math"/>
                  <w:sz w:val="18"/>
                  <w:szCs w:val="18"/>
                </w:rPr>
                <m:t>(Design Efficacy Factor)</m:t>
              </m:r>
            </m:den>
          </m:f>
        </m:oMath>
      </m:oMathPara>
    </w:p>
    <w:p w14:paraId="2AA619B3" w14:textId="5D406FA2" w:rsidR="00710E3C" w:rsidRPr="00BE1593" w:rsidRDefault="00710E3C" w:rsidP="00710E3C"/>
    <w:p w14:paraId="5FB5D9D2" w14:textId="01106148" w:rsidR="00710E3C" w:rsidRPr="00BE1593" w:rsidRDefault="00710E3C" w:rsidP="00710E3C">
      <w:r w:rsidRPr="00BE1593">
        <w:rPr>
          <w:b/>
        </w:rPr>
        <w:t>Fluid Factor.</w:t>
      </w:r>
      <w:r w:rsidRPr="00BE1593">
        <w:t xml:space="preserve"> The fluid factor is a constant conversion factor equal to the weight of a gallon of water (8.33 lbs.) multiplied by the specific heat of the water (1.0</w:t>
      </w:r>
      <w:r w:rsidR="001751A3" w:rsidRPr="00BE1593">
        <w:t xml:space="preserve"> Btu/</w:t>
      </w:r>
      <w:proofErr w:type="spellStart"/>
      <w:r w:rsidR="001751A3" w:rsidRPr="00BE1593">
        <w:t>lb</w:t>
      </w:r>
      <w:proofErr w:type="spellEnd"/>
      <w:r w:rsidR="001751A3" w:rsidRPr="00BE1593">
        <w:t>.°F</w:t>
      </w:r>
      <w:r w:rsidRPr="00BE1593">
        <w:t>) multiplied by 60 (minutes).</w:t>
      </w:r>
    </w:p>
    <w:p w14:paraId="31AF0582" w14:textId="6C970B9C" w:rsidR="00710E3C" w:rsidRPr="00BE1593" w:rsidRDefault="00710E3C" w:rsidP="00710E3C">
      <w:r w:rsidRPr="00BE1593">
        <w:rPr>
          <w:b/>
        </w:rPr>
        <w:t xml:space="preserve">Temperature Differential. </w:t>
      </w:r>
      <w:r w:rsidRPr="00BE1593">
        <w:t xml:space="preserve">The temperature differential represents the temperature change between the groundwater entering the water heating system and the water heating system loop temperature. </w:t>
      </w:r>
    </w:p>
    <w:p w14:paraId="22732AA3" w14:textId="77777777" w:rsidR="00710E3C" w:rsidRDefault="00710E3C" w:rsidP="00710E3C">
      <w:r w:rsidRPr="00BE1593">
        <w:rPr>
          <w:b/>
        </w:rPr>
        <w:t>Design Efficacy Factor.</w:t>
      </w:r>
      <w:r w:rsidRPr="00BE1593">
        <w:t xml:space="preserve"> </w:t>
      </w:r>
      <w:r w:rsidRPr="00BE1593">
        <w:rPr>
          <w:rFonts w:cs="Calibri Light"/>
          <w:szCs w:val="22"/>
        </w:rPr>
        <w:t>The design efficacy factor is a generalized factor that serves as a calibration value</w:t>
      </w:r>
      <w:r w:rsidRPr="00666114">
        <w:rPr>
          <w:rFonts w:cs="Calibri Light"/>
          <w:szCs w:val="22"/>
        </w:rPr>
        <w:t xml:space="preserve"> to the monitored data from the RASS study.</w:t>
      </w:r>
      <w:r w:rsidRPr="00666114">
        <w:t xml:space="preserve"> More specifically, this factor is designed to represent the</w:t>
      </w:r>
      <w:r>
        <w:t xml:space="preserve"> averaged impacts of various factors that increase the heat load to a DHW system. The factors include but are not limited to: 1) boiler heat loss, 2) transmission heat loss, and 3) degraded efficiencies due to the age of the equipment.</w:t>
      </w:r>
    </w:p>
    <w:p w14:paraId="373783F6" w14:textId="77777777" w:rsidR="00710E3C" w:rsidRDefault="00710E3C" w:rsidP="00710E3C">
      <w:r>
        <w:t>According to the RASS study,</w:t>
      </w:r>
      <w:r>
        <w:rPr>
          <w:rStyle w:val="FootnoteReference"/>
        </w:rPr>
        <w:footnoteReference w:id="6"/>
      </w:r>
      <w:r>
        <w:t xml:space="preserve"> a typical dwelling consumes an average of 183 Therms per year. This is consistent within the range of climate zone results of the heating load simulations for this measure. Variations within the simulation are attributed to climate conditions within each region. Variations from the average between the simulated Therm usage and the measured values found in the RASS study can be attributed to statistical weighting and maintenance related inefficiencies.</w:t>
      </w:r>
    </w:p>
    <w:p w14:paraId="125D6B14" w14:textId="5656FB99" w:rsidR="00621CD7" w:rsidRDefault="00A92483" w:rsidP="002042DB">
      <w:r w:rsidRPr="00A92483">
        <w:rPr>
          <w:b/>
        </w:rPr>
        <w:lastRenderedPageBreak/>
        <w:t xml:space="preserve">Average </w:t>
      </w:r>
      <w:r w:rsidR="00FA6D11">
        <w:rPr>
          <w:b/>
        </w:rPr>
        <w:t>GPM</w:t>
      </w:r>
      <w:r w:rsidRPr="00A92483">
        <w:rPr>
          <w:b/>
        </w:rPr>
        <w:t>.</w:t>
      </w:r>
      <w:r>
        <w:t xml:space="preserve"> </w:t>
      </w:r>
      <w:r w:rsidR="000550CA">
        <w:t xml:space="preserve">The </w:t>
      </w:r>
      <w:r w:rsidR="00621CD7">
        <w:t xml:space="preserve">equipment capacity </w:t>
      </w:r>
      <w:r w:rsidR="00652622">
        <w:t xml:space="preserve">(gallons per minute) </w:t>
      </w:r>
      <w:r w:rsidR="00621CD7">
        <w:t xml:space="preserve">as a function of </w:t>
      </w:r>
      <w:r w:rsidR="000550CA">
        <w:t>the number of people</w:t>
      </w:r>
      <w:r w:rsidR="00E73505">
        <w:t>:</w:t>
      </w:r>
      <w:r w:rsidR="000550CA">
        <w:t xml:space="preserve"> </w:t>
      </w:r>
    </w:p>
    <w:p w14:paraId="7C72F9C3" w14:textId="0BB7EE9D" w:rsidR="00621CD7" w:rsidRPr="00EC6905" w:rsidRDefault="00621CD7" w:rsidP="008546DD">
      <w:pPr>
        <w:ind w:left="720"/>
        <w:rPr>
          <w:sz w:val="18"/>
        </w:rPr>
      </w:pPr>
      <m:oMath>
        <m:r>
          <w:rPr>
            <w:rFonts w:ascii="Cambria Math" w:hAnsi="Cambria Math"/>
            <w:sz w:val="18"/>
          </w:rPr>
          <m:t xml:space="preserve">DesignAverageGPM= </m:t>
        </m:r>
        <m:f>
          <m:fPr>
            <m:ctrlPr>
              <w:rPr>
                <w:rFonts w:ascii="Cambria Math" w:hAnsi="Cambria Math"/>
                <w:i/>
                <w:sz w:val="18"/>
              </w:rPr>
            </m:ctrlPr>
          </m:fPr>
          <m:num>
            <m:d>
              <m:dPr>
                <m:ctrlPr>
                  <w:rPr>
                    <w:rFonts w:ascii="Cambria Math" w:hAnsi="Cambria Math"/>
                    <w:i/>
                    <w:sz w:val="18"/>
                  </w:rPr>
                </m:ctrlPr>
              </m:dPr>
              <m:e>
                <m:r>
                  <w:rPr>
                    <w:rFonts w:ascii="Cambria Math" w:hAnsi="Cambria Math"/>
                    <w:sz w:val="18"/>
                  </w:rPr>
                  <m:t>Daily Gal. /Person</m:t>
                </m:r>
              </m:e>
            </m:d>
            <m:r>
              <w:rPr>
                <w:rFonts w:ascii="Cambria Math" w:hAnsi="Cambria Math"/>
                <w:sz w:val="18"/>
              </w:rPr>
              <m:t>*</m:t>
            </m:r>
            <m:d>
              <m:dPr>
                <m:ctrlPr>
                  <w:rPr>
                    <w:rFonts w:ascii="Cambria Math" w:hAnsi="Cambria Math"/>
                    <w:i/>
                    <w:sz w:val="18"/>
                  </w:rPr>
                </m:ctrlPr>
              </m:dPr>
              <m:e>
                <m:r>
                  <w:rPr>
                    <w:rFonts w:ascii="Cambria Math" w:hAnsi="Cambria Math"/>
                    <w:sz w:val="18"/>
                  </w:rPr>
                  <m:t>Number of People</m:t>
                </m:r>
              </m:e>
            </m:d>
          </m:num>
          <m:den>
            <m:d>
              <m:dPr>
                <m:ctrlPr>
                  <w:rPr>
                    <w:rFonts w:ascii="Cambria Math" w:hAnsi="Cambria Math"/>
                    <w:i/>
                    <w:sz w:val="18"/>
                  </w:rPr>
                </m:ctrlPr>
              </m:dPr>
              <m:e>
                <m:r>
                  <w:rPr>
                    <w:rFonts w:ascii="Cambria Math" w:hAnsi="Cambria Math"/>
                    <w:sz w:val="18"/>
                  </w:rPr>
                  <m:t>Number of Active Hours/Day</m:t>
                </m:r>
              </m:e>
            </m:d>
            <m:r>
              <w:rPr>
                <w:rFonts w:ascii="Cambria Math" w:hAnsi="Cambria Math"/>
                <w:sz w:val="18"/>
              </w:rPr>
              <m:t>*</m:t>
            </m:r>
            <m:d>
              <m:dPr>
                <m:ctrlPr>
                  <w:rPr>
                    <w:rFonts w:ascii="Cambria Math" w:hAnsi="Cambria Math"/>
                    <w:i/>
                    <w:sz w:val="18"/>
                  </w:rPr>
                </m:ctrlPr>
              </m:dPr>
              <m:e>
                <m:r>
                  <w:rPr>
                    <w:rFonts w:ascii="Cambria Math" w:hAnsi="Cambria Math"/>
                    <w:sz w:val="18"/>
                  </w:rPr>
                  <m:t>60 Minutes/Hr</m:t>
                </m:r>
              </m:e>
            </m:d>
          </m:den>
        </m:f>
      </m:oMath>
      <w:r w:rsidR="00D64540">
        <w:rPr>
          <w:sz w:val="18"/>
        </w:rPr>
        <w:t xml:space="preserve"> =</w:t>
      </w:r>
      <w:r w:rsidR="00D64540" w:rsidRPr="00BD42B1">
        <w:rPr>
          <w:rFonts w:ascii="Cambria Math" w:hAnsi="Cambria Math"/>
          <w:i/>
          <w:sz w:val="18"/>
        </w:rPr>
        <w:t xml:space="preserve"> 5.42 gpm</w:t>
      </w:r>
    </w:p>
    <w:p w14:paraId="7A32BD39" w14:textId="77777777" w:rsidR="00101854" w:rsidRDefault="00101854" w:rsidP="000550CA">
      <w:pPr>
        <w:tabs>
          <w:tab w:val="left" w:pos="4050"/>
        </w:tabs>
        <w:ind w:left="4050" w:hanging="2610"/>
        <w:rPr>
          <w:rFonts w:ascii="Cambria Math" w:hAnsi="Cambria Math"/>
          <w:i/>
          <w:sz w:val="18"/>
        </w:rPr>
      </w:pPr>
    </w:p>
    <w:p w14:paraId="1B468125" w14:textId="0BBA03DC" w:rsidR="00621CD7" w:rsidRPr="000550CA" w:rsidRDefault="00621CD7" w:rsidP="000550CA">
      <w:pPr>
        <w:tabs>
          <w:tab w:val="left" w:pos="4050"/>
        </w:tabs>
        <w:ind w:left="4050" w:hanging="2610"/>
        <w:rPr>
          <w:rFonts w:ascii="Cambria Math" w:hAnsi="Cambria Math"/>
          <w:i/>
          <w:sz w:val="18"/>
        </w:rPr>
      </w:pPr>
      <w:r w:rsidRPr="000550CA">
        <w:rPr>
          <w:rFonts w:ascii="Cambria Math" w:hAnsi="Cambria Math"/>
          <w:i/>
          <w:sz w:val="18"/>
        </w:rPr>
        <w:t xml:space="preserve">Daily Gal./Person = </w:t>
      </w:r>
      <w:r w:rsidR="000550CA">
        <w:rPr>
          <w:rFonts w:ascii="Cambria Math" w:hAnsi="Cambria Math"/>
          <w:i/>
          <w:sz w:val="18"/>
        </w:rPr>
        <w:tab/>
      </w:r>
      <w:r w:rsidR="002300F5">
        <w:rPr>
          <w:rFonts w:ascii="Cambria Math" w:hAnsi="Cambria Math"/>
          <w:i/>
          <w:sz w:val="18"/>
        </w:rPr>
        <w:t xml:space="preserve">Daily water consumption per person </w:t>
      </w:r>
    </w:p>
    <w:p w14:paraId="7AD526C7" w14:textId="51943A81" w:rsidR="00621CD7" w:rsidRPr="000550CA" w:rsidRDefault="00621CD7" w:rsidP="000550CA">
      <w:pPr>
        <w:tabs>
          <w:tab w:val="left" w:pos="4050"/>
        </w:tabs>
        <w:ind w:left="4050" w:hanging="2610"/>
        <w:rPr>
          <w:rFonts w:ascii="Cambria Math" w:hAnsi="Cambria Math"/>
          <w:i/>
          <w:sz w:val="18"/>
        </w:rPr>
      </w:pPr>
      <w:r w:rsidRPr="000550CA">
        <w:rPr>
          <w:rFonts w:ascii="Cambria Math" w:hAnsi="Cambria Math"/>
          <w:i/>
          <w:sz w:val="18"/>
        </w:rPr>
        <w:t>Number of Active Hour</w:t>
      </w:r>
      <w:r w:rsidR="002300F5">
        <w:rPr>
          <w:rFonts w:ascii="Cambria Math" w:hAnsi="Cambria Math"/>
          <w:i/>
          <w:sz w:val="18"/>
        </w:rPr>
        <w:t>s</w:t>
      </w:r>
      <w:r w:rsidRPr="000550CA">
        <w:rPr>
          <w:rFonts w:ascii="Cambria Math" w:hAnsi="Cambria Math"/>
          <w:i/>
          <w:sz w:val="18"/>
        </w:rPr>
        <w:t>/</w:t>
      </w:r>
      <w:r w:rsidR="000550CA">
        <w:rPr>
          <w:rFonts w:ascii="Cambria Math" w:hAnsi="Cambria Math"/>
          <w:i/>
          <w:sz w:val="18"/>
        </w:rPr>
        <w:t xml:space="preserve">Day </w:t>
      </w:r>
      <w:r w:rsidRPr="000550CA">
        <w:rPr>
          <w:rFonts w:ascii="Cambria Math" w:hAnsi="Cambria Math"/>
          <w:i/>
          <w:sz w:val="18"/>
        </w:rPr>
        <w:t xml:space="preserve">= </w:t>
      </w:r>
      <w:r w:rsidR="000550CA">
        <w:rPr>
          <w:rFonts w:ascii="Cambria Math" w:hAnsi="Cambria Math"/>
          <w:i/>
          <w:sz w:val="18"/>
        </w:rPr>
        <w:tab/>
      </w:r>
      <w:r w:rsidR="000550CA" w:rsidRPr="000550CA">
        <w:rPr>
          <w:rFonts w:ascii="Cambria Math" w:hAnsi="Cambria Math"/>
          <w:i/>
          <w:sz w:val="18"/>
        </w:rPr>
        <w:t>A specific hour of the day is considered active if the eQuest fractional profile has a value greater than 40%.</w:t>
      </w:r>
      <w:r w:rsidR="000550CA">
        <w:rPr>
          <w:rFonts w:ascii="Cambria Math" w:hAnsi="Cambria Math"/>
          <w:i/>
          <w:sz w:val="18"/>
        </w:rPr>
        <w:t xml:space="preserve"> </w:t>
      </w:r>
    </w:p>
    <w:p w14:paraId="0E089F72" w14:textId="6C286CEB" w:rsidR="00D64540" w:rsidRPr="000550CA" w:rsidRDefault="00D64540" w:rsidP="00D64540">
      <w:pPr>
        <w:tabs>
          <w:tab w:val="left" w:pos="4050"/>
        </w:tabs>
        <w:ind w:left="4050" w:hanging="2610"/>
        <w:rPr>
          <w:rFonts w:ascii="Cambria Math" w:hAnsi="Cambria Math"/>
          <w:i/>
          <w:sz w:val="18"/>
        </w:rPr>
      </w:pPr>
      <w:r>
        <w:rPr>
          <w:rFonts w:ascii="Cambria Math" w:hAnsi="Cambria Math"/>
          <w:i/>
          <w:sz w:val="18"/>
        </w:rPr>
        <w:t>Number of People</w:t>
      </w:r>
      <w:r w:rsidRPr="000550CA">
        <w:rPr>
          <w:rFonts w:ascii="Cambria Math" w:hAnsi="Cambria Math"/>
          <w:i/>
          <w:sz w:val="18"/>
        </w:rPr>
        <w:t xml:space="preserve"> = </w:t>
      </w:r>
      <w:r>
        <w:rPr>
          <w:rFonts w:ascii="Cambria Math" w:hAnsi="Cambria Math"/>
          <w:i/>
          <w:sz w:val="18"/>
        </w:rPr>
        <w:tab/>
      </w:r>
      <w:r w:rsidR="00C228CF">
        <w:rPr>
          <w:rFonts w:ascii="Cambria Math" w:hAnsi="Cambria Math"/>
          <w:i/>
          <w:sz w:val="18"/>
        </w:rPr>
        <w:t xml:space="preserve">Number of people residing in property </w:t>
      </w:r>
    </w:p>
    <w:p w14:paraId="7DFAF19A" w14:textId="3C0BA886" w:rsidR="00621CD7" w:rsidRDefault="00621CD7" w:rsidP="00621CD7"/>
    <w:p w14:paraId="1F13AC77" w14:textId="557D2F08" w:rsidR="00621CD7" w:rsidRDefault="00FA6D11" w:rsidP="00C76F09">
      <w:r w:rsidRPr="00FA6D11">
        <w:rPr>
          <w:b/>
        </w:rPr>
        <w:t xml:space="preserve">Design Capacity. </w:t>
      </w:r>
      <w:r w:rsidR="00621CD7">
        <w:t xml:space="preserve">With the design </w:t>
      </w:r>
      <w:r>
        <w:t>flow rate (gpm)</w:t>
      </w:r>
      <w:r w:rsidR="00621CD7">
        <w:t xml:space="preserve">, </w:t>
      </w:r>
      <w:r>
        <w:t>the design capacity</w:t>
      </w:r>
      <w:r w:rsidR="00E73505">
        <w:t xml:space="preserve"> is represented as:</w:t>
      </w:r>
      <w:r>
        <w:t xml:space="preserve"> </w:t>
      </w:r>
    </w:p>
    <w:p w14:paraId="3F1F56F1" w14:textId="5C6DA7B7" w:rsidR="00621CD7" w:rsidRPr="009405EC" w:rsidRDefault="00621CD7" w:rsidP="008546DD">
      <w:pPr>
        <w:ind w:left="720"/>
        <w:rPr>
          <w:sz w:val="18"/>
          <w:szCs w:val="18"/>
        </w:rPr>
      </w:pPr>
      <m:oMath>
        <m:r>
          <w:rPr>
            <w:rFonts w:ascii="Cambria Math" w:hAnsi="Cambria Math"/>
            <w:sz w:val="18"/>
            <w:szCs w:val="18"/>
          </w:rPr>
          <m:t xml:space="preserve">Design Capacity= </m:t>
        </m:r>
        <m:d>
          <m:dPr>
            <m:ctrlPr>
              <w:rPr>
                <w:rFonts w:ascii="Cambria Math" w:hAnsi="Cambria Math"/>
                <w:i/>
                <w:sz w:val="18"/>
                <w:szCs w:val="18"/>
              </w:rPr>
            </m:ctrlPr>
          </m:dPr>
          <m:e>
            <m:r>
              <w:rPr>
                <w:rFonts w:ascii="Cambria Math" w:hAnsi="Cambria Math"/>
                <w:sz w:val="18"/>
                <w:szCs w:val="18"/>
              </w:rPr>
              <m:t>FluidFactor</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Design GPM</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Design Temperature Differential</m:t>
            </m:r>
          </m:e>
        </m:d>
      </m:oMath>
      <w:r w:rsidR="00D64540">
        <w:rPr>
          <w:sz w:val="18"/>
          <w:szCs w:val="18"/>
        </w:rPr>
        <w:t xml:space="preserve"> = </w:t>
      </w:r>
      <w:r w:rsidR="00D64540" w:rsidRPr="00BD42B1">
        <w:rPr>
          <w:rFonts w:ascii="Cambria Math" w:hAnsi="Cambria Math"/>
          <w:i/>
          <w:sz w:val="18"/>
          <w:szCs w:val="18"/>
        </w:rPr>
        <w:t>216,667 Btu/hr</w:t>
      </w:r>
    </w:p>
    <w:p w14:paraId="1053F295" w14:textId="77777777" w:rsidR="00101854" w:rsidRDefault="00101854" w:rsidP="005E634E">
      <w:pPr>
        <w:tabs>
          <w:tab w:val="left" w:pos="4230"/>
        </w:tabs>
        <w:spacing w:before="20" w:after="20"/>
        <w:ind w:left="4234" w:hanging="2794"/>
        <w:rPr>
          <w:rFonts w:ascii="Cambria Math" w:hAnsi="Cambria Math"/>
          <w:i/>
          <w:sz w:val="18"/>
          <w:szCs w:val="18"/>
        </w:rPr>
      </w:pPr>
    </w:p>
    <w:p w14:paraId="1C68D1D9" w14:textId="07923DA7" w:rsidR="00621CD7" w:rsidRDefault="009405EC" w:rsidP="005E634E">
      <w:pPr>
        <w:tabs>
          <w:tab w:val="left" w:pos="4230"/>
        </w:tabs>
        <w:spacing w:before="20" w:after="20"/>
        <w:ind w:left="4234" w:hanging="2794"/>
        <w:rPr>
          <w:rFonts w:ascii="Cambria Math" w:hAnsi="Cambria Math"/>
          <w:i/>
          <w:sz w:val="18"/>
        </w:rPr>
      </w:pPr>
      <w:r w:rsidRPr="009405EC">
        <w:rPr>
          <w:rFonts w:ascii="Cambria Math" w:hAnsi="Cambria Math"/>
          <w:i/>
          <w:sz w:val="18"/>
        </w:rPr>
        <w:t xml:space="preserve">Design Temperature Differential = </w:t>
      </w:r>
      <w:r w:rsidR="00BD42B1">
        <w:rPr>
          <w:rFonts w:ascii="Cambria Math" w:hAnsi="Cambria Math"/>
          <w:i/>
          <w:sz w:val="18"/>
        </w:rPr>
        <w:tab/>
      </w:r>
      <w:r w:rsidR="00C228CF">
        <w:rPr>
          <w:rFonts w:ascii="Cambria Math" w:hAnsi="Cambria Math"/>
          <w:i/>
          <w:sz w:val="18"/>
        </w:rPr>
        <w:t>T</w:t>
      </w:r>
      <w:r w:rsidR="00D64540">
        <w:rPr>
          <w:rFonts w:ascii="Cambria Math" w:hAnsi="Cambria Math"/>
          <w:i/>
          <w:sz w:val="18"/>
        </w:rPr>
        <w:t>ypical temperature rise</w:t>
      </w:r>
      <w:r w:rsidR="00C228CF">
        <w:rPr>
          <w:rFonts w:ascii="Cambria Math" w:hAnsi="Cambria Math"/>
          <w:i/>
          <w:sz w:val="18"/>
        </w:rPr>
        <w:t xml:space="preserve"> from groundwater temperature to temperature of water exiting </w:t>
      </w:r>
      <w:r w:rsidR="00CA68BB">
        <w:rPr>
          <w:rFonts w:ascii="Cambria Math" w:hAnsi="Cambria Math"/>
          <w:i/>
          <w:sz w:val="18"/>
        </w:rPr>
        <w:t xml:space="preserve">the </w:t>
      </w:r>
      <w:r w:rsidR="00C228CF">
        <w:rPr>
          <w:rFonts w:ascii="Cambria Math" w:hAnsi="Cambria Math"/>
          <w:i/>
          <w:sz w:val="18"/>
        </w:rPr>
        <w:t>system</w:t>
      </w:r>
      <w:r w:rsidR="00D64540">
        <w:rPr>
          <w:rFonts w:ascii="Cambria Math" w:hAnsi="Cambria Math"/>
          <w:i/>
          <w:sz w:val="18"/>
        </w:rPr>
        <w:t xml:space="preserve"> </w:t>
      </w:r>
    </w:p>
    <w:p w14:paraId="11BE3142" w14:textId="279E3769" w:rsidR="004E60D6" w:rsidRDefault="004E60D6" w:rsidP="005E634E">
      <w:pPr>
        <w:tabs>
          <w:tab w:val="left" w:pos="4230"/>
        </w:tabs>
        <w:spacing w:before="20" w:after="20"/>
        <w:ind w:left="4234" w:hanging="2794"/>
        <w:rPr>
          <w:rFonts w:ascii="Cambria Math" w:hAnsi="Cambria Math"/>
          <w:i/>
          <w:sz w:val="18"/>
        </w:rPr>
      </w:pPr>
      <w:r>
        <w:rPr>
          <w:rFonts w:ascii="Cambria Math" w:hAnsi="Cambria Math"/>
          <w:i/>
          <w:sz w:val="18"/>
        </w:rPr>
        <w:t xml:space="preserve">Design GPM = </w:t>
      </w:r>
      <w:r>
        <w:rPr>
          <w:rFonts w:ascii="Cambria Math" w:hAnsi="Cambria Math"/>
          <w:i/>
          <w:sz w:val="18"/>
        </w:rPr>
        <w:tab/>
        <w:t>Gallons per minute</w:t>
      </w:r>
    </w:p>
    <w:p w14:paraId="7BC06CDD" w14:textId="10B662DC" w:rsidR="004E60D6" w:rsidRPr="009405EC" w:rsidRDefault="004E60D6" w:rsidP="005E634E">
      <w:pPr>
        <w:tabs>
          <w:tab w:val="left" w:pos="4230"/>
        </w:tabs>
        <w:spacing w:before="20" w:after="20"/>
        <w:ind w:left="4234" w:hanging="2794"/>
        <w:rPr>
          <w:rFonts w:ascii="Cambria Math" w:hAnsi="Cambria Math"/>
          <w:i/>
          <w:sz w:val="18"/>
        </w:rPr>
      </w:pPr>
      <w:r>
        <w:rPr>
          <w:rFonts w:ascii="Cambria Math" w:hAnsi="Cambria Math"/>
          <w:i/>
          <w:sz w:val="18"/>
        </w:rPr>
        <w:t xml:space="preserve">Fluid Factor = </w:t>
      </w:r>
      <w:r>
        <w:rPr>
          <w:rFonts w:ascii="Cambria Math" w:hAnsi="Cambria Math"/>
          <w:i/>
          <w:sz w:val="18"/>
        </w:rPr>
        <w:tab/>
      </w:r>
      <w:r w:rsidRPr="004E60D6">
        <w:rPr>
          <w:rFonts w:ascii="Cambria Math" w:hAnsi="Cambria Math"/>
          <w:i/>
          <w:sz w:val="18"/>
        </w:rPr>
        <w:t xml:space="preserve">Fluid factor is </w:t>
      </w:r>
      <w:r>
        <w:rPr>
          <w:rFonts w:ascii="Cambria Math" w:hAnsi="Cambria Math"/>
          <w:i/>
          <w:sz w:val="18"/>
        </w:rPr>
        <w:t xml:space="preserve">a constant, </w:t>
      </w:r>
      <w:r w:rsidRPr="004E60D6">
        <w:rPr>
          <w:rFonts w:ascii="Cambria Math" w:hAnsi="Cambria Math" w:cs="Calibri Light"/>
          <w:i/>
          <w:color w:val="333333"/>
          <w:sz w:val="18"/>
          <w:szCs w:val="18"/>
        </w:rPr>
        <w:t>based on water as the heat transfer fluid.</w:t>
      </w:r>
    </w:p>
    <w:p w14:paraId="4D6EA7E7" w14:textId="77777777" w:rsidR="00710E3C" w:rsidRDefault="00710E3C" w:rsidP="00621CD7"/>
    <w:p w14:paraId="6CD1E5E9" w14:textId="7EE84BE1" w:rsidR="003947C9" w:rsidRDefault="00E73505" w:rsidP="003947C9">
      <w:r>
        <w:t>T</w:t>
      </w:r>
      <w:r w:rsidR="00684811">
        <w:t xml:space="preserve">he results of the </w:t>
      </w:r>
      <w:r w:rsidR="00FA6D11">
        <w:t xml:space="preserve">heating load </w:t>
      </w:r>
      <w:r w:rsidR="00684811">
        <w:t>design calculations</w:t>
      </w:r>
      <w:r w:rsidR="00621CD7">
        <w:t xml:space="preserve"> </w:t>
      </w:r>
      <w:r w:rsidR="00684811">
        <w:t>for</w:t>
      </w:r>
      <w:r w:rsidR="00621CD7">
        <w:t xml:space="preserve"> </w:t>
      </w:r>
      <w:r w:rsidR="00A92483">
        <w:t xml:space="preserve">the </w:t>
      </w:r>
      <w:r w:rsidR="00684811">
        <w:t>number of people served by the system</w:t>
      </w:r>
      <w:r>
        <w:t xml:space="preserve"> are provided in the following table.</w:t>
      </w:r>
      <w:r w:rsidR="00684811">
        <w:t xml:space="preserve"> </w:t>
      </w:r>
    </w:p>
    <w:p w14:paraId="7570CF64" w14:textId="7F8DF978" w:rsidR="00621CD7" w:rsidRDefault="00621CD7" w:rsidP="00187521">
      <w:pPr>
        <w:pStyle w:val="Caption"/>
      </w:pPr>
      <w:bookmarkStart w:id="55" w:name="_Toc462148367"/>
      <w:r w:rsidRPr="006902B4">
        <w:t>Design Analysis</w:t>
      </w:r>
      <w:bookmarkEnd w:id="55"/>
      <w:r w:rsidR="00E36A58">
        <w:t xml:space="preserve"> Results</w:t>
      </w:r>
      <w:r w:rsidR="00E73505">
        <w:rPr>
          <w:rStyle w:val="FootnoteReference"/>
        </w:rPr>
        <w:footnoteReference w:id="7"/>
      </w:r>
    </w:p>
    <w:tbl>
      <w:tblPr>
        <w:tblW w:w="720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00" w:firstRow="0" w:lastRow="0" w:firstColumn="0" w:lastColumn="0" w:noHBand="0" w:noVBand="0"/>
      </w:tblPr>
      <w:tblGrid>
        <w:gridCol w:w="1719"/>
        <w:gridCol w:w="1827"/>
        <w:gridCol w:w="1827"/>
        <w:gridCol w:w="1827"/>
      </w:tblGrid>
      <w:tr w:rsidR="00D1592F" w:rsidRPr="00D1592F" w14:paraId="2739E734" w14:textId="77777777" w:rsidTr="00BD42B1">
        <w:trPr>
          <w:cantSplit/>
          <w:tblHeader/>
        </w:trPr>
        <w:tc>
          <w:tcPr>
            <w:tcW w:w="1719" w:type="dxa"/>
            <w:shd w:val="clear" w:color="auto" w:fill="F2F2F2" w:themeFill="background1" w:themeFillShade="F2"/>
            <w:vAlign w:val="bottom"/>
          </w:tcPr>
          <w:p w14:paraId="59F817C7" w14:textId="77777777" w:rsidR="00D1592F" w:rsidRPr="00D1592F" w:rsidRDefault="00D1592F" w:rsidP="002A2E42">
            <w:pPr>
              <w:autoSpaceDE w:val="0"/>
              <w:autoSpaceDN w:val="0"/>
              <w:adjustRightInd w:val="0"/>
              <w:snapToGrid w:val="0"/>
              <w:spacing w:before="0" w:after="0" w:line="200" w:lineRule="exact"/>
              <w:jc w:val="center"/>
              <w:rPr>
                <w:rFonts w:cs="Calibri Light"/>
                <w:b/>
                <w:color w:val="000000"/>
                <w:sz w:val="20"/>
                <w:szCs w:val="20"/>
              </w:rPr>
            </w:pPr>
            <w:r w:rsidRPr="00D1592F">
              <w:rPr>
                <w:rFonts w:cs="Calibri Light"/>
                <w:b/>
                <w:color w:val="000000"/>
                <w:sz w:val="20"/>
                <w:szCs w:val="20"/>
              </w:rPr>
              <w:t># of People</w:t>
            </w:r>
          </w:p>
        </w:tc>
        <w:tc>
          <w:tcPr>
            <w:tcW w:w="1827" w:type="dxa"/>
            <w:shd w:val="clear" w:color="auto" w:fill="F2F2F2" w:themeFill="background1" w:themeFillShade="F2"/>
            <w:vAlign w:val="bottom"/>
          </w:tcPr>
          <w:p w14:paraId="6AC2303B" w14:textId="06244704" w:rsidR="00D1592F" w:rsidRPr="00D1592F" w:rsidRDefault="00D1592F" w:rsidP="002A2E42">
            <w:pPr>
              <w:autoSpaceDE w:val="0"/>
              <w:autoSpaceDN w:val="0"/>
              <w:adjustRightInd w:val="0"/>
              <w:snapToGrid w:val="0"/>
              <w:spacing w:before="0" w:after="0" w:line="200" w:lineRule="exact"/>
              <w:jc w:val="center"/>
              <w:rPr>
                <w:rFonts w:cs="Calibri Light"/>
                <w:b/>
                <w:color w:val="000000"/>
                <w:sz w:val="20"/>
                <w:szCs w:val="20"/>
              </w:rPr>
            </w:pPr>
            <w:r w:rsidRPr="00D1592F">
              <w:rPr>
                <w:rFonts w:cs="Calibri Light"/>
                <w:b/>
                <w:color w:val="000000"/>
                <w:sz w:val="20"/>
                <w:szCs w:val="20"/>
              </w:rPr>
              <w:t>Design DHW Flow (gpm)</w:t>
            </w:r>
          </w:p>
        </w:tc>
        <w:tc>
          <w:tcPr>
            <w:tcW w:w="1827" w:type="dxa"/>
            <w:shd w:val="clear" w:color="auto" w:fill="F2F2F2" w:themeFill="background1" w:themeFillShade="F2"/>
            <w:vAlign w:val="bottom"/>
          </w:tcPr>
          <w:p w14:paraId="2D1A4A17" w14:textId="1C5E2960" w:rsidR="00D1592F" w:rsidRPr="00D1592F" w:rsidRDefault="00D1592F" w:rsidP="002A2E42">
            <w:pPr>
              <w:autoSpaceDE w:val="0"/>
              <w:autoSpaceDN w:val="0"/>
              <w:adjustRightInd w:val="0"/>
              <w:snapToGrid w:val="0"/>
              <w:spacing w:before="0" w:after="0" w:line="200" w:lineRule="exact"/>
              <w:jc w:val="center"/>
              <w:rPr>
                <w:rFonts w:cs="Calibri Light"/>
                <w:b/>
                <w:color w:val="000000"/>
                <w:sz w:val="20"/>
                <w:szCs w:val="20"/>
              </w:rPr>
            </w:pPr>
            <w:r w:rsidRPr="00D1592F">
              <w:rPr>
                <w:rFonts w:cs="Calibri Light"/>
                <w:b/>
                <w:color w:val="000000"/>
                <w:sz w:val="20"/>
                <w:szCs w:val="20"/>
              </w:rPr>
              <w:t>Calculated Capacity (Btu/hr)</w:t>
            </w:r>
          </w:p>
        </w:tc>
        <w:tc>
          <w:tcPr>
            <w:tcW w:w="1827" w:type="dxa"/>
            <w:shd w:val="clear" w:color="auto" w:fill="F2F2F2" w:themeFill="background1" w:themeFillShade="F2"/>
            <w:vAlign w:val="bottom"/>
          </w:tcPr>
          <w:p w14:paraId="3360E4E5" w14:textId="40DFFBA5" w:rsidR="00D1592F" w:rsidRPr="00D1592F" w:rsidRDefault="00D1592F" w:rsidP="002A2E42">
            <w:pPr>
              <w:autoSpaceDE w:val="0"/>
              <w:autoSpaceDN w:val="0"/>
              <w:adjustRightInd w:val="0"/>
              <w:snapToGrid w:val="0"/>
              <w:spacing w:before="0" w:after="0" w:line="200" w:lineRule="exact"/>
              <w:jc w:val="center"/>
              <w:rPr>
                <w:rFonts w:cs="Calibri Light"/>
                <w:b/>
                <w:color w:val="000000"/>
                <w:sz w:val="20"/>
                <w:szCs w:val="20"/>
              </w:rPr>
            </w:pPr>
            <w:r w:rsidRPr="00D1592F">
              <w:rPr>
                <w:rFonts w:cs="Calibri Light"/>
                <w:b/>
                <w:color w:val="000000"/>
                <w:sz w:val="20"/>
                <w:szCs w:val="20"/>
              </w:rPr>
              <w:t>Equipment Selection (Btu/hr)</w:t>
            </w:r>
          </w:p>
        </w:tc>
      </w:tr>
      <w:tr w:rsidR="00D1592F" w:rsidRPr="00D1592F" w14:paraId="24063D0E" w14:textId="77777777" w:rsidTr="00E36A58">
        <w:trPr>
          <w:cantSplit/>
        </w:trPr>
        <w:tc>
          <w:tcPr>
            <w:tcW w:w="1719" w:type="dxa"/>
            <w:vAlign w:val="center"/>
          </w:tcPr>
          <w:p w14:paraId="736790B3"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60</w:t>
            </w:r>
          </w:p>
        </w:tc>
        <w:tc>
          <w:tcPr>
            <w:tcW w:w="1827" w:type="dxa"/>
            <w:vAlign w:val="center"/>
          </w:tcPr>
          <w:p w14:paraId="672728EC"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2.00</w:t>
            </w:r>
          </w:p>
        </w:tc>
        <w:tc>
          <w:tcPr>
            <w:tcW w:w="1827" w:type="dxa"/>
            <w:vAlign w:val="center"/>
          </w:tcPr>
          <w:p w14:paraId="6459D65A"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80,000</w:t>
            </w:r>
          </w:p>
        </w:tc>
        <w:tc>
          <w:tcPr>
            <w:tcW w:w="1827" w:type="dxa"/>
            <w:vAlign w:val="center"/>
          </w:tcPr>
          <w:p w14:paraId="658114C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100,000</w:t>
            </w:r>
          </w:p>
        </w:tc>
      </w:tr>
      <w:tr w:rsidR="00D1592F" w:rsidRPr="00D1592F" w14:paraId="3E889A17" w14:textId="77777777" w:rsidTr="00E36A58">
        <w:trPr>
          <w:cantSplit/>
        </w:trPr>
        <w:tc>
          <w:tcPr>
            <w:tcW w:w="1719" w:type="dxa"/>
            <w:vAlign w:val="center"/>
          </w:tcPr>
          <w:p w14:paraId="1E610F1D"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70</w:t>
            </w:r>
          </w:p>
        </w:tc>
        <w:tc>
          <w:tcPr>
            <w:tcW w:w="1827" w:type="dxa"/>
            <w:vAlign w:val="center"/>
          </w:tcPr>
          <w:p w14:paraId="0C8D9AE3"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2.33</w:t>
            </w:r>
          </w:p>
        </w:tc>
        <w:tc>
          <w:tcPr>
            <w:tcW w:w="1827" w:type="dxa"/>
            <w:vAlign w:val="center"/>
          </w:tcPr>
          <w:p w14:paraId="2F7BB7A7"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93,333</w:t>
            </w:r>
          </w:p>
        </w:tc>
        <w:tc>
          <w:tcPr>
            <w:tcW w:w="1827" w:type="dxa"/>
            <w:vAlign w:val="center"/>
          </w:tcPr>
          <w:p w14:paraId="38415C8F"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125,000</w:t>
            </w:r>
          </w:p>
        </w:tc>
      </w:tr>
      <w:tr w:rsidR="00D1592F" w:rsidRPr="00D1592F" w14:paraId="223B1A1B" w14:textId="77777777" w:rsidTr="00E36A58">
        <w:trPr>
          <w:cantSplit/>
        </w:trPr>
        <w:tc>
          <w:tcPr>
            <w:tcW w:w="1719" w:type="dxa"/>
            <w:vAlign w:val="center"/>
          </w:tcPr>
          <w:p w14:paraId="198C2A6B"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80</w:t>
            </w:r>
          </w:p>
        </w:tc>
        <w:tc>
          <w:tcPr>
            <w:tcW w:w="1827" w:type="dxa"/>
            <w:vAlign w:val="center"/>
          </w:tcPr>
          <w:p w14:paraId="3143F7FB"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2.67</w:t>
            </w:r>
          </w:p>
        </w:tc>
        <w:tc>
          <w:tcPr>
            <w:tcW w:w="1827" w:type="dxa"/>
            <w:vAlign w:val="center"/>
          </w:tcPr>
          <w:p w14:paraId="178D1900"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106,667</w:t>
            </w:r>
          </w:p>
        </w:tc>
        <w:tc>
          <w:tcPr>
            <w:tcW w:w="1827" w:type="dxa"/>
            <w:vAlign w:val="center"/>
          </w:tcPr>
          <w:p w14:paraId="1B04CD0D"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125,000</w:t>
            </w:r>
          </w:p>
        </w:tc>
      </w:tr>
      <w:tr w:rsidR="00D1592F" w:rsidRPr="00D1592F" w14:paraId="658185A8" w14:textId="77777777" w:rsidTr="00E36A58">
        <w:trPr>
          <w:cantSplit/>
        </w:trPr>
        <w:tc>
          <w:tcPr>
            <w:tcW w:w="1719" w:type="dxa"/>
            <w:vAlign w:val="center"/>
          </w:tcPr>
          <w:p w14:paraId="506541F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90</w:t>
            </w:r>
          </w:p>
        </w:tc>
        <w:tc>
          <w:tcPr>
            <w:tcW w:w="1827" w:type="dxa"/>
            <w:vAlign w:val="center"/>
          </w:tcPr>
          <w:p w14:paraId="57A1925A"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3.00</w:t>
            </w:r>
          </w:p>
        </w:tc>
        <w:tc>
          <w:tcPr>
            <w:tcW w:w="1827" w:type="dxa"/>
            <w:vAlign w:val="center"/>
          </w:tcPr>
          <w:p w14:paraId="6C7861C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120,000</w:t>
            </w:r>
          </w:p>
        </w:tc>
        <w:tc>
          <w:tcPr>
            <w:tcW w:w="1827" w:type="dxa"/>
            <w:vAlign w:val="center"/>
          </w:tcPr>
          <w:p w14:paraId="614D173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150,000</w:t>
            </w:r>
          </w:p>
        </w:tc>
      </w:tr>
      <w:tr w:rsidR="00D1592F" w:rsidRPr="00D1592F" w14:paraId="5F8B1E3E" w14:textId="77777777" w:rsidTr="00E36A58">
        <w:trPr>
          <w:cantSplit/>
        </w:trPr>
        <w:tc>
          <w:tcPr>
            <w:tcW w:w="1719" w:type="dxa"/>
            <w:vAlign w:val="center"/>
          </w:tcPr>
          <w:p w14:paraId="34F15998"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100</w:t>
            </w:r>
          </w:p>
        </w:tc>
        <w:tc>
          <w:tcPr>
            <w:tcW w:w="1827" w:type="dxa"/>
            <w:vAlign w:val="center"/>
          </w:tcPr>
          <w:p w14:paraId="2A06F4B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3.33</w:t>
            </w:r>
          </w:p>
        </w:tc>
        <w:tc>
          <w:tcPr>
            <w:tcW w:w="1827" w:type="dxa"/>
            <w:vAlign w:val="center"/>
          </w:tcPr>
          <w:p w14:paraId="67E6B17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133,333</w:t>
            </w:r>
          </w:p>
        </w:tc>
        <w:tc>
          <w:tcPr>
            <w:tcW w:w="1827" w:type="dxa"/>
            <w:vAlign w:val="center"/>
          </w:tcPr>
          <w:p w14:paraId="18325F9F"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150,000</w:t>
            </w:r>
          </w:p>
        </w:tc>
      </w:tr>
      <w:tr w:rsidR="00D1592F" w:rsidRPr="00D1592F" w14:paraId="61B7037F" w14:textId="77777777" w:rsidTr="00E36A58">
        <w:trPr>
          <w:cantSplit/>
        </w:trPr>
        <w:tc>
          <w:tcPr>
            <w:tcW w:w="1719" w:type="dxa"/>
            <w:vAlign w:val="center"/>
          </w:tcPr>
          <w:p w14:paraId="7714154D"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110</w:t>
            </w:r>
          </w:p>
        </w:tc>
        <w:tc>
          <w:tcPr>
            <w:tcW w:w="1827" w:type="dxa"/>
            <w:vAlign w:val="center"/>
          </w:tcPr>
          <w:p w14:paraId="58821093"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3.67</w:t>
            </w:r>
          </w:p>
        </w:tc>
        <w:tc>
          <w:tcPr>
            <w:tcW w:w="1827" w:type="dxa"/>
            <w:vAlign w:val="center"/>
          </w:tcPr>
          <w:p w14:paraId="10C2BCEF"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146,667</w:t>
            </w:r>
          </w:p>
        </w:tc>
        <w:tc>
          <w:tcPr>
            <w:tcW w:w="1827" w:type="dxa"/>
            <w:vAlign w:val="center"/>
          </w:tcPr>
          <w:p w14:paraId="19D6D50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175,000</w:t>
            </w:r>
          </w:p>
        </w:tc>
      </w:tr>
      <w:tr w:rsidR="00D1592F" w:rsidRPr="00D1592F" w14:paraId="19283980" w14:textId="77777777" w:rsidTr="00E36A58">
        <w:trPr>
          <w:cantSplit/>
        </w:trPr>
        <w:tc>
          <w:tcPr>
            <w:tcW w:w="1719" w:type="dxa"/>
            <w:vAlign w:val="center"/>
          </w:tcPr>
          <w:p w14:paraId="450E0171"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120</w:t>
            </w:r>
          </w:p>
        </w:tc>
        <w:tc>
          <w:tcPr>
            <w:tcW w:w="1827" w:type="dxa"/>
            <w:vAlign w:val="center"/>
          </w:tcPr>
          <w:p w14:paraId="455A31E1"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4.00</w:t>
            </w:r>
          </w:p>
        </w:tc>
        <w:tc>
          <w:tcPr>
            <w:tcW w:w="1827" w:type="dxa"/>
            <w:vAlign w:val="center"/>
          </w:tcPr>
          <w:p w14:paraId="303858CF"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160,000</w:t>
            </w:r>
          </w:p>
        </w:tc>
        <w:tc>
          <w:tcPr>
            <w:tcW w:w="1827" w:type="dxa"/>
            <w:vAlign w:val="center"/>
          </w:tcPr>
          <w:p w14:paraId="7CB3CF64"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200,000</w:t>
            </w:r>
          </w:p>
        </w:tc>
      </w:tr>
      <w:tr w:rsidR="00D1592F" w:rsidRPr="00D1592F" w14:paraId="1E089878" w14:textId="77777777" w:rsidTr="00E36A58">
        <w:trPr>
          <w:cantSplit/>
        </w:trPr>
        <w:tc>
          <w:tcPr>
            <w:tcW w:w="1719" w:type="dxa"/>
            <w:vAlign w:val="center"/>
          </w:tcPr>
          <w:p w14:paraId="373294E1"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130</w:t>
            </w:r>
          </w:p>
        </w:tc>
        <w:tc>
          <w:tcPr>
            <w:tcW w:w="1827" w:type="dxa"/>
            <w:vAlign w:val="center"/>
          </w:tcPr>
          <w:p w14:paraId="2A864A1D"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4.33</w:t>
            </w:r>
          </w:p>
        </w:tc>
        <w:tc>
          <w:tcPr>
            <w:tcW w:w="1827" w:type="dxa"/>
            <w:vAlign w:val="center"/>
          </w:tcPr>
          <w:p w14:paraId="7CD61439"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173,333</w:t>
            </w:r>
          </w:p>
        </w:tc>
        <w:tc>
          <w:tcPr>
            <w:tcW w:w="1827" w:type="dxa"/>
            <w:vAlign w:val="center"/>
          </w:tcPr>
          <w:p w14:paraId="3BD2B8C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200,000</w:t>
            </w:r>
          </w:p>
        </w:tc>
      </w:tr>
      <w:tr w:rsidR="00D1592F" w:rsidRPr="00D1592F" w14:paraId="21AA1F70" w14:textId="77777777" w:rsidTr="00E36A58">
        <w:trPr>
          <w:cantSplit/>
        </w:trPr>
        <w:tc>
          <w:tcPr>
            <w:tcW w:w="1719" w:type="dxa"/>
            <w:vAlign w:val="center"/>
          </w:tcPr>
          <w:p w14:paraId="4ACE011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140</w:t>
            </w:r>
          </w:p>
        </w:tc>
        <w:tc>
          <w:tcPr>
            <w:tcW w:w="1827" w:type="dxa"/>
            <w:vAlign w:val="center"/>
          </w:tcPr>
          <w:p w14:paraId="5C0BE255"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4.67</w:t>
            </w:r>
          </w:p>
        </w:tc>
        <w:tc>
          <w:tcPr>
            <w:tcW w:w="1827" w:type="dxa"/>
            <w:vAlign w:val="center"/>
          </w:tcPr>
          <w:p w14:paraId="4EF6CC11"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186,667</w:t>
            </w:r>
          </w:p>
        </w:tc>
        <w:tc>
          <w:tcPr>
            <w:tcW w:w="1827" w:type="dxa"/>
            <w:vAlign w:val="center"/>
          </w:tcPr>
          <w:p w14:paraId="6CFF854F"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225,000</w:t>
            </w:r>
          </w:p>
        </w:tc>
      </w:tr>
      <w:tr w:rsidR="00D1592F" w:rsidRPr="00D1592F" w14:paraId="5B53900A" w14:textId="77777777" w:rsidTr="00E36A58">
        <w:trPr>
          <w:cantSplit/>
        </w:trPr>
        <w:tc>
          <w:tcPr>
            <w:tcW w:w="1719" w:type="dxa"/>
            <w:vAlign w:val="center"/>
          </w:tcPr>
          <w:p w14:paraId="1684C95B"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150</w:t>
            </w:r>
          </w:p>
        </w:tc>
        <w:tc>
          <w:tcPr>
            <w:tcW w:w="1827" w:type="dxa"/>
            <w:vAlign w:val="center"/>
          </w:tcPr>
          <w:p w14:paraId="7F2D6E5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5.00</w:t>
            </w:r>
          </w:p>
        </w:tc>
        <w:tc>
          <w:tcPr>
            <w:tcW w:w="1827" w:type="dxa"/>
            <w:vAlign w:val="center"/>
          </w:tcPr>
          <w:p w14:paraId="0CEEE7FC"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200,000</w:t>
            </w:r>
          </w:p>
        </w:tc>
        <w:tc>
          <w:tcPr>
            <w:tcW w:w="1827" w:type="dxa"/>
            <w:vAlign w:val="center"/>
          </w:tcPr>
          <w:p w14:paraId="4446631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225,000</w:t>
            </w:r>
          </w:p>
        </w:tc>
      </w:tr>
      <w:tr w:rsidR="00D1592F" w:rsidRPr="00D1592F" w14:paraId="7697FCFE" w14:textId="77777777" w:rsidTr="00E36A58">
        <w:trPr>
          <w:cantSplit/>
        </w:trPr>
        <w:tc>
          <w:tcPr>
            <w:tcW w:w="1719" w:type="dxa"/>
            <w:vAlign w:val="center"/>
          </w:tcPr>
          <w:p w14:paraId="2FC9BC0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160</w:t>
            </w:r>
          </w:p>
        </w:tc>
        <w:tc>
          <w:tcPr>
            <w:tcW w:w="1827" w:type="dxa"/>
            <w:vAlign w:val="center"/>
          </w:tcPr>
          <w:p w14:paraId="6940388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5.33</w:t>
            </w:r>
          </w:p>
        </w:tc>
        <w:tc>
          <w:tcPr>
            <w:tcW w:w="1827" w:type="dxa"/>
            <w:vAlign w:val="center"/>
          </w:tcPr>
          <w:p w14:paraId="5FC686C3"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213,333</w:t>
            </w:r>
          </w:p>
        </w:tc>
        <w:tc>
          <w:tcPr>
            <w:tcW w:w="1827" w:type="dxa"/>
            <w:vAlign w:val="center"/>
          </w:tcPr>
          <w:p w14:paraId="5E2CC53F"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250,000</w:t>
            </w:r>
          </w:p>
        </w:tc>
      </w:tr>
      <w:tr w:rsidR="00D1592F" w:rsidRPr="00D1592F" w14:paraId="57AFA310" w14:textId="77777777" w:rsidTr="00E36A58">
        <w:trPr>
          <w:cantSplit/>
        </w:trPr>
        <w:tc>
          <w:tcPr>
            <w:tcW w:w="1719" w:type="dxa"/>
            <w:vAlign w:val="center"/>
          </w:tcPr>
          <w:p w14:paraId="3FD186D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170</w:t>
            </w:r>
          </w:p>
        </w:tc>
        <w:tc>
          <w:tcPr>
            <w:tcW w:w="1827" w:type="dxa"/>
            <w:vAlign w:val="center"/>
          </w:tcPr>
          <w:p w14:paraId="642E0B84"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5.67</w:t>
            </w:r>
          </w:p>
        </w:tc>
        <w:tc>
          <w:tcPr>
            <w:tcW w:w="1827" w:type="dxa"/>
            <w:vAlign w:val="center"/>
          </w:tcPr>
          <w:p w14:paraId="557CB000"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226,667</w:t>
            </w:r>
          </w:p>
        </w:tc>
        <w:tc>
          <w:tcPr>
            <w:tcW w:w="1827" w:type="dxa"/>
            <w:vAlign w:val="center"/>
          </w:tcPr>
          <w:p w14:paraId="2B78E32B"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250,000</w:t>
            </w:r>
          </w:p>
        </w:tc>
      </w:tr>
      <w:tr w:rsidR="00D1592F" w:rsidRPr="00D1592F" w14:paraId="40B62273" w14:textId="77777777" w:rsidTr="00E36A58">
        <w:trPr>
          <w:cantSplit/>
        </w:trPr>
        <w:tc>
          <w:tcPr>
            <w:tcW w:w="1719" w:type="dxa"/>
            <w:vAlign w:val="center"/>
          </w:tcPr>
          <w:p w14:paraId="080F90BB"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180</w:t>
            </w:r>
          </w:p>
        </w:tc>
        <w:tc>
          <w:tcPr>
            <w:tcW w:w="1827" w:type="dxa"/>
            <w:vAlign w:val="center"/>
          </w:tcPr>
          <w:p w14:paraId="58300955"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6.00</w:t>
            </w:r>
          </w:p>
        </w:tc>
        <w:tc>
          <w:tcPr>
            <w:tcW w:w="1827" w:type="dxa"/>
            <w:vAlign w:val="center"/>
          </w:tcPr>
          <w:p w14:paraId="45E2F2F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240,000</w:t>
            </w:r>
          </w:p>
        </w:tc>
        <w:tc>
          <w:tcPr>
            <w:tcW w:w="1827" w:type="dxa"/>
            <w:vAlign w:val="center"/>
          </w:tcPr>
          <w:p w14:paraId="2E8F0B6D"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275,000</w:t>
            </w:r>
          </w:p>
        </w:tc>
      </w:tr>
      <w:tr w:rsidR="00D1592F" w:rsidRPr="00D1592F" w14:paraId="505561A9" w14:textId="77777777" w:rsidTr="00E36A58">
        <w:trPr>
          <w:cantSplit/>
        </w:trPr>
        <w:tc>
          <w:tcPr>
            <w:tcW w:w="1719" w:type="dxa"/>
            <w:vAlign w:val="center"/>
          </w:tcPr>
          <w:p w14:paraId="2654650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190</w:t>
            </w:r>
          </w:p>
        </w:tc>
        <w:tc>
          <w:tcPr>
            <w:tcW w:w="1827" w:type="dxa"/>
            <w:vAlign w:val="center"/>
          </w:tcPr>
          <w:p w14:paraId="0EB5844F"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6.33</w:t>
            </w:r>
          </w:p>
        </w:tc>
        <w:tc>
          <w:tcPr>
            <w:tcW w:w="1827" w:type="dxa"/>
            <w:vAlign w:val="center"/>
          </w:tcPr>
          <w:p w14:paraId="64A18358"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253,333</w:t>
            </w:r>
          </w:p>
        </w:tc>
        <w:tc>
          <w:tcPr>
            <w:tcW w:w="1827" w:type="dxa"/>
            <w:vAlign w:val="center"/>
          </w:tcPr>
          <w:p w14:paraId="2338AD19"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300,000</w:t>
            </w:r>
          </w:p>
        </w:tc>
      </w:tr>
      <w:tr w:rsidR="00D1592F" w:rsidRPr="00D1592F" w14:paraId="77D905CA" w14:textId="77777777" w:rsidTr="00E36A58">
        <w:trPr>
          <w:cantSplit/>
        </w:trPr>
        <w:tc>
          <w:tcPr>
            <w:tcW w:w="1719" w:type="dxa"/>
            <w:vAlign w:val="center"/>
          </w:tcPr>
          <w:p w14:paraId="76907878"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200</w:t>
            </w:r>
          </w:p>
        </w:tc>
        <w:tc>
          <w:tcPr>
            <w:tcW w:w="1827" w:type="dxa"/>
            <w:vAlign w:val="center"/>
          </w:tcPr>
          <w:p w14:paraId="1F6A78E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6.67</w:t>
            </w:r>
          </w:p>
        </w:tc>
        <w:tc>
          <w:tcPr>
            <w:tcW w:w="1827" w:type="dxa"/>
            <w:vAlign w:val="center"/>
          </w:tcPr>
          <w:p w14:paraId="52ACD935"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266,667</w:t>
            </w:r>
          </w:p>
        </w:tc>
        <w:tc>
          <w:tcPr>
            <w:tcW w:w="1827" w:type="dxa"/>
            <w:vAlign w:val="center"/>
          </w:tcPr>
          <w:p w14:paraId="4C15B54C"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300,000</w:t>
            </w:r>
          </w:p>
        </w:tc>
      </w:tr>
      <w:tr w:rsidR="00D1592F" w:rsidRPr="00D1592F" w14:paraId="0871560C" w14:textId="77777777" w:rsidTr="00E36A58">
        <w:trPr>
          <w:cantSplit/>
        </w:trPr>
        <w:tc>
          <w:tcPr>
            <w:tcW w:w="1719" w:type="dxa"/>
            <w:vAlign w:val="center"/>
          </w:tcPr>
          <w:p w14:paraId="5BC006C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210</w:t>
            </w:r>
          </w:p>
        </w:tc>
        <w:tc>
          <w:tcPr>
            <w:tcW w:w="1827" w:type="dxa"/>
            <w:vAlign w:val="center"/>
          </w:tcPr>
          <w:p w14:paraId="70D0C573"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7.00</w:t>
            </w:r>
          </w:p>
        </w:tc>
        <w:tc>
          <w:tcPr>
            <w:tcW w:w="1827" w:type="dxa"/>
            <w:vAlign w:val="center"/>
          </w:tcPr>
          <w:p w14:paraId="1433BFB8"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280,000</w:t>
            </w:r>
          </w:p>
        </w:tc>
        <w:tc>
          <w:tcPr>
            <w:tcW w:w="1827" w:type="dxa"/>
            <w:vAlign w:val="center"/>
          </w:tcPr>
          <w:p w14:paraId="204EC1E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325,000</w:t>
            </w:r>
          </w:p>
        </w:tc>
      </w:tr>
      <w:tr w:rsidR="00D1592F" w:rsidRPr="00D1592F" w14:paraId="3F4463EA" w14:textId="77777777" w:rsidTr="00E36A58">
        <w:trPr>
          <w:cantSplit/>
        </w:trPr>
        <w:tc>
          <w:tcPr>
            <w:tcW w:w="1719" w:type="dxa"/>
            <w:vAlign w:val="center"/>
          </w:tcPr>
          <w:p w14:paraId="7EFEB464"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220</w:t>
            </w:r>
          </w:p>
        </w:tc>
        <w:tc>
          <w:tcPr>
            <w:tcW w:w="1827" w:type="dxa"/>
            <w:vAlign w:val="center"/>
          </w:tcPr>
          <w:p w14:paraId="0C5B5CB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7.33</w:t>
            </w:r>
          </w:p>
        </w:tc>
        <w:tc>
          <w:tcPr>
            <w:tcW w:w="1827" w:type="dxa"/>
            <w:vAlign w:val="center"/>
          </w:tcPr>
          <w:p w14:paraId="280079AD"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293,333</w:t>
            </w:r>
          </w:p>
        </w:tc>
        <w:tc>
          <w:tcPr>
            <w:tcW w:w="1827" w:type="dxa"/>
            <w:vAlign w:val="center"/>
          </w:tcPr>
          <w:p w14:paraId="3548A73B"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325,000</w:t>
            </w:r>
          </w:p>
        </w:tc>
      </w:tr>
      <w:tr w:rsidR="00D1592F" w:rsidRPr="00D1592F" w14:paraId="79BB7243" w14:textId="77777777" w:rsidTr="00E36A58">
        <w:trPr>
          <w:cantSplit/>
        </w:trPr>
        <w:tc>
          <w:tcPr>
            <w:tcW w:w="1719" w:type="dxa"/>
            <w:vAlign w:val="center"/>
          </w:tcPr>
          <w:p w14:paraId="3DB9EDE9"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230</w:t>
            </w:r>
          </w:p>
        </w:tc>
        <w:tc>
          <w:tcPr>
            <w:tcW w:w="1827" w:type="dxa"/>
            <w:vAlign w:val="center"/>
          </w:tcPr>
          <w:p w14:paraId="20E8DEAF"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7.67</w:t>
            </w:r>
          </w:p>
        </w:tc>
        <w:tc>
          <w:tcPr>
            <w:tcW w:w="1827" w:type="dxa"/>
            <w:vAlign w:val="center"/>
          </w:tcPr>
          <w:p w14:paraId="20B3ADA7"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306,667</w:t>
            </w:r>
          </w:p>
        </w:tc>
        <w:tc>
          <w:tcPr>
            <w:tcW w:w="1827" w:type="dxa"/>
            <w:vAlign w:val="center"/>
          </w:tcPr>
          <w:p w14:paraId="28199D7C"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350,000</w:t>
            </w:r>
          </w:p>
        </w:tc>
      </w:tr>
      <w:tr w:rsidR="00D1592F" w:rsidRPr="00D1592F" w14:paraId="28955C61" w14:textId="77777777" w:rsidTr="00E36A58">
        <w:trPr>
          <w:cantSplit/>
        </w:trPr>
        <w:tc>
          <w:tcPr>
            <w:tcW w:w="1719" w:type="dxa"/>
            <w:vAlign w:val="center"/>
          </w:tcPr>
          <w:p w14:paraId="271B7AD7"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240</w:t>
            </w:r>
          </w:p>
        </w:tc>
        <w:tc>
          <w:tcPr>
            <w:tcW w:w="1827" w:type="dxa"/>
            <w:vAlign w:val="center"/>
          </w:tcPr>
          <w:p w14:paraId="64443F61"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8.00</w:t>
            </w:r>
          </w:p>
        </w:tc>
        <w:tc>
          <w:tcPr>
            <w:tcW w:w="1827" w:type="dxa"/>
            <w:vAlign w:val="center"/>
          </w:tcPr>
          <w:p w14:paraId="29404BB3"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320,000</w:t>
            </w:r>
          </w:p>
        </w:tc>
        <w:tc>
          <w:tcPr>
            <w:tcW w:w="1827" w:type="dxa"/>
            <w:vAlign w:val="center"/>
          </w:tcPr>
          <w:p w14:paraId="22A4D53D"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375,000</w:t>
            </w:r>
          </w:p>
        </w:tc>
      </w:tr>
      <w:tr w:rsidR="00D1592F" w:rsidRPr="00D1592F" w14:paraId="4D6DC247" w14:textId="77777777" w:rsidTr="00E36A58">
        <w:trPr>
          <w:cantSplit/>
        </w:trPr>
        <w:tc>
          <w:tcPr>
            <w:tcW w:w="1719" w:type="dxa"/>
            <w:vAlign w:val="center"/>
          </w:tcPr>
          <w:p w14:paraId="0505B934"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250</w:t>
            </w:r>
          </w:p>
        </w:tc>
        <w:tc>
          <w:tcPr>
            <w:tcW w:w="1827" w:type="dxa"/>
            <w:vAlign w:val="center"/>
          </w:tcPr>
          <w:p w14:paraId="479EA9B3"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8.33</w:t>
            </w:r>
          </w:p>
        </w:tc>
        <w:tc>
          <w:tcPr>
            <w:tcW w:w="1827" w:type="dxa"/>
            <w:vAlign w:val="center"/>
          </w:tcPr>
          <w:p w14:paraId="2CE11F81"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333,333</w:t>
            </w:r>
          </w:p>
        </w:tc>
        <w:tc>
          <w:tcPr>
            <w:tcW w:w="1827" w:type="dxa"/>
            <w:vAlign w:val="center"/>
          </w:tcPr>
          <w:p w14:paraId="53826BC8"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375,000</w:t>
            </w:r>
          </w:p>
        </w:tc>
      </w:tr>
      <w:tr w:rsidR="00D1592F" w:rsidRPr="00D1592F" w14:paraId="570F169F" w14:textId="77777777" w:rsidTr="00E36A58">
        <w:trPr>
          <w:cantSplit/>
        </w:trPr>
        <w:tc>
          <w:tcPr>
            <w:tcW w:w="1719" w:type="dxa"/>
            <w:vAlign w:val="center"/>
          </w:tcPr>
          <w:p w14:paraId="06C309D8"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155</w:t>
            </w:r>
          </w:p>
        </w:tc>
        <w:tc>
          <w:tcPr>
            <w:tcW w:w="1827" w:type="dxa"/>
            <w:vAlign w:val="center"/>
          </w:tcPr>
          <w:p w14:paraId="035D541A"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5.17</w:t>
            </w:r>
          </w:p>
        </w:tc>
        <w:tc>
          <w:tcPr>
            <w:tcW w:w="1827" w:type="dxa"/>
            <w:vAlign w:val="center"/>
          </w:tcPr>
          <w:p w14:paraId="2E701880"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206,667</w:t>
            </w:r>
          </w:p>
        </w:tc>
        <w:tc>
          <w:tcPr>
            <w:tcW w:w="1827" w:type="dxa"/>
            <w:vAlign w:val="center"/>
          </w:tcPr>
          <w:p w14:paraId="1D68C30A"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250,000</w:t>
            </w:r>
          </w:p>
        </w:tc>
      </w:tr>
      <w:tr w:rsidR="00D1592F" w:rsidRPr="00D1592F" w14:paraId="3772864E" w14:textId="77777777" w:rsidTr="00E36A58">
        <w:trPr>
          <w:cantSplit/>
        </w:trPr>
        <w:tc>
          <w:tcPr>
            <w:tcW w:w="1719" w:type="dxa"/>
            <w:vAlign w:val="center"/>
          </w:tcPr>
          <w:p w14:paraId="78E3B03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160</w:t>
            </w:r>
          </w:p>
        </w:tc>
        <w:tc>
          <w:tcPr>
            <w:tcW w:w="1827" w:type="dxa"/>
            <w:vAlign w:val="center"/>
          </w:tcPr>
          <w:p w14:paraId="51ED3C99"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5.33</w:t>
            </w:r>
          </w:p>
        </w:tc>
        <w:tc>
          <w:tcPr>
            <w:tcW w:w="1827" w:type="dxa"/>
            <w:vAlign w:val="center"/>
          </w:tcPr>
          <w:p w14:paraId="153AA003"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213,333</w:t>
            </w:r>
          </w:p>
        </w:tc>
        <w:tc>
          <w:tcPr>
            <w:tcW w:w="1827" w:type="dxa"/>
            <w:vAlign w:val="center"/>
          </w:tcPr>
          <w:p w14:paraId="0519522F"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250,000</w:t>
            </w:r>
          </w:p>
        </w:tc>
      </w:tr>
      <w:tr w:rsidR="00D1592F" w:rsidRPr="00D1592F" w14:paraId="6F861458" w14:textId="77777777" w:rsidTr="00E36A58">
        <w:trPr>
          <w:cantSplit/>
        </w:trPr>
        <w:tc>
          <w:tcPr>
            <w:tcW w:w="1719" w:type="dxa"/>
            <w:vAlign w:val="center"/>
          </w:tcPr>
          <w:p w14:paraId="3F971EC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lastRenderedPageBreak/>
              <w:t>165</w:t>
            </w:r>
          </w:p>
        </w:tc>
        <w:tc>
          <w:tcPr>
            <w:tcW w:w="1827" w:type="dxa"/>
            <w:vAlign w:val="center"/>
          </w:tcPr>
          <w:p w14:paraId="238473DD"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5.50</w:t>
            </w:r>
          </w:p>
        </w:tc>
        <w:tc>
          <w:tcPr>
            <w:tcW w:w="1827" w:type="dxa"/>
            <w:vAlign w:val="center"/>
          </w:tcPr>
          <w:p w14:paraId="2B5DA84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220,000</w:t>
            </w:r>
          </w:p>
        </w:tc>
        <w:tc>
          <w:tcPr>
            <w:tcW w:w="1827" w:type="dxa"/>
            <w:vAlign w:val="center"/>
          </w:tcPr>
          <w:p w14:paraId="430D47B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250,000</w:t>
            </w:r>
          </w:p>
        </w:tc>
      </w:tr>
      <w:tr w:rsidR="00D1592F" w:rsidRPr="00D1592F" w14:paraId="1C3B05B1" w14:textId="77777777" w:rsidTr="00E36A58">
        <w:trPr>
          <w:cantSplit/>
        </w:trPr>
        <w:tc>
          <w:tcPr>
            <w:tcW w:w="1719" w:type="dxa"/>
            <w:vAlign w:val="center"/>
          </w:tcPr>
          <w:p w14:paraId="05C76963"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170</w:t>
            </w:r>
          </w:p>
        </w:tc>
        <w:tc>
          <w:tcPr>
            <w:tcW w:w="1827" w:type="dxa"/>
            <w:vAlign w:val="center"/>
          </w:tcPr>
          <w:p w14:paraId="4E22A05B"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5.67</w:t>
            </w:r>
          </w:p>
        </w:tc>
        <w:tc>
          <w:tcPr>
            <w:tcW w:w="1827" w:type="dxa"/>
            <w:vAlign w:val="center"/>
          </w:tcPr>
          <w:p w14:paraId="216E8F0A"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226,667</w:t>
            </w:r>
          </w:p>
        </w:tc>
        <w:tc>
          <w:tcPr>
            <w:tcW w:w="1827" w:type="dxa"/>
            <w:vAlign w:val="center"/>
          </w:tcPr>
          <w:p w14:paraId="29722D27"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250,000</w:t>
            </w:r>
          </w:p>
        </w:tc>
      </w:tr>
      <w:tr w:rsidR="00D1592F" w:rsidRPr="00D1592F" w14:paraId="451A0F80" w14:textId="77777777" w:rsidTr="00E36A58">
        <w:trPr>
          <w:cantSplit/>
        </w:trPr>
        <w:tc>
          <w:tcPr>
            <w:tcW w:w="1719" w:type="dxa"/>
            <w:vAlign w:val="center"/>
          </w:tcPr>
          <w:p w14:paraId="1F560695"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175</w:t>
            </w:r>
          </w:p>
        </w:tc>
        <w:tc>
          <w:tcPr>
            <w:tcW w:w="1827" w:type="dxa"/>
            <w:vAlign w:val="center"/>
          </w:tcPr>
          <w:p w14:paraId="42474D35"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5.83</w:t>
            </w:r>
          </w:p>
        </w:tc>
        <w:tc>
          <w:tcPr>
            <w:tcW w:w="1827" w:type="dxa"/>
            <w:vAlign w:val="center"/>
          </w:tcPr>
          <w:p w14:paraId="4469C43E"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233,333</w:t>
            </w:r>
          </w:p>
        </w:tc>
        <w:tc>
          <w:tcPr>
            <w:tcW w:w="1827" w:type="dxa"/>
            <w:vAlign w:val="center"/>
          </w:tcPr>
          <w:p w14:paraId="289A5E2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275,000</w:t>
            </w:r>
          </w:p>
        </w:tc>
      </w:tr>
      <w:tr w:rsidR="00D1592F" w:rsidRPr="00D1592F" w14:paraId="14400539" w14:textId="77777777" w:rsidTr="00E36A58">
        <w:trPr>
          <w:cantSplit/>
        </w:trPr>
        <w:tc>
          <w:tcPr>
            <w:tcW w:w="1719" w:type="dxa"/>
            <w:vAlign w:val="center"/>
          </w:tcPr>
          <w:p w14:paraId="13D1707A"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180</w:t>
            </w:r>
          </w:p>
        </w:tc>
        <w:tc>
          <w:tcPr>
            <w:tcW w:w="1827" w:type="dxa"/>
            <w:vAlign w:val="center"/>
          </w:tcPr>
          <w:p w14:paraId="64D4BD07"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6.00</w:t>
            </w:r>
          </w:p>
        </w:tc>
        <w:tc>
          <w:tcPr>
            <w:tcW w:w="1827" w:type="dxa"/>
            <w:vAlign w:val="center"/>
          </w:tcPr>
          <w:p w14:paraId="5064A509"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240,000</w:t>
            </w:r>
          </w:p>
        </w:tc>
        <w:tc>
          <w:tcPr>
            <w:tcW w:w="1827" w:type="dxa"/>
            <w:vAlign w:val="center"/>
          </w:tcPr>
          <w:p w14:paraId="401C2EE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275,000</w:t>
            </w:r>
          </w:p>
        </w:tc>
      </w:tr>
      <w:tr w:rsidR="00D1592F" w:rsidRPr="00D1592F" w14:paraId="1A2170B0" w14:textId="77777777" w:rsidTr="00E36A58">
        <w:trPr>
          <w:cantSplit/>
        </w:trPr>
        <w:tc>
          <w:tcPr>
            <w:tcW w:w="1719" w:type="dxa"/>
            <w:vAlign w:val="center"/>
          </w:tcPr>
          <w:p w14:paraId="7715231C"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185</w:t>
            </w:r>
          </w:p>
        </w:tc>
        <w:tc>
          <w:tcPr>
            <w:tcW w:w="1827" w:type="dxa"/>
            <w:vAlign w:val="center"/>
          </w:tcPr>
          <w:p w14:paraId="00F0ED59"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6.17</w:t>
            </w:r>
          </w:p>
        </w:tc>
        <w:tc>
          <w:tcPr>
            <w:tcW w:w="1827" w:type="dxa"/>
            <w:vAlign w:val="center"/>
          </w:tcPr>
          <w:p w14:paraId="35CE32B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246,667</w:t>
            </w:r>
          </w:p>
        </w:tc>
        <w:tc>
          <w:tcPr>
            <w:tcW w:w="1827" w:type="dxa"/>
            <w:vAlign w:val="center"/>
          </w:tcPr>
          <w:p w14:paraId="427B9575"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275,000</w:t>
            </w:r>
          </w:p>
        </w:tc>
      </w:tr>
      <w:tr w:rsidR="00D1592F" w:rsidRPr="00D1592F" w14:paraId="5D3019C5" w14:textId="77777777" w:rsidTr="00E36A58">
        <w:trPr>
          <w:cantSplit/>
        </w:trPr>
        <w:tc>
          <w:tcPr>
            <w:tcW w:w="1719" w:type="dxa"/>
            <w:vAlign w:val="center"/>
          </w:tcPr>
          <w:p w14:paraId="0FECD8D9"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190</w:t>
            </w:r>
          </w:p>
        </w:tc>
        <w:tc>
          <w:tcPr>
            <w:tcW w:w="1827" w:type="dxa"/>
            <w:vAlign w:val="center"/>
          </w:tcPr>
          <w:p w14:paraId="0C47A63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6.33</w:t>
            </w:r>
          </w:p>
        </w:tc>
        <w:tc>
          <w:tcPr>
            <w:tcW w:w="1827" w:type="dxa"/>
            <w:vAlign w:val="center"/>
          </w:tcPr>
          <w:p w14:paraId="33BF89D5"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253,333</w:t>
            </w:r>
          </w:p>
        </w:tc>
        <w:tc>
          <w:tcPr>
            <w:tcW w:w="1827" w:type="dxa"/>
            <w:vAlign w:val="center"/>
          </w:tcPr>
          <w:p w14:paraId="561776A9"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300,000</w:t>
            </w:r>
          </w:p>
        </w:tc>
      </w:tr>
      <w:tr w:rsidR="00D1592F" w:rsidRPr="00D1592F" w14:paraId="275D1F67" w14:textId="77777777" w:rsidTr="00E36A58">
        <w:trPr>
          <w:cantSplit/>
        </w:trPr>
        <w:tc>
          <w:tcPr>
            <w:tcW w:w="1719" w:type="dxa"/>
            <w:vAlign w:val="center"/>
          </w:tcPr>
          <w:p w14:paraId="1959756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195</w:t>
            </w:r>
          </w:p>
        </w:tc>
        <w:tc>
          <w:tcPr>
            <w:tcW w:w="1827" w:type="dxa"/>
            <w:vAlign w:val="center"/>
          </w:tcPr>
          <w:p w14:paraId="17F8E9C6"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6.50</w:t>
            </w:r>
          </w:p>
        </w:tc>
        <w:tc>
          <w:tcPr>
            <w:tcW w:w="1827" w:type="dxa"/>
            <w:vAlign w:val="center"/>
          </w:tcPr>
          <w:p w14:paraId="432D1B1C"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260,000</w:t>
            </w:r>
          </w:p>
        </w:tc>
        <w:tc>
          <w:tcPr>
            <w:tcW w:w="1827" w:type="dxa"/>
            <w:vAlign w:val="center"/>
          </w:tcPr>
          <w:p w14:paraId="3475D445"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300,000</w:t>
            </w:r>
          </w:p>
        </w:tc>
      </w:tr>
      <w:tr w:rsidR="00D1592F" w:rsidRPr="00D1592F" w14:paraId="748E2D81" w14:textId="77777777" w:rsidTr="00E36A58">
        <w:trPr>
          <w:cantSplit/>
        </w:trPr>
        <w:tc>
          <w:tcPr>
            <w:tcW w:w="1719" w:type="dxa"/>
            <w:vAlign w:val="center"/>
          </w:tcPr>
          <w:p w14:paraId="3A8A7F12"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200</w:t>
            </w:r>
          </w:p>
        </w:tc>
        <w:tc>
          <w:tcPr>
            <w:tcW w:w="1827" w:type="dxa"/>
            <w:vAlign w:val="center"/>
          </w:tcPr>
          <w:p w14:paraId="6E39A868"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6.67</w:t>
            </w:r>
          </w:p>
        </w:tc>
        <w:tc>
          <w:tcPr>
            <w:tcW w:w="1827" w:type="dxa"/>
            <w:vAlign w:val="center"/>
          </w:tcPr>
          <w:p w14:paraId="34FE99F0"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266,667</w:t>
            </w:r>
          </w:p>
        </w:tc>
        <w:tc>
          <w:tcPr>
            <w:tcW w:w="1827" w:type="dxa"/>
            <w:vAlign w:val="center"/>
          </w:tcPr>
          <w:p w14:paraId="26646547" w14:textId="77777777" w:rsidR="00D1592F" w:rsidRPr="00D1592F" w:rsidRDefault="00D1592F" w:rsidP="002A2E42">
            <w:pPr>
              <w:autoSpaceDE w:val="0"/>
              <w:autoSpaceDN w:val="0"/>
              <w:adjustRightInd w:val="0"/>
              <w:snapToGrid w:val="0"/>
              <w:spacing w:before="0" w:after="0" w:line="200" w:lineRule="exact"/>
              <w:jc w:val="center"/>
              <w:rPr>
                <w:rFonts w:cs="Calibri Light"/>
                <w:color w:val="000000"/>
                <w:sz w:val="20"/>
                <w:szCs w:val="20"/>
              </w:rPr>
            </w:pPr>
            <w:r w:rsidRPr="00D1592F">
              <w:rPr>
                <w:rFonts w:cs="Calibri Light"/>
                <w:color w:val="000000"/>
                <w:sz w:val="20"/>
                <w:szCs w:val="20"/>
              </w:rPr>
              <w:t>300,000</w:t>
            </w:r>
          </w:p>
        </w:tc>
      </w:tr>
      <w:tr w:rsidR="00E36A58" w:rsidRPr="00D1592F" w14:paraId="1BC98699" w14:textId="77777777" w:rsidTr="00E36A58">
        <w:trPr>
          <w:cantSplit/>
        </w:trPr>
        <w:tc>
          <w:tcPr>
            <w:tcW w:w="1719" w:type="dxa"/>
            <w:vAlign w:val="center"/>
          </w:tcPr>
          <w:p w14:paraId="7F4B5A39" w14:textId="1497C71C"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210</w:t>
            </w:r>
          </w:p>
        </w:tc>
        <w:tc>
          <w:tcPr>
            <w:tcW w:w="1827" w:type="dxa"/>
            <w:vAlign w:val="center"/>
          </w:tcPr>
          <w:p w14:paraId="08D14BE6" w14:textId="173FDEEE"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7.00</w:t>
            </w:r>
          </w:p>
        </w:tc>
        <w:tc>
          <w:tcPr>
            <w:tcW w:w="1827" w:type="dxa"/>
            <w:vAlign w:val="center"/>
          </w:tcPr>
          <w:p w14:paraId="60596E86" w14:textId="3EFAEC3A"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280,000</w:t>
            </w:r>
          </w:p>
        </w:tc>
        <w:tc>
          <w:tcPr>
            <w:tcW w:w="1827" w:type="dxa"/>
            <w:vAlign w:val="center"/>
          </w:tcPr>
          <w:p w14:paraId="61F1FED1" w14:textId="2B126FF4"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325,000</w:t>
            </w:r>
          </w:p>
        </w:tc>
      </w:tr>
      <w:tr w:rsidR="00E36A58" w:rsidRPr="00D1592F" w14:paraId="1448252D" w14:textId="77777777" w:rsidTr="00E36A58">
        <w:trPr>
          <w:cantSplit/>
        </w:trPr>
        <w:tc>
          <w:tcPr>
            <w:tcW w:w="1719" w:type="dxa"/>
            <w:vAlign w:val="center"/>
          </w:tcPr>
          <w:p w14:paraId="0C843084" w14:textId="36D5203B"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220</w:t>
            </w:r>
          </w:p>
        </w:tc>
        <w:tc>
          <w:tcPr>
            <w:tcW w:w="1827" w:type="dxa"/>
            <w:vAlign w:val="center"/>
          </w:tcPr>
          <w:p w14:paraId="4645F17F" w14:textId="3E2D885F"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7.33</w:t>
            </w:r>
          </w:p>
        </w:tc>
        <w:tc>
          <w:tcPr>
            <w:tcW w:w="1827" w:type="dxa"/>
            <w:vAlign w:val="center"/>
          </w:tcPr>
          <w:p w14:paraId="044E8229" w14:textId="264FA279"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293,333</w:t>
            </w:r>
          </w:p>
        </w:tc>
        <w:tc>
          <w:tcPr>
            <w:tcW w:w="1827" w:type="dxa"/>
            <w:vAlign w:val="center"/>
          </w:tcPr>
          <w:p w14:paraId="52E41D62" w14:textId="437F6FA0"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325,000</w:t>
            </w:r>
          </w:p>
        </w:tc>
      </w:tr>
      <w:tr w:rsidR="00E36A58" w:rsidRPr="00D1592F" w14:paraId="7B6BA36F" w14:textId="77777777" w:rsidTr="00E36A58">
        <w:trPr>
          <w:cantSplit/>
        </w:trPr>
        <w:tc>
          <w:tcPr>
            <w:tcW w:w="1719" w:type="dxa"/>
            <w:vAlign w:val="center"/>
          </w:tcPr>
          <w:p w14:paraId="6D788BA8" w14:textId="6AFC782E"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230</w:t>
            </w:r>
          </w:p>
        </w:tc>
        <w:tc>
          <w:tcPr>
            <w:tcW w:w="1827" w:type="dxa"/>
            <w:vAlign w:val="center"/>
          </w:tcPr>
          <w:p w14:paraId="4492A0B2" w14:textId="208810E4"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7.67</w:t>
            </w:r>
          </w:p>
        </w:tc>
        <w:tc>
          <w:tcPr>
            <w:tcW w:w="1827" w:type="dxa"/>
            <w:vAlign w:val="center"/>
          </w:tcPr>
          <w:p w14:paraId="482B9F76" w14:textId="0234DFFF"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306,667</w:t>
            </w:r>
          </w:p>
        </w:tc>
        <w:tc>
          <w:tcPr>
            <w:tcW w:w="1827" w:type="dxa"/>
            <w:vAlign w:val="center"/>
          </w:tcPr>
          <w:p w14:paraId="4C9140B1" w14:textId="5D9C0C68"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350,000</w:t>
            </w:r>
          </w:p>
        </w:tc>
      </w:tr>
      <w:tr w:rsidR="00E36A58" w:rsidRPr="00D1592F" w14:paraId="4DA55614" w14:textId="77777777" w:rsidTr="00E36A58">
        <w:trPr>
          <w:cantSplit/>
        </w:trPr>
        <w:tc>
          <w:tcPr>
            <w:tcW w:w="1719" w:type="dxa"/>
            <w:vAlign w:val="center"/>
          </w:tcPr>
          <w:p w14:paraId="2C698423" w14:textId="1AD4EA1C"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240</w:t>
            </w:r>
          </w:p>
        </w:tc>
        <w:tc>
          <w:tcPr>
            <w:tcW w:w="1827" w:type="dxa"/>
            <w:vAlign w:val="center"/>
          </w:tcPr>
          <w:p w14:paraId="66FEFF24" w14:textId="5467C55F"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8.00</w:t>
            </w:r>
          </w:p>
        </w:tc>
        <w:tc>
          <w:tcPr>
            <w:tcW w:w="1827" w:type="dxa"/>
            <w:vAlign w:val="center"/>
          </w:tcPr>
          <w:p w14:paraId="5F8EEC68" w14:textId="236021AC"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320,000</w:t>
            </w:r>
          </w:p>
        </w:tc>
        <w:tc>
          <w:tcPr>
            <w:tcW w:w="1827" w:type="dxa"/>
            <w:vAlign w:val="center"/>
          </w:tcPr>
          <w:p w14:paraId="091033F1" w14:textId="2B1F9550"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375,000</w:t>
            </w:r>
          </w:p>
        </w:tc>
      </w:tr>
      <w:tr w:rsidR="00E36A58" w:rsidRPr="00D1592F" w14:paraId="7E86380A" w14:textId="77777777" w:rsidTr="00E36A58">
        <w:trPr>
          <w:cantSplit/>
        </w:trPr>
        <w:tc>
          <w:tcPr>
            <w:tcW w:w="1719" w:type="dxa"/>
            <w:vAlign w:val="center"/>
          </w:tcPr>
          <w:p w14:paraId="06BE718D" w14:textId="239CA4E9"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250</w:t>
            </w:r>
          </w:p>
        </w:tc>
        <w:tc>
          <w:tcPr>
            <w:tcW w:w="1827" w:type="dxa"/>
            <w:vAlign w:val="center"/>
          </w:tcPr>
          <w:p w14:paraId="5316E033" w14:textId="66F756E2"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8.33</w:t>
            </w:r>
          </w:p>
        </w:tc>
        <w:tc>
          <w:tcPr>
            <w:tcW w:w="1827" w:type="dxa"/>
            <w:vAlign w:val="center"/>
          </w:tcPr>
          <w:p w14:paraId="2FA3E449" w14:textId="3900710F"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333,333</w:t>
            </w:r>
          </w:p>
        </w:tc>
        <w:tc>
          <w:tcPr>
            <w:tcW w:w="1827" w:type="dxa"/>
            <w:vAlign w:val="center"/>
          </w:tcPr>
          <w:p w14:paraId="3D79A39B" w14:textId="6D614F38" w:rsidR="00E36A58" w:rsidRPr="00D1592F" w:rsidRDefault="00E36A58" w:rsidP="002A2E42">
            <w:pPr>
              <w:autoSpaceDE w:val="0"/>
              <w:autoSpaceDN w:val="0"/>
              <w:adjustRightInd w:val="0"/>
              <w:snapToGrid w:val="0"/>
              <w:spacing w:before="0" w:after="0" w:line="200" w:lineRule="exact"/>
              <w:jc w:val="center"/>
              <w:rPr>
                <w:rFonts w:cs="Calibri Light"/>
                <w:color w:val="000000"/>
                <w:sz w:val="20"/>
                <w:szCs w:val="20"/>
              </w:rPr>
            </w:pPr>
            <w:r>
              <w:rPr>
                <w:rFonts w:cs="Calibri Light"/>
                <w:color w:val="000000"/>
                <w:sz w:val="20"/>
                <w:szCs w:val="20"/>
              </w:rPr>
              <w:t>375,000</w:t>
            </w:r>
          </w:p>
        </w:tc>
      </w:tr>
    </w:tbl>
    <w:p w14:paraId="6B4D5FD0" w14:textId="77777777" w:rsidR="009E2970" w:rsidRDefault="009E2970" w:rsidP="00B72ADC"/>
    <w:p w14:paraId="02264C9C" w14:textId="77777777" w:rsidR="005E634E" w:rsidRDefault="005E634E" w:rsidP="005E634E">
      <w:r>
        <w:t xml:space="preserve">With the calculated design capacity, a common boiler size was </w:t>
      </w:r>
      <w:r w:rsidRPr="008546DD">
        <w:t>s</w:t>
      </w:r>
      <w:r>
        <w:t xml:space="preserve">elected using a minimum factor of safety of 1.1. </w:t>
      </w:r>
    </w:p>
    <w:p w14:paraId="29CEEB51" w14:textId="77777777" w:rsidR="005E634E" w:rsidRDefault="005E634E" w:rsidP="00B72ADC"/>
    <w:p w14:paraId="3EF7F5F1" w14:textId="3E0BE8E5" w:rsidR="00621CD7" w:rsidRDefault="00FE4A12" w:rsidP="00B72ADC">
      <w:r w:rsidRPr="00FE4A12">
        <w:rPr>
          <w:b/>
        </w:rPr>
        <w:t>Flow Rate (</w:t>
      </w:r>
      <w:r>
        <w:rPr>
          <w:b/>
        </w:rPr>
        <w:t>gpm</w:t>
      </w:r>
      <w:r w:rsidRPr="00FE4A12">
        <w:rPr>
          <w:b/>
        </w:rPr>
        <w:t>).</w:t>
      </w:r>
      <w:r>
        <w:t xml:space="preserve"> </w:t>
      </w:r>
      <w:r w:rsidR="00621CD7">
        <w:t xml:space="preserve">The average gallon per hour for any given apartment profile </w:t>
      </w:r>
      <w:r w:rsidR="00710E3C">
        <w:t>was</w:t>
      </w:r>
      <w:r w:rsidR="00621CD7">
        <w:t xml:space="preserve"> </w:t>
      </w:r>
      <w:r>
        <w:t xml:space="preserve">derived from </w:t>
      </w:r>
      <w:r w:rsidR="00621CD7">
        <w:t>ASHRAE 50.19.</w:t>
      </w:r>
      <w:r w:rsidR="00694879">
        <w:rPr>
          <w:rStyle w:val="FootnoteReference"/>
        </w:rPr>
        <w:footnoteReference w:id="8"/>
      </w:r>
      <w:r w:rsidR="00621CD7">
        <w:t xml:space="preserve"> This </w:t>
      </w:r>
      <w:r>
        <w:t xml:space="preserve">apartment </w:t>
      </w:r>
      <w:r w:rsidR="00621CD7">
        <w:t xml:space="preserve">profile was first averaged to a single hourly average then normalized to </w:t>
      </w:r>
      <w:r>
        <w:t xml:space="preserve">gallons per minute </w:t>
      </w:r>
      <w:r w:rsidR="00621CD7">
        <w:t xml:space="preserve">as a function of the number of people being served. The ASHRAE profiles </w:t>
      </w:r>
      <w:r w:rsidR="00694879">
        <w:t>are provided</w:t>
      </w:r>
      <w:r w:rsidR="00621CD7">
        <w:t xml:space="preserve"> in </w:t>
      </w:r>
      <w:r w:rsidR="00101854">
        <w:t>in the following figure</w:t>
      </w:r>
      <w:r w:rsidR="00621CD7">
        <w:t>.</w:t>
      </w:r>
    </w:p>
    <w:p w14:paraId="40ACC0DD" w14:textId="69F2756D" w:rsidR="000E4A4B" w:rsidRDefault="000E4A4B" w:rsidP="00101854">
      <w:pPr>
        <w:pStyle w:val="Caption"/>
        <w:keepNext/>
        <w:keepLines/>
      </w:pPr>
      <w:bookmarkStart w:id="56" w:name="_Toc462148377"/>
      <w:r w:rsidRPr="00280558">
        <w:t xml:space="preserve">Average </w:t>
      </w:r>
      <w:r w:rsidR="00A92483">
        <w:t xml:space="preserve">Flow Rate </w:t>
      </w:r>
      <w:r w:rsidRPr="00280558">
        <w:t xml:space="preserve">for Multifamily </w:t>
      </w:r>
      <w:r w:rsidR="00C14B32">
        <w:t>Applications</w:t>
      </w:r>
      <w:r>
        <w:rPr>
          <w:rStyle w:val="EndnoteReference"/>
        </w:rPr>
        <w:t xml:space="preserve"> </w:t>
      </w:r>
      <w:bookmarkEnd w:id="56"/>
    </w:p>
    <w:p w14:paraId="0A179D69" w14:textId="77777777" w:rsidR="00621CD7" w:rsidRDefault="00621CD7" w:rsidP="00101854">
      <w:pPr>
        <w:keepNext/>
        <w:keepLines/>
      </w:pPr>
      <w:r w:rsidRPr="00DA28F0">
        <w:rPr>
          <w:noProof/>
        </w:rPr>
        <w:drawing>
          <wp:inline distT="0" distB="0" distL="0" distR="0" wp14:anchorId="630C70D7" wp14:editId="08DC73A2">
            <wp:extent cx="4572000" cy="224981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6">
                      <a:extLst>
                        <a:ext uri="{28A0092B-C50C-407E-A947-70E740481C1C}">
                          <a14:useLocalDpi xmlns:a14="http://schemas.microsoft.com/office/drawing/2010/main" val="0"/>
                        </a:ext>
                      </a:extLst>
                    </a:blip>
                    <a:srcRect l="1033" t="7149" r="1019" b="9397"/>
                    <a:stretch/>
                  </pic:blipFill>
                  <pic:spPr bwMode="auto">
                    <a:xfrm>
                      <a:off x="0" y="0"/>
                      <a:ext cx="4572000" cy="2249810"/>
                    </a:xfrm>
                    <a:prstGeom prst="rect">
                      <a:avLst/>
                    </a:prstGeom>
                    <a:noFill/>
                    <a:ln>
                      <a:noFill/>
                    </a:ln>
                    <a:extLst>
                      <a:ext uri="{53640926-AAD7-44D8-BBD7-CCE9431645EC}">
                        <a14:shadowObscured xmlns:a14="http://schemas.microsoft.com/office/drawing/2010/main"/>
                      </a:ext>
                    </a:extLst>
                  </pic:spPr>
                </pic:pic>
              </a:graphicData>
            </a:graphic>
          </wp:inline>
        </w:drawing>
      </w:r>
    </w:p>
    <w:p w14:paraId="02D58180" w14:textId="77777777" w:rsidR="00780342" w:rsidRDefault="00780342" w:rsidP="00621CD7"/>
    <w:p w14:paraId="21F897BB" w14:textId="6C6CAA6A" w:rsidR="00B708C9" w:rsidRDefault="00B708C9" w:rsidP="00621CD7">
      <w:r>
        <w:t xml:space="preserve">The average </w:t>
      </w:r>
      <w:r w:rsidR="00576E62">
        <w:t>gallons per minute</w:t>
      </w:r>
      <w:r>
        <w:t xml:space="preserve"> was derived by:</w:t>
      </w:r>
    </w:p>
    <w:p w14:paraId="0D5E4202" w14:textId="7A371991" w:rsidR="00B708C9" w:rsidRDefault="00FE4A12" w:rsidP="008546DD">
      <w:pPr>
        <w:pStyle w:val="eTRMBulletedText"/>
      </w:pPr>
      <w:r>
        <w:t>Calculated</w:t>
      </w:r>
      <w:r w:rsidR="00B708C9">
        <w:t xml:space="preserve"> the single hourly average</w:t>
      </w:r>
      <w:r>
        <w:t xml:space="preserve"> flow rate</w:t>
      </w:r>
      <w:r w:rsidR="00B708C9">
        <w:t>, estimated at 1.85 gallons per hour per apartment</w:t>
      </w:r>
    </w:p>
    <w:p w14:paraId="1731FDC6" w14:textId="66D52B48" w:rsidR="00EC6905" w:rsidRDefault="00FE4A12" w:rsidP="008546DD">
      <w:pPr>
        <w:pStyle w:val="eTRMBulletedText"/>
      </w:pPr>
      <w:r>
        <w:t>D</w:t>
      </w:r>
      <w:r w:rsidR="00B708C9">
        <w:t>ividing by</w:t>
      </w:r>
      <w:r w:rsidR="00576E62">
        <w:t xml:space="preserve"> unit occupancy</w:t>
      </w:r>
      <w:r w:rsidR="00B708C9">
        <w:t xml:space="preserve"> three (3) persons per </w:t>
      </w:r>
      <w:r>
        <w:t>residential unit</w:t>
      </w:r>
    </w:p>
    <w:p w14:paraId="03D8545D" w14:textId="29DCD375" w:rsidR="00B708C9" w:rsidRDefault="00FE4A12" w:rsidP="008546DD">
      <w:pPr>
        <w:pStyle w:val="eTRMBulletedText"/>
      </w:pPr>
      <w:r>
        <w:lastRenderedPageBreak/>
        <w:t>D</w:t>
      </w:r>
      <w:r w:rsidR="00B708C9">
        <w:t>ividing by 60 minutes/hour</w:t>
      </w:r>
      <w:r>
        <w:t xml:space="preserve"> to convert to gallons per minute</w:t>
      </w:r>
    </w:p>
    <w:p w14:paraId="18B61271" w14:textId="431E1624" w:rsidR="00B708C9" w:rsidRDefault="00FE4A12" w:rsidP="008546DD">
      <w:pPr>
        <w:pStyle w:val="eTRMBulletedText"/>
      </w:pPr>
      <w:r>
        <w:t>M</w:t>
      </w:r>
      <w:r w:rsidR="00B708C9">
        <w:t xml:space="preserve">ultiplying by the stipulated number of persons per </w:t>
      </w:r>
      <w:r>
        <w:t>multifamily property</w:t>
      </w:r>
    </w:p>
    <w:p w14:paraId="626A2BB5" w14:textId="09A6EB1A" w:rsidR="00780342" w:rsidRDefault="00780342" w:rsidP="00621CD7"/>
    <w:p w14:paraId="70999698" w14:textId="4A80786A" w:rsidR="00A93A35" w:rsidRDefault="00A93A35" w:rsidP="00912986">
      <w:pPr>
        <w:pStyle w:val="eTRMHeading5"/>
        <w:keepNext/>
        <w:keepLines/>
      </w:pPr>
      <w:r>
        <w:t>Unit Energy Savings</w:t>
      </w:r>
    </w:p>
    <w:p w14:paraId="7BF73B22" w14:textId="32768114" w:rsidR="00E73505" w:rsidRDefault="00B11BB3" w:rsidP="00242A9D">
      <w:pPr>
        <w:keepNext/>
        <w:keepLines/>
      </w:pPr>
      <w:r w:rsidRPr="008066E6">
        <w:t xml:space="preserve">The </w:t>
      </w:r>
      <w:r w:rsidR="00A93A35" w:rsidRPr="008066E6">
        <w:t>UES</w:t>
      </w:r>
      <w:r w:rsidRPr="008066E6">
        <w:t xml:space="preserve"> from the typical </w:t>
      </w:r>
      <w:r w:rsidR="00B822A2">
        <w:t xml:space="preserve">multifamily </w:t>
      </w:r>
      <w:r w:rsidR="00780342">
        <w:t>property occupancy</w:t>
      </w:r>
      <w:r w:rsidRPr="008066E6">
        <w:t xml:space="preserve"> was used with the </w:t>
      </w:r>
      <w:r w:rsidR="00997E2C" w:rsidRPr="008066E6">
        <w:t xml:space="preserve">typical </w:t>
      </w:r>
      <w:r w:rsidRPr="008066E6">
        <w:t xml:space="preserve">climate </w:t>
      </w:r>
      <w:r w:rsidR="00997E2C" w:rsidRPr="008066E6">
        <w:t xml:space="preserve">zone ground water temperature </w:t>
      </w:r>
      <w:r w:rsidRPr="008066E6">
        <w:t xml:space="preserve">and </w:t>
      </w:r>
      <w:r w:rsidR="00101854">
        <w:t>climate zone</w:t>
      </w:r>
      <w:r w:rsidRPr="008066E6">
        <w:t xml:space="preserve"> adjustment factors to </w:t>
      </w:r>
      <w:r w:rsidR="00101854">
        <w:t>estimate</w:t>
      </w:r>
      <w:r w:rsidRPr="008066E6">
        <w:t xml:space="preserve"> </w:t>
      </w:r>
      <w:r w:rsidR="00101854">
        <w:t>UES</w:t>
      </w:r>
      <w:r w:rsidRPr="008066E6">
        <w:t xml:space="preserve"> per tier </w:t>
      </w:r>
      <w:r w:rsidR="006C4037" w:rsidRPr="008066E6">
        <w:t xml:space="preserve">and </w:t>
      </w:r>
      <w:r w:rsidRPr="008066E6">
        <w:t xml:space="preserve">per climate zone. </w:t>
      </w:r>
      <w:r w:rsidR="00912986" w:rsidRPr="008066E6">
        <w:t>The results were normalized by the input capacity (</w:t>
      </w:r>
      <w:proofErr w:type="spellStart"/>
      <w:r w:rsidR="00912986" w:rsidRPr="008066E6">
        <w:t>kBtu</w:t>
      </w:r>
      <w:proofErr w:type="spellEnd"/>
      <w:r w:rsidR="00912986" w:rsidRPr="008066E6">
        <w:t>/</w:t>
      </w:r>
      <w:proofErr w:type="spellStart"/>
      <w:r w:rsidR="00912986" w:rsidRPr="008066E6">
        <w:t>hr</w:t>
      </w:r>
      <w:proofErr w:type="spellEnd"/>
      <w:r w:rsidR="00912986" w:rsidRPr="008066E6">
        <w:t>) of the boiler in accordance direction issued by the Energy Division of the California Public Utilities Commission (CPUC) in April 2016.</w:t>
      </w:r>
      <w:r w:rsidR="00912986">
        <w:rPr>
          <w:rStyle w:val="FootnoteReference"/>
        </w:rPr>
        <w:footnoteReference w:id="9"/>
      </w:r>
    </w:p>
    <w:p w14:paraId="5212511B" w14:textId="084D68DD" w:rsidR="00A8725C" w:rsidRDefault="00A8725C" w:rsidP="00242A9D">
      <w:pPr>
        <w:keepNext/>
        <w:keepLines/>
      </w:pPr>
      <w:r>
        <w:t xml:space="preserve">All parameters developed for the </w:t>
      </w:r>
      <w:r w:rsidR="008050CB">
        <w:t xml:space="preserve">UEC and UES </w:t>
      </w:r>
      <w:r>
        <w:t xml:space="preserve">calculations </w:t>
      </w:r>
      <w:r w:rsidR="008050CB">
        <w:t xml:space="preserve">are </w:t>
      </w:r>
      <w:r w:rsidR="00E73505">
        <w:t>provided below</w:t>
      </w:r>
      <w:r w:rsidR="008050CB">
        <w:t>.</w:t>
      </w:r>
    </w:p>
    <w:p w14:paraId="5866F9B8" w14:textId="197375B4" w:rsidR="00B822A2" w:rsidRDefault="00A7671F" w:rsidP="00101854">
      <w:pPr>
        <w:pStyle w:val="Caption"/>
        <w:keepNext/>
        <w:keepLines/>
      </w:pPr>
      <w:r>
        <w:t xml:space="preserve">Unit Energy </w:t>
      </w:r>
      <w:r w:rsidR="008050CB">
        <w:t xml:space="preserve">Consumption and Unit Energy </w:t>
      </w:r>
      <w:r>
        <w:t xml:space="preserve">Savings </w:t>
      </w:r>
      <w:r w:rsidR="008E393C">
        <w:t>Inputs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45"/>
        <w:gridCol w:w="1710"/>
        <w:gridCol w:w="5490"/>
      </w:tblGrid>
      <w:tr w:rsidR="00687CE5" w:rsidRPr="00B802FE" w14:paraId="3E3C6FEC" w14:textId="77777777" w:rsidTr="00687CE5">
        <w:trPr>
          <w:trHeight w:val="290"/>
          <w:tblHeader/>
        </w:trPr>
        <w:tc>
          <w:tcPr>
            <w:tcW w:w="2245" w:type="dxa"/>
            <w:shd w:val="clear" w:color="auto" w:fill="F2F2F2" w:themeFill="background1" w:themeFillShade="F2"/>
            <w:noWrap/>
            <w:vAlign w:val="center"/>
            <w:hideMark/>
          </w:tcPr>
          <w:p w14:paraId="55F27EDE" w14:textId="4D9224D0" w:rsidR="00687CE5" w:rsidRPr="00B802FE" w:rsidRDefault="00687CE5" w:rsidP="00101854">
            <w:pPr>
              <w:keepNext/>
              <w:keepLines/>
              <w:spacing w:before="0" w:after="0" w:line="240" w:lineRule="auto"/>
              <w:rPr>
                <w:rFonts w:eastAsia="Times New Roman" w:cs="Calibri Light"/>
                <w:b/>
                <w:sz w:val="20"/>
                <w:szCs w:val="20"/>
              </w:rPr>
            </w:pPr>
            <w:r>
              <w:rPr>
                <w:rFonts w:eastAsia="Times New Roman" w:cs="Calibri Light"/>
                <w:b/>
                <w:sz w:val="20"/>
                <w:szCs w:val="20"/>
              </w:rPr>
              <w:t>Variable</w:t>
            </w:r>
          </w:p>
        </w:tc>
        <w:tc>
          <w:tcPr>
            <w:tcW w:w="1710" w:type="dxa"/>
            <w:shd w:val="clear" w:color="auto" w:fill="F2F2F2" w:themeFill="background1" w:themeFillShade="F2"/>
            <w:noWrap/>
            <w:vAlign w:val="center"/>
            <w:hideMark/>
          </w:tcPr>
          <w:p w14:paraId="5812BD55" w14:textId="54CD8494" w:rsidR="00687CE5" w:rsidRPr="00B802FE" w:rsidRDefault="00687CE5" w:rsidP="00101854">
            <w:pPr>
              <w:keepNext/>
              <w:keepLines/>
              <w:spacing w:before="0" w:after="0" w:line="240" w:lineRule="auto"/>
              <w:jc w:val="center"/>
              <w:rPr>
                <w:rFonts w:eastAsia="Times New Roman" w:cs="Calibri Light"/>
                <w:b/>
                <w:sz w:val="20"/>
                <w:szCs w:val="20"/>
              </w:rPr>
            </w:pPr>
            <w:r w:rsidRPr="00B802FE">
              <w:rPr>
                <w:rFonts w:eastAsia="Times New Roman" w:cs="Calibri Light"/>
                <w:b/>
                <w:sz w:val="20"/>
                <w:szCs w:val="20"/>
              </w:rPr>
              <w:t>Value</w:t>
            </w:r>
          </w:p>
        </w:tc>
        <w:tc>
          <w:tcPr>
            <w:tcW w:w="5490" w:type="dxa"/>
            <w:shd w:val="clear" w:color="auto" w:fill="F2F2F2" w:themeFill="background1" w:themeFillShade="F2"/>
            <w:noWrap/>
            <w:vAlign w:val="center"/>
            <w:hideMark/>
          </w:tcPr>
          <w:p w14:paraId="61F63AD9" w14:textId="77777777" w:rsidR="00687CE5" w:rsidRPr="008C3AB7" w:rsidRDefault="00687CE5" w:rsidP="00101854">
            <w:pPr>
              <w:keepNext/>
              <w:keepLines/>
              <w:spacing w:before="0" w:after="0" w:line="240" w:lineRule="auto"/>
              <w:jc w:val="center"/>
              <w:rPr>
                <w:rFonts w:eastAsia="Times New Roman" w:cs="Calibri Light"/>
                <w:b/>
                <w:sz w:val="20"/>
                <w:szCs w:val="18"/>
              </w:rPr>
            </w:pPr>
            <w:r w:rsidRPr="008C3AB7">
              <w:rPr>
                <w:rFonts w:eastAsia="Times New Roman" w:cs="Calibri Light"/>
                <w:b/>
                <w:sz w:val="20"/>
                <w:szCs w:val="18"/>
              </w:rPr>
              <w:t>Source</w:t>
            </w:r>
          </w:p>
        </w:tc>
      </w:tr>
      <w:tr w:rsidR="00687CE5" w:rsidRPr="00B802FE" w14:paraId="4AFDB6EA" w14:textId="77777777" w:rsidTr="00687CE5">
        <w:trPr>
          <w:trHeight w:val="290"/>
        </w:trPr>
        <w:tc>
          <w:tcPr>
            <w:tcW w:w="2245" w:type="dxa"/>
            <w:shd w:val="clear" w:color="auto" w:fill="auto"/>
            <w:noWrap/>
            <w:vAlign w:val="center"/>
            <w:hideMark/>
          </w:tcPr>
          <w:p w14:paraId="2F9E8973" w14:textId="13188E62" w:rsidR="00687CE5" w:rsidRPr="00B802FE" w:rsidRDefault="00687CE5" w:rsidP="00101854">
            <w:pPr>
              <w:keepNext/>
              <w:keepLines/>
              <w:spacing w:before="0" w:after="0" w:line="240" w:lineRule="auto"/>
              <w:rPr>
                <w:rFonts w:eastAsia="Times New Roman" w:cs="Calibri Light"/>
                <w:sz w:val="20"/>
                <w:szCs w:val="20"/>
              </w:rPr>
            </w:pPr>
            <w:r w:rsidRPr="00B802FE">
              <w:rPr>
                <w:rFonts w:eastAsia="Times New Roman" w:cs="Calibri Light"/>
                <w:sz w:val="20"/>
                <w:szCs w:val="20"/>
              </w:rPr>
              <w:t xml:space="preserve">Average Hourly DHW </w:t>
            </w:r>
            <w:r>
              <w:rPr>
                <w:rFonts w:eastAsia="Times New Roman" w:cs="Calibri Light"/>
                <w:sz w:val="20"/>
                <w:szCs w:val="20"/>
              </w:rPr>
              <w:t>F</w:t>
            </w:r>
            <w:r w:rsidRPr="00B802FE">
              <w:rPr>
                <w:rFonts w:eastAsia="Times New Roman" w:cs="Calibri Light"/>
                <w:sz w:val="20"/>
                <w:szCs w:val="20"/>
              </w:rPr>
              <w:t xml:space="preserve">low </w:t>
            </w:r>
            <w:r>
              <w:rPr>
                <w:rFonts w:eastAsia="Times New Roman" w:cs="Calibri Light"/>
                <w:sz w:val="20"/>
                <w:szCs w:val="20"/>
              </w:rPr>
              <w:t>Rate (gph/dwelling unit)</w:t>
            </w:r>
          </w:p>
        </w:tc>
        <w:tc>
          <w:tcPr>
            <w:tcW w:w="1710" w:type="dxa"/>
            <w:shd w:val="clear" w:color="auto" w:fill="auto"/>
            <w:noWrap/>
            <w:vAlign w:val="center"/>
            <w:hideMark/>
          </w:tcPr>
          <w:p w14:paraId="122AACEF" w14:textId="77777777" w:rsidR="00687CE5" w:rsidRPr="00B802FE" w:rsidRDefault="00687CE5" w:rsidP="00101854">
            <w:pPr>
              <w:keepNext/>
              <w:keepLines/>
              <w:spacing w:before="0" w:after="0" w:line="240" w:lineRule="auto"/>
              <w:jc w:val="right"/>
              <w:rPr>
                <w:rFonts w:eastAsia="Times New Roman" w:cs="Calibri Light"/>
                <w:sz w:val="20"/>
                <w:szCs w:val="20"/>
              </w:rPr>
            </w:pPr>
            <w:r w:rsidRPr="00B802FE">
              <w:rPr>
                <w:rFonts w:eastAsia="Times New Roman" w:cs="Calibri Light"/>
                <w:sz w:val="20"/>
                <w:szCs w:val="20"/>
              </w:rPr>
              <w:t>1.85</w:t>
            </w:r>
          </w:p>
        </w:tc>
        <w:tc>
          <w:tcPr>
            <w:tcW w:w="5490" w:type="dxa"/>
            <w:shd w:val="clear" w:color="auto" w:fill="auto"/>
            <w:vAlign w:val="center"/>
            <w:hideMark/>
          </w:tcPr>
          <w:p w14:paraId="2BDCF23B" w14:textId="77777777" w:rsidR="00687CE5" w:rsidRPr="00242A9D" w:rsidRDefault="00687CE5" w:rsidP="00101854">
            <w:pPr>
              <w:keepNext/>
              <w:keepLines/>
              <w:spacing w:before="0" w:after="0" w:line="240" w:lineRule="auto"/>
              <w:rPr>
                <w:rStyle w:val="FootnoteTextChar"/>
                <w:szCs w:val="18"/>
              </w:rPr>
            </w:pPr>
            <w:r w:rsidRPr="00242A9D">
              <w:rPr>
                <w:rStyle w:val="FootnoteTextChar"/>
                <w:szCs w:val="18"/>
              </w:rPr>
              <w:t xml:space="preserve">American Society of Heating, Refrigerating and Air Conditioning Engineers, Inc. (ASHRAE). 2015. </w:t>
            </w:r>
            <w:r w:rsidRPr="00242A9D">
              <w:rPr>
                <w:rStyle w:val="FootnoteTextChar"/>
                <w:i/>
                <w:szCs w:val="18"/>
              </w:rPr>
              <w:t>2015 ASHRAE Handbook – HVAC Applications.</w:t>
            </w:r>
            <w:r w:rsidRPr="00242A9D">
              <w:rPr>
                <w:rStyle w:val="FootnoteTextChar"/>
                <w:szCs w:val="18"/>
              </w:rPr>
              <w:t xml:space="preserve"> Atlanta (GA): ASHRAE. Chapter 50, Service Water Heating.</w:t>
            </w:r>
          </w:p>
          <w:p w14:paraId="5645834B" w14:textId="77777777" w:rsidR="00687CE5" w:rsidRPr="00242A9D" w:rsidRDefault="00687CE5" w:rsidP="00101854">
            <w:pPr>
              <w:keepNext/>
              <w:keepLines/>
              <w:spacing w:before="0" w:after="0" w:line="240" w:lineRule="auto"/>
              <w:rPr>
                <w:rFonts w:eastAsia="Times New Roman" w:cs="Calibri Light"/>
                <w:sz w:val="18"/>
                <w:szCs w:val="18"/>
              </w:rPr>
            </w:pPr>
          </w:p>
          <w:p w14:paraId="0A391595" w14:textId="62D2855A" w:rsidR="00687CE5" w:rsidRPr="00242A9D" w:rsidRDefault="00687CE5" w:rsidP="00101854">
            <w:pPr>
              <w:keepNext/>
              <w:keepLines/>
              <w:spacing w:before="0" w:after="0" w:line="240" w:lineRule="auto"/>
              <w:rPr>
                <w:rFonts w:eastAsia="Times New Roman" w:cs="Calibri Light"/>
                <w:sz w:val="18"/>
                <w:szCs w:val="18"/>
              </w:rPr>
            </w:pPr>
            <w:r w:rsidRPr="00242A9D">
              <w:rPr>
                <w:sz w:val="18"/>
              </w:rPr>
              <w:t>Southern California Gas Company (SCG). 2016. “WPSCGREWH131030A Rev0__MF_CentralBlr_Tankless 2016.xlsx.” ASHRAE tab.</w:t>
            </w:r>
          </w:p>
        </w:tc>
      </w:tr>
      <w:tr w:rsidR="00687CE5" w:rsidRPr="00B802FE" w14:paraId="162BF64A" w14:textId="77777777" w:rsidTr="00687CE5">
        <w:trPr>
          <w:trHeight w:val="290"/>
        </w:trPr>
        <w:tc>
          <w:tcPr>
            <w:tcW w:w="2245" w:type="dxa"/>
            <w:shd w:val="clear" w:color="auto" w:fill="auto"/>
            <w:noWrap/>
            <w:vAlign w:val="center"/>
            <w:hideMark/>
          </w:tcPr>
          <w:p w14:paraId="671FBEC8" w14:textId="01D170C1" w:rsidR="00687CE5" w:rsidRPr="00B802FE" w:rsidRDefault="00687CE5" w:rsidP="00101854">
            <w:pPr>
              <w:keepNext/>
              <w:keepLines/>
              <w:spacing w:before="0" w:after="0" w:line="240" w:lineRule="auto"/>
              <w:rPr>
                <w:rFonts w:eastAsia="Times New Roman" w:cs="Calibri Light"/>
                <w:sz w:val="20"/>
                <w:szCs w:val="20"/>
              </w:rPr>
            </w:pPr>
            <w:r w:rsidRPr="00B802FE">
              <w:rPr>
                <w:rFonts w:eastAsia="Times New Roman" w:cs="Calibri Light"/>
                <w:sz w:val="20"/>
                <w:szCs w:val="20"/>
              </w:rPr>
              <w:t xml:space="preserve">Hot </w:t>
            </w:r>
            <w:r>
              <w:rPr>
                <w:rFonts w:eastAsia="Times New Roman" w:cs="Calibri Light"/>
                <w:sz w:val="20"/>
                <w:szCs w:val="20"/>
              </w:rPr>
              <w:t>W</w:t>
            </w:r>
            <w:r w:rsidRPr="00B802FE">
              <w:rPr>
                <w:rFonts w:eastAsia="Times New Roman" w:cs="Calibri Light"/>
                <w:sz w:val="20"/>
                <w:szCs w:val="20"/>
              </w:rPr>
              <w:t>ater Use (design flow)</w:t>
            </w:r>
            <w:r>
              <w:rPr>
                <w:rFonts w:eastAsia="Times New Roman" w:cs="Calibri Light"/>
                <w:sz w:val="20"/>
                <w:szCs w:val="20"/>
              </w:rPr>
              <w:t xml:space="preserve"> (gpd/occupant)</w:t>
            </w:r>
          </w:p>
        </w:tc>
        <w:tc>
          <w:tcPr>
            <w:tcW w:w="1710" w:type="dxa"/>
            <w:shd w:val="clear" w:color="auto" w:fill="auto"/>
            <w:noWrap/>
            <w:vAlign w:val="center"/>
            <w:hideMark/>
          </w:tcPr>
          <w:p w14:paraId="02EEB98E" w14:textId="57F7092F" w:rsidR="00687CE5" w:rsidRPr="00B802FE" w:rsidRDefault="00687CE5" w:rsidP="00101854">
            <w:pPr>
              <w:keepNext/>
              <w:keepLines/>
              <w:spacing w:before="0" w:after="0" w:line="240" w:lineRule="auto"/>
              <w:jc w:val="right"/>
              <w:rPr>
                <w:rFonts w:eastAsia="Times New Roman" w:cs="Calibri Light"/>
                <w:sz w:val="20"/>
                <w:szCs w:val="20"/>
              </w:rPr>
            </w:pPr>
            <w:r w:rsidRPr="00B802FE">
              <w:rPr>
                <w:rFonts w:eastAsia="Times New Roman" w:cs="Calibri Light"/>
                <w:sz w:val="20"/>
                <w:szCs w:val="20"/>
              </w:rPr>
              <w:t>16</w:t>
            </w:r>
            <w:r>
              <w:rPr>
                <w:rFonts w:eastAsia="Times New Roman" w:cs="Calibri Light"/>
                <w:sz w:val="20"/>
                <w:szCs w:val="20"/>
              </w:rPr>
              <w:t>.00</w:t>
            </w:r>
            <w:r w:rsidRPr="00B802FE">
              <w:rPr>
                <w:rFonts w:eastAsia="Times New Roman" w:cs="Calibri Light"/>
                <w:sz w:val="20"/>
                <w:szCs w:val="20"/>
              </w:rPr>
              <w:t xml:space="preserve"> </w:t>
            </w:r>
          </w:p>
        </w:tc>
        <w:tc>
          <w:tcPr>
            <w:tcW w:w="5490" w:type="dxa"/>
            <w:vMerge w:val="restart"/>
            <w:shd w:val="clear" w:color="auto" w:fill="auto"/>
            <w:vAlign w:val="center"/>
            <w:hideMark/>
          </w:tcPr>
          <w:p w14:paraId="1B513A08" w14:textId="78908C97" w:rsidR="00687CE5" w:rsidRPr="009E2970" w:rsidRDefault="00687CE5" w:rsidP="00101854">
            <w:pPr>
              <w:keepNext/>
              <w:keepLines/>
              <w:spacing w:before="0" w:after="0" w:line="240" w:lineRule="auto"/>
              <w:rPr>
                <w:rFonts w:eastAsia="Times New Roman" w:cs="Calibri Light"/>
                <w:sz w:val="18"/>
                <w:szCs w:val="18"/>
                <w:highlight w:val="yellow"/>
              </w:rPr>
            </w:pPr>
            <w:r w:rsidRPr="009E2970">
              <w:rPr>
                <w:sz w:val="18"/>
              </w:rPr>
              <w:t>Southern California Gas Company (SCG). 2016. “WPSCGREWH131030A Rev0__MF_CentralBlr_Tankless 2016.xlsx.” Single Family Load Assumptions tab.</w:t>
            </w:r>
          </w:p>
        </w:tc>
      </w:tr>
      <w:tr w:rsidR="00687CE5" w:rsidRPr="00B802FE" w14:paraId="0E1B43EE" w14:textId="77777777" w:rsidTr="00687CE5">
        <w:trPr>
          <w:trHeight w:val="290"/>
        </w:trPr>
        <w:tc>
          <w:tcPr>
            <w:tcW w:w="2245" w:type="dxa"/>
            <w:shd w:val="clear" w:color="auto" w:fill="auto"/>
            <w:noWrap/>
            <w:vAlign w:val="center"/>
            <w:hideMark/>
          </w:tcPr>
          <w:p w14:paraId="025F1B49" w14:textId="0862C457" w:rsidR="00687CE5" w:rsidRPr="00B802FE" w:rsidRDefault="00687CE5" w:rsidP="00101854">
            <w:pPr>
              <w:keepNext/>
              <w:keepLines/>
              <w:spacing w:before="0" w:after="0" w:line="240" w:lineRule="auto"/>
              <w:rPr>
                <w:rFonts w:eastAsia="Times New Roman" w:cs="Calibri Light"/>
                <w:sz w:val="20"/>
                <w:szCs w:val="20"/>
              </w:rPr>
            </w:pPr>
            <w:r w:rsidRPr="00B802FE">
              <w:rPr>
                <w:rFonts w:eastAsia="Times New Roman" w:cs="Calibri Light"/>
                <w:sz w:val="20"/>
                <w:szCs w:val="20"/>
              </w:rPr>
              <w:t xml:space="preserve">Unit Occupancy </w:t>
            </w:r>
            <w:r>
              <w:rPr>
                <w:rFonts w:eastAsia="Times New Roman" w:cs="Calibri Light"/>
                <w:sz w:val="20"/>
                <w:szCs w:val="20"/>
              </w:rPr>
              <w:t>(persons per dwelling unit)</w:t>
            </w:r>
          </w:p>
        </w:tc>
        <w:tc>
          <w:tcPr>
            <w:tcW w:w="1710" w:type="dxa"/>
            <w:shd w:val="clear" w:color="auto" w:fill="auto"/>
            <w:noWrap/>
            <w:vAlign w:val="center"/>
            <w:hideMark/>
          </w:tcPr>
          <w:p w14:paraId="2A8B755C" w14:textId="77777777" w:rsidR="00687CE5" w:rsidRPr="00B802FE" w:rsidRDefault="00687CE5" w:rsidP="00101854">
            <w:pPr>
              <w:keepNext/>
              <w:keepLines/>
              <w:spacing w:before="0" w:after="0" w:line="240" w:lineRule="auto"/>
              <w:jc w:val="right"/>
              <w:rPr>
                <w:rFonts w:eastAsia="Times New Roman" w:cs="Calibri Light"/>
                <w:sz w:val="20"/>
                <w:szCs w:val="20"/>
              </w:rPr>
            </w:pPr>
            <w:r w:rsidRPr="00B802FE">
              <w:rPr>
                <w:rFonts w:eastAsia="Times New Roman" w:cs="Calibri Light"/>
                <w:sz w:val="20"/>
                <w:szCs w:val="20"/>
              </w:rPr>
              <w:t>3</w:t>
            </w:r>
          </w:p>
        </w:tc>
        <w:tc>
          <w:tcPr>
            <w:tcW w:w="5490" w:type="dxa"/>
            <w:vMerge/>
            <w:shd w:val="clear" w:color="auto" w:fill="auto"/>
            <w:vAlign w:val="center"/>
            <w:hideMark/>
          </w:tcPr>
          <w:p w14:paraId="432218B9" w14:textId="10DDBD5F" w:rsidR="00687CE5" w:rsidRPr="008C3AB7" w:rsidRDefault="00687CE5" w:rsidP="00101854">
            <w:pPr>
              <w:keepNext/>
              <w:keepLines/>
              <w:spacing w:before="0" w:after="0" w:line="240" w:lineRule="auto"/>
              <w:rPr>
                <w:rFonts w:eastAsia="Times New Roman" w:cs="Calibri Light"/>
                <w:sz w:val="18"/>
                <w:szCs w:val="18"/>
                <w:highlight w:val="yellow"/>
              </w:rPr>
            </w:pPr>
          </w:p>
        </w:tc>
      </w:tr>
      <w:tr w:rsidR="00687CE5" w:rsidRPr="00C57195" w14:paraId="450D4B58" w14:textId="77777777" w:rsidTr="00687CE5">
        <w:trPr>
          <w:trHeight w:val="290"/>
        </w:trPr>
        <w:tc>
          <w:tcPr>
            <w:tcW w:w="2245" w:type="dxa"/>
            <w:shd w:val="clear" w:color="auto" w:fill="auto"/>
            <w:noWrap/>
            <w:vAlign w:val="center"/>
            <w:hideMark/>
          </w:tcPr>
          <w:p w14:paraId="3A24401A" w14:textId="1BF867F9" w:rsidR="00687CE5" w:rsidRPr="00903498" w:rsidRDefault="00687CE5" w:rsidP="00242A9D">
            <w:pPr>
              <w:keepNext/>
              <w:keepLines/>
              <w:spacing w:before="0" w:after="0" w:line="240" w:lineRule="auto"/>
              <w:rPr>
                <w:rFonts w:eastAsia="Times New Roman" w:cs="Calibri Light"/>
                <w:sz w:val="20"/>
                <w:szCs w:val="20"/>
              </w:rPr>
            </w:pPr>
            <w:r w:rsidRPr="00903498">
              <w:rPr>
                <w:rFonts w:eastAsia="Times New Roman" w:cs="Calibri Light"/>
                <w:sz w:val="20"/>
                <w:szCs w:val="20"/>
              </w:rPr>
              <w:t>Facility Occupants (</w:t>
            </w:r>
            <w:r>
              <w:rPr>
                <w:rFonts w:eastAsia="Times New Roman" w:cs="Calibri Light"/>
                <w:sz w:val="20"/>
                <w:szCs w:val="20"/>
              </w:rPr>
              <w:t xml:space="preserve">persons </w:t>
            </w:r>
            <w:r w:rsidRPr="00903498">
              <w:rPr>
                <w:rFonts w:eastAsia="Times New Roman" w:cs="Calibri Light"/>
                <w:sz w:val="20"/>
                <w:szCs w:val="20"/>
              </w:rPr>
              <w:t>per property)</w:t>
            </w:r>
          </w:p>
        </w:tc>
        <w:tc>
          <w:tcPr>
            <w:tcW w:w="1710" w:type="dxa"/>
            <w:shd w:val="clear" w:color="auto" w:fill="auto"/>
            <w:noWrap/>
            <w:vAlign w:val="center"/>
            <w:hideMark/>
          </w:tcPr>
          <w:p w14:paraId="15183263" w14:textId="77777777" w:rsidR="00687CE5" w:rsidRPr="00903498" w:rsidRDefault="00687CE5" w:rsidP="00242A9D">
            <w:pPr>
              <w:keepNext/>
              <w:keepLines/>
              <w:spacing w:before="0" w:after="0" w:line="240" w:lineRule="auto"/>
              <w:jc w:val="right"/>
              <w:rPr>
                <w:rFonts w:eastAsia="Times New Roman" w:cs="Calibri Light"/>
                <w:sz w:val="20"/>
                <w:szCs w:val="20"/>
              </w:rPr>
            </w:pPr>
            <w:r w:rsidRPr="00903498">
              <w:rPr>
                <w:rFonts w:eastAsia="Times New Roman" w:cs="Calibri Light"/>
                <w:sz w:val="20"/>
                <w:szCs w:val="20"/>
              </w:rPr>
              <w:t>162.5</w:t>
            </w:r>
          </w:p>
        </w:tc>
        <w:tc>
          <w:tcPr>
            <w:tcW w:w="5490" w:type="dxa"/>
            <w:shd w:val="clear" w:color="auto" w:fill="auto"/>
            <w:vAlign w:val="center"/>
            <w:hideMark/>
          </w:tcPr>
          <w:p w14:paraId="06CB3C08" w14:textId="2CD003B7" w:rsidR="00687CE5" w:rsidRPr="00903498" w:rsidRDefault="00687CE5" w:rsidP="00242A9D">
            <w:pPr>
              <w:keepNext/>
              <w:keepLines/>
              <w:spacing w:before="0" w:after="0" w:line="240" w:lineRule="auto"/>
              <w:rPr>
                <w:rFonts w:cs="Calibri Light"/>
                <w:sz w:val="20"/>
                <w:szCs w:val="20"/>
              </w:rPr>
            </w:pPr>
            <w:r w:rsidRPr="00FC612E">
              <w:rPr>
                <w:rFonts w:cs="Calibri Light"/>
                <w:sz w:val="18"/>
                <w:szCs w:val="20"/>
              </w:rPr>
              <w:t>Calculated as the average of 30 entries (60 - 200 people per facility). See:</w:t>
            </w:r>
          </w:p>
          <w:p w14:paraId="5C51B157" w14:textId="3385DF02" w:rsidR="00687CE5" w:rsidRPr="00903498" w:rsidRDefault="00687CE5" w:rsidP="00242A9D">
            <w:pPr>
              <w:keepNext/>
              <w:keepLines/>
              <w:spacing w:before="0" w:after="0" w:line="240" w:lineRule="auto"/>
              <w:rPr>
                <w:rFonts w:eastAsia="Times New Roman" w:cs="Calibri Light"/>
                <w:sz w:val="18"/>
                <w:szCs w:val="18"/>
              </w:rPr>
            </w:pPr>
            <w:r w:rsidRPr="00903498">
              <w:rPr>
                <w:sz w:val="18"/>
              </w:rPr>
              <w:t>Southern California Gas Company (SCG). 2016. “WPSCGREWH131030A Rev0__MF_CentralBlr_Tankless 2016.xlsx.” DHW Simulation Tab.</w:t>
            </w:r>
            <w:r w:rsidRPr="00903498">
              <w:rPr>
                <w:rFonts w:eastAsia="Times New Roman" w:cs="Calibri Light"/>
                <w:sz w:val="18"/>
                <w:szCs w:val="18"/>
              </w:rPr>
              <w:t xml:space="preserve"> </w:t>
            </w:r>
          </w:p>
        </w:tc>
      </w:tr>
      <w:tr w:rsidR="00687CE5" w:rsidRPr="00C57195" w14:paraId="27F26B01" w14:textId="77777777" w:rsidTr="00687CE5">
        <w:trPr>
          <w:trHeight w:val="290"/>
        </w:trPr>
        <w:tc>
          <w:tcPr>
            <w:tcW w:w="2245" w:type="dxa"/>
            <w:shd w:val="clear" w:color="auto" w:fill="auto"/>
            <w:noWrap/>
            <w:vAlign w:val="center"/>
            <w:hideMark/>
          </w:tcPr>
          <w:p w14:paraId="4709C951" w14:textId="44FC9FED" w:rsidR="00687CE5" w:rsidRPr="00903498" w:rsidRDefault="00687CE5" w:rsidP="0067506C">
            <w:pPr>
              <w:spacing w:before="0" w:after="0" w:line="240" w:lineRule="auto"/>
              <w:rPr>
                <w:rFonts w:eastAsia="Times New Roman" w:cs="Calibri Light"/>
                <w:sz w:val="20"/>
                <w:szCs w:val="20"/>
              </w:rPr>
            </w:pPr>
            <w:r w:rsidRPr="00903498">
              <w:rPr>
                <w:rFonts w:eastAsia="Times New Roman" w:cs="Calibri Light"/>
                <w:sz w:val="20"/>
                <w:szCs w:val="20"/>
              </w:rPr>
              <w:t xml:space="preserve">Average Flow Rate </w:t>
            </w:r>
            <w:r>
              <w:rPr>
                <w:rFonts w:eastAsia="Times New Roman" w:cs="Calibri Light"/>
                <w:sz w:val="20"/>
                <w:szCs w:val="20"/>
              </w:rPr>
              <w:t xml:space="preserve">(gpm/person) </w:t>
            </w:r>
          </w:p>
        </w:tc>
        <w:tc>
          <w:tcPr>
            <w:tcW w:w="1710" w:type="dxa"/>
            <w:shd w:val="clear" w:color="auto" w:fill="auto"/>
            <w:noWrap/>
            <w:vAlign w:val="center"/>
            <w:hideMark/>
          </w:tcPr>
          <w:p w14:paraId="20E94F93" w14:textId="0BF69F75" w:rsidR="00687CE5" w:rsidRPr="00903498" w:rsidRDefault="00687CE5" w:rsidP="0067506C">
            <w:pPr>
              <w:spacing w:before="0" w:after="0" w:line="240" w:lineRule="auto"/>
              <w:jc w:val="right"/>
              <w:rPr>
                <w:rFonts w:eastAsia="Times New Roman" w:cs="Calibri Light"/>
                <w:sz w:val="20"/>
                <w:szCs w:val="20"/>
              </w:rPr>
            </w:pPr>
            <w:r w:rsidRPr="00903498">
              <w:rPr>
                <w:rFonts w:eastAsia="Times New Roman" w:cs="Calibri Light"/>
                <w:sz w:val="20"/>
                <w:szCs w:val="20"/>
              </w:rPr>
              <w:t xml:space="preserve">0.0103 </w:t>
            </w:r>
          </w:p>
        </w:tc>
        <w:tc>
          <w:tcPr>
            <w:tcW w:w="5490" w:type="dxa"/>
            <w:shd w:val="clear" w:color="auto" w:fill="auto"/>
            <w:vAlign w:val="center"/>
            <w:hideMark/>
          </w:tcPr>
          <w:p w14:paraId="5276D81C" w14:textId="77777777" w:rsidR="00687CE5" w:rsidRPr="00903498" w:rsidRDefault="00687CE5" w:rsidP="0067506C">
            <w:pPr>
              <w:spacing w:before="0" w:after="0" w:line="240" w:lineRule="auto"/>
              <w:rPr>
                <w:rStyle w:val="FootnoteTextChar"/>
                <w:szCs w:val="18"/>
              </w:rPr>
            </w:pPr>
            <w:r w:rsidRPr="00903498">
              <w:rPr>
                <w:rStyle w:val="FootnoteTextChar"/>
                <w:szCs w:val="18"/>
              </w:rPr>
              <w:t xml:space="preserve">American Society of Heating, Refrigerating and Air Conditioning Engineers, Inc. (ASHRAE). 2015. </w:t>
            </w:r>
            <w:r w:rsidRPr="00903498">
              <w:rPr>
                <w:rStyle w:val="FootnoteTextChar"/>
                <w:i/>
                <w:szCs w:val="18"/>
              </w:rPr>
              <w:t>2015 ASHRAE Handbook – HVAC Applications.</w:t>
            </w:r>
            <w:r w:rsidRPr="00903498">
              <w:rPr>
                <w:rStyle w:val="FootnoteTextChar"/>
                <w:szCs w:val="18"/>
              </w:rPr>
              <w:t xml:space="preserve"> Atlanta (GA): ASHRAE. Chapter 50, Service Water Heating.</w:t>
            </w:r>
          </w:p>
          <w:p w14:paraId="20888DD4" w14:textId="77777777" w:rsidR="00687CE5" w:rsidRPr="00903498" w:rsidRDefault="00687CE5" w:rsidP="0067506C">
            <w:pPr>
              <w:spacing w:before="0" w:after="0" w:line="240" w:lineRule="auto"/>
              <w:rPr>
                <w:rFonts w:eastAsia="Times New Roman" w:cs="Calibri Light"/>
                <w:sz w:val="18"/>
                <w:szCs w:val="18"/>
              </w:rPr>
            </w:pPr>
          </w:p>
          <w:p w14:paraId="319E7B71" w14:textId="6612DAA3" w:rsidR="00687CE5" w:rsidRPr="00903498" w:rsidRDefault="00687CE5" w:rsidP="0067506C">
            <w:pPr>
              <w:spacing w:before="0" w:after="0" w:line="240" w:lineRule="auto"/>
              <w:rPr>
                <w:rFonts w:eastAsia="Times New Roman" w:cs="Calibri Light"/>
                <w:sz w:val="18"/>
                <w:szCs w:val="18"/>
              </w:rPr>
            </w:pPr>
            <w:r w:rsidRPr="00903498">
              <w:rPr>
                <w:sz w:val="18"/>
              </w:rPr>
              <w:t>Southern California Gas Company (SCG). 2016. “WPSCGREWH131030A Rev0__MF_CentralBlr_Tankless 2016.xlsx.” ASHRAE tab.</w:t>
            </w:r>
          </w:p>
        </w:tc>
      </w:tr>
      <w:tr w:rsidR="00687CE5" w:rsidRPr="00B802FE" w14:paraId="46C137BD" w14:textId="77777777" w:rsidTr="00687CE5">
        <w:trPr>
          <w:trHeight w:val="290"/>
        </w:trPr>
        <w:tc>
          <w:tcPr>
            <w:tcW w:w="2245" w:type="dxa"/>
            <w:shd w:val="clear" w:color="auto" w:fill="auto"/>
            <w:noWrap/>
            <w:vAlign w:val="center"/>
          </w:tcPr>
          <w:p w14:paraId="48DDF6F5" w14:textId="45FEC37F" w:rsidR="00687CE5" w:rsidRPr="00903498" w:rsidRDefault="00687CE5" w:rsidP="00ED2242">
            <w:pPr>
              <w:spacing w:before="0" w:after="0" w:line="240" w:lineRule="auto"/>
              <w:rPr>
                <w:rFonts w:eastAsia="Times New Roman" w:cs="Calibri Light"/>
                <w:sz w:val="20"/>
                <w:szCs w:val="20"/>
              </w:rPr>
            </w:pPr>
            <w:r w:rsidRPr="00D67FA5">
              <w:rPr>
                <w:rFonts w:eastAsia="Times New Roman" w:cs="Calibri Light"/>
                <w:sz w:val="20"/>
                <w:szCs w:val="20"/>
              </w:rPr>
              <w:t>Facility DHW Flow</w:t>
            </w:r>
            <w:r w:rsidRPr="00903498">
              <w:rPr>
                <w:rFonts w:eastAsia="Times New Roman" w:cs="Calibri Light"/>
                <w:sz w:val="20"/>
                <w:szCs w:val="20"/>
              </w:rPr>
              <w:t xml:space="preserve"> Rate (</w:t>
            </w:r>
            <w:r>
              <w:rPr>
                <w:rFonts w:eastAsia="Times New Roman" w:cs="Calibri Light"/>
                <w:sz w:val="20"/>
                <w:szCs w:val="20"/>
              </w:rPr>
              <w:t>gpm/facility</w:t>
            </w:r>
            <w:r w:rsidRPr="00903498">
              <w:rPr>
                <w:rFonts w:eastAsia="Times New Roman" w:cs="Calibri Light"/>
                <w:sz w:val="20"/>
                <w:szCs w:val="20"/>
              </w:rPr>
              <w:t>)</w:t>
            </w:r>
          </w:p>
        </w:tc>
        <w:tc>
          <w:tcPr>
            <w:tcW w:w="1710" w:type="dxa"/>
            <w:shd w:val="clear" w:color="auto" w:fill="auto"/>
            <w:noWrap/>
            <w:vAlign w:val="center"/>
          </w:tcPr>
          <w:p w14:paraId="776F9AC2" w14:textId="77777777" w:rsidR="00687CE5" w:rsidRPr="00903498" w:rsidRDefault="00687CE5" w:rsidP="00ED2242">
            <w:pPr>
              <w:spacing w:before="0" w:after="0" w:line="240" w:lineRule="auto"/>
              <w:jc w:val="right"/>
              <w:rPr>
                <w:rFonts w:eastAsia="Times New Roman" w:cs="Calibri Light"/>
                <w:sz w:val="20"/>
                <w:szCs w:val="20"/>
              </w:rPr>
            </w:pPr>
            <w:r w:rsidRPr="00903498">
              <w:rPr>
                <w:rFonts w:cs="Calibri Light"/>
                <w:color w:val="000000"/>
                <w:sz w:val="20"/>
                <w:szCs w:val="20"/>
              </w:rPr>
              <w:t>1.67</w:t>
            </w:r>
          </w:p>
        </w:tc>
        <w:tc>
          <w:tcPr>
            <w:tcW w:w="5490" w:type="dxa"/>
            <w:shd w:val="clear" w:color="auto" w:fill="auto"/>
            <w:noWrap/>
            <w:vAlign w:val="center"/>
          </w:tcPr>
          <w:p w14:paraId="0F90F2D9" w14:textId="519CB65E" w:rsidR="00687CE5" w:rsidRPr="00903498" w:rsidRDefault="00687CE5" w:rsidP="00ED2242">
            <w:pPr>
              <w:spacing w:before="0" w:after="0" w:line="240" w:lineRule="auto"/>
              <w:rPr>
                <w:rFonts w:eastAsia="Times New Roman" w:cs="Calibri Light"/>
                <w:sz w:val="18"/>
                <w:szCs w:val="18"/>
              </w:rPr>
            </w:pPr>
            <w:r w:rsidRPr="00903498">
              <w:rPr>
                <w:rFonts w:eastAsia="Times New Roman" w:cs="Calibri Light"/>
                <w:sz w:val="18"/>
                <w:szCs w:val="18"/>
              </w:rPr>
              <w:t xml:space="preserve">Calculated as: (Avg. Flow Rate per Person) x (Facility DHW Flow Rate) </w:t>
            </w:r>
          </w:p>
        </w:tc>
      </w:tr>
      <w:tr w:rsidR="00687CE5" w:rsidRPr="00B802FE" w14:paraId="3FA48EF9" w14:textId="77777777" w:rsidTr="00687CE5">
        <w:trPr>
          <w:trHeight w:val="290"/>
        </w:trPr>
        <w:tc>
          <w:tcPr>
            <w:tcW w:w="2245" w:type="dxa"/>
            <w:shd w:val="clear" w:color="auto" w:fill="auto"/>
            <w:noWrap/>
            <w:vAlign w:val="center"/>
            <w:hideMark/>
          </w:tcPr>
          <w:p w14:paraId="5ADE9A9F" w14:textId="5FD5CC1D" w:rsidR="00687CE5" w:rsidRPr="00B802FE" w:rsidRDefault="00687CE5" w:rsidP="00B802FE">
            <w:pPr>
              <w:spacing w:before="0" w:after="0" w:line="240" w:lineRule="auto"/>
              <w:rPr>
                <w:rFonts w:eastAsia="Times New Roman" w:cs="Calibri Light"/>
                <w:sz w:val="20"/>
                <w:szCs w:val="20"/>
              </w:rPr>
            </w:pPr>
            <w:r w:rsidRPr="00B802FE">
              <w:rPr>
                <w:rFonts w:eastAsia="Times New Roman" w:cs="Calibri Light"/>
                <w:sz w:val="20"/>
                <w:szCs w:val="20"/>
              </w:rPr>
              <w:t xml:space="preserve">Loop (Supply) temperature </w:t>
            </w:r>
            <w:r>
              <w:rPr>
                <w:rFonts w:eastAsia="Times New Roman" w:cs="Calibri Light"/>
                <w:sz w:val="20"/>
                <w:szCs w:val="20"/>
              </w:rPr>
              <w:t>(°F)</w:t>
            </w:r>
          </w:p>
        </w:tc>
        <w:tc>
          <w:tcPr>
            <w:tcW w:w="1710" w:type="dxa"/>
            <w:shd w:val="clear" w:color="auto" w:fill="auto"/>
            <w:noWrap/>
            <w:vAlign w:val="center"/>
            <w:hideMark/>
          </w:tcPr>
          <w:p w14:paraId="0457D22D" w14:textId="14F3368F" w:rsidR="00687CE5" w:rsidRPr="00B802FE" w:rsidRDefault="00687CE5" w:rsidP="00B802FE">
            <w:pPr>
              <w:spacing w:before="0" w:after="0" w:line="240" w:lineRule="auto"/>
              <w:jc w:val="right"/>
              <w:rPr>
                <w:rFonts w:eastAsia="Times New Roman" w:cs="Calibri Light"/>
                <w:sz w:val="20"/>
                <w:szCs w:val="20"/>
              </w:rPr>
            </w:pPr>
            <w:r w:rsidRPr="00B802FE">
              <w:rPr>
                <w:rFonts w:eastAsia="Times New Roman" w:cs="Calibri Light"/>
                <w:sz w:val="20"/>
                <w:szCs w:val="20"/>
              </w:rPr>
              <w:t>130</w:t>
            </w:r>
            <w:r>
              <w:rPr>
                <w:rFonts w:eastAsia="Times New Roman" w:cs="Calibri Light"/>
                <w:sz w:val="20"/>
                <w:szCs w:val="20"/>
              </w:rPr>
              <w:t>.0</w:t>
            </w:r>
          </w:p>
        </w:tc>
        <w:tc>
          <w:tcPr>
            <w:tcW w:w="5490" w:type="dxa"/>
            <w:shd w:val="clear" w:color="auto" w:fill="auto"/>
            <w:vAlign w:val="center"/>
            <w:hideMark/>
          </w:tcPr>
          <w:p w14:paraId="3826B2C2" w14:textId="41CBB5C7" w:rsidR="00687CE5" w:rsidRPr="008C3AB7" w:rsidRDefault="00687CE5" w:rsidP="00B802FE">
            <w:pPr>
              <w:spacing w:before="0" w:after="0" w:line="240" w:lineRule="auto"/>
              <w:rPr>
                <w:rFonts w:eastAsia="Times New Roman" w:cs="Calibri Light"/>
                <w:sz w:val="18"/>
                <w:szCs w:val="18"/>
                <w:highlight w:val="yellow"/>
              </w:rPr>
            </w:pPr>
            <w:r w:rsidRPr="009E2970">
              <w:rPr>
                <w:sz w:val="18"/>
              </w:rPr>
              <w:t xml:space="preserve">Southern California Gas Company (SCG). 2016. “WPSCGREWH131030A Rev0__MF_CentralBlr_Tankless 2016.xlsx.” </w:t>
            </w:r>
            <w:r>
              <w:rPr>
                <w:sz w:val="18"/>
              </w:rPr>
              <w:t>ASHRAE</w:t>
            </w:r>
            <w:r w:rsidRPr="009E2970">
              <w:rPr>
                <w:sz w:val="18"/>
              </w:rPr>
              <w:t xml:space="preserve"> tab.</w:t>
            </w:r>
          </w:p>
        </w:tc>
      </w:tr>
      <w:tr w:rsidR="00687CE5" w:rsidRPr="00B802FE" w14:paraId="2C06FD2A" w14:textId="77777777" w:rsidTr="00687CE5">
        <w:trPr>
          <w:trHeight w:val="290"/>
        </w:trPr>
        <w:tc>
          <w:tcPr>
            <w:tcW w:w="2245" w:type="dxa"/>
            <w:shd w:val="clear" w:color="auto" w:fill="auto"/>
            <w:noWrap/>
            <w:vAlign w:val="center"/>
            <w:hideMark/>
          </w:tcPr>
          <w:p w14:paraId="270DBFC6" w14:textId="2CC8EB49" w:rsidR="00687CE5" w:rsidRPr="00B802FE" w:rsidRDefault="00687CE5" w:rsidP="00B802FE">
            <w:pPr>
              <w:spacing w:before="0" w:after="0" w:line="240" w:lineRule="auto"/>
              <w:rPr>
                <w:rFonts w:eastAsia="Times New Roman" w:cs="Calibri Light"/>
                <w:sz w:val="20"/>
                <w:szCs w:val="20"/>
              </w:rPr>
            </w:pPr>
            <w:r w:rsidRPr="00B802FE">
              <w:rPr>
                <w:rFonts w:eastAsia="Times New Roman" w:cs="Calibri Light"/>
                <w:sz w:val="20"/>
                <w:szCs w:val="20"/>
              </w:rPr>
              <w:t>Groundwater Temperature</w:t>
            </w:r>
            <w:r>
              <w:rPr>
                <w:rFonts w:eastAsia="Times New Roman" w:cs="Calibri Light"/>
                <w:sz w:val="20"/>
                <w:szCs w:val="20"/>
              </w:rPr>
              <w:t>, (°F)</w:t>
            </w:r>
          </w:p>
        </w:tc>
        <w:tc>
          <w:tcPr>
            <w:tcW w:w="1710" w:type="dxa"/>
            <w:shd w:val="clear" w:color="auto" w:fill="auto"/>
            <w:noWrap/>
            <w:vAlign w:val="center"/>
            <w:hideMark/>
          </w:tcPr>
          <w:p w14:paraId="175FBF50" w14:textId="74986EA5" w:rsidR="00687CE5" w:rsidRPr="00B802FE" w:rsidRDefault="00687CE5" w:rsidP="00B802FE">
            <w:pPr>
              <w:spacing w:before="0" w:after="0" w:line="240" w:lineRule="auto"/>
              <w:jc w:val="right"/>
              <w:rPr>
                <w:rFonts w:eastAsia="Times New Roman" w:cs="Calibri Light"/>
                <w:sz w:val="20"/>
                <w:szCs w:val="20"/>
              </w:rPr>
            </w:pPr>
            <w:r>
              <w:rPr>
                <w:rFonts w:eastAsia="Times New Roman" w:cs="Calibri Light"/>
                <w:sz w:val="20"/>
                <w:szCs w:val="20"/>
              </w:rPr>
              <w:t>Varies by climate zone</w:t>
            </w:r>
          </w:p>
        </w:tc>
        <w:tc>
          <w:tcPr>
            <w:tcW w:w="5490" w:type="dxa"/>
            <w:shd w:val="clear" w:color="auto" w:fill="auto"/>
            <w:vAlign w:val="center"/>
            <w:hideMark/>
          </w:tcPr>
          <w:p w14:paraId="4F3B2BAA" w14:textId="09A98A2A" w:rsidR="00687CE5" w:rsidRPr="00A03612" w:rsidRDefault="00687CE5" w:rsidP="00B802FE">
            <w:pPr>
              <w:spacing w:before="0" w:after="0" w:line="240" w:lineRule="auto"/>
              <w:rPr>
                <w:rFonts w:eastAsia="Times New Roman" w:cs="Calibri Light"/>
                <w:sz w:val="18"/>
                <w:szCs w:val="18"/>
                <w:highlight w:val="yellow"/>
              </w:rPr>
            </w:pPr>
            <w:r w:rsidRPr="00A6706F">
              <w:rPr>
                <w:rFonts w:eastAsia="Times New Roman" w:cs="Calibri Light"/>
                <w:sz w:val="18"/>
                <w:szCs w:val="18"/>
              </w:rPr>
              <w:t>Reeves, P. (Consultant to California Public Utilities Commission, Energy Division). 2013. "Comparison-of-Ground-Temperatures-v2_byPaulReeves.xlsx."</w:t>
            </w:r>
          </w:p>
        </w:tc>
      </w:tr>
      <w:tr w:rsidR="00687CE5" w:rsidRPr="00B802FE" w14:paraId="0B84E3D4" w14:textId="77777777" w:rsidTr="00687CE5">
        <w:trPr>
          <w:trHeight w:val="290"/>
        </w:trPr>
        <w:tc>
          <w:tcPr>
            <w:tcW w:w="2245" w:type="dxa"/>
            <w:shd w:val="clear" w:color="auto" w:fill="auto"/>
            <w:noWrap/>
            <w:vAlign w:val="center"/>
            <w:hideMark/>
          </w:tcPr>
          <w:p w14:paraId="5D87DF0A" w14:textId="2A464C07" w:rsidR="00687CE5" w:rsidRPr="00B802FE" w:rsidRDefault="00687CE5" w:rsidP="00B802FE">
            <w:pPr>
              <w:spacing w:before="0" w:after="0" w:line="240" w:lineRule="auto"/>
              <w:rPr>
                <w:rFonts w:eastAsia="Times New Roman" w:cs="Calibri Light"/>
                <w:sz w:val="20"/>
                <w:szCs w:val="20"/>
              </w:rPr>
            </w:pPr>
            <w:r w:rsidRPr="00B802FE">
              <w:rPr>
                <w:rFonts w:eastAsia="Times New Roman" w:cs="Calibri Light"/>
                <w:sz w:val="20"/>
                <w:szCs w:val="20"/>
              </w:rPr>
              <w:t xml:space="preserve">Operating Hours </w:t>
            </w:r>
            <w:r>
              <w:rPr>
                <w:rFonts w:eastAsia="Times New Roman" w:cs="Calibri Light"/>
                <w:sz w:val="20"/>
                <w:szCs w:val="20"/>
              </w:rPr>
              <w:t>(hours/</w:t>
            </w:r>
            <w:proofErr w:type="spellStart"/>
            <w:r>
              <w:rPr>
                <w:rFonts w:eastAsia="Times New Roman" w:cs="Calibri Light"/>
                <w:sz w:val="20"/>
                <w:szCs w:val="20"/>
              </w:rPr>
              <w:t>yr</w:t>
            </w:r>
            <w:proofErr w:type="spellEnd"/>
            <w:r>
              <w:rPr>
                <w:rFonts w:eastAsia="Times New Roman" w:cs="Calibri Light"/>
                <w:sz w:val="20"/>
                <w:szCs w:val="20"/>
              </w:rPr>
              <w:t>)</w:t>
            </w:r>
          </w:p>
        </w:tc>
        <w:tc>
          <w:tcPr>
            <w:tcW w:w="1710" w:type="dxa"/>
            <w:shd w:val="clear" w:color="auto" w:fill="auto"/>
            <w:noWrap/>
            <w:vAlign w:val="center"/>
            <w:hideMark/>
          </w:tcPr>
          <w:p w14:paraId="32BC6A08" w14:textId="04454B76" w:rsidR="00687CE5" w:rsidRPr="00B802FE" w:rsidRDefault="00687CE5" w:rsidP="00B802FE">
            <w:pPr>
              <w:spacing w:before="0" w:after="0" w:line="240" w:lineRule="auto"/>
              <w:jc w:val="right"/>
              <w:rPr>
                <w:rFonts w:eastAsia="Times New Roman" w:cs="Calibri Light"/>
                <w:sz w:val="20"/>
                <w:szCs w:val="20"/>
              </w:rPr>
            </w:pPr>
            <w:r w:rsidRPr="00B802FE">
              <w:rPr>
                <w:rFonts w:eastAsia="Times New Roman" w:cs="Calibri Light"/>
                <w:sz w:val="20"/>
                <w:szCs w:val="20"/>
              </w:rPr>
              <w:t>8</w:t>
            </w:r>
            <w:r>
              <w:rPr>
                <w:rFonts w:eastAsia="Times New Roman" w:cs="Calibri Light"/>
                <w:sz w:val="20"/>
                <w:szCs w:val="20"/>
              </w:rPr>
              <w:t>,</w:t>
            </w:r>
            <w:r w:rsidRPr="00B802FE">
              <w:rPr>
                <w:rFonts w:eastAsia="Times New Roman" w:cs="Calibri Light"/>
                <w:sz w:val="20"/>
                <w:szCs w:val="20"/>
              </w:rPr>
              <w:t>760</w:t>
            </w:r>
          </w:p>
        </w:tc>
        <w:tc>
          <w:tcPr>
            <w:tcW w:w="5490" w:type="dxa"/>
            <w:shd w:val="clear" w:color="auto" w:fill="auto"/>
            <w:noWrap/>
            <w:vAlign w:val="center"/>
            <w:hideMark/>
          </w:tcPr>
          <w:p w14:paraId="013C909F" w14:textId="220F1E84" w:rsidR="00687CE5" w:rsidRPr="008C3AB7" w:rsidRDefault="00687CE5" w:rsidP="00B802FE">
            <w:pPr>
              <w:spacing w:before="0" w:after="0" w:line="240" w:lineRule="auto"/>
              <w:rPr>
                <w:rFonts w:eastAsia="Times New Roman" w:cs="Calibri Light"/>
                <w:sz w:val="18"/>
                <w:szCs w:val="18"/>
              </w:rPr>
            </w:pPr>
            <w:r>
              <w:rPr>
                <w:rFonts w:eastAsia="Times New Roman" w:cs="Calibri Light"/>
                <w:sz w:val="18"/>
                <w:szCs w:val="18"/>
              </w:rPr>
              <w:t>Professional judgement.</w:t>
            </w:r>
          </w:p>
        </w:tc>
      </w:tr>
      <w:tr w:rsidR="00687CE5" w:rsidRPr="00B802FE" w14:paraId="6D45BAF8" w14:textId="77777777" w:rsidTr="00687CE5">
        <w:trPr>
          <w:trHeight w:val="290"/>
        </w:trPr>
        <w:tc>
          <w:tcPr>
            <w:tcW w:w="2245" w:type="dxa"/>
            <w:shd w:val="clear" w:color="auto" w:fill="auto"/>
            <w:noWrap/>
            <w:vAlign w:val="center"/>
            <w:hideMark/>
          </w:tcPr>
          <w:p w14:paraId="2E7343C8" w14:textId="38902E8B" w:rsidR="00687CE5" w:rsidRPr="00B802FE" w:rsidRDefault="00687CE5" w:rsidP="00B802FE">
            <w:pPr>
              <w:spacing w:before="0" w:after="0" w:line="240" w:lineRule="auto"/>
              <w:rPr>
                <w:rFonts w:eastAsia="Times New Roman" w:cs="Calibri Light"/>
                <w:sz w:val="20"/>
                <w:szCs w:val="20"/>
              </w:rPr>
            </w:pPr>
            <w:r w:rsidRPr="00B802FE">
              <w:rPr>
                <w:rFonts w:eastAsia="Times New Roman" w:cs="Calibri Light"/>
                <w:sz w:val="20"/>
                <w:szCs w:val="20"/>
              </w:rPr>
              <w:t xml:space="preserve">Hours/Day of </w:t>
            </w:r>
            <w:r>
              <w:rPr>
                <w:rFonts w:eastAsia="Times New Roman" w:cs="Calibri Light"/>
                <w:sz w:val="20"/>
                <w:szCs w:val="20"/>
              </w:rPr>
              <w:t>Hot Water Use (</w:t>
            </w:r>
            <w:proofErr w:type="spellStart"/>
            <w:r>
              <w:rPr>
                <w:rFonts w:eastAsia="Times New Roman" w:cs="Calibri Light"/>
                <w:sz w:val="20"/>
                <w:szCs w:val="20"/>
              </w:rPr>
              <w:t>h</w:t>
            </w:r>
            <w:r w:rsidRPr="00B802FE">
              <w:rPr>
                <w:rFonts w:eastAsia="Times New Roman" w:cs="Calibri Light"/>
                <w:sz w:val="20"/>
                <w:szCs w:val="20"/>
              </w:rPr>
              <w:t>rs</w:t>
            </w:r>
            <w:proofErr w:type="spellEnd"/>
            <w:r w:rsidRPr="00B802FE">
              <w:rPr>
                <w:rFonts w:eastAsia="Times New Roman" w:cs="Calibri Light"/>
                <w:sz w:val="20"/>
                <w:szCs w:val="20"/>
              </w:rPr>
              <w:t>/day</w:t>
            </w:r>
            <w:r>
              <w:rPr>
                <w:rFonts w:eastAsia="Times New Roman" w:cs="Calibri Light"/>
                <w:sz w:val="20"/>
                <w:szCs w:val="20"/>
              </w:rPr>
              <w:t>)</w:t>
            </w:r>
          </w:p>
        </w:tc>
        <w:tc>
          <w:tcPr>
            <w:tcW w:w="1710" w:type="dxa"/>
            <w:shd w:val="clear" w:color="auto" w:fill="auto"/>
            <w:noWrap/>
            <w:vAlign w:val="center"/>
            <w:hideMark/>
          </w:tcPr>
          <w:p w14:paraId="625DC3FB" w14:textId="7C857D5E" w:rsidR="00687CE5" w:rsidRPr="00B802FE" w:rsidRDefault="00687CE5" w:rsidP="00B802FE">
            <w:pPr>
              <w:spacing w:before="0" w:after="0" w:line="240" w:lineRule="auto"/>
              <w:jc w:val="right"/>
              <w:rPr>
                <w:rFonts w:eastAsia="Times New Roman" w:cs="Calibri Light"/>
                <w:sz w:val="20"/>
                <w:szCs w:val="20"/>
              </w:rPr>
            </w:pPr>
            <w:r w:rsidRPr="00B802FE">
              <w:rPr>
                <w:rFonts w:eastAsia="Times New Roman" w:cs="Calibri Light"/>
                <w:sz w:val="20"/>
                <w:szCs w:val="20"/>
              </w:rPr>
              <w:t>8</w:t>
            </w:r>
          </w:p>
        </w:tc>
        <w:tc>
          <w:tcPr>
            <w:tcW w:w="5490" w:type="dxa"/>
            <w:shd w:val="clear" w:color="auto" w:fill="auto"/>
            <w:vAlign w:val="center"/>
            <w:hideMark/>
          </w:tcPr>
          <w:p w14:paraId="67696391" w14:textId="478C0251" w:rsidR="00687CE5" w:rsidRDefault="00687CE5" w:rsidP="00B802FE">
            <w:pPr>
              <w:spacing w:before="0" w:after="0" w:line="240" w:lineRule="auto"/>
              <w:rPr>
                <w:sz w:val="18"/>
              </w:rPr>
            </w:pPr>
            <w:r w:rsidRPr="009E2970">
              <w:rPr>
                <w:sz w:val="18"/>
              </w:rPr>
              <w:t>Southern California Gas Company (SCG). 2016. “WPSCGREWH131030A Rev0__MF_CentralBlr_Tankless 2016.xlsx.”</w:t>
            </w:r>
            <w:r>
              <w:rPr>
                <w:sz w:val="18"/>
              </w:rPr>
              <w:t xml:space="preserve"> See “</w:t>
            </w:r>
            <w:proofErr w:type="spellStart"/>
            <w:r>
              <w:rPr>
                <w:sz w:val="18"/>
              </w:rPr>
              <w:t>eQuest</w:t>
            </w:r>
            <w:proofErr w:type="spellEnd"/>
            <w:r>
              <w:rPr>
                <w:sz w:val="18"/>
              </w:rPr>
              <w:t xml:space="preserve"> DHW Schedules” tab.</w:t>
            </w:r>
          </w:p>
          <w:p w14:paraId="77274B72" w14:textId="77777777" w:rsidR="00687CE5" w:rsidRDefault="00687CE5" w:rsidP="00B802FE">
            <w:pPr>
              <w:spacing w:before="0" w:after="0" w:line="240" w:lineRule="auto"/>
              <w:rPr>
                <w:sz w:val="18"/>
              </w:rPr>
            </w:pPr>
          </w:p>
          <w:p w14:paraId="423458F6" w14:textId="45BFCD5A" w:rsidR="00687CE5" w:rsidRPr="008C3AB7" w:rsidRDefault="00687CE5" w:rsidP="008E393C">
            <w:pPr>
              <w:spacing w:before="0" w:after="0" w:line="240" w:lineRule="auto"/>
              <w:rPr>
                <w:rFonts w:eastAsia="Times New Roman" w:cs="Calibri Light"/>
                <w:sz w:val="18"/>
                <w:szCs w:val="18"/>
                <w:highlight w:val="yellow"/>
              </w:rPr>
            </w:pPr>
            <w:r>
              <w:rPr>
                <w:sz w:val="18"/>
              </w:rPr>
              <w:t xml:space="preserve">The multifamily hot water usage profile in </w:t>
            </w:r>
            <w:proofErr w:type="spellStart"/>
            <w:r>
              <w:rPr>
                <w:sz w:val="18"/>
              </w:rPr>
              <w:t>eQuest</w:t>
            </w:r>
            <w:proofErr w:type="spellEnd"/>
            <w:r>
              <w:rPr>
                <w:sz w:val="18"/>
              </w:rPr>
              <w:t xml:space="preserve"> is not an exact match to the ASHRAAE average flow rate in the figure above. Therefore, 8 hours per day is a reasonable rounding up for the weighted average hours of water use per day. </w:t>
            </w:r>
          </w:p>
        </w:tc>
      </w:tr>
      <w:tr w:rsidR="00687CE5" w:rsidRPr="00B802FE" w14:paraId="570372A5" w14:textId="77777777" w:rsidTr="00687CE5">
        <w:trPr>
          <w:trHeight w:val="290"/>
        </w:trPr>
        <w:tc>
          <w:tcPr>
            <w:tcW w:w="2245" w:type="dxa"/>
            <w:shd w:val="clear" w:color="auto" w:fill="auto"/>
            <w:noWrap/>
            <w:vAlign w:val="center"/>
            <w:hideMark/>
          </w:tcPr>
          <w:p w14:paraId="176CB7D3" w14:textId="2CA26353" w:rsidR="00687CE5" w:rsidRPr="00B802FE" w:rsidRDefault="00687CE5" w:rsidP="00B802FE">
            <w:pPr>
              <w:spacing w:before="0" w:after="0" w:line="240" w:lineRule="auto"/>
              <w:rPr>
                <w:rFonts w:eastAsia="Times New Roman" w:cs="Calibri Light"/>
                <w:sz w:val="20"/>
                <w:szCs w:val="20"/>
              </w:rPr>
            </w:pPr>
            <w:r w:rsidRPr="00B802FE">
              <w:rPr>
                <w:rFonts w:eastAsia="Times New Roman" w:cs="Calibri Light"/>
                <w:sz w:val="20"/>
                <w:szCs w:val="20"/>
              </w:rPr>
              <w:lastRenderedPageBreak/>
              <w:t xml:space="preserve">Calculated Capacity </w:t>
            </w:r>
            <w:r>
              <w:rPr>
                <w:rFonts w:eastAsia="Times New Roman" w:cs="Calibri Light"/>
                <w:sz w:val="20"/>
                <w:szCs w:val="20"/>
              </w:rPr>
              <w:t>(</w:t>
            </w:r>
            <w:r w:rsidRPr="00B802FE">
              <w:rPr>
                <w:rFonts w:eastAsia="Times New Roman" w:cs="Calibri Light"/>
                <w:sz w:val="20"/>
                <w:szCs w:val="20"/>
              </w:rPr>
              <w:t>Btu/</w:t>
            </w:r>
            <w:proofErr w:type="spellStart"/>
            <w:r w:rsidRPr="00B802FE">
              <w:rPr>
                <w:rFonts w:eastAsia="Times New Roman" w:cs="Calibri Light"/>
                <w:sz w:val="20"/>
                <w:szCs w:val="20"/>
              </w:rPr>
              <w:t>hr</w:t>
            </w:r>
            <w:proofErr w:type="spellEnd"/>
            <w:r>
              <w:rPr>
                <w:rFonts w:eastAsia="Times New Roman" w:cs="Calibri Light"/>
                <w:sz w:val="20"/>
                <w:szCs w:val="20"/>
              </w:rPr>
              <w:t>)</w:t>
            </w:r>
          </w:p>
        </w:tc>
        <w:tc>
          <w:tcPr>
            <w:tcW w:w="1710" w:type="dxa"/>
            <w:shd w:val="clear" w:color="auto" w:fill="auto"/>
            <w:noWrap/>
            <w:vAlign w:val="center"/>
            <w:hideMark/>
          </w:tcPr>
          <w:p w14:paraId="406F09E8" w14:textId="0CCAF9E8" w:rsidR="00687CE5" w:rsidRPr="00B802FE" w:rsidRDefault="00687CE5" w:rsidP="00B802FE">
            <w:pPr>
              <w:spacing w:before="0" w:after="0" w:line="240" w:lineRule="auto"/>
              <w:jc w:val="right"/>
              <w:rPr>
                <w:rFonts w:eastAsia="Times New Roman" w:cs="Calibri Light"/>
                <w:sz w:val="20"/>
                <w:szCs w:val="20"/>
              </w:rPr>
            </w:pPr>
            <w:r w:rsidRPr="00B802FE">
              <w:rPr>
                <w:rFonts w:eastAsia="Times New Roman" w:cs="Calibri Light"/>
                <w:sz w:val="20"/>
                <w:szCs w:val="20"/>
              </w:rPr>
              <w:t xml:space="preserve">216,667 </w:t>
            </w:r>
          </w:p>
        </w:tc>
        <w:tc>
          <w:tcPr>
            <w:tcW w:w="5490" w:type="dxa"/>
            <w:shd w:val="clear" w:color="auto" w:fill="auto"/>
            <w:noWrap/>
            <w:vAlign w:val="center"/>
            <w:hideMark/>
          </w:tcPr>
          <w:p w14:paraId="7EDBF2ED" w14:textId="525B0328" w:rsidR="00687CE5" w:rsidRPr="00FF20D2" w:rsidRDefault="00687CE5" w:rsidP="00B802FE">
            <w:pPr>
              <w:spacing w:before="0" w:after="0" w:line="240" w:lineRule="auto"/>
              <w:rPr>
                <w:rFonts w:eastAsia="Times New Roman" w:cs="Calibri Light"/>
                <w:sz w:val="18"/>
                <w:szCs w:val="18"/>
              </w:rPr>
            </w:pPr>
            <w:r w:rsidRPr="00FF20D2">
              <w:rPr>
                <w:rFonts w:eastAsia="Times New Roman" w:cs="Calibri Light"/>
                <w:sz w:val="18"/>
                <w:szCs w:val="18"/>
              </w:rPr>
              <w:t>Calculated, based on 80 °F Temp</w:t>
            </w:r>
            <w:r>
              <w:rPr>
                <w:rFonts w:eastAsia="Times New Roman" w:cs="Calibri Light"/>
                <w:sz w:val="18"/>
                <w:szCs w:val="18"/>
              </w:rPr>
              <w:t>erature Differential</w:t>
            </w:r>
            <w:r w:rsidRPr="00FF20D2">
              <w:rPr>
                <w:rFonts w:eastAsia="Times New Roman" w:cs="Calibri Light"/>
                <w:sz w:val="18"/>
                <w:szCs w:val="18"/>
              </w:rPr>
              <w:t xml:space="preserve"> </w:t>
            </w:r>
          </w:p>
        </w:tc>
      </w:tr>
      <w:tr w:rsidR="00687CE5" w:rsidRPr="00B802FE" w14:paraId="63AE7E1A" w14:textId="77777777" w:rsidTr="00687CE5">
        <w:trPr>
          <w:trHeight w:val="290"/>
        </w:trPr>
        <w:tc>
          <w:tcPr>
            <w:tcW w:w="2245" w:type="dxa"/>
            <w:shd w:val="clear" w:color="auto" w:fill="auto"/>
            <w:noWrap/>
            <w:vAlign w:val="center"/>
            <w:hideMark/>
          </w:tcPr>
          <w:p w14:paraId="3A520A38" w14:textId="0F3C72E5" w:rsidR="00687CE5" w:rsidRPr="00B802FE" w:rsidRDefault="00687CE5" w:rsidP="004D1307">
            <w:pPr>
              <w:spacing w:before="0" w:after="0" w:line="240" w:lineRule="auto"/>
              <w:rPr>
                <w:rFonts w:eastAsia="Times New Roman" w:cs="Calibri Light"/>
                <w:sz w:val="20"/>
                <w:szCs w:val="20"/>
              </w:rPr>
            </w:pPr>
            <w:r w:rsidRPr="00B802FE">
              <w:rPr>
                <w:rFonts w:eastAsia="Times New Roman" w:cs="Calibri Light"/>
                <w:sz w:val="20"/>
                <w:szCs w:val="20"/>
              </w:rPr>
              <w:t xml:space="preserve">Equipment Selection </w:t>
            </w:r>
            <w:r>
              <w:rPr>
                <w:rFonts w:eastAsia="Times New Roman" w:cs="Calibri Light"/>
                <w:sz w:val="20"/>
                <w:szCs w:val="20"/>
              </w:rPr>
              <w:t>(</w:t>
            </w:r>
            <w:r w:rsidRPr="00B802FE">
              <w:rPr>
                <w:rFonts w:eastAsia="Times New Roman" w:cs="Calibri Light"/>
                <w:sz w:val="20"/>
                <w:szCs w:val="20"/>
              </w:rPr>
              <w:t>Btu/</w:t>
            </w:r>
            <w:proofErr w:type="spellStart"/>
            <w:r w:rsidRPr="00B802FE">
              <w:rPr>
                <w:rFonts w:eastAsia="Times New Roman" w:cs="Calibri Light"/>
                <w:sz w:val="20"/>
                <w:szCs w:val="20"/>
              </w:rPr>
              <w:t>hr</w:t>
            </w:r>
            <w:proofErr w:type="spellEnd"/>
            <w:r>
              <w:rPr>
                <w:rFonts w:eastAsia="Times New Roman" w:cs="Calibri Light"/>
                <w:sz w:val="20"/>
                <w:szCs w:val="20"/>
              </w:rPr>
              <w:t>)</w:t>
            </w:r>
          </w:p>
        </w:tc>
        <w:tc>
          <w:tcPr>
            <w:tcW w:w="1710" w:type="dxa"/>
            <w:shd w:val="clear" w:color="auto" w:fill="auto"/>
            <w:noWrap/>
            <w:vAlign w:val="center"/>
            <w:hideMark/>
          </w:tcPr>
          <w:p w14:paraId="6A7220C1" w14:textId="61E1F526" w:rsidR="00687CE5" w:rsidRPr="00B802FE" w:rsidRDefault="00687CE5" w:rsidP="004D1307">
            <w:pPr>
              <w:spacing w:before="0" w:after="0" w:line="240" w:lineRule="auto"/>
              <w:jc w:val="right"/>
              <w:rPr>
                <w:rFonts w:eastAsia="Times New Roman" w:cs="Calibri Light"/>
                <w:sz w:val="20"/>
                <w:szCs w:val="20"/>
              </w:rPr>
            </w:pPr>
            <w:r w:rsidRPr="00B802FE">
              <w:rPr>
                <w:rFonts w:eastAsia="Times New Roman" w:cs="Calibri Light"/>
                <w:sz w:val="20"/>
                <w:szCs w:val="20"/>
              </w:rPr>
              <w:t xml:space="preserve">250,833 </w:t>
            </w:r>
          </w:p>
        </w:tc>
        <w:tc>
          <w:tcPr>
            <w:tcW w:w="5490" w:type="dxa"/>
            <w:shd w:val="clear" w:color="auto" w:fill="auto"/>
            <w:vAlign w:val="center"/>
            <w:hideMark/>
          </w:tcPr>
          <w:p w14:paraId="25E61040" w14:textId="6F2A89F6" w:rsidR="00687CE5" w:rsidRPr="00FC612E" w:rsidRDefault="00687CE5" w:rsidP="004D1307">
            <w:pPr>
              <w:spacing w:before="0" w:after="0" w:line="240" w:lineRule="auto"/>
              <w:rPr>
                <w:rFonts w:cs="Calibri Light"/>
                <w:sz w:val="18"/>
                <w:szCs w:val="20"/>
              </w:rPr>
            </w:pPr>
            <w:r w:rsidRPr="00FC612E">
              <w:rPr>
                <w:rFonts w:cs="Calibri Light"/>
                <w:sz w:val="18"/>
                <w:szCs w:val="20"/>
              </w:rPr>
              <w:t>Calculated as the average of 30 entries. See:</w:t>
            </w:r>
          </w:p>
          <w:p w14:paraId="375F723E" w14:textId="1C15255A" w:rsidR="00687CE5" w:rsidRPr="008C3AB7" w:rsidRDefault="00687CE5" w:rsidP="004D1307">
            <w:pPr>
              <w:spacing w:before="0" w:after="0" w:line="240" w:lineRule="auto"/>
              <w:rPr>
                <w:rFonts w:eastAsia="Times New Roman" w:cs="Calibri Light"/>
                <w:sz w:val="18"/>
                <w:szCs w:val="18"/>
                <w:highlight w:val="yellow"/>
              </w:rPr>
            </w:pPr>
            <w:r w:rsidRPr="00903498">
              <w:rPr>
                <w:sz w:val="18"/>
              </w:rPr>
              <w:t>Southern California Gas Company (SCG). 2016. “WPSCGREWH131030A Rev0__MF_CentralBlr_Tankless 2016.xlsx.” DHW Simulation Tab.</w:t>
            </w:r>
            <w:r w:rsidRPr="00903498">
              <w:rPr>
                <w:rFonts w:eastAsia="Times New Roman" w:cs="Calibri Light"/>
                <w:sz w:val="18"/>
                <w:szCs w:val="18"/>
              </w:rPr>
              <w:t xml:space="preserve"> </w:t>
            </w:r>
          </w:p>
        </w:tc>
      </w:tr>
      <w:tr w:rsidR="00687CE5" w:rsidRPr="00B802FE" w14:paraId="5602602D" w14:textId="77777777" w:rsidTr="00687CE5">
        <w:trPr>
          <w:trHeight w:val="290"/>
        </w:trPr>
        <w:tc>
          <w:tcPr>
            <w:tcW w:w="2245" w:type="dxa"/>
            <w:shd w:val="clear" w:color="auto" w:fill="auto"/>
            <w:noWrap/>
            <w:vAlign w:val="center"/>
          </w:tcPr>
          <w:p w14:paraId="79AD06D6" w14:textId="667094D9" w:rsidR="00687CE5" w:rsidRPr="00B802FE" w:rsidRDefault="00687CE5" w:rsidP="00242A9D">
            <w:pPr>
              <w:spacing w:before="0" w:after="0" w:line="240" w:lineRule="auto"/>
              <w:rPr>
                <w:rFonts w:eastAsia="Times New Roman" w:cs="Calibri Light"/>
                <w:sz w:val="20"/>
                <w:szCs w:val="20"/>
              </w:rPr>
            </w:pPr>
            <w:r w:rsidRPr="00D67FA5">
              <w:rPr>
                <w:rFonts w:eastAsia="Times New Roman" w:cs="Calibri Light"/>
                <w:sz w:val="20"/>
                <w:szCs w:val="20"/>
              </w:rPr>
              <w:t xml:space="preserve">Efficacy Factor </w:t>
            </w:r>
          </w:p>
        </w:tc>
        <w:tc>
          <w:tcPr>
            <w:tcW w:w="1710" w:type="dxa"/>
            <w:shd w:val="clear" w:color="auto" w:fill="auto"/>
            <w:noWrap/>
            <w:vAlign w:val="center"/>
          </w:tcPr>
          <w:p w14:paraId="6A8C222D" w14:textId="3F689702" w:rsidR="00687CE5" w:rsidRPr="00B802FE" w:rsidRDefault="00687CE5" w:rsidP="00242A9D">
            <w:pPr>
              <w:spacing w:before="0" w:after="0" w:line="240" w:lineRule="auto"/>
              <w:jc w:val="right"/>
              <w:rPr>
                <w:rFonts w:eastAsia="Times New Roman" w:cs="Calibri Light"/>
                <w:sz w:val="20"/>
                <w:szCs w:val="20"/>
              </w:rPr>
            </w:pPr>
            <w:r>
              <w:rPr>
                <w:rFonts w:cs="Calibri Light"/>
                <w:color w:val="000000"/>
                <w:sz w:val="20"/>
                <w:szCs w:val="20"/>
              </w:rPr>
              <w:t>0.90</w:t>
            </w:r>
          </w:p>
        </w:tc>
        <w:tc>
          <w:tcPr>
            <w:tcW w:w="5490" w:type="dxa"/>
            <w:shd w:val="clear" w:color="auto" w:fill="auto"/>
            <w:noWrap/>
            <w:vAlign w:val="center"/>
          </w:tcPr>
          <w:p w14:paraId="1D07F9AF" w14:textId="0F065823" w:rsidR="00687CE5" w:rsidRPr="008C3AB7" w:rsidRDefault="00687CE5" w:rsidP="00242A9D">
            <w:pPr>
              <w:spacing w:before="0" w:after="0" w:line="240" w:lineRule="auto"/>
              <w:rPr>
                <w:rFonts w:eastAsia="Times New Roman" w:cs="Calibri Light"/>
                <w:sz w:val="18"/>
                <w:szCs w:val="18"/>
              </w:rPr>
            </w:pPr>
            <w:r w:rsidRPr="009E2970">
              <w:rPr>
                <w:sz w:val="18"/>
              </w:rPr>
              <w:t>Southern California Gas Company (SCG). 2016. “WPSCGREWH131030A Rev0__MF_CentralBlr_Tankless 2016.xlsx.”</w:t>
            </w:r>
          </w:p>
        </w:tc>
      </w:tr>
      <w:tr w:rsidR="00687CE5" w:rsidRPr="00B802FE" w14:paraId="0FD54B1A" w14:textId="77777777" w:rsidTr="00687CE5">
        <w:trPr>
          <w:trHeight w:val="290"/>
        </w:trPr>
        <w:tc>
          <w:tcPr>
            <w:tcW w:w="2245" w:type="dxa"/>
            <w:shd w:val="clear" w:color="auto" w:fill="auto"/>
            <w:noWrap/>
            <w:vAlign w:val="center"/>
          </w:tcPr>
          <w:p w14:paraId="4969E76C" w14:textId="0BB1E141" w:rsidR="00687CE5" w:rsidRPr="00D67FA5" w:rsidRDefault="00687CE5" w:rsidP="008050CB">
            <w:pPr>
              <w:spacing w:before="0" w:after="0" w:line="240" w:lineRule="auto"/>
              <w:rPr>
                <w:rFonts w:eastAsia="Times New Roman" w:cs="Calibri Light"/>
                <w:sz w:val="20"/>
                <w:szCs w:val="20"/>
              </w:rPr>
            </w:pPr>
            <w:r>
              <w:rPr>
                <w:rFonts w:eastAsia="Times New Roman" w:cs="Calibri Light"/>
                <w:sz w:val="20"/>
                <w:szCs w:val="20"/>
              </w:rPr>
              <w:t xml:space="preserve">Thermal </w:t>
            </w:r>
            <w:r w:rsidRPr="00D67FA5">
              <w:rPr>
                <w:rFonts w:eastAsia="Times New Roman" w:cs="Calibri Light"/>
                <w:sz w:val="20"/>
                <w:szCs w:val="20"/>
              </w:rPr>
              <w:t xml:space="preserve">Efficiency </w:t>
            </w:r>
            <w:r>
              <w:rPr>
                <w:rFonts w:eastAsia="Times New Roman" w:cs="Calibri Light"/>
                <w:sz w:val="20"/>
                <w:szCs w:val="20"/>
              </w:rPr>
              <w:t>– Base (%)</w:t>
            </w:r>
          </w:p>
        </w:tc>
        <w:tc>
          <w:tcPr>
            <w:tcW w:w="1710" w:type="dxa"/>
            <w:shd w:val="clear" w:color="auto" w:fill="auto"/>
            <w:noWrap/>
            <w:vAlign w:val="center"/>
          </w:tcPr>
          <w:p w14:paraId="73AB82A8" w14:textId="270872C7" w:rsidR="00687CE5" w:rsidRDefault="00687CE5" w:rsidP="00777422">
            <w:pPr>
              <w:spacing w:before="0" w:after="0" w:line="240" w:lineRule="auto"/>
              <w:jc w:val="right"/>
              <w:rPr>
                <w:rFonts w:cs="Calibri Light"/>
                <w:color w:val="000000"/>
                <w:sz w:val="20"/>
                <w:szCs w:val="20"/>
              </w:rPr>
            </w:pPr>
            <w:r>
              <w:rPr>
                <w:rFonts w:cs="Calibri Light"/>
                <w:color w:val="000000"/>
                <w:sz w:val="20"/>
                <w:szCs w:val="20"/>
              </w:rPr>
              <w:t>80%</w:t>
            </w:r>
          </w:p>
        </w:tc>
        <w:tc>
          <w:tcPr>
            <w:tcW w:w="5490" w:type="dxa"/>
            <w:shd w:val="clear" w:color="auto" w:fill="auto"/>
            <w:noWrap/>
            <w:vAlign w:val="center"/>
          </w:tcPr>
          <w:p w14:paraId="15C05DA5" w14:textId="721A91D5" w:rsidR="00687CE5" w:rsidRPr="00FC612E" w:rsidRDefault="00687CE5" w:rsidP="008050CB">
            <w:pPr>
              <w:spacing w:before="0" w:after="0" w:line="240" w:lineRule="auto"/>
              <w:rPr>
                <w:rFonts w:eastAsia="Times New Roman" w:cs="Calibri Light"/>
                <w:sz w:val="18"/>
                <w:szCs w:val="18"/>
                <w:highlight w:val="yellow"/>
              </w:rPr>
            </w:pPr>
            <w:r w:rsidRPr="00FC612E">
              <w:rPr>
                <w:sz w:val="18"/>
              </w:rPr>
              <w:t xml:space="preserve">California Energy Commission (CEC). 2017. </w:t>
            </w:r>
            <w:r w:rsidRPr="00FC612E">
              <w:rPr>
                <w:i/>
                <w:sz w:val="18"/>
              </w:rPr>
              <w:t>2016 Appliance Efficiency Regulations</w:t>
            </w:r>
            <w:r w:rsidRPr="00FC612E">
              <w:rPr>
                <w:sz w:val="18"/>
              </w:rPr>
              <w:t>. CEC-400-2017-002.</w:t>
            </w:r>
          </w:p>
        </w:tc>
      </w:tr>
      <w:tr w:rsidR="00687CE5" w:rsidRPr="00B802FE" w14:paraId="19D7CE0F" w14:textId="77777777" w:rsidTr="00687CE5">
        <w:trPr>
          <w:trHeight w:val="422"/>
        </w:trPr>
        <w:tc>
          <w:tcPr>
            <w:tcW w:w="2245" w:type="dxa"/>
            <w:shd w:val="clear" w:color="auto" w:fill="auto"/>
            <w:noWrap/>
            <w:vAlign w:val="center"/>
          </w:tcPr>
          <w:p w14:paraId="13B73C16" w14:textId="643C28AF" w:rsidR="00687CE5" w:rsidRDefault="00687CE5" w:rsidP="00621A7D">
            <w:pPr>
              <w:spacing w:before="0" w:after="0" w:line="240" w:lineRule="auto"/>
              <w:rPr>
                <w:rFonts w:eastAsia="Times New Roman" w:cs="Calibri Light"/>
                <w:sz w:val="20"/>
                <w:szCs w:val="20"/>
              </w:rPr>
            </w:pPr>
            <w:r>
              <w:rPr>
                <w:rFonts w:eastAsia="Times New Roman" w:cs="Calibri Light"/>
                <w:sz w:val="20"/>
                <w:szCs w:val="20"/>
              </w:rPr>
              <w:t>Thermal Efficiency – Measure, Tier 1 (%)</w:t>
            </w:r>
          </w:p>
        </w:tc>
        <w:tc>
          <w:tcPr>
            <w:tcW w:w="1710" w:type="dxa"/>
            <w:shd w:val="clear" w:color="auto" w:fill="auto"/>
            <w:noWrap/>
            <w:vAlign w:val="center"/>
          </w:tcPr>
          <w:p w14:paraId="6D599DF9" w14:textId="7A0957DF" w:rsidR="00687CE5" w:rsidRDefault="00687CE5" w:rsidP="00777422">
            <w:pPr>
              <w:spacing w:before="0" w:after="0" w:line="240" w:lineRule="auto"/>
              <w:jc w:val="right"/>
              <w:rPr>
                <w:rFonts w:cs="Calibri Light"/>
                <w:color w:val="000000"/>
                <w:sz w:val="20"/>
                <w:szCs w:val="20"/>
              </w:rPr>
            </w:pPr>
            <w:r>
              <w:rPr>
                <w:rFonts w:cs="Calibri Light"/>
                <w:color w:val="000000"/>
                <w:sz w:val="20"/>
                <w:szCs w:val="20"/>
              </w:rPr>
              <w:t>84%</w:t>
            </w:r>
          </w:p>
        </w:tc>
        <w:tc>
          <w:tcPr>
            <w:tcW w:w="5490" w:type="dxa"/>
            <w:vMerge w:val="restart"/>
            <w:shd w:val="clear" w:color="auto" w:fill="auto"/>
            <w:noWrap/>
            <w:vAlign w:val="center"/>
          </w:tcPr>
          <w:p w14:paraId="220E4E1F" w14:textId="313F936C" w:rsidR="00687CE5" w:rsidRPr="00C93D6D" w:rsidRDefault="00687CE5" w:rsidP="00621A7D">
            <w:pPr>
              <w:spacing w:before="0" w:after="0" w:line="240" w:lineRule="auto"/>
              <w:rPr>
                <w:rFonts w:eastAsia="Times New Roman" w:cs="Calibri Light"/>
                <w:sz w:val="18"/>
                <w:szCs w:val="18"/>
                <w:highlight w:val="yellow"/>
              </w:rPr>
            </w:pPr>
            <w:r w:rsidRPr="00C93D6D">
              <w:rPr>
                <w:sz w:val="18"/>
              </w:rPr>
              <w:t>Southern California Gas Company. 2012. "2013-12 - SCG - CEC Boiler Database2.xlsx." March 7.</w:t>
            </w:r>
          </w:p>
        </w:tc>
      </w:tr>
      <w:tr w:rsidR="00687CE5" w:rsidRPr="00B802FE" w14:paraId="03615D87" w14:textId="77777777" w:rsidTr="00687CE5">
        <w:trPr>
          <w:trHeight w:val="290"/>
        </w:trPr>
        <w:tc>
          <w:tcPr>
            <w:tcW w:w="2245" w:type="dxa"/>
            <w:shd w:val="clear" w:color="auto" w:fill="auto"/>
            <w:noWrap/>
            <w:vAlign w:val="center"/>
          </w:tcPr>
          <w:p w14:paraId="299FF63B" w14:textId="3CE0A0C8" w:rsidR="00687CE5" w:rsidRDefault="00687CE5" w:rsidP="00A50798">
            <w:pPr>
              <w:spacing w:before="0" w:after="0" w:line="240" w:lineRule="auto"/>
              <w:rPr>
                <w:rFonts w:eastAsia="Times New Roman" w:cs="Calibri Light"/>
                <w:sz w:val="20"/>
                <w:szCs w:val="20"/>
              </w:rPr>
            </w:pPr>
            <w:r>
              <w:rPr>
                <w:rFonts w:eastAsia="Times New Roman" w:cs="Calibri Light"/>
                <w:sz w:val="20"/>
                <w:szCs w:val="20"/>
              </w:rPr>
              <w:t>Thermal Efficiency – Measure, Tier 2 (%)</w:t>
            </w:r>
          </w:p>
        </w:tc>
        <w:tc>
          <w:tcPr>
            <w:tcW w:w="1710" w:type="dxa"/>
            <w:shd w:val="clear" w:color="auto" w:fill="auto"/>
            <w:noWrap/>
            <w:vAlign w:val="center"/>
          </w:tcPr>
          <w:p w14:paraId="12EE412A" w14:textId="7EB9D58E" w:rsidR="00687CE5" w:rsidRDefault="00687CE5" w:rsidP="00A50798">
            <w:pPr>
              <w:spacing w:before="0" w:after="0" w:line="240" w:lineRule="auto"/>
              <w:jc w:val="right"/>
              <w:rPr>
                <w:rFonts w:cs="Calibri Light"/>
                <w:color w:val="000000"/>
                <w:sz w:val="20"/>
                <w:szCs w:val="20"/>
              </w:rPr>
            </w:pPr>
            <w:r>
              <w:rPr>
                <w:rFonts w:cs="Calibri Light"/>
                <w:color w:val="000000"/>
                <w:sz w:val="20"/>
                <w:szCs w:val="20"/>
              </w:rPr>
              <w:t>90%</w:t>
            </w:r>
          </w:p>
        </w:tc>
        <w:tc>
          <w:tcPr>
            <w:tcW w:w="5490" w:type="dxa"/>
            <w:vMerge/>
            <w:shd w:val="clear" w:color="auto" w:fill="auto"/>
            <w:noWrap/>
            <w:vAlign w:val="center"/>
          </w:tcPr>
          <w:p w14:paraId="59469224" w14:textId="77777777" w:rsidR="00687CE5" w:rsidRPr="00D67FA5" w:rsidRDefault="00687CE5" w:rsidP="00A50798">
            <w:pPr>
              <w:spacing w:before="0" w:after="0" w:line="240" w:lineRule="auto"/>
              <w:rPr>
                <w:rFonts w:eastAsia="Times New Roman" w:cs="Calibri Light"/>
                <w:sz w:val="18"/>
                <w:szCs w:val="18"/>
                <w:highlight w:val="yellow"/>
              </w:rPr>
            </w:pPr>
          </w:p>
        </w:tc>
      </w:tr>
      <w:tr w:rsidR="00687CE5" w:rsidRPr="00B802FE" w14:paraId="4DB137A1" w14:textId="77777777" w:rsidTr="00687CE5">
        <w:trPr>
          <w:trHeight w:val="29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41EC0391" w14:textId="040150BA" w:rsidR="00687CE5" w:rsidRPr="00B802FE" w:rsidRDefault="00687CE5" w:rsidP="000F13ED">
            <w:pPr>
              <w:spacing w:before="0" w:after="0" w:line="240" w:lineRule="auto"/>
              <w:rPr>
                <w:rFonts w:eastAsia="Times New Roman" w:cs="Calibri Light"/>
                <w:sz w:val="20"/>
                <w:szCs w:val="20"/>
              </w:rPr>
            </w:pPr>
            <w:r w:rsidRPr="00B802FE">
              <w:rPr>
                <w:rFonts w:eastAsia="Times New Roman" w:cs="Calibri Light"/>
                <w:sz w:val="20"/>
                <w:szCs w:val="20"/>
              </w:rPr>
              <w:t xml:space="preserve">Conversion Factor </w:t>
            </w:r>
            <w:r>
              <w:rPr>
                <w:rFonts w:eastAsia="Times New Roman" w:cs="Calibri Light"/>
                <w:sz w:val="20"/>
                <w:szCs w:val="20"/>
              </w:rPr>
              <w:t xml:space="preserve">- </w:t>
            </w:r>
            <w:r w:rsidRPr="00B802FE">
              <w:rPr>
                <w:rFonts w:eastAsia="Times New Roman" w:cs="Calibri Light"/>
                <w:sz w:val="20"/>
                <w:szCs w:val="20"/>
              </w:rPr>
              <w:t>Btu/therm</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57334CDB" w14:textId="77777777" w:rsidR="00687CE5" w:rsidRPr="00897E6F" w:rsidRDefault="00687CE5" w:rsidP="000F13ED">
            <w:pPr>
              <w:spacing w:before="0" w:after="0" w:line="240" w:lineRule="auto"/>
              <w:jc w:val="right"/>
              <w:rPr>
                <w:rFonts w:cs="Calibri Light"/>
                <w:color w:val="000000"/>
                <w:sz w:val="20"/>
                <w:szCs w:val="20"/>
              </w:rPr>
            </w:pPr>
            <w:r w:rsidRPr="00897E6F">
              <w:rPr>
                <w:rFonts w:cs="Calibri Light"/>
                <w:color w:val="000000"/>
                <w:sz w:val="20"/>
                <w:szCs w:val="20"/>
              </w:rPr>
              <w:t>100,000</w:t>
            </w:r>
          </w:p>
        </w:tc>
        <w:tc>
          <w:tcPr>
            <w:tcW w:w="5490" w:type="dxa"/>
            <w:shd w:val="clear" w:color="auto" w:fill="auto"/>
            <w:noWrap/>
            <w:vAlign w:val="center"/>
          </w:tcPr>
          <w:p w14:paraId="66184F90" w14:textId="77777777" w:rsidR="00687CE5" w:rsidRPr="008C3AB7" w:rsidRDefault="00687CE5" w:rsidP="000F13ED">
            <w:pPr>
              <w:spacing w:before="0" w:after="0" w:line="240" w:lineRule="auto"/>
              <w:rPr>
                <w:rFonts w:eastAsia="Times New Roman" w:cs="Calibri Light"/>
                <w:sz w:val="18"/>
                <w:szCs w:val="18"/>
              </w:rPr>
            </w:pPr>
            <w:r w:rsidRPr="008C3AB7">
              <w:rPr>
                <w:rFonts w:eastAsia="Times New Roman" w:cs="Calibri Light"/>
                <w:sz w:val="18"/>
                <w:szCs w:val="18"/>
              </w:rPr>
              <w:t>-</w:t>
            </w:r>
          </w:p>
        </w:tc>
      </w:tr>
      <w:tr w:rsidR="00687CE5" w:rsidRPr="00B802FE" w14:paraId="2608B20B" w14:textId="77777777" w:rsidTr="00687CE5">
        <w:trPr>
          <w:trHeight w:val="29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22B0000B" w14:textId="4F45D1AE" w:rsidR="00687CE5" w:rsidRPr="00B802FE" w:rsidRDefault="00687CE5" w:rsidP="00897E6F">
            <w:pPr>
              <w:spacing w:before="0" w:after="0" w:line="240" w:lineRule="auto"/>
              <w:rPr>
                <w:rFonts w:eastAsia="Times New Roman" w:cs="Calibri Light"/>
                <w:sz w:val="20"/>
                <w:szCs w:val="20"/>
              </w:rPr>
            </w:pPr>
            <w:r w:rsidRPr="00B802FE">
              <w:rPr>
                <w:rFonts w:eastAsia="Times New Roman" w:cs="Calibri Light"/>
                <w:sz w:val="20"/>
                <w:szCs w:val="20"/>
              </w:rPr>
              <w:t xml:space="preserve">Conversion Factor </w:t>
            </w:r>
            <w:r>
              <w:rPr>
                <w:rFonts w:eastAsia="Times New Roman" w:cs="Calibri Light"/>
                <w:sz w:val="20"/>
                <w:szCs w:val="20"/>
              </w:rPr>
              <w:t xml:space="preserve">- </w:t>
            </w:r>
            <w:r w:rsidRPr="00B802FE">
              <w:rPr>
                <w:rFonts w:eastAsia="Times New Roman" w:cs="Calibri Light"/>
                <w:sz w:val="20"/>
                <w:szCs w:val="20"/>
              </w:rPr>
              <w:t>min/</w:t>
            </w:r>
            <w:proofErr w:type="spellStart"/>
            <w:r w:rsidRPr="00B802FE">
              <w:rPr>
                <w:rFonts w:eastAsia="Times New Roman" w:cs="Calibri Light"/>
                <w:sz w:val="20"/>
                <w:szCs w:val="20"/>
              </w:rPr>
              <w:t>hr</w:t>
            </w:r>
            <w:proofErr w:type="spellEnd"/>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411C5631" w14:textId="77777777" w:rsidR="00687CE5" w:rsidRPr="00897E6F" w:rsidRDefault="00687CE5" w:rsidP="00897E6F">
            <w:pPr>
              <w:spacing w:before="0" w:after="0" w:line="240" w:lineRule="auto"/>
              <w:jc w:val="right"/>
              <w:rPr>
                <w:rFonts w:cs="Calibri Light"/>
                <w:color w:val="000000"/>
                <w:sz w:val="20"/>
                <w:szCs w:val="20"/>
              </w:rPr>
            </w:pPr>
            <w:r w:rsidRPr="00897E6F">
              <w:rPr>
                <w:rFonts w:cs="Calibri Light"/>
                <w:color w:val="000000"/>
                <w:sz w:val="20"/>
                <w:szCs w:val="20"/>
              </w:rPr>
              <w:t xml:space="preserve">60 </w:t>
            </w:r>
          </w:p>
        </w:tc>
        <w:tc>
          <w:tcPr>
            <w:tcW w:w="5490" w:type="dxa"/>
            <w:shd w:val="clear" w:color="auto" w:fill="auto"/>
            <w:noWrap/>
            <w:vAlign w:val="center"/>
          </w:tcPr>
          <w:p w14:paraId="7723733C" w14:textId="77777777" w:rsidR="00687CE5" w:rsidRPr="008C3AB7" w:rsidRDefault="00687CE5" w:rsidP="00897E6F">
            <w:pPr>
              <w:spacing w:before="0" w:after="0" w:line="240" w:lineRule="auto"/>
              <w:rPr>
                <w:rFonts w:eastAsia="Times New Roman" w:cs="Calibri Light"/>
                <w:sz w:val="18"/>
                <w:szCs w:val="18"/>
              </w:rPr>
            </w:pPr>
            <w:r w:rsidRPr="008C3AB7">
              <w:rPr>
                <w:rFonts w:eastAsia="Times New Roman" w:cs="Calibri Light"/>
                <w:sz w:val="18"/>
                <w:szCs w:val="18"/>
              </w:rPr>
              <w:t>-</w:t>
            </w:r>
          </w:p>
        </w:tc>
      </w:tr>
      <w:tr w:rsidR="00687CE5" w:rsidRPr="00B802FE" w14:paraId="5D713294" w14:textId="77777777" w:rsidTr="00687CE5">
        <w:trPr>
          <w:trHeight w:val="290"/>
        </w:trPr>
        <w:tc>
          <w:tcPr>
            <w:tcW w:w="22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35E8E872" w14:textId="71AADC1B" w:rsidR="00687CE5" w:rsidRPr="00B802FE" w:rsidRDefault="00687CE5" w:rsidP="000F13ED">
            <w:pPr>
              <w:spacing w:before="0" w:after="0" w:line="240" w:lineRule="auto"/>
              <w:rPr>
                <w:rFonts w:eastAsia="Times New Roman" w:cs="Calibri Light"/>
                <w:sz w:val="20"/>
                <w:szCs w:val="20"/>
              </w:rPr>
            </w:pPr>
            <w:r w:rsidRPr="00B802FE">
              <w:rPr>
                <w:rFonts w:eastAsia="Times New Roman" w:cs="Calibri Light"/>
                <w:sz w:val="20"/>
                <w:szCs w:val="20"/>
              </w:rPr>
              <w:t>Conversion Factor Btu/</w:t>
            </w:r>
            <w:proofErr w:type="spellStart"/>
            <w:r w:rsidRPr="00B802FE">
              <w:rPr>
                <w:rFonts w:eastAsia="Times New Roman" w:cs="Calibri Light"/>
                <w:sz w:val="20"/>
                <w:szCs w:val="20"/>
              </w:rPr>
              <w:t>kBtu</w:t>
            </w:r>
            <w:proofErr w:type="spellEnd"/>
            <w:r w:rsidRPr="00B802FE">
              <w:rPr>
                <w:rFonts w:eastAsia="Times New Roman" w:cs="Calibri Light"/>
                <w:sz w:val="20"/>
                <w:szCs w:val="20"/>
              </w:rPr>
              <w:t xml:space="preserve"> </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4468B7DD" w14:textId="77777777" w:rsidR="00687CE5" w:rsidRPr="00897E6F" w:rsidRDefault="00687CE5" w:rsidP="000F13ED">
            <w:pPr>
              <w:spacing w:before="0" w:after="0" w:line="240" w:lineRule="auto"/>
              <w:jc w:val="right"/>
              <w:rPr>
                <w:rFonts w:cs="Calibri Light"/>
                <w:color w:val="000000"/>
                <w:sz w:val="20"/>
                <w:szCs w:val="20"/>
              </w:rPr>
            </w:pPr>
            <w:r w:rsidRPr="00897E6F">
              <w:rPr>
                <w:rFonts w:cs="Calibri Light"/>
                <w:color w:val="000000"/>
                <w:sz w:val="20"/>
                <w:szCs w:val="20"/>
              </w:rPr>
              <w:t>1,000</w:t>
            </w:r>
          </w:p>
        </w:tc>
        <w:tc>
          <w:tcPr>
            <w:tcW w:w="5490" w:type="dxa"/>
            <w:shd w:val="clear" w:color="auto" w:fill="auto"/>
            <w:noWrap/>
            <w:vAlign w:val="center"/>
          </w:tcPr>
          <w:p w14:paraId="00627D65" w14:textId="77777777" w:rsidR="00687CE5" w:rsidRPr="008C3AB7" w:rsidRDefault="00687CE5" w:rsidP="000F13ED">
            <w:pPr>
              <w:spacing w:before="0" w:after="0" w:line="240" w:lineRule="auto"/>
              <w:rPr>
                <w:rFonts w:eastAsia="Times New Roman" w:cs="Calibri Light"/>
                <w:sz w:val="18"/>
                <w:szCs w:val="18"/>
              </w:rPr>
            </w:pPr>
            <w:r w:rsidRPr="008C3AB7">
              <w:rPr>
                <w:rFonts w:eastAsia="Times New Roman" w:cs="Calibri Light"/>
                <w:sz w:val="18"/>
                <w:szCs w:val="18"/>
              </w:rPr>
              <w:t>-</w:t>
            </w:r>
          </w:p>
        </w:tc>
      </w:tr>
    </w:tbl>
    <w:p w14:paraId="79CF0212" w14:textId="77777777" w:rsidR="00B822A2" w:rsidRDefault="00B822A2" w:rsidP="00B72ADC"/>
    <w:p w14:paraId="4DDCD51F" w14:textId="4A90B0B0" w:rsidR="007D230B" w:rsidRPr="004B06E3" w:rsidRDefault="00245AFF" w:rsidP="00777422">
      <w:pPr>
        <w:pStyle w:val="eTRMHeading3"/>
      </w:pPr>
      <w:bookmarkStart w:id="57" w:name="_Toc1723493"/>
      <w:bookmarkStart w:id="58" w:name="_Toc486490859"/>
      <w:bookmarkStart w:id="59" w:name="_Toc486580930"/>
      <w:r w:rsidRPr="004B06E3">
        <w:t>Life Cycle</w:t>
      </w:r>
      <w:bookmarkEnd w:id="57"/>
      <w:r w:rsidR="007D230B" w:rsidRPr="004B06E3">
        <w:t xml:space="preserve"> </w:t>
      </w:r>
      <w:bookmarkEnd w:id="58"/>
      <w:bookmarkEnd w:id="59"/>
    </w:p>
    <w:p w14:paraId="5BA94C9B" w14:textId="77777777" w:rsidR="00590848" w:rsidRDefault="00590848" w:rsidP="00590848">
      <w:r w:rsidRPr="000F211A">
        <w:t xml:space="preserve">Effective Useful Life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w:t>
      </w:r>
      <w:r>
        <w:t xml:space="preserve">EUL is often, but not always, derived from measure persistence or retention studies. </w:t>
      </w:r>
      <w:r w:rsidRPr="000F211A">
        <w:t xml:space="preserve">Remaining Useful Life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 </w:t>
      </w:r>
    </w:p>
    <w:p w14:paraId="08ECC9ED" w14:textId="4AAF3E6A" w:rsidR="00590848" w:rsidRDefault="00590848" w:rsidP="00590848">
      <w:r>
        <w:t xml:space="preserve">The EUL specified for </w:t>
      </w:r>
      <w:r w:rsidR="008546DD">
        <w:t>this boiler measure</w:t>
      </w:r>
      <w:r w:rsidR="00020218">
        <w:t xml:space="preserve"> </w:t>
      </w:r>
      <w:r>
        <w:t xml:space="preserve">is </w:t>
      </w:r>
      <w:r w:rsidR="00A0758A">
        <w:t>specified below</w:t>
      </w:r>
      <w:r>
        <w:t xml:space="preserve">. </w:t>
      </w:r>
      <w:r w:rsidR="00840BCF">
        <w:t xml:space="preserve">Note that RUL is only applicable for </w:t>
      </w:r>
      <w:r w:rsidR="00A0758A">
        <w:t xml:space="preserve">add-on equipment </w:t>
      </w:r>
      <w:r w:rsidR="00840BCF">
        <w:t xml:space="preserve">and </w:t>
      </w:r>
      <w:r w:rsidR="00A0758A">
        <w:t>accelerate</w:t>
      </w:r>
      <w:r w:rsidR="00840BCF">
        <w:t xml:space="preserve"> replacement </w:t>
      </w:r>
      <w:r w:rsidR="00A0758A">
        <w:t>installations</w:t>
      </w:r>
      <w:r w:rsidR="00840BCF">
        <w:t xml:space="preserve"> and is not applicable for this measure.</w:t>
      </w:r>
    </w:p>
    <w:p w14:paraId="7D542FEF" w14:textId="5A2D0AFA" w:rsidR="00FD2C54" w:rsidRPr="00920905" w:rsidRDefault="00FD2C54" w:rsidP="00187521">
      <w:pPr>
        <w:pStyle w:val="Caption"/>
      </w:pPr>
      <w:r>
        <w:t>Effective Useful Life</w:t>
      </w:r>
      <w:r w:rsidR="00897E6F">
        <w:t xml:space="preserve"> and Remaining Useful </w:t>
      </w:r>
      <w:proofErr w:type="spellStart"/>
      <w:r w:rsidR="00897E6F">
        <w:t>LIfe</w:t>
      </w:r>
      <w:proofErr w:type="spellEnd"/>
    </w:p>
    <w:tbl>
      <w:tblPr>
        <w:tblW w:w="951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620"/>
        <w:gridCol w:w="1440"/>
        <w:gridCol w:w="6450"/>
      </w:tblGrid>
      <w:tr w:rsidR="00975B91" w:rsidRPr="00052C24" w14:paraId="7BA58394" w14:textId="77777777" w:rsidTr="00975B91">
        <w:tc>
          <w:tcPr>
            <w:tcW w:w="1620" w:type="dxa"/>
            <w:shd w:val="clear" w:color="auto" w:fill="F2F2F2" w:themeFill="background1" w:themeFillShade="F2"/>
            <w:vAlign w:val="bottom"/>
          </w:tcPr>
          <w:p w14:paraId="608C89BF" w14:textId="77777777" w:rsidR="00975B91" w:rsidRPr="00052C24" w:rsidRDefault="00975B91" w:rsidP="00975B91">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0A8D4A5E" w14:textId="7661DB88" w:rsidR="00975B91" w:rsidRPr="00052C24" w:rsidRDefault="00B02DFD" w:rsidP="00975B91">
            <w:pPr>
              <w:keepNext/>
              <w:keepLines/>
              <w:spacing w:before="0" w:after="0" w:line="200" w:lineRule="atLeast"/>
              <w:jc w:val="center"/>
              <w:rPr>
                <w:b/>
                <w:sz w:val="20"/>
              </w:rPr>
            </w:pPr>
            <w:r>
              <w:rPr>
                <w:b/>
                <w:sz w:val="20"/>
              </w:rPr>
              <w:t>Value</w:t>
            </w:r>
          </w:p>
        </w:tc>
        <w:tc>
          <w:tcPr>
            <w:tcW w:w="6450" w:type="dxa"/>
            <w:shd w:val="clear" w:color="auto" w:fill="F2F2F2" w:themeFill="background1" w:themeFillShade="F2"/>
            <w:vAlign w:val="bottom"/>
          </w:tcPr>
          <w:p w14:paraId="3D803CB3" w14:textId="77777777" w:rsidR="00975B91" w:rsidRDefault="00975B91" w:rsidP="00975B91">
            <w:pPr>
              <w:keepNext/>
              <w:keepLines/>
              <w:spacing w:before="0" w:after="0" w:line="200" w:lineRule="atLeast"/>
              <w:jc w:val="center"/>
              <w:rPr>
                <w:b/>
                <w:sz w:val="20"/>
              </w:rPr>
            </w:pPr>
            <w:r>
              <w:rPr>
                <w:b/>
                <w:sz w:val="20"/>
              </w:rPr>
              <w:t>Source</w:t>
            </w:r>
          </w:p>
        </w:tc>
      </w:tr>
      <w:tr w:rsidR="00975B91" w:rsidRPr="00052C24" w14:paraId="539F925A" w14:textId="77777777" w:rsidTr="00975B91">
        <w:trPr>
          <w:trHeight w:val="260"/>
        </w:trPr>
        <w:tc>
          <w:tcPr>
            <w:tcW w:w="1620" w:type="dxa"/>
            <w:vAlign w:val="center"/>
          </w:tcPr>
          <w:p w14:paraId="17B5BBD4" w14:textId="77777777" w:rsidR="00975B91" w:rsidRPr="00C45400" w:rsidRDefault="00975B91" w:rsidP="00975B91">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tc>
        <w:tc>
          <w:tcPr>
            <w:tcW w:w="1440" w:type="dxa"/>
            <w:shd w:val="clear" w:color="auto" w:fill="auto"/>
            <w:vAlign w:val="center"/>
          </w:tcPr>
          <w:p w14:paraId="31F37F9F" w14:textId="0D186059" w:rsidR="00975B91" w:rsidRPr="00A0758A" w:rsidRDefault="008179F8" w:rsidP="00975B91">
            <w:pPr>
              <w:keepNext/>
              <w:keepLines/>
              <w:spacing w:before="0" w:after="0" w:line="200" w:lineRule="atLeast"/>
              <w:jc w:val="center"/>
              <w:rPr>
                <w:sz w:val="20"/>
              </w:rPr>
            </w:pPr>
            <w:r w:rsidRPr="00A0758A">
              <w:rPr>
                <w:sz w:val="20"/>
              </w:rPr>
              <w:t>20</w:t>
            </w:r>
            <w:r w:rsidR="00A724B6" w:rsidRPr="00A0758A">
              <w:rPr>
                <w:sz w:val="20"/>
              </w:rPr>
              <w:t>.0</w:t>
            </w:r>
          </w:p>
        </w:tc>
        <w:tc>
          <w:tcPr>
            <w:tcW w:w="6450" w:type="dxa"/>
            <w:vAlign w:val="center"/>
          </w:tcPr>
          <w:p w14:paraId="22EC0599" w14:textId="7B1EFB12" w:rsidR="00975B91" w:rsidRPr="00621A7D" w:rsidRDefault="00A724B6" w:rsidP="00975B91">
            <w:pPr>
              <w:keepNext/>
              <w:keepLines/>
              <w:spacing w:before="0" w:after="0" w:line="240" w:lineRule="auto"/>
              <w:rPr>
                <w:rFonts w:eastAsia="Times New Roman" w:cs="Times New Roman"/>
                <w:color w:val="000000"/>
                <w:sz w:val="18"/>
                <w:szCs w:val="18"/>
                <w:highlight w:val="yellow"/>
              </w:rPr>
            </w:pPr>
            <w:r w:rsidRPr="00621A7D">
              <w:rPr>
                <w:sz w:val="18"/>
                <w:szCs w:val="18"/>
              </w:rPr>
              <w:t>California Public Utilities Commission (CPUC). 2014. “DEER2014-EUL-table-update_2014-02-05.xlsx.”</w:t>
            </w:r>
          </w:p>
        </w:tc>
      </w:tr>
      <w:tr w:rsidR="00975B91" w:rsidRPr="00052C24" w14:paraId="19183592" w14:textId="77777777" w:rsidTr="00975B91">
        <w:tc>
          <w:tcPr>
            <w:tcW w:w="1620" w:type="dxa"/>
            <w:vAlign w:val="center"/>
          </w:tcPr>
          <w:p w14:paraId="2BBE6362" w14:textId="77777777" w:rsidR="00975B91" w:rsidRPr="00C45400" w:rsidRDefault="00975B91" w:rsidP="00975B91">
            <w:pPr>
              <w:keepNext/>
              <w:keepLines/>
              <w:spacing w:before="0" w:after="0" w:line="200" w:lineRule="atLeast"/>
              <w:rPr>
                <w:sz w:val="20"/>
              </w:rPr>
            </w:pPr>
            <w:r w:rsidRPr="00C45400">
              <w:rPr>
                <w:sz w:val="20"/>
              </w:rPr>
              <w:t>RUL (</w:t>
            </w:r>
            <w:proofErr w:type="spellStart"/>
            <w:r w:rsidRPr="00C45400">
              <w:rPr>
                <w:sz w:val="20"/>
              </w:rPr>
              <w:t>yrs</w:t>
            </w:r>
            <w:proofErr w:type="spellEnd"/>
            <w:r w:rsidRPr="00C45400">
              <w:rPr>
                <w:sz w:val="20"/>
              </w:rPr>
              <w:t>)</w:t>
            </w:r>
          </w:p>
        </w:tc>
        <w:tc>
          <w:tcPr>
            <w:tcW w:w="1440" w:type="dxa"/>
            <w:shd w:val="clear" w:color="auto" w:fill="auto"/>
            <w:vAlign w:val="center"/>
          </w:tcPr>
          <w:p w14:paraId="41F77487" w14:textId="77777777" w:rsidR="00975B91" w:rsidRPr="00A0758A" w:rsidRDefault="00975B91" w:rsidP="00975B91">
            <w:pPr>
              <w:keepNext/>
              <w:keepLines/>
              <w:spacing w:before="0" w:after="0" w:line="200" w:lineRule="atLeast"/>
              <w:jc w:val="center"/>
              <w:rPr>
                <w:sz w:val="20"/>
              </w:rPr>
            </w:pPr>
            <w:r w:rsidRPr="00A0758A">
              <w:rPr>
                <w:sz w:val="20"/>
              </w:rPr>
              <w:t>n/a</w:t>
            </w:r>
          </w:p>
        </w:tc>
        <w:tc>
          <w:tcPr>
            <w:tcW w:w="6450" w:type="dxa"/>
            <w:vAlign w:val="center"/>
          </w:tcPr>
          <w:p w14:paraId="668F0DFB" w14:textId="77777777" w:rsidR="00975B91" w:rsidRPr="00621A7D" w:rsidRDefault="00975B91" w:rsidP="00975B91">
            <w:pPr>
              <w:keepNext/>
              <w:keepLines/>
              <w:spacing w:before="0" w:after="0" w:line="240" w:lineRule="auto"/>
              <w:rPr>
                <w:rFonts w:eastAsia="Times New Roman" w:cs="Times New Roman"/>
                <w:color w:val="000000"/>
                <w:sz w:val="18"/>
                <w:szCs w:val="18"/>
              </w:rPr>
            </w:pPr>
            <w:r w:rsidRPr="00621A7D">
              <w:rPr>
                <w:sz w:val="18"/>
                <w:szCs w:val="18"/>
              </w:rPr>
              <w:t>n/a</w:t>
            </w:r>
          </w:p>
        </w:tc>
      </w:tr>
    </w:tbl>
    <w:p w14:paraId="21BBC22B" w14:textId="77777777" w:rsidR="007D230B" w:rsidRPr="004B06E3" w:rsidRDefault="007D230B" w:rsidP="004142EF"/>
    <w:p w14:paraId="3B14B593" w14:textId="77777777" w:rsidR="007D230B" w:rsidRPr="004B06E3" w:rsidRDefault="007D230B" w:rsidP="00777422">
      <w:pPr>
        <w:pStyle w:val="eTRMHeading3"/>
      </w:pPr>
      <w:bookmarkStart w:id="60" w:name="_Toc486490860"/>
      <w:bookmarkStart w:id="61" w:name="_Toc486580931"/>
      <w:bookmarkStart w:id="62" w:name="_Toc1723494"/>
      <w:r w:rsidRPr="004B06E3">
        <w:t>Base Case Material Cost ($/unit)</w:t>
      </w:r>
      <w:bookmarkEnd w:id="60"/>
      <w:bookmarkEnd w:id="61"/>
      <w:bookmarkEnd w:id="62"/>
    </w:p>
    <w:p w14:paraId="6765819C" w14:textId="502A753C" w:rsidR="00E15183" w:rsidRDefault="00D07117" w:rsidP="008546DD">
      <w:r w:rsidRPr="003379B6">
        <w:t>A customer who is</w:t>
      </w:r>
      <w:r w:rsidR="00622869" w:rsidRPr="003379B6">
        <w:t xml:space="preserve"> replacing equipment on burnout (ROB) must buy a new boiler to continue </w:t>
      </w:r>
      <w:r w:rsidRPr="003379B6">
        <w:t>operations</w:t>
      </w:r>
      <w:r w:rsidR="00622869" w:rsidRPr="003379B6">
        <w:t>, so the base case cost is that of a base</w:t>
      </w:r>
      <w:r w:rsidRPr="003379B6">
        <w:t xml:space="preserve"> case </w:t>
      </w:r>
      <w:r w:rsidR="00622869" w:rsidRPr="003379B6">
        <w:t>(standard) boiler.</w:t>
      </w:r>
      <w:r w:rsidR="00456B90" w:rsidRPr="003379B6">
        <w:t xml:space="preserve"> </w:t>
      </w:r>
      <w:r w:rsidR="00E15183" w:rsidRPr="003379B6">
        <w:t xml:space="preserve">Cost data </w:t>
      </w:r>
      <w:r w:rsidR="008546DD" w:rsidRPr="003379B6">
        <w:t>was derived from</w:t>
      </w:r>
      <w:r w:rsidR="00D35805" w:rsidRPr="003379B6">
        <w:t xml:space="preserve"> the Technical Support Document (TSD) for the U.S. Department of Energy</w:t>
      </w:r>
      <w:r w:rsidR="008546DD" w:rsidRPr="003379B6">
        <w:t xml:space="preserve"> </w:t>
      </w:r>
      <w:r w:rsidR="003014E3" w:rsidRPr="003379B6">
        <w:t>Commercial Water H</w:t>
      </w:r>
      <w:r w:rsidR="00E15183" w:rsidRPr="003379B6">
        <w:t xml:space="preserve">eating Equipment </w:t>
      </w:r>
      <w:r w:rsidR="00D35805" w:rsidRPr="003379B6">
        <w:lastRenderedPageBreak/>
        <w:t xml:space="preserve">docket </w:t>
      </w:r>
      <w:r w:rsidR="00E15183" w:rsidRPr="003379B6">
        <w:t>(EERE-2014-BT-STD-0042)</w:t>
      </w:r>
      <w:r w:rsidR="008546DD" w:rsidRPr="003379B6">
        <w:t>.</w:t>
      </w:r>
      <w:r w:rsidR="00D45BBF" w:rsidRPr="003379B6">
        <w:rPr>
          <w:rStyle w:val="FootnoteReference"/>
        </w:rPr>
        <w:footnoteReference w:id="10"/>
      </w:r>
      <w:r w:rsidR="003379B6" w:rsidRPr="003379B6">
        <w:rPr>
          <w:vertAlign w:val="superscript"/>
        </w:rPr>
        <w:t>,</w:t>
      </w:r>
      <w:r w:rsidR="008546DD" w:rsidRPr="003379B6">
        <w:t xml:space="preserve"> </w:t>
      </w:r>
      <w:r w:rsidR="00E15183" w:rsidRPr="003379B6">
        <w:t>Condensing water</w:t>
      </w:r>
      <w:r w:rsidR="00E15183">
        <w:t xml:space="preserve"> heaters typically use </w:t>
      </w:r>
      <w:r w:rsidR="008546DD">
        <w:t>PVC</w:t>
      </w:r>
      <w:r w:rsidR="00E15183">
        <w:t xml:space="preserve"> for venting flue exhaust which is cheaper and easier to install than sheet metal used for non-condensing water heaters</w:t>
      </w:r>
      <w:r w:rsidR="008546DD">
        <w:t xml:space="preserve">. </w:t>
      </w:r>
      <w:r w:rsidR="00E15183">
        <w:t xml:space="preserve">The cost difference in venting material and installation is captured in the </w:t>
      </w:r>
      <w:r w:rsidR="00D35805">
        <w:t>TSD</w:t>
      </w:r>
      <w:r w:rsidR="00E15183">
        <w:t xml:space="preserve">. </w:t>
      </w:r>
    </w:p>
    <w:p w14:paraId="3B18F19C" w14:textId="71736A78" w:rsidR="00E15183" w:rsidRPr="00BE6387" w:rsidRDefault="00456B90" w:rsidP="00E15183">
      <w:r>
        <w:t xml:space="preserve">The </w:t>
      </w:r>
      <w:r w:rsidR="00E15183">
        <w:t xml:space="preserve">TSD reports the total installed cost for large tankless/boiler water heaters as the sum of equipment retail price and the installation </w:t>
      </w:r>
      <w:r w:rsidR="00C91FBA">
        <w:t>cost but</w:t>
      </w:r>
      <w:r w:rsidR="00E15183">
        <w:t xml:space="preserve"> does not present the exact equipment retail and installation cost</w:t>
      </w:r>
      <w:r w:rsidR="008546DD">
        <w:t xml:space="preserve"> values used in the summation. </w:t>
      </w:r>
      <w:r w:rsidR="00E15183">
        <w:t>The large tankless/boiler water heaters are reported as one single cost value.</w:t>
      </w:r>
    </w:p>
    <w:p w14:paraId="419927B4" w14:textId="7064AF81" w:rsidR="00E15183" w:rsidRDefault="00E73505" w:rsidP="004142EF">
      <w:r w:rsidRPr="0000561E">
        <w:t xml:space="preserve">Both online vendor cost survey and the </w:t>
      </w:r>
      <w:r>
        <w:t xml:space="preserve">2010-2012 </w:t>
      </w:r>
      <w:r w:rsidRPr="0000561E">
        <w:t xml:space="preserve">Ex Ante Measure Cost Study </w:t>
      </w:r>
      <w:r>
        <w:t xml:space="preserve">conducted by Itron, Inc. </w:t>
      </w:r>
      <w:r w:rsidRPr="0000561E">
        <w:t xml:space="preserve">were </w:t>
      </w:r>
      <w:r>
        <w:t>considered</w:t>
      </w:r>
      <w:r w:rsidRPr="0000561E">
        <w:t xml:space="preserve"> w</w:t>
      </w:r>
      <w:r>
        <w:t xml:space="preserve">hile developing the cost data. </w:t>
      </w:r>
      <w:r w:rsidRPr="0000561E">
        <w:t>Vendor cost survey provided a reference point for product cost but did not provide sufficient data for installation cost due to the</w:t>
      </w:r>
      <w:r>
        <w:t xml:space="preserve"> various installation set-ups. </w:t>
      </w:r>
      <w:r w:rsidRPr="0000561E">
        <w:t xml:space="preserve">The Measure Cost Study did not appear to take ultra-low NOx production cost into consideration for gas </w:t>
      </w:r>
      <w:r>
        <w:t xml:space="preserve">tankless water heaters. </w:t>
      </w:r>
      <w:r w:rsidRPr="0000561E">
        <w:t>Air quality regulations were only mentioned in the study in</w:t>
      </w:r>
      <w:r>
        <w:t xml:space="preserve"> reference to boiler projects. </w:t>
      </w:r>
      <w:r w:rsidRPr="0000561E">
        <w:t>Due to thorough investigation of water heater cost and installation set-</w:t>
      </w:r>
      <w:r>
        <w:t>ups, including updated cost for</w:t>
      </w:r>
      <w:r w:rsidRPr="0000561E">
        <w:t xml:space="preserve"> </w:t>
      </w:r>
      <w:r>
        <w:t xml:space="preserve">large </w:t>
      </w:r>
      <w:r w:rsidRPr="0000561E">
        <w:t>water heaters, the TSDs were used for final cost data.</w:t>
      </w:r>
    </w:p>
    <w:p w14:paraId="61ADEB96" w14:textId="77777777" w:rsidR="00E73505" w:rsidRPr="004B06E3" w:rsidRDefault="00E73505" w:rsidP="004142EF"/>
    <w:p w14:paraId="44E8DBEB" w14:textId="77777777" w:rsidR="007D230B" w:rsidRPr="004B06E3" w:rsidRDefault="007D230B" w:rsidP="00777422">
      <w:pPr>
        <w:pStyle w:val="eTRMHeading3"/>
      </w:pPr>
      <w:bookmarkStart w:id="63" w:name="_Toc486490861"/>
      <w:bookmarkStart w:id="64" w:name="_Toc486580932"/>
      <w:bookmarkStart w:id="65" w:name="_Toc1723495"/>
      <w:r w:rsidRPr="004B06E3">
        <w:t>Measure Case Material Cost ($/unit)</w:t>
      </w:r>
      <w:bookmarkEnd w:id="63"/>
      <w:bookmarkEnd w:id="64"/>
      <w:bookmarkEnd w:id="65"/>
    </w:p>
    <w:p w14:paraId="637CA934" w14:textId="73C86956" w:rsidR="00CE51A0" w:rsidRDefault="00C93D6D" w:rsidP="00CE51A0">
      <w:r>
        <w:t>Measure case c</w:t>
      </w:r>
      <w:r w:rsidR="00CE51A0" w:rsidRPr="003379B6">
        <w:t>ost data was derived from the Technical Support Document (TSD) for the U.S. Department of Energy Commercial Water Heating Equipment docket (EERE-2014-BT-STD-0042).</w:t>
      </w:r>
      <w:r w:rsidR="00CE51A0" w:rsidRPr="003379B6">
        <w:rPr>
          <w:rStyle w:val="FootnoteReference"/>
        </w:rPr>
        <w:footnoteReference w:id="11"/>
      </w:r>
      <w:r w:rsidR="00CE51A0" w:rsidRPr="003379B6">
        <w:t xml:space="preserve"> Condensing water</w:t>
      </w:r>
      <w:r w:rsidR="00CE51A0">
        <w:t xml:space="preserve"> heaters typically use PVC for venting flue exhaust which is cheaper and easier to install than sheet metal used for non-condensing water heaters. The cost difference in venting material and installation is captured in the TSD. </w:t>
      </w:r>
    </w:p>
    <w:p w14:paraId="407422C2" w14:textId="77777777" w:rsidR="00CE51A0" w:rsidRPr="00BE6387" w:rsidRDefault="00CE51A0" w:rsidP="00CE51A0">
      <w:r>
        <w:t>The TSD reports the total installed cost for large tankless/boiler water heaters as the sum of equipment retail price and the installation cost but does not present the exact equipment retail and installation cost values used in the summation. The large tankless/boiler water heaters are reported as one single cost value.</w:t>
      </w:r>
    </w:p>
    <w:p w14:paraId="1BB8EDF3" w14:textId="605FA794" w:rsidR="00622869" w:rsidRDefault="00E73505" w:rsidP="004142EF">
      <w:r w:rsidRPr="0000561E">
        <w:t xml:space="preserve">Both online vendor cost survey and the </w:t>
      </w:r>
      <w:r>
        <w:t xml:space="preserve">2010-2012 </w:t>
      </w:r>
      <w:r w:rsidRPr="0000561E">
        <w:t xml:space="preserve">Ex Ante Measure Cost Study </w:t>
      </w:r>
      <w:r>
        <w:t xml:space="preserve">conducted by Itron, Inc. </w:t>
      </w:r>
      <w:r w:rsidRPr="0000561E">
        <w:t xml:space="preserve">were </w:t>
      </w:r>
      <w:r>
        <w:t>considered</w:t>
      </w:r>
      <w:r w:rsidRPr="0000561E">
        <w:t xml:space="preserve"> w</w:t>
      </w:r>
      <w:r>
        <w:t xml:space="preserve">hile developing the cost data. </w:t>
      </w:r>
      <w:r w:rsidRPr="0000561E">
        <w:t>Vendor cost survey provided a reference point for product cost but did not provide sufficient data for installation cost due to the</w:t>
      </w:r>
      <w:r>
        <w:t xml:space="preserve"> various installation set-ups. </w:t>
      </w:r>
      <w:r w:rsidRPr="0000561E">
        <w:t xml:space="preserve">The Measure Cost Study did not appear to take ultra-low NOx production cost into consideration for gas </w:t>
      </w:r>
      <w:r>
        <w:t xml:space="preserve">tankless water heaters. </w:t>
      </w:r>
      <w:r w:rsidRPr="0000561E">
        <w:t>Air quality regulations were only mentioned in the study in</w:t>
      </w:r>
      <w:r>
        <w:t xml:space="preserve"> reference to boiler </w:t>
      </w:r>
      <w:r>
        <w:lastRenderedPageBreak/>
        <w:t xml:space="preserve">projects. </w:t>
      </w:r>
      <w:r w:rsidRPr="0000561E">
        <w:t>Due to thorough investigation of water heater cost and installation set-</w:t>
      </w:r>
      <w:r>
        <w:t>ups, including updated cost for</w:t>
      </w:r>
      <w:r w:rsidRPr="0000561E">
        <w:t xml:space="preserve"> </w:t>
      </w:r>
      <w:r>
        <w:t xml:space="preserve">large </w:t>
      </w:r>
      <w:r w:rsidRPr="0000561E">
        <w:t>water heaters, the TSDs were used for final cost data.</w:t>
      </w:r>
    </w:p>
    <w:p w14:paraId="6E044170" w14:textId="77777777" w:rsidR="00A0758A" w:rsidRDefault="00A0758A" w:rsidP="00A0758A"/>
    <w:p w14:paraId="3EE70CBA" w14:textId="2647A976" w:rsidR="00A0758A" w:rsidRPr="004B06E3" w:rsidRDefault="00A0758A" w:rsidP="00A0758A">
      <w:pPr>
        <w:pStyle w:val="eTRMHeading3"/>
      </w:pPr>
      <w:bookmarkStart w:id="66" w:name="_Toc1723496"/>
      <w:r>
        <w:t xml:space="preserve">Base Case </w:t>
      </w:r>
      <w:r w:rsidRPr="004B06E3">
        <w:t>Labor Cost ($/unit)</w:t>
      </w:r>
      <w:bookmarkEnd w:id="66"/>
    </w:p>
    <w:p w14:paraId="687AC719" w14:textId="7A46CD5A" w:rsidR="00A0758A" w:rsidRPr="002D2D62" w:rsidRDefault="0071180A" w:rsidP="00A0758A">
      <w:pPr>
        <w:rPr>
          <w:rFonts w:cs="Arial"/>
          <w:szCs w:val="22"/>
        </w:rPr>
      </w:pPr>
      <w:r>
        <w:rPr>
          <w:rFonts w:cs="Arial"/>
          <w:szCs w:val="22"/>
        </w:rPr>
        <w:t>Base case i</w:t>
      </w:r>
      <w:r w:rsidR="00A0758A" w:rsidRPr="002D2D62">
        <w:rPr>
          <w:rFonts w:cs="Arial"/>
          <w:szCs w:val="22"/>
        </w:rPr>
        <w:t xml:space="preserve">nstallation labor costs are embedded in the base case costs </w:t>
      </w:r>
      <w:r>
        <w:rPr>
          <w:rFonts w:cs="Arial"/>
          <w:szCs w:val="22"/>
        </w:rPr>
        <w:t>described in the Base Case Material Cost.</w:t>
      </w:r>
    </w:p>
    <w:p w14:paraId="50ACB66D" w14:textId="77777777" w:rsidR="00E73505" w:rsidRPr="004B06E3" w:rsidRDefault="00E73505" w:rsidP="004142EF"/>
    <w:p w14:paraId="02691007" w14:textId="053F5F33" w:rsidR="007D230B" w:rsidRPr="004B06E3" w:rsidRDefault="00A0758A" w:rsidP="00777422">
      <w:pPr>
        <w:pStyle w:val="eTRMHeading3"/>
      </w:pPr>
      <w:bookmarkStart w:id="67" w:name="_Toc486490862"/>
      <w:bookmarkStart w:id="68" w:name="_Toc486580933"/>
      <w:bookmarkStart w:id="69" w:name="_Toc1723497"/>
      <w:r>
        <w:t xml:space="preserve">Measure Case </w:t>
      </w:r>
      <w:r w:rsidR="007D230B" w:rsidRPr="004B06E3">
        <w:t>Labor Cost ($/unit)</w:t>
      </w:r>
      <w:bookmarkEnd w:id="67"/>
      <w:bookmarkEnd w:id="68"/>
      <w:bookmarkEnd w:id="69"/>
    </w:p>
    <w:p w14:paraId="1DD576E8" w14:textId="62AF6DF7" w:rsidR="0071180A" w:rsidRPr="002D2D62" w:rsidRDefault="0071180A" w:rsidP="0071180A">
      <w:pPr>
        <w:rPr>
          <w:rFonts w:cs="Arial"/>
          <w:szCs w:val="22"/>
        </w:rPr>
      </w:pPr>
      <w:r>
        <w:rPr>
          <w:rFonts w:cs="Arial"/>
          <w:szCs w:val="22"/>
        </w:rPr>
        <w:t>Measure case i</w:t>
      </w:r>
      <w:r w:rsidRPr="002D2D62">
        <w:rPr>
          <w:rFonts w:cs="Arial"/>
          <w:szCs w:val="22"/>
        </w:rPr>
        <w:t xml:space="preserve">nstallation labor costs are embedded in the </w:t>
      </w:r>
      <w:r>
        <w:rPr>
          <w:rFonts w:cs="Arial"/>
          <w:szCs w:val="22"/>
        </w:rPr>
        <w:t>measure</w:t>
      </w:r>
      <w:r w:rsidRPr="002D2D62">
        <w:rPr>
          <w:rFonts w:cs="Arial"/>
          <w:szCs w:val="22"/>
        </w:rPr>
        <w:t xml:space="preserve"> case costs </w:t>
      </w:r>
      <w:r>
        <w:rPr>
          <w:rFonts w:cs="Arial"/>
          <w:szCs w:val="22"/>
        </w:rPr>
        <w:t>described in the Measure Case Material Cost.</w:t>
      </w:r>
    </w:p>
    <w:p w14:paraId="31B4AF25" w14:textId="77777777" w:rsidR="002D2D62" w:rsidRDefault="002D2D62" w:rsidP="00AC6CCE">
      <w:pPr>
        <w:rPr>
          <w:rFonts w:cs="Arial"/>
          <w:sz w:val="20"/>
        </w:rPr>
      </w:pPr>
    </w:p>
    <w:p w14:paraId="050D9183" w14:textId="7ABF5C13" w:rsidR="007D230B" w:rsidRPr="004B06E3" w:rsidRDefault="004B06E3" w:rsidP="00777422">
      <w:pPr>
        <w:pStyle w:val="eTRMHeading3"/>
      </w:pPr>
      <w:bookmarkStart w:id="70" w:name="_Toc486490863"/>
      <w:bookmarkStart w:id="71" w:name="_Toc486580934"/>
      <w:bookmarkStart w:id="72" w:name="_Toc1723498"/>
      <w:r>
        <w:t>Net-to-Gross</w:t>
      </w:r>
      <w:bookmarkEnd w:id="70"/>
      <w:bookmarkEnd w:id="71"/>
      <w:r w:rsidR="008D4652">
        <w:t xml:space="preserve"> (NTG)</w:t>
      </w:r>
      <w:bookmarkEnd w:id="72"/>
    </w:p>
    <w:p w14:paraId="74940D3A" w14:textId="0FDB9BA9" w:rsidR="007D230B" w:rsidRPr="004B06E3" w:rsidRDefault="00297CCD" w:rsidP="004142EF">
      <w:r w:rsidRPr="00AF3038">
        <w:t xml:space="preserve">The net-to-gross (NTG) ratio represents the portion of gross impacts that are determined to be directly attributed to a specific program intervention. </w:t>
      </w:r>
      <w:r w:rsidR="00736788">
        <w:t>This</w:t>
      </w:r>
      <w:r w:rsidR="00736788" w:rsidRPr="00AF3038">
        <w:t xml:space="preserve"> NTG value </w:t>
      </w:r>
      <w:r w:rsidR="00736788">
        <w:t>is</w:t>
      </w:r>
      <w:r w:rsidR="00736788" w:rsidRPr="00AF3038">
        <w:t xml:space="preserve"> based upon the average of all NTG ratios for all evaluated 2006 – 2008 </w:t>
      </w:r>
      <w:r w:rsidR="00736788">
        <w:t>residential</w:t>
      </w:r>
      <w:r w:rsidR="00736788" w:rsidRPr="00AF3038">
        <w:t xml:space="preserve"> programs, as documented in the 2011 DEER Update Study conducted by Itron, Inc. </w:t>
      </w:r>
      <w:r w:rsidR="005D19A0">
        <w:t>This</w:t>
      </w:r>
      <w:r w:rsidRPr="00AF3038">
        <w:t xml:space="preserve"> </w:t>
      </w:r>
      <w:r w:rsidR="005D19A0">
        <w:t xml:space="preserve">NTG is a </w:t>
      </w:r>
      <w:r w:rsidRPr="00AF3038">
        <w:t>“default</w:t>
      </w:r>
      <w:r w:rsidR="00CE63C0">
        <w:t>”</w:t>
      </w:r>
      <w:r w:rsidRPr="00AF3038">
        <w:t xml:space="preserve"> NTG </w:t>
      </w:r>
      <w:r w:rsidR="005D19A0">
        <w:t>that is</w:t>
      </w:r>
      <w:r w:rsidRPr="00AF3038">
        <w:t xml:space="preserve"> applicable </w:t>
      </w:r>
      <w:r>
        <w:t xml:space="preserve">to </w:t>
      </w:r>
      <w:r w:rsidRPr="00AF3038">
        <w:t xml:space="preserve">all energy efficiency measures that have been offered </w:t>
      </w:r>
      <w:r>
        <w:t>through</w:t>
      </w:r>
      <w:r w:rsidRPr="00AF3038">
        <w:t xml:space="preserve"> </w:t>
      </w:r>
      <w:r w:rsidR="00A50980">
        <w:t>residential</w:t>
      </w:r>
      <w:r w:rsidR="00A50980" w:rsidRPr="00AF3038">
        <w:t xml:space="preserve"> </w:t>
      </w:r>
      <w:r>
        <w:t xml:space="preserve">sector </w:t>
      </w:r>
      <w:r w:rsidRPr="00AF3038">
        <w:t>programs for more than two years and for which impact evaluation results are not available.</w:t>
      </w:r>
      <w:r w:rsidRPr="00765218">
        <w:t> </w:t>
      </w:r>
    </w:p>
    <w:p w14:paraId="0D1CEED6" w14:textId="0F93E9D4" w:rsidR="00DE1A0F" w:rsidRDefault="00DE1A0F" w:rsidP="00187521">
      <w:pPr>
        <w:pStyle w:val="Caption"/>
      </w:pPr>
      <w:r>
        <w:t>Net-to-Gross Ratios</w:t>
      </w:r>
    </w:p>
    <w:tbl>
      <w:tblPr>
        <w:tblW w:w="888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190"/>
      </w:tblGrid>
      <w:tr w:rsidR="006B28A2" w:rsidRPr="00052C24" w14:paraId="0B8F7265" w14:textId="77777777" w:rsidTr="006B28A2">
        <w:tc>
          <w:tcPr>
            <w:tcW w:w="2070" w:type="dxa"/>
            <w:shd w:val="clear" w:color="auto" w:fill="F2F2F2" w:themeFill="background1" w:themeFillShade="F2"/>
            <w:vAlign w:val="bottom"/>
          </w:tcPr>
          <w:p w14:paraId="27E4A5FE" w14:textId="77777777" w:rsidR="006B28A2" w:rsidRPr="00052C24" w:rsidRDefault="006B28A2" w:rsidP="00975B91">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09C0C623" w14:textId="27C7CCEB" w:rsidR="006B28A2" w:rsidRPr="00052C24" w:rsidRDefault="006B28A2" w:rsidP="00975B91">
            <w:pPr>
              <w:keepNext/>
              <w:keepLines/>
              <w:spacing w:before="0" w:after="0" w:line="200" w:lineRule="atLeast"/>
              <w:jc w:val="center"/>
              <w:rPr>
                <w:b/>
                <w:sz w:val="20"/>
              </w:rPr>
            </w:pPr>
            <w:r>
              <w:rPr>
                <w:b/>
                <w:sz w:val="20"/>
              </w:rPr>
              <w:t>Value</w:t>
            </w:r>
          </w:p>
        </w:tc>
        <w:tc>
          <w:tcPr>
            <w:tcW w:w="5190" w:type="dxa"/>
            <w:shd w:val="clear" w:color="auto" w:fill="F2F2F2" w:themeFill="background1" w:themeFillShade="F2"/>
            <w:vAlign w:val="bottom"/>
          </w:tcPr>
          <w:p w14:paraId="4EA42E42" w14:textId="77777777" w:rsidR="006B28A2" w:rsidRDefault="006B28A2" w:rsidP="00975B91">
            <w:pPr>
              <w:keepNext/>
              <w:keepLines/>
              <w:spacing w:before="0" w:after="0" w:line="200" w:lineRule="atLeast"/>
              <w:jc w:val="center"/>
              <w:rPr>
                <w:b/>
                <w:sz w:val="20"/>
              </w:rPr>
            </w:pPr>
            <w:r>
              <w:rPr>
                <w:b/>
                <w:sz w:val="20"/>
              </w:rPr>
              <w:t>Source</w:t>
            </w:r>
          </w:p>
        </w:tc>
      </w:tr>
      <w:tr w:rsidR="00D0619A" w:rsidRPr="009062D0" w14:paraId="53AEB245" w14:textId="77777777" w:rsidTr="003014E3">
        <w:trPr>
          <w:trHeight w:val="20"/>
        </w:trPr>
        <w:tc>
          <w:tcPr>
            <w:tcW w:w="2070" w:type="dxa"/>
            <w:vAlign w:val="center"/>
          </w:tcPr>
          <w:p w14:paraId="19244D0F" w14:textId="419C23AD" w:rsidR="00D0619A" w:rsidRPr="009062D0" w:rsidRDefault="00D0619A" w:rsidP="008607C0">
            <w:pPr>
              <w:keepNext/>
              <w:keepLines/>
              <w:spacing w:before="0" w:after="0" w:line="200" w:lineRule="atLeast"/>
              <w:rPr>
                <w:sz w:val="20"/>
              </w:rPr>
            </w:pPr>
            <w:r w:rsidRPr="009062D0">
              <w:rPr>
                <w:sz w:val="20"/>
              </w:rPr>
              <w:t xml:space="preserve">NTG </w:t>
            </w:r>
            <w:r w:rsidR="006E6A67">
              <w:rPr>
                <w:sz w:val="20"/>
              </w:rPr>
              <w:t>- residential</w:t>
            </w:r>
          </w:p>
        </w:tc>
        <w:tc>
          <w:tcPr>
            <w:tcW w:w="1620" w:type="dxa"/>
            <w:shd w:val="clear" w:color="auto" w:fill="auto"/>
            <w:vAlign w:val="center"/>
          </w:tcPr>
          <w:p w14:paraId="20ACED0D" w14:textId="3F25FF74" w:rsidR="00D0619A" w:rsidRPr="00A0758A" w:rsidRDefault="00D0619A" w:rsidP="008607C0">
            <w:pPr>
              <w:keepNext/>
              <w:keepLines/>
              <w:spacing w:before="0" w:after="0" w:line="200" w:lineRule="atLeast"/>
              <w:jc w:val="center"/>
              <w:rPr>
                <w:sz w:val="20"/>
              </w:rPr>
            </w:pPr>
            <w:r w:rsidRPr="00A0758A">
              <w:rPr>
                <w:sz w:val="20"/>
                <w:szCs w:val="20"/>
              </w:rPr>
              <w:t>0.</w:t>
            </w:r>
            <w:r w:rsidR="006E6A67" w:rsidRPr="00A0758A">
              <w:rPr>
                <w:sz w:val="20"/>
                <w:szCs w:val="20"/>
              </w:rPr>
              <w:t>55</w:t>
            </w:r>
          </w:p>
        </w:tc>
        <w:tc>
          <w:tcPr>
            <w:tcW w:w="5190" w:type="dxa"/>
          </w:tcPr>
          <w:p w14:paraId="44BAF751" w14:textId="68BBC475" w:rsidR="00D0619A" w:rsidRPr="00575E9A" w:rsidRDefault="00D0619A" w:rsidP="00975B91">
            <w:pPr>
              <w:keepNext/>
              <w:keepLines/>
              <w:spacing w:before="0" w:after="0" w:line="240" w:lineRule="auto"/>
              <w:rPr>
                <w:rFonts w:eastAsia="Times New Roman" w:cs="Times New Roman"/>
                <w:color w:val="000000"/>
                <w:sz w:val="18"/>
                <w:szCs w:val="18"/>
              </w:rPr>
            </w:pPr>
            <w:r w:rsidRPr="00FB2FB4">
              <w:rPr>
                <w:rFonts w:eastAsia="Times New Roman"/>
                <w:color w:val="000000"/>
                <w:sz w:val="18"/>
                <w:szCs w:val="18"/>
              </w:rPr>
              <w:t xml:space="preserve">Itron, Inc. 2011. </w:t>
            </w:r>
            <w:r w:rsidRPr="00FB2FB4">
              <w:rPr>
                <w:rFonts w:eastAsia="Times New Roman"/>
                <w:i/>
                <w:color w:val="000000"/>
                <w:sz w:val="18"/>
                <w:szCs w:val="18"/>
              </w:rPr>
              <w:t>DEER Database 2011 Update Documentation.</w:t>
            </w:r>
            <w:r w:rsidRPr="00FB2FB4">
              <w:rPr>
                <w:rFonts w:eastAsia="Times New Roman"/>
                <w:color w:val="000000"/>
                <w:sz w:val="18"/>
                <w:szCs w:val="18"/>
              </w:rPr>
              <w:t xml:space="preserve"> Prepared for the California Public Utilities Commission.</w:t>
            </w:r>
            <w:r>
              <w:rPr>
                <w:rFonts w:eastAsia="Times New Roman"/>
                <w:color w:val="000000"/>
                <w:sz w:val="18"/>
                <w:szCs w:val="18"/>
              </w:rPr>
              <w:t xml:space="preserve"> Table 15-3 Page 15-4.</w:t>
            </w:r>
          </w:p>
        </w:tc>
      </w:tr>
    </w:tbl>
    <w:p w14:paraId="1FFF2DBA" w14:textId="77777777" w:rsidR="008607C0" w:rsidRPr="00CC67A9" w:rsidRDefault="008607C0" w:rsidP="00CC67A9"/>
    <w:p w14:paraId="323B5B02" w14:textId="4C4B13DC" w:rsidR="007D230B" w:rsidRPr="004B06E3" w:rsidRDefault="00D02C36" w:rsidP="00777422">
      <w:pPr>
        <w:pStyle w:val="eTRMHeading3"/>
      </w:pPr>
      <w:bookmarkStart w:id="73" w:name="_Toc486490864"/>
      <w:bookmarkStart w:id="74" w:name="_Toc486580935"/>
      <w:bookmarkStart w:id="75" w:name="_Toc1723499"/>
      <w:r>
        <w:t>Gross Savings Installation Adjustment (</w:t>
      </w:r>
      <w:r w:rsidR="007D230B" w:rsidRPr="004B06E3">
        <w:t>GSIA</w:t>
      </w:r>
      <w:bookmarkEnd w:id="73"/>
      <w:bookmarkEnd w:id="74"/>
      <w:r>
        <w:t>)</w:t>
      </w:r>
      <w:bookmarkEnd w:id="75"/>
    </w:p>
    <w:p w14:paraId="1FCA48A5" w14:textId="387E2702" w:rsidR="00975B91" w:rsidRDefault="00975B91" w:rsidP="00975B91">
      <w:bookmarkStart w:id="76" w:name="_Ref489023909"/>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 by the utility</w:t>
      </w:r>
      <w:r w:rsidRPr="00AD00D3">
        <w:t xml:space="preserve">. </w:t>
      </w:r>
      <w:r>
        <w:t>This factor</w:t>
      </w:r>
      <w:r w:rsidRPr="00AD00D3">
        <w:t xml:space="preserve"> varies by end use, sector, technology, ap</w:t>
      </w:r>
      <w:r>
        <w:t>plication, and delivery method. This GSIA rate is the current “default” rate specified for measures for which an alternative GSIA has not been estimated and approved.</w:t>
      </w:r>
    </w:p>
    <w:p w14:paraId="2E5192F2" w14:textId="5AAB4C05" w:rsidR="00975B91" w:rsidRPr="0059426D" w:rsidRDefault="00975B91" w:rsidP="00A0758A">
      <w:pPr>
        <w:pStyle w:val="Caption"/>
        <w:keepNext/>
        <w:keepLines/>
      </w:pPr>
      <w:r>
        <w:t>Gross Savings Installation Adjustment Rates</w:t>
      </w:r>
    </w:p>
    <w:tbl>
      <w:tblPr>
        <w:tblW w:w="888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190"/>
      </w:tblGrid>
      <w:tr w:rsidR="00CD5D79" w:rsidRPr="00052C24" w14:paraId="0D293D27" w14:textId="77777777" w:rsidTr="00CD5D79">
        <w:tc>
          <w:tcPr>
            <w:tcW w:w="2070" w:type="dxa"/>
            <w:shd w:val="clear" w:color="auto" w:fill="F2F2F2" w:themeFill="background1" w:themeFillShade="F2"/>
            <w:vAlign w:val="bottom"/>
          </w:tcPr>
          <w:p w14:paraId="0A7F1FD0" w14:textId="77777777" w:rsidR="00CD5D79" w:rsidRPr="00052C24" w:rsidRDefault="00CD5D79" w:rsidP="00A0758A">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49F4367E" w14:textId="7500B1FA" w:rsidR="00CD5D79" w:rsidRPr="00052C24" w:rsidRDefault="00CD5D79" w:rsidP="00A0758A">
            <w:pPr>
              <w:keepNext/>
              <w:keepLines/>
              <w:spacing w:before="0" w:after="0" w:line="200" w:lineRule="atLeast"/>
              <w:jc w:val="center"/>
              <w:rPr>
                <w:b/>
                <w:sz w:val="20"/>
              </w:rPr>
            </w:pPr>
            <w:r>
              <w:rPr>
                <w:b/>
                <w:sz w:val="20"/>
              </w:rPr>
              <w:t>Value</w:t>
            </w:r>
          </w:p>
        </w:tc>
        <w:tc>
          <w:tcPr>
            <w:tcW w:w="5190" w:type="dxa"/>
            <w:shd w:val="clear" w:color="auto" w:fill="F2F2F2" w:themeFill="background1" w:themeFillShade="F2"/>
            <w:vAlign w:val="bottom"/>
          </w:tcPr>
          <w:p w14:paraId="543194E0" w14:textId="77777777" w:rsidR="00CD5D79" w:rsidRDefault="00CD5D79" w:rsidP="00A0758A">
            <w:pPr>
              <w:keepNext/>
              <w:keepLines/>
              <w:spacing w:before="0" w:after="0" w:line="200" w:lineRule="atLeast"/>
              <w:jc w:val="center"/>
              <w:rPr>
                <w:b/>
                <w:sz w:val="20"/>
              </w:rPr>
            </w:pPr>
            <w:r>
              <w:rPr>
                <w:b/>
                <w:sz w:val="20"/>
              </w:rPr>
              <w:t>Source</w:t>
            </w:r>
          </w:p>
        </w:tc>
      </w:tr>
      <w:tr w:rsidR="00CD5D79" w:rsidRPr="009062D0" w14:paraId="774D03AF" w14:textId="77777777" w:rsidTr="00CD5D79">
        <w:trPr>
          <w:trHeight w:val="260"/>
        </w:trPr>
        <w:tc>
          <w:tcPr>
            <w:tcW w:w="2070" w:type="dxa"/>
            <w:vAlign w:val="center"/>
          </w:tcPr>
          <w:p w14:paraId="021BCA9A" w14:textId="77777777" w:rsidR="00CD5D79" w:rsidRPr="009062D0" w:rsidRDefault="00CD5D79" w:rsidP="00A0758A">
            <w:pPr>
              <w:keepNext/>
              <w:keepLines/>
              <w:spacing w:before="0" w:after="0" w:line="200" w:lineRule="atLeast"/>
              <w:rPr>
                <w:sz w:val="20"/>
              </w:rPr>
            </w:pPr>
            <w:r>
              <w:rPr>
                <w:sz w:val="20"/>
              </w:rPr>
              <w:t>GSIA</w:t>
            </w:r>
          </w:p>
        </w:tc>
        <w:tc>
          <w:tcPr>
            <w:tcW w:w="1620" w:type="dxa"/>
            <w:shd w:val="clear" w:color="auto" w:fill="auto"/>
            <w:vAlign w:val="center"/>
          </w:tcPr>
          <w:p w14:paraId="7F3829B8" w14:textId="77777777" w:rsidR="00CD5D79" w:rsidRPr="00A0758A" w:rsidRDefault="00CD5D79" w:rsidP="00A0758A">
            <w:pPr>
              <w:keepNext/>
              <w:keepLines/>
              <w:spacing w:before="0" w:after="0" w:line="200" w:lineRule="atLeast"/>
              <w:jc w:val="center"/>
              <w:rPr>
                <w:sz w:val="20"/>
              </w:rPr>
            </w:pPr>
            <w:r w:rsidRPr="00A0758A">
              <w:rPr>
                <w:sz w:val="20"/>
                <w:szCs w:val="20"/>
              </w:rPr>
              <w:t>1.0</w:t>
            </w:r>
          </w:p>
        </w:tc>
        <w:tc>
          <w:tcPr>
            <w:tcW w:w="5190" w:type="dxa"/>
            <w:vAlign w:val="center"/>
          </w:tcPr>
          <w:p w14:paraId="6C2F8D4F" w14:textId="77777777" w:rsidR="00CD5D79" w:rsidRPr="009062D0" w:rsidRDefault="00CD5D79" w:rsidP="00A0758A">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609357AB" w14:textId="77777777" w:rsidR="00975B91" w:rsidRDefault="00975B91" w:rsidP="00975B91">
      <w:pPr>
        <w:rPr>
          <w:rFonts w:cs="Arial"/>
          <w:sz w:val="20"/>
          <w:szCs w:val="20"/>
        </w:rPr>
      </w:pPr>
    </w:p>
    <w:p w14:paraId="498C05E5" w14:textId="0054A6D4" w:rsidR="002C67DF" w:rsidRPr="004B06E3" w:rsidRDefault="002C67DF" w:rsidP="00777422">
      <w:pPr>
        <w:pStyle w:val="eTRMHeading3"/>
      </w:pPr>
      <w:bookmarkStart w:id="77" w:name="_Toc486490865"/>
      <w:bookmarkStart w:id="78" w:name="_Toc486580936"/>
      <w:bookmarkStart w:id="79" w:name="_Toc1723500"/>
      <w:bookmarkEnd w:id="76"/>
      <w:r w:rsidRPr="004B06E3">
        <w:t xml:space="preserve">Non-Energy </w:t>
      </w:r>
      <w:bookmarkEnd w:id="77"/>
      <w:bookmarkEnd w:id="78"/>
      <w:r w:rsidR="00975B91">
        <w:t>Impacts</w:t>
      </w:r>
      <w:bookmarkEnd w:id="79"/>
    </w:p>
    <w:p w14:paraId="01E07C41" w14:textId="77777777" w:rsidR="00975B91" w:rsidRDefault="00975B91" w:rsidP="00975B91">
      <w:r>
        <w:t>Non-energy impacts for this measure have not been quantified.</w:t>
      </w:r>
    </w:p>
    <w:p w14:paraId="1035BD07" w14:textId="77777777" w:rsidR="009C31A4" w:rsidRPr="004B06E3" w:rsidRDefault="009C31A4" w:rsidP="004142EF"/>
    <w:p w14:paraId="7D8551BB" w14:textId="760F7D39" w:rsidR="009C31A4" w:rsidRPr="004B06E3" w:rsidRDefault="009C31A4" w:rsidP="00777422">
      <w:pPr>
        <w:pStyle w:val="eTRMHeading3"/>
      </w:pPr>
      <w:bookmarkStart w:id="80" w:name="_Toc1723501"/>
      <w:r>
        <w:lastRenderedPageBreak/>
        <w:t>DEER Differences Analysis</w:t>
      </w:r>
      <w:bookmarkEnd w:id="80"/>
    </w:p>
    <w:p w14:paraId="7E9E16DF" w14:textId="104766D6" w:rsidR="00E16E6B" w:rsidRPr="001E3A20" w:rsidRDefault="00AB1F45" w:rsidP="00171CCA">
      <w:r>
        <w:t>This section provides a summary of the inputs and methods based upon the California Database of Energy Efficient Resources (DEER), and the rationale for inputs and methods that are not DEER-based.</w:t>
      </w:r>
    </w:p>
    <w:p w14:paraId="756C62FB" w14:textId="730839A1" w:rsidR="00EA057C" w:rsidRPr="009C11B8" w:rsidRDefault="00EA057C" w:rsidP="009C11B8">
      <w:pPr>
        <w:pStyle w:val="Caption"/>
      </w:pPr>
      <w:r w:rsidRPr="009C11B8">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2966"/>
        <w:gridCol w:w="6384"/>
      </w:tblGrid>
      <w:tr w:rsidR="00EA057C" w:rsidRPr="009C11B8" w14:paraId="59D017C8" w14:textId="77777777" w:rsidTr="00687CE5">
        <w:trPr>
          <w:trHeight w:val="20"/>
        </w:trPr>
        <w:tc>
          <w:tcPr>
            <w:tcW w:w="1586" w:type="pct"/>
            <w:shd w:val="clear" w:color="auto" w:fill="F2F2F2" w:themeFill="background1" w:themeFillShade="F2"/>
          </w:tcPr>
          <w:p w14:paraId="5A1E2CE5" w14:textId="77777777" w:rsidR="00EA057C" w:rsidRPr="009C11B8" w:rsidRDefault="00EA057C" w:rsidP="009C11B8">
            <w:pPr>
              <w:tabs>
                <w:tab w:val="right" w:pos="2957"/>
              </w:tabs>
              <w:spacing w:before="20" w:after="20"/>
              <w:rPr>
                <w:rFonts w:cs="Arial"/>
                <w:b/>
                <w:sz w:val="20"/>
                <w:szCs w:val="20"/>
              </w:rPr>
            </w:pPr>
            <w:r w:rsidRPr="009C11B8">
              <w:rPr>
                <w:rFonts w:cs="Arial"/>
                <w:b/>
                <w:sz w:val="20"/>
                <w:szCs w:val="20"/>
              </w:rPr>
              <w:t>DEER Item</w:t>
            </w:r>
          </w:p>
        </w:tc>
        <w:tc>
          <w:tcPr>
            <w:tcW w:w="3414" w:type="pct"/>
            <w:shd w:val="clear" w:color="auto" w:fill="F2F2F2" w:themeFill="background1" w:themeFillShade="F2"/>
          </w:tcPr>
          <w:p w14:paraId="52AD34D1" w14:textId="00D5EF41" w:rsidR="00EA057C" w:rsidRPr="009C11B8" w:rsidRDefault="00EA057C" w:rsidP="009C11B8">
            <w:pPr>
              <w:spacing w:before="20" w:after="20"/>
              <w:rPr>
                <w:rFonts w:cs="Arial"/>
                <w:b/>
                <w:sz w:val="20"/>
                <w:szCs w:val="20"/>
              </w:rPr>
            </w:pPr>
            <w:r w:rsidRPr="009C11B8">
              <w:rPr>
                <w:rFonts w:cs="Arial"/>
                <w:b/>
                <w:sz w:val="20"/>
                <w:szCs w:val="20"/>
              </w:rPr>
              <w:t xml:space="preserve">Comment </w:t>
            </w:r>
          </w:p>
        </w:tc>
      </w:tr>
      <w:tr w:rsidR="00EA057C" w:rsidRPr="00B703EA" w14:paraId="33003020" w14:textId="77777777" w:rsidTr="00687CE5">
        <w:trPr>
          <w:trHeight w:val="20"/>
        </w:trPr>
        <w:tc>
          <w:tcPr>
            <w:tcW w:w="1586" w:type="pct"/>
          </w:tcPr>
          <w:p w14:paraId="1F2D360A" w14:textId="77777777" w:rsidR="00EA057C" w:rsidRPr="00B703EA" w:rsidRDefault="00EA057C" w:rsidP="009C11B8">
            <w:pPr>
              <w:spacing w:before="20" w:after="20"/>
              <w:rPr>
                <w:rFonts w:cs="Arial"/>
                <w:sz w:val="20"/>
                <w:szCs w:val="20"/>
              </w:rPr>
            </w:pPr>
            <w:r w:rsidRPr="00B703EA">
              <w:rPr>
                <w:rFonts w:cs="Arial"/>
                <w:sz w:val="20"/>
                <w:szCs w:val="20"/>
              </w:rPr>
              <w:t>Modified DEER methodology</w:t>
            </w:r>
          </w:p>
        </w:tc>
        <w:tc>
          <w:tcPr>
            <w:tcW w:w="3414" w:type="pct"/>
          </w:tcPr>
          <w:p w14:paraId="247EE411" w14:textId="60838694" w:rsidR="00EA057C" w:rsidRPr="00B703EA" w:rsidRDefault="00EA057C" w:rsidP="009C11B8">
            <w:pPr>
              <w:spacing w:before="20" w:after="20"/>
              <w:rPr>
                <w:rFonts w:cs="Arial"/>
                <w:sz w:val="20"/>
                <w:szCs w:val="20"/>
              </w:rPr>
            </w:pPr>
          </w:p>
        </w:tc>
      </w:tr>
      <w:tr w:rsidR="00EA057C" w:rsidRPr="00B703EA" w14:paraId="507422EA" w14:textId="77777777" w:rsidTr="00687CE5">
        <w:trPr>
          <w:trHeight w:val="20"/>
        </w:trPr>
        <w:tc>
          <w:tcPr>
            <w:tcW w:w="1586" w:type="pct"/>
          </w:tcPr>
          <w:p w14:paraId="29430E33" w14:textId="77777777" w:rsidR="00EA057C" w:rsidRPr="00B703EA" w:rsidRDefault="00EA057C" w:rsidP="009C11B8">
            <w:pPr>
              <w:spacing w:before="20" w:after="20"/>
              <w:rPr>
                <w:rFonts w:cs="Arial"/>
                <w:sz w:val="20"/>
                <w:szCs w:val="20"/>
              </w:rPr>
            </w:pPr>
            <w:r w:rsidRPr="00B703EA">
              <w:rPr>
                <w:rFonts w:cs="Arial"/>
                <w:sz w:val="20"/>
                <w:szCs w:val="20"/>
              </w:rPr>
              <w:t>Scaled DEER measure</w:t>
            </w:r>
          </w:p>
        </w:tc>
        <w:tc>
          <w:tcPr>
            <w:tcW w:w="3414" w:type="pct"/>
          </w:tcPr>
          <w:p w14:paraId="0C847473" w14:textId="30CEC412" w:rsidR="00EA057C" w:rsidRPr="00B703EA" w:rsidRDefault="00EA057C" w:rsidP="009C11B8">
            <w:pPr>
              <w:spacing w:before="20" w:after="20"/>
              <w:rPr>
                <w:rFonts w:cs="Arial"/>
                <w:sz w:val="20"/>
                <w:szCs w:val="20"/>
              </w:rPr>
            </w:pPr>
          </w:p>
        </w:tc>
      </w:tr>
      <w:tr w:rsidR="00EA057C" w:rsidRPr="00B703EA" w14:paraId="335CDE40" w14:textId="77777777" w:rsidTr="00687CE5">
        <w:trPr>
          <w:trHeight w:val="20"/>
        </w:trPr>
        <w:tc>
          <w:tcPr>
            <w:tcW w:w="1586" w:type="pct"/>
          </w:tcPr>
          <w:p w14:paraId="126C3B42" w14:textId="77777777" w:rsidR="00EA057C" w:rsidRPr="00B703EA" w:rsidRDefault="00EA057C" w:rsidP="009C11B8">
            <w:pPr>
              <w:spacing w:before="20" w:after="20"/>
              <w:rPr>
                <w:rFonts w:cs="Arial"/>
                <w:sz w:val="20"/>
                <w:szCs w:val="20"/>
              </w:rPr>
            </w:pPr>
            <w:r w:rsidRPr="00B703EA">
              <w:rPr>
                <w:rFonts w:cs="Arial"/>
                <w:sz w:val="20"/>
                <w:szCs w:val="20"/>
              </w:rPr>
              <w:t>DEER Base Case</w:t>
            </w:r>
          </w:p>
        </w:tc>
        <w:tc>
          <w:tcPr>
            <w:tcW w:w="3414" w:type="pct"/>
          </w:tcPr>
          <w:p w14:paraId="5D2A1B0E" w14:textId="0744AB07" w:rsidR="00EA057C" w:rsidRPr="00B703EA" w:rsidRDefault="00EA057C" w:rsidP="009C11B8">
            <w:pPr>
              <w:spacing w:before="20" w:after="20"/>
              <w:rPr>
                <w:rFonts w:cs="Arial"/>
                <w:sz w:val="20"/>
                <w:szCs w:val="20"/>
              </w:rPr>
            </w:pPr>
          </w:p>
        </w:tc>
      </w:tr>
      <w:tr w:rsidR="00EA057C" w:rsidRPr="00B703EA" w14:paraId="1F8399E1" w14:textId="77777777" w:rsidTr="00687CE5">
        <w:trPr>
          <w:trHeight w:val="20"/>
        </w:trPr>
        <w:tc>
          <w:tcPr>
            <w:tcW w:w="1586" w:type="pct"/>
          </w:tcPr>
          <w:p w14:paraId="0CC701E3" w14:textId="77777777" w:rsidR="00EA057C" w:rsidRPr="00B703EA" w:rsidRDefault="00EA057C" w:rsidP="009C11B8">
            <w:pPr>
              <w:spacing w:before="20" w:after="20"/>
              <w:rPr>
                <w:rFonts w:cs="Arial"/>
                <w:sz w:val="20"/>
                <w:szCs w:val="20"/>
              </w:rPr>
            </w:pPr>
            <w:r w:rsidRPr="00B703EA">
              <w:rPr>
                <w:rFonts w:cs="Arial"/>
                <w:sz w:val="20"/>
                <w:szCs w:val="20"/>
              </w:rPr>
              <w:t>DEER Measure Case</w:t>
            </w:r>
          </w:p>
        </w:tc>
        <w:tc>
          <w:tcPr>
            <w:tcW w:w="3414" w:type="pct"/>
          </w:tcPr>
          <w:p w14:paraId="49A023A0" w14:textId="7061DFC4" w:rsidR="00EA057C" w:rsidRPr="00B703EA" w:rsidRDefault="00EA057C" w:rsidP="009C11B8">
            <w:pPr>
              <w:spacing w:before="20" w:after="20"/>
              <w:rPr>
                <w:rFonts w:cs="Arial"/>
                <w:sz w:val="20"/>
                <w:szCs w:val="20"/>
              </w:rPr>
            </w:pPr>
          </w:p>
        </w:tc>
      </w:tr>
      <w:tr w:rsidR="00EA057C" w:rsidRPr="00B703EA" w14:paraId="663742C6" w14:textId="77777777" w:rsidTr="00687CE5">
        <w:trPr>
          <w:trHeight w:val="20"/>
        </w:trPr>
        <w:tc>
          <w:tcPr>
            <w:tcW w:w="1586" w:type="pct"/>
          </w:tcPr>
          <w:p w14:paraId="16B2FDAB" w14:textId="77777777" w:rsidR="00EA057C" w:rsidRPr="00B703EA" w:rsidRDefault="00EA057C" w:rsidP="009C11B8">
            <w:pPr>
              <w:spacing w:before="20" w:after="20"/>
              <w:rPr>
                <w:rFonts w:cs="Arial"/>
                <w:sz w:val="20"/>
                <w:szCs w:val="20"/>
              </w:rPr>
            </w:pPr>
            <w:r w:rsidRPr="00B703EA">
              <w:rPr>
                <w:rFonts w:cs="Arial"/>
                <w:sz w:val="20"/>
                <w:szCs w:val="20"/>
              </w:rPr>
              <w:t>DEER Building Types</w:t>
            </w:r>
          </w:p>
        </w:tc>
        <w:tc>
          <w:tcPr>
            <w:tcW w:w="3414" w:type="pct"/>
          </w:tcPr>
          <w:p w14:paraId="6BBA540C" w14:textId="75D25331" w:rsidR="00EA057C" w:rsidRPr="00B703EA" w:rsidRDefault="00EA057C" w:rsidP="009C11B8">
            <w:pPr>
              <w:spacing w:before="20" w:after="20"/>
              <w:rPr>
                <w:rFonts w:cs="Arial"/>
                <w:sz w:val="20"/>
                <w:szCs w:val="20"/>
              </w:rPr>
            </w:pPr>
          </w:p>
        </w:tc>
      </w:tr>
      <w:tr w:rsidR="00EA057C" w:rsidRPr="00B703EA" w14:paraId="424F1325" w14:textId="77777777" w:rsidTr="00687CE5">
        <w:trPr>
          <w:trHeight w:val="20"/>
        </w:trPr>
        <w:tc>
          <w:tcPr>
            <w:tcW w:w="1586" w:type="pct"/>
          </w:tcPr>
          <w:p w14:paraId="71098DDA" w14:textId="77777777" w:rsidR="00EA057C" w:rsidRPr="00B703EA" w:rsidRDefault="00EA057C" w:rsidP="009C11B8">
            <w:pPr>
              <w:spacing w:before="20" w:after="20"/>
              <w:rPr>
                <w:rFonts w:cs="Arial"/>
                <w:sz w:val="20"/>
                <w:szCs w:val="20"/>
              </w:rPr>
            </w:pPr>
            <w:r w:rsidRPr="00B703EA">
              <w:rPr>
                <w:rFonts w:cs="Arial"/>
                <w:sz w:val="20"/>
                <w:szCs w:val="20"/>
              </w:rPr>
              <w:t>DEER Operating Hours</w:t>
            </w:r>
          </w:p>
        </w:tc>
        <w:tc>
          <w:tcPr>
            <w:tcW w:w="3414" w:type="pct"/>
          </w:tcPr>
          <w:p w14:paraId="1693E1EE" w14:textId="20CE7BB5" w:rsidR="00EA057C" w:rsidRPr="00B703EA" w:rsidRDefault="00EA057C" w:rsidP="009C11B8">
            <w:pPr>
              <w:spacing w:before="20" w:after="20"/>
              <w:rPr>
                <w:rFonts w:cs="Arial"/>
                <w:sz w:val="20"/>
                <w:szCs w:val="20"/>
              </w:rPr>
            </w:pPr>
          </w:p>
        </w:tc>
      </w:tr>
      <w:tr w:rsidR="00EA057C" w:rsidRPr="00B703EA" w14:paraId="0B93AD47" w14:textId="77777777" w:rsidTr="00687CE5">
        <w:trPr>
          <w:trHeight w:val="20"/>
        </w:trPr>
        <w:tc>
          <w:tcPr>
            <w:tcW w:w="1586" w:type="pct"/>
          </w:tcPr>
          <w:p w14:paraId="6E9E484F" w14:textId="77777777" w:rsidR="00EA057C" w:rsidRPr="00B703EA" w:rsidRDefault="00EA057C" w:rsidP="009C11B8">
            <w:pPr>
              <w:spacing w:before="20" w:after="20"/>
              <w:rPr>
                <w:rFonts w:cs="Arial"/>
                <w:sz w:val="20"/>
                <w:szCs w:val="20"/>
              </w:rPr>
            </w:pPr>
            <w:r w:rsidRPr="00B703EA">
              <w:rPr>
                <w:rFonts w:cs="Arial"/>
                <w:sz w:val="20"/>
                <w:szCs w:val="20"/>
              </w:rPr>
              <w:t>DEER eQUEST Prototypes</w:t>
            </w:r>
          </w:p>
        </w:tc>
        <w:tc>
          <w:tcPr>
            <w:tcW w:w="3414" w:type="pct"/>
          </w:tcPr>
          <w:p w14:paraId="4948DEAF" w14:textId="2C6CA0CD" w:rsidR="00EA057C" w:rsidRPr="00B703EA" w:rsidDel="00505CEC" w:rsidRDefault="00EA057C" w:rsidP="009C11B8">
            <w:pPr>
              <w:spacing w:before="20" w:after="20"/>
              <w:rPr>
                <w:rFonts w:cs="Arial"/>
                <w:sz w:val="20"/>
                <w:szCs w:val="20"/>
              </w:rPr>
            </w:pPr>
          </w:p>
        </w:tc>
      </w:tr>
      <w:tr w:rsidR="00EA057C" w:rsidRPr="00B703EA" w14:paraId="2CFDE9D3" w14:textId="77777777" w:rsidTr="00687CE5">
        <w:trPr>
          <w:trHeight w:val="180"/>
        </w:trPr>
        <w:tc>
          <w:tcPr>
            <w:tcW w:w="1586" w:type="pct"/>
          </w:tcPr>
          <w:p w14:paraId="3B6B3E22" w14:textId="77777777" w:rsidR="00EA057C" w:rsidRPr="00B703EA" w:rsidRDefault="00EA057C" w:rsidP="009C11B8">
            <w:pPr>
              <w:spacing w:before="20" w:after="20"/>
              <w:rPr>
                <w:rFonts w:cs="Arial"/>
                <w:sz w:val="20"/>
                <w:szCs w:val="20"/>
              </w:rPr>
            </w:pPr>
            <w:r w:rsidRPr="00B703EA">
              <w:rPr>
                <w:rFonts w:cs="Arial"/>
                <w:sz w:val="20"/>
                <w:szCs w:val="20"/>
              </w:rPr>
              <w:t>DEER Version</w:t>
            </w:r>
          </w:p>
        </w:tc>
        <w:tc>
          <w:tcPr>
            <w:tcW w:w="3414" w:type="pct"/>
          </w:tcPr>
          <w:p w14:paraId="1C3B60D1" w14:textId="5E61AE57" w:rsidR="00EA057C" w:rsidRPr="00B703EA" w:rsidRDefault="00EA057C" w:rsidP="009C11B8">
            <w:pPr>
              <w:spacing w:before="20" w:after="20"/>
              <w:rPr>
                <w:rFonts w:cs="Arial"/>
                <w:sz w:val="20"/>
                <w:szCs w:val="20"/>
              </w:rPr>
            </w:pPr>
          </w:p>
        </w:tc>
      </w:tr>
      <w:tr w:rsidR="00EA057C" w:rsidRPr="009C11B8" w14:paraId="3B7464D7" w14:textId="77777777" w:rsidTr="00687CE5">
        <w:trPr>
          <w:trHeight w:val="20"/>
        </w:trPr>
        <w:tc>
          <w:tcPr>
            <w:tcW w:w="1586" w:type="pct"/>
          </w:tcPr>
          <w:p w14:paraId="24000A76" w14:textId="77777777" w:rsidR="00EA057C" w:rsidRPr="009C11B8" w:rsidRDefault="00EA057C" w:rsidP="009C11B8">
            <w:pPr>
              <w:spacing w:before="20" w:after="20"/>
              <w:rPr>
                <w:rFonts w:cs="Arial"/>
                <w:sz w:val="20"/>
                <w:szCs w:val="20"/>
              </w:rPr>
            </w:pPr>
            <w:r w:rsidRPr="009C11B8">
              <w:rPr>
                <w:rFonts w:cs="Arial"/>
                <w:sz w:val="20"/>
                <w:szCs w:val="20"/>
              </w:rPr>
              <w:t>Reason for Deviation from DEER</w:t>
            </w:r>
          </w:p>
        </w:tc>
        <w:tc>
          <w:tcPr>
            <w:tcW w:w="3414" w:type="pct"/>
          </w:tcPr>
          <w:p w14:paraId="125AAB90" w14:textId="0AD651CA" w:rsidR="00EA057C" w:rsidRPr="009C11B8" w:rsidRDefault="00687CE5" w:rsidP="009C11B8">
            <w:pPr>
              <w:spacing w:before="20" w:after="20"/>
              <w:rPr>
                <w:rFonts w:cs="Arial"/>
                <w:sz w:val="20"/>
                <w:szCs w:val="20"/>
              </w:rPr>
            </w:pPr>
            <w:r>
              <w:rPr>
                <w:rFonts w:cs="Arial"/>
                <w:sz w:val="20"/>
                <w:szCs w:val="20"/>
              </w:rPr>
              <w:t>See below.</w:t>
            </w:r>
          </w:p>
        </w:tc>
      </w:tr>
      <w:tr w:rsidR="00EA057C" w:rsidRPr="009C11B8" w14:paraId="4A7EE859" w14:textId="77777777" w:rsidTr="00687CE5">
        <w:trPr>
          <w:trHeight w:val="20"/>
        </w:trPr>
        <w:tc>
          <w:tcPr>
            <w:tcW w:w="1586" w:type="pct"/>
          </w:tcPr>
          <w:p w14:paraId="7B4D686A" w14:textId="77777777" w:rsidR="00EA057C" w:rsidRPr="009C11B8" w:rsidRDefault="00EA057C" w:rsidP="009C11B8">
            <w:pPr>
              <w:spacing w:before="20" w:after="20"/>
              <w:rPr>
                <w:rFonts w:cs="Arial"/>
                <w:sz w:val="20"/>
                <w:szCs w:val="20"/>
              </w:rPr>
            </w:pPr>
            <w:r w:rsidRPr="009C11B8">
              <w:rPr>
                <w:rFonts w:cs="Arial"/>
                <w:sz w:val="20"/>
                <w:szCs w:val="20"/>
              </w:rPr>
              <w:t>DEER Measure IDs Used</w:t>
            </w:r>
          </w:p>
        </w:tc>
        <w:tc>
          <w:tcPr>
            <w:tcW w:w="3414" w:type="pct"/>
          </w:tcPr>
          <w:p w14:paraId="63ABA251" w14:textId="5495D0D6" w:rsidR="00EA057C" w:rsidRPr="009C11B8" w:rsidRDefault="00B703EA" w:rsidP="009C11B8">
            <w:pPr>
              <w:spacing w:before="20" w:after="20"/>
              <w:rPr>
                <w:rFonts w:cs="Arial"/>
                <w:sz w:val="20"/>
                <w:szCs w:val="20"/>
              </w:rPr>
            </w:pPr>
            <w:r>
              <w:rPr>
                <w:rFonts w:cs="Arial"/>
                <w:sz w:val="20"/>
                <w:szCs w:val="20"/>
              </w:rPr>
              <w:t>n/a</w:t>
            </w:r>
          </w:p>
        </w:tc>
      </w:tr>
      <w:tr w:rsidR="00030848" w:rsidRPr="009C11B8" w14:paraId="5A83EC74" w14:textId="77777777" w:rsidTr="00687CE5">
        <w:trPr>
          <w:trHeight w:val="20"/>
        </w:trPr>
        <w:tc>
          <w:tcPr>
            <w:tcW w:w="1586" w:type="pct"/>
          </w:tcPr>
          <w:p w14:paraId="2C82A9E0" w14:textId="121308D7" w:rsidR="00030848" w:rsidRPr="009C11B8" w:rsidRDefault="00030848" w:rsidP="009C11B8">
            <w:pPr>
              <w:spacing w:before="20" w:after="20"/>
              <w:rPr>
                <w:rFonts w:cs="Arial"/>
                <w:sz w:val="20"/>
                <w:szCs w:val="20"/>
              </w:rPr>
            </w:pPr>
            <w:r w:rsidRPr="009C11B8">
              <w:rPr>
                <w:rFonts w:cs="Arial"/>
                <w:sz w:val="20"/>
                <w:szCs w:val="20"/>
              </w:rPr>
              <w:t>NTG</w:t>
            </w:r>
          </w:p>
        </w:tc>
        <w:tc>
          <w:tcPr>
            <w:tcW w:w="3414" w:type="pct"/>
          </w:tcPr>
          <w:p w14:paraId="2BBBB10C" w14:textId="1CCBCAED" w:rsidR="00030848" w:rsidRPr="009C11B8" w:rsidRDefault="00030848" w:rsidP="009C11B8">
            <w:pPr>
              <w:spacing w:before="20" w:after="20"/>
              <w:rPr>
                <w:rFonts w:cs="Arial"/>
                <w:sz w:val="20"/>
                <w:szCs w:val="20"/>
              </w:rPr>
            </w:pPr>
            <w:r w:rsidRPr="009C11B8">
              <w:rPr>
                <w:sz w:val="20"/>
                <w:szCs w:val="20"/>
              </w:rPr>
              <w:t>Source: DEER2014. NTG of 0.</w:t>
            </w:r>
            <w:r w:rsidR="006E6A67" w:rsidRPr="009C11B8">
              <w:rPr>
                <w:sz w:val="20"/>
                <w:szCs w:val="20"/>
              </w:rPr>
              <w:t xml:space="preserve">55 </w:t>
            </w:r>
            <w:r w:rsidRPr="009C11B8">
              <w:rPr>
                <w:sz w:val="20"/>
                <w:szCs w:val="20"/>
              </w:rPr>
              <w:t xml:space="preserve">is associate with NTG ID: </w:t>
            </w:r>
            <w:r w:rsidR="006E6A67" w:rsidRPr="009C11B8">
              <w:rPr>
                <w:sz w:val="20"/>
                <w:szCs w:val="20"/>
              </w:rPr>
              <w:t>Res</w:t>
            </w:r>
            <w:r w:rsidRPr="009C11B8">
              <w:rPr>
                <w:i/>
                <w:sz w:val="20"/>
                <w:szCs w:val="20"/>
              </w:rPr>
              <w:t xml:space="preserve">-Default&gt;2. </w:t>
            </w:r>
          </w:p>
        </w:tc>
      </w:tr>
      <w:tr w:rsidR="00030848" w:rsidRPr="009C11B8" w14:paraId="131D1F9D" w14:textId="77777777" w:rsidTr="00687CE5">
        <w:trPr>
          <w:trHeight w:val="20"/>
        </w:trPr>
        <w:tc>
          <w:tcPr>
            <w:tcW w:w="1586" w:type="pct"/>
          </w:tcPr>
          <w:p w14:paraId="45FFA983" w14:textId="5F527A83" w:rsidR="00030848" w:rsidRPr="009C11B8" w:rsidRDefault="00030848" w:rsidP="009C11B8">
            <w:pPr>
              <w:spacing w:before="20" w:after="20"/>
              <w:rPr>
                <w:rFonts w:cs="Arial"/>
                <w:sz w:val="20"/>
                <w:szCs w:val="20"/>
              </w:rPr>
            </w:pPr>
            <w:r w:rsidRPr="009C11B8">
              <w:rPr>
                <w:rFonts w:cs="Arial"/>
                <w:sz w:val="20"/>
                <w:szCs w:val="20"/>
              </w:rPr>
              <w:t>GSIA</w:t>
            </w:r>
          </w:p>
        </w:tc>
        <w:tc>
          <w:tcPr>
            <w:tcW w:w="3414" w:type="pct"/>
          </w:tcPr>
          <w:p w14:paraId="7C16D603" w14:textId="11B23558" w:rsidR="00030848" w:rsidRPr="009C11B8" w:rsidRDefault="00030848" w:rsidP="009C11B8">
            <w:pPr>
              <w:spacing w:before="20" w:after="20"/>
              <w:rPr>
                <w:rFonts w:cs="Arial"/>
                <w:sz w:val="20"/>
                <w:szCs w:val="20"/>
              </w:rPr>
            </w:pPr>
            <w:r w:rsidRPr="009C11B8">
              <w:rPr>
                <w:rFonts w:cs="Arial"/>
                <w:sz w:val="20"/>
                <w:szCs w:val="20"/>
              </w:rPr>
              <w:t xml:space="preserve">GSIA ID: </w:t>
            </w:r>
            <w:r w:rsidRPr="009C11B8">
              <w:rPr>
                <w:rFonts w:cs="Arial"/>
                <w:i/>
                <w:sz w:val="20"/>
                <w:szCs w:val="20"/>
              </w:rPr>
              <w:t>Def-GSIA</w:t>
            </w:r>
          </w:p>
        </w:tc>
      </w:tr>
      <w:tr w:rsidR="00030848" w:rsidRPr="009C11B8" w14:paraId="4D0F7E1B" w14:textId="77777777" w:rsidTr="00687CE5">
        <w:trPr>
          <w:trHeight w:val="20"/>
        </w:trPr>
        <w:tc>
          <w:tcPr>
            <w:tcW w:w="1586" w:type="pct"/>
          </w:tcPr>
          <w:p w14:paraId="103BA947" w14:textId="6665B2EA" w:rsidR="00030848" w:rsidRPr="009C11B8" w:rsidRDefault="00030848" w:rsidP="009C11B8">
            <w:pPr>
              <w:spacing w:before="20" w:after="20"/>
              <w:rPr>
                <w:rFonts w:cs="Arial"/>
                <w:sz w:val="20"/>
                <w:szCs w:val="20"/>
              </w:rPr>
            </w:pPr>
            <w:r w:rsidRPr="009C11B8">
              <w:rPr>
                <w:rFonts w:cs="Arial"/>
                <w:sz w:val="20"/>
                <w:szCs w:val="20"/>
              </w:rPr>
              <w:t>EUL/RUL</w:t>
            </w:r>
          </w:p>
        </w:tc>
        <w:tc>
          <w:tcPr>
            <w:tcW w:w="3414" w:type="pct"/>
          </w:tcPr>
          <w:p w14:paraId="5BD9C961" w14:textId="47170B53" w:rsidR="00030848" w:rsidRPr="009C11B8" w:rsidRDefault="00030848" w:rsidP="009C11B8">
            <w:pPr>
              <w:spacing w:before="20" w:after="20"/>
              <w:rPr>
                <w:rFonts w:cs="Arial"/>
                <w:sz w:val="20"/>
                <w:szCs w:val="20"/>
              </w:rPr>
            </w:pPr>
            <w:r w:rsidRPr="009C11B8">
              <w:rPr>
                <w:sz w:val="20"/>
                <w:szCs w:val="20"/>
              </w:rPr>
              <w:t xml:space="preserve">Source: DEER2014. The EUL of </w:t>
            </w:r>
            <w:r w:rsidR="008179F8" w:rsidRPr="009C11B8">
              <w:rPr>
                <w:sz w:val="20"/>
                <w:szCs w:val="20"/>
              </w:rPr>
              <w:t xml:space="preserve">20 </w:t>
            </w:r>
            <w:r w:rsidRPr="009C11B8">
              <w:rPr>
                <w:sz w:val="20"/>
                <w:szCs w:val="20"/>
              </w:rPr>
              <w:t xml:space="preserve">years is associated with EUL ID: </w:t>
            </w:r>
            <w:proofErr w:type="spellStart"/>
            <w:r w:rsidR="005676B2" w:rsidRPr="009C11B8">
              <w:rPr>
                <w:i/>
                <w:sz w:val="20"/>
                <w:szCs w:val="20"/>
              </w:rPr>
              <w:t>WtrHt</w:t>
            </w:r>
            <w:proofErr w:type="spellEnd"/>
            <w:r w:rsidR="005676B2" w:rsidRPr="009C11B8">
              <w:rPr>
                <w:i/>
                <w:sz w:val="20"/>
                <w:szCs w:val="20"/>
              </w:rPr>
              <w:t>-Instant-</w:t>
            </w:r>
            <w:r w:rsidR="00A2194A">
              <w:rPr>
                <w:i/>
                <w:sz w:val="20"/>
                <w:szCs w:val="20"/>
              </w:rPr>
              <w:t>Res</w:t>
            </w:r>
          </w:p>
        </w:tc>
      </w:tr>
    </w:tbl>
    <w:p w14:paraId="3D440479" w14:textId="77777777" w:rsidR="00EA057C" w:rsidRDefault="00EA057C" w:rsidP="004142EF"/>
    <w:p w14:paraId="09CC65B1" w14:textId="6EAD38F9" w:rsidR="0084442C" w:rsidRDefault="008607C0" w:rsidP="008607C0">
      <w:r>
        <w:t>Boilers</w:t>
      </w:r>
      <w:r w:rsidRPr="00C17A74">
        <w:t xml:space="preserve"> for multifamily residential applications are not </w:t>
      </w:r>
      <w:r>
        <w:t>specified</w:t>
      </w:r>
      <w:r w:rsidRPr="00C17A74">
        <w:t xml:space="preserve"> in</w:t>
      </w:r>
      <w:r w:rsidRPr="00CA7FE4">
        <w:t xml:space="preserve"> the 201</w:t>
      </w:r>
      <w:r>
        <w:t>3</w:t>
      </w:r>
      <w:r w:rsidRPr="00CA7FE4">
        <w:t xml:space="preserve"> Database for Energy-Efficient Resources (</w:t>
      </w:r>
      <w:r>
        <w:t>DEER2013</w:t>
      </w:r>
      <w:r w:rsidRPr="00CA7FE4">
        <w:t xml:space="preserve">) </w:t>
      </w:r>
      <w:bookmarkStart w:id="81" w:name="_Ref336253297"/>
      <w:r>
        <w:t>Update for 2014 Codes</w:t>
      </w:r>
      <w:r w:rsidRPr="00CA7FE4">
        <w:t>.</w:t>
      </w:r>
      <w:bookmarkEnd w:id="81"/>
      <w:r>
        <w:t xml:space="preserve"> </w:t>
      </w:r>
      <w:r w:rsidR="00C403FC">
        <w:t xml:space="preserve">The following table </w:t>
      </w:r>
      <w:r>
        <w:t xml:space="preserve">lists the </w:t>
      </w:r>
      <w:r w:rsidR="00C403FC">
        <w:t>baseline</w:t>
      </w:r>
      <w:r>
        <w:t xml:space="preserve"> and measure efficiencies for commercial instantaneous water heaters found in the </w:t>
      </w:r>
      <w:bookmarkStart w:id="82" w:name="_Ref320803193"/>
      <w:r>
        <w:t>DEER</w:t>
      </w:r>
      <w:r w:rsidR="0084442C">
        <w:t xml:space="preserve"> </w:t>
      </w:r>
      <w:r>
        <w:t>2014.</w:t>
      </w:r>
      <w:bookmarkEnd w:id="82"/>
      <w:r>
        <w:t xml:space="preserve"> It should be noted that the 80% baseline of the DEER model </w:t>
      </w:r>
      <w:r w:rsidR="0084442C">
        <w:t>references</w:t>
      </w:r>
      <w:r>
        <w:t xml:space="preserve"> commercial storage water heaters, which is anticipated to be </w:t>
      </w:r>
      <w:proofErr w:type="gramStart"/>
      <w:r>
        <w:t>similar to</w:t>
      </w:r>
      <w:proofErr w:type="gramEnd"/>
      <w:r>
        <w:t xml:space="preserve"> a commercial boiler when all standby losses are omitted from the analysis. The DEER </w:t>
      </w:r>
      <w:r w:rsidR="0084442C">
        <w:t>base case</w:t>
      </w:r>
      <w:r>
        <w:t xml:space="preserve"> </w:t>
      </w:r>
      <w:r w:rsidRPr="001131B7">
        <w:t xml:space="preserve">efficiencies </w:t>
      </w:r>
      <w:r>
        <w:t xml:space="preserve">were applied to the baseline large boiler for multifamily residential applications.  </w:t>
      </w:r>
    </w:p>
    <w:p w14:paraId="3C93B57C" w14:textId="77777777" w:rsidR="0084442C" w:rsidRDefault="008607C0" w:rsidP="0084442C">
      <w:pPr>
        <w:pStyle w:val="eTRMBulletedText"/>
      </w:pPr>
      <w:r>
        <w:t xml:space="preserve">The DEER measure efficiency for </w:t>
      </w:r>
      <w:r w:rsidR="0084442C">
        <w:t>high-efficiency non-condensing b</w:t>
      </w:r>
      <w:r>
        <w:t xml:space="preserve">oilers is 85%, which is higher than the Tier 1 minimum efficiency of 84%. This difference </w:t>
      </w:r>
      <w:r w:rsidR="0084442C">
        <w:t xml:space="preserve">is </w:t>
      </w:r>
      <w:r>
        <w:t xml:space="preserve">based on trends observed on the data from previous years. </w:t>
      </w:r>
    </w:p>
    <w:p w14:paraId="3A2DB536" w14:textId="5F7FFDC1" w:rsidR="008607C0" w:rsidRDefault="008607C0" w:rsidP="0084442C">
      <w:pPr>
        <w:pStyle w:val="eTRMBulletedText"/>
      </w:pPr>
      <w:r>
        <w:t xml:space="preserve">The DEER measure </w:t>
      </w:r>
      <w:r w:rsidR="0084442C">
        <w:t xml:space="preserve">case </w:t>
      </w:r>
      <w:r>
        <w:t xml:space="preserve">efficiency for the </w:t>
      </w:r>
      <w:r w:rsidR="0084442C">
        <w:t>condensing boilers</w:t>
      </w:r>
      <w:r>
        <w:t xml:space="preserve"> is 90% which is identical to the minimum requirements for a Tier 2 application. </w:t>
      </w:r>
    </w:p>
    <w:p w14:paraId="0149AF1E" w14:textId="106911D5" w:rsidR="008607C0" w:rsidRPr="00DA636A" w:rsidRDefault="008607C0" w:rsidP="005F4CD9">
      <w:pPr>
        <w:pStyle w:val="Caption"/>
        <w:keepNext/>
        <w:keepLines/>
      </w:pPr>
      <w:bookmarkStart w:id="83" w:name="_Toc370197553"/>
      <w:bookmarkStart w:id="84" w:name="_Toc462148363"/>
      <w:r>
        <w:t>Boiler</w:t>
      </w:r>
      <w:r w:rsidRPr="00DA636A">
        <w:t xml:space="preserve"> </w:t>
      </w:r>
      <w:r>
        <w:t xml:space="preserve">Thermal </w:t>
      </w:r>
      <w:r w:rsidRPr="00DA636A">
        <w:t xml:space="preserve">Efficiencies in </w:t>
      </w:r>
      <w:r>
        <w:t>DEER2013</w:t>
      </w:r>
      <w:bookmarkEnd w:id="83"/>
      <w:bookmarkEnd w:id="84"/>
    </w:p>
    <w:tbl>
      <w:tblPr>
        <w:tblStyle w:val="TableGrid"/>
        <w:tblW w:w="937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43" w:type="dxa"/>
          <w:left w:w="115" w:type="dxa"/>
          <w:bottom w:w="43" w:type="dxa"/>
          <w:right w:w="115" w:type="dxa"/>
        </w:tblCellMar>
        <w:tblLook w:val="01E0" w:firstRow="1" w:lastRow="1" w:firstColumn="1" w:lastColumn="1" w:noHBand="0" w:noVBand="0"/>
      </w:tblPr>
      <w:tblGrid>
        <w:gridCol w:w="6138"/>
        <w:gridCol w:w="1621"/>
        <w:gridCol w:w="1611"/>
      </w:tblGrid>
      <w:tr w:rsidR="008607C0" w:rsidRPr="0084442C" w14:paraId="1B387791" w14:textId="77777777" w:rsidTr="0084442C">
        <w:trPr>
          <w:trHeight w:val="20"/>
          <w:jc w:val="center"/>
        </w:trPr>
        <w:tc>
          <w:tcPr>
            <w:tcW w:w="6138" w:type="dxa"/>
            <w:shd w:val="clear" w:color="auto" w:fill="F2F2F2" w:themeFill="background1" w:themeFillShade="F2"/>
            <w:vAlign w:val="bottom"/>
          </w:tcPr>
          <w:p w14:paraId="02CFB80A" w14:textId="76A5FC01" w:rsidR="008607C0" w:rsidRPr="00C32502" w:rsidRDefault="008607C0" w:rsidP="005F4CD9">
            <w:pPr>
              <w:pStyle w:val="Normal1"/>
              <w:keepNext/>
              <w:keepLines/>
              <w:spacing w:after="0" w:line="240" w:lineRule="auto"/>
              <w:jc w:val="center"/>
              <w:rPr>
                <w:rFonts w:ascii="Calibri Light" w:hAnsi="Calibri Light" w:cs="Arial"/>
                <w:b/>
                <w:sz w:val="20"/>
              </w:rPr>
            </w:pPr>
            <w:r w:rsidRPr="00C32502">
              <w:rPr>
                <w:rFonts w:ascii="Calibri Light" w:hAnsi="Calibri Light" w:cs="Arial"/>
                <w:b/>
                <w:sz w:val="20"/>
              </w:rPr>
              <w:t>Equipment Type</w:t>
            </w:r>
            <w:r w:rsidR="00B750B9" w:rsidRPr="00C32502">
              <w:rPr>
                <w:rFonts w:ascii="Calibri Light" w:hAnsi="Calibri Light" w:cs="Arial"/>
                <w:b/>
                <w:sz w:val="20"/>
              </w:rPr>
              <w:t xml:space="preserve"> and DEER ID</w:t>
            </w:r>
          </w:p>
        </w:tc>
        <w:tc>
          <w:tcPr>
            <w:tcW w:w="1621" w:type="dxa"/>
            <w:shd w:val="clear" w:color="auto" w:fill="F2F2F2" w:themeFill="background1" w:themeFillShade="F2"/>
            <w:vAlign w:val="bottom"/>
          </w:tcPr>
          <w:p w14:paraId="75D41C91" w14:textId="26DBF62E" w:rsidR="008607C0" w:rsidRPr="00C32502" w:rsidRDefault="0084442C" w:rsidP="005F4CD9">
            <w:pPr>
              <w:pStyle w:val="Normal1"/>
              <w:keepNext/>
              <w:keepLines/>
              <w:spacing w:after="0" w:line="240" w:lineRule="auto"/>
              <w:jc w:val="center"/>
              <w:rPr>
                <w:rFonts w:ascii="Calibri Light" w:hAnsi="Calibri Light" w:cs="Arial"/>
                <w:b/>
                <w:sz w:val="20"/>
              </w:rPr>
            </w:pPr>
            <w:r w:rsidRPr="00C32502">
              <w:rPr>
                <w:rFonts w:ascii="Calibri Light" w:hAnsi="Calibri Light" w:cs="Arial"/>
                <w:b/>
                <w:sz w:val="20"/>
              </w:rPr>
              <w:t>DEER Base Case Efficiency</w:t>
            </w:r>
          </w:p>
        </w:tc>
        <w:tc>
          <w:tcPr>
            <w:tcW w:w="1611" w:type="dxa"/>
            <w:shd w:val="clear" w:color="auto" w:fill="F2F2F2" w:themeFill="background1" w:themeFillShade="F2"/>
            <w:vAlign w:val="bottom"/>
          </w:tcPr>
          <w:p w14:paraId="6558D035" w14:textId="3FEA134D" w:rsidR="008607C0" w:rsidRPr="00C32502" w:rsidRDefault="008607C0" w:rsidP="005F4CD9">
            <w:pPr>
              <w:pStyle w:val="Normal1"/>
              <w:keepNext/>
              <w:keepLines/>
              <w:spacing w:after="0" w:line="240" w:lineRule="auto"/>
              <w:jc w:val="center"/>
              <w:rPr>
                <w:rFonts w:ascii="Calibri Light" w:hAnsi="Calibri Light" w:cs="Arial"/>
                <w:b/>
                <w:sz w:val="20"/>
              </w:rPr>
            </w:pPr>
            <w:r w:rsidRPr="00C32502">
              <w:rPr>
                <w:rFonts w:ascii="Calibri Light" w:hAnsi="Calibri Light" w:cs="Arial"/>
                <w:b/>
                <w:sz w:val="20"/>
              </w:rPr>
              <w:t>DEER Measure</w:t>
            </w:r>
            <w:r w:rsidR="0084442C" w:rsidRPr="00C32502">
              <w:rPr>
                <w:rFonts w:ascii="Calibri Light" w:hAnsi="Calibri Light" w:cs="Arial"/>
                <w:b/>
                <w:sz w:val="20"/>
              </w:rPr>
              <w:t xml:space="preserve"> Case Efficiency</w:t>
            </w:r>
          </w:p>
        </w:tc>
      </w:tr>
      <w:tr w:rsidR="008607C0" w:rsidRPr="0084442C" w14:paraId="6D893ABE" w14:textId="77777777" w:rsidTr="0084442C">
        <w:trPr>
          <w:trHeight w:val="20"/>
          <w:jc w:val="center"/>
        </w:trPr>
        <w:tc>
          <w:tcPr>
            <w:tcW w:w="6138" w:type="dxa"/>
          </w:tcPr>
          <w:p w14:paraId="6FC1F92B" w14:textId="6C39F5E5" w:rsidR="008607C0" w:rsidRPr="006E1FA5" w:rsidRDefault="008607C0" w:rsidP="005F4CD9">
            <w:pPr>
              <w:keepNext/>
              <w:keepLines/>
              <w:spacing w:before="0" w:after="0" w:line="240" w:lineRule="auto"/>
              <w:rPr>
                <w:rFonts w:cs="Arial"/>
                <w:color w:val="000000"/>
                <w:sz w:val="20"/>
                <w:szCs w:val="20"/>
              </w:rPr>
            </w:pPr>
            <w:r w:rsidRPr="00C32502">
              <w:rPr>
                <w:rFonts w:cs="Arial"/>
                <w:color w:val="000000"/>
                <w:sz w:val="20"/>
                <w:szCs w:val="20"/>
              </w:rPr>
              <w:t>MF Central DHW Boiler &amp; Tankl</w:t>
            </w:r>
            <w:r w:rsidR="00B750B9" w:rsidRPr="00C32502">
              <w:rPr>
                <w:rFonts w:cs="Arial"/>
                <w:color w:val="000000"/>
                <w:sz w:val="20"/>
                <w:szCs w:val="20"/>
              </w:rPr>
              <w:t>ess WH, Tier 1 (non-condensing)</w:t>
            </w:r>
          </w:p>
        </w:tc>
        <w:tc>
          <w:tcPr>
            <w:tcW w:w="1621" w:type="dxa"/>
            <w:vAlign w:val="center"/>
          </w:tcPr>
          <w:p w14:paraId="7F80D01E" w14:textId="77777777" w:rsidR="008607C0" w:rsidRPr="00C32502" w:rsidRDefault="008607C0" w:rsidP="005F4CD9">
            <w:pPr>
              <w:keepNext/>
              <w:keepLines/>
              <w:spacing w:before="0" w:after="0" w:line="240" w:lineRule="auto"/>
              <w:jc w:val="center"/>
              <w:rPr>
                <w:rFonts w:cs="Arial"/>
                <w:color w:val="000000"/>
                <w:sz w:val="20"/>
                <w:szCs w:val="20"/>
              </w:rPr>
            </w:pPr>
            <w:r w:rsidRPr="00C32502">
              <w:rPr>
                <w:rFonts w:cs="Arial"/>
                <w:color w:val="000000"/>
                <w:sz w:val="20"/>
                <w:szCs w:val="20"/>
              </w:rPr>
              <w:t>80%</w:t>
            </w:r>
          </w:p>
        </w:tc>
        <w:tc>
          <w:tcPr>
            <w:tcW w:w="1611" w:type="dxa"/>
            <w:vAlign w:val="center"/>
          </w:tcPr>
          <w:p w14:paraId="0BBD0583" w14:textId="77777777" w:rsidR="008607C0" w:rsidRPr="00C32502" w:rsidRDefault="008607C0" w:rsidP="005F4CD9">
            <w:pPr>
              <w:keepNext/>
              <w:keepLines/>
              <w:spacing w:before="0" w:after="0" w:line="240" w:lineRule="auto"/>
              <w:jc w:val="center"/>
              <w:rPr>
                <w:rFonts w:cs="Arial"/>
                <w:color w:val="000000"/>
                <w:sz w:val="20"/>
                <w:szCs w:val="20"/>
              </w:rPr>
            </w:pPr>
            <w:r w:rsidRPr="00C32502">
              <w:rPr>
                <w:rFonts w:cs="Arial"/>
                <w:color w:val="000000"/>
                <w:sz w:val="20"/>
                <w:szCs w:val="20"/>
              </w:rPr>
              <w:t>85%</w:t>
            </w:r>
          </w:p>
        </w:tc>
      </w:tr>
      <w:tr w:rsidR="008607C0" w:rsidRPr="0084442C" w14:paraId="42AF7154" w14:textId="77777777" w:rsidTr="0084442C">
        <w:trPr>
          <w:trHeight w:val="20"/>
          <w:jc w:val="center"/>
        </w:trPr>
        <w:tc>
          <w:tcPr>
            <w:tcW w:w="6138" w:type="dxa"/>
          </w:tcPr>
          <w:p w14:paraId="37372732" w14:textId="0BEEE9E5" w:rsidR="008607C0" w:rsidRPr="00C32502" w:rsidRDefault="008607C0" w:rsidP="005F4CD9">
            <w:pPr>
              <w:keepNext/>
              <w:keepLines/>
              <w:spacing w:before="0" w:after="0" w:line="240" w:lineRule="auto"/>
              <w:rPr>
                <w:rFonts w:cs="Arial"/>
                <w:sz w:val="20"/>
                <w:szCs w:val="20"/>
              </w:rPr>
            </w:pPr>
            <w:r w:rsidRPr="00C32502">
              <w:rPr>
                <w:rFonts w:cs="Arial"/>
                <w:color w:val="000000"/>
                <w:sz w:val="20"/>
                <w:szCs w:val="20"/>
              </w:rPr>
              <w:t xml:space="preserve">MF Central DHW Boiler &amp; Tankless WH, Tier 2 </w:t>
            </w:r>
            <w:r w:rsidR="00B750B9" w:rsidRPr="00C32502">
              <w:rPr>
                <w:rFonts w:cs="Arial"/>
                <w:sz w:val="20"/>
                <w:szCs w:val="20"/>
              </w:rPr>
              <w:t>(condensing)</w:t>
            </w:r>
          </w:p>
        </w:tc>
        <w:tc>
          <w:tcPr>
            <w:tcW w:w="1621" w:type="dxa"/>
            <w:vAlign w:val="center"/>
          </w:tcPr>
          <w:p w14:paraId="59E779A3" w14:textId="77777777" w:rsidR="008607C0" w:rsidRPr="00C32502" w:rsidRDefault="008607C0" w:rsidP="005F4CD9">
            <w:pPr>
              <w:keepNext/>
              <w:keepLines/>
              <w:spacing w:before="0" w:after="0" w:line="240" w:lineRule="auto"/>
              <w:jc w:val="center"/>
              <w:rPr>
                <w:rFonts w:cs="Arial"/>
                <w:color w:val="000000"/>
                <w:sz w:val="20"/>
                <w:szCs w:val="20"/>
              </w:rPr>
            </w:pPr>
            <w:r w:rsidRPr="00C32502">
              <w:rPr>
                <w:rFonts w:cs="Arial"/>
                <w:color w:val="000000"/>
                <w:sz w:val="20"/>
                <w:szCs w:val="20"/>
              </w:rPr>
              <w:t>80%</w:t>
            </w:r>
          </w:p>
        </w:tc>
        <w:tc>
          <w:tcPr>
            <w:tcW w:w="1611" w:type="dxa"/>
            <w:vAlign w:val="center"/>
          </w:tcPr>
          <w:p w14:paraId="20323F34" w14:textId="77777777" w:rsidR="008607C0" w:rsidRPr="00C32502" w:rsidRDefault="008607C0" w:rsidP="005F4CD9">
            <w:pPr>
              <w:keepNext/>
              <w:keepLines/>
              <w:spacing w:before="0" w:after="0" w:line="240" w:lineRule="auto"/>
              <w:jc w:val="center"/>
              <w:rPr>
                <w:rFonts w:cs="Arial"/>
                <w:color w:val="000000"/>
                <w:sz w:val="20"/>
                <w:szCs w:val="20"/>
              </w:rPr>
            </w:pPr>
            <w:r w:rsidRPr="00C32502">
              <w:rPr>
                <w:rFonts w:cs="Arial"/>
                <w:color w:val="000000"/>
                <w:sz w:val="20"/>
                <w:szCs w:val="20"/>
              </w:rPr>
              <w:t>90%</w:t>
            </w:r>
          </w:p>
        </w:tc>
      </w:tr>
    </w:tbl>
    <w:p w14:paraId="7E2F2C69" w14:textId="77777777" w:rsidR="0012196B" w:rsidRDefault="0012196B" w:rsidP="004142EF"/>
    <w:p w14:paraId="4B43E23A" w14:textId="4A030182" w:rsidR="009C31A4" w:rsidRDefault="0012196B" w:rsidP="004142EF">
      <w:r>
        <w:t xml:space="preserve">Finally, </w:t>
      </w:r>
      <w:r w:rsidR="00CE51A0">
        <w:t>DEER2013 cost data</w:t>
      </w:r>
      <w:r w:rsidR="00CE51A0" w:rsidRPr="00EE0715">
        <w:t xml:space="preserve"> are reported as the cost per </w:t>
      </w:r>
      <w:r w:rsidR="00CE51A0">
        <w:t>boiler</w:t>
      </w:r>
      <w:r w:rsidR="00CE51A0" w:rsidRPr="00EE0715">
        <w:t xml:space="preserve">, not the cost per </w:t>
      </w:r>
      <w:proofErr w:type="spellStart"/>
      <w:r w:rsidR="00CE51A0">
        <w:t>kBtu</w:t>
      </w:r>
      <w:proofErr w:type="spellEnd"/>
      <w:r w:rsidR="00CE51A0">
        <w:t xml:space="preserve">/hr. </w:t>
      </w:r>
      <w:r w:rsidR="00CE51A0" w:rsidRPr="00EE0715">
        <w:t>Because the input rates are not provided in DEER cost data, cost/</w:t>
      </w:r>
      <w:proofErr w:type="spellStart"/>
      <w:r w:rsidR="00CE51A0" w:rsidRPr="00EE0715">
        <w:t>kBtu</w:t>
      </w:r>
      <w:proofErr w:type="spellEnd"/>
      <w:r w:rsidR="00CE51A0">
        <w:t>/</w:t>
      </w:r>
      <w:proofErr w:type="spellStart"/>
      <w:r w:rsidR="00CE51A0" w:rsidRPr="00EE0715">
        <w:t>h</w:t>
      </w:r>
      <w:r w:rsidR="00CE51A0">
        <w:t>r</w:t>
      </w:r>
      <w:proofErr w:type="spellEnd"/>
      <w:r w:rsidR="00CE51A0" w:rsidRPr="00EE0715">
        <w:t xml:space="preserve"> cannot be calculated, and thus these DEER data are not used for determining the incremental measure cost.</w:t>
      </w:r>
    </w:p>
    <w:p w14:paraId="5DC21DA8" w14:textId="77777777" w:rsidR="00CE51A0" w:rsidRPr="004B06E3" w:rsidRDefault="00CE51A0" w:rsidP="004142EF"/>
    <w:p w14:paraId="59542C0D" w14:textId="77777777" w:rsidR="007D230B" w:rsidRDefault="007D230B" w:rsidP="00777422">
      <w:pPr>
        <w:pStyle w:val="eTRMHeading3"/>
      </w:pPr>
      <w:bookmarkStart w:id="85" w:name="_Toc486490866"/>
      <w:bookmarkStart w:id="86" w:name="_Toc486580937"/>
      <w:bookmarkStart w:id="87" w:name="_Toc1723502"/>
      <w:r w:rsidRPr="004B06E3">
        <w:t>Revision History</w:t>
      </w:r>
      <w:bookmarkEnd w:id="85"/>
      <w:bookmarkEnd w:id="86"/>
      <w:bookmarkEnd w:id="87"/>
    </w:p>
    <w:p w14:paraId="21F9149A" w14:textId="37D92C1C" w:rsidR="00D45BBF" w:rsidRDefault="00D45BBF" w:rsidP="00187521">
      <w:pPr>
        <w:pStyle w:val="Caption"/>
      </w:pPr>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756"/>
        <w:gridCol w:w="1801"/>
        <w:gridCol w:w="4853"/>
      </w:tblGrid>
      <w:tr w:rsidR="00D45BBF" w:rsidRPr="007413E0" w14:paraId="08FFC950" w14:textId="77777777" w:rsidTr="00280BA9">
        <w:trPr>
          <w:trHeight w:val="20"/>
        </w:trPr>
        <w:tc>
          <w:tcPr>
            <w:tcW w:w="503" w:type="pct"/>
            <w:shd w:val="clear" w:color="auto" w:fill="F2F2F2" w:themeFill="background1" w:themeFillShade="F2"/>
            <w:vAlign w:val="bottom"/>
          </w:tcPr>
          <w:p w14:paraId="6B981AB4" w14:textId="77777777" w:rsidR="00D45BBF" w:rsidRPr="007413E0" w:rsidRDefault="00D45BBF" w:rsidP="00B43CDC">
            <w:pPr>
              <w:keepNext/>
              <w:keepLines/>
              <w:tabs>
                <w:tab w:val="right" w:pos="2957"/>
              </w:tabs>
              <w:spacing w:before="20" w:after="20"/>
              <w:rPr>
                <w:rFonts w:cs="Arial"/>
                <w:b/>
                <w:sz w:val="20"/>
                <w:szCs w:val="20"/>
              </w:rPr>
            </w:pPr>
            <w:r w:rsidRPr="007413E0">
              <w:rPr>
                <w:rFonts w:cs="Arial"/>
                <w:b/>
                <w:sz w:val="20"/>
                <w:szCs w:val="20"/>
              </w:rPr>
              <w:t>Revision Number</w:t>
            </w:r>
          </w:p>
        </w:tc>
        <w:tc>
          <w:tcPr>
            <w:tcW w:w="939" w:type="pct"/>
            <w:shd w:val="clear" w:color="auto" w:fill="F2F2F2" w:themeFill="background1" w:themeFillShade="F2"/>
            <w:vAlign w:val="bottom"/>
          </w:tcPr>
          <w:p w14:paraId="45456586" w14:textId="7E516C77" w:rsidR="00D45BBF" w:rsidRPr="007413E0" w:rsidRDefault="005F4CD9" w:rsidP="00B43CDC">
            <w:pPr>
              <w:keepNext/>
              <w:keepLines/>
              <w:spacing w:before="20" w:after="20"/>
              <w:rPr>
                <w:rFonts w:cs="Arial"/>
                <w:b/>
                <w:sz w:val="20"/>
                <w:szCs w:val="20"/>
              </w:rPr>
            </w:pPr>
            <w:r>
              <w:rPr>
                <w:rFonts w:cs="Arial"/>
                <w:b/>
                <w:sz w:val="20"/>
                <w:szCs w:val="20"/>
              </w:rPr>
              <w:t xml:space="preserve">Revision Complete </w:t>
            </w:r>
            <w:r w:rsidR="00D45BBF" w:rsidRPr="007413E0">
              <w:rPr>
                <w:rFonts w:cs="Arial"/>
                <w:b/>
                <w:sz w:val="20"/>
                <w:szCs w:val="20"/>
              </w:rPr>
              <w:t>Date</w:t>
            </w:r>
          </w:p>
        </w:tc>
        <w:tc>
          <w:tcPr>
            <w:tcW w:w="963" w:type="pct"/>
            <w:shd w:val="clear" w:color="auto" w:fill="F2F2F2" w:themeFill="background1" w:themeFillShade="F2"/>
            <w:vAlign w:val="bottom"/>
          </w:tcPr>
          <w:p w14:paraId="1254A285" w14:textId="77777777" w:rsidR="00D45BBF" w:rsidRPr="007413E0" w:rsidRDefault="00D45BBF" w:rsidP="00B43CDC">
            <w:pPr>
              <w:keepNext/>
              <w:keepLines/>
              <w:spacing w:before="20" w:after="20"/>
              <w:rPr>
                <w:rFonts w:cs="Arial"/>
                <w:b/>
                <w:sz w:val="20"/>
                <w:szCs w:val="20"/>
              </w:rPr>
            </w:pPr>
            <w:r w:rsidRPr="007413E0">
              <w:rPr>
                <w:rFonts w:cs="Arial"/>
                <w:b/>
                <w:sz w:val="20"/>
                <w:szCs w:val="20"/>
              </w:rPr>
              <w:t>Primary Author, Title, Organization</w:t>
            </w:r>
          </w:p>
        </w:tc>
        <w:tc>
          <w:tcPr>
            <w:tcW w:w="2595" w:type="pct"/>
            <w:shd w:val="clear" w:color="auto" w:fill="F2F2F2" w:themeFill="background1" w:themeFillShade="F2"/>
            <w:vAlign w:val="bottom"/>
          </w:tcPr>
          <w:p w14:paraId="0C4688EE" w14:textId="65D55573" w:rsidR="00D45BBF" w:rsidRPr="007413E0" w:rsidRDefault="00D45BBF" w:rsidP="00B43CDC">
            <w:pPr>
              <w:keepNext/>
              <w:keepLines/>
              <w:spacing w:before="20" w:after="20"/>
              <w:rPr>
                <w:rFonts w:cs="Arial"/>
                <w:b/>
                <w:sz w:val="20"/>
                <w:szCs w:val="20"/>
              </w:rPr>
            </w:pPr>
            <w:r w:rsidRPr="007413E0">
              <w:rPr>
                <w:rFonts w:cs="Arial"/>
                <w:b/>
                <w:sz w:val="20"/>
                <w:szCs w:val="20"/>
              </w:rPr>
              <w:t>Revision Summary and Rationale for Revision</w:t>
            </w:r>
          </w:p>
        </w:tc>
      </w:tr>
      <w:tr w:rsidR="00280BA9" w:rsidRPr="007413E0" w14:paraId="6BE1AF29" w14:textId="77777777" w:rsidTr="00280BA9">
        <w:trPr>
          <w:trHeight w:val="20"/>
        </w:trPr>
        <w:tc>
          <w:tcPr>
            <w:tcW w:w="503" w:type="pct"/>
            <w:vMerge w:val="restart"/>
          </w:tcPr>
          <w:p w14:paraId="57DAB40A" w14:textId="77777777" w:rsidR="00280BA9" w:rsidRPr="007413E0" w:rsidRDefault="00280BA9" w:rsidP="00B43CDC">
            <w:pPr>
              <w:keepNext/>
              <w:keepLines/>
              <w:spacing w:before="20" w:after="20"/>
              <w:rPr>
                <w:rFonts w:cs="Arial"/>
                <w:sz w:val="20"/>
                <w:szCs w:val="20"/>
              </w:rPr>
            </w:pPr>
            <w:r w:rsidRPr="007413E0">
              <w:rPr>
                <w:rFonts w:cs="Arial"/>
                <w:sz w:val="20"/>
                <w:szCs w:val="20"/>
              </w:rPr>
              <w:t>01</w:t>
            </w:r>
          </w:p>
        </w:tc>
        <w:tc>
          <w:tcPr>
            <w:tcW w:w="939" w:type="pct"/>
          </w:tcPr>
          <w:p w14:paraId="7C39C363" w14:textId="573F9763" w:rsidR="00280BA9" w:rsidRPr="007413E0" w:rsidRDefault="00280BA9" w:rsidP="00B43CDC">
            <w:pPr>
              <w:keepNext/>
              <w:keepLines/>
              <w:spacing w:before="20" w:after="20"/>
              <w:rPr>
                <w:rFonts w:cs="Arial"/>
                <w:sz w:val="20"/>
                <w:szCs w:val="20"/>
              </w:rPr>
            </w:pPr>
            <w:r w:rsidRPr="007413E0">
              <w:rPr>
                <w:rFonts w:cs="Arial"/>
                <w:sz w:val="20"/>
                <w:szCs w:val="20"/>
              </w:rPr>
              <w:t>03/0</w:t>
            </w:r>
            <w:r>
              <w:rPr>
                <w:rFonts w:cs="Arial"/>
                <w:sz w:val="20"/>
                <w:szCs w:val="20"/>
              </w:rPr>
              <w:t>2</w:t>
            </w:r>
            <w:r w:rsidRPr="007413E0">
              <w:rPr>
                <w:rFonts w:cs="Arial"/>
                <w:sz w:val="20"/>
                <w:szCs w:val="20"/>
              </w:rPr>
              <w:t>/2018</w:t>
            </w:r>
          </w:p>
        </w:tc>
        <w:tc>
          <w:tcPr>
            <w:tcW w:w="963" w:type="pct"/>
          </w:tcPr>
          <w:p w14:paraId="4F09B269" w14:textId="77777777" w:rsidR="00280BA9" w:rsidRPr="007413E0" w:rsidRDefault="00280BA9" w:rsidP="00B43CDC">
            <w:pPr>
              <w:keepNext/>
              <w:keepLines/>
              <w:spacing w:before="20" w:after="20"/>
              <w:rPr>
                <w:rFonts w:cs="Arial"/>
                <w:sz w:val="20"/>
                <w:szCs w:val="20"/>
              </w:rPr>
            </w:pPr>
            <w:r w:rsidRPr="007413E0">
              <w:rPr>
                <w:rFonts w:cs="Arial"/>
                <w:sz w:val="20"/>
                <w:szCs w:val="20"/>
              </w:rPr>
              <w:t>Jennifer Holmes, Cal TF Staff</w:t>
            </w:r>
          </w:p>
        </w:tc>
        <w:tc>
          <w:tcPr>
            <w:tcW w:w="2595" w:type="pct"/>
          </w:tcPr>
          <w:p w14:paraId="420E5351" w14:textId="77777777" w:rsidR="00280BA9" w:rsidRPr="007413E0" w:rsidRDefault="00280BA9" w:rsidP="00B43CDC">
            <w:pPr>
              <w:keepNext/>
              <w:keepLines/>
              <w:spacing w:before="20" w:after="20"/>
              <w:rPr>
                <w:rFonts w:cs="Arial"/>
                <w:sz w:val="20"/>
                <w:szCs w:val="20"/>
              </w:rPr>
            </w:pPr>
            <w:r w:rsidRPr="007413E0">
              <w:rPr>
                <w:rFonts w:cs="Arial"/>
                <w:sz w:val="20"/>
                <w:szCs w:val="20"/>
              </w:rPr>
              <w:t>The draft of the text fields for this statewide measure is based upon:</w:t>
            </w:r>
          </w:p>
          <w:p w14:paraId="3A9F16DA" w14:textId="70CCBE12" w:rsidR="00280BA9" w:rsidRPr="00E34357" w:rsidRDefault="00280BA9" w:rsidP="00E34357">
            <w:pPr>
              <w:keepNext/>
              <w:keepLines/>
              <w:spacing w:before="20" w:after="20"/>
              <w:rPr>
                <w:rFonts w:cs="Arial"/>
                <w:sz w:val="20"/>
                <w:szCs w:val="20"/>
              </w:rPr>
            </w:pPr>
            <w:r w:rsidRPr="00E34357">
              <w:rPr>
                <w:rFonts w:cs="Arial"/>
                <w:sz w:val="20"/>
                <w:szCs w:val="20"/>
              </w:rPr>
              <w:t>WPSCGREWH131030A Revision 1 (September 20, 2016)</w:t>
            </w:r>
          </w:p>
          <w:p w14:paraId="043C8D87" w14:textId="77777777" w:rsidR="00280BA9" w:rsidRPr="00E34357" w:rsidRDefault="00280BA9" w:rsidP="00E34357">
            <w:pPr>
              <w:keepNext/>
              <w:keepLines/>
              <w:spacing w:before="20" w:after="20"/>
              <w:rPr>
                <w:rFonts w:cs="Arial"/>
                <w:sz w:val="20"/>
                <w:szCs w:val="20"/>
              </w:rPr>
            </w:pPr>
            <w:r w:rsidRPr="00E34357">
              <w:rPr>
                <w:rFonts w:cs="Arial"/>
                <w:sz w:val="20"/>
                <w:szCs w:val="20"/>
              </w:rPr>
              <w:t>Consensus reached among Cal TF members</w:t>
            </w:r>
          </w:p>
          <w:p w14:paraId="220E2FD7" w14:textId="77777777" w:rsidR="00280BA9" w:rsidRPr="007413E0" w:rsidRDefault="00280BA9" w:rsidP="00B43CDC">
            <w:pPr>
              <w:keepNext/>
              <w:keepLines/>
              <w:spacing w:before="20" w:after="20"/>
              <w:rPr>
                <w:rFonts w:cs="Arial"/>
                <w:sz w:val="20"/>
                <w:szCs w:val="20"/>
              </w:rPr>
            </w:pPr>
            <w:r w:rsidRPr="007413E0">
              <w:rPr>
                <w:rFonts w:cs="Arial"/>
                <w:sz w:val="20"/>
                <w:szCs w:val="20"/>
              </w:rPr>
              <w:t xml:space="preserve">Revision approval TBD. </w:t>
            </w:r>
          </w:p>
          <w:p w14:paraId="154DFCA3" w14:textId="77777777" w:rsidR="00280BA9" w:rsidRPr="007413E0" w:rsidRDefault="00280BA9" w:rsidP="00B43CDC">
            <w:pPr>
              <w:keepNext/>
              <w:keepLines/>
              <w:spacing w:before="20" w:after="20"/>
              <w:rPr>
                <w:rFonts w:cs="Arial"/>
                <w:sz w:val="20"/>
                <w:szCs w:val="20"/>
              </w:rPr>
            </w:pPr>
            <w:r w:rsidRPr="007413E0">
              <w:rPr>
                <w:rFonts w:cs="Arial"/>
                <w:sz w:val="20"/>
                <w:szCs w:val="20"/>
              </w:rPr>
              <w:t>Effective date TBD.</w:t>
            </w:r>
          </w:p>
        </w:tc>
      </w:tr>
      <w:tr w:rsidR="00280BA9" w:rsidRPr="007413E0" w14:paraId="7BCCE222" w14:textId="77777777" w:rsidTr="00280BA9">
        <w:trPr>
          <w:trHeight w:val="20"/>
        </w:trPr>
        <w:tc>
          <w:tcPr>
            <w:tcW w:w="503" w:type="pct"/>
            <w:vMerge/>
          </w:tcPr>
          <w:p w14:paraId="0CD3F550" w14:textId="77777777" w:rsidR="00280BA9" w:rsidRPr="007413E0" w:rsidRDefault="00280BA9" w:rsidP="005F4CD9">
            <w:pPr>
              <w:keepNext/>
              <w:keepLines/>
              <w:spacing w:before="20" w:after="20"/>
              <w:rPr>
                <w:rFonts w:cs="Arial"/>
                <w:sz w:val="20"/>
                <w:szCs w:val="20"/>
              </w:rPr>
            </w:pPr>
          </w:p>
        </w:tc>
        <w:tc>
          <w:tcPr>
            <w:tcW w:w="939" w:type="pct"/>
          </w:tcPr>
          <w:p w14:paraId="3A76C2D9" w14:textId="0EF0E556" w:rsidR="00280BA9" w:rsidRPr="007413E0" w:rsidRDefault="00280BA9" w:rsidP="005F4CD9">
            <w:pPr>
              <w:keepNext/>
              <w:keepLines/>
              <w:spacing w:before="20" w:after="20"/>
              <w:rPr>
                <w:rFonts w:cs="Arial"/>
                <w:sz w:val="20"/>
                <w:szCs w:val="20"/>
              </w:rPr>
            </w:pPr>
            <w:r>
              <w:rPr>
                <w:rFonts w:cs="Arial"/>
                <w:sz w:val="20"/>
                <w:szCs w:val="20"/>
              </w:rPr>
              <w:t>02/28/2019</w:t>
            </w:r>
          </w:p>
        </w:tc>
        <w:tc>
          <w:tcPr>
            <w:tcW w:w="963" w:type="pct"/>
          </w:tcPr>
          <w:p w14:paraId="791DCEED" w14:textId="1EDEB72B" w:rsidR="00280BA9" w:rsidRPr="007413E0" w:rsidRDefault="00280BA9" w:rsidP="005F4CD9">
            <w:pPr>
              <w:keepNext/>
              <w:keepLines/>
              <w:spacing w:before="20" w:after="20"/>
              <w:rPr>
                <w:rFonts w:cs="Arial"/>
                <w:sz w:val="20"/>
                <w:szCs w:val="20"/>
              </w:rPr>
            </w:pPr>
            <w:r w:rsidRPr="007413E0">
              <w:rPr>
                <w:rFonts w:cs="Arial"/>
                <w:sz w:val="20"/>
                <w:szCs w:val="20"/>
              </w:rPr>
              <w:t>Jennifer Holmes, Cal TF Staff</w:t>
            </w:r>
          </w:p>
        </w:tc>
        <w:tc>
          <w:tcPr>
            <w:tcW w:w="2595" w:type="pct"/>
          </w:tcPr>
          <w:p w14:paraId="079860F9" w14:textId="5B1DB47A" w:rsidR="00280BA9" w:rsidRPr="007413E0" w:rsidRDefault="00280BA9" w:rsidP="005F4CD9">
            <w:pPr>
              <w:keepNext/>
              <w:keepLines/>
              <w:spacing w:before="20" w:after="20"/>
              <w:rPr>
                <w:rFonts w:cs="Arial"/>
                <w:sz w:val="20"/>
                <w:szCs w:val="20"/>
              </w:rPr>
            </w:pPr>
            <w:r>
              <w:rPr>
                <w:rFonts w:cs="Arial"/>
                <w:sz w:val="20"/>
                <w:szCs w:val="20"/>
              </w:rPr>
              <w:t>Revisions for submittal of version 01.</w:t>
            </w:r>
          </w:p>
        </w:tc>
      </w:tr>
      <w:tr w:rsidR="00280BA9" w:rsidRPr="007413E0" w14:paraId="7DC1481F" w14:textId="77777777" w:rsidTr="00280BA9">
        <w:trPr>
          <w:trHeight w:val="20"/>
        </w:trPr>
        <w:tc>
          <w:tcPr>
            <w:tcW w:w="503" w:type="pct"/>
            <w:vMerge/>
          </w:tcPr>
          <w:p w14:paraId="208A7113" w14:textId="77777777" w:rsidR="00280BA9" w:rsidRPr="007413E0" w:rsidRDefault="00280BA9" w:rsidP="005F4CD9">
            <w:pPr>
              <w:keepNext/>
              <w:keepLines/>
              <w:spacing w:before="20" w:after="20"/>
              <w:rPr>
                <w:rFonts w:cs="Arial"/>
                <w:sz w:val="20"/>
                <w:szCs w:val="20"/>
              </w:rPr>
            </w:pPr>
          </w:p>
        </w:tc>
        <w:tc>
          <w:tcPr>
            <w:tcW w:w="939" w:type="pct"/>
          </w:tcPr>
          <w:p w14:paraId="7A209CD3" w14:textId="445B1BC1" w:rsidR="00622293" w:rsidRDefault="00622293" w:rsidP="005F4CD9">
            <w:pPr>
              <w:keepNext/>
              <w:keepLines/>
              <w:spacing w:before="20" w:after="20"/>
              <w:rPr>
                <w:rFonts w:cs="Arial"/>
                <w:sz w:val="20"/>
                <w:szCs w:val="20"/>
              </w:rPr>
            </w:pPr>
            <w:r>
              <w:rPr>
                <w:rFonts w:cs="Arial"/>
                <w:sz w:val="20"/>
                <w:szCs w:val="20"/>
              </w:rPr>
              <w:t>0</w:t>
            </w:r>
            <w:r w:rsidR="00B55043">
              <w:rPr>
                <w:rFonts w:cs="Arial"/>
                <w:sz w:val="20"/>
                <w:szCs w:val="20"/>
              </w:rPr>
              <w:t>8</w:t>
            </w:r>
            <w:r>
              <w:rPr>
                <w:rFonts w:cs="Arial"/>
                <w:sz w:val="20"/>
                <w:szCs w:val="20"/>
              </w:rPr>
              <w:t>/</w:t>
            </w:r>
            <w:r w:rsidR="00B55043">
              <w:rPr>
                <w:rFonts w:cs="Arial"/>
                <w:sz w:val="20"/>
                <w:szCs w:val="20"/>
              </w:rPr>
              <w:t>0</w:t>
            </w:r>
            <w:r w:rsidR="006B083A">
              <w:rPr>
                <w:rFonts w:cs="Arial"/>
                <w:sz w:val="20"/>
                <w:szCs w:val="20"/>
              </w:rPr>
              <w:t>2</w:t>
            </w:r>
            <w:r>
              <w:rPr>
                <w:rFonts w:cs="Arial"/>
                <w:sz w:val="20"/>
                <w:szCs w:val="20"/>
              </w:rPr>
              <w:t>/2021</w:t>
            </w:r>
          </w:p>
        </w:tc>
        <w:tc>
          <w:tcPr>
            <w:tcW w:w="963" w:type="pct"/>
          </w:tcPr>
          <w:p w14:paraId="36429DC4" w14:textId="77777777" w:rsidR="00280BA9" w:rsidRDefault="00957276" w:rsidP="005F4CD9">
            <w:pPr>
              <w:keepNext/>
              <w:keepLines/>
              <w:spacing w:before="20" w:after="20"/>
              <w:rPr>
                <w:rFonts w:cs="Arial"/>
                <w:sz w:val="20"/>
                <w:szCs w:val="20"/>
              </w:rPr>
            </w:pPr>
            <w:r>
              <w:rPr>
                <w:rFonts w:cs="Arial"/>
                <w:sz w:val="20"/>
                <w:szCs w:val="20"/>
              </w:rPr>
              <w:t>Soe K Hla</w:t>
            </w:r>
          </w:p>
          <w:p w14:paraId="502D40F7" w14:textId="026CD41B" w:rsidR="00957276" w:rsidRPr="007413E0" w:rsidRDefault="00957276" w:rsidP="005F4CD9">
            <w:pPr>
              <w:keepNext/>
              <w:keepLines/>
              <w:spacing w:before="20" w:after="20"/>
              <w:rPr>
                <w:rFonts w:cs="Arial"/>
                <w:sz w:val="20"/>
                <w:szCs w:val="20"/>
              </w:rPr>
            </w:pPr>
            <w:r>
              <w:rPr>
                <w:rFonts w:cs="Arial"/>
                <w:sz w:val="20"/>
                <w:szCs w:val="20"/>
              </w:rPr>
              <w:t>PG&amp;E</w:t>
            </w:r>
          </w:p>
        </w:tc>
        <w:tc>
          <w:tcPr>
            <w:tcW w:w="2595" w:type="pct"/>
          </w:tcPr>
          <w:tbl>
            <w:tblPr>
              <w:tblW w:w="0" w:type="auto"/>
              <w:tblBorders>
                <w:top w:val="nil"/>
                <w:left w:val="nil"/>
                <w:bottom w:val="nil"/>
                <w:right w:val="nil"/>
              </w:tblBorders>
              <w:tblLayout w:type="fixed"/>
              <w:tblLook w:val="0000" w:firstRow="0" w:lastRow="0" w:firstColumn="0" w:lastColumn="0" w:noHBand="0" w:noVBand="0"/>
            </w:tblPr>
            <w:tblGrid>
              <w:gridCol w:w="4470"/>
            </w:tblGrid>
            <w:tr w:rsidR="00957276" w:rsidRPr="00957276" w14:paraId="784CA11D" w14:textId="77777777" w:rsidTr="00957276">
              <w:trPr>
                <w:trHeight w:val="231"/>
              </w:trPr>
              <w:tc>
                <w:tcPr>
                  <w:tcW w:w="4470" w:type="dxa"/>
                </w:tcPr>
                <w:p w14:paraId="56303446" w14:textId="4B5F735C" w:rsidR="00957276" w:rsidRPr="002803EC" w:rsidRDefault="002803EC" w:rsidP="00CE0B93">
                  <w:pPr>
                    <w:keepNext/>
                    <w:keepLines/>
                    <w:spacing w:before="20" w:after="20"/>
                    <w:ind w:left="-49" w:firstLine="4"/>
                    <w:rPr>
                      <w:rFonts w:cs="Arial"/>
                      <w:sz w:val="20"/>
                      <w:szCs w:val="20"/>
                    </w:rPr>
                  </w:pPr>
                  <w:r>
                    <w:rPr>
                      <w:rFonts w:cs="Arial"/>
                      <w:sz w:val="20"/>
                      <w:szCs w:val="20"/>
                    </w:rPr>
                    <w:t>A</w:t>
                  </w:r>
                  <w:r w:rsidR="00957276" w:rsidRPr="002803EC">
                    <w:rPr>
                      <w:rFonts w:cs="Arial"/>
                      <w:sz w:val="20"/>
                      <w:szCs w:val="20"/>
                    </w:rPr>
                    <w:t xml:space="preserve">dopted all measures for PG&amp;E. </w:t>
                  </w:r>
                </w:p>
                <w:p w14:paraId="12523F21" w14:textId="451B3468" w:rsidR="00957276" w:rsidRPr="00957276" w:rsidRDefault="00957276" w:rsidP="00CE0B93">
                  <w:pPr>
                    <w:keepNext/>
                    <w:keepLines/>
                    <w:spacing w:before="20" w:after="20"/>
                    <w:ind w:left="-49" w:firstLine="4"/>
                    <w:rPr>
                      <w:rFonts w:ascii="Calibri" w:hAnsi="Calibri" w:cs="Calibri"/>
                      <w:color w:val="000000"/>
                      <w:sz w:val="20"/>
                      <w:szCs w:val="20"/>
                    </w:rPr>
                  </w:pPr>
                  <w:r w:rsidRPr="002803EC">
                    <w:rPr>
                      <w:rFonts w:cs="Arial"/>
                      <w:sz w:val="20"/>
                      <w:szCs w:val="20"/>
                    </w:rPr>
                    <w:t xml:space="preserve">Fixed incorrect </w:t>
                  </w:r>
                  <w:proofErr w:type="spellStart"/>
                  <w:r w:rsidR="00216B53" w:rsidRPr="002803EC">
                    <w:rPr>
                      <w:rFonts w:cs="Arial"/>
                      <w:sz w:val="20"/>
                      <w:szCs w:val="20"/>
                    </w:rPr>
                    <w:t>StdCost</w:t>
                  </w:r>
                  <w:proofErr w:type="spellEnd"/>
                  <w:r w:rsidRPr="002803EC">
                    <w:rPr>
                      <w:rFonts w:cs="Arial"/>
                      <w:sz w:val="20"/>
                      <w:szCs w:val="20"/>
                    </w:rPr>
                    <w:t xml:space="preserve"> ID in EAD</w:t>
                  </w:r>
                  <w:r w:rsidR="00D005C6" w:rsidRPr="002803EC">
                    <w:rPr>
                      <w:rFonts w:cs="Arial"/>
                      <w:sz w:val="20"/>
                      <w:szCs w:val="20"/>
                    </w:rPr>
                    <w:t xml:space="preserve">- </w:t>
                  </w:r>
                  <w:proofErr w:type="spellStart"/>
                  <w:r w:rsidR="00D005C6" w:rsidRPr="002803EC">
                    <w:rPr>
                      <w:rFonts w:cs="Arial"/>
                      <w:sz w:val="20"/>
                      <w:szCs w:val="20"/>
                    </w:rPr>
                    <w:t>MeasureExAnte</w:t>
                  </w:r>
                  <w:proofErr w:type="spellEnd"/>
                  <w:r w:rsidR="00D005C6" w:rsidRPr="002803EC">
                    <w:rPr>
                      <w:rFonts w:cs="Arial"/>
                      <w:sz w:val="20"/>
                      <w:szCs w:val="20"/>
                    </w:rPr>
                    <w:t xml:space="preserve"> Tab</w:t>
                  </w:r>
                  <w:r w:rsidRPr="002803EC">
                    <w:rPr>
                      <w:rFonts w:cs="Arial"/>
                      <w:sz w:val="20"/>
                      <w:szCs w:val="20"/>
                    </w:rPr>
                    <w:t>.</w:t>
                  </w:r>
                  <w:r w:rsidRPr="00957276">
                    <w:rPr>
                      <w:rFonts w:ascii="Calibri" w:hAnsi="Calibri" w:cs="Calibri"/>
                      <w:color w:val="000000"/>
                      <w:sz w:val="20"/>
                      <w:szCs w:val="20"/>
                    </w:rPr>
                    <w:t xml:space="preserve"> </w:t>
                  </w:r>
                </w:p>
              </w:tc>
            </w:tr>
          </w:tbl>
          <w:p w14:paraId="73221660" w14:textId="77777777" w:rsidR="00280BA9" w:rsidRDefault="00280BA9" w:rsidP="005F4CD9">
            <w:pPr>
              <w:keepNext/>
              <w:keepLines/>
              <w:spacing w:before="20" w:after="20"/>
              <w:rPr>
                <w:rFonts w:cs="Arial"/>
                <w:sz w:val="20"/>
                <w:szCs w:val="20"/>
              </w:rPr>
            </w:pPr>
          </w:p>
        </w:tc>
      </w:tr>
    </w:tbl>
    <w:p w14:paraId="4C09AFB4" w14:textId="77777777" w:rsidR="00D45BBF" w:rsidRDefault="00D45BBF" w:rsidP="00D45BBF"/>
    <w:p w14:paraId="0F133B60" w14:textId="77777777" w:rsidR="00387072" w:rsidRDefault="00387072" w:rsidP="00387072"/>
    <w:sectPr w:rsidR="00387072"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5BEF1" w14:textId="77777777" w:rsidR="0073417D" w:rsidRDefault="0073417D" w:rsidP="00A2690C">
      <w:r>
        <w:separator/>
      </w:r>
    </w:p>
    <w:p w14:paraId="38BAEA22" w14:textId="77777777" w:rsidR="0073417D" w:rsidRDefault="0073417D"/>
  </w:endnote>
  <w:endnote w:type="continuationSeparator" w:id="0">
    <w:p w14:paraId="3AA4067D" w14:textId="77777777" w:rsidR="0073417D" w:rsidRDefault="0073417D" w:rsidP="00A2690C">
      <w:r>
        <w:continuationSeparator/>
      </w:r>
    </w:p>
    <w:p w14:paraId="4199CA71" w14:textId="77777777" w:rsidR="0073417D" w:rsidRDefault="0073417D"/>
  </w:endnote>
  <w:endnote w:type="continuationNotice" w:id="1">
    <w:p w14:paraId="23DCCFA1" w14:textId="77777777" w:rsidR="0073417D" w:rsidRDefault="0073417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alibri"/>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altName w:val="ＭＳ Ｐ明朝"/>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216AC7" w:rsidRDefault="00216AC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216AC7" w:rsidRPr="00B837C1" w:rsidRDefault="00216AC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216AC7" w:rsidRDefault="00216AC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7FFF09DF" w:rsidR="00216AC7" w:rsidRPr="00B837C1" w:rsidRDefault="00216AC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3</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216AC7" w:rsidRDefault="00216AC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7BFFB47" w:rsidR="00216AC7" w:rsidRPr="005F505E" w:rsidRDefault="00216AC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DA2AF" w14:textId="77777777" w:rsidR="0073417D" w:rsidRDefault="0073417D" w:rsidP="00A2690C">
      <w:r>
        <w:separator/>
      </w:r>
    </w:p>
    <w:p w14:paraId="5BF6D728" w14:textId="77777777" w:rsidR="0073417D" w:rsidRDefault="0073417D"/>
  </w:footnote>
  <w:footnote w:type="continuationSeparator" w:id="0">
    <w:p w14:paraId="1C615D93" w14:textId="77777777" w:rsidR="0073417D" w:rsidRDefault="0073417D" w:rsidP="00A2690C">
      <w:r>
        <w:continuationSeparator/>
      </w:r>
    </w:p>
    <w:p w14:paraId="5E4FA273" w14:textId="77777777" w:rsidR="0073417D" w:rsidRDefault="0073417D"/>
  </w:footnote>
  <w:footnote w:type="continuationNotice" w:id="1">
    <w:p w14:paraId="20B7F8ED" w14:textId="77777777" w:rsidR="0073417D" w:rsidRDefault="0073417D">
      <w:pPr>
        <w:spacing w:before="0" w:after="0" w:line="240" w:lineRule="auto"/>
      </w:pPr>
    </w:p>
  </w:footnote>
  <w:footnote w:id="2">
    <w:p w14:paraId="43E8D9AF" w14:textId="11794270" w:rsidR="00216AC7" w:rsidRDefault="00216AC7" w:rsidP="00016013">
      <w:pPr>
        <w:pStyle w:val="FootnoteText"/>
      </w:pPr>
      <w:r>
        <w:rPr>
          <w:rStyle w:val="FootnoteReference"/>
        </w:rPr>
        <w:footnoteRef/>
      </w:r>
      <w:r>
        <w:t xml:space="preserve"> </w:t>
      </w:r>
      <w:r w:rsidRPr="00EE3E96">
        <w:t xml:space="preserve">Southern California Gas Company. 2012. "2013-12 - SCG - CEC Boiler Database2.xlsx." March 7. </w:t>
      </w:r>
    </w:p>
    <w:p w14:paraId="6824C549" w14:textId="77777777" w:rsidR="00216AC7" w:rsidRDefault="00216AC7" w:rsidP="00016013">
      <w:pPr>
        <w:pStyle w:val="FootnoteText"/>
      </w:pPr>
    </w:p>
  </w:footnote>
  <w:footnote w:id="3">
    <w:p w14:paraId="1FD28012" w14:textId="6C4047C3" w:rsidR="00216AC7" w:rsidRPr="00FC612E" w:rsidRDefault="00216AC7" w:rsidP="00D8317E">
      <w:pPr>
        <w:pStyle w:val="FootnoteText"/>
        <w:rPr>
          <w:szCs w:val="18"/>
        </w:rPr>
      </w:pPr>
      <w:r>
        <w:rPr>
          <w:rStyle w:val="FootnoteReference"/>
        </w:rPr>
        <w:footnoteRef/>
      </w:r>
      <w:r>
        <w:t xml:space="preserve"> </w:t>
      </w:r>
      <w:r w:rsidRPr="00FC612E">
        <w:rPr>
          <w:szCs w:val="18"/>
        </w:rPr>
        <w:t xml:space="preserve">California Energy Commission (CEC). 2012. </w:t>
      </w:r>
      <w:r w:rsidRPr="00FC612E">
        <w:rPr>
          <w:i/>
          <w:szCs w:val="18"/>
        </w:rPr>
        <w:t>2012 Appliance Efficiency Regulations</w:t>
      </w:r>
      <w:r w:rsidRPr="00FC612E">
        <w:rPr>
          <w:szCs w:val="18"/>
        </w:rPr>
        <w:t>. CEC-400-2012-019-CMF.</w:t>
      </w:r>
      <w:r w:rsidRPr="00FC612E">
        <w:rPr>
          <w:rFonts w:cstheme="minorHAnsi"/>
          <w:szCs w:val="18"/>
        </w:rPr>
        <w:t xml:space="preserve"> Section 1605.3(f).</w:t>
      </w:r>
    </w:p>
    <w:p w14:paraId="69880795" w14:textId="67842C30" w:rsidR="00216AC7" w:rsidRPr="00FC612E" w:rsidRDefault="00216AC7" w:rsidP="00D8317E">
      <w:pPr>
        <w:pStyle w:val="FootnoteText"/>
        <w:rPr>
          <w:szCs w:val="18"/>
        </w:rPr>
      </w:pPr>
      <w:r w:rsidRPr="00FC612E">
        <w:rPr>
          <w:szCs w:val="18"/>
        </w:rPr>
        <w:t xml:space="preserve">California Energy Commission (CEC). 2012. </w:t>
      </w:r>
      <w:r w:rsidRPr="00FC612E">
        <w:rPr>
          <w:i/>
          <w:szCs w:val="18"/>
        </w:rPr>
        <w:t>2013 Building Energy Efficiency Standards for Residential and Nonresidential Buildings (Title 24).</w:t>
      </w:r>
      <w:r w:rsidRPr="00FC612E">
        <w:rPr>
          <w:szCs w:val="18"/>
        </w:rPr>
        <w:t xml:space="preserve"> </w:t>
      </w:r>
      <w:bookmarkStart w:id="20" w:name="_Hlk500765150"/>
      <w:r w:rsidRPr="00FC612E">
        <w:rPr>
          <w:szCs w:val="18"/>
        </w:rPr>
        <w:t>CEC‐400‐2012‐004-CMF-REV2</w:t>
      </w:r>
      <w:bookmarkEnd w:id="20"/>
      <w:r w:rsidRPr="00FC612E">
        <w:rPr>
          <w:szCs w:val="18"/>
        </w:rPr>
        <w:t>.</w:t>
      </w:r>
      <w:r w:rsidRPr="00FC612E">
        <w:rPr>
          <w:rFonts w:cstheme="minorHAnsi"/>
          <w:szCs w:val="18"/>
        </w:rPr>
        <w:t xml:space="preserve"> Section 110.3.</w:t>
      </w:r>
    </w:p>
    <w:p w14:paraId="2297BF30" w14:textId="77777777" w:rsidR="00216AC7" w:rsidRDefault="00216AC7" w:rsidP="00D8317E">
      <w:pPr>
        <w:pStyle w:val="FootnoteText"/>
      </w:pPr>
      <w:r w:rsidRPr="008B6B9C">
        <w:t>Code of Federal Regulations at 10 CFR 430.32(d)</w:t>
      </w:r>
      <w:r>
        <w:t>.</w:t>
      </w:r>
    </w:p>
  </w:footnote>
  <w:footnote w:id="4">
    <w:p w14:paraId="00310588" w14:textId="790DEF35" w:rsidR="00216AC7" w:rsidRDefault="00216AC7" w:rsidP="00D8317E">
      <w:pPr>
        <w:pStyle w:val="FootnoteText"/>
      </w:pPr>
      <w:r>
        <w:rPr>
          <w:rStyle w:val="FootnoteReference"/>
        </w:rPr>
        <w:footnoteRef/>
      </w:r>
      <w:r>
        <w:t xml:space="preserve"> </w:t>
      </w:r>
      <w:r w:rsidRPr="00406D2E">
        <w:t>South Coast Air Quality Management District (AQMD). 2004. Rule 1121 - Control of Nitrogen Oxides from Residential-Type, Natural Gas-Fired Water Heaters. Amended September 3, 2004.</w:t>
      </w:r>
    </w:p>
    <w:p w14:paraId="73ADD22C" w14:textId="77777777" w:rsidR="00216AC7" w:rsidRDefault="00216AC7" w:rsidP="00D8317E">
      <w:pPr>
        <w:pStyle w:val="FootnoteText"/>
      </w:pPr>
      <w:r w:rsidRPr="00DA3FC7">
        <w:t>South Coast Air Quality Management District (AQMD). 2006. Rule 1146.2 - Emissions of Oxides of Nitrogen from Large Water Heaters and Small Boilers and Process Heaters. Amended May 5, 2006.</w:t>
      </w:r>
    </w:p>
    <w:p w14:paraId="6E64E2C9" w14:textId="77777777" w:rsidR="00216AC7" w:rsidRDefault="00216AC7" w:rsidP="00D8317E">
      <w:pPr>
        <w:pStyle w:val="FootnoteText"/>
      </w:pPr>
      <w:r>
        <w:t xml:space="preserve">Bay Area Air Quality Management District (BAAQMD). 2007. </w:t>
      </w:r>
      <w:r w:rsidRPr="006B3568">
        <w:rPr>
          <w:i/>
        </w:rPr>
        <w:t>Regulation 9 – Inorganic Gaseous Pollutants: Rule 6 – Nitrogen Oxides Emissions from Natural Gas-Fired Boilers and Water Heaters.</w:t>
      </w:r>
      <w:r>
        <w:t xml:space="preserve"> November 7.</w:t>
      </w:r>
    </w:p>
    <w:p w14:paraId="2F5D2A8A" w14:textId="77777777" w:rsidR="00216AC7" w:rsidRDefault="00216AC7" w:rsidP="00D8317E">
      <w:pPr>
        <w:pStyle w:val="FootnoteText"/>
      </w:pPr>
      <w:r w:rsidRPr="006B3568">
        <w:t>San Joaquin Valley Air Pollution Control District. 2009</w:t>
      </w:r>
      <w:r w:rsidRPr="006B3568">
        <w:rPr>
          <w:i/>
        </w:rPr>
        <w:t>. Rule 4902 - Residential Water Heaters.</w:t>
      </w:r>
      <w:r w:rsidRPr="006B3568">
        <w:t xml:space="preserve"> Amended March 19, 2009.</w:t>
      </w:r>
    </w:p>
    <w:p w14:paraId="2435AACE" w14:textId="77777777" w:rsidR="00216AC7" w:rsidRDefault="00216AC7" w:rsidP="00D8317E">
      <w:pPr>
        <w:pStyle w:val="FootnoteText"/>
      </w:pPr>
      <w:r w:rsidRPr="006B3568">
        <w:t xml:space="preserve">Sacramento Metropolitan Air Quality Management District. 2010. </w:t>
      </w:r>
      <w:r w:rsidRPr="006B3568">
        <w:rPr>
          <w:i/>
        </w:rPr>
        <w:t>Rule 414, Water Heaters, Boilers and Process Heaters Rated Less Than 1,000,000 BTU Per Hour.</w:t>
      </w:r>
      <w:r w:rsidRPr="006B3568">
        <w:t xml:space="preserve"> Amended March 25, 2010.</w:t>
      </w:r>
    </w:p>
    <w:p w14:paraId="39E65CEE" w14:textId="77777777" w:rsidR="00216AC7" w:rsidRDefault="00216AC7" w:rsidP="00D8317E">
      <w:pPr>
        <w:pStyle w:val="FootnoteText"/>
      </w:pPr>
      <w:r w:rsidRPr="006B3568">
        <w:t xml:space="preserve">Yolo-Solano Air Quality Management District. 2009. </w:t>
      </w:r>
      <w:r w:rsidRPr="006B3568">
        <w:rPr>
          <w:i/>
        </w:rPr>
        <w:t>Rule 2.38 - Natural Gas-Fired Water Heaters and Small Boilers.</w:t>
      </w:r>
      <w:r w:rsidRPr="006B3568">
        <w:t xml:space="preserve"> Revised April 8, 2009.</w:t>
      </w:r>
    </w:p>
    <w:p w14:paraId="5587E3DC" w14:textId="77777777" w:rsidR="00216AC7" w:rsidRDefault="00216AC7" w:rsidP="00D8317E">
      <w:pPr>
        <w:pStyle w:val="FootnoteText"/>
      </w:pPr>
      <w:r w:rsidRPr="00CF680F">
        <w:t>Ventura County Air Pollution Control District. 2010. Rule 74.11 - Natural Gas-Fired Water Heaters. Revised January 12, 2010.</w:t>
      </w:r>
    </w:p>
  </w:footnote>
  <w:footnote w:id="5">
    <w:p w14:paraId="07300206" w14:textId="1F0964A4" w:rsidR="00216AC7" w:rsidRDefault="00216AC7">
      <w:pPr>
        <w:pStyle w:val="FootnoteText"/>
      </w:pPr>
      <w:r>
        <w:rPr>
          <w:rStyle w:val="FootnoteReference"/>
        </w:rPr>
        <w:footnoteRef/>
      </w:r>
      <w:r>
        <w:t xml:space="preserve"> Southern California Gas Company (SCG). 2016. “</w:t>
      </w:r>
      <w:r w:rsidRPr="004A2371">
        <w:t>WPSCGREWH131030A Rev0__MF_CentralBlr_Tankless 2016</w:t>
      </w:r>
      <w:r>
        <w:t>.xlsx.”</w:t>
      </w:r>
    </w:p>
  </w:footnote>
  <w:footnote w:id="6">
    <w:p w14:paraId="67CE388D" w14:textId="77777777" w:rsidR="00216AC7" w:rsidRDefault="00216AC7" w:rsidP="00710E3C">
      <w:pPr>
        <w:pStyle w:val="FootnoteText"/>
      </w:pPr>
      <w:r>
        <w:rPr>
          <w:rStyle w:val="FootnoteReference"/>
        </w:rPr>
        <w:footnoteRef/>
      </w:r>
      <w:r>
        <w:t xml:space="preserve"> </w:t>
      </w:r>
      <w:r w:rsidRPr="00C14B32">
        <w:t xml:space="preserve">KEMA, Inc. 2010. </w:t>
      </w:r>
      <w:r w:rsidRPr="00A32C52">
        <w:rPr>
          <w:i/>
        </w:rPr>
        <w:t>2009 California Residential Appliance Saturation Survey. Volume 2: Results.</w:t>
      </w:r>
      <w:r w:rsidRPr="00C14B32">
        <w:t xml:space="preserve"> Prepared for the California Energy Commission. CC-200-2010-004</w:t>
      </w:r>
      <w:r>
        <w:t>. Page 21.</w:t>
      </w:r>
    </w:p>
  </w:footnote>
  <w:footnote w:id="7">
    <w:p w14:paraId="5EBC34D4" w14:textId="2EE7084D" w:rsidR="00216AC7" w:rsidRDefault="00216AC7">
      <w:pPr>
        <w:pStyle w:val="FootnoteText"/>
      </w:pPr>
      <w:r>
        <w:rPr>
          <w:rStyle w:val="FootnoteReference"/>
        </w:rPr>
        <w:footnoteRef/>
      </w:r>
      <w:r>
        <w:t xml:space="preserve"> Southern California Gas Company (SCG). 2016. “</w:t>
      </w:r>
      <w:r w:rsidRPr="004A2371">
        <w:t>WPSCGREWH131030A Rev0__MF_CentralBlr_Tankless 2016</w:t>
      </w:r>
      <w:r>
        <w:t xml:space="preserve">.xlsx.” </w:t>
      </w:r>
      <w:r>
        <w:br/>
        <w:t>DWH Simulation tab.</w:t>
      </w:r>
    </w:p>
  </w:footnote>
  <w:footnote w:id="8">
    <w:p w14:paraId="40DC03EA" w14:textId="751B9C99" w:rsidR="00216AC7" w:rsidRDefault="00216AC7" w:rsidP="00780342">
      <w:pPr>
        <w:spacing w:before="0" w:after="0" w:line="240" w:lineRule="auto"/>
      </w:pPr>
      <w:r>
        <w:rPr>
          <w:rStyle w:val="FootnoteReference"/>
        </w:rPr>
        <w:footnoteRef/>
      </w:r>
      <w:r>
        <w:t xml:space="preserve"> </w:t>
      </w:r>
      <w:r w:rsidRPr="001E1F6E">
        <w:rPr>
          <w:rStyle w:val="FootnoteTextChar"/>
        </w:rPr>
        <w:t xml:space="preserve">American Society of Heating, Refrigerating and Air Conditioning Engineers, Inc. (ASHRAE). 2015. </w:t>
      </w:r>
      <w:r w:rsidRPr="001E1F6E">
        <w:rPr>
          <w:rStyle w:val="FootnoteTextChar"/>
          <w:i/>
        </w:rPr>
        <w:t>2015 ASHRAE Handbook – HVAC Applications.</w:t>
      </w:r>
      <w:r w:rsidRPr="001E1F6E">
        <w:rPr>
          <w:rStyle w:val="FootnoteTextChar"/>
        </w:rPr>
        <w:t xml:space="preserve"> Atlanta (GA): ASHRAE. Chapter 50, Service Water Heating.</w:t>
      </w:r>
    </w:p>
  </w:footnote>
  <w:footnote w:id="9">
    <w:p w14:paraId="2ABDA9B2" w14:textId="77777777" w:rsidR="00216AC7" w:rsidRDefault="00216AC7" w:rsidP="00912986">
      <w:pPr>
        <w:pStyle w:val="FootnoteText"/>
      </w:pPr>
      <w:r>
        <w:rPr>
          <w:rStyle w:val="FootnoteReference"/>
        </w:rPr>
        <w:footnoteRef/>
      </w:r>
      <w:r>
        <w:t xml:space="preserve"> </w:t>
      </w:r>
      <w:r w:rsidRPr="00DD30BB">
        <w:t xml:space="preserve">California Public Utilities Commission (CPUC), Energy Division. 2016. </w:t>
      </w:r>
      <w:r w:rsidRPr="004E60D6">
        <w:rPr>
          <w:i/>
        </w:rPr>
        <w:t xml:space="preserve">Disposition for Workpapers Covering Natural Gas Water Heaters. </w:t>
      </w:r>
      <w:r w:rsidRPr="00DD30BB">
        <w:t>Issued April 8, 2016.</w:t>
      </w:r>
    </w:p>
  </w:footnote>
  <w:footnote w:id="10">
    <w:p w14:paraId="7525F841" w14:textId="2FA53658" w:rsidR="00216AC7" w:rsidRDefault="00216AC7" w:rsidP="00E15183">
      <w:pPr>
        <w:pStyle w:val="FootnoteText"/>
      </w:pPr>
      <w:r>
        <w:rPr>
          <w:rStyle w:val="FootnoteReference"/>
        </w:rPr>
        <w:footnoteRef/>
      </w:r>
      <w:r>
        <w:t xml:space="preserve"> </w:t>
      </w:r>
      <w:r w:rsidRPr="00456B90">
        <w:t>U.S. Department of Energy (DOE). 2016. Technical Support Document: Energy Efficiency Program for Consumer Products and Commercial and Industrial Equipment: Commercial Water Heating Equipment. Prepared by Navigant Consulting, Inc. and Pacific Northwest National Laboratory.</w:t>
      </w:r>
      <w:r>
        <w:t xml:space="preserve"> Docket ID: EERE-2014-BT-STD-0042.</w:t>
      </w:r>
    </w:p>
    <w:p w14:paraId="02577D6E" w14:textId="1A12FAA4" w:rsidR="00216AC7" w:rsidRDefault="00216AC7" w:rsidP="00E15183">
      <w:pPr>
        <w:pStyle w:val="FootnoteText"/>
      </w:pPr>
      <w:r w:rsidRPr="00903498">
        <w:t>Southern California Gas Company (SCG). 2016. “WPSCGREWH131030A Rev0__MF_CentralBlr_Tankless 2016.xlsx</w:t>
      </w:r>
      <w:r>
        <w:t xml:space="preserve">.” TSD Cost Data tab. </w:t>
      </w:r>
    </w:p>
  </w:footnote>
  <w:footnote w:id="11">
    <w:p w14:paraId="6582672D" w14:textId="41AF3FF8" w:rsidR="00216AC7" w:rsidRDefault="00216AC7" w:rsidP="00CE51A0">
      <w:pPr>
        <w:pStyle w:val="FootnoteText"/>
      </w:pPr>
      <w:r>
        <w:rPr>
          <w:rStyle w:val="FootnoteReference"/>
        </w:rPr>
        <w:footnoteRef/>
      </w:r>
      <w:r>
        <w:t xml:space="preserve"> </w:t>
      </w:r>
      <w:r w:rsidRPr="00456B90">
        <w:t>U.S. Department of Energy (DOE). 2016. Technical Support Document: Energy Efficiency Program for Consumer Products and Commercial and Industrial Equipment: Commercial Water Heating Equipment. Prepared by Navigant Consulting, Inc. and Pacific Northwest National Laboratory.</w:t>
      </w:r>
      <w:r>
        <w:t xml:space="preserve"> Docket ID: EERE-2014-BT-STD-0042.</w:t>
      </w:r>
    </w:p>
    <w:p w14:paraId="7B35E5F5" w14:textId="76478955" w:rsidR="00216AC7" w:rsidRDefault="00216AC7" w:rsidP="00CE51A0">
      <w:pPr>
        <w:pStyle w:val="FootnoteText"/>
      </w:pPr>
      <w:r w:rsidRPr="00903498">
        <w:t>Southern California Gas Company (SCG). 2016. “WPSCGREWH131030A Rev0__MF_CentralBlr_Tankless 2016.xlsx</w:t>
      </w:r>
      <w:r>
        <w:t>.” TSD Cost Data tab.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216AC7" w:rsidRPr="000220A0" w:rsidRDefault="00216AC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216AC7" w:rsidRDefault="00216AC7">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216AC7" w:rsidRDefault="00216A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216AC7" w:rsidRDefault="00216AC7" w:rsidP="00BD221D">
    <w:pPr>
      <w:jc w:val="center"/>
    </w:pPr>
  </w:p>
  <w:p w14:paraId="342310D5" w14:textId="5BACBCD8" w:rsidR="00216AC7" w:rsidRDefault="00216AC7"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61DC126C" w:rsidR="00216AC7" w:rsidRDefault="00216AC7" w:rsidP="001D7A57">
    <w:pPr>
      <w:pStyle w:val="Heade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Boiler, Multifamily</w:t>
    </w:r>
  </w:p>
  <w:p w14:paraId="2AC97B25" w14:textId="77777777" w:rsidR="00216AC7" w:rsidRDefault="00216AC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216AC7" w:rsidRDefault="00216A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743F0"/>
    <w:multiLevelType w:val="hybridMultilevel"/>
    <w:tmpl w:val="0D085F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25C19D9"/>
    <w:multiLevelType w:val="multilevel"/>
    <w:tmpl w:val="746A82EE"/>
    <w:lvl w:ilvl="0">
      <w:start w:val="1"/>
      <w:numFmt w:val="decimal"/>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2"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6" w15:restartNumberingAfterBreak="0">
    <w:nsid w:val="6CCA4821"/>
    <w:multiLevelType w:val="hybridMultilevel"/>
    <w:tmpl w:val="B6DA6AE2"/>
    <w:lvl w:ilvl="0" w:tplc="797E59F6">
      <w:start w:val="1"/>
      <w:numFmt w:val="bullet"/>
      <w:lvlText w:val="-"/>
      <w:lvlJc w:val="left"/>
      <w:pPr>
        <w:ind w:left="720" w:hanging="360"/>
      </w:pPr>
      <w:rPr>
        <w:rFonts w:ascii="Courier New" w:hAnsi="Courier New" w:hint="default"/>
        <w:color w:val="404040" w:themeColor="accent3"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C4134B"/>
    <w:multiLevelType w:val="hybridMultilevel"/>
    <w:tmpl w:val="B3820A4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6FC07B80"/>
    <w:multiLevelType w:val="hybridMultilevel"/>
    <w:tmpl w:val="C84A5CF4"/>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740B2A9A"/>
    <w:multiLevelType w:val="hybridMultilevel"/>
    <w:tmpl w:val="FED01C1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2" w15:restartNumberingAfterBreak="0">
    <w:nsid w:val="7FD56A96"/>
    <w:multiLevelType w:val="hybridMultilevel"/>
    <w:tmpl w:val="0150958A"/>
    <w:lvl w:ilvl="0" w:tplc="7B80543E">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5"/>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8"/>
  </w:num>
  <w:num w:numId="5">
    <w:abstractNumId w:val="2"/>
  </w:num>
  <w:num w:numId="6">
    <w:abstractNumId w:val="1"/>
  </w:num>
  <w:num w:numId="7">
    <w:abstractNumId w:val="12"/>
  </w:num>
  <w:num w:numId="8">
    <w:abstractNumId w:val="0"/>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10"/>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369"/>
    <w:rsid w:val="00001AD9"/>
    <w:rsid w:val="00004D9A"/>
    <w:rsid w:val="000051B5"/>
    <w:rsid w:val="00005B06"/>
    <w:rsid w:val="00006106"/>
    <w:rsid w:val="000063B0"/>
    <w:rsid w:val="0000762A"/>
    <w:rsid w:val="000110D9"/>
    <w:rsid w:val="000111AF"/>
    <w:rsid w:val="000112C4"/>
    <w:rsid w:val="00012240"/>
    <w:rsid w:val="000123D0"/>
    <w:rsid w:val="00014432"/>
    <w:rsid w:val="00016013"/>
    <w:rsid w:val="00016928"/>
    <w:rsid w:val="00020218"/>
    <w:rsid w:val="000203DD"/>
    <w:rsid w:val="000219B9"/>
    <w:rsid w:val="00021D6F"/>
    <w:rsid w:val="000220A0"/>
    <w:rsid w:val="0002389A"/>
    <w:rsid w:val="000246DF"/>
    <w:rsid w:val="00026D58"/>
    <w:rsid w:val="000302DF"/>
    <w:rsid w:val="00030848"/>
    <w:rsid w:val="00031184"/>
    <w:rsid w:val="00036523"/>
    <w:rsid w:val="0003685D"/>
    <w:rsid w:val="00037A06"/>
    <w:rsid w:val="00041B32"/>
    <w:rsid w:val="0004333F"/>
    <w:rsid w:val="00046BB0"/>
    <w:rsid w:val="00050CBE"/>
    <w:rsid w:val="00051DBB"/>
    <w:rsid w:val="00052C95"/>
    <w:rsid w:val="00054D4D"/>
    <w:rsid w:val="000550CA"/>
    <w:rsid w:val="00057E21"/>
    <w:rsid w:val="00057EBB"/>
    <w:rsid w:val="00060591"/>
    <w:rsid w:val="00061D34"/>
    <w:rsid w:val="000621A8"/>
    <w:rsid w:val="00063E11"/>
    <w:rsid w:val="000672E5"/>
    <w:rsid w:val="000678A8"/>
    <w:rsid w:val="000723DB"/>
    <w:rsid w:val="00072AB5"/>
    <w:rsid w:val="00074C5D"/>
    <w:rsid w:val="00074E3E"/>
    <w:rsid w:val="00075353"/>
    <w:rsid w:val="00075A20"/>
    <w:rsid w:val="000767E9"/>
    <w:rsid w:val="0008108C"/>
    <w:rsid w:val="00081201"/>
    <w:rsid w:val="000841AA"/>
    <w:rsid w:val="0008474A"/>
    <w:rsid w:val="00090BBF"/>
    <w:rsid w:val="000910B7"/>
    <w:rsid w:val="00091581"/>
    <w:rsid w:val="00092330"/>
    <w:rsid w:val="00092DAA"/>
    <w:rsid w:val="00094235"/>
    <w:rsid w:val="00094517"/>
    <w:rsid w:val="00094831"/>
    <w:rsid w:val="00096485"/>
    <w:rsid w:val="000978C8"/>
    <w:rsid w:val="000A00D6"/>
    <w:rsid w:val="000A031F"/>
    <w:rsid w:val="000A49E7"/>
    <w:rsid w:val="000A4D3A"/>
    <w:rsid w:val="000A62EF"/>
    <w:rsid w:val="000A66B7"/>
    <w:rsid w:val="000A7058"/>
    <w:rsid w:val="000B0732"/>
    <w:rsid w:val="000B6004"/>
    <w:rsid w:val="000B7A91"/>
    <w:rsid w:val="000C36B4"/>
    <w:rsid w:val="000C4736"/>
    <w:rsid w:val="000C680A"/>
    <w:rsid w:val="000C68C6"/>
    <w:rsid w:val="000C6D9B"/>
    <w:rsid w:val="000C72C1"/>
    <w:rsid w:val="000D1825"/>
    <w:rsid w:val="000D3D6A"/>
    <w:rsid w:val="000D46DF"/>
    <w:rsid w:val="000D4975"/>
    <w:rsid w:val="000D7391"/>
    <w:rsid w:val="000E290A"/>
    <w:rsid w:val="000E486C"/>
    <w:rsid w:val="000E4A4B"/>
    <w:rsid w:val="000F13ED"/>
    <w:rsid w:val="000F1833"/>
    <w:rsid w:val="000F1A47"/>
    <w:rsid w:val="000F26D0"/>
    <w:rsid w:val="000F33C7"/>
    <w:rsid w:val="0010064D"/>
    <w:rsid w:val="00101854"/>
    <w:rsid w:val="0010287E"/>
    <w:rsid w:val="00103399"/>
    <w:rsid w:val="00103D27"/>
    <w:rsid w:val="001041D8"/>
    <w:rsid w:val="001044E9"/>
    <w:rsid w:val="00104933"/>
    <w:rsid w:val="00110F31"/>
    <w:rsid w:val="00111A53"/>
    <w:rsid w:val="00112346"/>
    <w:rsid w:val="00112C97"/>
    <w:rsid w:val="00113A08"/>
    <w:rsid w:val="0011498C"/>
    <w:rsid w:val="00117784"/>
    <w:rsid w:val="00120592"/>
    <w:rsid w:val="001217DF"/>
    <w:rsid w:val="0012187D"/>
    <w:rsid w:val="0012196B"/>
    <w:rsid w:val="00122D0C"/>
    <w:rsid w:val="00122DD8"/>
    <w:rsid w:val="00124BFE"/>
    <w:rsid w:val="00126809"/>
    <w:rsid w:val="00127D8D"/>
    <w:rsid w:val="00130805"/>
    <w:rsid w:val="00131C5A"/>
    <w:rsid w:val="00142D3C"/>
    <w:rsid w:val="001436D7"/>
    <w:rsid w:val="00144451"/>
    <w:rsid w:val="001445DB"/>
    <w:rsid w:val="001451AB"/>
    <w:rsid w:val="001460AC"/>
    <w:rsid w:val="001471F3"/>
    <w:rsid w:val="00147B05"/>
    <w:rsid w:val="00151B9F"/>
    <w:rsid w:val="00153012"/>
    <w:rsid w:val="00153C09"/>
    <w:rsid w:val="00154391"/>
    <w:rsid w:val="00155A66"/>
    <w:rsid w:val="001564FC"/>
    <w:rsid w:val="00161DF1"/>
    <w:rsid w:val="0016220C"/>
    <w:rsid w:val="00163256"/>
    <w:rsid w:val="001634E4"/>
    <w:rsid w:val="00163A7E"/>
    <w:rsid w:val="00163BA6"/>
    <w:rsid w:val="001648F6"/>
    <w:rsid w:val="001652C2"/>
    <w:rsid w:val="001702F9"/>
    <w:rsid w:val="00170D1A"/>
    <w:rsid w:val="00171BB8"/>
    <w:rsid w:val="00171CCA"/>
    <w:rsid w:val="001725AE"/>
    <w:rsid w:val="00174707"/>
    <w:rsid w:val="001751A3"/>
    <w:rsid w:val="00180DAD"/>
    <w:rsid w:val="00181672"/>
    <w:rsid w:val="00181E01"/>
    <w:rsid w:val="001838B8"/>
    <w:rsid w:val="0018684E"/>
    <w:rsid w:val="0018694F"/>
    <w:rsid w:val="00186EF2"/>
    <w:rsid w:val="00187521"/>
    <w:rsid w:val="00190075"/>
    <w:rsid w:val="001944A0"/>
    <w:rsid w:val="00195B03"/>
    <w:rsid w:val="00196649"/>
    <w:rsid w:val="001966D3"/>
    <w:rsid w:val="00196919"/>
    <w:rsid w:val="001A039F"/>
    <w:rsid w:val="001A11C7"/>
    <w:rsid w:val="001A1A31"/>
    <w:rsid w:val="001A4BAE"/>
    <w:rsid w:val="001A4BE1"/>
    <w:rsid w:val="001A7A21"/>
    <w:rsid w:val="001B1D23"/>
    <w:rsid w:val="001B1F35"/>
    <w:rsid w:val="001C2ACE"/>
    <w:rsid w:val="001C45A1"/>
    <w:rsid w:val="001C4E84"/>
    <w:rsid w:val="001C55E2"/>
    <w:rsid w:val="001C6C9B"/>
    <w:rsid w:val="001C7134"/>
    <w:rsid w:val="001D227C"/>
    <w:rsid w:val="001D3A40"/>
    <w:rsid w:val="001D5A35"/>
    <w:rsid w:val="001D5C6C"/>
    <w:rsid w:val="001D65A6"/>
    <w:rsid w:val="001D7A57"/>
    <w:rsid w:val="001E19A3"/>
    <w:rsid w:val="001E1F6E"/>
    <w:rsid w:val="001E4C3F"/>
    <w:rsid w:val="001E6273"/>
    <w:rsid w:val="001F0A88"/>
    <w:rsid w:val="001F114E"/>
    <w:rsid w:val="001F5805"/>
    <w:rsid w:val="001F735E"/>
    <w:rsid w:val="002005A8"/>
    <w:rsid w:val="002006B6"/>
    <w:rsid w:val="00202110"/>
    <w:rsid w:val="002042DB"/>
    <w:rsid w:val="00205A64"/>
    <w:rsid w:val="00205BAF"/>
    <w:rsid w:val="00207F85"/>
    <w:rsid w:val="0021226A"/>
    <w:rsid w:val="00212899"/>
    <w:rsid w:val="00214F83"/>
    <w:rsid w:val="00215CFF"/>
    <w:rsid w:val="00216AC7"/>
    <w:rsid w:val="00216B53"/>
    <w:rsid w:val="00220C27"/>
    <w:rsid w:val="00225142"/>
    <w:rsid w:val="002260C2"/>
    <w:rsid w:val="00226694"/>
    <w:rsid w:val="00226D55"/>
    <w:rsid w:val="00227BDD"/>
    <w:rsid w:val="002300F5"/>
    <w:rsid w:val="002308DB"/>
    <w:rsid w:val="002318A4"/>
    <w:rsid w:val="00232FA4"/>
    <w:rsid w:val="00233125"/>
    <w:rsid w:val="002335FF"/>
    <w:rsid w:val="00233D87"/>
    <w:rsid w:val="0023666C"/>
    <w:rsid w:val="00236E0A"/>
    <w:rsid w:val="00236E2F"/>
    <w:rsid w:val="00237964"/>
    <w:rsid w:val="002379CC"/>
    <w:rsid w:val="00242A9D"/>
    <w:rsid w:val="002434DE"/>
    <w:rsid w:val="00243D72"/>
    <w:rsid w:val="00245AFF"/>
    <w:rsid w:val="0024628D"/>
    <w:rsid w:val="0024690E"/>
    <w:rsid w:val="00246F25"/>
    <w:rsid w:val="00251ABC"/>
    <w:rsid w:val="002524CF"/>
    <w:rsid w:val="002560C6"/>
    <w:rsid w:val="00256400"/>
    <w:rsid w:val="00256841"/>
    <w:rsid w:val="00257F89"/>
    <w:rsid w:val="00260C0F"/>
    <w:rsid w:val="0026182B"/>
    <w:rsid w:val="00261DDA"/>
    <w:rsid w:val="002737D3"/>
    <w:rsid w:val="00274E9C"/>
    <w:rsid w:val="00276F9B"/>
    <w:rsid w:val="00277AFF"/>
    <w:rsid w:val="002803EC"/>
    <w:rsid w:val="00280BA9"/>
    <w:rsid w:val="00285C3A"/>
    <w:rsid w:val="0028789E"/>
    <w:rsid w:val="00287B25"/>
    <w:rsid w:val="00290F60"/>
    <w:rsid w:val="002920CC"/>
    <w:rsid w:val="00293E33"/>
    <w:rsid w:val="00294233"/>
    <w:rsid w:val="002942B0"/>
    <w:rsid w:val="0029555D"/>
    <w:rsid w:val="0029646E"/>
    <w:rsid w:val="0029781E"/>
    <w:rsid w:val="00297CCD"/>
    <w:rsid w:val="002A0B1F"/>
    <w:rsid w:val="002A1B5C"/>
    <w:rsid w:val="002A2471"/>
    <w:rsid w:val="002A2A94"/>
    <w:rsid w:val="002A2E42"/>
    <w:rsid w:val="002B107C"/>
    <w:rsid w:val="002B2C97"/>
    <w:rsid w:val="002B3BF4"/>
    <w:rsid w:val="002B4848"/>
    <w:rsid w:val="002B6DED"/>
    <w:rsid w:val="002B6F2A"/>
    <w:rsid w:val="002B7AB1"/>
    <w:rsid w:val="002B7B99"/>
    <w:rsid w:val="002B7E54"/>
    <w:rsid w:val="002C06FC"/>
    <w:rsid w:val="002C1117"/>
    <w:rsid w:val="002C2FBD"/>
    <w:rsid w:val="002C67DF"/>
    <w:rsid w:val="002D0036"/>
    <w:rsid w:val="002D1E44"/>
    <w:rsid w:val="002D29F8"/>
    <w:rsid w:val="002D2CC7"/>
    <w:rsid w:val="002D2D62"/>
    <w:rsid w:val="002D40EE"/>
    <w:rsid w:val="002D4993"/>
    <w:rsid w:val="002D50E9"/>
    <w:rsid w:val="002D5CFA"/>
    <w:rsid w:val="002E580F"/>
    <w:rsid w:val="002F2635"/>
    <w:rsid w:val="002F376F"/>
    <w:rsid w:val="002F48A2"/>
    <w:rsid w:val="003014E3"/>
    <w:rsid w:val="00302710"/>
    <w:rsid w:val="00302A82"/>
    <w:rsid w:val="00307F3B"/>
    <w:rsid w:val="003103FB"/>
    <w:rsid w:val="00313055"/>
    <w:rsid w:val="00313E1D"/>
    <w:rsid w:val="00321420"/>
    <w:rsid w:val="00321E45"/>
    <w:rsid w:val="003225AD"/>
    <w:rsid w:val="003247FA"/>
    <w:rsid w:val="0032690D"/>
    <w:rsid w:val="00327732"/>
    <w:rsid w:val="003309DA"/>
    <w:rsid w:val="00332B1B"/>
    <w:rsid w:val="00333809"/>
    <w:rsid w:val="00336313"/>
    <w:rsid w:val="003379B6"/>
    <w:rsid w:val="00337D1D"/>
    <w:rsid w:val="00337F3D"/>
    <w:rsid w:val="00340EBC"/>
    <w:rsid w:val="0034138D"/>
    <w:rsid w:val="00341DAE"/>
    <w:rsid w:val="00344076"/>
    <w:rsid w:val="00350004"/>
    <w:rsid w:val="003501C3"/>
    <w:rsid w:val="0035060F"/>
    <w:rsid w:val="00352864"/>
    <w:rsid w:val="00356AEA"/>
    <w:rsid w:val="0035745A"/>
    <w:rsid w:val="00361B16"/>
    <w:rsid w:val="00362F9E"/>
    <w:rsid w:val="00363BE8"/>
    <w:rsid w:val="003657E1"/>
    <w:rsid w:val="0037028A"/>
    <w:rsid w:val="00372F61"/>
    <w:rsid w:val="00376715"/>
    <w:rsid w:val="0037673C"/>
    <w:rsid w:val="00377C31"/>
    <w:rsid w:val="0038390D"/>
    <w:rsid w:val="00385069"/>
    <w:rsid w:val="00387072"/>
    <w:rsid w:val="00392097"/>
    <w:rsid w:val="00392684"/>
    <w:rsid w:val="00394414"/>
    <w:rsid w:val="003947C9"/>
    <w:rsid w:val="003A5079"/>
    <w:rsid w:val="003A5565"/>
    <w:rsid w:val="003B075F"/>
    <w:rsid w:val="003B7610"/>
    <w:rsid w:val="003C16DE"/>
    <w:rsid w:val="003C2CC3"/>
    <w:rsid w:val="003C3701"/>
    <w:rsid w:val="003C6546"/>
    <w:rsid w:val="003C73AD"/>
    <w:rsid w:val="003C7721"/>
    <w:rsid w:val="003D07C1"/>
    <w:rsid w:val="003D1635"/>
    <w:rsid w:val="003D1FB8"/>
    <w:rsid w:val="003D234F"/>
    <w:rsid w:val="003D7091"/>
    <w:rsid w:val="003D7104"/>
    <w:rsid w:val="003E083E"/>
    <w:rsid w:val="003E5605"/>
    <w:rsid w:val="003E5905"/>
    <w:rsid w:val="003E75E0"/>
    <w:rsid w:val="003F0226"/>
    <w:rsid w:val="003F269E"/>
    <w:rsid w:val="003F4964"/>
    <w:rsid w:val="003F65F3"/>
    <w:rsid w:val="00401C34"/>
    <w:rsid w:val="00401C43"/>
    <w:rsid w:val="00402ADE"/>
    <w:rsid w:val="004046FF"/>
    <w:rsid w:val="00410790"/>
    <w:rsid w:val="00411EF4"/>
    <w:rsid w:val="004133BB"/>
    <w:rsid w:val="004142EF"/>
    <w:rsid w:val="00414D03"/>
    <w:rsid w:val="00417D5A"/>
    <w:rsid w:val="00420958"/>
    <w:rsid w:val="00420EF1"/>
    <w:rsid w:val="00421242"/>
    <w:rsid w:val="00421920"/>
    <w:rsid w:val="0042307C"/>
    <w:rsid w:val="00423D33"/>
    <w:rsid w:val="004249A0"/>
    <w:rsid w:val="00424C9D"/>
    <w:rsid w:val="004251BC"/>
    <w:rsid w:val="00426469"/>
    <w:rsid w:val="004307DC"/>
    <w:rsid w:val="00430FE5"/>
    <w:rsid w:val="0043116F"/>
    <w:rsid w:val="00431705"/>
    <w:rsid w:val="00431C65"/>
    <w:rsid w:val="00432D49"/>
    <w:rsid w:val="00433289"/>
    <w:rsid w:val="00433570"/>
    <w:rsid w:val="004339EA"/>
    <w:rsid w:val="00433E8F"/>
    <w:rsid w:val="00434145"/>
    <w:rsid w:val="004348E2"/>
    <w:rsid w:val="00434BF5"/>
    <w:rsid w:val="00434DF5"/>
    <w:rsid w:val="00444DFC"/>
    <w:rsid w:val="0044560D"/>
    <w:rsid w:val="0044577B"/>
    <w:rsid w:val="004517F1"/>
    <w:rsid w:val="00452FD9"/>
    <w:rsid w:val="004534D4"/>
    <w:rsid w:val="00453B87"/>
    <w:rsid w:val="00453B92"/>
    <w:rsid w:val="00454ABB"/>
    <w:rsid w:val="004556DF"/>
    <w:rsid w:val="00456B90"/>
    <w:rsid w:val="00461AE3"/>
    <w:rsid w:val="00462548"/>
    <w:rsid w:val="00462BB6"/>
    <w:rsid w:val="004644E1"/>
    <w:rsid w:val="00464A63"/>
    <w:rsid w:val="004655A0"/>
    <w:rsid w:val="00466DD6"/>
    <w:rsid w:val="0046736E"/>
    <w:rsid w:val="00467C34"/>
    <w:rsid w:val="00470670"/>
    <w:rsid w:val="00472121"/>
    <w:rsid w:val="00472286"/>
    <w:rsid w:val="00474A19"/>
    <w:rsid w:val="00475A47"/>
    <w:rsid w:val="00475D57"/>
    <w:rsid w:val="00477EDD"/>
    <w:rsid w:val="004801AC"/>
    <w:rsid w:val="004813F7"/>
    <w:rsid w:val="00483751"/>
    <w:rsid w:val="00484197"/>
    <w:rsid w:val="00484536"/>
    <w:rsid w:val="00486585"/>
    <w:rsid w:val="00492436"/>
    <w:rsid w:val="004940CC"/>
    <w:rsid w:val="00497289"/>
    <w:rsid w:val="004A06AE"/>
    <w:rsid w:val="004A2371"/>
    <w:rsid w:val="004A510D"/>
    <w:rsid w:val="004A5A65"/>
    <w:rsid w:val="004A6DF0"/>
    <w:rsid w:val="004B06E3"/>
    <w:rsid w:val="004B35DC"/>
    <w:rsid w:val="004B4900"/>
    <w:rsid w:val="004B4A93"/>
    <w:rsid w:val="004B5888"/>
    <w:rsid w:val="004B62E9"/>
    <w:rsid w:val="004B6EFC"/>
    <w:rsid w:val="004B7F05"/>
    <w:rsid w:val="004C2A36"/>
    <w:rsid w:val="004C3663"/>
    <w:rsid w:val="004C4145"/>
    <w:rsid w:val="004C57EC"/>
    <w:rsid w:val="004C69F2"/>
    <w:rsid w:val="004C709B"/>
    <w:rsid w:val="004D0C20"/>
    <w:rsid w:val="004D1307"/>
    <w:rsid w:val="004D1461"/>
    <w:rsid w:val="004D2452"/>
    <w:rsid w:val="004D3045"/>
    <w:rsid w:val="004D3A71"/>
    <w:rsid w:val="004D3CE4"/>
    <w:rsid w:val="004D4EE6"/>
    <w:rsid w:val="004D7E51"/>
    <w:rsid w:val="004E04EE"/>
    <w:rsid w:val="004E0525"/>
    <w:rsid w:val="004E1B37"/>
    <w:rsid w:val="004E2704"/>
    <w:rsid w:val="004E4D01"/>
    <w:rsid w:val="004E60D6"/>
    <w:rsid w:val="004F38D7"/>
    <w:rsid w:val="004F65E1"/>
    <w:rsid w:val="004F705B"/>
    <w:rsid w:val="004F7251"/>
    <w:rsid w:val="00500964"/>
    <w:rsid w:val="00500C66"/>
    <w:rsid w:val="00503E46"/>
    <w:rsid w:val="00503F65"/>
    <w:rsid w:val="00505B94"/>
    <w:rsid w:val="005119A8"/>
    <w:rsid w:val="0051302A"/>
    <w:rsid w:val="005130EC"/>
    <w:rsid w:val="005146E6"/>
    <w:rsid w:val="005171CD"/>
    <w:rsid w:val="00522EEB"/>
    <w:rsid w:val="00526427"/>
    <w:rsid w:val="00530A79"/>
    <w:rsid w:val="0053107B"/>
    <w:rsid w:val="00534105"/>
    <w:rsid w:val="005351C6"/>
    <w:rsid w:val="00535A42"/>
    <w:rsid w:val="0053748E"/>
    <w:rsid w:val="00540157"/>
    <w:rsid w:val="00543428"/>
    <w:rsid w:val="005449C6"/>
    <w:rsid w:val="00546B24"/>
    <w:rsid w:val="005533C2"/>
    <w:rsid w:val="00555454"/>
    <w:rsid w:val="0055671E"/>
    <w:rsid w:val="00556D8E"/>
    <w:rsid w:val="00557AC6"/>
    <w:rsid w:val="005603A6"/>
    <w:rsid w:val="00566B42"/>
    <w:rsid w:val="00566F11"/>
    <w:rsid w:val="005676B2"/>
    <w:rsid w:val="0057165C"/>
    <w:rsid w:val="00571983"/>
    <w:rsid w:val="005722C6"/>
    <w:rsid w:val="00576E62"/>
    <w:rsid w:val="00580CEA"/>
    <w:rsid w:val="00580FF8"/>
    <w:rsid w:val="00581857"/>
    <w:rsid w:val="00582C78"/>
    <w:rsid w:val="00585C8D"/>
    <w:rsid w:val="005862CC"/>
    <w:rsid w:val="00587076"/>
    <w:rsid w:val="00590848"/>
    <w:rsid w:val="005911FE"/>
    <w:rsid w:val="0059312F"/>
    <w:rsid w:val="00595758"/>
    <w:rsid w:val="00596081"/>
    <w:rsid w:val="005A3943"/>
    <w:rsid w:val="005A51E6"/>
    <w:rsid w:val="005A632E"/>
    <w:rsid w:val="005B1411"/>
    <w:rsid w:val="005B7418"/>
    <w:rsid w:val="005C03A9"/>
    <w:rsid w:val="005C2BFC"/>
    <w:rsid w:val="005C324B"/>
    <w:rsid w:val="005C39FB"/>
    <w:rsid w:val="005C43E2"/>
    <w:rsid w:val="005C454A"/>
    <w:rsid w:val="005C6E32"/>
    <w:rsid w:val="005C74C9"/>
    <w:rsid w:val="005D000F"/>
    <w:rsid w:val="005D0817"/>
    <w:rsid w:val="005D19A0"/>
    <w:rsid w:val="005D1B14"/>
    <w:rsid w:val="005D257B"/>
    <w:rsid w:val="005D2E97"/>
    <w:rsid w:val="005D30DE"/>
    <w:rsid w:val="005D4B52"/>
    <w:rsid w:val="005D5F38"/>
    <w:rsid w:val="005E0DDF"/>
    <w:rsid w:val="005E18B9"/>
    <w:rsid w:val="005E1D5C"/>
    <w:rsid w:val="005E25DC"/>
    <w:rsid w:val="005E3998"/>
    <w:rsid w:val="005E52AE"/>
    <w:rsid w:val="005E5607"/>
    <w:rsid w:val="005E567C"/>
    <w:rsid w:val="005E634E"/>
    <w:rsid w:val="005E6FDB"/>
    <w:rsid w:val="005E7E7E"/>
    <w:rsid w:val="005F334B"/>
    <w:rsid w:val="005F3A35"/>
    <w:rsid w:val="005F498E"/>
    <w:rsid w:val="005F4CD9"/>
    <w:rsid w:val="005F505E"/>
    <w:rsid w:val="005F5106"/>
    <w:rsid w:val="005F5FA4"/>
    <w:rsid w:val="00602976"/>
    <w:rsid w:val="0060388D"/>
    <w:rsid w:val="00604231"/>
    <w:rsid w:val="006068F3"/>
    <w:rsid w:val="00610C2F"/>
    <w:rsid w:val="00610C9A"/>
    <w:rsid w:val="0062187C"/>
    <w:rsid w:val="00621A7D"/>
    <w:rsid w:val="00621CD7"/>
    <w:rsid w:val="00622293"/>
    <w:rsid w:val="00622869"/>
    <w:rsid w:val="00625805"/>
    <w:rsid w:val="00626CF0"/>
    <w:rsid w:val="00627AC4"/>
    <w:rsid w:val="00630DAA"/>
    <w:rsid w:val="0063253B"/>
    <w:rsid w:val="0063341D"/>
    <w:rsid w:val="00634C2E"/>
    <w:rsid w:val="006363C8"/>
    <w:rsid w:val="006378F8"/>
    <w:rsid w:val="00637AB8"/>
    <w:rsid w:val="0064370D"/>
    <w:rsid w:val="00643771"/>
    <w:rsid w:val="00644946"/>
    <w:rsid w:val="00645C12"/>
    <w:rsid w:val="00646AB8"/>
    <w:rsid w:val="00647BD9"/>
    <w:rsid w:val="00652622"/>
    <w:rsid w:val="00654A3E"/>
    <w:rsid w:val="00656B65"/>
    <w:rsid w:val="00661FA9"/>
    <w:rsid w:val="006624A7"/>
    <w:rsid w:val="0066515F"/>
    <w:rsid w:val="00666114"/>
    <w:rsid w:val="006668AF"/>
    <w:rsid w:val="00667840"/>
    <w:rsid w:val="0067278C"/>
    <w:rsid w:val="00673EBD"/>
    <w:rsid w:val="0067506C"/>
    <w:rsid w:val="00676B36"/>
    <w:rsid w:val="00676D41"/>
    <w:rsid w:val="00680235"/>
    <w:rsid w:val="0068298E"/>
    <w:rsid w:val="00684811"/>
    <w:rsid w:val="00686439"/>
    <w:rsid w:val="00687649"/>
    <w:rsid w:val="00687CE5"/>
    <w:rsid w:val="00690F7A"/>
    <w:rsid w:val="00694140"/>
    <w:rsid w:val="00694879"/>
    <w:rsid w:val="006978C5"/>
    <w:rsid w:val="006A4588"/>
    <w:rsid w:val="006A4FFF"/>
    <w:rsid w:val="006A6051"/>
    <w:rsid w:val="006B083A"/>
    <w:rsid w:val="006B28A2"/>
    <w:rsid w:val="006B31D9"/>
    <w:rsid w:val="006C0102"/>
    <w:rsid w:val="006C07D4"/>
    <w:rsid w:val="006C37C4"/>
    <w:rsid w:val="006C4037"/>
    <w:rsid w:val="006C41AD"/>
    <w:rsid w:val="006C6562"/>
    <w:rsid w:val="006C66A1"/>
    <w:rsid w:val="006D04BD"/>
    <w:rsid w:val="006D6644"/>
    <w:rsid w:val="006D7180"/>
    <w:rsid w:val="006E13A9"/>
    <w:rsid w:val="006E1519"/>
    <w:rsid w:val="006E1FA5"/>
    <w:rsid w:val="006E433B"/>
    <w:rsid w:val="006E663C"/>
    <w:rsid w:val="006E67A2"/>
    <w:rsid w:val="006E6A67"/>
    <w:rsid w:val="006E7899"/>
    <w:rsid w:val="006E7C78"/>
    <w:rsid w:val="006F142D"/>
    <w:rsid w:val="006F27F4"/>
    <w:rsid w:val="006F2E23"/>
    <w:rsid w:val="006F4F34"/>
    <w:rsid w:val="006F5726"/>
    <w:rsid w:val="006F7024"/>
    <w:rsid w:val="00703A7C"/>
    <w:rsid w:val="007065E4"/>
    <w:rsid w:val="007076DA"/>
    <w:rsid w:val="00707860"/>
    <w:rsid w:val="00710E3C"/>
    <w:rsid w:val="0071180A"/>
    <w:rsid w:val="0071415E"/>
    <w:rsid w:val="0071713E"/>
    <w:rsid w:val="007207BF"/>
    <w:rsid w:val="0072431B"/>
    <w:rsid w:val="00724D5F"/>
    <w:rsid w:val="00725CB0"/>
    <w:rsid w:val="0073319F"/>
    <w:rsid w:val="00733299"/>
    <w:rsid w:val="0073417D"/>
    <w:rsid w:val="0073517D"/>
    <w:rsid w:val="007353FF"/>
    <w:rsid w:val="00735B94"/>
    <w:rsid w:val="0073638D"/>
    <w:rsid w:val="00736788"/>
    <w:rsid w:val="0073685C"/>
    <w:rsid w:val="00736D87"/>
    <w:rsid w:val="00737EA5"/>
    <w:rsid w:val="00740076"/>
    <w:rsid w:val="007400AE"/>
    <w:rsid w:val="00741F3E"/>
    <w:rsid w:val="00741F6F"/>
    <w:rsid w:val="00743AA8"/>
    <w:rsid w:val="00747A55"/>
    <w:rsid w:val="00750840"/>
    <w:rsid w:val="00755B16"/>
    <w:rsid w:val="007562C1"/>
    <w:rsid w:val="00757617"/>
    <w:rsid w:val="00760BE5"/>
    <w:rsid w:val="00760E9C"/>
    <w:rsid w:val="00762B98"/>
    <w:rsid w:val="00763AD8"/>
    <w:rsid w:val="00765016"/>
    <w:rsid w:val="00766564"/>
    <w:rsid w:val="00767EDE"/>
    <w:rsid w:val="0077100C"/>
    <w:rsid w:val="00776724"/>
    <w:rsid w:val="00776C39"/>
    <w:rsid w:val="00776D6D"/>
    <w:rsid w:val="00777422"/>
    <w:rsid w:val="00780342"/>
    <w:rsid w:val="00781D00"/>
    <w:rsid w:val="007823C2"/>
    <w:rsid w:val="00783C18"/>
    <w:rsid w:val="00784C28"/>
    <w:rsid w:val="00787FCA"/>
    <w:rsid w:val="007900F3"/>
    <w:rsid w:val="00791B69"/>
    <w:rsid w:val="00793B08"/>
    <w:rsid w:val="0079498E"/>
    <w:rsid w:val="0079618B"/>
    <w:rsid w:val="00796F10"/>
    <w:rsid w:val="007A312F"/>
    <w:rsid w:val="007A338A"/>
    <w:rsid w:val="007A603F"/>
    <w:rsid w:val="007A6AB5"/>
    <w:rsid w:val="007A72AC"/>
    <w:rsid w:val="007B14D9"/>
    <w:rsid w:val="007B2B46"/>
    <w:rsid w:val="007B30F2"/>
    <w:rsid w:val="007B377F"/>
    <w:rsid w:val="007B4274"/>
    <w:rsid w:val="007B5117"/>
    <w:rsid w:val="007B5417"/>
    <w:rsid w:val="007B599D"/>
    <w:rsid w:val="007B5F04"/>
    <w:rsid w:val="007B6650"/>
    <w:rsid w:val="007B66BC"/>
    <w:rsid w:val="007B6A74"/>
    <w:rsid w:val="007C1843"/>
    <w:rsid w:val="007C2DC8"/>
    <w:rsid w:val="007D0051"/>
    <w:rsid w:val="007D097E"/>
    <w:rsid w:val="007D1994"/>
    <w:rsid w:val="007D230B"/>
    <w:rsid w:val="007D2D80"/>
    <w:rsid w:val="007D2E64"/>
    <w:rsid w:val="007D3681"/>
    <w:rsid w:val="007D3824"/>
    <w:rsid w:val="007D3EB8"/>
    <w:rsid w:val="007D49A1"/>
    <w:rsid w:val="007D5517"/>
    <w:rsid w:val="007D59DD"/>
    <w:rsid w:val="007D7916"/>
    <w:rsid w:val="007D7BD8"/>
    <w:rsid w:val="007E042A"/>
    <w:rsid w:val="007E1F66"/>
    <w:rsid w:val="007E2CB5"/>
    <w:rsid w:val="007E4C10"/>
    <w:rsid w:val="007E6501"/>
    <w:rsid w:val="007E6C25"/>
    <w:rsid w:val="007F0F72"/>
    <w:rsid w:val="007F19FD"/>
    <w:rsid w:val="007F31BE"/>
    <w:rsid w:val="007F32D7"/>
    <w:rsid w:val="007F3F3E"/>
    <w:rsid w:val="007F41F3"/>
    <w:rsid w:val="00801632"/>
    <w:rsid w:val="00801BCF"/>
    <w:rsid w:val="00802334"/>
    <w:rsid w:val="008050CB"/>
    <w:rsid w:val="0080520B"/>
    <w:rsid w:val="008066E6"/>
    <w:rsid w:val="00807B3E"/>
    <w:rsid w:val="00810D4A"/>
    <w:rsid w:val="00812DD4"/>
    <w:rsid w:val="00812F82"/>
    <w:rsid w:val="0081335F"/>
    <w:rsid w:val="008146FD"/>
    <w:rsid w:val="00816AAB"/>
    <w:rsid w:val="00816B09"/>
    <w:rsid w:val="00817457"/>
    <w:rsid w:val="008179F8"/>
    <w:rsid w:val="00820402"/>
    <w:rsid w:val="008238A9"/>
    <w:rsid w:val="008243B2"/>
    <w:rsid w:val="00824F08"/>
    <w:rsid w:val="00826AEF"/>
    <w:rsid w:val="008310DF"/>
    <w:rsid w:val="00831105"/>
    <w:rsid w:val="00835487"/>
    <w:rsid w:val="00835A19"/>
    <w:rsid w:val="00840BCF"/>
    <w:rsid w:val="0084442C"/>
    <w:rsid w:val="00844A4B"/>
    <w:rsid w:val="0084664B"/>
    <w:rsid w:val="00850327"/>
    <w:rsid w:val="00854676"/>
    <w:rsid w:val="008546DD"/>
    <w:rsid w:val="008563EB"/>
    <w:rsid w:val="008607C0"/>
    <w:rsid w:val="00860CED"/>
    <w:rsid w:val="008623C1"/>
    <w:rsid w:val="00863CD4"/>
    <w:rsid w:val="00865296"/>
    <w:rsid w:val="00867086"/>
    <w:rsid w:val="00867FCD"/>
    <w:rsid w:val="00873783"/>
    <w:rsid w:val="0087386E"/>
    <w:rsid w:val="00874046"/>
    <w:rsid w:val="00874663"/>
    <w:rsid w:val="00881B95"/>
    <w:rsid w:val="00882B6B"/>
    <w:rsid w:val="008831CA"/>
    <w:rsid w:val="00884557"/>
    <w:rsid w:val="00885258"/>
    <w:rsid w:val="008913CB"/>
    <w:rsid w:val="0089272A"/>
    <w:rsid w:val="00894078"/>
    <w:rsid w:val="00894890"/>
    <w:rsid w:val="00897247"/>
    <w:rsid w:val="00897E6F"/>
    <w:rsid w:val="008A23C9"/>
    <w:rsid w:val="008A3FDE"/>
    <w:rsid w:val="008A49FA"/>
    <w:rsid w:val="008A64BC"/>
    <w:rsid w:val="008B08F0"/>
    <w:rsid w:val="008B1C47"/>
    <w:rsid w:val="008B262C"/>
    <w:rsid w:val="008B4FEB"/>
    <w:rsid w:val="008B604E"/>
    <w:rsid w:val="008B6FC8"/>
    <w:rsid w:val="008C19E9"/>
    <w:rsid w:val="008C1D6B"/>
    <w:rsid w:val="008C26E9"/>
    <w:rsid w:val="008C2B86"/>
    <w:rsid w:val="008C3AB7"/>
    <w:rsid w:val="008C3E91"/>
    <w:rsid w:val="008C774E"/>
    <w:rsid w:val="008D0340"/>
    <w:rsid w:val="008D3294"/>
    <w:rsid w:val="008D4652"/>
    <w:rsid w:val="008D6D9D"/>
    <w:rsid w:val="008E0BDD"/>
    <w:rsid w:val="008E393C"/>
    <w:rsid w:val="008E3D70"/>
    <w:rsid w:val="008F0BEA"/>
    <w:rsid w:val="008F1691"/>
    <w:rsid w:val="008F22E2"/>
    <w:rsid w:val="008F3D9A"/>
    <w:rsid w:val="008F53D0"/>
    <w:rsid w:val="008F5698"/>
    <w:rsid w:val="008F56B6"/>
    <w:rsid w:val="008F639E"/>
    <w:rsid w:val="00901E63"/>
    <w:rsid w:val="00901EF2"/>
    <w:rsid w:val="00902295"/>
    <w:rsid w:val="00903185"/>
    <w:rsid w:val="00903330"/>
    <w:rsid w:val="00903498"/>
    <w:rsid w:val="00903EB6"/>
    <w:rsid w:val="00904906"/>
    <w:rsid w:val="00904F9D"/>
    <w:rsid w:val="00904FDB"/>
    <w:rsid w:val="0090621B"/>
    <w:rsid w:val="0090760E"/>
    <w:rsid w:val="009079D0"/>
    <w:rsid w:val="00912986"/>
    <w:rsid w:val="00913D0A"/>
    <w:rsid w:val="009148A1"/>
    <w:rsid w:val="00917815"/>
    <w:rsid w:val="00922205"/>
    <w:rsid w:val="00924972"/>
    <w:rsid w:val="00925C55"/>
    <w:rsid w:val="00926530"/>
    <w:rsid w:val="00932E1E"/>
    <w:rsid w:val="00934068"/>
    <w:rsid w:val="00935CD5"/>
    <w:rsid w:val="009371B2"/>
    <w:rsid w:val="00937854"/>
    <w:rsid w:val="00937CF7"/>
    <w:rsid w:val="009405EC"/>
    <w:rsid w:val="00941552"/>
    <w:rsid w:val="009418AA"/>
    <w:rsid w:val="00942D57"/>
    <w:rsid w:val="009466AB"/>
    <w:rsid w:val="009469E0"/>
    <w:rsid w:val="009475EC"/>
    <w:rsid w:val="00951C4D"/>
    <w:rsid w:val="00952B58"/>
    <w:rsid w:val="00952E03"/>
    <w:rsid w:val="00953678"/>
    <w:rsid w:val="009547E2"/>
    <w:rsid w:val="00954C4B"/>
    <w:rsid w:val="00956488"/>
    <w:rsid w:val="00956F5F"/>
    <w:rsid w:val="00957276"/>
    <w:rsid w:val="009610DC"/>
    <w:rsid w:val="009625FD"/>
    <w:rsid w:val="0097154F"/>
    <w:rsid w:val="00972F8D"/>
    <w:rsid w:val="00974CDD"/>
    <w:rsid w:val="00975B91"/>
    <w:rsid w:val="00976C28"/>
    <w:rsid w:val="009809DC"/>
    <w:rsid w:val="00982189"/>
    <w:rsid w:val="00985996"/>
    <w:rsid w:val="00986978"/>
    <w:rsid w:val="00993F91"/>
    <w:rsid w:val="00994F74"/>
    <w:rsid w:val="0099563A"/>
    <w:rsid w:val="00997E2C"/>
    <w:rsid w:val="009A13F4"/>
    <w:rsid w:val="009A44BE"/>
    <w:rsid w:val="009A4D0E"/>
    <w:rsid w:val="009A5154"/>
    <w:rsid w:val="009B029F"/>
    <w:rsid w:val="009B100E"/>
    <w:rsid w:val="009B27F8"/>
    <w:rsid w:val="009B4A8B"/>
    <w:rsid w:val="009B74FB"/>
    <w:rsid w:val="009C0660"/>
    <w:rsid w:val="009C07BA"/>
    <w:rsid w:val="009C11B8"/>
    <w:rsid w:val="009C31A4"/>
    <w:rsid w:val="009C4845"/>
    <w:rsid w:val="009C7314"/>
    <w:rsid w:val="009C7DFA"/>
    <w:rsid w:val="009D2442"/>
    <w:rsid w:val="009D4E44"/>
    <w:rsid w:val="009D5D9F"/>
    <w:rsid w:val="009E02FA"/>
    <w:rsid w:val="009E0D97"/>
    <w:rsid w:val="009E0FA2"/>
    <w:rsid w:val="009E2244"/>
    <w:rsid w:val="009E2970"/>
    <w:rsid w:val="009E4440"/>
    <w:rsid w:val="009F11E4"/>
    <w:rsid w:val="009F2BAA"/>
    <w:rsid w:val="009F57FD"/>
    <w:rsid w:val="009F7F9F"/>
    <w:rsid w:val="00A00EEB"/>
    <w:rsid w:val="00A01E02"/>
    <w:rsid w:val="00A0247E"/>
    <w:rsid w:val="00A02E26"/>
    <w:rsid w:val="00A03612"/>
    <w:rsid w:val="00A03EBC"/>
    <w:rsid w:val="00A05BA0"/>
    <w:rsid w:val="00A0627D"/>
    <w:rsid w:val="00A06AF7"/>
    <w:rsid w:val="00A071D2"/>
    <w:rsid w:val="00A0758A"/>
    <w:rsid w:val="00A13D53"/>
    <w:rsid w:val="00A159C9"/>
    <w:rsid w:val="00A167FB"/>
    <w:rsid w:val="00A2194A"/>
    <w:rsid w:val="00A21B70"/>
    <w:rsid w:val="00A21D02"/>
    <w:rsid w:val="00A21D82"/>
    <w:rsid w:val="00A21DDB"/>
    <w:rsid w:val="00A23CF6"/>
    <w:rsid w:val="00A24D3D"/>
    <w:rsid w:val="00A2690C"/>
    <w:rsid w:val="00A2792F"/>
    <w:rsid w:val="00A27C15"/>
    <w:rsid w:val="00A30970"/>
    <w:rsid w:val="00A314E8"/>
    <w:rsid w:val="00A315E4"/>
    <w:rsid w:val="00A31D96"/>
    <w:rsid w:val="00A31FEE"/>
    <w:rsid w:val="00A32C52"/>
    <w:rsid w:val="00A33C55"/>
    <w:rsid w:val="00A347AF"/>
    <w:rsid w:val="00A35A08"/>
    <w:rsid w:val="00A406C3"/>
    <w:rsid w:val="00A41291"/>
    <w:rsid w:val="00A4170D"/>
    <w:rsid w:val="00A42875"/>
    <w:rsid w:val="00A44DC1"/>
    <w:rsid w:val="00A458D6"/>
    <w:rsid w:val="00A45AC7"/>
    <w:rsid w:val="00A478BF"/>
    <w:rsid w:val="00A47A98"/>
    <w:rsid w:val="00A47EE7"/>
    <w:rsid w:val="00A500CB"/>
    <w:rsid w:val="00A50798"/>
    <w:rsid w:val="00A50980"/>
    <w:rsid w:val="00A50B43"/>
    <w:rsid w:val="00A51585"/>
    <w:rsid w:val="00A51C87"/>
    <w:rsid w:val="00A5363C"/>
    <w:rsid w:val="00A54197"/>
    <w:rsid w:val="00A5477B"/>
    <w:rsid w:val="00A57C46"/>
    <w:rsid w:val="00A601F5"/>
    <w:rsid w:val="00A602DB"/>
    <w:rsid w:val="00A61821"/>
    <w:rsid w:val="00A61E3A"/>
    <w:rsid w:val="00A631BA"/>
    <w:rsid w:val="00A63F11"/>
    <w:rsid w:val="00A6706F"/>
    <w:rsid w:val="00A67CA5"/>
    <w:rsid w:val="00A724B6"/>
    <w:rsid w:val="00A72DAA"/>
    <w:rsid w:val="00A73004"/>
    <w:rsid w:val="00A75CCD"/>
    <w:rsid w:val="00A7671F"/>
    <w:rsid w:val="00A773D6"/>
    <w:rsid w:val="00A77E47"/>
    <w:rsid w:val="00A80506"/>
    <w:rsid w:val="00A806AE"/>
    <w:rsid w:val="00A8118F"/>
    <w:rsid w:val="00A83458"/>
    <w:rsid w:val="00A84241"/>
    <w:rsid w:val="00A86C41"/>
    <w:rsid w:val="00A8725C"/>
    <w:rsid w:val="00A90148"/>
    <w:rsid w:val="00A9044F"/>
    <w:rsid w:val="00A917F8"/>
    <w:rsid w:val="00A92483"/>
    <w:rsid w:val="00A93A35"/>
    <w:rsid w:val="00A96488"/>
    <w:rsid w:val="00A972BB"/>
    <w:rsid w:val="00AA0D8C"/>
    <w:rsid w:val="00AA25BC"/>
    <w:rsid w:val="00AA3077"/>
    <w:rsid w:val="00AA46AF"/>
    <w:rsid w:val="00AA5AE7"/>
    <w:rsid w:val="00AB0B95"/>
    <w:rsid w:val="00AB1F45"/>
    <w:rsid w:val="00AB2BD9"/>
    <w:rsid w:val="00AB4E9E"/>
    <w:rsid w:val="00AB511A"/>
    <w:rsid w:val="00AB6C99"/>
    <w:rsid w:val="00AC11D5"/>
    <w:rsid w:val="00AC15E5"/>
    <w:rsid w:val="00AC177D"/>
    <w:rsid w:val="00AC22BB"/>
    <w:rsid w:val="00AC3540"/>
    <w:rsid w:val="00AC4080"/>
    <w:rsid w:val="00AC4F25"/>
    <w:rsid w:val="00AC5A6D"/>
    <w:rsid w:val="00AC5D73"/>
    <w:rsid w:val="00AC6CCE"/>
    <w:rsid w:val="00AC73AD"/>
    <w:rsid w:val="00AD056B"/>
    <w:rsid w:val="00AD4084"/>
    <w:rsid w:val="00AD5D26"/>
    <w:rsid w:val="00AD705A"/>
    <w:rsid w:val="00AD78F9"/>
    <w:rsid w:val="00AE008D"/>
    <w:rsid w:val="00AE30E0"/>
    <w:rsid w:val="00AE346F"/>
    <w:rsid w:val="00AE3AD5"/>
    <w:rsid w:val="00AF0A71"/>
    <w:rsid w:val="00AF2329"/>
    <w:rsid w:val="00AF251C"/>
    <w:rsid w:val="00AF26CF"/>
    <w:rsid w:val="00AF3660"/>
    <w:rsid w:val="00AF5A96"/>
    <w:rsid w:val="00AF5DED"/>
    <w:rsid w:val="00AF7A20"/>
    <w:rsid w:val="00B01312"/>
    <w:rsid w:val="00B0246C"/>
    <w:rsid w:val="00B0296E"/>
    <w:rsid w:val="00B02D98"/>
    <w:rsid w:val="00B02DFD"/>
    <w:rsid w:val="00B075B1"/>
    <w:rsid w:val="00B115BF"/>
    <w:rsid w:val="00B116EE"/>
    <w:rsid w:val="00B11BB3"/>
    <w:rsid w:val="00B15D2F"/>
    <w:rsid w:val="00B16399"/>
    <w:rsid w:val="00B164ED"/>
    <w:rsid w:val="00B1760F"/>
    <w:rsid w:val="00B242AF"/>
    <w:rsid w:val="00B2586D"/>
    <w:rsid w:val="00B25AE4"/>
    <w:rsid w:val="00B26909"/>
    <w:rsid w:val="00B275F9"/>
    <w:rsid w:val="00B27664"/>
    <w:rsid w:val="00B30EC6"/>
    <w:rsid w:val="00B31169"/>
    <w:rsid w:val="00B31828"/>
    <w:rsid w:val="00B35E81"/>
    <w:rsid w:val="00B363CD"/>
    <w:rsid w:val="00B37D1D"/>
    <w:rsid w:val="00B40C72"/>
    <w:rsid w:val="00B41561"/>
    <w:rsid w:val="00B41E6B"/>
    <w:rsid w:val="00B42BEE"/>
    <w:rsid w:val="00B43CDC"/>
    <w:rsid w:val="00B44D24"/>
    <w:rsid w:val="00B452B7"/>
    <w:rsid w:val="00B45709"/>
    <w:rsid w:val="00B458E3"/>
    <w:rsid w:val="00B4779C"/>
    <w:rsid w:val="00B50E0E"/>
    <w:rsid w:val="00B51052"/>
    <w:rsid w:val="00B518FF"/>
    <w:rsid w:val="00B51F5A"/>
    <w:rsid w:val="00B54F17"/>
    <w:rsid w:val="00B55043"/>
    <w:rsid w:val="00B561EE"/>
    <w:rsid w:val="00B57D47"/>
    <w:rsid w:val="00B611E8"/>
    <w:rsid w:val="00B6210E"/>
    <w:rsid w:val="00B63097"/>
    <w:rsid w:val="00B632E3"/>
    <w:rsid w:val="00B64DC8"/>
    <w:rsid w:val="00B703EA"/>
    <w:rsid w:val="00B70688"/>
    <w:rsid w:val="00B70796"/>
    <w:rsid w:val="00B708C9"/>
    <w:rsid w:val="00B72ADC"/>
    <w:rsid w:val="00B73548"/>
    <w:rsid w:val="00B736F7"/>
    <w:rsid w:val="00B73741"/>
    <w:rsid w:val="00B750B9"/>
    <w:rsid w:val="00B77091"/>
    <w:rsid w:val="00B802FE"/>
    <w:rsid w:val="00B822A2"/>
    <w:rsid w:val="00B8268A"/>
    <w:rsid w:val="00B837C1"/>
    <w:rsid w:val="00B841E0"/>
    <w:rsid w:val="00B860BA"/>
    <w:rsid w:val="00B865F5"/>
    <w:rsid w:val="00B870A0"/>
    <w:rsid w:val="00B91DFE"/>
    <w:rsid w:val="00B94927"/>
    <w:rsid w:val="00B966E9"/>
    <w:rsid w:val="00B96BC7"/>
    <w:rsid w:val="00B97229"/>
    <w:rsid w:val="00BA08A3"/>
    <w:rsid w:val="00BA5AB3"/>
    <w:rsid w:val="00BB0D4E"/>
    <w:rsid w:val="00BB227E"/>
    <w:rsid w:val="00BB297A"/>
    <w:rsid w:val="00BB3058"/>
    <w:rsid w:val="00BB3A41"/>
    <w:rsid w:val="00BB3BF6"/>
    <w:rsid w:val="00BB3E60"/>
    <w:rsid w:val="00BB5D48"/>
    <w:rsid w:val="00BB7E3D"/>
    <w:rsid w:val="00BC0B7E"/>
    <w:rsid w:val="00BC3CD1"/>
    <w:rsid w:val="00BC4961"/>
    <w:rsid w:val="00BC5EC6"/>
    <w:rsid w:val="00BC5F0E"/>
    <w:rsid w:val="00BD2211"/>
    <w:rsid w:val="00BD221D"/>
    <w:rsid w:val="00BD3E65"/>
    <w:rsid w:val="00BD42B1"/>
    <w:rsid w:val="00BD5934"/>
    <w:rsid w:val="00BD5DA5"/>
    <w:rsid w:val="00BD7785"/>
    <w:rsid w:val="00BE0944"/>
    <w:rsid w:val="00BE0CA4"/>
    <w:rsid w:val="00BE1593"/>
    <w:rsid w:val="00BE3B2E"/>
    <w:rsid w:val="00BE7D30"/>
    <w:rsid w:val="00BF1C69"/>
    <w:rsid w:val="00BF1CBD"/>
    <w:rsid w:val="00BF52C4"/>
    <w:rsid w:val="00BF691F"/>
    <w:rsid w:val="00C006BE"/>
    <w:rsid w:val="00C03920"/>
    <w:rsid w:val="00C05B8E"/>
    <w:rsid w:val="00C07B71"/>
    <w:rsid w:val="00C1063D"/>
    <w:rsid w:val="00C116FA"/>
    <w:rsid w:val="00C12F0B"/>
    <w:rsid w:val="00C12FD6"/>
    <w:rsid w:val="00C14B32"/>
    <w:rsid w:val="00C15D93"/>
    <w:rsid w:val="00C15E0E"/>
    <w:rsid w:val="00C228CF"/>
    <w:rsid w:val="00C23FB5"/>
    <w:rsid w:val="00C24518"/>
    <w:rsid w:val="00C24A1A"/>
    <w:rsid w:val="00C3033C"/>
    <w:rsid w:val="00C32502"/>
    <w:rsid w:val="00C328B6"/>
    <w:rsid w:val="00C331BB"/>
    <w:rsid w:val="00C403FC"/>
    <w:rsid w:val="00C41A08"/>
    <w:rsid w:val="00C420D5"/>
    <w:rsid w:val="00C422B9"/>
    <w:rsid w:val="00C4241E"/>
    <w:rsid w:val="00C4284C"/>
    <w:rsid w:val="00C50EFE"/>
    <w:rsid w:val="00C57195"/>
    <w:rsid w:val="00C574EF"/>
    <w:rsid w:val="00C6105E"/>
    <w:rsid w:val="00C615A3"/>
    <w:rsid w:val="00C6198D"/>
    <w:rsid w:val="00C6319C"/>
    <w:rsid w:val="00C635DA"/>
    <w:rsid w:val="00C639E7"/>
    <w:rsid w:val="00C659BE"/>
    <w:rsid w:val="00C66B4B"/>
    <w:rsid w:val="00C72BE1"/>
    <w:rsid w:val="00C76F09"/>
    <w:rsid w:val="00C772CF"/>
    <w:rsid w:val="00C80300"/>
    <w:rsid w:val="00C81384"/>
    <w:rsid w:val="00C82307"/>
    <w:rsid w:val="00C82C8D"/>
    <w:rsid w:val="00C84826"/>
    <w:rsid w:val="00C8613B"/>
    <w:rsid w:val="00C9126E"/>
    <w:rsid w:val="00C917BB"/>
    <w:rsid w:val="00C91FBA"/>
    <w:rsid w:val="00C92622"/>
    <w:rsid w:val="00C93D6D"/>
    <w:rsid w:val="00C960AA"/>
    <w:rsid w:val="00C96855"/>
    <w:rsid w:val="00C97228"/>
    <w:rsid w:val="00C97320"/>
    <w:rsid w:val="00C9780D"/>
    <w:rsid w:val="00CA02DA"/>
    <w:rsid w:val="00CA0B61"/>
    <w:rsid w:val="00CA1A54"/>
    <w:rsid w:val="00CA2A76"/>
    <w:rsid w:val="00CA68BB"/>
    <w:rsid w:val="00CB2B98"/>
    <w:rsid w:val="00CC39EE"/>
    <w:rsid w:val="00CC46B2"/>
    <w:rsid w:val="00CC50A5"/>
    <w:rsid w:val="00CC5718"/>
    <w:rsid w:val="00CC67A9"/>
    <w:rsid w:val="00CD0008"/>
    <w:rsid w:val="00CD1352"/>
    <w:rsid w:val="00CD1CBE"/>
    <w:rsid w:val="00CD1E3E"/>
    <w:rsid w:val="00CD32E2"/>
    <w:rsid w:val="00CD4B0B"/>
    <w:rsid w:val="00CD5252"/>
    <w:rsid w:val="00CD5D79"/>
    <w:rsid w:val="00CD6363"/>
    <w:rsid w:val="00CD6698"/>
    <w:rsid w:val="00CD7F29"/>
    <w:rsid w:val="00CE07DB"/>
    <w:rsid w:val="00CE0B93"/>
    <w:rsid w:val="00CE11D6"/>
    <w:rsid w:val="00CE1E5B"/>
    <w:rsid w:val="00CE43D8"/>
    <w:rsid w:val="00CE51A0"/>
    <w:rsid w:val="00CE5F3F"/>
    <w:rsid w:val="00CE63C0"/>
    <w:rsid w:val="00CF1D92"/>
    <w:rsid w:val="00CF45C5"/>
    <w:rsid w:val="00CF5661"/>
    <w:rsid w:val="00CF5CA0"/>
    <w:rsid w:val="00CF5D91"/>
    <w:rsid w:val="00CF6CEF"/>
    <w:rsid w:val="00D0025C"/>
    <w:rsid w:val="00D004FB"/>
    <w:rsid w:val="00D005C6"/>
    <w:rsid w:val="00D02BBC"/>
    <w:rsid w:val="00D02C36"/>
    <w:rsid w:val="00D058FA"/>
    <w:rsid w:val="00D0619A"/>
    <w:rsid w:val="00D07117"/>
    <w:rsid w:val="00D07603"/>
    <w:rsid w:val="00D12172"/>
    <w:rsid w:val="00D12B8C"/>
    <w:rsid w:val="00D1592F"/>
    <w:rsid w:val="00D16C72"/>
    <w:rsid w:val="00D17F6F"/>
    <w:rsid w:val="00D200F6"/>
    <w:rsid w:val="00D21646"/>
    <w:rsid w:val="00D22B13"/>
    <w:rsid w:val="00D24AC8"/>
    <w:rsid w:val="00D24B32"/>
    <w:rsid w:val="00D35805"/>
    <w:rsid w:val="00D36A3A"/>
    <w:rsid w:val="00D416E3"/>
    <w:rsid w:val="00D4241D"/>
    <w:rsid w:val="00D454F2"/>
    <w:rsid w:val="00D45BBF"/>
    <w:rsid w:val="00D47A99"/>
    <w:rsid w:val="00D47CE9"/>
    <w:rsid w:val="00D524AD"/>
    <w:rsid w:val="00D52995"/>
    <w:rsid w:val="00D61300"/>
    <w:rsid w:val="00D618DC"/>
    <w:rsid w:val="00D639F4"/>
    <w:rsid w:val="00D64540"/>
    <w:rsid w:val="00D647ED"/>
    <w:rsid w:val="00D64B11"/>
    <w:rsid w:val="00D65202"/>
    <w:rsid w:val="00D67FA5"/>
    <w:rsid w:val="00D72ADE"/>
    <w:rsid w:val="00D75233"/>
    <w:rsid w:val="00D7728F"/>
    <w:rsid w:val="00D77696"/>
    <w:rsid w:val="00D81CC4"/>
    <w:rsid w:val="00D8317E"/>
    <w:rsid w:val="00D832D8"/>
    <w:rsid w:val="00D85498"/>
    <w:rsid w:val="00D86D52"/>
    <w:rsid w:val="00D92DAB"/>
    <w:rsid w:val="00D94592"/>
    <w:rsid w:val="00D9581E"/>
    <w:rsid w:val="00D97391"/>
    <w:rsid w:val="00D9765E"/>
    <w:rsid w:val="00D97E50"/>
    <w:rsid w:val="00DA247E"/>
    <w:rsid w:val="00DA3854"/>
    <w:rsid w:val="00DA3B26"/>
    <w:rsid w:val="00DA4591"/>
    <w:rsid w:val="00DA5B1F"/>
    <w:rsid w:val="00DA6430"/>
    <w:rsid w:val="00DB0AA1"/>
    <w:rsid w:val="00DB63DB"/>
    <w:rsid w:val="00DB7824"/>
    <w:rsid w:val="00DC16D9"/>
    <w:rsid w:val="00DC1CB3"/>
    <w:rsid w:val="00DC308E"/>
    <w:rsid w:val="00DC3F30"/>
    <w:rsid w:val="00DC4097"/>
    <w:rsid w:val="00DC5F50"/>
    <w:rsid w:val="00DC7F73"/>
    <w:rsid w:val="00DC7FF0"/>
    <w:rsid w:val="00DD30BB"/>
    <w:rsid w:val="00DD7848"/>
    <w:rsid w:val="00DE0D15"/>
    <w:rsid w:val="00DE191A"/>
    <w:rsid w:val="00DE1A0F"/>
    <w:rsid w:val="00DE3123"/>
    <w:rsid w:val="00DE339F"/>
    <w:rsid w:val="00DE56F5"/>
    <w:rsid w:val="00DF1535"/>
    <w:rsid w:val="00DF3A14"/>
    <w:rsid w:val="00DF47A9"/>
    <w:rsid w:val="00DF53F5"/>
    <w:rsid w:val="00DF61FD"/>
    <w:rsid w:val="00DF6D25"/>
    <w:rsid w:val="00E01E38"/>
    <w:rsid w:val="00E02DCB"/>
    <w:rsid w:val="00E03C6D"/>
    <w:rsid w:val="00E11EE3"/>
    <w:rsid w:val="00E135F9"/>
    <w:rsid w:val="00E14349"/>
    <w:rsid w:val="00E15183"/>
    <w:rsid w:val="00E154AD"/>
    <w:rsid w:val="00E15A73"/>
    <w:rsid w:val="00E16889"/>
    <w:rsid w:val="00E16E6B"/>
    <w:rsid w:val="00E20C28"/>
    <w:rsid w:val="00E21AE7"/>
    <w:rsid w:val="00E21D9C"/>
    <w:rsid w:val="00E21DF8"/>
    <w:rsid w:val="00E22A77"/>
    <w:rsid w:val="00E22E84"/>
    <w:rsid w:val="00E24B18"/>
    <w:rsid w:val="00E3016C"/>
    <w:rsid w:val="00E33546"/>
    <w:rsid w:val="00E34357"/>
    <w:rsid w:val="00E348BC"/>
    <w:rsid w:val="00E35634"/>
    <w:rsid w:val="00E3649B"/>
    <w:rsid w:val="00E36A58"/>
    <w:rsid w:val="00E4193D"/>
    <w:rsid w:val="00E41B6C"/>
    <w:rsid w:val="00E4307D"/>
    <w:rsid w:val="00E4318F"/>
    <w:rsid w:val="00E4392E"/>
    <w:rsid w:val="00E444AA"/>
    <w:rsid w:val="00E50B4F"/>
    <w:rsid w:val="00E51579"/>
    <w:rsid w:val="00E54395"/>
    <w:rsid w:val="00E54725"/>
    <w:rsid w:val="00E54741"/>
    <w:rsid w:val="00E55514"/>
    <w:rsid w:val="00E568E5"/>
    <w:rsid w:val="00E603BD"/>
    <w:rsid w:val="00E6453F"/>
    <w:rsid w:val="00E659EF"/>
    <w:rsid w:val="00E65A5D"/>
    <w:rsid w:val="00E66C40"/>
    <w:rsid w:val="00E70CBD"/>
    <w:rsid w:val="00E717E8"/>
    <w:rsid w:val="00E72BAF"/>
    <w:rsid w:val="00E73505"/>
    <w:rsid w:val="00E736D3"/>
    <w:rsid w:val="00E7391D"/>
    <w:rsid w:val="00E73D81"/>
    <w:rsid w:val="00E74641"/>
    <w:rsid w:val="00E754F4"/>
    <w:rsid w:val="00E808C8"/>
    <w:rsid w:val="00E8129B"/>
    <w:rsid w:val="00E90A75"/>
    <w:rsid w:val="00E950F7"/>
    <w:rsid w:val="00EA057C"/>
    <w:rsid w:val="00EA2D3D"/>
    <w:rsid w:val="00EA5B84"/>
    <w:rsid w:val="00EB20F9"/>
    <w:rsid w:val="00EB24EB"/>
    <w:rsid w:val="00EB34AF"/>
    <w:rsid w:val="00EC3DCE"/>
    <w:rsid w:val="00EC50F8"/>
    <w:rsid w:val="00EC6905"/>
    <w:rsid w:val="00ED06CC"/>
    <w:rsid w:val="00ED2242"/>
    <w:rsid w:val="00ED2C8E"/>
    <w:rsid w:val="00ED379E"/>
    <w:rsid w:val="00ED56FF"/>
    <w:rsid w:val="00ED5D6A"/>
    <w:rsid w:val="00ED70EC"/>
    <w:rsid w:val="00ED7680"/>
    <w:rsid w:val="00EE0424"/>
    <w:rsid w:val="00EE0D47"/>
    <w:rsid w:val="00EE36D1"/>
    <w:rsid w:val="00EE3802"/>
    <w:rsid w:val="00EE3E96"/>
    <w:rsid w:val="00EE5358"/>
    <w:rsid w:val="00EE564F"/>
    <w:rsid w:val="00EE5819"/>
    <w:rsid w:val="00EF10D7"/>
    <w:rsid w:val="00EF2CB5"/>
    <w:rsid w:val="00EF362E"/>
    <w:rsid w:val="00EF4240"/>
    <w:rsid w:val="00EF5935"/>
    <w:rsid w:val="00EF71E9"/>
    <w:rsid w:val="00F006D2"/>
    <w:rsid w:val="00F009D9"/>
    <w:rsid w:val="00F00BD1"/>
    <w:rsid w:val="00F00DB0"/>
    <w:rsid w:val="00F01FD9"/>
    <w:rsid w:val="00F022E2"/>
    <w:rsid w:val="00F0444D"/>
    <w:rsid w:val="00F04B07"/>
    <w:rsid w:val="00F058E8"/>
    <w:rsid w:val="00F05BA8"/>
    <w:rsid w:val="00F10491"/>
    <w:rsid w:val="00F13CDD"/>
    <w:rsid w:val="00F13FAC"/>
    <w:rsid w:val="00F14AC0"/>
    <w:rsid w:val="00F1519F"/>
    <w:rsid w:val="00F1625C"/>
    <w:rsid w:val="00F16F13"/>
    <w:rsid w:val="00F175F4"/>
    <w:rsid w:val="00F17E66"/>
    <w:rsid w:val="00F23E9A"/>
    <w:rsid w:val="00F242D9"/>
    <w:rsid w:val="00F24D8E"/>
    <w:rsid w:val="00F31BB9"/>
    <w:rsid w:val="00F33C89"/>
    <w:rsid w:val="00F34837"/>
    <w:rsid w:val="00F34A6D"/>
    <w:rsid w:val="00F3715D"/>
    <w:rsid w:val="00F3759B"/>
    <w:rsid w:val="00F42E31"/>
    <w:rsid w:val="00F44B62"/>
    <w:rsid w:val="00F5072C"/>
    <w:rsid w:val="00F51CBF"/>
    <w:rsid w:val="00F53CC8"/>
    <w:rsid w:val="00F5411D"/>
    <w:rsid w:val="00F56D2B"/>
    <w:rsid w:val="00F57D2D"/>
    <w:rsid w:val="00F606D8"/>
    <w:rsid w:val="00F62A49"/>
    <w:rsid w:val="00F64F0D"/>
    <w:rsid w:val="00F66E74"/>
    <w:rsid w:val="00F7026A"/>
    <w:rsid w:val="00F71826"/>
    <w:rsid w:val="00F72B45"/>
    <w:rsid w:val="00F73B00"/>
    <w:rsid w:val="00F73D9A"/>
    <w:rsid w:val="00F73F2D"/>
    <w:rsid w:val="00F742D8"/>
    <w:rsid w:val="00F77258"/>
    <w:rsid w:val="00F77311"/>
    <w:rsid w:val="00F82EB8"/>
    <w:rsid w:val="00F84737"/>
    <w:rsid w:val="00F84C3E"/>
    <w:rsid w:val="00F87631"/>
    <w:rsid w:val="00F87B69"/>
    <w:rsid w:val="00F9005C"/>
    <w:rsid w:val="00F9063C"/>
    <w:rsid w:val="00F90C95"/>
    <w:rsid w:val="00F9103E"/>
    <w:rsid w:val="00F9215A"/>
    <w:rsid w:val="00F95923"/>
    <w:rsid w:val="00F96A39"/>
    <w:rsid w:val="00F97463"/>
    <w:rsid w:val="00FA4263"/>
    <w:rsid w:val="00FA43F4"/>
    <w:rsid w:val="00FA4DC6"/>
    <w:rsid w:val="00FA5D99"/>
    <w:rsid w:val="00FA6D11"/>
    <w:rsid w:val="00FB030E"/>
    <w:rsid w:val="00FB4123"/>
    <w:rsid w:val="00FB571F"/>
    <w:rsid w:val="00FB7D57"/>
    <w:rsid w:val="00FC082D"/>
    <w:rsid w:val="00FC1B12"/>
    <w:rsid w:val="00FC24BE"/>
    <w:rsid w:val="00FC42BA"/>
    <w:rsid w:val="00FC4C19"/>
    <w:rsid w:val="00FC612E"/>
    <w:rsid w:val="00FC6166"/>
    <w:rsid w:val="00FD045D"/>
    <w:rsid w:val="00FD08C1"/>
    <w:rsid w:val="00FD2375"/>
    <w:rsid w:val="00FD2C54"/>
    <w:rsid w:val="00FD2FF5"/>
    <w:rsid w:val="00FD4B60"/>
    <w:rsid w:val="00FD7A7A"/>
    <w:rsid w:val="00FD7F62"/>
    <w:rsid w:val="00FE10C1"/>
    <w:rsid w:val="00FE190E"/>
    <w:rsid w:val="00FE20A9"/>
    <w:rsid w:val="00FE48A9"/>
    <w:rsid w:val="00FE4A12"/>
    <w:rsid w:val="00FE539D"/>
    <w:rsid w:val="00FE7A9B"/>
    <w:rsid w:val="00FF08B7"/>
    <w:rsid w:val="00FF12B8"/>
    <w:rsid w:val="00FF1BB9"/>
    <w:rsid w:val="00FF1FF7"/>
    <w:rsid w:val="00FF20D2"/>
    <w:rsid w:val="00FF521D"/>
    <w:rsid w:val="00FF6615"/>
    <w:rsid w:val="00FF7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187521"/>
    <w:pPr>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187521"/>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FF6615"/>
    <w:pPr>
      <w:numPr>
        <w:numId w:val="7"/>
      </w:numPr>
      <w:spacing w:before="0" w:after="20"/>
    </w:pPr>
    <w:rPr>
      <w:szCs w:val="22"/>
    </w:r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777422"/>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777422"/>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ART">
    <w:name w:val="ART"/>
    <w:basedOn w:val="Normal"/>
    <w:next w:val="Normal"/>
    <w:rsid w:val="00B242AF"/>
    <w:pPr>
      <w:numPr>
        <w:ilvl w:val="1"/>
        <w:numId w:val="6"/>
      </w:numPr>
      <w:suppressAutoHyphens/>
      <w:spacing w:before="240" w:after="0" w:line="240" w:lineRule="auto"/>
      <w:outlineLvl w:val="1"/>
    </w:pPr>
    <w:rPr>
      <w:rFonts w:ascii="Arial" w:eastAsia="Batang" w:hAnsi="Arial" w:cs="Times New Roman"/>
      <w:b/>
      <w:caps/>
      <w:sz w:val="20"/>
      <w:szCs w:val="20"/>
    </w:rPr>
  </w:style>
  <w:style w:type="paragraph" w:customStyle="1" w:styleId="Normal1">
    <w:name w:val="Normal1"/>
    <w:basedOn w:val="Normal"/>
    <w:rsid w:val="00FB4123"/>
    <w:pPr>
      <w:overflowPunct w:val="0"/>
      <w:autoSpaceDE w:val="0"/>
      <w:autoSpaceDN w:val="0"/>
      <w:adjustRightInd w:val="0"/>
      <w:spacing w:before="0" w:line="360" w:lineRule="atLeast"/>
      <w:textAlignment w:val="baseline"/>
    </w:pPr>
    <w:rPr>
      <w:rFonts w:ascii="Times New Roman" w:eastAsia="Batang" w:hAnsi="Times New Roman" w:cs="Times New Roman"/>
      <w:szCs w:val="20"/>
    </w:rPr>
  </w:style>
  <w:style w:type="paragraph" w:customStyle="1" w:styleId="Reminder">
    <w:name w:val="Reminder"/>
    <w:basedOn w:val="Normal"/>
    <w:link w:val="ReminderChar"/>
    <w:rsid w:val="003225AD"/>
    <w:pPr>
      <w:spacing w:before="40" w:after="40" w:line="240" w:lineRule="auto"/>
    </w:pPr>
    <w:rPr>
      <w:rFonts w:ascii="Trebuchet MS" w:eastAsia="Times New Roman" w:hAnsi="Trebuchet MS" w:cs="Times New Roman"/>
      <w:i/>
      <w:color w:val="FF0000"/>
      <w:sz w:val="24"/>
    </w:rPr>
  </w:style>
  <w:style w:type="character" w:customStyle="1" w:styleId="ReminderChar">
    <w:name w:val="Reminder Char"/>
    <w:basedOn w:val="DefaultParagraphFont"/>
    <w:link w:val="Reminder"/>
    <w:rsid w:val="003225AD"/>
    <w:rPr>
      <w:rFonts w:ascii="Trebuchet MS" w:eastAsia="Times New Roman" w:hAnsi="Trebuchet MS" w:cs="Times New Roman"/>
      <w:i/>
      <w:color w:val="FF0000"/>
    </w:rPr>
  </w:style>
  <w:style w:type="paragraph" w:customStyle="1" w:styleId="Default">
    <w:name w:val="Default"/>
    <w:rsid w:val="00C772CF"/>
    <w:pPr>
      <w:autoSpaceDE w:val="0"/>
      <w:autoSpaceDN w:val="0"/>
      <w:adjustRightInd w:val="0"/>
    </w:pPr>
    <w:rPr>
      <w:rFonts w:ascii="Arial" w:eastAsia="Times New Roman" w:hAnsi="Arial" w:cs="Arial"/>
      <w:color w:val="000000"/>
    </w:rPr>
  </w:style>
  <w:style w:type="paragraph" w:styleId="NormalWeb">
    <w:name w:val="Normal (Web)"/>
    <w:basedOn w:val="Normal"/>
    <w:uiPriority w:val="99"/>
    <w:semiHidden/>
    <w:unhideWhenUsed/>
    <w:rsid w:val="00112C97"/>
    <w:pPr>
      <w:spacing w:before="100" w:beforeAutospacing="1" w:after="100" w:afterAutospacing="1" w:line="240" w:lineRule="auto"/>
    </w:pPr>
    <w:rPr>
      <w:rFonts w:ascii="Times New Roman" w:hAnsi="Times New Roman" w:cs="Times New Roman"/>
      <w:sz w:val="24"/>
    </w:rPr>
  </w:style>
  <w:style w:type="character" w:styleId="PlaceholderText">
    <w:name w:val="Placeholder Text"/>
    <w:basedOn w:val="DefaultParagraphFont"/>
    <w:uiPriority w:val="99"/>
    <w:semiHidden/>
    <w:rsid w:val="00760E9C"/>
    <w:rPr>
      <w:color w:val="808080"/>
    </w:rPr>
  </w:style>
  <w:style w:type="character" w:customStyle="1" w:styleId="apple-converted-space">
    <w:name w:val="apple-converted-space"/>
    <w:basedOn w:val="DefaultParagraphFont"/>
    <w:rsid w:val="00684811"/>
  </w:style>
  <w:style w:type="paragraph" w:customStyle="1" w:styleId="textbox">
    <w:name w:val="textbox"/>
    <w:basedOn w:val="Normal"/>
    <w:rsid w:val="0035745A"/>
    <w:pPr>
      <w:spacing w:before="100" w:beforeAutospacing="1" w:after="100" w:afterAutospacing="1"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0615">
      <w:bodyDiv w:val="1"/>
      <w:marLeft w:val="0"/>
      <w:marRight w:val="0"/>
      <w:marTop w:val="0"/>
      <w:marBottom w:val="0"/>
      <w:divBdr>
        <w:top w:val="none" w:sz="0" w:space="0" w:color="auto"/>
        <w:left w:val="none" w:sz="0" w:space="0" w:color="auto"/>
        <w:bottom w:val="none" w:sz="0" w:space="0" w:color="auto"/>
        <w:right w:val="none" w:sz="0" w:space="0" w:color="auto"/>
      </w:divBdr>
    </w:div>
    <w:div w:id="528181270">
      <w:bodyDiv w:val="1"/>
      <w:marLeft w:val="0"/>
      <w:marRight w:val="0"/>
      <w:marTop w:val="0"/>
      <w:marBottom w:val="0"/>
      <w:divBdr>
        <w:top w:val="none" w:sz="0" w:space="0" w:color="auto"/>
        <w:left w:val="none" w:sz="0" w:space="0" w:color="auto"/>
        <w:bottom w:val="none" w:sz="0" w:space="0" w:color="auto"/>
        <w:right w:val="none" w:sz="0" w:space="0" w:color="auto"/>
      </w:divBdr>
    </w:div>
    <w:div w:id="608242897">
      <w:bodyDiv w:val="1"/>
      <w:marLeft w:val="0"/>
      <w:marRight w:val="0"/>
      <w:marTop w:val="0"/>
      <w:marBottom w:val="0"/>
      <w:divBdr>
        <w:top w:val="none" w:sz="0" w:space="0" w:color="auto"/>
        <w:left w:val="none" w:sz="0" w:space="0" w:color="auto"/>
        <w:bottom w:val="none" w:sz="0" w:space="0" w:color="auto"/>
        <w:right w:val="none" w:sz="0" w:space="0" w:color="auto"/>
      </w:divBdr>
    </w:div>
    <w:div w:id="647250060">
      <w:bodyDiv w:val="1"/>
      <w:marLeft w:val="0"/>
      <w:marRight w:val="0"/>
      <w:marTop w:val="0"/>
      <w:marBottom w:val="0"/>
      <w:divBdr>
        <w:top w:val="none" w:sz="0" w:space="0" w:color="auto"/>
        <w:left w:val="none" w:sz="0" w:space="0" w:color="auto"/>
        <w:bottom w:val="none" w:sz="0" w:space="0" w:color="auto"/>
        <w:right w:val="none" w:sz="0" w:space="0" w:color="auto"/>
      </w:divBdr>
    </w:div>
    <w:div w:id="834346276">
      <w:bodyDiv w:val="1"/>
      <w:marLeft w:val="0"/>
      <w:marRight w:val="0"/>
      <w:marTop w:val="0"/>
      <w:marBottom w:val="0"/>
      <w:divBdr>
        <w:top w:val="none" w:sz="0" w:space="0" w:color="auto"/>
        <w:left w:val="none" w:sz="0" w:space="0" w:color="auto"/>
        <w:bottom w:val="none" w:sz="0" w:space="0" w:color="auto"/>
        <w:right w:val="none" w:sz="0" w:space="0" w:color="auto"/>
      </w:divBdr>
    </w:div>
    <w:div w:id="867527802">
      <w:bodyDiv w:val="1"/>
      <w:marLeft w:val="0"/>
      <w:marRight w:val="0"/>
      <w:marTop w:val="0"/>
      <w:marBottom w:val="0"/>
      <w:divBdr>
        <w:top w:val="none" w:sz="0" w:space="0" w:color="auto"/>
        <w:left w:val="none" w:sz="0" w:space="0" w:color="auto"/>
        <w:bottom w:val="none" w:sz="0" w:space="0" w:color="auto"/>
        <w:right w:val="none" w:sz="0" w:space="0" w:color="auto"/>
      </w:divBdr>
    </w:div>
    <w:div w:id="896630524">
      <w:bodyDiv w:val="1"/>
      <w:marLeft w:val="0"/>
      <w:marRight w:val="0"/>
      <w:marTop w:val="0"/>
      <w:marBottom w:val="0"/>
      <w:divBdr>
        <w:top w:val="none" w:sz="0" w:space="0" w:color="auto"/>
        <w:left w:val="none" w:sz="0" w:space="0" w:color="auto"/>
        <w:bottom w:val="none" w:sz="0" w:space="0" w:color="auto"/>
        <w:right w:val="none" w:sz="0" w:space="0" w:color="auto"/>
      </w:divBdr>
    </w:div>
    <w:div w:id="1037238465">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38201663">
      <w:bodyDiv w:val="1"/>
      <w:marLeft w:val="0"/>
      <w:marRight w:val="0"/>
      <w:marTop w:val="0"/>
      <w:marBottom w:val="0"/>
      <w:divBdr>
        <w:top w:val="none" w:sz="0" w:space="0" w:color="auto"/>
        <w:left w:val="none" w:sz="0" w:space="0" w:color="auto"/>
        <w:bottom w:val="none" w:sz="0" w:space="0" w:color="auto"/>
        <w:right w:val="none" w:sz="0" w:space="0" w:color="auto"/>
      </w:divBdr>
    </w:div>
    <w:div w:id="1321621953">
      <w:bodyDiv w:val="1"/>
      <w:marLeft w:val="0"/>
      <w:marRight w:val="0"/>
      <w:marTop w:val="0"/>
      <w:marBottom w:val="0"/>
      <w:divBdr>
        <w:top w:val="none" w:sz="0" w:space="0" w:color="auto"/>
        <w:left w:val="none" w:sz="0" w:space="0" w:color="auto"/>
        <w:bottom w:val="none" w:sz="0" w:space="0" w:color="auto"/>
        <w:right w:val="none" w:sz="0" w:space="0" w:color="auto"/>
      </w:divBdr>
    </w:div>
    <w:div w:id="1341544729">
      <w:bodyDiv w:val="1"/>
      <w:marLeft w:val="0"/>
      <w:marRight w:val="0"/>
      <w:marTop w:val="0"/>
      <w:marBottom w:val="0"/>
      <w:divBdr>
        <w:top w:val="none" w:sz="0" w:space="0" w:color="auto"/>
        <w:left w:val="none" w:sz="0" w:space="0" w:color="auto"/>
        <w:bottom w:val="none" w:sz="0" w:space="0" w:color="auto"/>
        <w:right w:val="none" w:sz="0" w:space="0" w:color="auto"/>
      </w:divBdr>
      <w:divsChild>
        <w:div w:id="1614676567">
          <w:marLeft w:val="0"/>
          <w:marRight w:val="0"/>
          <w:marTop w:val="0"/>
          <w:marBottom w:val="0"/>
          <w:divBdr>
            <w:top w:val="none" w:sz="0" w:space="0" w:color="auto"/>
            <w:left w:val="none" w:sz="0" w:space="0" w:color="auto"/>
            <w:bottom w:val="none" w:sz="0" w:space="0" w:color="auto"/>
            <w:right w:val="none" w:sz="0" w:space="0" w:color="auto"/>
          </w:divBdr>
          <w:divsChild>
            <w:div w:id="955872740">
              <w:marLeft w:val="0"/>
              <w:marRight w:val="0"/>
              <w:marTop w:val="0"/>
              <w:marBottom w:val="0"/>
              <w:divBdr>
                <w:top w:val="none" w:sz="0" w:space="0" w:color="auto"/>
                <w:left w:val="none" w:sz="0" w:space="0" w:color="auto"/>
                <w:bottom w:val="none" w:sz="0" w:space="0" w:color="auto"/>
                <w:right w:val="none" w:sz="0" w:space="0" w:color="auto"/>
              </w:divBdr>
              <w:divsChild>
                <w:div w:id="15126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210324">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955867095">
      <w:bodyDiv w:val="1"/>
      <w:marLeft w:val="0"/>
      <w:marRight w:val="0"/>
      <w:marTop w:val="0"/>
      <w:marBottom w:val="0"/>
      <w:divBdr>
        <w:top w:val="none" w:sz="0" w:space="0" w:color="auto"/>
        <w:left w:val="none" w:sz="0" w:space="0" w:color="auto"/>
        <w:bottom w:val="none" w:sz="0" w:space="0" w:color="auto"/>
        <w:right w:val="none" w:sz="0" w:space="0" w:color="auto"/>
      </w:divBdr>
    </w:div>
    <w:div w:id="1989049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Title20</b:Tag>
    <b:SourceType>DocumentFromInternetSite</b:SourceType>
    <b:Guid>{B286681F-E789-44B5-8D9E-CF1F84D55DF1}</b:Guid>
    <b:Title>California Energy Commision</b:Title>
    <b:InternetSiteTitle>Appliance Efficiency Program</b:InternetSiteTitle>
    <b:Year>2014</b:Year>
    <b:Month>02</b:Month>
    <b:Day>14</b:Day>
    <b:URL>http://www.energy.ca.gov/2014publications/CEC-400-2014-009/CEC-400-2014-009-CMF.pdf</b:URL>
    <b:YearAccessed>2014</b:YearAccessed>
    <b:MonthAccessed>05</b:MonthAccessed>
    <b:DayAccessed>23</b:DayAccessed>
    <b:ShortTitle>2014 Appliance Efficiency Regulations</b:ShortTitle>
    <b:RefOrder>1</b:RefOrder>
  </b:Source>
  <b:Source>
    <b:Tag>Title24</b:Tag>
    <b:SourceType>DocumentFromInternetSite</b:SourceType>
    <b:Guid>{38ABC1BB-18E8-4F8F-B028-EC59EC86C1DB}</b:Guid>
    <b:Title>2013 Building Energy Efficiency Standards</b:Title>
    <b:InternetSiteTitle>California Energy Commission</b:InternetSiteTitle>
    <b:Year>2013</b:Year>
    <b:Month>11</b:Month>
    <b:Day>25</b:Day>
    <b:URL>http://www.energy.ca.gov/title24/2013standards/index.html</b:URL>
    <b:YearAccessed>2014</b:YearAccessed>
    <b:MonthAccessed>05</b:MonthAccessed>
    <b:DayAccessed>23</b:DayAccessed>
    <b:ShortTitle>2013 Building Energy Efficiency Standards for Residential and Nonresidential Buildings - Revised</b:ShortTitle>
    <b:RefOrder>2</b:RefOrder>
  </b:Source>
</b:Sources>
</file>

<file path=customXml/itemProps1.xml><?xml version="1.0" encoding="utf-8"?>
<ds:datastoreItem xmlns:ds="http://schemas.openxmlformats.org/officeDocument/2006/customXml" ds:itemID="{7476C77F-9FC7-4BEB-9ADB-A9BA0E53F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52</TotalTime>
  <Pages>15</Pages>
  <Words>3972</Words>
  <Characters>22646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26565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24</cp:revision>
  <cp:lastPrinted>2021-08-02T13:24:00Z</cp:lastPrinted>
  <dcterms:created xsi:type="dcterms:W3CDTF">2019-02-28T17:45:00Z</dcterms:created>
  <dcterms:modified xsi:type="dcterms:W3CDTF">2021-08-02T13:25:00Z</dcterms:modified>
  <cp:category/>
</cp:coreProperties>
</file>