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78217EB" w:rsidR="00420467" w:rsidRDefault="0091400C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2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91400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E13B933" w14:textId="77777777" w:rsidR="003C120F" w:rsidRDefault="003C120F" w:rsidP="003C120F">
            <w:pPr>
              <w:pStyle w:val="BodyText"/>
            </w:pPr>
            <w:r>
              <w:t xml:space="preserve">Paul Deang (SCG): </w:t>
            </w:r>
          </w:p>
          <w:p w14:paraId="15B4A9C7" w14:textId="77777777" w:rsidR="003C120F" w:rsidRDefault="0091400C" w:rsidP="003C120F">
            <w:pPr>
              <w:pStyle w:val="BodyText"/>
            </w:pPr>
            <w:hyperlink r:id="rId11" w:history="1">
              <w:r w:rsidR="003C120F" w:rsidRPr="00225587">
                <w:rPr>
                  <w:rStyle w:val="Hyperlink"/>
                </w:rPr>
                <w:t>PDeang@semprautilities.com</w:t>
              </w:r>
            </w:hyperlink>
          </w:p>
          <w:p w14:paraId="4EE1FF60" w14:textId="77777777" w:rsidR="003C120F" w:rsidRDefault="003C120F" w:rsidP="003C120F">
            <w:pPr>
              <w:pStyle w:val="BodyText"/>
            </w:pPr>
          </w:p>
          <w:p w14:paraId="4F0ED5AC" w14:textId="77777777" w:rsidR="003C120F" w:rsidRDefault="003C120F" w:rsidP="003C120F">
            <w:pPr>
              <w:pStyle w:val="BodyText"/>
            </w:pPr>
            <w:r>
              <w:t>Chan Paek (SCG):</w:t>
            </w:r>
          </w:p>
          <w:p w14:paraId="0728127C" w14:textId="77777777" w:rsidR="003C120F" w:rsidRDefault="0091400C" w:rsidP="003C120F">
            <w:pPr>
              <w:pStyle w:val="BodyText"/>
            </w:pPr>
            <w:hyperlink r:id="rId12" w:history="1">
              <w:r w:rsidR="003C120F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6EAA535C" w:rsidR="00C2126E" w:rsidRDefault="00C2126E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59F2B37" w:rsidR="00A047C5" w:rsidRDefault="00CA7C93" w:rsidP="006B5B36">
            <w:pPr>
              <w:pStyle w:val="BodyText"/>
            </w:pPr>
            <w:r w:rsidRPr="00CA7C93">
              <w:t>T</w:t>
            </w:r>
            <w:r>
              <w:t>emperature</w:t>
            </w:r>
            <w:r w:rsidRPr="00CA7C93">
              <w:t>-I</w:t>
            </w:r>
            <w:r>
              <w:t>nitiated</w:t>
            </w:r>
            <w:r w:rsidRPr="00CA7C93">
              <w:t xml:space="preserve"> </w:t>
            </w:r>
            <w:r>
              <w:t>Shower Flow</w:t>
            </w:r>
            <w:r w:rsidR="00A105DE">
              <w:t xml:space="preserve"> Restriction Valve with and without an Integrated Low-Flow Showerhead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3DB8D4DF" w:rsidR="00A047C5" w:rsidRDefault="008A0FF0" w:rsidP="006B5B36">
            <w:pPr>
              <w:pStyle w:val="BodyText"/>
            </w:pPr>
            <w:r>
              <w:t>SWWH0</w:t>
            </w:r>
            <w:r w:rsidR="0061252A">
              <w:t>03</w:t>
            </w:r>
            <w:r>
              <w:t>-0</w:t>
            </w:r>
            <w:r w:rsidR="0061252A">
              <w:t>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0F1A8FAB" w14:textId="26BB21CC" w:rsidR="00A047C5" w:rsidRDefault="00E53BBE" w:rsidP="006B5B36">
            <w:pPr>
              <w:pStyle w:val="BodyText"/>
            </w:pPr>
            <w:r>
              <w:t>1</w:t>
            </w:r>
          </w:p>
          <w:p w14:paraId="6ED93584" w14:textId="2DFE47F0" w:rsidR="00BD3AE5" w:rsidRDefault="00BD3AE5" w:rsidP="006B5B36">
            <w:pPr>
              <w:pStyle w:val="BodyText"/>
            </w:pP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578EEF1" w:rsidR="007C6229" w:rsidRPr="001A2995" w:rsidRDefault="001A2995" w:rsidP="001A299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SWWH</w:t>
            </w:r>
            <w:r w:rsidR="00E53BBE">
              <w:rPr>
                <w:rFonts w:ascii="Calibri" w:hAnsi="Calibri" w:cs="Calibri"/>
                <w:color w:val="000000"/>
              </w:rPr>
              <w:t>003</w:t>
            </w:r>
            <w:r>
              <w:rPr>
                <w:rFonts w:ascii="Calibri" w:hAnsi="Calibri" w:cs="Calibri"/>
                <w:color w:val="000000"/>
              </w:rPr>
              <w:t>-0</w:t>
            </w:r>
            <w:r w:rsidR="00E53BBE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2CAD391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B02CD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FE4E96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B02CD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E414E4A" w:rsidR="006565AA" w:rsidRDefault="007B0BCC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537480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41419437" w14:textId="77777777" w:rsidR="007A63DE" w:rsidRDefault="00965CA8" w:rsidP="006B5B36">
            <w:pPr>
              <w:pStyle w:val="BodyText"/>
            </w:pPr>
            <w:r>
              <w:t>Notes:</w:t>
            </w:r>
          </w:p>
          <w:p w14:paraId="5D6AF012" w14:textId="0BDFE244" w:rsidR="001D5983" w:rsidRDefault="001D5983" w:rsidP="006B5B36">
            <w:pPr>
              <w:pStyle w:val="BodyText"/>
            </w:pPr>
            <w:r>
              <w:t>Expiration date will not be applied to this measure unless a workpaper revision is directed to be submitted.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21A983F" w14:textId="79CF7A1B" w:rsidR="005F1842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5F1842">
                    <w:t>:</w:t>
                  </w:r>
                </w:p>
                <w:p w14:paraId="1703955F" w14:textId="714F7A68" w:rsidR="0040312B" w:rsidRDefault="005F1842" w:rsidP="006B5B36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06BE3C1F" w14:textId="544F578B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F1842">
                    <w:t xml:space="preserve"> </w:t>
                  </w:r>
                  <w:r w:rsidR="00E53BBE">
                    <w:t>1.18</w:t>
                  </w:r>
                  <w:r w:rsidR="005F1842">
                    <w:t>%</w:t>
                  </w:r>
                </w:p>
                <w:p w14:paraId="7F8629A3" w14:textId="6F8F34F8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5F1842">
                    <w:t xml:space="preserve"> 0%</w:t>
                  </w:r>
                </w:p>
              </w:tc>
            </w:tr>
            <w:tr w:rsidR="005F1842" w14:paraId="1D786125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59E0C9" w14:textId="1A5A7BC4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5A954C" w14:textId="06DE78BF" w:rsidR="005F1842" w:rsidRPr="001E6785" w:rsidRDefault="005F1842" w:rsidP="005F1842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50BA3929" w14:textId="1B5B171E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</w:p>
                <w:p w14:paraId="251E7B99" w14:textId="50B9737D" w:rsidR="005F1842" w:rsidRDefault="005F1842" w:rsidP="005F1842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A327C8" w14:paraId="34CEAD90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6C2350E" w14:textId="7BC6D870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0866F221" w14:textId="721FAA81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6ED5CFC" w14:textId="00EBA281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  <w:r w:rsidR="00597061">
                    <w:t>N/A</w:t>
                  </w:r>
                </w:p>
                <w:p w14:paraId="70638413" w14:textId="6AC5E722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  <w:r w:rsidR="00597061">
                    <w:t>0</w:t>
                  </w:r>
                </w:p>
              </w:tc>
            </w:tr>
            <w:tr w:rsidR="00A327C8" w14:paraId="3C6C25E9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2D3CEC" w14:textId="166A4683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2FC243B2" w14:textId="442A1B5A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641C5C6E" w14:textId="538A7D42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4AABD08A" w14:textId="6B2035FE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7B116654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6357A951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F1842" w14:paraId="0E9BB62E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783D51C4" w14:textId="77777777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76D34C" w14:textId="77777777" w:rsidR="005F1842" w:rsidRDefault="005F1842" w:rsidP="005F1842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6094F7A1" w14:textId="6C017D9C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  <w:r w:rsidR="00DC0AEA">
                    <w:t>1.15%</w:t>
                  </w:r>
                </w:p>
                <w:p w14:paraId="4DECC057" w14:textId="147AD4D4" w:rsidR="005F1842" w:rsidRDefault="005F1842" w:rsidP="005F1842">
                  <w:pPr>
                    <w:pStyle w:val="BodyText"/>
                  </w:pPr>
                  <w:r>
                    <w:t xml:space="preserve">Electric: </w:t>
                  </w:r>
                  <w:r w:rsidR="00DC0AEA">
                    <w:t>0%</w:t>
                  </w:r>
                </w:p>
              </w:tc>
            </w:tr>
            <w:tr w:rsidR="00A327C8" w14:paraId="6CD3543A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6A8BDC2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1284740D" w14:textId="77777777" w:rsidR="00A327C8" w:rsidRPr="001E6785" w:rsidRDefault="00A327C8" w:rsidP="00A327C8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755AE679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C79EF04" w14:textId="3B48A6F2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E3958E8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25324F1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4ABCEC5F" w14:textId="77777777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FC53706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33682AA9" w14:textId="2BDCBBEB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5F61D6F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39148902" w14:textId="77777777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63D8EB90" w14:textId="77777777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18EE731B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73E8EB8" w14:textId="0EC29DE4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5076869" w14:textId="77777777" w:rsidR="005F1842" w:rsidRDefault="005F1842"/>
          <w:p w14:paraId="5C7D0FA2" w14:textId="4D2CC4B5" w:rsidR="007A63DE" w:rsidRDefault="007A63DE" w:rsidP="006B5B36">
            <w:pPr>
              <w:pStyle w:val="BodyText"/>
            </w:pPr>
            <w:r>
              <w:t>Notes:</w:t>
            </w:r>
            <w:r w:rsidR="00A327C8">
              <w:t xml:space="preserve"> </w:t>
            </w:r>
            <w:r w:rsidR="0099730A">
              <w:t>The increase is strictly due to the previous submission not including the savings from the TSV. The previous submission on</w:t>
            </w:r>
            <w:r w:rsidR="00E051A0">
              <w:t>ly</w:t>
            </w:r>
            <w:r w:rsidR="0099730A">
              <w:t xml:space="preserve"> </w:t>
            </w:r>
            <w:r w:rsidR="00E051A0">
              <w:t>used</w:t>
            </w:r>
            <w:r w:rsidR="0099730A">
              <w:t xml:space="preserve"> the savings of the low flow showerhead. All calculation</w:t>
            </w:r>
            <w:r w:rsidR="00E051A0">
              <w:t xml:space="preserve"> methods</w:t>
            </w:r>
            <w:r w:rsidR="0099730A">
              <w:t xml:space="preserve"> </w:t>
            </w:r>
            <w:r w:rsidR="00E051A0">
              <w:t xml:space="preserve">in the text </w:t>
            </w:r>
            <w:r w:rsidR="0099730A">
              <w:t>remain the same</w:t>
            </w:r>
            <w:r w:rsidR="00E051A0">
              <w:t xml:space="preserve"> but </w:t>
            </w:r>
            <w:r w:rsidR="00E051A0">
              <w:lastRenderedPageBreak/>
              <w:t xml:space="preserve">now all savings are </w:t>
            </w:r>
            <w:r w:rsidR="004E384A">
              <w:t xml:space="preserve">accurately </w:t>
            </w:r>
            <w:r w:rsidR="00E051A0">
              <w:t>accounted for.</w:t>
            </w: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9DA8A6" w:rsidR="00ED4A6C" w:rsidRDefault="0091400C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8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2FC64EB9" w:rsidR="00ED4A6C" w:rsidRDefault="0091400C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8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84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49833370" w:rsidR="00ED4A6C" w:rsidRDefault="00421F5A" w:rsidP="00ED4A6C">
            <w:pPr>
              <w:pStyle w:val="BodyText"/>
            </w:pPr>
            <w:r>
              <w:t>Notes:</w:t>
            </w:r>
            <w:r w:rsidR="006E21B0">
              <w:t xml:space="preserve"> 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91400C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91400C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91400C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91400C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0BFCF79B" w:rsidR="0040312B" w:rsidRDefault="0091400C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1B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4E384A">
              <w:t xml:space="preserve">Inclusion of TSV savings </w:t>
            </w:r>
          </w:p>
          <w:p w14:paraId="5160E724" w14:textId="1EFE7C91" w:rsidR="0040312B" w:rsidRDefault="0091400C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91400C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817F567" w:rsidR="00517146" w:rsidRDefault="00517146" w:rsidP="006B5B36">
            <w:pPr>
              <w:pStyle w:val="BodyText"/>
            </w:pPr>
            <w:r>
              <w:t>Notes:</w:t>
            </w:r>
            <w:r w:rsidR="006E21B0">
              <w:t xml:space="preserve"> IOUs have consulted with CalTF</w:t>
            </w:r>
            <w:r w:rsidR="004376EC">
              <w:t xml:space="preserve"> to develop this consolidated workpaper.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47001AE" w:rsidR="00A047C5" w:rsidRDefault="00ED4420" w:rsidP="006B5B36">
            <w:pPr>
              <w:pStyle w:val="BodyText"/>
            </w:pPr>
            <w:r>
              <w:t>11/15/19-</w:t>
            </w:r>
            <w:r w:rsidR="009817C9">
              <w:t xml:space="preserve"> </w:t>
            </w:r>
            <w:r w:rsidR="00C30F0F">
              <w:t xml:space="preserve">SWWH003-01 </w:t>
            </w:r>
            <w:r w:rsidR="007B50D3">
              <w:t>is being resubmitted to remove the 80%</w:t>
            </w:r>
            <w:r w:rsidR="00F802A5">
              <w:t xml:space="preserve"> adjustment factor per</w:t>
            </w:r>
            <w:r w:rsidR="000969A1">
              <w:t xml:space="preserve"> Workpaper Disposition for Water Fixtures</w:t>
            </w:r>
            <w:r w:rsidR="0091400C">
              <w:t xml:space="preserve"> incorrectly applied</w:t>
            </w:r>
            <w:r w:rsidR="00B12086">
              <w:t xml:space="preserve"> in the savings calculations</w:t>
            </w:r>
            <w:r w:rsidR="0091400C">
              <w:t>,</w:t>
            </w:r>
            <w:bookmarkStart w:id="2" w:name="_GoBack"/>
            <w:bookmarkEnd w:id="2"/>
            <w:r w:rsidR="00B12086">
              <w:t xml:space="preserve"> as it is already accounted for in the</w:t>
            </w:r>
            <w:r w:rsidR="00A7729D">
              <w:t xml:space="preserve"> GSIA rate.</w:t>
            </w:r>
          </w:p>
        </w:tc>
        <w:tc>
          <w:tcPr>
            <w:tcW w:w="4140" w:type="dxa"/>
          </w:tcPr>
          <w:p w14:paraId="42F4BC03" w14:textId="42590D71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C6FB6" w14:textId="77777777" w:rsidR="001E0BB0" w:rsidRDefault="001E0BB0">
      <w:r>
        <w:separator/>
      </w:r>
    </w:p>
  </w:endnote>
  <w:endnote w:type="continuationSeparator" w:id="0">
    <w:p w14:paraId="40607669" w14:textId="77777777" w:rsidR="001E0BB0" w:rsidRDefault="001E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91400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5317932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BE163" w14:textId="77777777" w:rsidR="001E0BB0" w:rsidRDefault="001E0BB0">
      <w:r>
        <w:separator/>
      </w:r>
    </w:p>
  </w:footnote>
  <w:footnote w:type="continuationSeparator" w:id="0">
    <w:p w14:paraId="4ED1A6F6" w14:textId="77777777" w:rsidR="001E0BB0" w:rsidRDefault="001E0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969A1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2995"/>
    <w:rsid w:val="001A6B45"/>
    <w:rsid w:val="001B1290"/>
    <w:rsid w:val="001B77B1"/>
    <w:rsid w:val="001B79C6"/>
    <w:rsid w:val="001C6CC6"/>
    <w:rsid w:val="001D2C04"/>
    <w:rsid w:val="001D5983"/>
    <w:rsid w:val="001D6857"/>
    <w:rsid w:val="001E0BB0"/>
    <w:rsid w:val="001E589F"/>
    <w:rsid w:val="001E6785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57C2"/>
    <w:rsid w:val="003A6125"/>
    <w:rsid w:val="003B2558"/>
    <w:rsid w:val="003C120F"/>
    <w:rsid w:val="003C13E1"/>
    <w:rsid w:val="003C14F5"/>
    <w:rsid w:val="003C5380"/>
    <w:rsid w:val="003D09F5"/>
    <w:rsid w:val="003D37A2"/>
    <w:rsid w:val="003D7C0F"/>
    <w:rsid w:val="003E506C"/>
    <w:rsid w:val="003F0552"/>
    <w:rsid w:val="003F16C9"/>
    <w:rsid w:val="0040312B"/>
    <w:rsid w:val="0040642F"/>
    <w:rsid w:val="004159E9"/>
    <w:rsid w:val="00420467"/>
    <w:rsid w:val="00421F5A"/>
    <w:rsid w:val="00422435"/>
    <w:rsid w:val="00422D25"/>
    <w:rsid w:val="00423E24"/>
    <w:rsid w:val="00424A70"/>
    <w:rsid w:val="00425BE7"/>
    <w:rsid w:val="004272B8"/>
    <w:rsid w:val="004376EC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E384A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107E"/>
    <w:rsid w:val="00547FC4"/>
    <w:rsid w:val="00566E8A"/>
    <w:rsid w:val="005720A1"/>
    <w:rsid w:val="00574BF5"/>
    <w:rsid w:val="00574C59"/>
    <w:rsid w:val="005752F3"/>
    <w:rsid w:val="00575B3F"/>
    <w:rsid w:val="005844BB"/>
    <w:rsid w:val="00592E3A"/>
    <w:rsid w:val="00593673"/>
    <w:rsid w:val="00597061"/>
    <w:rsid w:val="005B02CD"/>
    <w:rsid w:val="005B18D6"/>
    <w:rsid w:val="005D0656"/>
    <w:rsid w:val="005D10D9"/>
    <w:rsid w:val="005D1D56"/>
    <w:rsid w:val="005F1842"/>
    <w:rsid w:val="005F54B1"/>
    <w:rsid w:val="006075D8"/>
    <w:rsid w:val="00607911"/>
    <w:rsid w:val="00611D36"/>
    <w:rsid w:val="0061252A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14A6"/>
    <w:rsid w:val="006B5B36"/>
    <w:rsid w:val="006C2B9B"/>
    <w:rsid w:val="006C65E9"/>
    <w:rsid w:val="006D06F6"/>
    <w:rsid w:val="006D32D0"/>
    <w:rsid w:val="006D5A7D"/>
    <w:rsid w:val="006E0CAA"/>
    <w:rsid w:val="006E21B0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0BCC"/>
    <w:rsid w:val="007B50D3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037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0FF0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400C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574B"/>
    <w:rsid w:val="009776E3"/>
    <w:rsid w:val="00977EBA"/>
    <w:rsid w:val="00980544"/>
    <w:rsid w:val="009817C9"/>
    <w:rsid w:val="00993BDA"/>
    <w:rsid w:val="0099730A"/>
    <w:rsid w:val="009A2720"/>
    <w:rsid w:val="009A448B"/>
    <w:rsid w:val="009A7A82"/>
    <w:rsid w:val="009B257E"/>
    <w:rsid w:val="009B7FDF"/>
    <w:rsid w:val="009C268A"/>
    <w:rsid w:val="009D03CB"/>
    <w:rsid w:val="009D2852"/>
    <w:rsid w:val="009F2AD2"/>
    <w:rsid w:val="009F69D4"/>
    <w:rsid w:val="00A02605"/>
    <w:rsid w:val="00A047C5"/>
    <w:rsid w:val="00A105DE"/>
    <w:rsid w:val="00A136FE"/>
    <w:rsid w:val="00A16951"/>
    <w:rsid w:val="00A177D3"/>
    <w:rsid w:val="00A2739E"/>
    <w:rsid w:val="00A327C8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7729D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2086"/>
    <w:rsid w:val="00B20CBB"/>
    <w:rsid w:val="00B216EF"/>
    <w:rsid w:val="00B22BE4"/>
    <w:rsid w:val="00B3078E"/>
    <w:rsid w:val="00B30A62"/>
    <w:rsid w:val="00B31036"/>
    <w:rsid w:val="00B362FC"/>
    <w:rsid w:val="00B37B2F"/>
    <w:rsid w:val="00B468B3"/>
    <w:rsid w:val="00B47364"/>
    <w:rsid w:val="00B545C9"/>
    <w:rsid w:val="00B54698"/>
    <w:rsid w:val="00B573FC"/>
    <w:rsid w:val="00B62973"/>
    <w:rsid w:val="00B67045"/>
    <w:rsid w:val="00B72362"/>
    <w:rsid w:val="00B7269D"/>
    <w:rsid w:val="00B809D7"/>
    <w:rsid w:val="00B87F4C"/>
    <w:rsid w:val="00B90699"/>
    <w:rsid w:val="00B944BF"/>
    <w:rsid w:val="00B94C25"/>
    <w:rsid w:val="00B95C81"/>
    <w:rsid w:val="00BC0F6C"/>
    <w:rsid w:val="00BD3AE5"/>
    <w:rsid w:val="00BF27FD"/>
    <w:rsid w:val="00C2126E"/>
    <w:rsid w:val="00C25A57"/>
    <w:rsid w:val="00C25A64"/>
    <w:rsid w:val="00C276DB"/>
    <w:rsid w:val="00C30F0F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A7C93"/>
    <w:rsid w:val="00CC4904"/>
    <w:rsid w:val="00CE2F20"/>
    <w:rsid w:val="00CF52E8"/>
    <w:rsid w:val="00CF78A6"/>
    <w:rsid w:val="00CF7AF0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4713B"/>
    <w:rsid w:val="00D47263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0AEA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051A0"/>
    <w:rsid w:val="00E24C50"/>
    <w:rsid w:val="00E423BF"/>
    <w:rsid w:val="00E453A3"/>
    <w:rsid w:val="00E53BBE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420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802A5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Paek@semprautilities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Deang@semprautilitie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3CE4A62D29144A25854689DC923FF" ma:contentTypeVersion="13" ma:contentTypeDescription="Create a new document." ma:contentTypeScope="" ma:versionID="4c02d2b35e64ec737157c6f49989eb27">
  <xsd:schema xmlns:xsd="http://www.w3.org/2001/XMLSchema" xmlns:xs="http://www.w3.org/2001/XMLSchema" xmlns:p="http://schemas.microsoft.com/office/2006/metadata/properties" xmlns:ns3="029db6e3-689e-4886-bbb2-def380ec21b9" xmlns:ns4="7ed8f41c-2dfe-4ce0-863c-77c5fff32e25" targetNamespace="http://schemas.microsoft.com/office/2006/metadata/properties" ma:root="true" ma:fieldsID="00a504a057a989fc222c8f0f918e87f6" ns3:_="" ns4:_="">
    <xsd:import namespace="029db6e3-689e-4886-bbb2-def380ec21b9"/>
    <xsd:import namespace="7ed8f41c-2dfe-4ce0-863c-77c5fff32e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9db6e3-689e-4886-bbb2-def380ec2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8f41c-2dfe-4ce0-863c-77c5fff32e2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50FC1-BC0F-4153-B940-4DDDFC83E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9db6e3-689e-4886-bbb2-def380ec21b9"/>
    <ds:schemaRef ds:uri="7ed8f41c-2dfe-4ce0-863c-77c5fff32e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1626D6-410E-4E4C-944E-49639A712D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D266D-F60F-4A2D-8EB9-CB710747C2D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ed8f41c-2dfe-4ce0-863c-77c5fff32e25"/>
    <ds:schemaRef ds:uri="029db6e3-689e-4886-bbb2-def380ec21b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3650970-6452-4B10-BA47-2A6A1A6DE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738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Marquez, Andres</cp:lastModifiedBy>
  <cp:revision>13</cp:revision>
  <cp:lastPrinted>2018-09-13T14:26:00Z</cp:lastPrinted>
  <dcterms:created xsi:type="dcterms:W3CDTF">2019-08-01T20:32:00Z</dcterms:created>
  <dcterms:modified xsi:type="dcterms:W3CDTF">2019-11-15T18:12:00Z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0x0101009743CE4A62D29144A25854689DC923FF</vt:lpwstr>
  </property>
</Properties>
</file>