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E2211A">
        <w:trPr>
          <w:cantSplit/>
          <w:trHeight w:hRule="exact" w:val="2160"/>
          <w:jc w:val="right"/>
        </w:trPr>
        <w:tc>
          <w:tcPr>
            <w:tcW w:w="9000" w:type="dxa"/>
            <w:shd w:val="clear" w:color="auto" w:fill="8DC63F"/>
            <w:vAlign w:val="center"/>
          </w:tcPr>
          <w:p w14:paraId="3EF67A49" w14:textId="06E58CB8" w:rsidR="00BD221D" w:rsidRPr="00E2211A" w:rsidRDefault="00E2211A" w:rsidP="00BD221D">
            <w:pPr>
              <w:pStyle w:val="eTRMHeading1"/>
              <w:jc w:val="center"/>
              <w:rPr>
                <w:sz w:val="28"/>
                <w:szCs w:val="30"/>
              </w:rPr>
            </w:pPr>
            <w:r>
              <w:rPr>
                <w:sz w:val="28"/>
                <w:szCs w:val="30"/>
              </w:rPr>
              <w:t>Service &amp; Domestic Hot Water</w:t>
            </w:r>
          </w:p>
          <w:p w14:paraId="37DA4807" w14:textId="77777777" w:rsidR="00BD221D" w:rsidRPr="00E2211A" w:rsidRDefault="00D65983" w:rsidP="00E2211A">
            <w:pPr>
              <w:pStyle w:val="eTRMHeading2"/>
            </w:pPr>
            <w:r w:rsidRPr="00E2211A">
              <w:t>temperature-initiated shower flow restriction valve with and without an integrated low-flow showerhead</w:t>
            </w:r>
          </w:p>
          <w:p w14:paraId="10BE1877" w14:textId="368264AC" w:rsidR="00E2211A" w:rsidRPr="00E2211A" w:rsidRDefault="00E2211A" w:rsidP="00E2211A">
            <w:pPr>
              <w:pStyle w:val="eTRMHeading2"/>
              <w:rPr>
                <w:spacing w:val="0"/>
              </w:rPr>
            </w:pPr>
            <w:r w:rsidRPr="00E2211A">
              <w:rPr>
                <w:spacing w:val="0"/>
                <w:sz w:val="28"/>
              </w:rPr>
              <w:t>SWWH003-01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6D01FC83" w14:textId="58D47A51" w:rsidR="00781CE2"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781CE2">
        <w:rPr>
          <w:noProof/>
        </w:rPr>
        <w:t>Measure Name</w:t>
      </w:r>
      <w:r w:rsidR="00781CE2">
        <w:rPr>
          <w:noProof/>
        </w:rPr>
        <w:tab/>
      </w:r>
      <w:r w:rsidR="00781CE2">
        <w:rPr>
          <w:noProof/>
        </w:rPr>
        <w:fldChar w:fldCharType="begin"/>
      </w:r>
      <w:r w:rsidR="00781CE2">
        <w:rPr>
          <w:noProof/>
        </w:rPr>
        <w:instrText xml:space="preserve"> PAGEREF _Toc23506729 \h </w:instrText>
      </w:r>
      <w:r w:rsidR="00781CE2">
        <w:rPr>
          <w:noProof/>
        </w:rPr>
      </w:r>
      <w:r w:rsidR="00781CE2">
        <w:rPr>
          <w:noProof/>
        </w:rPr>
        <w:fldChar w:fldCharType="separate"/>
      </w:r>
      <w:r w:rsidR="00497854">
        <w:rPr>
          <w:noProof/>
        </w:rPr>
        <w:t>2</w:t>
      </w:r>
      <w:r w:rsidR="00781CE2">
        <w:rPr>
          <w:noProof/>
        </w:rPr>
        <w:fldChar w:fldCharType="end"/>
      </w:r>
    </w:p>
    <w:p w14:paraId="00412D7F" w14:textId="4D95BEBE" w:rsidR="00781CE2" w:rsidRDefault="00781CE2">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_Toc23506730 \h </w:instrText>
      </w:r>
      <w:r>
        <w:rPr>
          <w:noProof/>
        </w:rPr>
      </w:r>
      <w:r>
        <w:rPr>
          <w:noProof/>
        </w:rPr>
        <w:fldChar w:fldCharType="separate"/>
      </w:r>
      <w:r w:rsidR="00497854">
        <w:rPr>
          <w:noProof/>
        </w:rPr>
        <w:t>2</w:t>
      </w:r>
      <w:r>
        <w:rPr>
          <w:noProof/>
        </w:rPr>
        <w:fldChar w:fldCharType="end"/>
      </w:r>
    </w:p>
    <w:p w14:paraId="5F7B1702" w14:textId="564BBB69" w:rsidR="00781CE2" w:rsidRDefault="00781CE2">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_Toc23506731 \h </w:instrText>
      </w:r>
      <w:r>
        <w:rPr>
          <w:noProof/>
        </w:rPr>
      </w:r>
      <w:r>
        <w:rPr>
          <w:noProof/>
        </w:rPr>
        <w:fldChar w:fldCharType="separate"/>
      </w:r>
      <w:r w:rsidR="00497854">
        <w:rPr>
          <w:noProof/>
        </w:rPr>
        <w:t>2</w:t>
      </w:r>
      <w:r>
        <w:rPr>
          <w:noProof/>
        </w:rPr>
        <w:fldChar w:fldCharType="end"/>
      </w:r>
    </w:p>
    <w:p w14:paraId="102E9893" w14:textId="657C0395" w:rsidR="00781CE2" w:rsidRDefault="00781CE2">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_Toc23506732 \h </w:instrText>
      </w:r>
      <w:r>
        <w:rPr>
          <w:noProof/>
        </w:rPr>
      </w:r>
      <w:r>
        <w:rPr>
          <w:noProof/>
        </w:rPr>
        <w:fldChar w:fldCharType="separate"/>
      </w:r>
      <w:r w:rsidR="00497854">
        <w:rPr>
          <w:noProof/>
        </w:rPr>
        <w:t>2</w:t>
      </w:r>
      <w:r>
        <w:rPr>
          <w:noProof/>
        </w:rPr>
        <w:fldChar w:fldCharType="end"/>
      </w:r>
    </w:p>
    <w:p w14:paraId="669FF007" w14:textId="2D6CDF87" w:rsidR="00781CE2" w:rsidRDefault="00781CE2">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_Toc23506733 \h </w:instrText>
      </w:r>
      <w:r>
        <w:rPr>
          <w:noProof/>
        </w:rPr>
      </w:r>
      <w:r>
        <w:rPr>
          <w:noProof/>
        </w:rPr>
        <w:fldChar w:fldCharType="separate"/>
      </w:r>
      <w:r w:rsidR="00497854">
        <w:rPr>
          <w:noProof/>
        </w:rPr>
        <w:t>3</w:t>
      </w:r>
      <w:r>
        <w:rPr>
          <w:noProof/>
        </w:rPr>
        <w:fldChar w:fldCharType="end"/>
      </w:r>
    </w:p>
    <w:p w14:paraId="20C83854" w14:textId="4AD33013" w:rsidR="00781CE2" w:rsidRDefault="00781CE2">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_Toc23506734 \h </w:instrText>
      </w:r>
      <w:r>
        <w:rPr>
          <w:noProof/>
        </w:rPr>
      </w:r>
      <w:r>
        <w:rPr>
          <w:noProof/>
        </w:rPr>
        <w:fldChar w:fldCharType="separate"/>
      </w:r>
      <w:r w:rsidR="00497854">
        <w:rPr>
          <w:noProof/>
        </w:rPr>
        <w:t>3</w:t>
      </w:r>
      <w:r>
        <w:rPr>
          <w:noProof/>
        </w:rPr>
        <w:fldChar w:fldCharType="end"/>
      </w:r>
    </w:p>
    <w:p w14:paraId="3C25A4B0" w14:textId="40CB6AB3" w:rsidR="00781CE2" w:rsidRDefault="00781CE2">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_Toc23506735 \h </w:instrText>
      </w:r>
      <w:r>
        <w:rPr>
          <w:noProof/>
        </w:rPr>
      </w:r>
      <w:r>
        <w:rPr>
          <w:noProof/>
        </w:rPr>
        <w:fldChar w:fldCharType="separate"/>
      </w:r>
      <w:r w:rsidR="00497854">
        <w:rPr>
          <w:noProof/>
        </w:rPr>
        <w:t>4</w:t>
      </w:r>
      <w:r>
        <w:rPr>
          <w:noProof/>
        </w:rPr>
        <w:fldChar w:fldCharType="end"/>
      </w:r>
    </w:p>
    <w:p w14:paraId="0B2BDA4B" w14:textId="015F5212" w:rsidR="00781CE2" w:rsidRDefault="00781CE2">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_Toc23506736 \h </w:instrText>
      </w:r>
      <w:r>
        <w:rPr>
          <w:noProof/>
        </w:rPr>
      </w:r>
      <w:r>
        <w:rPr>
          <w:noProof/>
        </w:rPr>
        <w:fldChar w:fldCharType="separate"/>
      </w:r>
      <w:r w:rsidR="00497854">
        <w:rPr>
          <w:noProof/>
        </w:rPr>
        <w:t>4</w:t>
      </w:r>
      <w:r>
        <w:rPr>
          <w:noProof/>
        </w:rPr>
        <w:fldChar w:fldCharType="end"/>
      </w:r>
    </w:p>
    <w:p w14:paraId="2C62275E" w14:textId="5B362F19" w:rsidR="00781CE2" w:rsidRDefault="00781CE2">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_Toc23506737 \h </w:instrText>
      </w:r>
      <w:r>
        <w:rPr>
          <w:noProof/>
        </w:rPr>
      </w:r>
      <w:r>
        <w:rPr>
          <w:noProof/>
        </w:rPr>
        <w:fldChar w:fldCharType="separate"/>
      </w:r>
      <w:r w:rsidR="00497854">
        <w:rPr>
          <w:noProof/>
        </w:rPr>
        <w:t>5</w:t>
      </w:r>
      <w:r>
        <w:rPr>
          <w:noProof/>
        </w:rPr>
        <w:fldChar w:fldCharType="end"/>
      </w:r>
    </w:p>
    <w:p w14:paraId="4C8D1CDC" w14:textId="17BA3AC0" w:rsidR="00781CE2" w:rsidRDefault="00781CE2">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_Toc23506738 \h </w:instrText>
      </w:r>
      <w:r>
        <w:rPr>
          <w:noProof/>
        </w:rPr>
      </w:r>
      <w:r>
        <w:rPr>
          <w:noProof/>
        </w:rPr>
        <w:fldChar w:fldCharType="separate"/>
      </w:r>
      <w:r w:rsidR="00497854">
        <w:rPr>
          <w:noProof/>
        </w:rPr>
        <w:t>5</w:t>
      </w:r>
      <w:r>
        <w:rPr>
          <w:noProof/>
        </w:rPr>
        <w:fldChar w:fldCharType="end"/>
      </w:r>
    </w:p>
    <w:p w14:paraId="5C990A59" w14:textId="08F19609" w:rsidR="00781CE2" w:rsidRDefault="00781CE2">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_Toc23506739 \h </w:instrText>
      </w:r>
      <w:r>
        <w:rPr>
          <w:noProof/>
        </w:rPr>
      </w:r>
      <w:r>
        <w:rPr>
          <w:noProof/>
        </w:rPr>
        <w:fldChar w:fldCharType="separate"/>
      </w:r>
      <w:r w:rsidR="00497854">
        <w:rPr>
          <w:noProof/>
        </w:rPr>
        <w:t>5</w:t>
      </w:r>
      <w:r>
        <w:rPr>
          <w:noProof/>
        </w:rPr>
        <w:fldChar w:fldCharType="end"/>
      </w:r>
    </w:p>
    <w:p w14:paraId="762EDDC8" w14:textId="4EA12844" w:rsidR="00781CE2" w:rsidRDefault="00781CE2">
      <w:pPr>
        <w:pStyle w:val="TOC3"/>
        <w:rPr>
          <w:rFonts w:asciiTheme="minorHAnsi" w:hAnsiTheme="minorHAnsi"/>
          <w:noProof/>
          <w:szCs w:val="22"/>
        </w:rPr>
      </w:pPr>
      <w:r>
        <w:rPr>
          <w:noProof/>
        </w:rPr>
        <w:t>Electric Savings (</w:t>
      </w:r>
      <w:r w:rsidRPr="00BE364D">
        <w:rPr>
          <w:noProof/>
        </w:rPr>
        <w:t>kWh</w:t>
      </w:r>
      <w:r>
        <w:rPr>
          <w:noProof/>
        </w:rPr>
        <w:t>)</w:t>
      </w:r>
      <w:r>
        <w:rPr>
          <w:noProof/>
        </w:rPr>
        <w:tab/>
      </w:r>
      <w:r>
        <w:rPr>
          <w:noProof/>
        </w:rPr>
        <w:fldChar w:fldCharType="begin"/>
      </w:r>
      <w:r>
        <w:rPr>
          <w:noProof/>
        </w:rPr>
        <w:instrText xml:space="preserve"> PAGEREF _Toc23506740 \h </w:instrText>
      </w:r>
      <w:r>
        <w:rPr>
          <w:noProof/>
        </w:rPr>
      </w:r>
      <w:r>
        <w:rPr>
          <w:noProof/>
        </w:rPr>
        <w:fldChar w:fldCharType="separate"/>
      </w:r>
      <w:r w:rsidR="00497854">
        <w:rPr>
          <w:noProof/>
        </w:rPr>
        <w:t>6</w:t>
      </w:r>
      <w:r>
        <w:rPr>
          <w:noProof/>
        </w:rPr>
        <w:fldChar w:fldCharType="end"/>
      </w:r>
    </w:p>
    <w:p w14:paraId="7EFF3F9B" w14:textId="7087C813" w:rsidR="00781CE2" w:rsidRDefault="00781CE2">
      <w:pPr>
        <w:pStyle w:val="TOC3"/>
        <w:rPr>
          <w:rFonts w:asciiTheme="minorHAnsi" w:hAnsiTheme="minorHAnsi"/>
          <w:noProof/>
          <w:szCs w:val="22"/>
        </w:rPr>
      </w:pPr>
      <w:r>
        <w:rPr>
          <w:noProof/>
        </w:rPr>
        <w:t>Peak Electric Demand Reduction (</w:t>
      </w:r>
      <w:r w:rsidRPr="00BE364D">
        <w:rPr>
          <w:noProof/>
        </w:rPr>
        <w:t>kW</w:t>
      </w:r>
      <w:r>
        <w:rPr>
          <w:noProof/>
        </w:rPr>
        <w:t>)</w:t>
      </w:r>
      <w:r>
        <w:rPr>
          <w:noProof/>
        </w:rPr>
        <w:tab/>
      </w:r>
      <w:r>
        <w:rPr>
          <w:noProof/>
        </w:rPr>
        <w:fldChar w:fldCharType="begin"/>
      </w:r>
      <w:r>
        <w:rPr>
          <w:noProof/>
        </w:rPr>
        <w:instrText xml:space="preserve"> PAGEREF _Toc23506741 \h </w:instrText>
      </w:r>
      <w:r>
        <w:rPr>
          <w:noProof/>
        </w:rPr>
      </w:r>
      <w:r>
        <w:rPr>
          <w:noProof/>
        </w:rPr>
        <w:fldChar w:fldCharType="separate"/>
      </w:r>
      <w:r w:rsidR="00497854">
        <w:rPr>
          <w:noProof/>
        </w:rPr>
        <w:t>8</w:t>
      </w:r>
      <w:r>
        <w:rPr>
          <w:noProof/>
        </w:rPr>
        <w:fldChar w:fldCharType="end"/>
      </w:r>
    </w:p>
    <w:p w14:paraId="21382A8D" w14:textId="1980CF40" w:rsidR="00781CE2" w:rsidRDefault="00781CE2">
      <w:pPr>
        <w:pStyle w:val="TOC3"/>
        <w:rPr>
          <w:rFonts w:asciiTheme="minorHAnsi" w:hAnsiTheme="minorHAnsi"/>
          <w:noProof/>
          <w:szCs w:val="22"/>
        </w:rPr>
      </w:pPr>
      <w:r>
        <w:rPr>
          <w:noProof/>
        </w:rPr>
        <w:t>Gas Savings (</w:t>
      </w:r>
      <w:r w:rsidRPr="00BE364D">
        <w:rPr>
          <w:noProof/>
        </w:rPr>
        <w:t>Therms</w:t>
      </w:r>
      <w:r>
        <w:rPr>
          <w:noProof/>
        </w:rPr>
        <w:t>)</w:t>
      </w:r>
      <w:r>
        <w:rPr>
          <w:noProof/>
        </w:rPr>
        <w:tab/>
      </w:r>
      <w:r>
        <w:rPr>
          <w:noProof/>
        </w:rPr>
        <w:fldChar w:fldCharType="begin"/>
      </w:r>
      <w:r>
        <w:rPr>
          <w:noProof/>
        </w:rPr>
        <w:instrText xml:space="preserve"> PAGEREF _Toc23506742 \h </w:instrText>
      </w:r>
      <w:r>
        <w:rPr>
          <w:noProof/>
        </w:rPr>
      </w:r>
      <w:r>
        <w:rPr>
          <w:noProof/>
        </w:rPr>
        <w:fldChar w:fldCharType="separate"/>
      </w:r>
      <w:r w:rsidR="00497854">
        <w:rPr>
          <w:noProof/>
        </w:rPr>
        <w:t>8</w:t>
      </w:r>
      <w:r>
        <w:rPr>
          <w:noProof/>
        </w:rPr>
        <w:fldChar w:fldCharType="end"/>
      </w:r>
    </w:p>
    <w:p w14:paraId="02C525D7" w14:textId="53412293" w:rsidR="00781CE2" w:rsidRDefault="00781CE2">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_Toc23506743 \h </w:instrText>
      </w:r>
      <w:r>
        <w:rPr>
          <w:noProof/>
        </w:rPr>
      </w:r>
      <w:r>
        <w:rPr>
          <w:noProof/>
        </w:rPr>
        <w:fldChar w:fldCharType="separate"/>
      </w:r>
      <w:r w:rsidR="00497854">
        <w:rPr>
          <w:noProof/>
        </w:rPr>
        <w:t>18</w:t>
      </w:r>
      <w:r>
        <w:rPr>
          <w:noProof/>
        </w:rPr>
        <w:fldChar w:fldCharType="end"/>
      </w:r>
    </w:p>
    <w:p w14:paraId="60494893" w14:textId="784E3535" w:rsidR="00781CE2" w:rsidRDefault="00781CE2">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_Toc23506744 \h </w:instrText>
      </w:r>
      <w:r>
        <w:rPr>
          <w:noProof/>
        </w:rPr>
      </w:r>
      <w:r>
        <w:rPr>
          <w:noProof/>
        </w:rPr>
        <w:fldChar w:fldCharType="separate"/>
      </w:r>
      <w:r w:rsidR="00497854">
        <w:rPr>
          <w:noProof/>
        </w:rPr>
        <w:t>20</w:t>
      </w:r>
      <w:r>
        <w:rPr>
          <w:noProof/>
        </w:rPr>
        <w:fldChar w:fldCharType="end"/>
      </w:r>
    </w:p>
    <w:p w14:paraId="76721455" w14:textId="4976165B" w:rsidR="00781CE2" w:rsidRDefault="00781CE2">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_Toc23506745 \h </w:instrText>
      </w:r>
      <w:r>
        <w:rPr>
          <w:noProof/>
        </w:rPr>
      </w:r>
      <w:r>
        <w:rPr>
          <w:noProof/>
        </w:rPr>
        <w:fldChar w:fldCharType="separate"/>
      </w:r>
      <w:r w:rsidR="00497854">
        <w:rPr>
          <w:noProof/>
        </w:rPr>
        <w:t>20</w:t>
      </w:r>
      <w:r>
        <w:rPr>
          <w:noProof/>
        </w:rPr>
        <w:fldChar w:fldCharType="end"/>
      </w:r>
    </w:p>
    <w:p w14:paraId="1182E510" w14:textId="29620D43" w:rsidR="00781CE2" w:rsidRDefault="00781CE2">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_Toc23506746 \h </w:instrText>
      </w:r>
      <w:r>
        <w:rPr>
          <w:noProof/>
        </w:rPr>
      </w:r>
      <w:r>
        <w:rPr>
          <w:noProof/>
        </w:rPr>
        <w:fldChar w:fldCharType="separate"/>
      </w:r>
      <w:r w:rsidR="00497854">
        <w:rPr>
          <w:noProof/>
        </w:rPr>
        <w:t>20</w:t>
      </w:r>
      <w:r>
        <w:rPr>
          <w:noProof/>
        </w:rPr>
        <w:fldChar w:fldCharType="end"/>
      </w:r>
    </w:p>
    <w:p w14:paraId="659A44BE" w14:textId="694B27FD" w:rsidR="00781CE2" w:rsidRDefault="00781CE2">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_Toc23506747 \h </w:instrText>
      </w:r>
      <w:r>
        <w:rPr>
          <w:noProof/>
        </w:rPr>
      </w:r>
      <w:r>
        <w:rPr>
          <w:noProof/>
        </w:rPr>
        <w:fldChar w:fldCharType="separate"/>
      </w:r>
      <w:r w:rsidR="00497854">
        <w:rPr>
          <w:noProof/>
        </w:rPr>
        <w:t>20</w:t>
      </w:r>
      <w:r>
        <w:rPr>
          <w:noProof/>
        </w:rPr>
        <w:fldChar w:fldCharType="end"/>
      </w:r>
    </w:p>
    <w:p w14:paraId="6A4C141F" w14:textId="4A7ADDD4" w:rsidR="00781CE2" w:rsidRDefault="00781CE2">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_Toc23506748 \h </w:instrText>
      </w:r>
      <w:r>
        <w:rPr>
          <w:noProof/>
        </w:rPr>
      </w:r>
      <w:r>
        <w:rPr>
          <w:noProof/>
        </w:rPr>
        <w:fldChar w:fldCharType="separate"/>
      </w:r>
      <w:r w:rsidR="00497854">
        <w:rPr>
          <w:noProof/>
        </w:rPr>
        <w:t>20</w:t>
      </w:r>
      <w:r>
        <w:rPr>
          <w:noProof/>
        </w:rPr>
        <w:fldChar w:fldCharType="end"/>
      </w:r>
    </w:p>
    <w:p w14:paraId="03ACE712" w14:textId="2F1846F9" w:rsidR="00781CE2" w:rsidRDefault="00781CE2">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_Toc23506749 \h </w:instrText>
      </w:r>
      <w:r>
        <w:rPr>
          <w:noProof/>
        </w:rPr>
      </w:r>
      <w:r>
        <w:rPr>
          <w:noProof/>
        </w:rPr>
        <w:fldChar w:fldCharType="separate"/>
      </w:r>
      <w:r w:rsidR="00497854">
        <w:rPr>
          <w:noProof/>
        </w:rPr>
        <w:t>21</w:t>
      </w:r>
      <w:r>
        <w:rPr>
          <w:noProof/>
        </w:rPr>
        <w:fldChar w:fldCharType="end"/>
      </w:r>
    </w:p>
    <w:p w14:paraId="1B29500B" w14:textId="0C1426C3" w:rsidR="00781CE2" w:rsidRDefault="00781CE2">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_Toc23506750 \h </w:instrText>
      </w:r>
      <w:r>
        <w:rPr>
          <w:noProof/>
        </w:rPr>
      </w:r>
      <w:r>
        <w:rPr>
          <w:noProof/>
        </w:rPr>
        <w:fldChar w:fldCharType="separate"/>
      </w:r>
      <w:r w:rsidR="00497854">
        <w:rPr>
          <w:noProof/>
        </w:rPr>
        <w:t>22</w:t>
      </w:r>
      <w:r>
        <w:rPr>
          <w:noProof/>
        </w:rPr>
        <w:fldChar w:fldCharType="end"/>
      </w:r>
    </w:p>
    <w:p w14:paraId="1AF079CF" w14:textId="6918DD23" w:rsidR="00781CE2" w:rsidRDefault="00781CE2">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_Toc23506751 \h </w:instrText>
      </w:r>
      <w:r>
        <w:rPr>
          <w:noProof/>
        </w:rPr>
      </w:r>
      <w:r>
        <w:rPr>
          <w:noProof/>
        </w:rPr>
        <w:fldChar w:fldCharType="separate"/>
      </w:r>
      <w:r w:rsidR="00497854">
        <w:rPr>
          <w:noProof/>
        </w:rPr>
        <w:t>22</w:t>
      </w:r>
      <w:r>
        <w:rPr>
          <w:noProof/>
        </w:rPr>
        <w:fldChar w:fldCharType="end"/>
      </w:r>
    </w:p>
    <w:p w14:paraId="167DBC70" w14:textId="671526AA" w:rsidR="00781CE2" w:rsidRDefault="00781CE2">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_Toc23506752 \h </w:instrText>
      </w:r>
      <w:r>
        <w:rPr>
          <w:noProof/>
        </w:rPr>
      </w:r>
      <w:r>
        <w:rPr>
          <w:noProof/>
        </w:rPr>
        <w:fldChar w:fldCharType="separate"/>
      </w:r>
      <w:r w:rsidR="00497854">
        <w:rPr>
          <w:noProof/>
        </w:rPr>
        <w:t>23</w:t>
      </w:r>
      <w:r>
        <w:rPr>
          <w:noProof/>
        </w:rPr>
        <w:fldChar w:fldCharType="end"/>
      </w:r>
    </w:p>
    <w:p w14:paraId="0077EAE9" w14:textId="0BCA5A97" w:rsidR="00E2211A" w:rsidRDefault="001C6C9B" w:rsidP="00C50E85">
      <w:pPr>
        <w:sectPr w:rsidR="00E2211A" w:rsidSect="00081DB8">
          <w:headerReference w:type="default" r:id="rId8"/>
          <w:footerReference w:type="default" r:id="rId9"/>
          <w:headerReference w:type="first" r:id="rId10"/>
          <w:footerReference w:type="first" r:id="rId11"/>
          <w:endnotePr>
            <w:numFmt w:val="decimal"/>
          </w:endnotePr>
          <w:pgSz w:w="12240" w:h="15840"/>
          <w:pgMar w:top="1440" w:right="1440" w:bottom="1440" w:left="1440" w:header="720" w:footer="720" w:gutter="0"/>
          <w:cols w:space="720"/>
          <w:titlePg/>
          <w:docGrid w:linePitch="360"/>
        </w:sectPr>
      </w:pPr>
      <w:r>
        <w:fldChar w:fldCharType="end"/>
      </w:r>
      <w:bookmarkStart w:id="0" w:name="_Toc486490839"/>
      <w:bookmarkStart w:id="1" w:name="_Toc486580912"/>
    </w:p>
    <w:p w14:paraId="79CF1DB3" w14:textId="2A2C4C4D" w:rsidR="0065439B" w:rsidRDefault="006C593E" w:rsidP="00C50E85">
      <w:pPr>
        <w:rPr>
          <w:rFonts w:eastAsiaTheme="majorEastAsia" w:cstheme="majorBidi"/>
          <w:caps/>
          <w:color w:val="CFAB7A"/>
          <w:w w:val="102"/>
          <w:sz w:val="24"/>
          <w:szCs w:val="30"/>
        </w:rPr>
      </w:pPr>
      <w:bookmarkStart w:id="2" w:name="_Toc23506729"/>
      <w:r w:rsidRPr="006C593E">
        <w:rPr>
          <w:rStyle w:val="eTRMHeading3Char"/>
        </w:rPr>
        <w:lastRenderedPageBreak/>
        <w:t>Measure Name</w:t>
      </w:r>
      <w:bookmarkEnd w:id="0"/>
      <w:bookmarkEnd w:id="1"/>
      <w:bookmarkEnd w:id="2"/>
    </w:p>
    <w:p w14:paraId="06242369" w14:textId="4E76BC3A" w:rsidR="006C593E" w:rsidRDefault="002161A0" w:rsidP="0065439B">
      <w:pPr>
        <w:tabs>
          <w:tab w:val="left" w:pos="3419"/>
        </w:tabs>
        <w:spacing w:before="20" w:after="20" w:line="280" w:lineRule="exact"/>
        <w:rPr>
          <w:iCs/>
        </w:rPr>
      </w:pPr>
      <w:r>
        <w:rPr>
          <w:iCs/>
        </w:rPr>
        <w:t>TSV</w:t>
      </w:r>
      <w:r w:rsidR="006C593E" w:rsidRPr="00894C7A">
        <w:rPr>
          <w:iCs/>
        </w:rPr>
        <w:t xml:space="preserve"> with and without an Integrated Low-Flow Showerhead</w:t>
      </w:r>
      <w:r>
        <w:rPr>
          <w:iCs/>
        </w:rPr>
        <w:t>, Residential</w:t>
      </w:r>
    </w:p>
    <w:p w14:paraId="3D252CFA" w14:textId="77777777" w:rsidR="0065439B" w:rsidRPr="00894C7A" w:rsidRDefault="0065439B" w:rsidP="0065439B">
      <w:pPr>
        <w:tabs>
          <w:tab w:val="left" w:pos="3419"/>
        </w:tabs>
        <w:spacing w:before="20" w:after="20" w:line="280" w:lineRule="exact"/>
      </w:pPr>
    </w:p>
    <w:p w14:paraId="16B5C92A" w14:textId="77777777" w:rsidR="0065439B" w:rsidRDefault="006C593E" w:rsidP="006C593E">
      <w:pPr>
        <w:tabs>
          <w:tab w:val="left" w:pos="3419"/>
        </w:tabs>
        <w:spacing w:before="20" w:after="20" w:line="280" w:lineRule="exact"/>
        <w:ind w:left="2430" w:hanging="2430"/>
        <w:rPr>
          <w:rFonts w:eastAsiaTheme="majorEastAsia" w:cstheme="majorBidi"/>
          <w:caps/>
          <w:color w:val="CFAB7A"/>
          <w:w w:val="102"/>
          <w:sz w:val="24"/>
          <w:szCs w:val="30"/>
        </w:rPr>
      </w:pPr>
      <w:bookmarkStart w:id="3" w:name="_Toc486490840"/>
      <w:bookmarkStart w:id="4" w:name="_Toc486580913"/>
      <w:bookmarkStart w:id="5" w:name="_Toc23506730"/>
      <w:r w:rsidRPr="006C593E">
        <w:rPr>
          <w:rStyle w:val="eTRMHeading3Char"/>
        </w:rPr>
        <w:t>Statewide Measure ID</w:t>
      </w:r>
      <w:bookmarkEnd w:id="3"/>
      <w:bookmarkEnd w:id="4"/>
      <w:bookmarkEnd w:id="5"/>
    </w:p>
    <w:p w14:paraId="2AC32AF6" w14:textId="2D6EDB2D" w:rsidR="0065439B" w:rsidRPr="0065439B" w:rsidRDefault="0065439B" w:rsidP="0065439B">
      <w:r w:rsidRPr="0065439B">
        <w:t>SWWH003</w:t>
      </w:r>
      <w:r w:rsidR="00E2211A">
        <w:t>-01</w:t>
      </w:r>
    </w:p>
    <w:p w14:paraId="43AF574C" w14:textId="77777777" w:rsidR="0065439B" w:rsidRPr="00462BB6" w:rsidRDefault="0065439B" w:rsidP="00E2211A"/>
    <w:p w14:paraId="0F7CA2E6" w14:textId="77777777" w:rsidR="00E70CBD" w:rsidRPr="00154391" w:rsidRDefault="00E70CBD" w:rsidP="00462BB6">
      <w:pPr>
        <w:pStyle w:val="eTRMHeading3"/>
      </w:pPr>
      <w:bookmarkStart w:id="6" w:name="_Toc486490847"/>
      <w:bookmarkStart w:id="7" w:name="_Toc486580918"/>
      <w:bookmarkStart w:id="8" w:name="_Toc23506731"/>
      <w:r w:rsidRPr="00154391">
        <w:t>Technology Summary</w:t>
      </w:r>
      <w:bookmarkEnd w:id="6"/>
      <w:bookmarkEnd w:id="7"/>
      <w:bookmarkEnd w:id="8"/>
      <w:r w:rsidRPr="00154391">
        <w:t xml:space="preserve"> </w:t>
      </w:r>
    </w:p>
    <w:p w14:paraId="03A1968F" w14:textId="2B8993CF" w:rsidR="008F7555" w:rsidRDefault="00346DD9" w:rsidP="008B6393">
      <w:pPr>
        <w:rPr>
          <w:rFonts w:cs="Calibri Light"/>
        </w:rPr>
      </w:pPr>
      <w:r w:rsidRPr="008B6393">
        <w:rPr>
          <w:rFonts w:cs="Calibri Light"/>
        </w:rPr>
        <w:t xml:space="preserve">This </w:t>
      </w:r>
      <w:r w:rsidR="00A96AFB">
        <w:rPr>
          <w:rFonts w:cs="Calibri Light"/>
        </w:rPr>
        <w:t>measure is defined as a</w:t>
      </w:r>
      <w:r w:rsidRPr="008B6393">
        <w:rPr>
          <w:rFonts w:cs="Calibri Light"/>
        </w:rPr>
        <w:t xml:space="preserve"> </w:t>
      </w:r>
      <w:r w:rsidR="00A96AFB">
        <w:rPr>
          <w:rFonts w:cs="Calibri Light"/>
        </w:rPr>
        <w:t>t</w:t>
      </w:r>
      <w:r w:rsidRPr="008B6393">
        <w:rPr>
          <w:rFonts w:cs="Calibri Light"/>
        </w:rPr>
        <w:t>emperature-</w:t>
      </w:r>
      <w:r w:rsidR="0065439B">
        <w:rPr>
          <w:rFonts w:cs="Calibri Light"/>
        </w:rPr>
        <w:t>i</w:t>
      </w:r>
      <w:r w:rsidRPr="008B6393">
        <w:rPr>
          <w:rFonts w:cs="Calibri Light"/>
        </w:rPr>
        <w:t xml:space="preserve">nitiated </w:t>
      </w:r>
      <w:r w:rsidR="006B22C8">
        <w:rPr>
          <w:rFonts w:cs="Calibri Light"/>
        </w:rPr>
        <w:t xml:space="preserve">shower </w:t>
      </w:r>
      <w:r w:rsidR="00A96AFB">
        <w:rPr>
          <w:rFonts w:cs="Calibri Light"/>
        </w:rPr>
        <w:t>flow</w:t>
      </w:r>
      <w:r w:rsidR="006B22C8">
        <w:rPr>
          <w:rFonts w:cs="Calibri Light"/>
        </w:rPr>
        <w:t xml:space="preserve"> </w:t>
      </w:r>
      <w:r w:rsidR="00A96AFB">
        <w:rPr>
          <w:rFonts w:cs="Calibri Light"/>
        </w:rPr>
        <w:t>r</w:t>
      </w:r>
      <w:r w:rsidRPr="008B6393">
        <w:rPr>
          <w:rFonts w:cs="Calibri Light"/>
        </w:rPr>
        <w:t xml:space="preserve">estriction </w:t>
      </w:r>
      <w:r w:rsidR="00A96AFB">
        <w:rPr>
          <w:rFonts w:cs="Calibri Light"/>
        </w:rPr>
        <w:t>v</w:t>
      </w:r>
      <w:r w:rsidRPr="008B6393">
        <w:rPr>
          <w:rFonts w:cs="Calibri Light"/>
        </w:rPr>
        <w:t xml:space="preserve">alve, </w:t>
      </w:r>
      <w:r w:rsidR="008B6393" w:rsidRPr="008B6393">
        <w:rPr>
          <w:rFonts w:cs="Calibri Light"/>
        </w:rPr>
        <w:t xml:space="preserve">also referred to as </w:t>
      </w:r>
      <w:r w:rsidR="00B4345B">
        <w:rPr>
          <w:rFonts w:cs="Calibri Light"/>
        </w:rPr>
        <w:t xml:space="preserve">a </w:t>
      </w:r>
      <w:r w:rsidR="004E7D83">
        <w:rPr>
          <w:rFonts w:cs="Calibri Light"/>
        </w:rPr>
        <w:t>t</w:t>
      </w:r>
      <w:r w:rsidR="008B6393" w:rsidRPr="008B6393">
        <w:rPr>
          <w:rFonts w:cs="Calibri Light"/>
        </w:rPr>
        <w:t xml:space="preserve">hermostatic </w:t>
      </w:r>
      <w:r w:rsidR="006B22C8">
        <w:rPr>
          <w:rFonts w:cs="Calibri Light"/>
        </w:rPr>
        <w:t xml:space="preserve">shower </w:t>
      </w:r>
      <w:r w:rsidR="004E7D83">
        <w:rPr>
          <w:rFonts w:cs="Calibri Light"/>
        </w:rPr>
        <w:t>v</w:t>
      </w:r>
      <w:r w:rsidR="008B6393" w:rsidRPr="008B6393">
        <w:rPr>
          <w:rFonts w:cs="Calibri Light"/>
        </w:rPr>
        <w:t>alve</w:t>
      </w:r>
      <w:r w:rsidR="006B22C8">
        <w:rPr>
          <w:rFonts w:cs="Calibri Light"/>
        </w:rPr>
        <w:t xml:space="preserve"> (TSV)</w:t>
      </w:r>
      <w:r w:rsidR="008B6393" w:rsidRPr="008B6393">
        <w:rPr>
          <w:rFonts w:cs="Calibri Light"/>
        </w:rPr>
        <w:t xml:space="preserve">, </w:t>
      </w:r>
      <w:r w:rsidRPr="008B6393">
        <w:rPr>
          <w:rFonts w:cs="Calibri Light"/>
        </w:rPr>
        <w:t xml:space="preserve">with or without </w:t>
      </w:r>
      <w:r w:rsidR="003A2201">
        <w:rPr>
          <w:rFonts w:cs="Calibri Light"/>
        </w:rPr>
        <w:t xml:space="preserve">the installation of </w:t>
      </w:r>
      <w:r w:rsidRPr="008B6393">
        <w:rPr>
          <w:rFonts w:cs="Calibri Light"/>
        </w:rPr>
        <w:t>an in</w:t>
      </w:r>
      <w:r w:rsidR="008B6393" w:rsidRPr="008B6393">
        <w:rPr>
          <w:rFonts w:cs="Calibri Light"/>
        </w:rPr>
        <w:t xml:space="preserve">tegrated low-flow showerhead. </w:t>
      </w:r>
    </w:p>
    <w:p w14:paraId="11C76BA5" w14:textId="707965B8" w:rsidR="00B4345B" w:rsidRDefault="0065439B" w:rsidP="008B6393">
      <w:pPr>
        <w:rPr>
          <w:rFonts w:cs="Calibri Light"/>
          <w:szCs w:val="22"/>
        </w:rPr>
      </w:pPr>
      <w:r>
        <w:rPr>
          <w:rFonts w:cs="Calibri Light"/>
          <w:b/>
          <w:szCs w:val="22"/>
        </w:rPr>
        <w:t>A t</w:t>
      </w:r>
      <w:r w:rsidR="008B6393" w:rsidRPr="008F7555">
        <w:rPr>
          <w:rFonts w:cs="Calibri Light"/>
          <w:b/>
          <w:szCs w:val="22"/>
        </w:rPr>
        <w:t xml:space="preserve">emperature-initiated flow-restriction valve </w:t>
      </w:r>
      <w:r>
        <w:rPr>
          <w:rFonts w:cs="Calibri Light"/>
          <w:szCs w:val="22"/>
        </w:rPr>
        <w:t xml:space="preserve">is </w:t>
      </w:r>
      <w:r w:rsidR="0055275F">
        <w:rPr>
          <w:rFonts w:cs="Calibri Light"/>
          <w:szCs w:val="22"/>
        </w:rPr>
        <w:t xml:space="preserve">installed at the showerhead. </w:t>
      </w:r>
      <w:r w:rsidR="008B6393" w:rsidRPr="006336FA">
        <w:rPr>
          <w:rFonts w:cs="Calibri Light"/>
          <w:szCs w:val="22"/>
        </w:rPr>
        <w:t>The valve is initially open and allows cold water that has been sitting in the pipes to flow thr</w:t>
      </w:r>
      <w:r w:rsidR="0055275F">
        <w:rPr>
          <w:rFonts w:cs="Calibri Light"/>
          <w:szCs w:val="22"/>
        </w:rPr>
        <w:t xml:space="preserve">ough the showerhead. </w:t>
      </w:r>
      <w:r w:rsidR="008B6393" w:rsidRPr="006336FA">
        <w:rPr>
          <w:rFonts w:cs="Calibri Light"/>
          <w:szCs w:val="22"/>
        </w:rPr>
        <w:t xml:space="preserve">When the </w:t>
      </w:r>
      <w:r w:rsidR="008B6393" w:rsidRPr="00B4345B">
        <w:rPr>
          <w:rFonts w:cs="Calibri Light"/>
          <w:szCs w:val="22"/>
        </w:rPr>
        <w:t>water temper</w:t>
      </w:r>
      <w:r w:rsidR="00002A48" w:rsidRPr="00B4345B">
        <w:rPr>
          <w:rFonts w:cs="Calibri Light"/>
          <w:szCs w:val="22"/>
        </w:rPr>
        <w:t xml:space="preserve">ature reaches approximately 95 </w:t>
      </w:r>
      <w:r w:rsidR="00B4345B" w:rsidRPr="00B4345B">
        <w:rPr>
          <w:rFonts w:cs="Arial"/>
          <w:szCs w:val="22"/>
        </w:rPr>
        <w:t>°F</w:t>
      </w:r>
      <w:r w:rsidR="008B6393" w:rsidRPr="00B4345B">
        <w:rPr>
          <w:rFonts w:cs="Calibri Light"/>
          <w:szCs w:val="22"/>
        </w:rPr>
        <w:t>, the valve restricts the water flow to a trickle until the</w:t>
      </w:r>
      <w:r w:rsidR="008B6393" w:rsidRPr="006336FA">
        <w:rPr>
          <w:rFonts w:cs="Calibri Light"/>
          <w:szCs w:val="22"/>
        </w:rPr>
        <w:t xml:space="preserve"> user enters the shower and switches the valve op</w:t>
      </w:r>
      <w:r w:rsidR="00002A48" w:rsidRPr="006336FA">
        <w:rPr>
          <w:rFonts w:cs="Calibri Light"/>
          <w:szCs w:val="22"/>
        </w:rPr>
        <w:t xml:space="preserve">en again to restore full flow. </w:t>
      </w:r>
    </w:p>
    <w:p w14:paraId="18F7A18D" w14:textId="29A99055" w:rsidR="008B6393" w:rsidRPr="006336FA" w:rsidRDefault="00CE7518" w:rsidP="008B6393">
      <w:pPr>
        <w:rPr>
          <w:rFonts w:cs="Calibri Light"/>
        </w:rPr>
      </w:pPr>
      <w:r w:rsidRPr="006336FA">
        <w:rPr>
          <w:rFonts w:cs="Calibri Light"/>
          <w:szCs w:val="22"/>
        </w:rPr>
        <w:t>“</w:t>
      </w:r>
      <w:r w:rsidRPr="006336FA">
        <w:rPr>
          <w:rFonts w:cs="Calibri Light"/>
        </w:rPr>
        <w:t xml:space="preserve">Behavioral waste” occurs when the user turns on the hot water </w:t>
      </w:r>
      <w:r>
        <w:rPr>
          <w:rFonts w:cs="Calibri Light"/>
        </w:rPr>
        <w:t>but does enter the shower until</w:t>
      </w:r>
      <w:r w:rsidRPr="006336FA">
        <w:rPr>
          <w:rFonts w:cs="Calibri Light"/>
        </w:rPr>
        <w:t xml:space="preserve"> </w:t>
      </w:r>
      <w:proofErr w:type="gramStart"/>
      <w:r w:rsidR="006B22C8">
        <w:rPr>
          <w:rFonts w:cs="Calibri Light"/>
        </w:rPr>
        <w:t>a period of time</w:t>
      </w:r>
      <w:proofErr w:type="gramEnd"/>
      <w:r w:rsidR="006B22C8">
        <w:rPr>
          <w:rFonts w:cs="Calibri Light"/>
        </w:rPr>
        <w:t xml:space="preserve"> after </w:t>
      </w:r>
      <w:r w:rsidRPr="006336FA">
        <w:rPr>
          <w:rFonts w:cs="Calibri Light"/>
        </w:rPr>
        <w:t xml:space="preserve">the </w:t>
      </w:r>
      <w:r w:rsidRPr="00CE7518">
        <w:rPr>
          <w:rFonts w:cs="Calibri Light"/>
        </w:rPr>
        <w:t xml:space="preserve">water output at the showerhead is the desired temperature. </w:t>
      </w:r>
      <w:r w:rsidR="00A00DA6" w:rsidRPr="00CE7518">
        <w:rPr>
          <w:rFonts w:cs="Calibri Light"/>
          <w:szCs w:val="22"/>
        </w:rPr>
        <w:t xml:space="preserve">The </w:t>
      </w:r>
      <w:r w:rsidRPr="00CE7518">
        <w:rPr>
          <w:rFonts w:cs="Calibri Light"/>
          <w:szCs w:val="22"/>
        </w:rPr>
        <w:t>purpose</w:t>
      </w:r>
      <w:r w:rsidR="008B6393" w:rsidRPr="00CE7518">
        <w:rPr>
          <w:rFonts w:cs="Calibri Light"/>
          <w:szCs w:val="22"/>
        </w:rPr>
        <w:t xml:space="preserve"> of </w:t>
      </w:r>
      <w:r w:rsidRPr="00CE7518">
        <w:rPr>
          <w:rFonts w:cs="Calibri Light"/>
          <w:szCs w:val="22"/>
        </w:rPr>
        <w:t>a TSV</w:t>
      </w:r>
      <w:r w:rsidR="008B6393" w:rsidRPr="00CE7518">
        <w:rPr>
          <w:rFonts w:cs="Calibri Light"/>
          <w:szCs w:val="22"/>
        </w:rPr>
        <w:t xml:space="preserve"> is to reduce the</w:t>
      </w:r>
      <w:r w:rsidR="008B6393" w:rsidRPr="006336FA">
        <w:rPr>
          <w:rFonts w:cs="Calibri Light"/>
          <w:szCs w:val="22"/>
        </w:rPr>
        <w:t xml:space="preserve"> amount of hot water run</w:t>
      </w:r>
      <w:r w:rsidR="00203F9A" w:rsidRPr="006336FA">
        <w:rPr>
          <w:rFonts w:cs="Calibri Light"/>
          <w:szCs w:val="22"/>
        </w:rPr>
        <w:t>ning d</w:t>
      </w:r>
      <w:r w:rsidR="00E63E63">
        <w:rPr>
          <w:rFonts w:cs="Calibri Light"/>
          <w:szCs w:val="22"/>
        </w:rPr>
        <w:t xml:space="preserve">own the drain during </w:t>
      </w:r>
      <w:r>
        <w:rPr>
          <w:rFonts w:cs="Calibri Light"/>
          <w:szCs w:val="22"/>
        </w:rPr>
        <w:t>this</w:t>
      </w:r>
      <w:r w:rsidR="00E63E63">
        <w:rPr>
          <w:rFonts w:cs="Calibri Light"/>
          <w:szCs w:val="22"/>
        </w:rPr>
        <w:t xml:space="preserve"> “pre-</w:t>
      </w:r>
      <w:r w:rsidR="00203F9A" w:rsidRPr="006336FA">
        <w:rPr>
          <w:rFonts w:cs="Calibri Light"/>
          <w:szCs w:val="22"/>
        </w:rPr>
        <w:t>shower”</w:t>
      </w:r>
      <w:r w:rsidR="008B6393" w:rsidRPr="006336FA">
        <w:rPr>
          <w:rFonts w:cs="Calibri Light"/>
          <w:szCs w:val="22"/>
        </w:rPr>
        <w:t xml:space="preserve"> </w:t>
      </w:r>
      <w:r w:rsidR="004E7D83">
        <w:rPr>
          <w:rFonts w:cs="Calibri Light"/>
          <w:szCs w:val="22"/>
        </w:rPr>
        <w:t>warm-up period</w:t>
      </w:r>
      <w:r w:rsidR="00203F9A" w:rsidRPr="006336FA">
        <w:rPr>
          <w:rFonts w:cs="Calibri Light"/>
          <w:szCs w:val="22"/>
        </w:rPr>
        <w:t xml:space="preserve">. </w:t>
      </w:r>
      <w:r w:rsidR="001330E2" w:rsidRPr="006336FA">
        <w:rPr>
          <w:rFonts w:cs="Calibri Light"/>
          <w:szCs w:val="22"/>
        </w:rPr>
        <w:t>By preventing hot water from unnecessarily running down the drain</w:t>
      </w:r>
      <w:r w:rsidR="001330E2">
        <w:rPr>
          <w:rFonts w:cs="Calibri Light"/>
          <w:szCs w:val="22"/>
        </w:rPr>
        <w:t xml:space="preserve"> before a</w:t>
      </w:r>
      <w:r w:rsidR="001330E2" w:rsidRPr="006336FA">
        <w:rPr>
          <w:rFonts w:cs="Calibri Light"/>
          <w:szCs w:val="22"/>
        </w:rPr>
        <w:t xml:space="preserve"> shower begins, this device reduces water heater energy consumption.</w:t>
      </w:r>
    </w:p>
    <w:p w14:paraId="336CD5F1" w14:textId="419B082C" w:rsidR="00C97228" w:rsidRDefault="0065439B" w:rsidP="00AB6C99">
      <w:pPr>
        <w:rPr>
          <w:rFonts w:cs="Calibri Light"/>
          <w:szCs w:val="22"/>
        </w:rPr>
      </w:pPr>
      <w:r>
        <w:rPr>
          <w:rFonts w:cs="Calibri Light"/>
          <w:b/>
          <w:szCs w:val="22"/>
        </w:rPr>
        <w:t>A l</w:t>
      </w:r>
      <w:r w:rsidRPr="008F7555">
        <w:rPr>
          <w:rFonts w:cs="Calibri Light"/>
          <w:b/>
          <w:szCs w:val="22"/>
        </w:rPr>
        <w:t>ow</w:t>
      </w:r>
      <w:r w:rsidR="006336FA" w:rsidRPr="008F7555">
        <w:rPr>
          <w:rFonts w:cs="Calibri Light"/>
          <w:b/>
          <w:szCs w:val="22"/>
        </w:rPr>
        <w:t>-flow showerhead</w:t>
      </w:r>
      <w:r w:rsidR="006336FA" w:rsidRPr="007772B3">
        <w:rPr>
          <w:rFonts w:cs="Calibri Light"/>
          <w:szCs w:val="22"/>
        </w:rPr>
        <w:t xml:space="preserve"> </w:t>
      </w:r>
      <w:r>
        <w:rPr>
          <w:rFonts w:cs="Calibri Light"/>
          <w:szCs w:val="22"/>
        </w:rPr>
        <w:t>is</w:t>
      </w:r>
      <w:r w:rsidRPr="007772B3">
        <w:rPr>
          <w:rFonts w:cs="Calibri Light"/>
          <w:szCs w:val="22"/>
        </w:rPr>
        <w:t xml:space="preserve"> </w:t>
      </w:r>
      <w:r w:rsidR="006336FA" w:rsidRPr="007772B3">
        <w:rPr>
          <w:rFonts w:cs="Calibri Light"/>
          <w:szCs w:val="22"/>
        </w:rPr>
        <w:t xml:space="preserve">inexpensive and </w:t>
      </w:r>
      <w:r w:rsidR="006336FA">
        <w:rPr>
          <w:rFonts w:cs="Calibri Light"/>
          <w:szCs w:val="22"/>
        </w:rPr>
        <w:t>easy to install. Since about 73</w:t>
      </w:r>
      <w:r w:rsidR="004E7D83">
        <w:rPr>
          <w:rFonts w:cs="Calibri Light"/>
          <w:szCs w:val="22"/>
        </w:rPr>
        <w:t>%</w:t>
      </w:r>
      <w:r w:rsidR="006336FA">
        <w:rPr>
          <w:rFonts w:cs="Calibri Light"/>
          <w:szCs w:val="22"/>
        </w:rPr>
        <w:t xml:space="preserve"> </w:t>
      </w:r>
      <w:r w:rsidR="006336FA" w:rsidRPr="007772B3">
        <w:rPr>
          <w:rFonts w:cs="Calibri Light"/>
          <w:szCs w:val="22"/>
        </w:rPr>
        <w:t xml:space="preserve">of water used in a typical shower is hot water, reducing </w:t>
      </w:r>
      <w:r w:rsidR="00413FE2">
        <w:rPr>
          <w:rFonts w:cs="Calibri Light"/>
          <w:szCs w:val="22"/>
        </w:rPr>
        <w:t>hot water usage</w:t>
      </w:r>
      <w:r w:rsidR="006336FA" w:rsidRPr="007772B3">
        <w:rPr>
          <w:rFonts w:cs="Calibri Light"/>
          <w:szCs w:val="22"/>
        </w:rPr>
        <w:t xml:space="preserve"> will save energy because the</w:t>
      </w:r>
      <w:r w:rsidR="006336FA">
        <w:rPr>
          <w:rFonts w:cs="Calibri Light"/>
          <w:szCs w:val="22"/>
        </w:rPr>
        <w:t xml:space="preserve">re is less water to be heated. </w:t>
      </w:r>
      <w:r w:rsidR="006336FA" w:rsidRPr="00CE7518">
        <w:rPr>
          <w:rFonts w:cs="Calibri Light"/>
          <w:szCs w:val="22"/>
        </w:rPr>
        <w:t>As a result, the water heater will use less energy, creating an opportunity for savings.</w:t>
      </w:r>
      <w:r w:rsidR="00CE7518" w:rsidRPr="00CE7518">
        <w:rPr>
          <w:rStyle w:val="FootnoteReference"/>
          <w:rFonts w:cs="Calibri Light"/>
          <w:szCs w:val="22"/>
        </w:rPr>
        <w:footnoteReference w:id="1"/>
      </w:r>
      <w:r w:rsidR="00CE7518" w:rsidRPr="00CE7518">
        <w:rPr>
          <w:rFonts w:cs="Calibri Light"/>
          <w:szCs w:val="22"/>
        </w:rPr>
        <w:t xml:space="preserve"> </w:t>
      </w:r>
    </w:p>
    <w:p w14:paraId="42D6840A" w14:textId="77777777" w:rsidR="004E7D83" w:rsidRPr="007969A5" w:rsidRDefault="004E7D83" w:rsidP="00AB6C99">
      <w:pPr>
        <w:rPr>
          <w:rFonts w:cs="Calibri Light"/>
          <w:b/>
          <w:sz w:val="20"/>
          <w:szCs w:val="20"/>
        </w:rPr>
      </w:pPr>
    </w:p>
    <w:p w14:paraId="5AF18021" w14:textId="77777777" w:rsidR="007D230B" w:rsidRPr="004B06E3" w:rsidRDefault="007D230B" w:rsidP="00462BB6">
      <w:pPr>
        <w:pStyle w:val="eTRMHeading3"/>
      </w:pPr>
      <w:bookmarkStart w:id="9" w:name="_Toc486490848"/>
      <w:bookmarkStart w:id="10" w:name="_Toc486580919"/>
      <w:bookmarkStart w:id="11" w:name="_Toc23506732"/>
      <w:r w:rsidRPr="004B06E3">
        <w:t>Measure Case Description</w:t>
      </w:r>
      <w:bookmarkEnd w:id="9"/>
      <w:bookmarkEnd w:id="10"/>
      <w:bookmarkEnd w:id="11"/>
    </w:p>
    <w:p w14:paraId="345DFD9A" w14:textId="50266214" w:rsidR="00E11491" w:rsidRPr="005D68FD" w:rsidRDefault="00E11491" w:rsidP="00E11491">
      <w:r>
        <w:t>The measure case is defined as the installation of a thermostatic shower valve (</w:t>
      </w:r>
      <w:r w:rsidR="00413FE2">
        <w:t>TSV</w:t>
      </w:r>
      <w:r>
        <w:t>)</w:t>
      </w:r>
      <w:r w:rsidR="00413FE2">
        <w:t xml:space="preserve"> without a low-flow showerhead and </w:t>
      </w:r>
      <w:r>
        <w:t xml:space="preserve">a </w:t>
      </w:r>
      <w:r w:rsidR="00413FE2">
        <w:t>TSV installed with a low-flow showerhead</w:t>
      </w:r>
      <w:r>
        <w:t xml:space="preserve">. </w:t>
      </w:r>
      <w:r w:rsidR="00F80C2F">
        <w:rPr>
          <w:rFonts w:cs="Arial"/>
          <w:szCs w:val="20"/>
        </w:rPr>
        <w:t>The measure offerings (and therefore energy savings) vary by flow rate (</w:t>
      </w:r>
      <w:proofErr w:type="spellStart"/>
      <w:r w:rsidR="00F80C2F">
        <w:rPr>
          <w:rFonts w:cs="Arial"/>
          <w:szCs w:val="20"/>
        </w:rPr>
        <w:t>gpm</w:t>
      </w:r>
      <w:proofErr w:type="spellEnd"/>
      <w:r w:rsidR="00F80C2F">
        <w:rPr>
          <w:rFonts w:cs="Arial"/>
          <w:szCs w:val="20"/>
        </w:rPr>
        <w:t>), household type (single family, multifamily, or mobile home), climate zone, and installation type.</w:t>
      </w:r>
    </w:p>
    <w:p w14:paraId="14D6BC56" w14:textId="2BC7ED04" w:rsidR="00E11491" w:rsidRDefault="00E11491" w:rsidP="00E11491">
      <w:pPr>
        <w:pStyle w:val="Caption"/>
        <w:rPr>
          <w:szCs w:val="20"/>
        </w:rPr>
      </w:pPr>
      <w:r>
        <w:t xml:space="preserve">Measure Case Specification </w:t>
      </w:r>
    </w:p>
    <w:tbl>
      <w:tblPr>
        <w:tblW w:w="55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65"/>
        <w:gridCol w:w="2610"/>
      </w:tblGrid>
      <w:tr w:rsidR="009001B8" w14:paraId="7D8712A3" w14:textId="5FA917A9" w:rsidTr="00F720F2">
        <w:trPr>
          <w:cantSplit/>
          <w:trHeight w:val="20"/>
          <w:tblHeader/>
        </w:trPr>
        <w:tc>
          <w:tcPr>
            <w:tcW w:w="2965" w:type="dxa"/>
            <w:shd w:val="clear" w:color="auto" w:fill="F2F2F2" w:themeFill="background1" w:themeFillShade="F2"/>
            <w:vAlign w:val="bottom"/>
          </w:tcPr>
          <w:p w14:paraId="04D1BE88" w14:textId="2B1189E5" w:rsidR="009001B8" w:rsidRDefault="009001B8" w:rsidP="00F803EB">
            <w:pPr>
              <w:spacing w:before="0" w:after="0"/>
              <w:jc w:val="center"/>
              <w:rPr>
                <w:b/>
                <w:sz w:val="20"/>
                <w:szCs w:val="20"/>
              </w:rPr>
            </w:pPr>
            <w:r>
              <w:rPr>
                <w:b/>
                <w:sz w:val="20"/>
                <w:szCs w:val="20"/>
              </w:rPr>
              <w:t xml:space="preserve">Measure </w:t>
            </w:r>
            <w:r w:rsidR="00F80C2F">
              <w:rPr>
                <w:b/>
                <w:sz w:val="20"/>
                <w:szCs w:val="20"/>
              </w:rPr>
              <w:t>Offering</w:t>
            </w:r>
          </w:p>
        </w:tc>
        <w:tc>
          <w:tcPr>
            <w:tcW w:w="2610" w:type="dxa"/>
            <w:shd w:val="clear" w:color="auto" w:fill="F2F2F2" w:themeFill="background1" w:themeFillShade="F2"/>
            <w:vAlign w:val="bottom"/>
          </w:tcPr>
          <w:p w14:paraId="74FDA18E" w14:textId="40DEF988" w:rsidR="009001B8" w:rsidRDefault="009001B8" w:rsidP="00F803EB">
            <w:pPr>
              <w:spacing w:before="0" w:after="0"/>
              <w:jc w:val="center"/>
              <w:rPr>
                <w:b/>
                <w:sz w:val="20"/>
                <w:szCs w:val="20"/>
              </w:rPr>
            </w:pPr>
            <w:r>
              <w:rPr>
                <w:b/>
                <w:sz w:val="20"/>
                <w:szCs w:val="20"/>
              </w:rPr>
              <w:t>Showerhead Flow Rate (</w:t>
            </w:r>
            <w:proofErr w:type="spellStart"/>
            <w:r>
              <w:rPr>
                <w:b/>
                <w:sz w:val="20"/>
                <w:szCs w:val="20"/>
              </w:rPr>
              <w:t>gpm</w:t>
            </w:r>
            <w:proofErr w:type="spellEnd"/>
            <w:r>
              <w:rPr>
                <w:b/>
                <w:sz w:val="20"/>
                <w:szCs w:val="20"/>
              </w:rPr>
              <w:t>)</w:t>
            </w:r>
          </w:p>
        </w:tc>
      </w:tr>
      <w:tr w:rsidR="009001B8" w14:paraId="3A1E0259" w14:textId="412BCBC2" w:rsidTr="00F720F2">
        <w:trPr>
          <w:cantSplit/>
          <w:trHeight w:val="20"/>
        </w:trPr>
        <w:tc>
          <w:tcPr>
            <w:tcW w:w="2965" w:type="dxa"/>
          </w:tcPr>
          <w:p w14:paraId="41E2F000" w14:textId="7A8E3601" w:rsidR="009001B8" w:rsidRDefault="009001B8" w:rsidP="00F803EB">
            <w:pPr>
              <w:spacing w:before="0" w:after="0"/>
              <w:rPr>
                <w:sz w:val="20"/>
                <w:szCs w:val="20"/>
              </w:rPr>
            </w:pPr>
            <w:r>
              <w:rPr>
                <w:rFonts w:cs="Arial"/>
                <w:sz w:val="20"/>
                <w:szCs w:val="20"/>
              </w:rPr>
              <w:t xml:space="preserve">TSV </w:t>
            </w:r>
            <w:r w:rsidR="00A66D31">
              <w:rPr>
                <w:rFonts w:cs="Arial"/>
                <w:sz w:val="20"/>
                <w:szCs w:val="20"/>
              </w:rPr>
              <w:t>only</w:t>
            </w:r>
          </w:p>
        </w:tc>
        <w:tc>
          <w:tcPr>
            <w:tcW w:w="2610" w:type="dxa"/>
            <w:vAlign w:val="center"/>
          </w:tcPr>
          <w:p w14:paraId="48349F07" w14:textId="6D0BB57A" w:rsidR="009001B8" w:rsidRDefault="009001B8" w:rsidP="00F803EB">
            <w:pPr>
              <w:spacing w:before="0" w:after="0"/>
              <w:jc w:val="center"/>
              <w:rPr>
                <w:rFonts w:cs="Arial"/>
                <w:sz w:val="20"/>
                <w:szCs w:val="20"/>
              </w:rPr>
            </w:pPr>
            <w:r>
              <w:rPr>
                <w:rFonts w:cs="Arial"/>
                <w:sz w:val="20"/>
                <w:szCs w:val="20"/>
              </w:rPr>
              <w:t>2.25</w:t>
            </w:r>
          </w:p>
        </w:tc>
      </w:tr>
      <w:tr w:rsidR="009001B8" w14:paraId="1B95A49E" w14:textId="25C5A94F" w:rsidTr="00F720F2">
        <w:trPr>
          <w:cantSplit/>
          <w:trHeight w:val="20"/>
        </w:trPr>
        <w:tc>
          <w:tcPr>
            <w:tcW w:w="2965" w:type="dxa"/>
            <w:vMerge w:val="restart"/>
            <w:vAlign w:val="center"/>
          </w:tcPr>
          <w:p w14:paraId="2C4CDBB6" w14:textId="50B44DC1" w:rsidR="009001B8" w:rsidRDefault="009001B8" w:rsidP="00F803EB">
            <w:pPr>
              <w:spacing w:before="0" w:after="0"/>
              <w:rPr>
                <w:sz w:val="20"/>
                <w:szCs w:val="20"/>
              </w:rPr>
            </w:pPr>
            <w:r>
              <w:rPr>
                <w:rFonts w:cs="Arial"/>
                <w:sz w:val="20"/>
                <w:szCs w:val="20"/>
              </w:rPr>
              <w:t xml:space="preserve">TSV </w:t>
            </w:r>
            <w:r w:rsidR="005D68FD">
              <w:rPr>
                <w:rFonts w:cs="Arial"/>
                <w:sz w:val="20"/>
                <w:szCs w:val="20"/>
              </w:rPr>
              <w:t>with</w:t>
            </w:r>
            <w:r>
              <w:rPr>
                <w:rFonts w:cs="Arial"/>
                <w:sz w:val="20"/>
                <w:szCs w:val="20"/>
              </w:rPr>
              <w:t xml:space="preserve"> Low-flow Showerhead </w:t>
            </w:r>
          </w:p>
        </w:tc>
        <w:tc>
          <w:tcPr>
            <w:tcW w:w="2610" w:type="dxa"/>
            <w:vAlign w:val="center"/>
          </w:tcPr>
          <w:p w14:paraId="2AFD0668" w14:textId="3E309727" w:rsidR="009001B8" w:rsidRDefault="009001B8" w:rsidP="00F803EB">
            <w:pPr>
              <w:spacing w:before="0" w:after="0"/>
              <w:jc w:val="center"/>
              <w:rPr>
                <w:rFonts w:cs="Arial"/>
                <w:sz w:val="20"/>
                <w:szCs w:val="20"/>
              </w:rPr>
            </w:pPr>
            <w:r>
              <w:rPr>
                <w:rFonts w:cs="Arial"/>
                <w:sz w:val="20"/>
                <w:szCs w:val="20"/>
              </w:rPr>
              <w:t>1.00</w:t>
            </w:r>
          </w:p>
        </w:tc>
      </w:tr>
      <w:tr w:rsidR="009001B8" w14:paraId="605BB753" w14:textId="47EB7AEE" w:rsidTr="00F720F2">
        <w:trPr>
          <w:cantSplit/>
          <w:trHeight w:val="20"/>
        </w:trPr>
        <w:tc>
          <w:tcPr>
            <w:tcW w:w="2965" w:type="dxa"/>
            <w:vMerge/>
          </w:tcPr>
          <w:p w14:paraId="56D91086" w14:textId="79CD5706" w:rsidR="009001B8" w:rsidRDefault="009001B8" w:rsidP="00F803EB">
            <w:pPr>
              <w:spacing w:before="0" w:after="0"/>
              <w:rPr>
                <w:sz w:val="20"/>
                <w:szCs w:val="20"/>
              </w:rPr>
            </w:pPr>
          </w:p>
        </w:tc>
        <w:tc>
          <w:tcPr>
            <w:tcW w:w="2610" w:type="dxa"/>
            <w:vAlign w:val="center"/>
          </w:tcPr>
          <w:p w14:paraId="2FD7CA50" w14:textId="559BA9D6" w:rsidR="009001B8" w:rsidRDefault="009001B8" w:rsidP="00F803EB">
            <w:pPr>
              <w:spacing w:before="0" w:after="0"/>
              <w:jc w:val="center"/>
              <w:rPr>
                <w:rFonts w:cs="Arial"/>
                <w:sz w:val="20"/>
                <w:szCs w:val="20"/>
              </w:rPr>
            </w:pPr>
            <w:r>
              <w:rPr>
                <w:rFonts w:cs="Arial"/>
                <w:sz w:val="20"/>
                <w:szCs w:val="20"/>
              </w:rPr>
              <w:t>1.25</w:t>
            </w:r>
          </w:p>
        </w:tc>
      </w:tr>
      <w:tr w:rsidR="009001B8" w14:paraId="1D589ECC" w14:textId="04792E57" w:rsidTr="00F720F2">
        <w:trPr>
          <w:cantSplit/>
          <w:trHeight w:val="20"/>
        </w:trPr>
        <w:tc>
          <w:tcPr>
            <w:tcW w:w="2965" w:type="dxa"/>
            <w:vMerge/>
          </w:tcPr>
          <w:p w14:paraId="3994D267" w14:textId="5590867A" w:rsidR="009001B8" w:rsidRDefault="009001B8" w:rsidP="00F803EB">
            <w:pPr>
              <w:spacing w:before="0" w:after="0"/>
              <w:rPr>
                <w:sz w:val="20"/>
                <w:szCs w:val="20"/>
              </w:rPr>
            </w:pPr>
          </w:p>
        </w:tc>
        <w:tc>
          <w:tcPr>
            <w:tcW w:w="2610" w:type="dxa"/>
            <w:vAlign w:val="center"/>
          </w:tcPr>
          <w:p w14:paraId="37F379D3" w14:textId="7E2FA17E" w:rsidR="009001B8" w:rsidRDefault="009001B8" w:rsidP="00F803EB">
            <w:pPr>
              <w:spacing w:before="0" w:after="0"/>
              <w:jc w:val="center"/>
              <w:rPr>
                <w:rFonts w:cs="Arial"/>
                <w:sz w:val="20"/>
                <w:szCs w:val="20"/>
              </w:rPr>
            </w:pPr>
            <w:r>
              <w:rPr>
                <w:rFonts w:cs="Arial"/>
                <w:sz w:val="20"/>
                <w:szCs w:val="20"/>
              </w:rPr>
              <w:t>1.50</w:t>
            </w:r>
          </w:p>
        </w:tc>
      </w:tr>
      <w:tr w:rsidR="009001B8" w14:paraId="43B198DB" w14:textId="129572AA" w:rsidTr="00F720F2">
        <w:trPr>
          <w:cantSplit/>
          <w:trHeight w:val="20"/>
        </w:trPr>
        <w:tc>
          <w:tcPr>
            <w:tcW w:w="2965" w:type="dxa"/>
            <w:vMerge/>
          </w:tcPr>
          <w:p w14:paraId="6BD0C8BB" w14:textId="2483D58E" w:rsidR="009001B8" w:rsidRDefault="009001B8" w:rsidP="00F803EB">
            <w:pPr>
              <w:spacing w:before="0" w:after="0"/>
              <w:rPr>
                <w:sz w:val="20"/>
                <w:szCs w:val="20"/>
              </w:rPr>
            </w:pPr>
          </w:p>
        </w:tc>
        <w:tc>
          <w:tcPr>
            <w:tcW w:w="2610" w:type="dxa"/>
            <w:vAlign w:val="center"/>
          </w:tcPr>
          <w:p w14:paraId="0A5CA387" w14:textId="1E916238" w:rsidR="009001B8" w:rsidRDefault="009001B8" w:rsidP="00F803EB">
            <w:pPr>
              <w:spacing w:before="0" w:after="0"/>
              <w:jc w:val="center"/>
              <w:rPr>
                <w:rFonts w:cs="Arial"/>
                <w:sz w:val="20"/>
                <w:szCs w:val="20"/>
              </w:rPr>
            </w:pPr>
            <w:r>
              <w:rPr>
                <w:rFonts w:cs="Arial"/>
                <w:sz w:val="20"/>
                <w:szCs w:val="20"/>
              </w:rPr>
              <w:t>1.60</w:t>
            </w:r>
          </w:p>
        </w:tc>
      </w:tr>
      <w:tr w:rsidR="009001B8" w14:paraId="6EE88446" w14:textId="1EFA1543" w:rsidTr="00F720F2">
        <w:trPr>
          <w:cantSplit/>
          <w:trHeight w:val="20"/>
        </w:trPr>
        <w:tc>
          <w:tcPr>
            <w:tcW w:w="2965" w:type="dxa"/>
            <w:vMerge/>
          </w:tcPr>
          <w:p w14:paraId="0F41EB32" w14:textId="70A47D41" w:rsidR="009001B8" w:rsidRDefault="009001B8" w:rsidP="00F803EB">
            <w:pPr>
              <w:spacing w:before="0" w:after="0"/>
              <w:rPr>
                <w:sz w:val="20"/>
                <w:szCs w:val="20"/>
              </w:rPr>
            </w:pPr>
          </w:p>
        </w:tc>
        <w:tc>
          <w:tcPr>
            <w:tcW w:w="2610" w:type="dxa"/>
            <w:vAlign w:val="center"/>
          </w:tcPr>
          <w:p w14:paraId="7B0E6D0C" w14:textId="41DA9F81" w:rsidR="009001B8" w:rsidRDefault="009001B8" w:rsidP="00F803EB">
            <w:pPr>
              <w:spacing w:before="0" w:after="0"/>
              <w:jc w:val="center"/>
              <w:rPr>
                <w:rFonts w:cs="Arial"/>
                <w:sz w:val="20"/>
                <w:szCs w:val="20"/>
              </w:rPr>
            </w:pPr>
            <w:r>
              <w:rPr>
                <w:rFonts w:cs="Arial"/>
                <w:sz w:val="20"/>
                <w:szCs w:val="20"/>
              </w:rPr>
              <w:t>1.70</w:t>
            </w:r>
          </w:p>
        </w:tc>
      </w:tr>
    </w:tbl>
    <w:p w14:paraId="54FD79D6" w14:textId="77777777" w:rsidR="00E70CBD" w:rsidRPr="00171BB8" w:rsidRDefault="00E70CBD" w:rsidP="00462BB6">
      <w:pPr>
        <w:pStyle w:val="eTRMHeading3"/>
      </w:pPr>
      <w:bookmarkStart w:id="12" w:name="_Toc486490849"/>
      <w:bookmarkStart w:id="13" w:name="_Toc486580920"/>
      <w:bookmarkStart w:id="14" w:name="_Toc23506733"/>
      <w:r w:rsidRPr="004B06E3">
        <w:lastRenderedPageBreak/>
        <w:t>Base Case Description</w:t>
      </w:r>
      <w:bookmarkEnd w:id="12"/>
      <w:bookmarkEnd w:id="13"/>
      <w:bookmarkEnd w:id="14"/>
      <w:r w:rsidRPr="00171BB8">
        <w:t xml:space="preserve"> </w:t>
      </w:r>
    </w:p>
    <w:p w14:paraId="4D9438DF" w14:textId="25B3466F" w:rsidR="00346DD9" w:rsidRPr="00346DD9" w:rsidRDefault="009001B8" w:rsidP="00346DD9">
      <w:r>
        <w:t xml:space="preserve">The base case is defined as a showerhead with no flow restriction valve installed. </w:t>
      </w:r>
      <w:r w:rsidR="00F803EB">
        <w:t>The table below</w:t>
      </w:r>
      <w:r w:rsidR="006923F1">
        <w:t xml:space="preserve"> </w:t>
      </w:r>
      <w:r w:rsidR="00413FE2">
        <w:t xml:space="preserve">specifies </w:t>
      </w:r>
      <w:r w:rsidR="00A66D31">
        <w:t>the</w:t>
      </w:r>
      <w:r w:rsidR="008B24CB">
        <w:t xml:space="preserve"> base case </w:t>
      </w:r>
      <w:r>
        <w:t>scenarios</w:t>
      </w:r>
      <w:r w:rsidR="00A66D31">
        <w:t xml:space="preserve"> with showerhead flow rates that depend upon the installation type</w:t>
      </w:r>
      <w:r w:rsidR="00413FE2">
        <w:t xml:space="preserve">. </w:t>
      </w:r>
      <w:r w:rsidR="006C14F6">
        <w:t xml:space="preserve">The 2.25 </w:t>
      </w:r>
      <w:proofErr w:type="spellStart"/>
      <w:r w:rsidR="006C14F6">
        <w:t>gpm</w:t>
      </w:r>
      <w:proofErr w:type="spellEnd"/>
      <w:r w:rsidR="006C14F6">
        <w:t xml:space="preserve"> flow rate is based on a</w:t>
      </w:r>
      <w:r w:rsidR="00A66D31">
        <w:t xml:space="preserve"> 2009</w:t>
      </w:r>
      <w:r w:rsidR="006C14F6">
        <w:t xml:space="preserve"> field s</w:t>
      </w:r>
      <w:r w:rsidR="00C10EEE">
        <w:t>tudy</w:t>
      </w:r>
      <w:r w:rsidR="006C14F6">
        <w:t xml:space="preserve"> </w:t>
      </w:r>
      <w:r w:rsidR="00E42837">
        <w:t xml:space="preserve">of </w:t>
      </w:r>
      <w:r w:rsidR="006C14F6">
        <w:t xml:space="preserve">residential households </w:t>
      </w:r>
      <w:r w:rsidR="00E42837">
        <w:t>in Southern California that measured</w:t>
      </w:r>
      <w:r w:rsidR="006C14F6">
        <w:t xml:space="preserve"> the flow rate of existing showerheads</w:t>
      </w:r>
      <w:r w:rsidR="00F803EB">
        <w:t>;</w:t>
      </w:r>
      <w:r w:rsidR="006C14F6">
        <w:t xml:space="preserve"> </w:t>
      </w:r>
      <w:r w:rsidR="00F803EB">
        <w:t>t</w:t>
      </w:r>
      <w:r w:rsidR="006C14F6">
        <w:t xml:space="preserve">he </w:t>
      </w:r>
      <w:r w:rsidR="006923F1">
        <w:t xml:space="preserve">base case </w:t>
      </w:r>
      <w:r w:rsidR="006C14F6">
        <w:t xml:space="preserve">flow rate is the average of data obtained from this survey. This </w:t>
      </w:r>
      <w:r w:rsidR="00E42837">
        <w:t>flow rate</w:t>
      </w:r>
      <w:r w:rsidR="006C14F6">
        <w:t xml:space="preserve"> </w:t>
      </w:r>
      <w:r w:rsidR="006923F1">
        <w:t>is</w:t>
      </w:r>
      <w:r w:rsidR="006C14F6">
        <w:t xml:space="preserve"> utilized in the </w:t>
      </w:r>
      <w:r w:rsidR="006A1B4F">
        <w:t xml:space="preserve">California Public </w:t>
      </w:r>
      <w:r w:rsidR="006A1B4F" w:rsidRPr="000303F3">
        <w:t>Utilities Commission (CPUC)</w:t>
      </w:r>
      <w:r w:rsidR="006C14F6" w:rsidRPr="000303F3">
        <w:t xml:space="preserve"> Energy Division</w:t>
      </w:r>
      <w:r w:rsidR="006A1B4F" w:rsidRPr="000303F3">
        <w:t xml:space="preserve"> “</w:t>
      </w:r>
      <w:r w:rsidR="006C14F6" w:rsidRPr="000303F3">
        <w:t>Workpaper Disposition for Water Fixtures</w:t>
      </w:r>
      <w:r w:rsidR="006A1B4F" w:rsidRPr="000303F3">
        <w:t xml:space="preserve">” issued in </w:t>
      </w:r>
      <w:r w:rsidR="006C14F6" w:rsidRPr="000303F3">
        <w:t>2013.</w:t>
      </w:r>
      <w:r w:rsidR="002A1AB3" w:rsidRPr="000303F3">
        <w:rPr>
          <w:rStyle w:val="FootnoteReference"/>
        </w:rPr>
        <w:footnoteReference w:id="2"/>
      </w:r>
      <w:r w:rsidR="002A1AB3" w:rsidRPr="000303F3">
        <w:t xml:space="preserve"> </w:t>
      </w:r>
    </w:p>
    <w:p w14:paraId="7DD872F0" w14:textId="0CAFE4B8" w:rsidR="00C97228" w:rsidRDefault="002942B0" w:rsidP="000303F3">
      <w:pPr>
        <w:pStyle w:val="Caption"/>
      </w:pPr>
      <w:r w:rsidRPr="000303F3">
        <w:t xml:space="preserve">Base Case Specification </w:t>
      </w:r>
    </w:p>
    <w:tbl>
      <w:tblPr>
        <w:tblW w:w="89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55"/>
        <w:gridCol w:w="1890"/>
        <w:gridCol w:w="1710"/>
        <w:gridCol w:w="4140"/>
      </w:tblGrid>
      <w:tr w:rsidR="00AC412E" w14:paraId="08D92698" w14:textId="4A9D34A9" w:rsidTr="008E002B">
        <w:trPr>
          <w:cantSplit/>
        </w:trPr>
        <w:tc>
          <w:tcPr>
            <w:tcW w:w="1255" w:type="dxa"/>
            <w:shd w:val="clear" w:color="auto" w:fill="F2F2F2" w:themeFill="background1" w:themeFillShade="F2"/>
            <w:vAlign w:val="bottom"/>
          </w:tcPr>
          <w:p w14:paraId="522FBE8D" w14:textId="088C0836" w:rsidR="00AC412E" w:rsidRPr="00154391" w:rsidRDefault="00AC412E" w:rsidP="008E002B">
            <w:pPr>
              <w:keepNext/>
              <w:keepLines/>
              <w:spacing w:before="0" w:after="0" w:line="240" w:lineRule="auto"/>
              <w:jc w:val="center"/>
              <w:rPr>
                <w:b/>
                <w:sz w:val="20"/>
                <w:szCs w:val="20"/>
              </w:rPr>
            </w:pPr>
            <w:r>
              <w:rPr>
                <w:b/>
                <w:sz w:val="20"/>
                <w:szCs w:val="20"/>
              </w:rPr>
              <w:t>Base Case</w:t>
            </w:r>
          </w:p>
        </w:tc>
        <w:tc>
          <w:tcPr>
            <w:tcW w:w="1890" w:type="dxa"/>
            <w:shd w:val="clear" w:color="auto" w:fill="F2F2F2" w:themeFill="background1" w:themeFillShade="F2"/>
            <w:vAlign w:val="bottom"/>
          </w:tcPr>
          <w:p w14:paraId="2F20C5E9" w14:textId="43986C1B" w:rsidR="00AC412E" w:rsidRDefault="00AC412E" w:rsidP="008E002B">
            <w:pPr>
              <w:keepNext/>
              <w:keepLines/>
              <w:spacing w:before="0" w:after="0" w:line="240" w:lineRule="auto"/>
              <w:jc w:val="center"/>
              <w:rPr>
                <w:b/>
                <w:sz w:val="20"/>
                <w:szCs w:val="20"/>
              </w:rPr>
            </w:pPr>
            <w:r>
              <w:rPr>
                <w:b/>
                <w:sz w:val="20"/>
                <w:szCs w:val="20"/>
              </w:rPr>
              <w:t>Installation</w:t>
            </w:r>
            <w:r>
              <w:rPr>
                <w:b/>
                <w:sz w:val="20"/>
                <w:szCs w:val="20"/>
              </w:rPr>
              <w:br/>
              <w:t>Type</w:t>
            </w:r>
          </w:p>
        </w:tc>
        <w:tc>
          <w:tcPr>
            <w:tcW w:w="1710" w:type="dxa"/>
            <w:shd w:val="clear" w:color="auto" w:fill="F2F2F2" w:themeFill="background1" w:themeFillShade="F2"/>
            <w:vAlign w:val="bottom"/>
          </w:tcPr>
          <w:p w14:paraId="771DA364" w14:textId="020DCE39" w:rsidR="00AC412E" w:rsidRDefault="00AD6E7C" w:rsidP="008E002B">
            <w:pPr>
              <w:keepNext/>
              <w:keepLines/>
              <w:spacing w:before="0" w:after="0" w:line="240" w:lineRule="auto"/>
              <w:jc w:val="center"/>
              <w:rPr>
                <w:b/>
                <w:sz w:val="20"/>
                <w:szCs w:val="20"/>
              </w:rPr>
            </w:pPr>
            <w:r>
              <w:rPr>
                <w:b/>
                <w:sz w:val="20"/>
                <w:szCs w:val="20"/>
              </w:rPr>
              <w:t xml:space="preserve">Max. </w:t>
            </w:r>
            <w:r w:rsidR="00AC412E">
              <w:rPr>
                <w:b/>
                <w:sz w:val="20"/>
                <w:szCs w:val="20"/>
              </w:rPr>
              <w:t>Showerhead Flow Rate (</w:t>
            </w:r>
            <w:proofErr w:type="spellStart"/>
            <w:r w:rsidR="00AC412E">
              <w:rPr>
                <w:b/>
                <w:sz w:val="20"/>
                <w:szCs w:val="20"/>
              </w:rPr>
              <w:t>gpm</w:t>
            </w:r>
            <w:proofErr w:type="spellEnd"/>
            <w:r w:rsidR="00AC412E">
              <w:rPr>
                <w:b/>
                <w:sz w:val="20"/>
                <w:szCs w:val="20"/>
              </w:rPr>
              <w:t>)</w:t>
            </w:r>
          </w:p>
        </w:tc>
        <w:tc>
          <w:tcPr>
            <w:tcW w:w="4140" w:type="dxa"/>
            <w:shd w:val="clear" w:color="auto" w:fill="F2F2F2" w:themeFill="background1" w:themeFillShade="F2"/>
            <w:vAlign w:val="bottom"/>
          </w:tcPr>
          <w:p w14:paraId="0BFA1BBA" w14:textId="5AA68F42" w:rsidR="00AC412E" w:rsidRDefault="00AC412E" w:rsidP="008E002B">
            <w:pPr>
              <w:keepNext/>
              <w:keepLines/>
              <w:spacing w:before="0" w:after="0" w:line="240" w:lineRule="auto"/>
              <w:jc w:val="center"/>
              <w:rPr>
                <w:b/>
                <w:sz w:val="20"/>
                <w:szCs w:val="20"/>
              </w:rPr>
            </w:pPr>
            <w:r>
              <w:rPr>
                <w:b/>
                <w:sz w:val="20"/>
                <w:szCs w:val="20"/>
              </w:rPr>
              <w:t>Source</w:t>
            </w:r>
          </w:p>
        </w:tc>
      </w:tr>
      <w:tr w:rsidR="00A66D31" w14:paraId="7EA80537" w14:textId="233A9075" w:rsidTr="008E002B">
        <w:trPr>
          <w:cantSplit/>
        </w:trPr>
        <w:tc>
          <w:tcPr>
            <w:tcW w:w="1255" w:type="dxa"/>
            <w:vMerge w:val="restart"/>
            <w:shd w:val="clear" w:color="auto" w:fill="auto"/>
            <w:vAlign w:val="center"/>
          </w:tcPr>
          <w:p w14:paraId="61FEDCAE" w14:textId="49D01B27" w:rsidR="00A66D31" w:rsidRDefault="00A66D31" w:rsidP="00F803EB">
            <w:pPr>
              <w:keepNext/>
              <w:keepLines/>
              <w:spacing w:before="0" w:after="0" w:line="240" w:lineRule="auto"/>
              <w:rPr>
                <w:sz w:val="20"/>
                <w:szCs w:val="20"/>
              </w:rPr>
            </w:pPr>
            <w:r>
              <w:rPr>
                <w:sz w:val="20"/>
                <w:szCs w:val="20"/>
              </w:rPr>
              <w:t xml:space="preserve">Showerhead </w:t>
            </w:r>
            <w:r w:rsidR="008E002B">
              <w:rPr>
                <w:sz w:val="20"/>
                <w:szCs w:val="20"/>
              </w:rPr>
              <w:t>w/</w:t>
            </w:r>
            <w:r>
              <w:rPr>
                <w:sz w:val="20"/>
                <w:szCs w:val="20"/>
              </w:rPr>
              <w:t xml:space="preserve"> no TSV</w:t>
            </w:r>
          </w:p>
        </w:tc>
        <w:tc>
          <w:tcPr>
            <w:tcW w:w="1890" w:type="dxa"/>
            <w:vMerge w:val="restart"/>
            <w:vAlign w:val="center"/>
          </w:tcPr>
          <w:p w14:paraId="16D21D2E" w14:textId="7A949ED9" w:rsidR="00A66D31" w:rsidRDefault="00F803EB" w:rsidP="00F803EB">
            <w:pPr>
              <w:keepNext/>
              <w:keepLines/>
              <w:spacing w:before="0" w:after="0" w:line="240" w:lineRule="auto"/>
              <w:rPr>
                <w:rFonts w:cs="Arial"/>
                <w:sz w:val="20"/>
                <w:szCs w:val="20"/>
              </w:rPr>
            </w:pPr>
            <w:r>
              <w:rPr>
                <w:rFonts w:cs="Arial"/>
                <w:sz w:val="20"/>
                <w:szCs w:val="20"/>
              </w:rPr>
              <w:t>Accelerated replacement</w:t>
            </w:r>
          </w:p>
        </w:tc>
        <w:tc>
          <w:tcPr>
            <w:tcW w:w="1710" w:type="dxa"/>
            <w:vAlign w:val="center"/>
          </w:tcPr>
          <w:p w14:paraId="0964E4BE" w14:textId="676ED276" w:rsidR="00A66D31" w:rsidRDefault="00A66D31" w:rsidP="00F803EB">
            <w:pPr>
              <w:keepNext/>
              <w:keepLines/>
              <w:spacing w:before="0" w:after="0" w:line="240" w:lineRule="auto"/>
              <w:jc w:val="center"/>
              <w:rPr>
                <w:rFonts w:cs="Arial"/>
                <w:sz w:val="20"/>
                <w:szCs w:val="20"/>
              </w:rPr>
            </w:pPr>
            <w:r>
              <w:rPr>
                <w:rFonts w:cs="Arial"/>
                <w:sz w:val="20"/>
                <w:szCs w:val="20"/>
              </w:rPr>
              <w:t>2.25</w:t>
            </w:r>
          </w:p>
        </w:tc>
        <w:tc>
          <w:tcPr>
            <w:tcW w:w="4140" w:type="dxa"/>
            <w:vAlign w:val="center"/>
          </w:tcPr>
          <w:p w14:paraId="18C48CBB" w14:textId="7A66DDEB" w:rsidR="00A66D31" w:rsidRDefault="00A66D31" w:rsidP="00F803EB">
            <w:pPr>
              <w:keepNext/>
              <w:keepLines/>
              <w:spacing w:before="0" w:after="0" w:line="240" w:lineRule="auto"/>
              <w:rPr>
                <w:rFonts w:cs="Arial"/>
                <w:sz w:val="20"/>
                <w:szCs w:val="20"/>
              </w:rPr>
            </w:pPr>
            <w:r w:rsidRPr="00252C37">
              <w:rPr>
                <w:sz w:val="18"/>
              </w:rPr>
              <w:t>Sempra Energy Utilities (SEU). 2012. “</w:t>
            </w:r>
            <w:r>
              <w:rPr>
                <w:sz w:val="18"/>
              </w:rPr>
              <w:t>SEU</w:t>
            </w:r>
            <w:r w:rsidRPr="00252C37">
              <w:rPr>
                <w:sz w:val="18"/>
              </w:rPr>
              <w:t xml:space="preserve"> 2009 ASW Data REDACTED.xlsx”.</w:t>
            </w:r>
          </w:p>
        </w:tc>
      </w:tr>
      <w:tr w:rsidR="00A66D31" w14:paraId="112ACE49" w14:textId="4757AC90" w:rsidTr="008E002B">
        <w:trPr>
          <w:cantSplit/>
        </w:trPr>
        <w:tc>
          <w:tcPr>
            <w:tcW w:w="1255" w:type="dxa"/>
            <w:vMerge/>
            <w:shd w:val="clear" w:color="auto" w:fill="auto"/>
          </w:tcPr>
          <w:p w14:paraId="677E8781" w14:textId="77777777" w:rsidR="00A66D31" w:rsidRDefault="00A66D31" w:rsidP="00F803EB">
            <w:pPr>
              <w:keepNext/>
              <w:keepLines/>
              <w:spacing w:before="0" w:after="0" w:line="240" w:lineRule="auto"/>
              <w:rPr>
                <w:sz w:val="20"/>
                <w:szCs w:val="20"/>
              </w:rPr>
            </w:pPr>
          </w:p>
        </w:tc>
        <w:tc>
          <w:tcPr>
            <w:tcW w:w="1890" w:type="dxa"/>
            <w:vMerge/>
            <w:vAlign w:val="center"/>
          </w:tcPr>
          <w:p w14:paraId="7C215F63" w14:textId="77777777" w:rsidR="00A66D31" w:rsidRDefault="00A66D31" w:rsidP="00F803EB">
            <w:pPr>
              <w:keepNext/>
              <w:keepLines/>
              <w:spacing w:before="0" w:after="0" w:line="240" w:lineRule="auto"/>
              <w:rPr>
                <w:rFonts w:cs="Arial"/>
                <w:sz w:val="20"/>
                <w:szCs w:val="20"/>
              </w:rPr>
            </w:pPr>
          </w:p>
        </w:tc>
        <w:tc>
          <w:tcPr>
            <w:tcW w:w="1710" w:type="dxa"/>
            <w:vAlign w:val="center"/>
          </w:tcPr>
          <w:p w14:paraId="27555F03" w14:textId="4377D752" w:rsidR="00A66D31" w:rsidRDefault="00A66D31" w:rsidP="00F803EB">
            <w:pPr>
              <w:keepNext/>
              <w:keepLines/>
              <w:spacing w:before="0" w:after="0" w:line="240" w:lineRule="auto"/>
              <w:jc w:val="center"/>
              <w:rPr>
                <w:rFonts w:cs="Arial"/>
                <w:sz w:val="20"/>
                <w:szCs w:val="20"/>
              </w:rPr>
            </w:pPr>
            <w:r>
              <w:rPr>
                <w:rFonts w:cs="Arial"/>
                <w:sz w:val="20"/>
                <w:szCs w:val="20"/>
              </w:rPr>
              <w:t>1.80</w:t>
            </w:r>
          </w:p>
        </w:tc>
        <w:tc>
          <w:tcPr>
            <w:tcW w:w="4140" w:type="dxa"/>
            <w:vAlign w:val="center"/>
          </w:tcPr>
          <w:p w14:paraId="0983E6DC" w14:textId="02D064ED" w:rsidR="00A66D31" w:rsidRDefault="00A66D31" w:rsidP="00F803EB">
            <w:pPr>
              <w:keepNext/>
              <w:keepLines/>
              <w:spacing w:before="0" w:after="0" w:line="240" w:lineRule="auto"/>
              <w:rPr>
                <w:rFonts w:cs="Arial"/>
                <w:sz w:val="20"/>
                <w:szCs w:val="20"/>
              </w:rPr>
            </w:pPr>
            <w:r w:rsidRPr="006504ED">
              <w:rPr>
                <w:sz w:val="18"/>
                <w:szCs w:val="18"/>
              </w:rPr>
              <w:t xml:space="preserve">California Energy Commission (CEC). 2014. </w:t>
            </w:r>
            <w:r w:rsidRPr="006504ED">
              <w:rPr>
                <w:i/>
                <w:sz w:val="18"/>
                <w:szCs w:val="18"/>
              </w:rPr>
              <w:t xml:space="preserve">2014 Appliance Efficiency Regulations. </w:t>
            </w:r>
            <w:r w:rsidRPr="006504ED">
              <w:rPr>
                <w:sz w:val="18"/>
                <w:szCs w:val="18"/>
              </w:rPr>
              <w:t>CEC-400-2014-009-CMF.</w:t>
            </w:r>
          </w:p>
        </w:tc>
      </w:tr>
      <w:tr w:rsidR="00AD6E7C" w14:paraId="1CCD7426" w14:textId="77777777" w:rsidTr="008E002B">
        <w:trPr>
          <w:cantSplit/>
        </w:trPr>
        <w:tc>
          <w:tcPr>
            <w:tcW w:w="1255" w:type="dxa"/>
            <w:vMerge/>
            <w:shd w:val="clear" w:color="auto" w:fill="auto"/>
          </w:tcPr>
          <w:p w14:paraId="7848D226" w14:textId="77777777" w:rsidR="00AD6E7C" w:rsidRDefault="00AD6E7C" w:rsidP="00F803EB">
            <w:pPr>
              <w:keepNext/>
              <w:keepLines/>
              <w:spacing w:before="0" w:after="0" w:line="240" w:lineRule="auto"/>
              <w:rPr>
                <w:sz w:val="20"/>
                <w:szCs w:val="20"/>
              </w:rPr>
            </w:pPr>
          </w:p>
        </w:tc>
        <w:tc>
          <w:tcPr>
            <w:tcW w:w="1890" w:type="dxa"/>
            <w:vAlign w:val="center"/>
          </w:tcPr>
          <w:p w14:paraId="1CB2F710" w14:textId="484B3B3C" w:rsidR="00AD6E7C" w:rsidRDefault="00F803EB" w:rsidP="00F803EB">
            <w:pPr>
              <w:keepNext/>
              <w:keepLines/>
              <w:spacing w:before="0" w:after="0" w:line="240" w:lineRule="auto"/>
              <w:rPr>
                <w:rFonts w:cs="Arial"/>
                <w:sz w:val="20"/>
                <w:szCs w:val="20"/>
              </w:rPr>
            </w:pPr>
            <w:r>
              <w:rPr>
                <w:rFonts w:cs="Arial"/>
                <w:sz w:val="20"/>
                <w:szCs w:val="20"/>
              </w:rPr>
              <w:t xml:space="preserve">Normal replacement </w:t>
            </w:r>
            <w:r w:rsidR="002161A0">
              <w:rPr>
                <w:rFonts w:cs="Arial"/>
                <w:sz w:val="20"/>
                <w:szCs w:val="20"/>
              </w:rPr>
              <w:t>&amp;</w:t>
            </w:r>
            <w:r w:rsidR="008E002B">
              <w:rPr>
                <w:rFonts w:cs="Arial"/>
                <w:sz w:val="20"/>
                <w:szCs w:val="20"/>
              </w:rPr>
              <w:t xml:space="preserve"> </w:t>
            </w:r>
            <w:r w:rsidR="00AD6E7C">
              <w:rPr>
                <w:rFonts w:cs="Arial"/>
                <w:sz w:val="20"/>
                <w:szCs w:val="20"/>
              </w:rPr>
              <w:t>New construction</w:t>
            </w:r>
          </w:p>
        </w:tc>
        <w:tc>
          <w:tcPr>
            <w:tcW w:w="1710" w:type="dxa"/>
            <w:vAlign w:val="center"/>
          </w:tcPr>
          <w:p w14:paraId="18BCF303" w14:textId="3017BAC2" w:rsidR="00AD6E7C" w:rsidRDefault="00AD6E7C" w:rsidP="00F803EB">
            <w:pPr>
              <w:keepNext/>
              <w:keepLines/>
              <w:spacing w:before="0" w:after="0" w:line="240" w:lineRule="auto"/>
              <w:jc w:val="center"/>
              <w:rPr>
                <w:rFonts w:cs="Arial"/>
                <w:sz w:val="20"/>
                <w:szCs w:val="20"/>
              </w:rPr>
            </w:pPr>
            <w:r>
              <w:rPr>
                <w:rFonts w:cs="Arial"/>
                <w:sz w:val="20"/>
                <w:szCs w:val="20"/>
              </w:rPr>
              <w:t>1.80</w:t>
            </w:r>
          </w:p>
        </w:tc>
        <w:tc>
          <w:tcPr>
            <w:tcW w:w="4140" w:type="dxa"/>
            <w:vAlign w:val="center"/>
          </w:tcPr>
          <w:p w14:paraId="23C37788" w14:textId="19646F8F" w:rsidR="00AD6E7C" w:rsidRPr="000A6464" w:rsidRDefault="00AD6E7C" w:rsidP="00F803EB">
            <w:pPr>
              <w:keepNext/>
              <w:keepLines/>
              <w:spacing w:before="0" w:after="0" w:line="240" w:lineRule="auto"/>
              <w:rPr>
                <w:rFonts w:cs="Arial"/>
                <w:sz w:val="18"/>
                <w:szCs w:val="20"/>
                <w:highlight w:val="yellow"/>
              </w:rPr>
            </w:pPr>
            <w:r w:rsidRPr="006504ED">
              <w:rPr>
                <w:sz w:val="18"/>
                <w:szCs w:val="18"/>
              </w:rPr>
              <w:t xml:space="preserve">California Energy Commission (CEC). 2014. </w:t>
            </w:r>
            <w:r w:rsidRPr="006504ED">
              <w:rPr>
                <w:i/>
                <w:sz w:val="18"/>
                <w:szCs w:val="18"/>
              </w:rPr>
              <w:t xml:space="preserve">2014 Appliance Efficiency Regulations. </w:t>
            </w:r>
            <w:r w:rsidRPr="006504ED">
              <w:rPr>
                <w:sz w:val="18"/>
                <w:szCs w:val="18"/>
              </w:rPr>
              <w:t>CEC-400-2014-009-CMF.</w:t>
            </w:r>
          </w:p>
        </w:tc>
      </w:tr>
      <w:tr w:rsidR="00A66D31" w14:paraId="14B16850" w14:textId="77777777" w:rsidTr="008E002B">
        <w:trPr>
          <w:cantSplit/>
        </w:trPr>
        <w:tc>
          <w:tcPr>
            <w:tcW w:w="1255" w:type="dxa"/>
            <w:vMerge/>
            <w:shd w:val="clear" w:color="auto" w:fill="auto"/>
          </w:tcPr>
          <w:p w14:paraId="6DCC01BB" w14:textId="77777777" w:rsidR="00A66D31" w:rsidRDefault="00A66D31" w:rsidP="00F803EB">
            <w:pPr>
              <w:keepNext/>
              <w:keepLines/>
              <w:spacing w:before="0" w:after="0" w:line="240" w:lineRule="auto"/>
              <w:rPr>
                <w:sz w:val="20"/>
                <w:szCs w:val="20"/>
              </w:rPr>
            </w:pPr>
          </w:p>
        </w:tc>
        <w:tc>
          <w:tcPr>
            <w:tcW w:w="1890" w:type="dxa"/>
            <w:vAlign w:val="center"/>
          </w:tcPr>
          <w:p w14:paraId="466B6156" w14:textId="52DB9B38" w:rsidR="00A66D31" w:rsidRDefault="00F803EB" w:rsidP="00F803EB">
            <w:pPr>
              <w:keepNext/>
              <w:keepLines/>
              <w:spacing w:before="0" w:after="0" w:line="240" w:lineRule="auto"/>
              <w:rPr>
                <w:rFonts w:cs="Arial"/>
                <w:sz w:val="20"/>
                <w:szCs w:val="20"/>
              </w:rPr>
            </w:pPr>
            <w:r>
              <w:rPr>
                <w:rFonts w:cs="Arial"/>
                <w:sz w:val="20"/>
                <w:szCs w:val="20"/>
              </w:rPr>
              <w:t>Add-on equipment</w:t>
            </w:r>
          </w:p>
        </w:tc>
        <w:tc>
          <w:tcPr>
            <w:tcW w:w="1710" w:type="dxa"/>
            <w:vAlign w:val="center"/>
          </w:tcPr>
          <w:p w14:paraId="20820A91" w14:textId="1BD1CD1A" w:rsidR="00A66D31" w:rsidRDefault="00A66D31" w:rsidP="00F803EB">
            <w:pPr>
              <w:keepNext/>
              <w:keepLines/>
              <w:spacing w:before="0" w:after="0" w:line="240" w:lineRule="auto"/>
              <w:jc w:val="center"/>
              <w:rPr>
                <w:rFonts w:cs="Arial"/>
                <w:sz w:val="20"/>
                <w:szCs w:val="20"/>
              </w:rPr>
            </w:pPr>
            <w:r>
              <w:rPr>
                <w:rFonts w:cs="Arial"/>
                <w:sz w:val="20"/>
                <w:szCs w:val="20"/>
              </w:rPr>
              <w:t>2.25</w:t>
            </w:r>
          </w:p>
        </w:tc>
        <w:tc>
          <w:tcPr>
            <w:tcW w:w="4140" w:type="dxa"/>
            <w:vAlign w:val="center"/>
          </w:tcPr>
          <w:p w14:paraId="37DC2CDA" w14:textId="5AB60FE6" w:rsidR="00A66D31" w:rsidRPr="008168E6" w:rsidRDefault="00A66D31" w:rsidP="00F803EB">
            <w:pPr>
              <w:keepNext/>
              <w:keepLines/>
              <w:spacing w:before="0" w:after="0" w:line="240" w:lineRule="auto"/>
              <w:rPr>
                <w:rFonts w:cs="Arial"/>
                <w:sz w:val="20"/>
                <w:szCs w:val="20"/>
                <w:highlight w:val="yellow"/>
              </w:rPr>
            </w:pPr>
            <w:r w:rsidRPr="00252C37">
              <w:rPr>
                <w:sz w:val="18"/>
              </w:rPr>
              <w:t>Sempra Energy Utilities (SEU). 2012. “</w:t>
            </w:r>
            <w:r>
              <w:rPr>
                <w:sz w:val="18"/>
              </w:rPr>
              <w:t>SEU</w:t>
            </w:r>
            <w:r w:rsidRPr="00252C37">
              <w:rPr>
                <w:sz w:val="18"/>
              </w:rPr>
              <w:t xml:space="preserve"> 2009 ASW Data REDACTED.xlsx”.</w:t>
            </w:r>
          </w:p>
        </w:tc>
      </w:tr>
    </w:tbl>
    <w:p w14:paraId="31229FBE" w14:textId="77777777" w:rsidR="002942B0" w:rsidRPr="002942B0" w:rsidRDefault="002942B0" w:rsidP="002942B0"/>
    <w:p w14:paraId="7D9DA4A6" w14:textId="77777777" w:rsidR="007D230B" w:rsidRPr="00171BB8" w:rsidRDefault="007D230B" w:rsidP="004F705B">
      <w:pPr>
        <w:pStyle w:val="eTRMHeading3"/>
      </w:pPr>
      <w:bookmarkStart w:id="15" w:name="_Toc486490850"/>
      <w:bookmarkStart w:id="16" w:name="_Toc486580921"/>
      <w:bookmarkStart w:id="17" w:name="_Toc23506734"/>
      <w:r w:rsidRPr="004B06E3">
        <w:t>Code Requirements</w:t>
      </w:r>
      <w:bookmarkEnd w:id="15"/>
      <w:bookmarkEnd w:id="16"/>
      <w:bookmarkEnd w:id="17"/>
    </w:p>
    <w:p w14:paraId="6BA73EEA" w14:textId="7E7E7046" w:rsidR="00820603" w:rsidRPr="003829BB" w:rsidRDefault="003829BB" w:rsidP="003829BB">
      <w:pPr>
        <w:rPr>
          <w:rFonts w:cs="Calibri Light"/>
          <w:szCs w:val="22"/>
        </w:rPr>
      </w:pPr>
      <w:r w:rsidRPr="003829BB">
        <w:rPr>
          <w:rFonts w:cs="Calibri Light"/>
          <w:szCs w:val="22"/>
        </w:rPr>
        <w:t xml:space="preserve">There are no existing </w:t>
      </w:r>
      <w:r w:rsidR="00413FE2">
        <w:rPr>
          <w:rFonts w:cs="Calibri Light"/>
          <w:szCs w:val="22"/>
        </w:rPr>
        <w:t xml:space="preserve">federal or state </w:t>
      </w:r>
      <w:r w:rsidRPr="003829BB">
        <w:rPr>
          <w:rFonts w:cs="Calibri Light"/>
          <w:szCs w:val="22"/>
        </w:rPr>
        <w:t>code requirements</w:t>
      </w:r>
      <w:r w:rsidR="00765A54" w:rsidRPr="003829BB">
        <w:rPr>
          <w:rFonts w:cs="Calibri Light"/>
          <w:szCs w:val="22"/>
        </w:rPr>
        <w:t xml:space="preserve"> for </w:t>
      </w:r>
      <w:r w:rsidR="00A66D31">
        <w:t>thermostatic shower valves (TSVs)</w:t>
      </w:r>
      <w:r w:rsidR="00996D0D">
        <w:rPr>
          <w:rFonts w:cs="Calibri Light"/>
          <w:szCs w:val="22"/>
        </w:rPr>
        <w:t xml:space="preserve">. </w:t>
      </w:r>
      <w:r w:rsidR="00996D0D" w:rsidRPr="00D01E54">
        <w:rPr>
          <w:szCs w:val="22"/>
        </w:rPr>
        <w:t xml:space="preserve">Applicable state and federal codes and standards for showerheads are </w:t>
      </w:r>
      <w:r w:rsidR="00996D0D">
        <w:rPr>
          <w:szCs w:val="22"/>
        </w:rPr>
        <w:t>specified</w:t>
      </w:r>
      <w:r w:rsidR="00996D0D" w:rsidRPr="00D01E54">
        <w:rPr>
          <w:szCs w:val="22"/>
        </w:rPr>
        <w:t xml:space="preserve"> </w:t>
      </w:r>
      <w:r w:rsidRPr="003829BB">
        <w:rPr>
          <w:rFonts w:cs="Calibri Light"/>
          <w:szCs w:val="22"/>
        </w:rPr>
        <w:t>below.</w:t>
      </w:r>
      <w:r w:rsidR="00996D0D">
        <w:rPr>
          <w:rFonts w:cs="Calibri Light"/>
          <w:szCs w:val="22"/>
        </w:rPr>
        <w:t xml:space="preserve"> </w:t>
      </w:r>
      <w:r w:rsidR="00996D0D">
        <w:rPr>
          <w:szCs w:val="22"/>
        </w:rPr>
        <w:t>The low-flow showerhead maximum flow rate</w:t>
      </w:r>
      <w:r w:rsidR="00996D0D" w:rsidRPr="00D01E54">
        <w:rPr>
          <w:szCs w:val="22"/>
        </w:rPr>
        <w:t xml:space="preserve"> </w:t>
      </w:r>
      <w:r w:rsidR="00996D0D">
        <w:rPr>
          <w:szCs w:val="22"/>
        </w:rPr>
        <w:t>was originally mandated by the Energy Policy Act of 1992.</w:t>
      </w:r>
      <w:r w:rsidR="00996D0D">
        <w:rPr>
          <w:rStyle w:val="FootnoteReference"/>
          <w:szCs w:val="22"/>
        </w:rPr>
        <w:footnoteReference w:id="3"/>
      </w:r>
      <w:r w:rsidR="00996D0D">
        <w:rPr>
          <w:szCs w:val="22"/>
        </w:rPr>
        <w:t xml:space="preserve"> </w:t>
      </w:r>
      <w:r w:rsidR="00996D0D" w:rsidRPr="00D01E54">
        <w:rPr>
          <w:rStyle w:val="CommentReference"/>
          <w:sz w:val="22"/>
          <w:szCs w:val="22"/>
        </w:rPr>
        <w:t>The C</w:t>
      </w:r>
      <w:r w:rsidR="00996D0D">
        <w:rPr>
          <w:rStyle w:val="CommentReference"/>
          <w:sz w:val="22"/>
          <w:szCs w:val="22"/>
        </w:rPr>
        <w:t>alifornia Appliance Efficiency R</w:t>
      </w:r>
      <w:r w:rsidR="00996D0D" w:rsidRPr="00D01E54">
        <w:rPr>
          <w:rStyle w:val="CommentReference"/>
          <w:sz w:val="22"/>
          <w:szCs w:val="22"/>
        </w:rPr>
        <w:t xml:space="preserve">egulations </w:t>
      </w:r>
      <w:r w:rsidR="00996D0D">
        <w:rPr>
          <w:rStyle w:val="CommentReference"/>
          <w:sz w:val="22"/>
          <w:szCs w:val="22"/>
        </w:rPr>
        <w:t>(Title 20)</w:t>
      </w:r>
      <w:r w:rsidR="00996D0D">
        <w:rPr>
          <w:rStyle w:val="FootnoteReference"/>
          <w:szCs w:val="22"/>
        </w:rPr>
        <w:footnoteReference w:id="4"/>
      </w:r>
      <w:r w:rsidR="00996D0D">
        <w:rPr>
          <w:rStyle w:val="CommentReference"/>
          <w:sz w:val="22"/>
          <w:szCs w:val="22"/>
        </w:rPr>
        <w:t xml:space="preserve"> </w:t>
      </w:r>
      <w:r w:rsidR="00375184">
        <w:rPr>
          <w:rStyle w:val="CommentReference"/>
          <w:sz w:val="22"/>
          <w:szCs w:val="22"/>
        </w:rPr>
        <w:t xml:space="preserve">(originally </w:t>
      </w:r>
      <w:r w:rsidR="00996D0D">
        <w:rPr>
          <w:rStyle w:val="CommentReference"/>
          <w:sz w:val="22"/>
          <w:szCs w:val="22"/>
        </w:rPr>
        <w:t>effective in 1994</w:t>
      </w:r>
      <w:r w:rsidR="00375184">
        <w:rPr>
          <w:rStyle w:val="CommentReference"/>
          <w:sz w:val="22"/>
          <w:szCs w:val="22"/>
        </w:rPr>
        <w:t>)</w:t>
      </w:r>
      <w:r w:rsidR="00996D0D">
        <w:rPr>
          <w:rStyle w:val="CommentReference"/>
          <w:sz w:val="22"/>
          <w:szCs w:val="22"/>
        </w:rPr>
        <w:t xml:space="preserve"> met the federal </w:t>
      </w:r>
      <w:r w:rsidR="00660A09">
        <w:rPr>
          <w:rStyle w:val="CommentReference"/>
          <w:sz w:val="22"/>
          <w:szCs w:val="22"/>
        </w:rPr>
        <w:t>code and</w:t>
      </w:r>
      <w:r w:rsidR="00996D0D">
        <w:rPr>
          <w:rStyle w:val="CommentReference"/>
          <w:sz w:val="22"/>
          <w:szCs w:val="22"/>
        </w:rPr>
        <w:t xml:space="preserve"> have exceeded it in subsequent updates</w:t>
      </w:r>
      <w:r w:rsidR="00996D0D" w:rsidRPr="00D01E54">
        <w:rPr>
          <w:rStyle w:val="CommentReference"/>
          <w:sz w:val="22"/>
          <w:szCs w:val="22"/>
        </w:rPr>
        <w:t>.</w:t>
      </w:r>
    </w:p>
    <w:p w14:paraId="7E96141F" w14:textId="6E5309BE" w:rsidR="00FD2C54" w:rsidRDefault="00FD2C54" w:rsidP="00F803EB">
      <w:pPr>
        <w:pStyle w:val="Caption"/>
        <w:keepNext w:val="0"/>
        <w:keepLines w:val="0"/>
      </w:pPr>
      <w:r>
        <w:t xml:space="preserve">Applicable State and Federal </w:t>
      </w:r>
      <w:r w:rsidRPr="00CD6698">
        <w:t>Code</w:t>
      </w:r>
      <w:r>
        <w:t>s and Standards</w:t>
      </w:r>
      <w:r w:rsidRPr="002C39E3">
        <w:t xml:space="preserve"> </w:t>
      </w:r>
      <w:r w:rsidR="003B79A7">
        <w:t xml:space="preserve">for </w:t>
      </w:r>
      <w:r w:rsidR="003829BB">
        <w:t>Showerheads</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05"/>
        <w:gridCol w:w="3600"/>
        <w:gridCol w:w="3150"/>
      </w:tblGrid>
      <w:tr w:rsidR="00D2066C" w:rsidRPr="00154391" w14:paraId="4623D54B" w14:textId="77777777" w:rsidTr="00F803EB">
        <w:trPr>
          <w:tblHeader/>
        </w:trPr>
        <w:tc>
          <w:tcPr>
            <w:tcW w:w="2605" w:type="dxa"/>
            <w:shd w:val="clear" w:color="auto" w:fill="F2F2F2" w:themeFill="background1" w:themeFillShade="F2"/>
            <w:vAlign w:val="bottom"/>
          </w:tcPr>
          <w:p w14:paraId="5E8EE0C5" w14:textId="77777777" w:rsidR="00FD2C54" w:rsidRPr="00154391" w:rsidRDefault="00FD2C54" w:rsidP="00F803EB">
            <w:pPr>
              <w:spacing w:before="0" w:after="0" w:line="240" w:lineRule="auto"/>
              <w:rPr>
                <w:b/>
                <w:sz w:val="20"/>
                <w:szCs w:val="20"/>
              </w:rPr>
            </w:pPr>
            <w:r w:rsidRPr="0079498E">
              <w:rPr>
                <w:b/>
                <w:sz w:val="20"/>
              </w:rPr>
              <w:t>Code</w:t>
            </w:r>
          </w:p>
        </w:tc>
        <w:tc>
          <w:tcPr>
            <w:tcW w:w="3600" w:type="dxa"/>
            <w:tcBorders>
              <w:bottom w:val="single" w:sz="4" w:space="0" w:color="A6A6A6" w:themeColor="background1" w:themeShade="A6"/>
            </w:tcBorders>
            <w:shd w:val="clear" w:color="auto" w:fill="F2F2F2" w:themeFill="background1" w:themeFillShade="F2"/>
            <w:vAlign w:val="bottom"/>
          </w:tcPr>
          <w:p w14:paraId="2A51DAFB" w14:textId="77777777" w:rsidR="00FD2C54" w:rsidRPr="00154391" w:rsidRDefault="00FD2C54" w:rsidP="00F803EB">
            <w:pPr>
              <w:spacing w:before="0" w:after="0" w:line="240" w:lineRule="auto"/>
              <w:jc w:val="center"/>
              <w:rPr>
                <w:b/>
                <w:sz w:val="20"/>
                <w:szCs w:val="20"/>
              </w:rPr>
            </w:pPr>
            <w:r w:rsidRPr="0079498E">
              <w:rPr>
                <w:b/>
                <w:sz w:val="20"/>
              </w:rPr>
              <w:t>Applicable Code Reference</w:t>
            </w:r>
          </w:p>
        </w:tc>
        <w:tc>
          <w:tcPr>
            <w:tcW w:w="3150" w:type="dxa"/>
            <w:tcBorders>
              <w:bottom w:val="single" w:sz="4" w:space="0" w:color="A6A6A6" w:themeColor="background1" w:themeShade="A6"/>
            </w:tcBorders>
            <w:shd w:val="clear" w:color="auto" w:fill="F2F2F2" w:themeFill="background1" w:themeFillShade="F2"/>
            <w:vAlign w:val="bottom"/>
          </w:tcPr>
          <w:p w14:paraId="214A9ADD" w14:textId="77777777" w:rsidR="00FD2C54" w:rsidRPr="00154391" w:rsidRDefault="00FD2C54" w:rsidP="00F803EB">
            <w:pPr>
              <w:spacing w:before="0" w:after="0" w:line="240" w:lineRule="auto"/>
              <w:jc w:val="center"/>
              <w:rPr>
                <w:b/>
                <w:sz w:val="20"/>
                <w:szCs w:val="20"/>
              </w:rPr>
            </w:pPr>
            <w:r w:rsidRPr="0079498E">
              <w:rPr>
                <w:b/>
                <w:sz w:val="20"/>
              </w:rPr>
              <w:t>Effective Date</w:t>
            </w:r>
          </w:p>
        </w:tc>
      </w:tr>
      <w:tr w:rsidR="00D2066C" w:rsidRPr="00FB030E" w14:paraId="782F7264" w14:textId="77777777" w:rsidTr="00D2066C">
        <w:tc>
          <w:tcPr>
            <w:tcW w:w="2605" w:type="dxa"/>
            <w:vMerge w:val="restart"/>
            <w:tcBorders>
              <w:right w:val="single" w:sz="4" w:space="0" w:color="A6A6A6" w:themeColor="background1" w:themeShade="A6"/>
            </w:tcBorders>
            <w:shd w:val="clear" w:color="auto" w:fill="auto"/>
            <w:vAlign w:val="center"/>
          </w:tcPr>
          <w:p w14:paraId="67BA833F" w14:textId="48E56170" w:rsidR="002D191A" w:rsidRPr="00BD6838" w:rsidRDefault="002D191A" w:rsidP="00F803EB">
            <w:pPr>
              <w:spacing w:before="0" w:after="0" w:line="240" w:lineRule="auto"/>
              <w:rPr>
                <w:sz w:val="20"/>
                <w:szCs w:val="20"/>
              </w:rPr>
            </w:pPr>
            <w:r w:rsidRPr="00BD6838">
              <w:rPr>
                <w:sz w:val="20"/>
              </w:rPr>
              <w:t xml:space="preserve">CA Appliance Efficiency Regulations – Title 20 </w:t>
            </w:r>
            <w:r>
              <w:rPr>
                <w:sz w:val="20"/>
              </w:rPr>
              <w:t>(201</w:t>
            </w:r>
            <w:r w:rsidR="0024671C">
              <w:rPr>
                <w:sz w:val="20"/>
              </w:rPr>
              <w:t>6</w:t>
            </w:r>
            <w:r>
              <w:rPr>
                <w:sz w:val="20"/>
              </w:rPr>
              <w:t>)</w:t>
            </w: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94A0264" w14:textId="15BC3883" w:rsidR="002D191A" w:rsidRPr="002D191A" w:rsidRDefault="002D191A" w:rsidP="00F803EB">
            <w:pPr>
              <w:spacing w:before="0" w:after="0" w:line="240" w:lineRule="auto"/>
              <w:ind w:left="-12"/>
              <w:rPr>
                <w:sz w:val="20"/>
                <w:szCs w:val="20"/>
              </w:rPr>
            </w:pPr>
            <w:r w:rsidRPr="00D2066C">
              <w:rPr>
                <w:sz w:val="20"/>
                <w:szCs w:val="20"/>
              </w:rPr>
              <w:t>Section 1605.3</w:t>
            </w:r>
            <w:r w:rsidR="0024671C">
              <w:rPr>
                <w:sz w:val="20"/>
                <w:szCs w:val="20"/>
              </w:rPr>
              <w:t>, Table H-5</w:t>
            </w:r>
            <w:r w:rsidRPr="00D2066C">
              <w:rPr>
                <w:sz w:val="20"/>
                <w:szCs w:val="20"/>
              </w:rPr>
              <w:t>:</w:t>
            </w:r>
            <w:r w:rsidR="00D2066C">
              <w:rPr>
                <w:sz w:val="20"/>
                <w:szCs w:val="20"/>
              </w:rPr>
              <w:t xml:space="preserve"> </w:t>
            </w:r>
            <w:r w:rsidRPr="002D191A">
              <w:rPr>
                <w:sz w:val="20"/>
                <w:szCs w:val="20"/>
              </w:rPr>
              <w:t xml:space="preserve">The maximum flow rate of a showerhead shall not be greater than 2.5 </w:t>
            </w:r>
            <w:proofErr w:type="spellStart"/>
            <w:r w:rsidRPr="002D191A">
              <w:rPr>
                <w:sz w:val="20"/>
                <w:szCs w:val="20"/>
              </w:rPr>
              <w:t>gpm</w:t>
            </w:r>
            <w:proofErr w:type="spellEnd"/>
            <w:r w:rsidRPr="002D191A">
              <w:rPr>
                <w:sz w:val="20"/>
                <w:szCs w:val="20"/>
              </w:rPr>
              <w:t xml:space="preserve"> at 80 psi.</w:t>
            </w:r>
          </w:p>
        </w:tc>
        <w:tc>
          <w:tcPr>
            <w:tcW w:w="31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74AB5DC" w14:textId="67D5434C" w:rsidR="002D191A" w:rsidRPr="002D191A" w:rsidRDefault="002D191A" w:rsidP="00F803EB">
            <w:pPr>
              <w:spacing w:before="0" w:after="0" w:line="240" w:lineRule="auto"/>
              <w:ind w:left="-12"/>
              <w:rPr>
                <w:sz w:val="20"/>
                <w:szCs w:val="20"/>
              </w:rPr>
            </w:pPr>
            <w:r>
              <w:rPr>
                <w:sz w:val="20"/>
                <w:szCs w:val="20"/>
              </w:rPr>
              <w:t xml:space="preserve">Units manufactured on or after </w:t>
            </w:r>
            <w:r w:rsidRPr="002D191A">
              <w:rPr>
                <w:sz w:val="20"/>
                <w:szCs w:val="20"/>
              </w:rPr>
              <w:t>January 1, 1994</w:t>
            </w:r>
            <w:r>
              <w:rPr>
                <w:sz w:val="20"/>
                <w:szCs w:val="20"/>
              </w:rPr>
              <w:t xml:space="preserve"> and prior to July 1, 2016.</w:t>
            </w:r>
          </w:p>
        </w:tc>
      </w:tr>
      <w:tr w:rsidR="00D2066C" w:rsidRPr="00FB030E" w14:paraId="15C65BB1" w14:textId="77777777" w:rsidTr="00D2066C">
        <w:tc>
          <w:tcPr>
            <w:tcW w:w="2605" w:type="dxa"/>
            <w:vMerge/>
            <w:tcBorders>
              <w:right w:val="single" w:sz="4" w:space="0" w:color="A6A6A6" w:themeColor="background1" w:themeShade="A6"/>
            </w:tcBorders>
            <w:shd w:val="clear" w:color="auto" w:fill="auto"/>
            <w:vAlign w:val="center"/>
          </w:tcPr>
          <w:p w14:paraId="7F79560C" w14:textId="77777777" w:rsidR="002D191A" w:rsidRPr="00BD6838" w:rsidRDefault="002D191A" w:rsidP="00F803EB">
            <w:pPr>
              <w:spacing w:before="0" w:after="0" w:line="240" w:lineRule="auto"/>
              <w:rPr>
                <w:sz w:val="20"/>
              </w:rPr>
            </w:pP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CE70278" w14:textId="02D59870" w:rsidR="002D191A" w:rsidRPr="00765A54" w:rsidRDefault="00D2066C" w:rsidP="00F803EB">
            <w:pPr>
              <w:spacing w:before="0" w:after="0" w:line="240" w:lineRule="auto"/>
              <w:rPr>
                <w:sz w:val="20"/>
                <w:szCs w:val="20"/>
                <w:u w:val="single"/>
              </w:rPr>
            </w:pPr>
            <w:r w:rsidRPr="00D2066C">
              <w:rPr>
                <w:sz w:val="20"/>
                <w:szCs w:val="20"/>
              </w:rPr>
              <w:t>Section 1605.3</w:t>
            </w:r>
            <w:r w:rsidR="0024671C">
              <w:rPr>
                <w:sz w:val="20"/>
                <w:szCs w:val="20"/>
              </w:rPr>
              <w:t>, Table H-5</w:t>
            </w:r>
            <w:r w:rsidRPr="00D2066C">
              <w:rPr>
                <w:sz w:val="20"/>
                <w:szCs w:val="20"/>
              </w:rPr>
              <w:t>:</w:t>
            </w:r>
            <w:r>
              <w:rPr>
                <w:sz w:val="20"/>
                <w:szCs w:val="20"/>
              </w:rPr>
              <w:t xml:space="preserve"> </w:t>
            </w:r>
            <w:r w:rsidR="002D191A" w:rsidRPr="00EA2B72">
              <w:rPr>
                <w:sz w:val="20"/>
                <w:szCs w:val="20"/>
              </w:rPr>
              <w:t xml:space="preserve">The </w:t>
            </w:r>
            <w:r w:rsidR="002D191A">
              <w:rPr>
                <w:sz w:val="20"/>
                <w:szCs w:val="20"/>
              </w:rPr>
              <w:t xml:space="preserve">maximum </w:t>
            </w:r>
            <w:r w:rsidR="002D191A" w:rsidRPr="00EA2B72">
              <w:rPr>
                <w:sz w:val="20"/>
                <w:szCs w:val="20"/>
              </w:rPr>
              <w:t>flow rate of a showerhe</w:t>
            </w:r>
            <w:r w:rsidR="002D191A">
              <w:rPr>
                <w:sz w:val="20"/>
                <w:szCs w:val="20"/>
              </w:rPr>
              <w:t>ad shall not be greater than 2.0</w:t>
            </w:r>
            <w:r w:rsidR="002D191A" w:rsidRPr="00EA2B72">
              <w:rPr>
                <w:sz w:val="20"/>
                <w:szCs w:val="20"/>
              </w:rPr>
              <w:t xml:space="preserve"> </w:t>
            </w:r>
            <w:proofErr w:type="spellStart"/>
            <w:r w:rsidR="002D191A" w:rsidRPr="00EA2B72">
              <w:rPr>
                <w:sz w:val="20"/>
                <w:szCs w:val="20"/>
              </w:rPr>
              <w:t>gpm</w:t>
            </w:r>
            <w:proofErr w:type="spellEnd"/>
            <w:r w:rsidR="002D191A" w:rsidRPr="00EA2B72">
              <w:rPr>
                <w:sz w:val="20"/>
                <w:szCs w:val="20"/>
              </w:rPr>
              <w:t xml:space="preserve"> at 80 psi.</w:t>
            </w:r>
          </w:p>
        </w:tc>
        <w:tc>
          <w:tcPr>
            <w:tcW w:w="31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5569606" w14:textId="7A0D35C8" w:rsidR="002D191A" w:rsidRPr="002D191A" w:rsidRDefault="002D191A" w:rsidP="00F803EB">
            <w:pPr>
              <w:spacing w:before="0" w:after="0" w:line="240" w:lineRule="auto"/>
              <w:rPr>
                <w:sz w:val="20"/>
                <w:szCs w:val="20"/>
              </w:rPr>
            </w:pPr>
            <w:r>
              <w:rPr>
                <w:sz w:val="20"/>
                <w:szCs w:val="20"/>
              </w:rPr>
              <w:t>Units manufactured on or after July 1, 2016 and prior to July 1, 2018.</w:t>
            </w:r>
          </w:p>
        </w:tc>
      </w:tr>
      <w:tr w:rsidR="00D2066C" w:rsidRPr="00FB030E" w14:paraId="70746F57" w14:textId="77777777" w:rsidTr="00D2066C">
        <w:tc>
          <w:tcPr>
            <w:tcW w:w="2605" w:type="dxa"/>
            <w:vMerge/>
            <w:tcBorders>
              <w:right w:val="single" w:sz="4" w:space="0" w:color="A6A6A6" w:themeColor="background1" w:themeShade="A6"/>
            </w:tcBorders>
            <w:shd w:val="clear" w:color="auto" w:fill="auto"/>
            <w:vAlign w:val="center"/>
          </w:tcPr>
          <w:p w14:paraId="1DD1728E" w14:textId="77777777" w:rsidR="002D191A" w:rsidRPr="00BD6838" w:rsidRDefault="002D191A" w:rsidP="00F803EB">
            <w:pPr>
              <w:spacing w:before="0" w:after="0" w:line="240" w:lineRule="auto"/>
              <w:rPr>
                <w:sz w:val="20"/>
              </w:rPr>
            </w:pPr>
          </w:p>
        </w:tc>
        <w:tc>
          <w:tcPr>
            <w:tcW w:w="36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72486B5" w14:textId="6C530D6E" w:rsidR="002D191A" w:rsidRPr="00765A54" w:rsidRDefault="00D2066C" w:rsidP="00F803EB">
            <w:pPr>
              <w:spacing w:before="0" w:after="0" w:line="240" w:lineRule="auto"/>
              <w:rPr>
                <w:sz w:val="20"/>
                <w:szCs w:val="20"/>
                <w:u w:val="single"/>
              </w:rPr>
            </w:pPr>
            <w:r w:rsidRPr="00D2066C">
              <w:rPr>
                <w:sz w:val="20"/>
                <w:szCs w:val="20"/>
              </w:rPr>
              <w:t>Section 1605.3</w:t>
            </w:r>
            <w:r w:rsidR="0024671C">
              <w:rPr>
                <w:sz w:val="20"/>
                <w:szCs w:val="20"/>
              </w:rPr>
              <w:t>, Table H-5</w:t>
            </w:r>
            <w:r w:rsidRPr="00D2066C">
              <w:rPr>
                <w:sz w:val="20"/>
                <w:szCs w:val="20"/>
              </w:rPr>
              <w:t>:</w:t>
            </w:r>
            <w:r>
              <w:rPr>
                <w:sz w:val="20"/>
                <w:szCs w:val="20"/>
              </w:rPr>
              <w:t xml:space="preserve"> </w:t>
            </w:r>
            <w:r w:rsidR="002D191A" w:rsidRPr="00EA2B72">
              <w:rPr>
                <w:sz w:val="20"/>
                <w:szCs w:val="20"/>
              </w:rPr>
              <w:t xml:space="preserve">The </w:t>
            </w:r>
            <w:r w:rsidR="002D191A">
              <w:rPr>
                <w:sz w:val="20"/>
                <w:szCs w:val="20"/>
              </w:rPr>
              <w:t xml:space="preserve">maximum </w:t>
            </w:r>
            <w:r w:rsidR="002D191A" w:rsidRPr="00EA2B72">
              <w:rPr>
                <w:sz w:val="20"/>
                <w:szCs w:val="20"/>
              </w:rPr>
              <w:t>flow rate of a showerhe</w:t>
            </w:r>
            <w:r w:rsidR="002D191A">
              <w:rPr>
                <w:sz w:val="20"/>
                <w:szCs w:val="20"/>
              </w:rPr>
              <w:t>ad shall not be greater than 1.8</w:t>
            </w:r>
            <w:r w:rsidR="002D191A" w:rsidRPr="00EA2B72">
              <w:rPr>
                <w:sz w:val="20"/>
                <w:szCs w:val="20"/>
              </w:rPr>
              <w:t xml:space="preserve"> </w:t>
            </w:r>
            <w:proofErr w:type="spellStart"/>
            <w:r w:rsidR="002D191A" w:rsidRPr="00EA2B72">
              <w:rPr>
                <w:sz w:val="20"/>
                <w:szCs w:val="20"/>
              </w:rPr>
              <w:t>gpm</w:t>
            </w:r>
            <w:proofErr w:type="spellEnd"/>
            <w:r w:rsidR="002D191A" w:rsidRPr="00EA2B72">
              <w:rPr>
                <w:sz w:val="20"/>
                <w:szCs w:val="20"/>
              </w:rPr>
              <w:t xml:space="preserve"> at 80 psi.</w:t>
            </w:r>
          </w:p>
        </w:tc>
        <w:tc>
          <w:tcPr>
            <w:tcW w:w="31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508E6B" w14:textId="05C564B5" w:rsidR="002D191A" w:rsidRPr="002D191A" w:rsidRDefault="002D191A" w:rsidP="00F803EB">
            <w:pPr>
              <w:spacing w:before="0" w:after="0" w:line="240" w:lineRule="auto"/>
              <w:rPr>
                <w:sz w:val="20"/>
                <w:szCs w:val="20"/>
              </w:rPr>
            </w:pPr>
            <w:r>
              <w:rPr>
                <w:sz w:val="20"/>
                <w:szCs w:val="20"/>
              </w:rPr>
              <w:t>Units manufactured on or after July 1, 2018.</w:t>
            </w:r>
          </w:p>
        </w:tc>
      </w:tr>
      <w:tr w:rsidR="007E694F" w:rsidRPr="00FB030E" w14:paraId="23FB50B6" w14:textId="77777777" w:rsidTr="00D2066C">
        <w:tc>
          <w:tcPr>
            <w:tcW w:w="2605" w:type="dxa"/>
            <w:shd w:val="clear" w:color="auto" w:fill="auto"/>
            <w:vAlign w:val="center"/>
          </w:tcPr>
          <w:p w14:paraId="2EBFC05B" w14:textId="778B5EB3" w:rsidR="007E694F" w:rsidRPr="00BD6838" w:rsidRDefault="007E694F" w:rsidP="007E694F">
            <w:pPr>
              <w:spacing w:before="0" w:after="0" w:line="240" w:lineRule="auto"/>
              <w:rPr>
                <w:sz w:val="20"/>
                <w:szCs w:val="20"/>
              </w:rPr>
            </w:pPr>
            <w:r w:rsidRPr="00BD6838">
              <w:rPr>
                <w:sz w:val="20"/>
              </w:rPr>
              <w:lastRenderedPageBreak/>
              <w:t xml:space="preserve">Federal </w:t>
            </w:r>
            <w:r w:rsidRPr="00E219CE">
              <w:rPr>
                <w:sz w:val="20"/>
              </w:rPr>
              <w:t>Standards</w:t>
            </w:r>
            <w:r w:rsidRPr="00E219CE">
              <w:rPr>
                <w:sz w:val="20"/>
                <w:szCs w:val="20"/>
              </w:rPr>
              <w:t xml:space="preserve"> (Federal Energy Policy Act</w:t>
            </w:r>
            <w:r>
              <w:rPr>
                <w:sz w:val="20"/>
                <w:szCs w:val="20"/>
              </w:rPr>
              <w:t xml:space="preserve"> of 1992</w:t>
            </w:r>
            <w:r w:rsidRPr="00E219CE">
              <w:rPr>
                <w:sz w:val="20"/>
                <w:szCs w:val="20"/>
              </w:rPr>
              <w:t>)</w:t>
            </w:r>
          </w:p>
        </w:tc>
        <w:tc>
          <w:tcPr>
            <w:tcW w:w="3600" w:type="dxa"/>
            <w:shd w:val="clear" w:color="auto" w:fill="auto"/>
            <w:vAlign w:val="center"/>
          </w:tcPr>
          <w:p w14:paraId="0D43394E" w14:textId="2B48C7C6" w:rsidR="007E694F" w:rsidRPr="00FB030E" w:rsidRDefault="007E694F" w:rsidP="007E694F">
            <w:pPr>
              <w:spacing w:before="0" w:after="0" w:line="240" w:lineRule="auto"/>
              <w:rPr>
                <w:sz w:val="20"/>
                <w:szCs w:val="20"/>
              </w:rPr>
            </w:pPr>
            <w:r>
              <w:rPr>
                <w:sz w:val="20"/>
                <w:szCs w:val="20"/>
              </w:rPr>
              <w:t xml:space="preserve">Showerheads must use no more than 2.5 </w:t>
            </w:r>
            <w:proofErr w:type="spellStart"/>
            <w:r>
              <w:rPr>
                <w:sz w:val="20"/>
                <w:szCs w:val="20"/>
              </w:rPr>
              <w:t>gpm</w:t>
            </w:r>
            <w:proofErr w:type="spellEnd"/>
            <w:r>
              <w:rPr>
                <w:sz w:val="20"/>
                <w:szCs w:val="20"/>
              </w:rPr>
              <w:t>.</w:t>
            </w:r>
          </w:p>
        </w:tc>
        <w:tc>
          <w:tcPr>
            <w:tcW w:w="3150" w:type="dxa"/>
            <w:shd w:val="clear" w:color="auto" w:fill="auto"/>
            <w:vAlign w:val="center"/>
          </w:tcPr>
          <w:p w14:paraId="66FA1B6F" w14:textId="13CE8C63" w:rsidR="007E694F" w:rsidRPr="00FB030E" w:rsidRDefault="002161A0" w:rsidP="002161A0">
            <w:pPr>
              <w:spacing w:before="0" w:after="0" w:line="240" w:lineRule="auto"/>
              <w:rPr>
                <w:sz w:val="20"/>
                <w:szCs w:val="20"/>
              </w:rPr>
            </w:pPr>
            <w:r>
              <w:rPr>
                <w:sz w:val="20"/>
                <w:szCs w:val="20"/>
              </w:rPr>
              <w:t xml:space="preserve">Units manufactured on or after </w:t>
            </w:r>
            <w:r w:rsidR="007E694F">
              <w:rPr>
                <w:sz w:val="20"/>
                <w:szCs w:val="20"/>
              </w:rPr>
              <w:t>January 1, 1994</w:t>
            </w:r>
          </w:p>
        </w:tc>
      </w:tr>
    </w:tbl>
    <w:p w14:paraId="12BEA47B" w14:textId="77777777" w:rsidR="004E7D83" w:rsidRDefault="004E7D83" w:rsidP="00FD2C54">
      <w:pPr>
        <w:rPr>
          <w:rFonts w:cs="Calibri Light"/>
        </w:rPr>
      </w:pPr>
    </w:p>
    <w:p w14:paraId="095621FD" w14:textId="551399DB" w:rsidR="00D43431" w:rsidRPr="00D030F2" w:rsidRDefault="00D43431" w:rsidP="00D43431">
      <w:pPr>
        <w:rPr>
          <w:szCs w:val="22"/>
        </w:rPr>
      </w:pPr>
      <w:r>
        <w:rPr>
          <w:szCs w:val="22"/>
        </w:rPr>
        <w:t xml:space="preserve">The </w:t>
      </w:r>
      <w:r w:rsidR="00A66D31">
        <w:rPr>
          <w:szCs w:val="22"/>
        </w:rPr>
        <w:t xml:space="preserve">Energy Division of the </w:t>
      </w:r>
      <w:r w:rsidR="00A66D31">
        <w:t xml:space="preserve">California Public </w:t>
      </w:r>
      <w:r w:rsidR="00A66D31" w:rsidRPr="000303F3">
        <w:t xml:space="preserve">Utilities Commission (CPUC) </w:t>
      </w:r>
      <w:r w:rsidR="00A66D31">
        <w:t xml:space="preserve">issued the </w:t>
      </w:r>
      <w:r w:rsidR="00A66D31" w:rsidRPr="000303F3">
        <w:t>“Workpaper Disposition for Water Fixtures” in 2013</w:t>
      </w:r>
      <w:r w:rsidR="00A66D31">
        <w:t xml:space="preserve"> that </w:t>
      </w:r>
      <w:r>
        <w:rPr>
          <w:szCs w:val="22"/>
        </w:rPr>
        <w:t xml:space="preserve">mandated the revision of </w:t>
      </w:r>
      <w:r w:rsidRPr="00D01E54">
        <w:rPr>
          <w:szCs w:val="22"/>
        </w:rPr>
        <w:t>dail</w:t>
      </w:r>
      <w:r w:rsidRPr="00C960AA">
        <w:rPr>
          <w:szCs w:val="22"/>
        </w:rPr>
        <w:t>y hot water consumption</w:t>
      </w:r>
      <w:r>
        <w:rPr>
          <w:szCs w:val="22"/>
        </w:rPr>
        <w:t xml:space="preserve"> </w:t>
      </w:r>
      <w:r w:rsidRPr="00C960AA">
        <w:rPr>
          <w:szCs w:val="22"/>
        </w:rPr>
        <w:t xml:space="preserve">to a baseline of </w:t>
      </w:r>
      <w:r>
        <w:rPr>
          <w:szCs w:val="22"/>
        </w:rPr>
        <w:t>28.0 gallons per day for single-</w:t>
      </w:r>
      <w:r w:rsidRPr="00C960AA">
        <w:rPr>
          <w:szCs w:val="22"/>
        </w:rPr>
        <w:t xml:space="preserve">family homes and 23.3 </w:t>
      </w:r>
      <w:r w:rsidRPr="00D030F2">
        <w:rPr>
          <w:szCs w:val="22"/>
        </w:rPr>
        <w:t>gallons per day for multifamily dwellings.</w:t>
      </w:r>
      <w:r w:rsidR="00D07BF4">
        <w:rPr>
          <w:rStyle w:val="FootnoteReference"/>
          <w:szCs w:val="22"/>
        </w:rPr>
        <w:footnoteReference w:id="5"/>
      </w:r>
      <w:r w:rsidRPr="00D030F2">
        <w:rPr>
          <w:szCs w:val="22"/>
        </w:rPr>
        <w:t xml:space="preserve"> These baselines are based upon the </w:t>
      </w:r>
      <w:r w:rsidRPr="00D030F2">
        <w:rPr>
          <w:rStyle w:val="eTRMFootnoteTextChar"/>
          <w:sz w:val="22"/>
          <w:szCs w:val="22"/>
        </w:rPr>
        <w:t>National Renewable Energy Laboratory</w:t>
      </w:r>
      <w:r w:rsidR="007D7821">
        <w:rPr>
          <w:rStyle w:val="eTRMFootnoteTextChar"/>
          <w:sz w:val="22"/>
          <w:szCs w:val="22"/>
        </w:rPr>
        <w:t xml:space="preserve"> </w:t>
      </w:r>
      <w:r w:rsidRPr="00D030F2">
        <w:rPr>
          <w:rStyle w:val="eTRMFootnoteTextChar"/>
          <w:sz w:val="22"/>
          <w:szCs w:val="22"/>
        </w:rPr>
        <w:t>(NREL)</w:t>
      </w:r>
      <w:r w:rsidRPr="00D030F2">
        <w:rPr>
          <w:szCs w:val="22"/>
        </w:rPr>
        <w:t xml:space="preserve"> Building America House Simulation Protocols.</w:t>
      </w:r>
      <w:r w:rsidRPr="00D030F2">
        <w:rPr>
          <w:rStyle w:val="FootnoteReference"/>
          <w:szCs w:val="22"/>
        </w:rPr>
        <w:footnoteReference w:id="6"/>
      </w:r>
    </w:p>
    <w:p w14:paraId="53FC2289" w14:textId="77777777" w:rsidR="00346B23" w:rsidRDefault="00346B23" w:rsidP="0011498C"/>
    <w:p w14:paraId="1EE16D20" w14:textId="77777777" w:rsidR="007D230B" w:rsidRPr="00171BB8" w:rsidRDefault="007D230B" w:rsidP="00462BB6">
      <w:pPr>
        <w:pStyle w:val="eTRMHeading3"/>
      </w:pPr>
      <w:bookmarkStart w:id="18" w:name="_Toc486490851"/>
      <w:bookmarkStart w:id="19" w:name="_Toc486580922"/>
      <w:bookmarkStart w:id="20" w:name="_Toc23506735"/>
      <w:r w:rsidRPr="00A83458">
        <w:t>Normalizing</w:t>
      </w:r>
      <w:r w:rsidRPr="00171BB8">
        <w:t xml:space="preserve"> Unit</w:t>
      </w:r>
      <w:bookmarkEnd w:id="18"/>
      <w:bookmarkEnd w:id="19"/>
      <w:bookmarkEnd w:id="20"/>
    </w:p>
    <w:p w14:paraId="085E9363" w14:textId="2138CA47" w:rsidR="007D230B" w:rsidRDefault="00A66D31" w:rsidP="00486585">
      <w:r>
        <w:t>Thermostatic shower valve (e</w:t>
      </w:r>
      <w:r w:rsidR="00996D0D">
        <w:t>ach</w:t>
      </w:r>
      <w:r>
        <w:t>)</w:t>
      </w:r>
      <w:r w:rsidR="00D63406">
        <w:t>.</w:t>
      </w:r>
    </w:p>
    <w:p w14:paraId="0115BB45" w14:textId="77777777" w:rsidR="009C31A4" w:rsidRPr="007D230B" w:rsidRDefault="009C31A4" w:rsidP="00486585"/>
    <w:p w14:paraId="2F4904E6" w14:textId="77777777" w:rsidR="007D230B" w:rsidRPr="004B06E3" w:rsidRDefault="007D230B" w:rsidP="00F803EB">
      <w:pPr>
        <w:pStyle w:val="eTRMHeading3"/>
        <w:keepNext w:val="0"/>
        <w:keepLines w:val="0"/>
      </w:pPr>
      <w:bookmarkStart w:id="21" w:name="_Toc486490852"/>
      <w:bookmarkStart w:id="22" w:name="_Toc486580923"/>
      <w:bookmarkStart w:id="23" w:name="_Toc23506736"/>
      <w:r w:rsidRPr="004B06E3">
        <w:t>Program Requirements</w:t>
      </w:r>
      <w:bookmarkEnd w:id="21"/>
      <w:bookmarkEnd w:id="22"/>
      <w:bookmarkEnd w:id="23"/>
      <w:r w:rsidRPr="004B06E3">
        <w:t xml:space="preserve"> </w:t>
      </w:r>
    </w:p>
    <w:p w14:paraId="340E1ADB" w14:textId="77777777" w:rsidR="00F803EB" w:rsidRDefault="00F803EB" w:rsidP="00F803EB">
      <w:pPr>
        <w:pStyle w:val="eTRMHeading5"/>
        <w:keepNext/>
        <w:keepLines/>
      </w:pPr>
      <w:bookmarkStart w:id="24" w:name="_Hlk516047641"/>
      <w:r>
        <w:t>Measure Implementation Eligibility</w:t>
      </w:r>
    </w:p>
    <w:p w14:paraId="1C2925F1" w14:textId="77777777" w:rsidR="00F803EB" w:rsidRDefault="00F803EB" w:rsidP="00F803EB">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71A154FB" w14:textId="77777777" w:rsidR="00F803EB" w:rsidRPr="00CC4643" w:rsidRDefault="00F803EB" w:rsidP="00F803EB">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703BD9BF" w14:textId="0D7B9F0E" w:rsidR="007B1AF7" w:rsidRDefault="007B1AF7" w:rsidP="007574AD">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7B1AF7" w:rsidRPr="00A47168" w14:paraId="0AE4C3CF" w14:textId="77777777" w:rsidTr="00F803EB">
        <w:trPr>
          <w:trHeight w:val="290"/>
          <w:tblHeader/>
        </w:trPr>
        <w:tc>
          <w:tcPr>
            <w:tcW w:w="3024" w:type="dxa"/>
            <w:shd w:val="clear" w:color="auto" w:fill="F2F2F2" w:themeFill="background1" w:themeFillShade="F2"/>
            <w:noWrap/>
            <w:tcMar>
              <w:top w:w="0" w:type="dxa"/>
              <w:left w:w="108" w:type="dxa"/>
              <w:bottom w:w="0" w:type="dxa"/>
              <w:right w:w="108" w:type="dxa"/>
            </w:tcMar>
            <w:vAlign w:val="bottom"/>
            <w:hideMark/>
          </w:tcPr>
          <w:p w14:paraId="431D769D" w14:textId="77777777" w:rsidR="007B1AF7" w:rsidRPr="00A47168" w:rsidRDefault="007B1AF7" w:rsidP="007574AD">
            <w:pPr>
              <w:keepNext/>
              <w:keepLines/>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5C5C332F" w14:textId="77777777" w:rsidR="007B1AF7" w:rsidRPr="00A47168" w:rsidRDefault="007B1AF7" w:rsidP="007574AD">
            <w:pPr>
              <w:keepNext/>
              <w:keepLines/>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58247D38" w14:textId="77777777" w:rsidR="007B1AF7" w:rsidRPr="00A47168" w:rsidRDefault="007B1AF7" w:rsidP="007574AD">
            <w:pPr>
              <w:keepNext/>
              <w:keepLines/>
              <w:spacing w:before="0" w:after="0"/>
              <w:rPr>
                <w:b/>
                <w:bCs/>
                <w:sz w:val="20"/>
              </w:rPr>
            </w:pPr>
            <w:r w:rsidRPr="00A47168">
              <w:rPr>
                <w:b/>
                <w:bCs/>
                <w:sz w:val="20"/>
              </w:rPr>
              <w:t>Sector</w:t>
            </w:r>
          </w:p>
        </w:tc>
      </w:tr>
      <w:tr w:rsidR="003901BE" w:rsidRPr="00F803EB" w14:paraId="77367A61" w14:textId="77777777" w:rsidTr="009008B6">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30AC8CF" w14:textId="77777777" w:rsidR="003901BE" w:rsidRPr="00B72064" w:rsidRDefault="003901BE" w:rsidP="009008B6">
            <w:pPr>
              <w:spacing w:before="0" w:after="0"/>
              <w:rPr>
                <w:rFonts w:cs="Calibri Light"/>
                <w:sz w:val="20"/>
                <w:szCs w:val="22"/>
              </w:rPr>
            </w:pPr>
            <w:r w:rsidRPr="00F803EB">
              <w:rPr>
                <w:rFonts w:cs="Calibri Light"/>
                <w:sz w:val="20"/>
                <w:szCs w:val="22"/>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FC68696" w14:textId="77777777" w:rsidR="003901BE" w:rsidRPr="00B72064" w:rsidRDefault="003901BE" w:rsidP="009008B6">
            <w:pPr>
              <w:spacing w:before="0" w:after="0"/>
              <w:rPr>
                <w:rFonts w:cs="Calibri Light"/>
                <w:sz w:val="20"/>
                <w:szCs w:val="22"/>
              </w:rPr>
            </w:pPr>
            <w:proofErr w:type="spellStart"/>
            <w:r>
              <w:rPr>
                <w:rFonts w:cs="Calibri Light"/>
                <w:sz w:val="20"/>
                <w:szCs w:val="22"/>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E261D14" w14:textId="77777777" w:rsidR="003901BE" w:rsidRPr="00B72064" w:rsidRDefault="003901BE" w:rsidP="009008B6">
            <w:pPr>
              <w:spacing w:before="0" w:after="0"/>
              <w:rPr>
                <w:rFonts w:cs="Calibri Light"/>
                <w:sz w:val="20"/>
                <w:szCs w:val="22"/>
              </w:rPr>
            </w:pPr>
            <w:r w:rsidRPr="00F803EB">
              <w:rPr>
                <w:rFonts w:cs="Calibri Light"/>
                <w:sz w:val="20"/>
                <w:szCs w:val="22"/>
              </w:rPr>
              <w:t>Res</w:t>
            </w:r>
          </w:p>
        </w:tc>
      </w:tr>
      <w:tr w:rsidR="00017372" w:rsidRPr="00F803EB" w14:paraId="6C416448" w14:textId="77777777" w:rsidTr="009008B6">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72B8B27" w14:textId="5C40C8AC" w:rsidR="00017372" w:rsidRPr="00F803EB" w:rsidRDefault="00017372" w:rsidP="00017372">
            <w:pPr>
              <w:spacing w:before="0" w:after="0"/>
              <w:rPr>
                <w:rFonts w:cs="Calibri Light"/>
                <w:sz w:val="20"/>
                <w:szCs w:val="22"/>
              </w:rPr>
            </w:pPr>
            <w:r w:rsidRPr="00F803EB">
              <w:rPr>
                <w:rFonts w:cs="Calibri Light"/>
                <w:sz w:val="20"/>
                <w:szCs w:val="22"/>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C86465C" w14:textId="4EB4B0CA" w:rsidR="00017372" w:rsidRDefault="00017372" w:rsidP="00017372">
            <w:pPr>
              <w:spacing w:before="0" w:after="0"/>
              <w:rPr>
                <w:rFonts w:cs="Calibri Light"/>
                <w:sz w:val="20"/>
                <w:szCs w:val="22"/>
              </w:rPr>
            </w:pPr>
            <w:proofErr w:type="spellStart"/>
            <w:r>
              <w:rPr>
                <w:rFonts w:cs="Calibri Light"/>
                <w:sz w:val="20"/>
                <w:szCs w:val="22"/>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646268B" w14:textId="66CFACD3" w:rsidR="00017372" w:rsidRPr="00F803EB" w:rsidRDefault="00017372" w:rsidP="00017372">
            <w:pPr>
              <w:spacing w:before="0" w:after="0"/>
              <w:rPr>
                <w:rFonts w:cs="Calibri Light"/>
                <w:sz w:val="20"/>
                <w:szCs w:val="22"/>
              </w:rPr>
            </w:pPr>
            <w:r w:rsidRPr="00F803EB">
              <w:rPr>
                <w:rFonts w:cs="Calibri Light"/>
                <w:sz w:val="20"/>
                <w:szCs w:val="22"/>
              </w:rPr>
              <w:t>Res</w:t>
            </w:r>
          </w:p>
        </w:tc>
      </w:tr>
      <w:tr w:rsidR="00017372" w:rsidRPr="00F803EB" w14:paraId="79B2C2F0" w14:textId="77777777" w:rsidTr="009008B6">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29C75A" w14:textId="05F11274" w:rsidR="00017372" w:rsidRPr="00F803EB" w:rsidRDefault="00017372" w:rsidP="00017372">
            <w:pPr>
              <w:spacing w:before="0" w:after="0"/>
              <w:rPr>
                <w:rFonts w:cs="Calibri Light"/>
                <w:sz w:val="20"/>
                <w:szCs w:val="22"/>
              </w:rPr>
            </w:pPr>
            <w:r w:rsidRPr="00F803EB">
              <w:rPr>
                <w:rFonts w:cs="Calibri Light"/>
                <w:sz w:val="20"/>
                <w:szCs w:val="22"/>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0D1A3EF" w14:textId="04EF25B4" w:rsidR="00017372" w:rsidRDefault="00017372" w:rsidP="00017372">
            <w:pPr>
              <w:spacing w:before="0" w:after="0"/>
              <w:rPr>
                <w:rFonts w:cs="Calibri Light"/>
                <w:sz w:val="20"/>
                <w:szCs w:val="22"/>
              </w:rPr>
            </w:pPr>
            <w:proofErr w:type="spellStart"/>
            <w:r>
              <w:rPr>
                <w:rFonts w:cs="Calibri Light"/>
                <w:sz w:val="20"/>
                <w:szCs w:val="22"/>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58AD24E" w14:textId="48260C8B" w:rsidR="00017372" w:rsidRPr="00F803EB" w:rsidRDefault="00017372" w:rsidP="00017372">
            <w:pPr>
              <w:spacing w:before="0" w:after="0"/>
              <w:rPr>
                <w:rFonts w:cs="Calibri Light"/>
                <w:sz w:val="20"/>
                <w:szCs w:val="22"/>
              </w:rPr>
            </w:pPr>
            <w:r w:rsidRPr="00F803EB">
              <w:rPr>
                <w:rFonts w:cs="Calibri Light"/>
                <w:sz w:val="20"/>
                <w:szCs w:val="22"/>
              </w:rPr>
              <w:t>Res</w:t>
            </w:r>
          </w:p>
        </w:tc>
      </w:tr>
      <w:tr w:rsidR="00017372" w:rsidRPr="00F803EB" w14:paraId="039836A9" w14:textId="77777777" w:rsidTr="001E74B2">
        <w:trPr>
          <w:trHeight w:val="290"/>
        </w:trPr>
        <w:tc>
          <w:tcPr>
            <w:tcW w:w="3024" w:type="dxa"/>
            <w:noWrap/>
            <w:tcMar>
              <w:top w:w="0" w:type="dxa"/>
              <w:left w:w="108" w:type="dxa"/>
              <w:bottom w:w="0" w:type="dxa"/>
              <w:right w:w="108" w:type="dxa"/>
            </w:tcMar>
            <w:vAlign w:val="bottom"/>
          </w:tcPr>
          <w:p w14:paraId="341B3F12" w14:textId="77777777" w:rsidR="00017372" w:rsidRPr="00F803EB" w:rsidRDefault="00017372" w:rsidP="00017372">
            <w:pPr>
              <w:spacing w:before="0" w:after="0"/>
              <w:rPr>
                <w:sz w:val="20"/>
              </w:rPr>
            </w:pPr>
            <w:r w:rsidRPr="00F803EB">
              <w:rPr>
                <w:rFonts w:cs="Calibri Light"/>
                <w:sz w:val="20"/>
                <w:szCs w:val="22"/>
              </w:rPr>
              <w:t>Normal replacement</w:t>
            </w:r>
          </w:p>
        </w:tc>
        <w:tc>
          <w:tcPr>
            <w:tcW w:w="3024" w:type="dxa"/>
            <w:noWrap/>
            <w:tcMar>
              <w:top w:w="0" w:type="dxa"/>
              <w:left w:w="108" w:type="dxa"/>
              <w:bottom w:w="0" w:type="dxa"/>
              <w:right w:w="108" w:type="dxa"/>
            </w:tcMar>
            <w:vAlign w:val="bottom"/>
          </w:tcPr>
          <w:p w14:paraId="144F68CA" w14:textId="62E1A096" w:rsidR="00017372" w:rsidRPr="00F803EB" w:rsidRDefault="00017372" w:rsidP="00017372">
            <w:pPr>
              <w:spacing w:before="0" w:after="0"/>
              <w:rPr>
                <w:sz w:val="20"/>
              </w:rPr>
            </w:pPr>
            <w:proofErr w:type="spellStart"/>
            <w:r>
              <w:rPr>
                <w:rFonts w:cs="Calibri Light"/>
                <w:sz w:val="20"/>
                <w:szCs w:val="22"/>
              </w:rPr>
              <w:t>UpDeemed</w:t>
            </w:r>
            <w:proofErr w:type="spellEnd"/>
          </w:p>
        </w:tc>
        <w:tc>
          <w:tcPr>
            <w:tcW w:w="3024" w:type="dxa"/>
            <w:noWrap/>
            <w:tcMar>
              <w:top w:w="0" w:type="dxa"/>
              <w:left w:w="108" w:type="dxa"/>
              <w:bottom w:w="0" w:type="dxa"/>
              <w:right w:w="108" w:type="dxa"/>
            </w:tcMar>
            <w:vAlign w:val="bottom"/>
          </w:tcPr>
          <w:p w14:paraId="4573B94A" w14:textId="77777777" w:rsidR="00017372" w:rsidRPr="00F803EB" w:rsidRDefault="00017372" w:rsidP="00017372">
            <w:pPr>
              <w:spacing w:before="0" w:after="0"/>
              <w:rPr>
                <w:sz w:val="20"/>
              </w:rPr>
            </w:pPr>
            <w:r w:rsidRPr="00F803EB">
              <w:rPr>
                <w:rFonts w:cs="Calibri Light"/>
                <w:sz w:val="20"/>
                <w:szCs w:val="22"/>
              </w:rPr>
              <w:t>Res</w:t>
            </w:r>
          </w:p>
        </w:tc>
      </w:tr>
      <w:tr w:rsidR="00017372" w:rsidRPr="00F803EB" w14:paraId="70F67493" w14:textId="77777777" w:rsidTr="001E74B2">
        <w:trPr>
          <w:trHeight w:val="290"/>
        </w:trPr>
        <w:tc>
          <w:tcPr>
            <w:tcW w:w="3024" w:type="dxa"/>
            <w:noWrap/>
            <w:tcMar>
              <w:top w:w="0" w:type="dxa"/>
              <w:left w:w="108" w:type="dxa"/>
              <w:bottom w:w="0" w:type="dxa"/>
              <w:right w:w="108" w:type="dxa"/>
            </w:tcMar>
            <w:vAlign w:val="bottom"/>
          </w:tcPr>
          <w:p w14:paraId="3B2368C1" w14:textId="5D0CE56D" w:rsidR="00017372" w:rsidRPr="00F803EB" w:rsidRDefault="00017372" w:rsidP="00017372">
            <w:pPr>
              <w:spacing w:before="0" w:after="0"/>
              <w:rPr>
                <w:rFonts w:cs="Calibri Light"/>
                <w:sz w:val="20"/>
                <w:szCs w:val="22"/>
              </w:rPr>
            </w:pPr>
            <w:r w:rsidRPr="00F803EB">
              <w:rPr>
                <w:rFonts w:cs="Calibri Light"/>
                <w:sz w:val="20"/>
                <w:szCs w:val="22"/>
              </w:rPr>
              <w:t>Normal replacement</w:t>
            </w:r>
          </w:p>
        </w:tc>
        <w:tc>
          <w:tcPr>
            <w:tcW w:w="3024" w:type="dxa"/>
            <w:noWrap/>
            <w:tcMar>
              <w:top w:w="0" w:type="dxa"/>
              <w:left w:w="108" w:type="dxa"/>
              <w:bottom w:w="0" w:type="dxa"/>
              <w:right w:w="108" w:type="dxa"/>
            </w:tcMar>
            <w:vAlign w:val="bottom"/>
          </w:tcPr>
          <w:p w14:paraId="58768E8D" w14:textId="4856B6AA" w:rsidR="00017372" w:rsidRDefault="00017372" w:rsidP="00017372">
            <w:pPr>
              <w:spacing w:before="0" w:after="0"/>
              <w:rPr>
                <w:rFonts w:cs="Calibri Light"/>
                <w:sz w:val="20"/>
                <w:szCs w:val="22"/>
              </w:rPr>
            </w:pPr>
            <w:proofErr w:type="spellStart"/>
            <w:r>
              <w:rPr>
                <w:rFonts w:cs="Calibri Light"/>
                <w:sz w:val="20"/>
                <w:szCs w:val="22"/>
              </w:rPr>
              <w:t>DnDeemDI</w:t>
            </w:r>
            <w:proofErr w:type="spellEnd"/>
          </w:p>
        </w:tc>
        <w:tc>
          <w:tcPr>
            <w:tcW w:w="3024" w:type="dxa"/>
            <w:noWrap/>
            <w:tcMar>
              <w:top w:w="0" w:type="dxa"/>
              <w:left w:w="108" w:type="dxa"/>
              <w:bottom w:w="0" w:type="dxa"/>
              <w:right w:w="108" w:type="dxa"/>
            </w:tcMar>
            <w:vAlign w:val="bottom"/>
          </w:tcPr>
          <w:p w14:paraId="57479A47" w14:textId="3B4C8DA2" w:rsidR="00017372" w:rsidRPr="00F803EB" w:rsidRDefault="00017372" w:rsidP="00017372">
            <w:pPr>
              <w:spacing w:before="0" w:after="0"/>
              <w:rPr>
                <w:rFonts w:cs="Calibri Light"/>
                <w:sz w:val="20"/>
                <w:szCs w:val="22"/>
              </w:rPr>
            </w:pPr>
            <w:r w:rsidRPr="00F803EB">
              <w:rPr>
                <w:rFonts w:cs="Calibri Light"/>
                <w:sz w:val="20"/>
                <w:szCs w:val="22"/>
              </w:rPr>
              <w:t>Res</w:t>
            </w:r>
          </w:p>
        </w:tc>
      </w:tr>
      <w:tr w:rsidR="00017372" w:rsidRPr="00F803EB" w14:paraId="47A4E89F" w14:textId="77777777" w:rsidTr="001E74B2">
        <w:trPr>
          <w:trHeight w:val="290"/>
        </w:trPr>
        <w:tc>
          <w:tcPr>
            <w:tcW w:w="3024" w:type="dxa"/>
            <w:noWrap/>
            <w:tcMar>
              <w:top w:w="0" w:type="dxa"/>
              <w:left w:w="108" w:type="dxa"/>
              <w:bottom w:w="0" w:type="dxa"/>
              <w:right w:w="108" w:type="dxa"/>
            </w:tcMar>
            <w:vAlign w:val="bottom"/>
          </w:tcPr>
          <w:p w14:paraId="2B272650" w14:textId="52CA6767" w:rsidR="00017372" w:rsidRPr="00F803EB" w:rsidRDefault="00017372" w:rsidP="00017372">
            <w:pPr>
              <w:spacing w:before="0" w:after="0"/>
              <w:rPr>
                <w:rFonts w:cs="Calibri Light"/>
                <w:sz w:val="20"/>
                <w:szCs w:val="22"/>
              </w:rPr>
            </w:pPr>
            <w:r w:rsidRPr="00F803EB">
              <w:rPr>
                <w:rFonts w:cs="Calibri Light"/>
                <w:sz w:val="20"/>
                <w:szCs w:val="22"/>
              </w:rPr>
              <w:t>Normal replacement</w:t>
            </w:r>
          </w:p>
        </w:tc>
        <w:tc>
          <w:tcPr>
            <w:tcW w:w="3024" w:type="dxa"/>
            <w:noWrap/>
            <w:tcMar>
              <w:top w:w="0" w:type="dxa"/>
              <w:left w:w="108" w:type="dxa"/>
              <w:bottom w:w="0" w:type="dxa"/>
              <w:right w:w="108" w:type="dxa"/>
            </w:tcMar>
            <w:vAlign w:val="bottom"/>
          </w:tcPr>
          <w:p w14:paraId="17F585CF" w14:textId="41AA6BE7" w:rsidR="00017372" w:rsidRDefault="00017372" w:rsidP="00017372">
            <w:pPr>
              <w:spacing w:before="0" w:after="0"/>
              <w:rPr>
                <w:rFonts w:cs="Calibri Light"/>
                <w:sz w:val="20"/>
                <w:szCs w:val="22"/>
              </w:rPr>
            </w:pPr>
            <w:proofErr w:type="spellStart"/>
            <w:r>
              <w:rPr>
                <w:rFonts w:cs="Calibri Light"/>
                <w:sz w:val="20"/>
                <w:szCs w:val="22"/>
              </w:rPr>
              <w:t>DnDeemed</w:t>
            </w:r>
            <w:proofErr w:type="spellEnd"/>
          </w:p>
        </w:tc>
        <w:tc>
          <w:tcPr>
            <w:tcW w:w="3024" w:type="dxa"/>
            <w:noWrap/>
            <w:tcMar>
              <w:top w:w="0" w:type="dxa"/>
              <w:left w:w="108" w:type="dxa"/>
              <w:bottom w:w="0" w:type="dxa"/>
              <w:right w:w="108" w:type="dxa"/>
            </w:tcMar>
            <w:vAlign w:val="bottom"/>
          </w:tcPr>
          <w:p w14:paraId="411B1943" w14:textId="02E24E01" w:rsidR="00017372" w:rsidRPr="00F803EB" w:rsidRDefault="00017372" w:rsidP="00017372">
            <w:pPr>
              <w:spacing w:before="0" w:after="0"/>
              <w:rPr>
                <w:rFonts w:cs="Calibri Light"/>
                <w:sz w:val="20"/>
                <w:szCs w:val="22"/>
              </w:rPr>
            </w:pPr>
            <w:r w:rsidRPr="00F803EB">
              <w:rPr>
                <w:rFonts w:cs="Calibri Light"/>
                <w:sz w:val="20"/>
                <w:szCs w:val="22"/>
              </w:rPr>
              <w:t>Res</w:t>
            </w:r>
          </w:p>
        </w:tc>
      </w:tr>
      <w:tr w:rsidR="00017372" w:rsidRPr="00F803EB" w14:paraId="4EF3CB3E" w14:textId="77777777" w:rsidTr="00B72064">
        <w:trPr>
          <w:trHeight w:val="290"/>
        </w:trPr>
        <w:tc>
          <w:tcPr>
            <w:tcW w:w="3024" w:type="dxa"/>
            <w:noWrap/>
            <w:tcMar>
              <w:top w:w="0" w:type="dxa"/>
              <w:left w:w="108" w:type="dxa"/>
              <w:bottom w:w="0" w:type="dxa"/>
              <w:right w:w="108" w:type="dxa"/>
            </w:tcMar>
            <w:vAlign w:val="bottom"/>
          </w:tcPr>
          <w:p w14:paraId="5E96E20F" w14:textId="77777777" w:rsidR="00017372" w:rsidRPr="00F803EB" w:rsidRDefault="00017372" w:rsidP="00017372">
            <w:pPr>
              <w:spacing w:before="0" w:after="0"/>
              <w:rPr>
                <w:sz w:val="20"/>
              </w:rPr>
            </w:pPr>
            <w:r w:rsidRPr="00F803EB">
              <w:rPr>
                <w:rFonts w:cs="Calibri Light"/>
                <w:sz w:val="20"/>
                <w:szCs w:val="22"/>
              </w:rPr>
              <w:t>New construction</w:t>
            </w:r>
          </w:p>
        </w:tc>
        <w:tc>
          <w:tcPr>
            <w:tcW w:w="3024" w:type="dxa"/>
            <w:noWrap/>
            <w:tcMar>
              <w:top w:w="0" w:type="dxa"/>
              <w:left w:w="108" w:type="dxa"/>
              <w:bottom w:w="0" w:type="dxa"/>
              <w:right w:w="108" w:type="dxa"/>
            </w:tcMar>
            <w:vAlign w:val="bottom"/>
          </w:tcPr>
          <w:p w14:paraId="5D6B3529" w14:textId="36F6DB9A" w:rsidR="00017372" w:rsidRPr="00F803EB" w:rsidRDefault="00017372" w:rsidP="00017372">
            <w:pPr>
              <w:spacing w:before="0" w:after="0"/>
              <w:rPr>
                <w:sz w:val="20"/>
              </w:rPr>
            </w:pPr>
            <w:proofErr w:type="spellStart"/>
            <w:r>
              <w:rPr>
                <w:rFonts w:cs="Calibri Light"/>
                <w:sz w:val="20"/>
                <w:szCs w:val="22"/>
              </w:rPr>
              <w:t>DnDeemDI</w:t>
            </w:r>
            <w:proofErr w:type="spellEnd"/>
          </w:p>
        </w:tc>
        <w:tc>
          <w:tcPr>
            <w:tcW w:w="3024" w:type="dxa"/>
            <w:noWrap/>
            <w:tcMar>
              <w:top w:w="0" w:type="dxa"/>
              <w:left w:w="108" w:type="dxa"/>
              <w:bottom w:w="0" w:type="dxa"/>
              <w:right w:w="108" w:type="dxa"/>
            </w:tcMar>
            <w:vAlign w:val="bottom"/>
          </w:tcPr>
          <w:p w14:paraId="74E34C52" w14:textId="77777777" w:rsidR="00017372" w:rsidRPr="00F803EB" w:rsidRDefault="00017372" w:rsidP="00017372">
            <w:pPr>
              <w:spacing w:before="0" w:after="0"/>
              <w:rPr>
                <w:sz w:val="20"/>
              </w:rPr>
            </w:pPr>
            <w:r w:rsidRPr="00F803EB">
              <w:rPr>
                <w:rFonts w:cs="Calibri Light"/>
                <w:sz w:val="20"/>
                <w:szCs w:val="22"/>
              </w:rPr>
              <w:t>Res</w:t>
            </w:r>
          </w:p>
        </w:tc>
      </w:tr>
      <w:tr w:rsidR="00017372" w:rsidRPr="00F803EB" w14:paraId="16B19D95" w14:textId="77777777" w:rsidTr="009008B6">
        <w:trPr>
          <w:trHeight w:val="290"/>
        </w:trPr>
        <w:tc>
          <w:tcPr>
            <w:tcW w:w="3024" w:type="dxa"/>
            <w:noWrap/>
            <w:tcMar>
              <w:top w:w="0" w:type="dxa"/>
              <w:left w:w="108" w:type="dxa"/>
              <w:bottom w:w="0" w:type="dxa"/>
              <w:right w:w="108" w:type="dxa"/>
            </w:tcMar>
            <w:vAlign w:val="bottom"/>
          </w:tcPr>
          <w:p w14:paraId="3921BDE6" w14:textId="21F0FBEC" w:rsidR="00017372" w:rsidRPr="00F803EB" w:rsidRDefault="00017372" w:rsidP="00017372">
            <w:pPr>
              <w:spacing w:before="0" w:after="0"/>
              <w:rPr>
                <w:sz w:val="20"/>
              </w:rPr>
            </w:pPr>
            <w:r w:rsidRPr="00F803EB">
              <w:rPr>
                <w:rFonts w:cs="Calibri Light"/>
                <w:sz w:val="20"/>
                <w:szCs w:val="22"/>
              </w:rPr>
              <w:lastRenderedPageBreak/>
              <w:t>New construction</w:t>
            </w:r>
          </w:p>
        </w:tc>
        <w:tc>
          <w:tcPr>
            <w:tcW w:w="3024" w:type="dxa"/>
            <w:noWrap/>
            <w:tcMar>
              <w:top w:w="0" w:type="dxa"/>
              <w:left w:w="108" w:type="dxa"/>
              <w:bottom w:w="0" w:type="dxa"/>
              <w:right w:w="108" w:type="dxa"/>
            </w:tcMar>
            <w:vAlign w:val="bottom"/>
          </w:tcPr>
          <w:p w14:paraId="5E7EF8BE" w14:textId="77777777" w:rsidR="00017372" w:rsidRPr="00F803EB" w:rsidRDefault="00017372" w:rsidP="00017372">
            <w:pPr>
              <w:spacing w:before="0" w:after="0"/>
              <w:rPr>
                <w:sz w:val="20"/>
              </w:rPr>
            </w:pPr>
            <w:proofErr w:type="spellStart"/>
            <w:r>
              <w:rPr>
                <w:rFonts w:cs="Calibri Light"/>
                <w:sz w:val="20"/>
                <w:szCs w:val="22"/>
              </w:rPr>
              <w:t>DnDeemed</w:t>
            </w:r>
            <w:proofErr w:type="spellEnd"/>
          </w:p>
        </w:tc>
        <w:tc>
          <w:tcPr>
            <w:tcW w:w="3024" w:type="dxa"/>
            <w:noWrap/>
            <w:tcMar>
              <w:top w:w="0" w:type="dxa"/>
              <w:left w:w="108" w:type="dxa"/>
              <w:bottom w:w="0" w:type="dxa"/>
              <w:right w:w="108" w:type="dxa"/>
            </w:tcMar>
            <w:vAlign w:val="bottom"/>
          </w:tcPr>
          <w:p w14:paraId="48198935" w14:textId="77777777" w:rsidR="00017372" w:rsidRPr="00F803EB" w:rsidRDefault="00017372" w:rsidP="00017372">
            <w:pPr>
              <w:spacing w:before="0" w:after="0"/>
              <w:rPr>
                <w:sz w:val="20"/>
              </w:rPr>
            </w:pPr>
            <w:r w:rsidRPr="00F803EB">
              <w:rPr>
                <w:rFonts w:cs="Calibri Light"/>
                <w:sz w:val="20"/>
                <w:szCs w:val="22"/>
              </w:rPr>
              <w:t>Res</w:t>
            </w:r>
          </w:p>
        </w:tc>
      </w:tr>
      <w:tr w:rsidR="00017372" w:rsidRPr="00F803EB" w14:paraId="105C08B7" w14:textId="77777777" w:rsidTr="009008B6">
        <w:trPr>
          <w:trHeight w:val="290"/>
        </w:trPr>
        <w:tc>
          <w:tcPr>
            <w:tcW w:w="3024" w:type="dxa"/>
            <w:noWrap/>
            <w:tcMar>
              <w:top w:w="0" w:type="dxa"/>
              <w:left w:w="108" w:type="dxa"/>
              <w:bottom w:w="0" w:type="dxa"/>
              <w:right w:w="108" w:type="dxa"/>
            </w:tcMar>
            <w:vAlign w:val="bottom"/>
          </w:tcPr>
          <w:p w14:paraId="36F7231D" w14:textId="723C4F9D" w:rsidR="00017372" w:rsidRPr="00F803EB" w:rsidRDefault="00017372" w:rsidP="00017372">
            <w:pPr>
              <w:spacing w:before="0" w:after="0"/>
              <w:rPr>
                <w:sz w:val="20"/>
              </w:rPr>
            </w:pPr>
            <w:r w:rsidRPr="00F803EB">
              <w:rPr>
                <w:rFonts w:cs="Calibri Light"/>
                <w:sz w:val="20"/>
                <w:szCs w:val="22"/>
              </w:rPr>
              <w:t>New construction</w:t>
            </w:r>
          </w:p>
        </w:tc>
        <w:tc>
          <w:tcPr>
            <w:tcW w:w="3024" w:type="dxa"/>
            <w:noWrap/>
            <w:tcMar>
              <w:top w:w="0" w:type="dxa"/>
              <w:left w:w="108" w:type="dxa"/>
              <w:bottom w:w="0" w:type="dxa"/>
              <w:right w:w="108" w:type="dxa"/>
            </w:tcMar>
            <w:vAlign w:val="bottom"/>
          </w:tcPr>
          <w:p w14:paraId="420ADC0A" w14:textId="77777777" w:rsidR="00017372" w:rsidRPr="00F803EB" w:rsidRDefault="00017372" w:rsidP="00017372">
            <w:pPr>
              <w:spacing w:before="0" w:after="0"/>
              <w:rPr>
                <w:sz w:val="20"/>
              </w:rPr>
            </w:pPr>
            <w:proofErr w:type="spellStart"/>
            <w:r>
              <w:rPr>
                <w:rFonts w:cs="Calibri Light"/>
                <w:sz w:val="20"/>
                <w:szCs w:val="22"/>
              </w:rPr>
              <w:t>UpDeemed</w:t>
            </w:r>
            <w:proofErr w:type="spellEnd"/>
          </w:p>
        </w:tc>
        <w:tc>
          <w:tcPr>
            <w:tcW w:w="3024" w:type="dxa"/>
            <w:noWrap/>
            <w:tcMar>
              <w:top w:w="0" w:type="dxa"/>
              <w:left w:w="108" w:type="dxa"/>
              <w:bottom w:w="0" w:type="dxa"/>
              <w:right w:w="108" w:type="dxa"/>
            </w:tcMar>
            <w:vAlign w:val="bottom"/>
          </w:tcPr>
          <w:p w14:paraId="35A83091" w14:textId="77777777" w:rsidR="00017372" w:rsidRPr="00F803EB" w:rsidRDefault="00017372" w:rsidP="00017372">
            <w:pPr>
              <w:spacing w:before="0" w:after="0"/>
              <w:rPr>
                <w:sz w:val="20"/>
              </w:rPr>
            </w:pPr>
            <w:r w:rsidRPr="00F803EB">
              <w:rPr>
                <w:rFonts w:cs="Calibri Light"/>
                <w:sz w:val="20"/>
                <w:szCs w:val="22"/>
              </w:rPr>
              <w:t>Res</w:t>
            </w:r>
          </w:p>
        </w:tc>
      </w:tr>
      <w:tr w:rsidR="00017372" w:rsidRPr="00F803EB" w14:paraId="59FB8E12" w14:textId="77777777" w:rsidTr="0065439B">
        <w:trPr>
          <w:trHeight w:val="290"/>
        </w:trPr>
        <w:tc>
          <w:tcPr>
            <w:tcW w:w="3024" w:type="dxa"/>
            <w:noWrap/>
            <w:tcMar>
              <w:top w:w="0" w:type="dxa"/>
              <w:left w:w="108" w:type="dxa"/>
              <w:bottom w:w="0" w:type="dxa"/>
              <w:right w:w="108" w:type="dxa"/>
            </w:tcMar>
            <w:vAlign w:val="bottom"/>
          </w:tcPr>
          <w:p w14:paraId="3C914612" w14:textId="515C9E46" w:rsidR="00017372" w:rsidRPr="00F803EB" w:rsidRDefault="00017372" w:rsidP="00017372">
            <w:pPr>
              <w:spacing w:before="0" w:after="0"/>
              <w:rPr>
                <w:sz w:val="20"/>
              </w:rPr>
            </w:pPr>
            <w:r w:rsidRPr="00F803EB">
              <w:rPr>
                <w:rFonts w:cs="Calibri Light"/>
                <w:sz w:val="20"/>
                <w:szCs w:val="22"/>
              </w:rPr>
              <w:t>Add-on equipment</w:t>
            </w:r>
          </w:p>
        </w:tc>
        <w:tc>
          <w:tcPr>
            <w:tcW w:w="3024" w:type="dxa"/>
            <w:noWrap/>
            <w:tcMar>
              <w:top w:w="0" w:type="dxa"/>
              <w:left w:w="108" w:type="dxa"/>
              <w:bottom w:w="0" w:type="dxa"/>
              <w:right w:w="108" w:type="dxa"/>
            </w:tcMar>
            <w:vAlign w:val="bottom"/>
          </w:tcPr>
          <w:p w14:paraId="2C39E46D" w14:textId="3753810E" w:rsidR="00017372" w:rsidRPr="00F803EB" w:rsidRDefault="00017372" w:rsidP="00017372">
            <w:pPr>
              <w:spacing w:before="0" w:after="0"/>
              <w:rPr>
                <w:sz w:val="20"/>
              </w:rPr>
            </w:pPr>
            <w:proofErr w:type="spellStart"/>
            <w:r>
              <w:rPr>
                <w:rFonts w:cs="Calibri Light"/>
                <w:sz w:val="20"/>
                <w:szCs w:val="22"/>
              </w:rPr>
              <w:t>DnDeemed</w:t>
            </w:r>
            <w:proofErr w:type="spellEnd"/>
          </w:p>
        </w:tc>
        <w:tc>
          <w:tcPr>
            <w:tcW w:w="3024" w:type="dxa"/>
            <w:noWrap/>
            <w:tcMar>
              <w:top w:w="0" w:type="dxa"/>
              <w:left w:w="108" w:type="dxa"/>
              <w:bottom w:w="0" w:type="dxa"/>
              <w:right w:w="108" w:type="dxa"/>
            </w:tcMar>
            <w:vAlign w:val="bottom"/>
          </w:tcPr>
          <w:p w14:paraId="43FCF2CD" w14:textId="5FA0ACBA" w:rsidR="00017372" w:rsidRPr="00F803EB" w:rsidRDefault="00017372" w:rsidP="00017372">
            <w:pPr>
              <w:spacing w:before="0" w:after="0"/>
              <w:rPr>
                <w:sz w:val="20"/>
              </w:rPr>
            </w:pPr>
            <w:r w:rsidRPr="00F803EB">
              <w:rPr>
                <w:rFonts w:cs="Calibri Light"/>
                <w:sz w:val="20"/>
                <w:szCs w:val="22"/>
              </w:rPr>
              <w:t>Res</w:t>
            </w:r>
          </w:p>
        </w:tc>
      </w:tr>
      <w:tr w:rsidR="00017372" w:rsidRPr="00F803EB" w14:paraId="1A905E77" w14:textId="77777777" w:rsidTr="0065439B">
        <w:trPr>
          <w:trHeight w:val="290"/>
        </w:trPr>
        <w:tc>
          <w:tcPr>
            <w:tcW w:w="3024" w:type="dxa"/>
            <w:noWrap/>
            <w:tcMar>
              <w:top w:w="0" w:type="dxa"/>
              <w:left w:w="108" w:type="dxa"/>
              <w:bottom w:w="0" w:type="dxa"/>
              <w:right w:w="108" w:type="dxa"/>
            </w:tcMar>
            <w:vAlign w:val="bottom"/>
          </w:tcPr>
          <w:p w14:paraId="22861C16" w14:textId="43A06DD2" w:rsidR="00017372" w:rsidRPr="00F803EB" w:rsidRDefault="00017372" w:rsidP="00017372">
            <w:pPr>
              <w:spacing w:before="0" w:after="0"/>
              <w:rPr>
                <w:sz w:val="20"/>
              </w:rPr>
            </w:pPr>
            <w:r w:rsidRPr="00F803EB">
              <w:rPr>
                <w:rFonts w:cs="Calibri Light"/>
                <w:sz w:val="20"/>
                <w:szCs w:val="22"/>
              </w:rPr>
              <w:t>Add-on equipment</w:t>
            </w:r>
          </w:p>
        </w:tc>
        <w:tc>
          <w:tcPr>
            <w:tcW w:w="3024" w:type="dxa"/>
            <w:noWrap/>
            <w:tcMar>
              <w:top w:w="0" w:type="dxa"/>
              <w:left w:w="108" w:type="dxa"/>
              <w:bottom w:w="0" w:type="dxa"/>
              <w:right w:w="108" w:type="dxa"/>
            </w:tcMar>
            <w:vAlign w:val="bottom"/>
          </w:tcPr>
          <w:p w14:paraId="0DF03FC7" w14:textId="198AD553" w:rsidR="00017372" w:rsidRPr="00F803EB" w:rsidRDefault="00017372" w:rsidP="00017372">
            <w:pPr>
              <w:spacing w:before="0" w:after="0"/>
              <w:rPr>
                <w:sz w:val="20"/>
              </w:rPr>
            </w:pPr>
            <w:proofErr w:type="spellStart"/>
            <w:r>
              <w:rPr>
                <w:rFonts w:cs="Calibri Light"/>
                <w:sz w:val="20"/>
                <w:szCs w:val="22"/>
              </w:rPr>
              <w:t>UpDeemed</w:t>
            </w:r>
            <w:proofErr w:type="spellEnd"/>
          </w:p>
        </w:tc>
        <w:tc>
          <w:tcPr>
            <w:tcW w:w="3024" w:type="dxa"/>
            <w:noWrap/>
            <w:tcMar>
              <w:top w:w="0" w:type="dxa"/>
              <w:left w:w="108" w:type="dxa"/>
              <w:bottom w:w="0" w:type="dxa"/>
              <w:right w:w="108" w:type="dxa"/>
            </w:tcMar>
            <w:vAlign w:val="bottom"/>
          </w:tcPr>
          <w:p w14:paraId="54CB6938" w14:textId="719FBEF5" w:rsidR="00017372" w:rsidRPr="00F803EB" w:rsidRDefault="00017372" w:rsidP="00017372">
            <w:pPr>
              <w:spacing w:before="0" w:after="0"/>
              <w:rPr>
                <w:sz w:val="20"/>
              </w:rPr>
            </w:pPr>
            <w:r w:rsidRPr="00F803EB">
              <w:rPr>
                <w:rFonts w:cs="Calibri Light"/>
                <w:sz w:val="20"/>
                <w:szCs w:val="22"/>
              </w:rPr>
              <w:t>Res</w:t>
            </w:r>
          </w:p>
        </w:tc>
      </w:tr>
      <w:tr w:rsidR="00017372" w:rsidRPr="00F803EB" w14:paraId="2BE830D3" w14:textId="77777777" w:rsidTr="0065439B">
        <w:trPr>
          <w:trHeight w:val="290"/>
        </w:trPr>
        <w:tc>
          <w:tcPr>
            <w:tcW w:w="3024" w:type="dxa"/>
            <w:noWrap/>
            <w:tcMar>
              <w:top w:w="0" w:type="dxa"/>
              <w:left w:w="108" w:type="dxa"/>
              <w:bottom w:w="0" w:type="dxa"/>
              <w:right w:w="108" w:type="dxa"/>
            </w:tcMar>
            <w:vAlign w:val="bottom"/>
          </w:tcPr>
          <w:p w14:paraId="2F84BBE5" w14:textId="67F4A31E" w:rsidR="00017372" w:rsidRPr="00F803EB" w:rsidRDefault="00017372" w:rsidP="00017372">
            <w:pPr>
              <w:spacing w:before="0" w:after="0"/>
              <w:rPr>
                <w:sz w:val="20"/>
              </w:rPr>
            </w:pPr>
            <w:r w:rsidRPr="00F803EB">
              <w:rPr>
                <w:rFonts w:cs="Calibri Light"/>
                <w:sz w:val="20"/>
                <w:szCs w:val="22"/>
              </w:rPr>
              <w:t>Add-on equipment</w:t>
            </w:r>
          </w:p>
        </w:tc>
        <w:tc>
          <w:tcPr>
            <w:tcW w:w="3024" w:type="dxa"/>
            <w:noWrap/>
            <w:tcMar>
              <w:top w:w="0" w:type="dxa"/>
              <w:left w:w="108" w:type="dxa"/>
              <w:bottom w:w="0" w:type="dxa"/>
              <w:right w:w="108" w:type="dxa"/>
            </w:tcMar>
            <w:vAlign w:val="bottom"/>
          </w:tcPr>
          <w:p w14:paraId="122910AB" w14:textId="7E267F74" w:rsidR="00017372" w:rsidRPr="00F803EB" w:rsidRDefault="00017372" w:rsidP="00017372">
            <w:pPr>
              <w:spacing w:before="0" w:after="0"/>
              <w:rPr>
                <w:sz w:val="20"/>
              </w:rPr>
            </w:pPr>
            <w:proofErr w:type="spellStart"/>
            <w:r>
              <w:rPr>
                <w:rFonts w:cs="Calibri Light"/>
                <w:sz w:val="20"/>
                <w:szCs w:val="22"/>
              </w:rPr>
              <w:t>DnDeemDI</w:t>
            </w:r>
            <w:proofErr w:type="spellEnd"/>
          </w:p>
        </w:tc>
        <w:tc>
          <w:tcPr>
            <w:tcW w:w="3024" w:type="dxa"/>
            <w:noWrap/>
            <w:tcMar>
              <w:top w:w="0" w:type="dxa"/>
              <w:left w:w="108" w:type="dxa"/>
              <w:bottom w:w="0" w:type="dxa"/>
              <w:right w:w="108" w:type="dxa"/>
            </w:tcMar>
            <w:vAlign w:val="bottom"/>
          </w:tcPr>
          <w:p w14:paraId="4C7126BE" w14:textId="4C2DEB82" w:rsidR="00017372" w:rsidRPr="00F803EB" w:rsidRDefault="00017372" w:rsidP="00017372">
            <w:pPr>
              <w:spacing w:before="0" w:after="0"/>
              <w:rPr>
                <w:sz w:val="20"/>
              </w:rPr>
            </w:pPr>
            <w:r w:rsidRPr="00F803EB">
              <w:rPr>
                <w:rFonts w:cs="Calibri Light"/>
                <w:sz w:val="20"/>
                <w:szCs w:val="22"/>
              </w:rPr>
              <w:t>Res</w:t>
            </w:r>
          </w:p>
        </w:tc>
      </w:tr>
      <w:bookmarkEnd w:id="24"/>
    </w:tbl>
    <w:p w14:paraId="2B2C9861" w14:textId="77777777" w:rsidR="00B133DE" w:rsidRDefault="00B133DE" w:rsidP="00043B05">
      <w:pPr>
        <w:pStyle w:val="eTRMHeading5"/>
      </w:pPr>
    </w:p>
    <w:p w14:paraId="454F21D0" w14:textId="62A9E7C0" w:rsidR="002942B0" w:rsidRDefault="00196649" w:rsidP="00043B05">
      <w:pPr>
        <w:pStyle w:val="eTRMHeading5"/>
      </w:pPr>
      <w:r>
        <w:t>Eligible Products</w:t>
      </w:r>
    </w:p>
    <w:p w14:paraId="6F3D08A8" w14:textId="21A539C9" w:rsidR="00105480" w:rsidRPr="007B0679" w:rsidRDefault="00A66D31" w:rsidP="007B0679">
      <w:pPr>
        <w:rPr>
          <w:b/>
        </w:rPr>
      </w:pPr>
      <w:r w:rsidRPr="00DE7E65">
        <w:rPr>
          <w:i/>
        </w:rPr>
        <w:t>Thermostatic shower valve (TSV)</w:t>
      </w:r>
      <w:r w:rsidR="00D43431" w:rsidRPr="00DE7E65">
        <w:rPr>
          <w:i/>
        </w:rPr>
        <w:t>:</w:t>
      </w:r>
      <w:r w:rsidR="00D43431" w:rsidRPr="00F15138">
        <w:rPr>
          <w:b/>
        </w:rPr>
        <w:t xml:space="preserve"> </w:t>
      </w:r>
      <w:r w:rsidR="006923F1" w:rsidRPr="00F15138">
        <w:t xml:space="preserve">Any TSV certified by applicable standards (e.g., ANSI, ASPE, etc.) </w:t>
      </w:r>
      <w:r w:rsidR="00CA7B8C">
        <w:t>is</w:t>
      </w:r>
      <w:r w:rsidR="006923F1" w:rsidRPr="00F15138">
        <w:t xml:space="preserve"> eligible. </w:t>
      </w:r>
    </w:p>
    <w:p w14:paraId="7D48344C" w14:textId="11C16E75" w:rsidR="00996D0D" w:rsidRDefault="007B0679" w:rsidP="00996D0D">
      <w:r w:rsidRPr="00DE7E65">
        <w:rPr>
          <w:i/>
        </w:rPr>
        <w:t>Low-Flow Showerhead</w:t>
      </w:r>
      <w:r w:rsidR="00D43431" w:rsidRPr="00DE7E65">
        <w:rPr>
          <w:i/>
        </w:rPr>
        <w:t>:</w:t>
      </w:r>
      <w:r w:rsidR="00D43431">
        <w:rPr>
          <w:b/>
        </w:rPr>
        <w:t xml:space="preserve"> </w:t>
      </w:r>
      <w:r w:rsidR="00996D0D">
        <w:t>The low-flow showerhead must meet the measure case requirements provided in the Measure Case Description.</w:t>
      </w:r>
    </w:p>
    <w:p w14:paraId="44B73594" w14:textId="61B33357" w:rsidR="00DE3900" w:rsidRPr="00DE3900" w:rsidRDefault="00DE3900" w:rsidP="00996D0D">
      <w:r w:rsidRPr="00DE3900">
        <w:t>The make and model number must be included with a copy of the customer receipt.</w:t>
      </w:r>
    </w:p>
    <w:p w14:paraId="30EAA8B7" w14:textId="77777777" w:rsidR="007B0679" w:rsidRPr="007B0679" w:rsidRDefault="007B0679" w:rsidP="007B0679"/>
    <w:p w14:paraId="7CE938DA" w14:textId="4DDAF33A" w:rsidR="007B6A74" w:rsidRDefault="007B6A74" w:rsidP="00401C43">
      <w:pPr>
        <w:pStyle w:val="eTRMHeading5"/>
      </w:pPr>
      <w:r w:rsidRPr="00401C43">
        <w:t>Eligible Building Types</w:t>
      </w:r>
    </w:p>
    <w:p w14:paraId="4559FFA6" w14:textId="3B745C81" w:rsidR="00996D0D" w:rsidRPr="00A77154" w:rsidRDefault="00996D0D" w:rsidP="00996D0D">
      <w:r>
        <w:t xml:space="preserve">This measure is applicable in all </w:t>
      </w:r>
      <w:r w:rsidR="0001266B">
        <w:t xml:space="preserve">existing </w:t>
      </w:r>
      <w:r>
        <w:t>California residential households</w:t>
      </w:r>
      <w:r w:rsidR="003F5555">
        <w:t xml:space="preserve"> of any vintage</w:t>
      </w:r>
      <w:r>
        <w:t>, including single-family, multi</w:t>
      </w:r>
      <w:r w:rsidRPr="00A77154">
        <w:t>family</w:t>
      </w:r>
      <w:r>
        <w:t>,</w:t>
      </w:r>
      <w:r w:rsidRPr="00A77154">
        <w:t xml:space="preserve"> and mobile hom</w:t>
      </w:r>
      <w:r>
        <w:t>es.</w:t>
      </w:r>
      <w:r w:rsidRPr="00A77154">
        <w:t xml:space="preserve"> </w:t>
      </w:r>
    </w:p>
    <w:p w14:paraId="13820547" w14:textId="77777777" w:rsidR="00105480" w:rsidRDefault="00105480" w:rsidP="00154391">
      <w:pPr>
        <w:pStyle w:val="eTRMHeading5"/>
      </w:pPr>
    </w:p>
    <w:p w14:paraId="1A3705F3" w14:textId="4BC0985D" w:rsidR="007B6A74" w:rsidRPr="004B06E3" w:rsidRDefault="00196649" w:rsidP="00154391">
      <w:pPr>
        <w:pStyle w:val="eTRMHeading5"/>
      </w:pPr>
      <w:r>
        <w:t>Eligible Climate Zones</w:t>
      </w:r>
    </w:p>
    <w:p w14:paraId="33FE5FA7" w14:textId="02CCA702" w:rsidR="0096249F" w:rsidRDefault="0096249F" w:rsidP="004B06E3">
      <w:r>
        <w:t>This measure is applicable in all California climate zones.</w:t>
      </w:r>
    </w:p>
    <w:p w14:paraId="36B8BC87" w14:textId="77777777" w:rsidR="004E7D83" w:rsidRPr="004B06E3" w:rsidRDefault="004E7D83" w:rsidP="004B06E3"/>
    <w:p w14:paraId="47630D60" w14:textId="77777777" w:rsidR="007D230B" w:rsidRPr="004B06E3" w:rsidRDefault="007D230B" w:rsidP="00462BB6">
      <w:pPr>
        <w:pStyle w:val="eTRMHeading3"/>
      </w:pPr>
      <w:bookmarkStart w:id="27" w:name="_Toc486490853"/>
      <w:bookmarkStart w:id="28" w:name="_Toc486580924"/>
      <w:bookmarkStart w:id="29" w:name="_Toc23506737"/>
      <w:r w:rsidRPr="004B06E3">
        <w:t>Program Exclusions</w:t>
      </w:r>
      <w:bookmarkEnd w:id="27"/>
      <w:bookmarkEnd w:id="28"/>
      <w:bookmarkEnd w:id="29"/>
      <w:r w:rsidRPr="004B06E3">
        <w:t xml:space="preserve"> </w:t>
      </w:r>
    </w:p>
    <w:p w14:paraId="14ECE8DF" w14:textId="74AD397D" w:rsidR="005B3CAC" w:rsidRPr="005B3CAC" w:rsidRDefault="00AE29AB" w:rsidP="007574AD">
      <w:r>
        <w:t>This measure is not applicable</w:t>
      </w:r>
      <w:r w:rsidR="005B3CAC" w:rsidRPr="005B3CAC">
        <w:t xml:space="preserve"> where recirculation pumps are used or where potential crossover between hot water and co</w:t>
      </w:r>
      <w:r w:rsidR="00820603">
        <w:t>l</w:t>
      </w:r>
      <w:r w:rsidR="005B3CAC" w:rsidRPr="005B3CAC">
        <w:t>d water may occur.</w:t>
      </w:r>
    </w:p>
    <w:p w14:paraId="23EDD35C" w14:textId="1661C958" w:rsidR="005B3CAC" w:rsidRPr="005B3CAC" w:rsidRDefault="005B3CAC" w:rsidP="007574AD">
      <w:r w:rsidRPr="005B3CAC">
        <w:t xml:space="preserve">The measure </w:t>
      </w:r>
      <w:r w:rsidR="004D251E">
        <w:t>is not applicable</w:t>
      </w:r>
      <w:r w:rsidR="004D251E" w:rsidRPr="005B3CAC">
        <w:t xml:space="preserve"> </w:t>
      </w:r>
      <w:r w:rsidRPr="005B3CAC">
        <w:t>where ta</w:t>
      </w:r>
      <w:r w:rsidR="004D251E">
        <w:t>nkless water heaters are used;</w:t>
      </w:r>
      <w:r w:rsidR="00820603">
        <w:t xml:space="preserve"> </w:t>
      </w:r>
      <w:r w:rsidR="004D251E">
        <w:t>i</w:t>
      </w:r>
      <w:r w:rsidRPr="005B3CAC">
        <w:t>nstantaneous tankless water heaters may have different effect on savings with temperature-initiated flow-restriction valves.</w:t>
      </w:r>
    </w:p>
    <w:p w14:paraId="66E04D36" w14:textId="4BD422FD" w:rsidR="007E694F" w:rsidRPr="005B3CAC" w:rsidRDefault="007E694F" w:rsidP="007E694F">
      <w:r w:rsidRPr="005B3CAC">
        <w:t xml:space="preserve">The measure </w:t>
      </w:r>
      <w:r>
        <w:t>is not applicable</w:t>
      </w:r>
      <w:r w:rsidRPr="005B3CAC">
        <w:t xml:space="preserve"> where the showerhead is installed in tub/shower combination systems.</w:t>
      </w:r>
      <w:r>
        <w:t xml:space="preserve"> (However, note that a gross savings installation adjustment (GSIA) factor has been added to allow for expected leakage.</w:t>
      </w:r>
      <w:r w:rsidR="00A65182">
        <w:t xml:space="preserve"> See Gross Savings Installation Adjustment.</w:t>
      </w:r>
      <w:r>
        <w:t xml:space="preserve">) </w:t>
      </w:r>
    </w:p>
    <w:p w14:paraId="76A9A64F" w14:textId="77777777" w:rsidR="007B6A74" w:rsidRPr="004B06E3" w:rsidRDefault="007B6A74" w:rsidP="004B06E3"/>
    <w:p w14:paraId="655E299F" w14:textId="77777777" w:rsidR="007D230B" w:rsidRPr="004B06E3" w:rsidRDefault="007D230B" w:rsidP="00462BB6">
      <w:pPr>
        <w:pStyle w:val="eTRMHeading3"/>
      </w:pPr>
      <w:bookmarkStart w:id="30" w:name="_Toc486490854"/>
      <w:bookmarkStart w:id="31" w:name="_Toc486580925"/>
      <w:bookmarkStart w:id="32" w:name="_Toc23506738"/>
      <w:r w:rsidRPr="004B06E3">
        <w:t>Data Collection Requirements</w:t>
      </w:r>
      <w:bookmarkEnd w:id="30"/>
      <w:bookmarkEnd w:id="31"/>
      <w:bookmarkEnd w:id="32"/>
      <w:r w:rsidRPr="004B06E3">
        <w:t xml:space="preserve"> </w:t>
      </w:r>
    </w:p>
    <w:p w14:paraId="25236023" w14:textId="77777777" w:rsidR="005552C5" w:rsidRDefault="005552C5" w:rsidP="005552C5">
      <w:bookmarkStart w:id="33" w:name="_Hlk511816372"/>
      <w:bookmarkStart w:id="34" w:name="_Toc486490855"/>
      <w:bookmarkStart w:id="35" w:name="_Toc486580926"/>
      <w:r>
        <w:t>Data collection requirements are to be determined.</w:t>
      </w:r>
    </w:p>
    <w:p w14:paraId="642F77BC" w14:textId="77777777" w:rsidR="00A87D3D" w:rsidRPr="004B06E3" w:rsidRDefault="00A87D3D" w:rsidP="00A87D3D"/>
    <w:p w14:paraId="4891FCAB" w14:textId="77777777" w:rsidR="007D230B" w:rsidRPr="004B06E3" w:rsidRDefault="007D230B" w:rsidP="00462BB6">
      <w:pPr>
        <w:pStyle w:val="eTRMHeading3"/>
      </w:pPr>
      <w:bookmarkStart w:id="36" w:name="_Toc23506739"/>
      <w:bookmarkEnd w:id="33"/>
      <w:r w:rsidRPr="004B06E3">
        <w:t>Use Category</w:t>
      </w:r>
      <w:bookmarkEnd w:id="34"/>
      <w:bookmarkEnd w:id="35"/>
      <w:bookmarkEnd w:id="36"/>
    </w:p>
    <w:p w14:paraId="72A62EE1" w14:textId="3DE54B32" w:rsidR="00B53615" w:rsidRPr="004142EF" w:rsidRDefault="00F803EB" w:rsidP="00B53615">
      <w:r>
        <w:t>Service &amp; Domestic Hot Water</w:t>
      </w:r>
    </w:p>
    <w:p w14:paraId="419EC910" w14:textId="77777777" w:rsidR="00F76213" w:rsidRDefault="00F76213" w:rsidP="00F76213">
      <w:bookmarkStart w:id="37" w:name="_Toc486490857"/>
      <w:bookmarkStart w:id="38" w:name="_Toc486580928"/>
    </w:p>
    <w:p w14:paraId="4B62D367" w14:textId="370A839E" w:rsidR="007D230B" w:rsidRDefault="007D230B" w:rsidP="00462BB6">
      <w:pPr>
        <w:pStyle w:val="eTRMHeading3"/>
      </w:pPr>
      <w:bookmarkStart w:id="39" w:name="_Toc23506740"/>
      <w:r w:rsidRPr="004B06E3">
        <w:lastRenderedPageBreak/>
        <w:t>Electric Savings</w:t>
      </w:r>
      <w:r w:rsidR="00245AFF" w:rsidRPr="004B06E3">
        <w:t xml:space="preserve"> (</w:t>
      </w:r>
      <w:r w:rsidR="00E14349" w:rsidRPr="00E135CC">
        <w:rPr>
          <w:caps w:val="0"/>
        </w:rPr>
        <w:t>k</w:t>
      </w:r>
      <w:r w:rsidR="00245AFF" w:rsidRPr="00E135CC">
        <w:rPr>
          <w:caps w:val="0"/>
        </w:rPr>
        <w:t>Wh</w:t>
      </w:r>
      <w:r w:rsidR="00245AFF" w:rsidRPr="004B06E3">
        <w:t>)</w:t>
      </w:r>
      <w:bookmarkEnd w:id="37"/>
      <w:bookmarkEnd w:id="38"/>
      <w:bookmarkEnd w:id="39"/>
    </w:p>
    <w:p w14:paraId="0F400F2C" w14:textId="0D023184" w:rsidR="00D43431" w:rsidRDefault="003475D4" w:rsidP="00D43431">
      <w:r>
        <w:t xml:space="preserve">This section explains the methodology for calculating the </w:t>
      </w:r>
      <w:r w:rsidR="00E41BE1">
        <w:t xml:space="preserve">electric (UES) </w:t>
      </w:r>
      <w:r>
        <w:t xml:space="preserve">unit energy savings of a </w:t>
      </w:r>
      <w:r w:rsidR="00BC17A0">
        <w:rPr>
          <w:rFonts w:cs="Calibri Light"/>
        </w:rPr>
        <w:t>t</w:t>
      </w:r>
      <w:r w:rsidR="00BC17A0" w:rsidRPr="008B6393">
        <w:rPr>
          <w:rFonts w:cs="Calibri Light"/>
        </w:rPr>
        <w:t xml:space="preserve">hermostatic </w:t>
      </w:r>
      <w:r w:rsidR="00BC17A0">
        <w:rPr>
          <w:rFonts w:cs="Calibri Light"/>
        </w:rPr>
        <w:t>shower v</w:t>
      </w:r>
      <w:r w:rsidR="00BC17A0" w:rsidRPr="008B6393">
        <w:rPr>
          <w:rFonts w:cs="Calibri Light"/>
        </w:rPr>
        <w:t>alve</w:t>
      </w:r>
      <w:r w:rsidR="00BC17A0">
        <w:rPr>
          <w:rFonts w:cs="Calibri Light"/>
        </w:rPr>
        <w:t xml:space="preserve"> (</w:t>
      </w:r>
      <w:r>
        <w:t>TSV</w:t>
      </w:r>
      <w:r w:rsidR="00BC17A0">
        <w:t>)</w:t>
      </w:r>
      <w:r>
        <w:t xml:space="preserve"> alone and a TSV with a low-flow showerhead. As per the Workpaper Disposition for Water Fixtures issued by </w:t>
      </w:r>
      <w:r w:rsidR="00184FDB">
        <w:t>t</w:t>
      </w:r>
      <w:r>
        <w:t>he Energy Division of the California Public Utilities Commission (CPUC) in 2013,</w:t>
      </w:r>
      <w:r w:rsidR="000A6464">
        <w:rPr>
          <w:rStyle w:val="FootnoteReference"/>
        </w:rPr>
        <w:footnoteReference w:id="7"/>
      </w:r>
      <w:r>
        <w:t xml:space="preserve"> </w:t>
      </w:r>
      <w:r w:rsidR="00184FDB">
        <w:t xml:space="preserve">the </w:t>
      </w:r>
      <w:r w:rsidR="00FC6744">
        <w:t>UES</w:t>
      </w:r>
      <w:r w:rsidR="00184FDB">
        <w:t xml:space="preserve"> of a TSV with a low-flow showerhead is equal to the sum of the </w:t>
      </w:r>
      <w:r w:rsidR="00FC6744">
        <w:t>UES</w:t>
      </w:r>
      <w:r w:rsidR="00184FDB">
        <w:t xml:space="preserve"> of each individual device, as </w:t>
      </w:r>
      <w:r w:rsidR="00BC17A0">
        <w:t>presented</w:t>
      </w:r>
      <w:r w:rsidR="00184FDB">
        <w:t xml:space="preserve"> below.</w:t>
      </w:r>
    </w:p>
    <w:p w14:paraId="5575FEDB" w14:textId="77777777" w:rsidR="003475D4" w:rsidRDefault="003475D4" w:rsidP="00D43431"/>
    <w:p w14:paraId="66217078" w14:textId="7A699EBD" w:rsidR="00D43431" w:rsidRDefault="00D43431" w:rsidP="00BF44BA">
      <w:pPr>
        <w:pStyle w:val="eTRMHeading4"/>
      </w:pPr>
      <w:r>
        <w:t>Low-Flow Showerhead Electric Savings (kWh)</w:t>
      </w:r>
    </w:p>
    <w:p w14:paraId="40C3EF03" w14:textId="5A91861B" w:rsidR="00184FDB" w:rsidRDefault="00184FDB" w:rsidP="00184FDB">
      <w:r>
        <w:t>The electric UES from the installation of a low-flow showerhead is determined by the reduction of hot water usage and the</w:t>
      </w:r>
      <w:r w:rsidR="00E41BE1">
        <w:t xml:space="preserve"> corresponding</w:t>
      </w:r>
      <w:r>
        <w:t xml:space="preserve"> reduction in energy consumption required to heat water for showers. As shown</w:t>
      </w:r>
      <w:r w:rsidR="00FC6744">
        <w:t xml:space="preserve"> below</w:t>
      </w:r>
      <w:r>
        <w:t xml:space="preserve">, the electric UES is derived from the gas UES, the ratio of the recovery efficiency of a gas water heater to that an electric water heater, and a </w:t>
      </w:r>
      <w:proofErr w:type="spellStart"/>
      <w:r>
        <w:t>therm</w:t>
      </w:r>
      <w:proofErr w:type="spellEnd"/>
      <w:r>
        <w:t xml:space="preserve">-to-kWh conversion factor. </w:t>
      </w:r>
    </w:p>
    <w:p w14:paraId="420A3677" w14:textId="475CE17B" w:rsidR="00184FDB" w:rsidRPr="008560FF" w:rsidRDefault="00497854" w:rsidP="00184FDB">
      <w:pPr>
        <w:ind w:left="720"/>
        <w:rPr>
          <w:rFonts w:asciiTheme="minorHAnsi" w:hAnsiTheme="minorHAnsi"/>
          <w:sz w:val="16"/>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kW</m:t>
              </m:r>
              <m:r>
                <w:rPr>
                  <w:rFonts w:ascii="Cambria Math" w:hAnsi="Cambria Math"/>
                  <w:sz w:val="18"/>
                </w:rPr>
                <m:t>h</m:t>
              </m:r>
              <m:r>
                <w:rPr>
                  <w:rFonts w:ascii="Cambria Math" w:hAnsi="Cambria Math"/>
                  <w:sz w:val="18"/>
                </w:rPr>
                <m:t xml:space="preserve">, </m:t>
              </m:r>
              <m:r>
                <w:rPr>
                  <w:rFonts w:ascii="Cambria Math" w:hAnsi="Cambria Math"/>
                  <w:sz w:val="18"/>
                </w:rPr>
                <m:t>s</m:t>
              </m:r>
              <m:r>
                <w:rPr>
                  <w:rFonts w:ascii="Cambria Math" w:hAnsi="Cambria Math"/>
                  <w:sz w:val="18"/>
                </w:rPr>
                <m:t>h</m:t>
              </m:r>
              <m:r>
                <w:rPr>
                  <w:rFonts w:ascii="Cambria Math" w:hAnsi="Cambria Math"/>
                  <w:sz w:val="18"/>
                </w:rPr>
                <m:t>ower</m:t>
              </m:r>
              <m:r>
                <w:rPr>
                  <w:rFonts w:ascii="Cambria Math" w:hAnsi="Cambria Math"/>
                  <w:sz w:val="18"/>
                </w:rPr>
                <m:t>h</m:t>
              </m:r>
              <m:r>
                <w:rPr>
                  <w:rFonts w:ascii="Cambria Math" w:hAnsi="Cambria Math"/>
                  <w:sz w:val="18"/>
                </w:rPr>
                <m:t>ead</m:t>
              </m:r>
              <m:r>
                <w:rPr>
                  <w:rFonts w:ascii="Cambria Math" w:hAnsi="Cambria Math"/>
                  <w:sz w:val="18"/>
                </w:rPr>
                <m:t xml:space="preserve"> </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UES</m:t>
              </m:r>
            </m:e>
            <m:sub>
              <m:r>
                <w:rPr>
                  <w:rFonts w:ascii="Cambria Math" w:hAnsi="Cambria Math"/>
                  <w:sz w:val="18"/>
                </w:rPr>
                <m:t>t</m:t>
              </m:r>
              <m:r>
                <w:rPr>
                  <w:rFonts w:ascii="Cambria Math" w:hAnsi="Cambria Math"/>
                  <w:sz w:val="18"/>
                </w:rPr>
                <m:t>h</m:t>
              </m:r>
              <m:r>
                <w:rPr>
                  <w:rFonts w:ascii="Cambria Math" w:hAnsi="Cambria Math"/>
                  <w:sz w:val="18"/>
                </w:rPr>
                <m:t>erms</m:t>
              </m:r>
              <m:r>
                <w:rPr>
                  <w:rFonts w:ascii="Cambria Math" w:hAnsi="Cambria Math"/>
                  <w:sz w:val="18"/>
                </w:rPr>
                <m:t>,</m:t>
              </m:r>
              <m:r>
                <w:rPr>
                  <w:rFonts w:ascii="Cambria Math" w:hAnsi="Cambria Math"/>
                  <w:sz w:val="18"/>
                </w:rPr>
                <m:t>s</m:t>
              </m:r>
              <m:r>
                <w:rPr>
                  <w:rFonts w:ascii="Cambria Math" w:hAnsi="Cambria Math"/>
                  <w:sz w:val="18"/>
                </w:rPr>
                <m:t>h</m:t>
              </m:r>
              <m:r>
                <w:rPr>
                  <w:rFonts w:ascii="Cambria Math" w:hAnsi="Cambria Math"/>
                  <w:sz w:val="18"/>
                </w:rPr>
                <m:t>ower</m:t>
              </m:r>
              <m:r>
                <w:rPr>
                  <w:rFonts w:ascii="Cambria Math" w:hAnsi="Cambria Math"/>
                  <w:sz w:val="18"/>
                </w:rPr>
                <m:t>h</m:t>
              </m:r>
              <m:r>
                <w:rPr>
                  <w:rFonts w:ascii="Cambria Math" w:hAnsi="Cambria Math"/>
                  <w:sz w:val="18"/>
                </w:rPr>
                <m:t>ead</m:t>
              </m:r>
            </m:sub>
          </m:sSub>
          <m:r>
            <w:rPr>
              <w:rFonts w:ascii="Cambria Math" w:hAnsi="Cambria Math"/>
              <w:sz w:val="18"/>
            </w:rPr>
            <m:t>×</m:t>
          </m:r>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EFF</m:t>
                  </m:r>
                </m:e>
                <m:sub>
                  <m:r>
                    <w:rPr>
                      <w:rFonts w:ascii="Cambria Math" w:hAnsi="Cambria Math"/>
                      <w:sz w:val="18"/>
                    </w:rPr>
                    <m:t>gas</m:t>
                  </m:r>
                </m:sub>
              </m:sSub>
            </m:num>
            <m:den>
              <m:sSub>
                <m:sSubPr>
                  <m:ctrlPr>
                    <w:rPr>
                      <w:rFonts w:ascii="Cambria Math" w:hAnsi="Cambria Math"/>
                      <w:i/>
                      <w:sz w:val="18"/>
                    </w:rPr>
                  </m:ctrlPr>
                </m:sSubPr>
                <m:e>
                  <m:r>
                    <w:rPr>
                      <w:rFonts w:ascii="Cambria Math" w:hAnsi="Cambria Math"/>
                      <w:sz w:val="18"/>
                    </w:rPr>
                    <m:t>EFF</m:t>
                  </m:r>
                </m:e>
                <m:sub>
                  <m:r>
                    <w:rPr>
                      <w:rFonts w:ascii="Cambria Math" w:hAnsi="Cambria Math"/>
                      <w:sz w:val="18"/>
                    </w:rPr>
                    <m:t>elec</m:t>
                  </m:r>
                </m:sub>
              </m:sSub>
            </m:den>
          </m:f>
          <m:r>
            <w:rPr>
              <w:rFonts w:ascii="Cambria Math" w:hAnsi="Cambria Math"/>
              <w:sz w:val="18"/>
            </w:rPr>
            <m:t>×</m:t>
          </m:r>
          <m:f>
            <m:fPr>
              <m:ctrlPr>
                <w:rPr>
                  <w:rFonts w:ascii="Cambria Math" w:hAnsi="Cambria Math"/>
                  <w:i/>
                  <w:sz w:val="18"/>
                </w:rPr>
              </m:ctrlPr>
            </m:fPr>
            <m:num>
              <m:r>
                <w:rPr>
                  <w:rFonts w:ascii="Cambria Math" w:hAnsi="Cambria Math"/>
                  <w:sz w:val="18"/>
                </w:rPr>
                <m:t xml:space="preserve">100,000 </m:t>
              </m:r>
              <m:r>
                <w:rPr>
                  <w:rFonts w:ascii="Cambria Math" w:hAnsi="Cambria Math"/>
                  <w:sz w:val="18"/>
                </w:rPr>
                <m:t>BTU</m:t>
              </m:r>
            </m:num>
            <m:den>
              <m:r>
                <w:rPr>
                  <w:rFonts w:ascii="Cambria Math" w:hAnsi="Cambria Math"/>
                  <w:sz w:val="18"/>
                </w:rPr>
                <m:t>t</m:t>
              </m:r>
              <m:r>
                <w:rPr>
                  <w:rFonts w:ascii="Cambria Math" w:hAnsi="Cambria Math"/>
                  <w:sz w:val="18"/>
                </w:rPr>
                <m:t>h</m:t>
              </m:r>
              <m:r>
                <w:rPr>
                  <w:rFonts w:ascii="Cambria Math" w:hAnsi="Cambria Math"/>
                  <w:sz w:val="18"/>
                </w:rPr>
                <m:t>erms</m:t>
              </m:r>
            </m:den>
          </m:f>
          <m:r>
            <w:rPr>
              <w:rFonts w:ascii="Cambria Math" w:hAnsi="Cambria Math"/>
              <w:sz w:val="18"/>
            </w:rPr>
            <m:t>×</m:t>
          </m:r>
          <m:f>
            <m:fPr>
              <m:ctrlPr>
                <w:rPr>
                  <w:rFonts w:ascii="Cambria Math" w:hAnsi="Cambria Math"/>
                  <w:i/>
                  <w:sz w:val="18"/>
                </w:rPr>
              </m:ctrlPr>
            </m:fPr>
            <m:num>
              <m:r>
                <w:rPr>
                  <w:rFonts w:ascii="Cambria Math" w:hAnsi="Cambria Math"/>
                  <w:sz w:val="18"/>
                </w:rPr>
                <m:t>kW</m:t>
              </m:r>
              <m:r>
                <w:rPr>
                  <w:rFonts w:ascii="Cambria Math" w:hAnsi="Cambria Math"/>
                  <w:sz w:val="18"/>
                </w:rPr>
                <m:t>h</m:t>
              </m:r>
            </m:num>
            <m:den>
              <m:r>
                <w:rPr>
                  <w:rFonts w:ascii="Cambria Math" w:hAnsi="Cambria Math"/>
                  <w:sz w:val="18"/>
                </w:rPr>
                <m:t xml:space="preserve">3,413 </m:t>
              </m:r>
              <m:r>
                <w:rPr>
                  <w:rFonts w:ascii="Cambria Math" w:hAnsi="Cambria Math"/>
                  <w:sz w:val="18"/>
                </w:rPr>
                <m:t>BTU</m:t>
              </m:r>
            </m:den>
          </m:f>
        </m:oMath>
      </m:oMathPara>
    </w:p>
    <w:p w14:paraId="2EDB36B1" w14:textId="0F1A1B7D" w:rsidR="00184FDB" w:rsidRDefault="00184FDB" w:rsidP="00184FDB">
      <w:pPr>
        <w:tabs>
          <w:tab w:val="left" w:pos="288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sidRPr="00AC4758">
        <w:rPr>
          <w:rFonts w:ascii="Cambria Math" w:hAnsi="Cambria Math" w:cs="Calibri Light"/>
          <w:i/>
          <w:sz w:val="18"/>
          <w:szCs w:val="18"/>
          <w:vertAlign w:val="subscript"/>
        </w:rPr>
        <w:t>kWh</w:t>
      </w:r>
      <w:proofErr w:type="spellEnd"/>
      <w:r>
        <w:rPr>
          <w:rFonts w:ascii="Cambria Math" w:hAnsi="Cambria Math" w:cs="Calibri Light"/>
          <w:i/>
          <w:sz w:val="18"/>
          <w:szCs w:val="18"/>
        </w:rPr>
        <w:t xml:space="preserve"> = </w:t>
      </w:r>
      <w:r>
        <w:rPr>
          <w:rFonts w:ascii="Cambria Math" w:hAnsi="Cambria Math" w:cs="Calibri Light"/>
          <w:i/>
          <w:sz w:val="18"/>
          <w:szCs w:val="18"/>
        </w:rPr>
        <w:tab/>
        <w:t>Annual electric unit energy savings</w:t>
      </w:r>
      <w:r w:rsidR="00702E2D">
        <w:rPr>
          <w:rFonts w:ascii="Cambria Math" w:hAnsi="Cambria Math" w:cs="Calibri Light"/>
          <w:i/>
          <w:sz w:val="18"/>
          <w:szCs w:val="18"/>
        </w:rPr>
        <w:t xml:space="preserve"> of showerhead</w:t>
      </w:r>
      <w:r>
        <w:rPr>
          <w:rFonts w:ascii="Cambria Math" w:hAnsi="Cambria Math" w:cs="Calibri Light"/>
          <w:i/>
          <w:sz w:val="18"/>
          <w:szCs w:val="18"/>
        </w:rPr>
        <w:t xml:space="preserve"> (kWh/year)</w:t>
      </w:r>
    </w:p>
    <w:p w14:paraId="2ACDDD8C" w14:textId="0DBCDFEB" w:rsidR="00184FDB" w:rsidRDefault="00184FDB" w:rsidP="00184FDB">
      <w:pPr>
        <w:tabs>
          <w:tab w:val="left" w:pos="288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Pr>
          <w:rFonts w:ascii="Cambria Math" w:hAnsi="Cambria Math" w:cs="Calibri Light"/>
          <w:i/>
          <w:sz w:val="18"/>
          <w:szCs w:val="18"/>
          <w:vertAlign w:val="subscript"/>
        </w:rPr>
        <w:t>therms</w:t>
      </w:r>
      <w:proofErr w:type="spellEnd"/>
      <w:r>
        <w:rPr>
          <w:rFonts w:ascii="Cambria Math" w:hAnsi="Cambria Math" w:cs="Calibri Light"/>
          <w:i/>
          <w:sz w:val="18"/>
          <w:szCs w:val="18"/>
        </w:rPr>
        <w:t xml:space="preserve"> = </w:t>
      </w:r>
      <w:r>
        <w:rPr>
          <w:rFonts w:ascii="Cambria Math" w:hAnsi="Cambria Math" w:cs="Calibri Light"/>
          <w:i/>
          <w:sz w:val="18"/>
          <w:szCs w:val="18"/>
        </w:rPr>
        <w:tab/>
        <w:t>Annual gas unit energy savings</w:t>
      </w:r>
      <w:r w:rsidR="00702E2D">
        <w:rPr>
          <w:rFonts w:ascii="Cambria Math" w:hAnsi="Cambria Math" w:cs="Calibri Light"/>
          <w:i/>
          <w:sz w:val="18"/>
          <w:szCs w:val="18"/>
        </w:rPr>
        <w:t xml:space="preserve"> of showerhead</w:t>
      </w:r>
      <w:r>
        <w:rPr>
          <w:rFonts w:ascii="Cambria Math" w:hAnsi="Cambria Math" w:cs="Calibri Light"/>
          <w:i/>
          <w:sz w:val="18"/>
          <w:szCs w:val="18"/>
        </w:rPr>
        <w:t xml:space="preserve"> (</w:t>
      </w:r>
      <w:proofErr w:type="spellStart"/>
      <w:r>
        <w:rPr>
          <w:rFonts w:ascii="Cambria Math" w:hAnsi="Cambria Math" w:cs="Calibri Light"/>
          <w:i/>
          <w:sz w:val="18"/>
          <w:szCs w:val="18"/>
        </w:rPr>
        <w:t>therms</w:t>
      </w:r>
      <w:proofErr w:type="spellEnd"/>
      <w:r>
        <w:rPr>
          <w:rFonts w:ascii="Cambria Math" w:hAnsi="Cambria Math" w:cs="Calibri Light"/>
          <w:i/>
          <w:sz w:val="18"/>
          <w:szCs w:val="18"/>
        </w:rPr>
        <w:t>/year)</w:t>
      </w:r>
    </w:p>
    <w:p w14:paraId="36B91502" w14:textId="77777777" w:rsidR="00184FDB" w:rsidRPr="000B726B" w:rsidRDefault="00184FDB" w:rsidP="00184FDB">
      <w:pPr>
        <w:tabs>
          <w:tab w:val="left" w:pos="2880"/>
        </w:tabs>
        <w:spacing w:before="20" w:after="20"/>
        <w:ind w:left="1440"/>
        <w:rPr>
          <w:rFonts w:ascii="Cambria Math" w:hAnsi="Cambria Math"/>
          <w:i/>
          <w:sz w:val="18"/>
          <w:szCs w:val="18"/>
        </w:rPr>
      </w:pPr>
      <w:proofErr w:type="spellStart"/>
      <w:r>
        <w:rPr>
          <w:rFonts w:ascii="Cambria Math" w:hAnsi="Cambria Math"/>
          <w:i/>
          <w:sz w:val="18"/>
          <w:szCs w:val="18"/>
        </w:rPr>
        <w:t>EFF</w:t>
      </w:r>
      <w:r>
        <w:rPr>
          <w:rFonts w:ascii="Cambria Math" w:hAnsi="Cambria Math"/>
          <w:i/>
          <w:sz w:val="18"/>
          <w:szCs w:val="18"/>
          <w:vertAlign w:val="subscript"/>
        </w:rPr>
        <w:t>gas</w:t>
      </w:r>
      <w:proofErr w:type="spellEnd"/>
      <w:r>
        <w:rPr>
          <w:rFonts w:ascii="Cambria Math" w:hAnsi="Cambria Math"/>
          <w:i/>
          <w:sz w:val="18"/>
          <w:szCs w:val="18"/>
        </w:rPr>
        <w:t xml:space="preserve"> = </w:t>
      </w:r>
      <w:r>
        <w:rPr>
          <w:rFonts w:ascii="Cambria Math" w:hAnsi="Cambria Math"/>
          <w:i/>
          <w:sz w:val="18"/>
          <w:szCs w:val="18"/>
        </w:rPr>
        <w:tab/>
        <w:t xml:space="preserve">Min. water heater efficiency (recovery efficiency), gas </w:t>
      </w:r>
    </w:p>
    <w:p w14:paraId="7567BCB3" w14:textId="3D45FFB9" w:rsidR="00184FDB" w:rsidRDefault="00184FDB" w:rsidP="00184FDB">
      <w:pPr>
        <w:tabs>
          <w:tab w:val="left" w:pos="2880"/>
        </w:tabs>
        <w:spacing w:before="20" w:after="20"/>
        <w:ind w:left="1440"/>
        <w:rPr>
          <w:rFonts w:ascii="Cambria Math" w:hAnsi="Cambria Math"/>
          <w:i/>
          <w:sz w:val="18"/>
          <w:szCs w:val="18"/>
        </w:rPr>
      </w:pPr>
      <w:proofErr w:type="spellStart"/>
      <w:r>
        <w:rPr>
          <w:rFonts w:ascii="Cambria Math" w:hAnsi="Cambria Math"/>
          <w:i/>
          <w:sz w:val="18"/>
          <w:szCs w:val="18"/>
        </w:rPr>
        <w:t>EFF</w:t>
      </w:r>
      <w:r w:rsidRPr="00C07366">
        <w:rPr>
          <w:rFonts w:ascii="Cambria Math" w:hAnsi="Cambria Math"/>
          <w:i/>
          <w:sz w:val="18"/>
          <w:szCs w:val="18"/>
          <w:vertAlign w:val="subscript"/>
        </w:rPr>
        <w:t>elec</w:t>
      </w:r>
      <w:proofErr w:type="spellEnd"/>
      <w:r>
        <w:rPr>
          <w:rFonts w:ascii="Cambria Math" w:hAnsi="Cambria Math"/>
          <w:i/>
          <w:sz w:val="18"/>
          <w:szCs w:val="18"/>
        </w:rPr>
        <w:t xml:space="preserve"> = </w:t>
      </w:r>
      <w:r>
        <w:rPr>
          <w:rFonts w:ascii="Cambria Math" w:hAnsi="Cambria Math"/>
          <w:i/>
          <w:sz w:val="18"/>
          <w:szCs w:val="18"/>
        </w:rPr>
        <w:tab/>
        <w:t xml:space="preserve">Min. water heater efficiency (recovery efficiency), electric </w:t>
      </w:r>
    </w:p>
    <w:p w14:paraId="417031C6" w14:textId="277DCE47" w:rsidR="00E41BE1" w:rsidRDefault="00E41BE1" w:rsidP="00184FDB">
      <w:pPr>
        <w:tabs>
          <w:tab w:val="left" w:pos="2880"/>
        </w:tabs>
        <w:spacing w:before="20" w:after="20"/>
        <w:ind w:left="1440"/>
        <w:rPr>
          <w:rFonts w:ascii="Cambria Math" w:hAnsi="Cambria Math"/>
          <w:i/>
          <w:sz w:val="18"/>
          <w:szCs w:val="18"/>
        </w:rPr>
      </w:pPr>
    </w:p>
    <w:p w14:paraId="1454CFC7" w14:textId="33230352" w:rsidR="00E41BE1" w:rsidRDefault="00E41BE1" w:rsidP="00E41BE1">
      <w:r>
        <w:t xml:space="preserve">Refer to the Gas Savings section for the derivation of the gas UES. All other inputs used for this calculation are </w:t>
      </w:r>
      <w:r w:rsidR="00FC6744">
        <w:t>specified in the following table</w:t>
      </w:r>
      <w:r>
        <w:t>.</w:t>
      </w:r>
    </w:p>
    <w:p w14:paraId="66F350A6" w14:textId="7883A502" w:rsidR="00184FDB" w:rsidRPr="008560FF" w:rsidRDefault="00184FDB" w:rsidP="00184FDB">
      <w:pPr>
        <w:pStyle w:val="Caption"/>
        <w:rPr>
          <w:rFonts w:cs="Calibri Light"/>
          <w:szCs w:val="20"/>
        </w:rPr>
      </w:pPr>
      <w:bookmarkStart w:id="40" w:name="_Hlk496980948"/>
      <w:r>
        <w:t xml:space="preserve">Electric </w:t>
      </w:r>
      <w:r w:rsidR="00FC6744">
        <w:t>UES</w:t>
      </w:r>
      <w:r>
        <w:rPr>
          <w:rFonts w:cs="Calibri Light"/>
          <w:szCs w:val="20"/>
        </w:rPr>
        <w:t xml:space="preserve"> Calculation Constants</w:t>
      </w:r>
      <w:r w:rsidRPr="008560FF">
        <w:rPr>
          <w:rFonts w:cs="Calibri Light"/>
          <w:szCs w:val="20"/>
        </w:rPr>
        <w:t xml:space="preserve"> </w:t>
      </w:r>
      <w:r w:rsidR="00FC6744">
        <w:rPr>
          <w:rFonts w:cs="Calibri Light"/>
          <w:szCs w:val="20"/>
        </w:rPr>
        <w:t>– Low-flow Showerhead</w:t>
      </w:r>
    </w:p>
    <w:tbl>
      <w:tblPr>
        <w:tblW w:w="919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3356"/>
        <w:gridCol w:w="1008"/>
        <w:gridCol w:w="1296"/>
        <w:gridCol w:w="3539"/>
      </w:tblGrid>
      <w:tr w:rsidR="00184FDB" w:rsidRPr="00D31C65" w14:paraId="480E9C5B" w14:textId="77777777" w:rsidTr="00C95071">
        <w:trPr>
          <w:trHeight w:val="260"/>
        </w:trPr>
        <w:tc>
          <w:tcPr>
            <w:tcW w:w="3356" w:type="dxa"/>
            <w:shd w:val="clear" w:color="auto" w:fill="F2F2F2" w:themeFill="background1" w:themeFillShade="F2"/>
            <w:noWrap/>
            <w:vAlign w:val="bottom"/>
            <w:hideMark/>
          </w:tcPr>
          <w:p w14:paraId="1F69DBE7" w14:textId="77777777" w:rsidR="00184FDB" w:rsidRPr="00D31C65" w:rsidRDefault="00184FDB" w:rsidP="00C95071">
            <w:pPr>
              <w:spacing w:before="0" w:after="0" w:line="240" w:lineRule="auto"/>
              <w:rPr>
                <w:rFonts w:eastAsia="Times New Roman" w:cs="Times New Roman"/>
                <w:b/>
                <w:sz w:val="20"/>
                <w:szCs w:val="20"/>
              </w:rPr>
            </w:pPr>
            <w:r w:rsidRPr="00D31C65">
              <w:rPr>
                <w:rFonts w:eastAsia="Times New Roman" w:cs="Times New Roman"/>
                <w:b/>
                <w:sz w:val="20"/>
                <w:szCs w:val="20"/>
              </w:rPr>
              <w:t>Energy Savings Inputs / Constants</w:t>
            </w:r>
          </w:p>
        </w:tc>
        <w:tc>
          <w:tcPr>
            <w:tcW w:w="1008" w:type="dxa"/>
            <w:shd w:val="clear" w:color="auto" w:fill="F2F2F2" w:themeFill="background1" w:themeFillShade="F2"/>
            <w:noWrap/>
            <w:vAlign w:val="bottom"/>
            <w:hideMark/>
          </w:tcPr>
          <w:p w14:paraId="3B260077" w14:textId="77777777" w:rsidR="00184FDB" w:rsidRPr="00D31C65" w:rsidRDefault="00184FDB" w:rsidP="00C95071">
            <w:pPr>
              <w:spacing w:before="0" w:after="0" w:line="240" w:lineRule="auto"/>
              <w:rPr>
                <w:rFonts w:eastAsia="Times New Roman" w:cs="Times New Roman"/>
                <w:b/>
                <w:sz w:val="20"/>
                <w:szCs w:val="20"/>
              </w:rPr>
            </w:pPr>
            <w:r w:rsidRPr="00D31C65">
              <w:rPr>
                <w:rFonts w:eastAsia="Times New Roman" w:cs="Times New Roman"/>
                <w:b/>
                <w:sz w:val="20"/>
                <w:szCs w:val="20"/>
              </w:rPr>
              <w:t xml:space="preserve">Units </w:t>
            </w:r>
          </w:p>
        </w:tc>
        <w:tc>
          <w:tcPr>
            <w:tcW w:w="1296" w:type="dxa"/>
            <w:shd w:val="clear" w:color="auto" w:fill="F2F2F2" w:themeFill="background1" w:themeFillShade="F2"/>
            <w:noWrap/>
            <w:vAlign w:val="bottom"/>
            <w:hideMark/>
          </w:tcPr>
          <w:p w14:paraId="3BEC9D03" w14:textId="77777777" w:rsidR="00184FDB" w:rsidRPr="00D31C65" w:rsidRDefault="00184FDB" w:rsidP="00C95071">
            <w:pPr>
              <w:spacing w:before="0" w:after="0" w:line="240" w:lineRule="auto"/>
              <w:rPr>
                <w:rFonts w:eastAsia="Times New Roman" w:cs="Times New Roman"/>
                <w:b/>
                <w:sz w:val="20"/>
                <w:szCs w:val="20"/>
              </w:rPr>
            </w:pPr>
            <w:r w:rsidRPr="00D31C65">
              <w:rPr>
                <w:rFonts w:eastAsia="Times New Roman" w:cs="Times New Roman"/>
                <w:b/>
                <w:sz w:val="20"/>
                <w:szCs w:val="20"/>
              </w:rPr>
              <w:t>Value</w:t>
            </w:r>
          </w:p>
        </w:tc>
        <w:tc>
          <w:tcPr>
            <w:tcW w:w="3539" w:type="dxa"/>
            <w:shd w:val="clear" w:color="auto" w:fill="F2F2F2" w:themeFill="background1" w:themeFillShade="F2"/>
            <w:noWrap/>
            <w:vAlign w:val="bottom"/>
            <w:hideMark/>
          </w:tcPr>
          <w:p w14:paraId="7F505660" w14:textId="77777777" w:rsidR="00184FDB" w:rsidRPr="00D31C65" w:rsidRDefault="00184FDB" w:rsidP="00C95071">
            <w:pPr>
              <w:spacing w:before="0" w:after="0" w:line="240" w:lineRule="auto"/>
              <w:rPr>
                <w:rFonts w:eastAsia="Times New Roman" w:cs="Times New Roman"/>
                <w:b/>
                <w:sz w:val="20"/>
                <w:szCs w:val="20"/>
              </w:rPr>
            </w:pPr>
            <w:r w:rsidRPr="00D31C65">
              <w:rPr>
                <w:rFonts w:eastAsia="Times New Roman" w:cs="Times New Roman"/>
                <w:b/>
                <w:sz w:val="20"/>
                <w:szCs w:val="20"/>
              </w:rPr>
              <w:t>Source</w:t>
            </w:r>
          </w:p>
        </w:tc>
      </w:tr>
      <w:tr w:rsidR="00184FDB" w:rsidRPr="00D31C65" w14:paraId="6C2C2132" w14:textId="77777777" w:rsidTr="00C95071">
        <w:trPr>
          <w:trHeight w:val="260"/>
        </w:trPr>
        <w:tc>
          <w:tcPr>
            <w:tcW w:w="3356" w:type="dxa"/>
            <w:shd w:val="clear" w:color="auto" w:fill="auto"/>
            <w:noWrap/>
            <w:vAlign w:val="bottom"/>
          </w:tcPr>
          <w:p w14:paraId="73913615" w14:textId="77777777" w:rsidR="00184FDB" w:rsidRPr="00BF3C37" w:rsidRDefault="00184FDB" w:rsidP="00C95071">
            <w:pPr>
              <w:spacing w:before="0" w:after="0" w:line="240" w:lineRule="auto"/>
              <w:rPr>
                <w:rFonts w:eastAsia="Times New Roman" w:cs="Times New Roman"/>
                <w:sz w:val="20"/>
                <w:szCs w:val="20"/>
              </w:rPr>
            </w:pPr>
            <w:r w:rsidRPr="00BF3C37">
              <w:rPr>
                <w:rFonts w:eastAsia="Times New Roman" w:cs="Times New Roman"/>
                <w:sz w:val="20"/>
                <w:szCs w:val="20"/>
              </w:rPr>
              <w:t>Gas Unit Energy Savings</w:t>
            </w:r>
          </w:p>
        </w:tc>
        <w:tc>
          <w:tcPr>
            <w:tcW w:w="1008" w:type="dxa"/>
            <w:shd w:val="clear" w:color="auto" w:fill="auto"/>
            <w:noWrap/>
            <w:vAlign w:val="bottom"/>
          </w:tcPr>
          <w:p w14:paraId="24D4BA78" w14:textId="77777777" w:rsidR="00184FDB" w:rsidRPr="00BF3C37" w:rsidRDefault="00184FDB" w:rsidP="00C95071">
            <w:pPr>
              <w:spacing w:before="0" w:after="0" w:line="240" w:lineRule="auto"/>
              <w:rPr>
                <w:rFonts w:eastAsia="Times New Roman" w:cs="Times New Roman"/>
                <w:sz w:val="20"/>
                <w:szCs w:val="20"/>
              </w:rPr>
            </w:pPr>
            <w:proofErr w:type="spellStart"/>
            <w:r w:rsidRPr="00BF3C37">
              <w:rPr>
                <w:rFonts w:eastAsia="Times New Roman" w:cs="Times New Roman"/>
                <w:sz w:val="20"/>
                <w:szCs w:val="20"/>
              </w:rPr>
              <w:t>Therms</w:t>
            </w:r>
            <w:proofErr w:type="spellEnd"/>
          </w:p>
        </w:tc>
        <w:tc>
          <w:tcPr>
            <w:tcW w:w="1296" w:type="dxa"/>
            <w:shd w:val="clear" w:color="auto" w:fill="auto"/>
            <w:noWrap/>
            <w:vAlign w:val="bottom"/>
          </w:tcPr>
          <w:p w14:paraId="1002445F" w14:textId="77777777" w:rsidR="00184FDB" w:rsidRPr="00BF3C37" w:rsidRDefault="00184FDB" w:rsidP="00C95071">
            <w:pPr>
              <w:spacing w:before="0" w:after="0" w:line="240" w:lineRule="auto"/>
              <w:rPr>
                <w:rFonts w:eastAsia="Times New Roman" w:cs="Times New Roman"/>
                <w:sz w:val="20"/>
                <w:szCs w:val="20"/>
              </w:rPr>
            </w:pPr>
            <w:r>
              <w:rPr>
                <w:rFonts w:eastAsia="Times New Roman" w:cs="Times New Roman"/>
                <w:sz w:val="20"/>
                <w:szCs w:val="20"/>
              </w:rPr>
              <w:t>Varies by CZ</w:t>
            </w:r>
          </w:p>
        </w:tc>
        <w:tc>
          <w:tcPr>
            <w:tcW w:w="3539" w:type="dxa"/>
            <w:shd w:val="clear" w:color="auto" w:fill="auto"/>
            <w:noWrap/>
            <w:vAlign w:val="bottom"/>
          </w:tcPr>
          <w:p w14:paraId="42059B85" w14:textId="77777777" w:rsidR="00184FDB" w:rsidRPr="00E540D1" w:rsidRDefault="00184FDB" w:rsidP="00C95071">
            <w:pPr>
              <w:spacing w:before="0" w:after="0" w:line="240" w:lineRule="auto"/>
              <w:rPr>
                <w:rFonts w:eastAsia="Times New Roman" w:cs="Times New Roman"/>
                <w:sz w:val="18"/>
                <w:szCs w:val="18"/>
              </w:rPr>
            </w:pPr>
            <w:r w:rsidRPr="00E540D1">
              <w:rPr>
                <w:rFonts w:eastAsia="Times New Roman" w:cs="Times New Roman"/>
                <w:sz w:val="18"/>
                <w:szCs w:val="18"/>
              </w:rPr>
              <w:t>See Gas Savings section.</w:t>
            </w:r>
          </w:p>
        </w:tc>
      </w:tr>
      <w:tr w:rsidR="00184FDB" w:rsidRPr="00D31C65" w14:paraId="1C2C3464" w14:textId="77777777" w:rsidTr="00C95071">
        <w:trPr>
          <w:trHeight w:val="260"/>
        </w:trPr>
        <w:tc>
          <w:tcPr>
            <w:tcW w:w="3356" w:type="dxa"/>
            <w:shd w:val="clear" w:color="auto" w:fill="auto"/>
            <w:noWrap/>
            <w:vAlign w:val="center"/>
            <w:hideMark/>
          </w:tcPr>
          <w:p w14:paraId="740259DF" w14:textId="77777777" w:rsidR="00184FDB" w:rsidRPr="00D31C65" w:rsidRDefault="00184FDB" w:rsidP="00C95071">
            <w:pPr>
              <w:spacing w:before="0" w:after="0" w:line="240" w:lineRule="auto"/>
              <w:rPr>
                <w:rFonts w:eastAsia="Times New Roman" w:cs="Times New Roman"/>
                <w:sz w:val="20"/>
                <w:szCs w:val="20"/>
              </w:rPr>
            </w:pPr>
            <w:r w:rsidRPr="00D31C65">
              <w:rPr>
                <w:rFonts w:eastAsia="Times New Roman" w:cs="Times New Roman"/>
                <w:sz w:val="20"/>
                <w:szCs w:val="20"/>
              </w:rPr>
              <w:t xml:space="preserve">Gas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008" w:type="dxa"/>
            <w:shd w:val="clear" w:color="auto" w:fill="auto"/>
            <w:noWrap/>
            <w:vAlign w:val="center"/>
            <w:hideMark/>
          </w:tcPr>
          <w:p w14:paraId="193EB0A2" w14:textId="77777777" w:rsidR="00184FDB" w:rsidRPr="00D31C65" w:rsidRDefault="00184FDB" w:rsidP="00C95071">
            <w:pPr>
              <w:spacing w:before="0" w:after="0" w:line="240" w:lineRule="auto"/>
              <w:rPr>
                <w:rFonts w:eastAsia="Times New Roman" w:cs="Times New Roman"/>
                <w:sz w:val="20"/>
                <w:szCs w:val="20"/>
              </w:rPr>
            </w:pPr>
            <w:r w:rsidRPr="00D31C65">
              <w:rPr>
                <w:rFonts w:eastAsia="Times New Roman" w:cs="Times New Roman"/>
                <w:sz w:val="20"/>
                <w:szCs w:val="20"/>
              </w:rPr>
              <w:t>unitless</w:t>
            </w:r>
          </w:p>
        </w:tc>
        <w:tc>
          <w:tcPr>
            <w:tcW w:w="1296" w:type="dxa"/>
            <w:shd w:val="clear" w:color="auto" w:fill="auto"/>
            <w:noWrap/>
            <w:vAlign w:val="center"/>
            <w:hideMark/>
          </w:tcPr>
          <w:p w14:paraId="150AEAA1" w14:textId="77777777" w:rsidR="00184FDB" w:rsidRPr="00FC6744" w:rsidRDefault="00184FDB" w:rsidP="00C95071">
            <w:pPr>
              <w:spacing w:before="0" w:after="0" w:line="240" w:lineRule="auto"/>
              <w:jc w:val="right"/>
              <w:rPr>
                <w:rFonts w:eastAsia="Times New Roman" w:cs="Times New Roman"/>
                <w:sz w:val="20"/>
                <w:szCs w:val="20"/>
              </w:rPr>
            </w:pPr>
            <w:r w:rsidRPr="00FC6744">
              <w:rPr>
                <w:rFonts w:eastAsia="Times New Roman" w:cs="Times New Roman"/>
                <w:sz w:val="20"/>
                <w:szCs w:val="20"/>
              </w:rPr>
              <w:t>0.77</w:t>
            </w:r>
          </w:p>
        </w:tc>
        <w:tc>
          <w:tcPr>
            <w:tcW w:w="3539" w:type="dxa"/>
            <w:shd w:val="clear" w:color="auto" w:fill="auto"/>
            <w:noWrap/>
            <w:vAlign w:val="center"/>
          </w:tcPr>
          <w:p w14:paraId="4C8A0A26" w14:textId="77777777" w:rsidR="00184FDB" w:rsidRPr="00E540D1" w:rsidRDefault="00184FDB" w:rsidP="00C95071">
            <w:pPr>
              <w:spacing w:before="0" w:after="0" w:line="240" w:lineRule="auto"/>
              <w:rPr>
                <w:rFonts w:eastAsia="Times New Roman" w:cs="Times New Roman"/>
                <w:sz w:val="18"/>
                <w:szCs w:val="18"/>
              </w:rPr>
            </w:pPr>
            <w:r w:rsidRPr="00E540D1">
              <w:rPr>
                <w:rFonts w:eastAsia="Times New Roman" w:cs="Times New Roman"/>
                <w:sz w:val="18"/>
                <w:szCs w:val="18"/>
              </w:rPr>
              <w:t>Southern California Gas Company (SCG). 2010. “Gas Fired Storage Water Heater Extract from CEC Appliance Data 07.07.2010.xlsx.”</w:t>
            </w:r>
          </w:p>
          <w:p w14:paraId="29EBBD3E" w14:textId="77777777" w:rsidR="00E540D1" w:rsidRPr="00E540D1" w:rsidRDefault="00E540D1" w:rsidP="00C95071">
            <w:pPr>
              <w:spacing w:before="0" w:after="0" w:line="240" w:lineRule="auto"/>
              <w:rPr>
                <w:rFonts w:eastAsia="Times New Roman" w:cs="Times New Roman"/>
                <w:sz w:val="18"/>
                <w:szCs w:val="18"/>
              </w:rPr>
            </w:pPr>
          </w:p>
          <w:p w14:paraId="5ED7E9AB" w14:textId="6C00BEE3" w:rsidR="00E540D1" w:rsidRPr="00E540D1" w:rsidRDefault="00E540D1" w:rsidP="00C95071">
            <w:pPr>
              <w:spacing w:before="0" w:after="0" w:line="240" w:lineRule="auto"/>
              <w:rPr>
                <w:rFonts w:eastAsia="Times New Roman" w:cs="Times New Roman"/>
                <w:sz w:val="18"/>
                <w:szCs w:val="18"/>
              </w:rPr>
            </w:pPr>
            <w:r w:rsidRPr="00E540D1">
              <w:rPr>
                <w:rFonts w:eastAsia="Times New Roman" w:cs="Times New Roman"/>
                <w:sz w:val="18"/>
                <w:szCs w:val="18"/>
              </w:rPr>
              <w:t xml:space="preserve">California Public Utilities Commission (CPUC), Energy Division. 2010. </w:t>
            </w:r>
            <w:r w:rsidRPr="00E540D1">
              <w:rPr>
                <w:rFonts w:eastAsia="Times New Roman" w:cs="Times New Roman"/>
                <w:i/>
                <w:sz w:val="18"/>
                <w:szCs w:val="18"/>
              </w:rPr>
              <w:t>Non-DEER Measure Review Template: PGECODHW113 – Low Flow Showerhead and Therm</w:t>
            </w:r>
            <w:r w:rsidR="00CE2BC5">
              <w:rPr>
                <w:rFonts w:eastAsia="Times New Roman" w:cs="Times New Roman"/>
                <w:i/>
                <w:sz w:val="18"/>
                <w:szCs w:val="18"/>
              </w:rPr>
              <w:t>o</w:t>
            </w:r>
            <w:r w:rsidRPr="00E540D1">
              <w:rPr>
                <w:rFonts w:eastAsia="Times New Roman" w:cs="Times New Roman"/>
                <w:i/>
                <w:sz w:val="18"/>
                <w:szCs w:val="18"/>
              </w:rPr>
              <w:t>static Shower Restriction Valve.</w:t>
            </w:r>
            <w:r w:rsidRPr="00E540D1">
              <w:rPr>
                <w:rFonts w:eastAsia="Times New Roman" w:cs="Times New Roman"/>
                <w:sz w:val="18"/>
                <w:szCs w:val="18"/>
              </w:rPr>
              <w:t xml:space="preserve"> April 27.</w:t>
            </w:r>
          </w:p>
        </w:tc>
      </w:tr>
      <w:tr w:rsidR="00184FDB" w:rsidRPr="00D31C65" w14:paraId="3C6405FD" w14:textId="77777777" w:rsidTr="00C95071">
        <w:trPr>
          <w:trHeight w:val="260"/>
        </w:trPr>
        <w:tc>
          <w:tcPr>
            <w:tcW w:w="3356" w:type="dxa"/>
            <w:shd w:val="clear" w:color="auto" w:fill="auto"/>
            <w:noWrap/>
            <w:vAlign w:val="center"/>
            <w:hideMark/>
          </w:tcPr>
          <w:p w14:paraId="66E2B00D" w14:textId="77777777" w:rsidR="00184FDB" w:rsidRPr="00D31C65" w:rsidRDefault="00184FDB" w:rsidP="00C95071">
            <w:pPr>
              <w:spacing w:before="0" w:after="0" w:line="240" w:lineRule="auto"/>
              <w:rPr>
                <w:rFonts w:eastAsia="Times New Roman" w:cs="Times New Roman"/>
                <w:sz w:val="20"/>
                <w:szCs w:val="20"/>
              </w:rPr>
            </w:pPr>
            <w:r w:rsidRPr="00D31C65">
              <w:rPr>
                <w:rFonts w:eastAsia="Times New Roman" w:cs="Times New Roman"/>
                <w:sz w:val="20"/>
                <w:szCs w:val="20"/>
              </w:rPr>
              <w:t xml:space="preserve">Electric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008" w:type="dxa"/>
            <w:shd w:val="clear" w:color="auto" w:fill="auto"/>
            <w:noWrap/>
            <w:vAlign w:val="center"/>
            <w:hideMark/>
          </w:tcPr>
          <w:p w14:paraId="2188C6C1" w14:textId="77777777" w:rsidR="00184FDB" w:rsidRPr="00D31C65" w:rsidRDefault="00184FDB" w:rsidP="00C95071">
            <w:pPr>
              <w:spacing w:before="0" w:after="0" w:line="240" w:lineRule="auto"/>
              <w:rPr>
                <w:rFonts w:eastAsia="Times New Roman" w:cs="Times New Roman"/>
                <w:sz w:val="20"/>
                <w:szCs w:val="20"/>
              </w:rPr>
            </w:pPr>
            <w:r w:rsidRPr="00D31C65">
              <w:rPr>
                <w:rFonts w:eastAsia="Times New Roman" w:cs="Times New Roman"/>
                <w:sz w:val="20"/>
                <w:szCs w:val="20"/>
              </w:rPr>
              <w:t>unitless</w:t>
            </w:r>
          </w:p>
        </w:tc>
        <w:tc>
          <w:tcPr>
            <w:tcW w:w="1296" w:type="dxa"/>
            <w:shd w:val="clear" w:color="auto" w:fill="auto"/>
            <w:noWrap/>
            <w:vAlign w:val="center"/>
            <w:hideMark/>
          </w:tcPr>
          <w:p w14:paraId="173DA066" w14:textId="77777777" w:rsidR="00184FDB" w:rsidRPr="00FC6744" w:rsidRDefault="00184FDB" w:rsidP="00C95071">
            <w:pPr>
              <w:spacing w:before="0" w:after="0" w:line="240" w:lineRule="auto"/>
              <w:jc w:val="right"/>
              <w:rPr>
                <w:rFonts w:eastAsia="Times New Roman" w:cs="Times New Roman"/>
                <w:sz w:val="20"/>
                <w:szCs w:val="20"/>
              </w:rPr>
            </w:pPr>
            <w:r w:rsidRPr="00FC6744">
              <w:rPr>
                <w:rFonts w:eastAsia="Times New Roman" w:cs="Times New Roman"/>
                <w:sz w:val="20"/>
                <w:szCs w:val="20"/>
              </w:rPr>
              <w:t>0.98</w:t>
            </w:r>
          </w:p>
        </w:tc>
        <w:tc>
          <w:tcPr>
            <w:tcW w:w="3539" w:type="dxa"/>
            <w:shd w:val="clear" w:color="auto" w:fill="auto"/>
            <w:noWrap/>
            <w:vAlign w:val="center"/>
            <w:hideMark/>
          </w:tcPr>
          <w:p w14:paraId="323F2B11" w14:textId="77777777" w:rsidR="00184FDB" w:rsidRPr="00E540D1" w:rsidRDefault="00184FDB" w:rsidP="00C95071">
            <w:pPr>
              <w:spacing w:before="0" w:after="0" w:line="240" w:lineRule="auto"/>
              <w:rPr>
                <w:rFonts w:eastAsia="Times New Roman" w:cs="Times New Roman"/>
                <w:sz w:val="18"/>
                <w:szCs w:val="18"/>
              </w:rPr>
            </w:pPr>
            <w:r w:rsidRPr="00E540D1">
              <w:rPr>
                <w:sz w:val="18"/>
                <w:szCs w:val="18"/>
              </w:rPr>
              <w:t xml:space="preserve">California Energy Commission (CEC). 2014. </w:t>
            </w:r>
            <w:r w:rsidRPr="00E540D1">
              <w:rPr>
                <w:i/>
                <w:sz w:val="18"/>
                <w:szCs w:val="18"/>
              </w:rPr>
              <w:t xml:space="preserve">2014 Appliance Efficiency Regulations. </w:t>
            </w:r>
            <w:r w:rsidRPr="00E540D1">
              <w:rPr>
                <w:sz w:val="18"/>
                <w:szCs w:val="18"/>
              </w:rPr>
              <w:t>CEC-400-2014-009-CMF. Section 1604.</w:t>
            </w:r>
          </w:p>
        </w:tc>
      </w:tr>
    </w:tbl>
    <w:p w14:paraId="64469A71" w14:textId="77777777" w:rsidR="00184FDB" w:rsidRPr="00B20B50" w:rsidRDefault="00184FDB" w:rsidP="00184FDB"/>
    <w:bookmarkEnd w:id="40"/>
    <w:p w14:paraId="039FD199" w14:textId="77777777" w:rsidR="00184FDB" w:rsidRDefault="00184FDB" w:rsidP="00FD61F7">
      <w:pPr>
        <w:keepNext/>
        <w:keepLines/>
      </w:pPr>
      <w:r>
        <w:rPr>
          <w:b/>
        </w:rPr>
        <w:lastRenderedPageBreak/>
        <w:t>Recovery Efficiency</w:t>
      </w:r>
      <w:r w:rsidRPr="003557B3">
        <w:rPr>
          <w:b/>
        </w:rPr>
        <w:t xml:space="preserve">: </w:t>
      </w:r>
      <w:r w:rsidRPr="008E679A">
        <w:t xml:space="preserve">To convert the water heating load to </w:t>
      </w:r>
      <w:r>
        <w:t xml:space="preserve">electric </w:t>
      </w:r>
      <w:r w:rsidRPr="008E679A">
        <w:t xml:space="preserve">energy use at the water heater, the recovery efficiency (RE) is used. Recovery efficiency is a measure of how efficiently the heat from the energy source is transferred to the water (the ratio of energy output used to heat the water divided by energy input). </w:t>
      </w:r>
    </w:p>
    <w:p w14:paraId="25388751" w14:textId="77777777" w:rsidR="00184FDB" w:rsidRDefault="00184FDB" w:rsidP="00184FDB"/>
    <w:p w14:paraId="5E2D9BCD" w14:textId="77777777" w:rsidR="003C03E1" w:rsidRDefault="003C03E1" w:rsidP="00BF44BA">
      <w:pPr>
        <w:pStyle w:val="eTRMHeading4"/>
      </w:pPr>
      <w:r>
        <w:t>TSV Electric Savings (kWh)</w:t>
      </w:r>
    </w:p>
    <w:p w14:paraId="554E3FBF" w14:textId="73E34328" w:rsidR="00BC17A0" w:rsidRDefault="00BC17A0" w:rsidP="00BC17A0">
      <w:r>
        <w:t xml:space="preserve">The electric UES from the installation of a TSV is determined by the reduction of hot water usage and the </w:t>
      </w:r>
      <w:r w:rsidR="00E41BE1">
        <w:t xml:space="preserve">corresponding </w:t>
      </w:r>
      <w:r>
        <w:t>reduction in energy consumption required to heat water for showers. As shown</w:t>
      </w:r>
      <w:r w:rsidR="00FC6744">
        <w:t xml:space="preserve"> below</w:t>
      </w:r>
      <w:r>
        <w:t xml:space="preserve">, the electric UES is derived from the gas UES, the ratio of the recovery efficiency of a gas water heater to that an electric water heater, and a </w:t>
      </w:r>
      <w:proofErr w:type="spellStart"/>
      <w:r>
        <w:t>therm</w:t>
      </w:r>
      <w:proofErr w:type="spellEnd"/>
      <w:r>
        <w:t xml:space="preserve">-to-kWh conversion factor. </w:t>
      </w:r>
    </w:p>
    <w:p w14:paraId="324AF11F" w14:textId="54F786DB" w:rsidR="00BC17A0" w:rsidRPr="008560FF" w:rsidRDefault="00497854" w:rsidP="00BC17A0">
      <w:pPr>
        <w:ind w:left="720"/>
        <w:rPr>
          <w:rFonts w:asciiTheme="minorHAnsi" w:hAnsiTheme="minorHAnsi"/>
          <w:sz w:val="16"/>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kW</m:t>
              </m:r>
              <m:r>
                <w:rPr>
                  <w:rFonts w:ascii="Cambria Math" w:hAnsi="Cambria Math"/>
                  <w:sz w:val="18"/>
                </w:rPr>
                <m:t>h</m:t>
              </m:r>
              <m:r>
                <w:rPr>
                  <w:rFonts w:ascii="Cambria Math" w:hAnsi="Cambria Math"/>
                  <w:sz w:val="18"/>
                </w:rPr>
                <m:t xml:space="preserve">, </m:t>
              </m:r>
              <m:r>
                <w:rPr>
                  <w:rFonts w:ascii="Cambria Math" w:hAnsi="Cambria Math"/>
                  <w:sz w:val="18"/>
                </w:rPr>
                <m:t>TSV</m:t>
              </m:r>
              <m:r>
                <w:rPr>
                  <w:rFonts w:ascii="Cambria Math" w:hAnsi="Cambria Math"/>
                  <w:sz w:val="18"/>
                </w:rPr>
                <m:t xml:space="preserve"> </m:t>
              </m:r>
            </m:sub>
          </m:sSub>
          <m:r>
            <w:rPr>
              <w:rFonts w:ascii="Cambria Math" w:hAnsi="Cambria Math"/>
              <w:sz w:val="18"/>
            </w:rPr>
            <m:t xml:space="preserve">= </m:t>
          </m:r>
          <m:sSub>
            <m:sSubPr>
              <m:ctrlPr>
                <w:rPr>
                  <w:rFonts w:ascii="Cambria Math" w:hAnsi="Cambria Math"/>
                  <w:i/>
                  <w:sz w:val="18"/>
                </w:rPr>
              </m:ctrlPr>
            </m:sSubPr>
            <m:e>
              <m:r>
                <w:rPr>
                  <w:rFonts w:ascii="Cambria Math" w:hAnsi="Cambria Math"/>
                  <w:sz w:val="18"/>
                </w:rPr>
                <m:t>UES</m:t>
              </m:r>
            </m:e>
            <m:sub>
              <m:r>
                <w:rPr>
                  <w:rFonts w:ascii="Cambria Math" w:hAnsi="Cambria Math"/>
                  <w:sz w:val="18"/>
                </w:rPr>
                <m:t>t</m:t>
              </m:r>
              <m:r>
                <w:rPr>
                  <w:rFonts w:ascii="Cambria Math" w:hAnsi="Cambria Math"/>
                  <w:sz w:val="18"/>
                </w:rPr>
                <m:t>h</m:t>
              </m:r>
              <m:r>
                <w:rPr>
                  <w:rFonts w:ascii="Cambria Math" w:hAnsi="Cambria Math"/>
                  <w:sz w:val="18"/>
                </w:rPr>
                <m:t>erms</m:t>
              </m:r>
              <m:r>
                <w:rPr>
                  <w:rFonts w:ascii="Cambria Math" w:hAnsi="Cambria Math"/>
                  <w:sz w:val="18"/>
                </w:rPr>
                <m:t>,</m:t>
              </m:r>
              <m:r>
                <w:rPr>
                  <w:rFonts w:ascii="Cambria Math" w:hAnsi="Cambria Math"/>
                  <w:sz w:val="18"/>
                </w:rPr>
                <m:t>TSV</m:t>
              </m:r>
            </m:sub>
          </m:sSub>
          <m:r>
            <w:rPr>
              <w:rFonts w:ascii="Cambria Math" w:hAnsi="Cambria Math"/>
              <w:sz w:val="18"/>
            </w:rPr>
            <m:t>×</m:t>
          </m:r>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EF</m:t>
                  </m:r>
                  <m:r>
                    <w:rPr>
                      <w:rFonts w:ascii="Cambria Math" w:hAnsi="Cambria Math"/>
                      <w:sz w:val="18"/>
                    </w:rPr>
                    <m:t>F</m:t>
                  </m:r>
                </m:e>
                <m:sub>
                  <m:r>
                    <w:rPr>
                      <w:rFonts w:ascii="Cambria Math" w:hAnsi="Cambria Math"/>
                      <w:sz w:val="18"/>
                    </w:rPr>
                    <m:t>gas</m:t>
                  </m:r>
                </m:sub>
              </m:sSub>
            </m:num>
            <m:den>
              <m:sSub>
                <m:sSubPr>
                  <m:ctrlPr>
                    <w:rPr>
                      <w:rFonts w:ascii="Cambria Math" w:hAnsi="Cambria Math"/>
                      <w:i/>
                      <w:sz w:val="18"/>
                    </w:rPr>
                  </m:ctrlPr>
                </m:sSubPr>
                <m:e>
                  <m:r>
                    <w:rPr>
                      <w:rFonts w:ascii="Cambria Math" w:hAnsi="Cambria Math"/>
                      <w:sz w:val="18"/>
                    </w:rPr>
                    <m:t>EFF</m:t>
                  </m:r>
                </m:e>
                <m:sub>
                  <m:r>
                    <w:rPr>
                      <w:rFonts w:ascii="Cambria Math" w:hAnsi="Cambria Math"/>
                      <w:sz w:val="18"/>
                    </w:rPr>
                    <m:t>elec</m:t>
                  </m:r>
                </m:sub>
              </m:sSub>
            </m:den>
          </m:f>
          <m:r>
            <w:rPr>
              <w:rFonts w:ascii="Cambria Math" w:hAnsi="Cambria Math"/>
              <w:sz w:val="18"/>
            </w:rPr>
            <m:t>×</m:t>
          </m:r>
          <m:f>
            <m:fPr>
              <m:ctrlPr>
                <w:rPr>
                  <w:rFonts w:ascii="Cambria Math" w:hAnsi="Cambria Math"/>
                  <w:i/>
                  <w:sz w:val="18"/>
                </w:rPr>
              </m:ctrlPr>
            </m:fPr>
            <m:num>
              <m:r>
                <w:rPr>
                  <w:rFonts w:ascii="Cambria Math" w:hAnsi="Cambria Math"/>
                  <w:sz w:val="18"/>
                </w:rPr>
                <m:t xml:space="preserve">100,000 </m:t>
              </m:r>
              <m:r>
                <w:rPr>
                  <w:rFonts w:ascii="Cambria Math" w:hAnsi="Cambria Math"/>
                  <w:sz w:val="18"/>
                </w:rPr>
                <m:t>kW</m:t>
              </m:r>
              <m:r>
                <w:rPr>
                  <w:rFonts w:ascii="Cambria Math" w:hAnsi="Cambria Math"/>
                  <w:sz w:val="18"/>
                </w:rPr>
                <m:t>h</m:t>
              </m:r>
            </m:num>
            <m:den>
              <m:r>
                <w:rPr>
                  <w:rFonts w:ascii="Cambria Math" w:hAnsi="Cambria Math"/>
                  <w:sz w:val="18"/>
                </w:rPr>
                <m:t xml:space="preserve">3,413 </m:t>
              </m:r>
              <m:r>
                <w:rPr>
                  <w:rFonts w:ascii="Cambria Math" w:hAnsi="Cambria Math"/>
                  <w:sz w:val="18"/>
                </w:rPr>
                <m:t>t</m:t>
              </m:r>
              <m:r>
                <w:rPr>
                  <w:rFonts w:ascii="Cambria Math" w:hAnsi="Cambria Math"/>
                  <w:sz w:val="18"/>
                </w:rPr>
                <m:t>h</m:t>
              </m:r>
              <m:r>
                <w:rPr>
                  <w:rFonts w:ascii="Cambria Math" w:hAnsi="Cambria Math"/>
                  <w:sz w:val="18"/>
                </w:rPr>
                <m:t>erms</m:t>
              </m:r>
            </m:den>
          </m:f>
        </m:oMath>
      </m:oMathPara>
    </w:p>
    <w:p w14:paraId="2652726A" w14:textId="5C8C1F82" w:rsidR="00BC17A0" w:rsidRDefault="00BC17A0" w:rsidP="00BC17A0">
      <w:pPr>
        <w:tabs>
          <w:tab w:val="left" w:pos="288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sidRPr="00AC4758">
        <w:rPr>
          <w:rFonts w:ascii="Cambria Math" w:hAnsi="Cambria Math" w:cs="Calibri Light"/>
          <w:i/>
          <w:sz w:val="18"/>
          <w:szCs w:val="18"/>
          <w:vertAlign w:val="subscript"/>
        </w:rPr>
        <w:t>kWh</w:t>
      </w:r>
      <w:proofErr w:type="spellEnd"/>
      <w:r w:rsidR="00702E2D">
        <w:rPr>
          <w:rFonts w:ascii="Cambria Math" w:hAnsi="Cambria Math" w:cs="Calibri Light"/>
          <w:i/>
          <w:sz w:val="18"/>
          <w:szCs w:val="18"/>
          <w:vertAlign w:val="subscript"/>
        </w:rPr>
        <w:t>, TSV</w:t>
      </w:r>
      <w:r>
        <w:rPr>
          <w:rFonts w:ascii="Cambria Math" w:hAnsi="Cambria Math" w:cs="Calibri Light"/>
          <w:i/>
          <w:sz w:val="18"/>
          <w:szCs w:val="18"/>
        </w:rPr>
        <w:t xml:space="preserve"> = </w:t>
      </w:r>
      <w:r>
        <w:rPr>
          <w:rFonts w:ascii="Cambria Math" w:hAnsi="Cambria Math" w:cs="Calibri Light"/>
          <w:i/>
          <w:sz w:val="18"/>
          <w:szCs w:val="18"/>
        </w:rPr>
        <w:tab/>
        <w:t xml:space="preserve">Annual electric unit energy savings </w:t>
      </w:r>
      <w:r w:rsidR="00702E2D">
        <w:rPr>
          <w:rFonts w:ascii="Cambria Math" w:hAnsi="Cambria Math" w:cs="Calibri Light"/>
          <w:i/>
          <w:sz w:val="18"/>
          <w:szCs w:val="18"/>
        </w:rPr>
        <w:t xml:space="preserve">of TSV </w:t>
      </w:r>
      <w:r>
        <w:rPr>
          <w:rFonts w:ascii="Cambria Math" w:hAnsi="Cambria Math" w:cs="Calibri Light"/>
          <w:i/>
          <w:sz w:val="18"/>
          <w:szCs w:val="18"/>
        </w:rPr>
        <w:t>(kWh/</w:t>
      </w:r>
      <w:proofErr w:type="spellStart"/>
      <w:r w:rsidR="00802095">
        <w:rPr>
          <w:rFonts w:ascii="Cambria Math" w:hAnsi="Cambria Math" w:cs="Calibri Light"/>
          <w:i/>
          <w:sz w:val="18"/>
          <w:szCs w:val="18"/>
        </w:rPr>
        <w:t>yr</w:t>
      </w:r>
      <w:proofErr w:type="spellEnd"/>
      <w:r>
        <w:rPr>
          <w:rFonts w:ascii="Cambria Math" w:hAnsi="Cambria Math" w:cs="Calibri Light"/>
          <w:i/>
          <w:sz w:val="18"/>
          <w:szCs w:val="18"/>
        </w:rPr>
        <w:t>)</w:t>
      </w:r>
    </w:p>
    <w:p w14:paraId="43FC25C0" w14:textId="726EA34C" w:rsidR="00BC17A0" w:rsidRDefault="00BC17A0" w:rsidP="00BC17A0">
      <w:pPr>
        <w:tabs>
          <w:tab w:val="left" w:pos="288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Pr>
          <w:rFonts w:ascii="Cambria Math" w:hAnsi="Cambria Math" w:cs="Calibri Light"/>
          <w:i/>
          <w:sz w:val="18"/>
          <w:szCs w:val="18"/>
          <w:vertAlign w:val="subscript"/>
        </w:rPr>
        <w:t>therms</w:t>
      </w:r>
      <w:proofErr w:type="spellEnd"/>
      <w:r>
        <w:rPr>
          <w:rFonts w:ascii="Cambria Math" w:hAnsi="Cambria Math" w:cs="Calibri Light"/>
          <w:i/>
          <w:sz w:val="18"/>
          <w:szCs w:val="18"/>
        </w:rPr>
        <w:t xml:space="preserve"> = </w:t>
      </w:r>
      <w:r>
        <w:rPr>
          <w:rFonts w:ascii="Cambria Math" w:hAnsi="Cambria Math" w:cs="Calibri Light"/>
          <w:i/>
          <w:sz w:val="18"/>
          <w:szCs w:val="18"/>
        </w:rPr>
        <w:tab/>
        <w:t>Annual gas unit energy savings</w:t>
      </w:r>
      <w:r w:rsidR="00702E2D">
        <w:rPr>
          <w:rFonts w:ascii="Cambria Math" w:hAnsi="Cambria Math" w:cs="Calibri Light"/>
          <w:i/>
          <w:sz w:val="18"/>
          <w:szCs w:val="18"/>
        </w:rPr>
        <w:t xml:space="preserve"> of TSV</w:t>
      </w:r>
      <w:r>
        <w:rPr>
          <w:rFonts w:ascii="Cambria Math" w:hAnsi="Cambria Math" w:cs="Calibri Light"/>
          <w:i/>
          <w:sz w:val="18"/>
          <w:szCs w:val="18"/>
        </w:rPr>
        <w:t xml:space="preserve"> (</w:t>
      </w:r>
      <w:proofErr w:type="spellStart"/>
      <w:r>
        <w:rPr>
          <w:rFonts w:ascii="Cambria Math" w:hAnsi="Cambria Math" w:cs="Calibri Light"/>
          <w:i/>
          <w:sz w:val="18"/>
          <w:szCs w:val="18"/>
        </w:rPr>
        <w:t>therms</w:t>
      </w:r>
      <w:proofErr w:type="spellEnd"/>
      <w:r>
        <w:rPr>
          <w:rFonts w:ascii="Cambria Math" w:hAnsi="Cambria Math" w:cs="Calibri Light"/>
          <w:i/>
          <w:sz w:val="18"/>
          <w:szCs w:val="18"/>
        </w:rPr>
        <w:t>/</w:t>
      </w:r>
      <w:proofErr w:type="spellStart"/>
      <w:r w:rsidR="00802095">
        <w:rPr>
          <w:rFonts w:ascii="Cambria Math" w:hAnsi="Cambria Math" w:cs="Calibri Light"/>
          <w:i/>
          <w:sz w:val="18"/>
          <w:szCs w:val="18"/>
        </w:rPr>
        <w:t>yr</w:t>
      </w:r>
      <w:proofErr w:type="spellEnd"/>
      <w:r>
        <w:rPr>
          <w:rFonts w:ascii="Cambria Math" w:hAnsi="Cambria Math" w:cs="Calibri Light"/>
          <w:i/>
          <w:sz w:val="18"/>
          <w:szCs w:val="18"/>
        </w:rPr>
        <w:t>)</w:t>
      </w:r>
    </w:p>
    <w:p w14:paraId="3B4104AD" w14:textId="77777777" w:rsidR="00BC17A0" w:rsidRPr="000B726B" w:rsidRDefault="00BC17A0" w:rsidP="00BC17A0">
      <w:pPr>
        <w:tabs>
          <w:tab w:val="left" w:pos="2880"/>
        </w:tabs>
        <w:spacing w:before="20" w:after="20"/>
        <w:ind w:left="1440"/>
        <w:rPr>
          <w:rFonts w:ascii="Cambria Math" w:hAnsi="Cambria Math"/>
          <w:i/>
          <w:sz w:val="18"/>
          <w:szCs w:val="18"/>
        </w:rPr>
      </w:pPr>
      <w:proofErr w:type="spellStart"/>
      <w:r>
        <w:rPr>
          <w:rFonts w:ascii="Cambria Math" w:hAnsi="Cambria Math"/>
          <w:i/>
          <w:sz w:val="18"/>
          <w:szCs w:val="18"/>
        </w:rPr>
        <w:t>EFF</w:t>
      </w:r>
      <w:r>
        <w:rPr>
          <w:rFonts w:ascii="Cambria Math" w:hAnsi="Cambria Math"/>
          <w:i/>
          <w:sz w:val="18"/>
          <w:szCs w:val="18"/>
          <w:vertAlign w:val="subscript"/>
        </w:rPr>
        <w:t>gas</w:t>
      </w:r>
      <w:proofErr w:type="spellEnd"/>
      <w:r>
        <w:rPr>
          <w:rFonts w:ascii="Cambria Math" w:hAnsi="Cambria Math"/>
          <w:i/>
          <w:sz w:val="18"/>
          <w:szCs w:val="18"/>
        </w:rPr>
        <w:t xml:space="preserve"> = </w:t>
      </w:r>
      <w:r>
        <w:rPr>
          <w:rFonts w:ascii="Cambria Math" w:hAnsi="Cambria Math"/>
          <w:i/>
          <w:sz w:val="18"/>
          <w:szCs w:val="18"/>
        </w:rPr>
        <w:tab/>
        <w:t xml:space="preserve">Min. water heater efficiency (recovery efficiency), gas </w:t>
      </w:r>
    </w:p>
    <w:p w14:paraId="485D3717" w14:textId="77777777" w:rsidR="00BC17A0" w:rsidRDefault="00BC17A0" w:rsidP="00BC17A0">
      <w:pPr>
        <w:tabs>
          <w:tab w:val="left" w:pos="2880"/>
        </w:tabs>
        <w:spacing w:before="20" w:after="20"/>
        <w:ind w:left="1440"/>
        <w:rPr>
          <w:rFonts w:ascii="Cambria Math" w:hAnsi="Cambria Math"/>
          <w:i/>
          <w:sz w:val="18"/>
          <w:szCs w:val="18"/>
        </w:rPr>
      </w:pPr>
      <w:proofErr w:type="spellStart"/>
      <w:r>
        <w:rPr>
          <w:rFonts w:ascii="Cambria Math" w:hAnsi="Cambria Math"/>
          <w:i/>
          <w:sz w:val="18"/>
          <w:szCs w:val="18"/>
        </w:rPr>
        <w:t>EFF</w:t>
      </w:r>
      <w:r w:rsidRPr="00C07366">
        <w:rPr>
          <w:rFonts w:ascii="Cambria Math" w:hAnsi="Cambria Math"/>
          <w:i/>
          <w:sz w:val="18"/>
          <w:szCs w:val="18"/>
          <w:vertAlign w:val="subscript"/>
        </w:rPr>
        <w:t>elec</w:t>
      </w:r>
      <w:proofErr w:type="spellEnd"/>
      <w:r>
        <w:rPr>
          <w:rFonts w:ascii="Cambria Math" w:hAnsi="Cambria Math"/>
          <w:i/>
          <w:sz w:val="18"/>
          <w:szCs w:val="18"/>
        </w:rPr>
        <w:t xml:space="preserve"> = </w:t>
      </w:r>
      <w:r>
        <w:rPr>
          <w:rFonts w:ascii="Cambria Math" w:hAnsi="Cambria Math"/>
          <w:i/>
          <w:sz w:val="18"/>
          <w:szCs w:val="18"/>
        </w:rPr>
        <w:tab/>
        <w:t xml:space="preserve">Min. water heater efficiency (recovery efficiency), electric </w:t>
      </w:r>
    </w:p>
    <w:p w14:paraId="3B1749D1" w14:textId="24EF8A42" w:rsidR="00BC17A0" w:rsidRDefault="00BC17A0" w:rsidP="00BC17A0">
      <w:pPr>
        <w:rPr>
          <w:rFonts w:cs="Calibri Light"/>
        </w:rPr>
      </w:pPr>
    </w:p>
    <w:p w14:paraId="1D47B694" w14:textId="3248A183" w:rsidR="00E41BE1" w:rsidRDefault="00E41BE1" w:rsidP="00E41BE1">
      <w:r>
        <w:t xml:space="preserve">Refer to the Gas Savings section for the derivation of the gas UES. All other inputs used for this calculation are presented </w:t>
      </w:r>
      <w:r w:rsidR="00FC6744">
        <w:t>below</w:t>
      </w:r>
      <w:r>
        <w:t>.</w:t>
      </w:r>
    </w:p>
    <w:p w14:paraId="0777B650" w14:textId="1A591236" w:rsidR="00BC17A0" w:rsidRPr="008560FF" w:rsidRDefault="00BC17A0" w:rsidP="005552C5">
      <w:pPr>
        <w:pStyle w:val="Caption"/>
        <w:rPr>
          <w:rFonts w:cs="Calibri Light"/>
          <w:szCs w:val="20"/>
        </w:rPr>
      </w:pPr>
      <w:r>
        <w:t xml:space="preserve">Electric </w:t>
      </w:r>
      <w:r w:rsidR="00FC6744">
        <w:t>UES</w:t>
      </w:r>
      <w:r>
        <w:rPr>
          <w:rFonts w:cs="Calibri Light"/>
          <w:szCs w:val="20"/>
        </w:rPr>
        <w:t xml:space="preserve"> Calculation Constants</w:t>
      </w:r>
      <w:r w:rsidRPr="008560FF">
        <w:rPr>
          <w:rFonts w:cs="Calibri Light"/>
          <w:szCs w:val="20"/>
        </w:rPr>
        <w:t xml:space="preserve"> </w:t>
      </w:r>
      <w:r w:rsidR="00FC6744">
        <w:rPr>
          <w:rFonts w:cs="Calibri Light"/>
          <w:szCs w:val="20"/>
        </w:rPr>
        <w:t>- TSV</w:t>
      </w:r>
    </w:p>
    <w:tbl>
      <w:tblPr>
        <w:tblW w:w="919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3356"/>
        <w:gridCol w:w="1008"/>
        <w:gridCol w:w="1296"/>
        <w:gridCol w:w="3539"/>
      </w:tblGrid>
      <w:tr w:rsidR="00BC17A0" w:rsidRPr="00D31C65" w14:paraId="03C1E18A" w14:textId="77777777" w:rsidTr="00702E2D">
        <w:trPr>
          <w:trHeight w:val="260"/>
        </w:trPr>
        <w:tc>
          <w:tcPr>
            <w:tcW w:w="3356" w:type="dxa"/>
            <w:shd w:val="clear" w:color="auto" w:fill="F2F2F2" w:themeFill="background1" w:themeFillShade="F2"/>
            <w:noWrap/>
            <w:vAlign w:val="bottom"/>
            <w:hideMark/>
          </w:tcPr>
          <w:p w14:paraId="1699D74F" w14:textId="77777777" w:rsidR="00BC17A0" w:rsidRPr="00D31C65" w:rsidRDefault="00BC17A0" w:rsidP="005552C5">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Energy Savings Inputs / Constants</w:t>
            </w:r>
          </w:p>
        </w:tc>
        <w:tc>
          <w:tcPr>
            <w:tcW w:w="1008" w:type="dxa"/>
            <w:shd w:val="clear" w:color="auto" w:fill="F2F2F2" w:themeFill="background1" w:themeFillShade="F2"/>
            <w:noWrap/>
            <w:vAlign w:val="bottom"/>
            <w:hideMark/>
          </w:tcPr>
          <w:p w14:paraId="26E5A6AD" w14:textId="77777777" w:rsidR="00BC17A0" w:rsidRPr="00D31C65" w:rsidRDefault="00BC17A0" w:rsidP="005552C5">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 xml:space="preserve">Units </w:t>
            </w:r>
          </w:p>
        </w:tc>
        <w:tc>
          <w:tcPr>
            <w:tcW w:w="1296" w:type="dxa"/>
            <w:shd w:val="clear" w:color="auto" w:fill="F2F2F2" w:themeFill="background1" w:themeFillShade="F2"/>
            <w:noWrap/>
            <w:vAlign w:val="bottom"/>
            <w:hideMark/>
          </w:tcPr>
          <w:p w14:paraId="5337FE6F" w14:textId="77777777" w:rsidR="00BC17A0" w:rsidRPr="00D31C65" w:rsidRDefault="00BC17A0" w:rsidP="005552C5">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Value</w:t>
            </w:r>
          </w:p>
        </w:tc>
        <w:tc>
          <w:tcPr>
            <w:tcW w:w="3539" w:type="dxa"/>
            <w:shd w:val="clear" w:color="auto" w:fill="F2F2F2" w:themeFill="background1" w:themeFillShade="F2"/>
            <w:noWrap/>
            <w:vAlign w:val="bottom"/>
            <w:hideMark/>
          </w:tcPr>
          <w:p w14:paraId="2628BC05" w14:textId="77777777" w:rsidR="00BC17A0" w:rsidRPr="00D31C65" w:rsidRDefault="00BC17A0" w:rsidP="005552C5">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Source</w:t>
            </w:r>
          </w:p>
        </w:tc>
      </w:tr>
      <w:tr w:rsidR="00BC17A0" w:rsidRPr="00D31C65" w14:paraId="6EBC91AE" w14:textId="77777777" w:rsidTr="00702E2D">
        <w:trPr>
          <w:trHeight w:val="260"/>
        </w:trPr>
        <w:tc>
          <w:tcPr>
            <w:tcW w:w="3356" w:type="dxa"/>
            <w:shd w:val="clear" w:color="auto" w:fill="auto"/>
            <w:noWrap/>
            <w:vAlign w:val="bottom"/>
          </w:tcPr>
          <w:p w14:paraId="3FF616D1" w14:textId="77777777" w:rsidR="00BC17A0" w:rsidRPr="00BF3C37" w:rsidRDefault="00BC17A0" w:rsidP="005552C5">
            <w:pPr>
              <w:keepNext/>
              <w:keepLines/>
              <w:spacing w:before="0" w:after="0" w:line="240" w:lineRule="auto"/>
              <w:rPr>
                <w:rFonts w:eastAsia="Times New Roman" w:cs="Times New Roman"/>
                <w:sz w:val="20"/>
                <w:szCs w:val="20"/>
              </w:rPr>
            </w:pPr>
            <w:r w:rsidRPr="00BF3C37">
              <w:rPr>
                <w:rFonts w:eastAsia="Times New Roman" w:cs="Times New Roman"/>
                <w:sz w:val="20"/>
                <w:szCs w:val="20"/>
              </w:rPr>
              <w:t>Gas Unit Energy Savings</w:t>
            </w:r>
          </w:p>
        </w:tc>
        <w:tc>
          <w:tcPr>
            <w:tcW w:w="1008" w:type="dxa"/>
            <w:shd w:val="clear" w:color="auto" w:fill="auto"/>
            <w:noWrap/>
            <w:vAlign w:val="bottom"/>
          </w:tcPr>
          <w:p w14:paraId="5ED625CB" w14:textId="77777777" w:rsidR="00BC17A0" w:rsidRPr="00BF3C37" w:rsidRDefault="00BC17A0" w:rsidP="005552C5">
            <w:pPr>
              <w:keepNext/>
              <w:keepLines/>
              <w:spacing w:before="0" w:after="0" w:line="240" w:lineRule="auto"/>
              <w:rPr>
                <w:rFonts w:eastAsia="Times New Roman" w:cs="Times New Roman"/>
                <w:sz w:val="20"/>
                <w:szCs w:val="20"/>
              </w:rPr>
            </w:pPr>
            <w:proofErr w:type="spellStart"/>
            <w:r w:rsidRPr="00BF3C37">
              <w:rPr>
                <w:rFonts w:eastAsia="Times New Roman" w:cs="Times New Roman"/>
                <w:sz w:val="20"/>
                <w:szCs w:val="20"/>
              </w:rPr>
              <w:t>Therms</w:t>
            </w:r>
            <w:proofErr w:type="spellEnd"/>
          </w:p>
        </w:tc>
        <w:tc>
          <w:tcPr>
            <w:tcW w:w="1296" w:type="dxa"/>
            <w:shd w:val="clear" w:color="auto" w:fill="auto"/>
            <w:noWrap/>
            <w:vAlign w:val="bottom"/>
          </w:tcPr>
          <w:p w14:paraId="5874BCBA" w14:textId="77777777" w:rsidR="00BC17A0" w:rsidRPr="00BF3C37" w:rsidRDefault="00BC17A0" w:rsidP="005552C5">
            <w:pPr>
              <w:keepNext/>
              <w:keepLines/>
              <w:spacing w:before="0" w:after="0" w:line="240" w:lineRule="auto"/>
              <w:rPr>
                <w:rFonts w:eastAsia="Times New Roman" w:cs="Times New Roman"/>
                <w:sz w:val="20"/>
                <w:szCs w:val="20"/>
              </w:rPr>
            </w:pPr>
            <w:r>
              <w:rPr>
                <w:rFonts w:eastAsia="Times New Roman" w:cs="Times New Roman"/>
                <w:sz w:val="20"/>
                <w:szCs w:val="20"/>
              </w:rPr>
              <w:t>Varies by CZ</w:t>
            </w:r>
          </w:p>
        </w:tc>
        <w:tc>
          <w:tcPr>
            <w:tcW w:w="3539" w:type="dxa"/>
            <w:shd w:val="clear" w:color="auto" w:fill="auto"/>
            <w:noWrap/>
            <w:vAlign w:val="bottom"/>
          </w:tcPr>
          <w:p w14:paraId="11791F90" w14:textId="77777777" w:rsidR="00BC17A0" w:rsidRPr="00780884" w:rsidRDefault="00BC17A0" w:rsidP="005552C5">
            <w:pPr>
              <w:keepNext/>
              <w:keepLines/>
              <w:spacing w:before="0" w:after="0" w:line="240" w:lineRule="auto"/>
              <w:rPr>
                <w:rFonts w:eastAsia="Times New Roman" w:cs="Times New Roman"/>
                <w:sz w:val="18"/>
                <w:szCs w:val="18"/>
              </w:rPr>
            </w:pPr>
            <w:r w:rsidRPr="00780884">
              <w:rPr>
                <w:rFonts w:eastAsia="Times New Roman" w:cs="Times New Roman"/>
                <w:sz w:val="18"/>
                <w:szCs w:val="18"/>
              </w:rPr>
              <w:t>See Gas Savings section.</w:t>
            </w:r>
          </w:p>
        </w:tc>
      </w:tr>
      <w:tr w:rsidR="00BC17A0" w:rsidRPr="00D31C65" w14:paraId="027975D1" w14:textId="77777777" w:rsidTr="00702E2D">
        <w:trPr>
          <w:trHeight w:val="260"/>
        </w:trPr>
        <w:tc>
          <w:tcPr>
            <w:tcW w:w="3356" w:type="dxa"/>
            <w:shd w:val="clear" w:color="auto" w:fill="auto"/>
            <w:noWrap/>
            <w:vAlign w:val="center"/>
            <w:hideMark/>
          </w:tcPr>
          <w:p w14:paraId="532DAD28" w14:textId="77777777" w:rsidR="00BC17A0" w:rsidRPr="00D31C65" w:rsidRDefault="00BC17A0" w:rsidP="005552C5">
            <w:pPr>
              <w:keepNext/>
              <w:keepLines/>
              <w:spacing w:before="0" w:after="0" w:line="240" w:lineRule="auto"/>
              <w:rPr>
                <w:rFonts w:eastAsia="Times New Roman" w:cs="Times New Roman"/>
                <w:sz w:val="20"/>
                <w:szCs w:val="20"/>
              </w:rPr>
            </w:pPr>
            <w:r w:rsidRPr="00D31C65">
              <w:rPr>
                <w:rFonts w:eastAsia="Times New Roman" w:cs="Times New Roman"/>
                <w:sz w:val="20"/>
                <w:szCs w:val="20"/>
              </w:rPr>
              <w:t xml:space="preserve">Gas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008" w:type="dxa"/>
            <w:shd w:val="clear" w:color="auto" w:fill="auto"/>
            <w:noWrap/>
            <w:vAlign w:val="center"/>
            <w:hideMark/>
          </w:tcPr>
          <w:p w14:paraId="1A58B592" w14:textId="77777777" w:rsidR="00BC17A0" w:rsidRPr="00D31C65" w:rsidRDefault="00BC17A0" w:rsidP="005552C5">
            <w:pPr>
              <w:keepNext/>
              <w:keepLines/>
              <w:spacing w:before="0" w:after="0" w:line="240" w:lineRule="auto"/>
              <w:rPr>
                <w:rFonts w:eastAsia="Times New Roman" w:cs="Times New Roman"/>
                <w:sz w:val="20"/>
                <w:szCs w:val="20"/>
              </w:rPr>
            </w:pPr>
            <w:r w:rsidRPr="00D31C65">
              <w:rPr>
                <w:rFonts w:eastAsia="Times New Roman" w:cs="Times New Roman"/>
                <w:sz w:val="20"/>
                <w:szCs w:val="20"/>
              </w:rPr>
              <w:t>unitless</w:t>
            </w:r>
          </w:p>
        </w:tc>
        <w:tc>
          <w:tcPr>
            <w:tcW w:w="1296" w:type="dxa"/>
            <w:shd w:val="clear" w:color="auto" w:fill="auto"/>
            <w:noWrap/>
            <w:vAlign w:val="center"/>
            <w:hideMark/>
          </w:tcPr>
          <w:p w14:paraId="583A53F1" w14:textId="77777777" w:rsidR="00BC17A0" w:rsidRPr="00FC6744" w:rsidRDefault="00BC17A0" w:rsidP="005552C5">
            <w:pPr>
              <w:keepNext/>
              <w:keepLines/>
              <w:spacing w:before="0" w:after="0" w:line="240" w:lineRule="auto"/>
              <w:jc w:val="right"/>
              <w:rPr>
                <w:rFonts w:eastAsia="Times New Roman" w:cs="Times New Roman"/>
                <w:sz w:val="20"/>
                <w:szCs w:val="20"/>
              </w:rPr>
            </w:pPr>
            <w:r w:rsidRPr="00FC6744">
              <w:rPr>
                <w:rFonts w:eastAsia="Times New Roman" w:cs="Times New Roman"/>
                <w:sz w:val="20"/>
                <w:szCs w:val="20"/>
              </w:rPr>
              <w:t>0.77</w:t>
            </w:r>
          </w:p>
        </w:tc>
        <w:tc>
          <w:tcPr>
            <w:tcW w:w="3539" w:type="dxa"/>
            <w:shd w:val="clear" w:color="auto" w:fill="auto"/>
            <w:noWrap/>
            <w:vAlign w:val="center"/>
          </w:tcPr>
          <w:p w14:paraId="7DE6E173" w14:textId="77777777" w:rsidR="00BC17A0" w:rsidRDefault="00BC17A0" w:rsidP="005552C5">
            <w:pPr>
              <w:keepNext/>
              <w:keepLines/>
              <w:spacing w:before="0" w:after="0" w:line="240" w:lineRule="auto"/>
              <w:rPr>
                <w:rFonts w:eastAsia="Times New Roman" w:cs="Times New Roman"/>
                <w:sz w:val="18"/>
                <w:szCs w:val="18"/>
              </w:rPr>
            </w:pPr>
            <w:r w:rsidRPr="00780884">
              <w:rPr>
                <w:rFonts w:eastAsia="Times New Roman" w:cs="Times New Roman"/>
                <w:sz w:val="18"/>
                <w:szCs w:val="18"/>
              </w:rPr>
              <w:t>Southern California Gas Company (SCG). 2010. “Gas Fired Storage Water Heater Extract from CEC Appliance Data 07.07.2010.xlsx.”</w:t>
            </w:r>
          </w:p>
          <w:p w14:paraId="2119B280" w14:textId="77777777" w:rsidR="00E540D1" w:rsidRDefault="00E540D1" w:rsidP="005552C5">
            <w:pPr>
              <w:keepNext/>
              <w:keepLines/>
              <w:spacing w:before="0" w:after="0" w:line="240" w:lineRule="auto"/>
              <w:rPr>
                <w:rFonts w:eastAsia="Times New Roman" w:cs="Times New Roman"/>
                <w:sz w:val="18"/>
                <w:szCs w:val="18"/>
                <w:highlight w:val="yellow"/>
              </w:rPr>
            </w:pPr>
          </w:p>
          <w:p w14:paraId="50B31D57" w14:textId="0F6382AB" w:rsidR="00E540D1" w:rsidRPr="00780884" w:rsidRDefault="00E540D1" w:rsidP="005552C5">
            <w:pPr>
              <w:keepNext/>
              <w:keepLines/>
              <w:spacing w:before="0" w:after="0" w:line="240" w:lineRule="auto"/>
              <w:rPr>
                <w:rFonts w:eastAsia="Times New Roman" w:cs="Times New Roman"/>
                <w:sz w:val="18"/>
                <w:szCs w:val="18"/>
                <w:highlight w:val="yellow"/>
              </w:rPr>
            </w:pPr>
            <w:r w:rsidRPr="00E540D1">
              <w:rPr>
                <w:rFonts w:eastAsia="Times New Roman" w:cs="Times New Roman"/>
                <w:sz w:val="18"/>
                <w:szCs w:val="18"/>
              </w:rPr>
              <w:t xml:space="preserve">California Public Utilities Commission (CPUC), Energy Division. 2010. </w:t>
            </w:r>
            <w:r w:rsidRPr="00E540D1">
              <w:rPr>
                <w:rFonts w:eastAsia="Times New Roman" w:cs="Times New Roman"/>
                <w:i/>
                <w:sz w:val="18"/>
                <w:szCs w:val="18"/>
              </w:rPr>
              <w:t>Non-DEER Measure Review Template: PGECODHW113 – Low Flow Showerhead and Therm</w:t>
            </w:r>
            <w:r w:rsidR="00CE2BC5">
              <w:rPr>
                <w:rFonts w:eastAsia="Times New Roman" w:cs="Times New Roman"/>
                <w:i/>
                <w:sz w:val="18"/>
                <w:szCs w:val="18"/>
              </w:rPr>
              <w:t>o</w:t>
            </w:r>
            <w:r w:rsidRPr="00E540D1">
              <w:rPr>
                <w:rFonts w:eastAsia="Times New Roman" w:cs="Times New Roman"/>
                <w:i/>
                <w:sz w:val="18"/>
                <w:szCs w:val="18"/>
              </w:rPr>
              <w:t>static Shower Restriction Valve.</w:t>
            </w:r>
            <w:r w:rsidRPr="00E540D1">
              <w:rPr>
                <w:rFonts w:eastAsia="Times New Roman" w:cs="Times New Roman"/>
                <w:sz w:val="18"/>
                <w:szCs w:val="18"/>
              </w:rPr>
              <w:t xml:space="preserve"> April 27.</w:t>
            </w:r>
          </w:p>
        </w:tc>
      </w:tr>
      <w:tr w:rsidR="00BC17A0" w:rsidRPr="00D31C65" w14:paraId="057AD919" w14:textId="77777777" w:rsidTr="00702E2D">
        <w:trPr>
          <w:trHeight w:val="260"/>
        </w:trPr>
        <w:tc>
          <w:tcPr>
            <w:tcW w:w="3356" w:type="dxa"/>
            <w:shd w:val="clear" w:color="auto" w:fill="auto"/>
            <w:noWrap/>
            <w:vAlign w:val="center"/>
            <w:hideMark/>
          </w:tcPr>
          <w:p w14:paraId="08A972ED" w14:textId="77777777" w:rsidR="00BC17A0" w:rsidRPr="00D31C65" w:rsidRDefault="00BC17A0" w:rsidP="00702E2D">
            <w:pPr>
              <w:spacing w:before="0" w:after="0" w:line="240" w:lineRule="auto"/>
              <w:rPr>
                <w:rFonts w:eastAsia="Times New Roman" w:cs="Times New Roman"/>
                <w:sz w:val="20"/>
                <w:szCs w:val="20"/>
              </w:rPr>
            </w:pPr>
            <w:r w:rsidRPr="00D31C65">
              <w:rPr>
                <w:rFonts w:eastAsia="Times New Roman" w:cs="Times New Roman"/>
                <w:sz w:val="20"/>
                <w:szCs w:val="20"/>
              </w:rPr>
              <w:t xml:space="preserve">Electric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008" w:type="dxa"/>
            <w:shd w:val="clear" w:color="auto" w:fill="auto"/>
            <w:noWrap/>
            <w:vAlign w:val="center"/>
            <w:hideMark/>
          </w:tcPr>
          <w:p w14:paraId="67AA90B7" w14:textId="77777777" w:rsidR="00BC17A0" w:rsidRPr="00D31C65" w:rsidRDefault="00BC17A0" w:rsidP="00702E2D">
            <w:pPr>
              <w:spacing w:before="0" w:after="0" w:line="240" w:lineRule="auto"/>
              <w:rPr>
                <w:rFonts w:eastAsia="Times New Roman" w:cs="Times New Roman"/>
                <w:sz w:val="20"/>
                <w:szCs w:val="20"/>
              </w:rPr>
            </w:pPr>
            <w:r w:rsidRPr="00D31C65">
              <w:rPr>
                <w:rFonts w:eastAsia="Times New Roman" w:cs="Times New Roman"/>
                <w:sz w:val="20"/>
                <w:szCs w:val="20"/>
              </w:rPr>
              <w:t>unitless</w:t>
            </w:r>
          </w:p>
        </w:tc>
        <w:tc>
          <w:tcPr>
            <w:tcW w:w="1296" w:type="dxa"/>
            <w:shd w:val="clear" w:color="auto" w:fill="auto"/>
            <w:noWrap/>
            <w:vAlign w:val="center"/>
            <w:hideMark/>
          </w:tcPr>
          <w:p w14:paraId="157EAA2B" w14:textId="77777777" w:rsidR="00BC17A0" w:rsidRPr="00FC6744" w:rsidRDefault="00BC17A0" w:rsidP="00702E2D">
            <w:pPr>
              <w:spacing w:before="0" w:after="0" w:line="240" w:lineRule="auto"/>
              <w:jc w:val="right"/>
              <w:rPr>
                <w:rFonts w:eastAsia="Times New Roman" w:cs="Times New Roman"/>
                <w:sz w:val="20"/>
                <w:szCs w:val="20"/>
              </w:rPr>
            </w:pPr>
            <w:r w:rsidRPr="00FC6744">
              <w:rPr>
                <w:rFonts w:eastAsia="Times New Roman" w:cs="Times New Roman"/>
                <w:sz w:val="20"/>
                <w:szCs w:val="20"/>
              </w:rPr>
              <w:t>0.98</w:t>
            </w:r>
          </w:p>
        </w:tc>
        <w:tc>
          <w:tcPr>
            <w:tcW w:w="3539" w:type="dxa"/>
            <w:shd w:val="clear" w:color="auto" w:fill="auto"/>
            <w:noWrap/>
            <w:vAlign w:val="center"/>
            <w:hideMark/>
          </w:tcPr>
          <w:p w14:paraId="3752FB2E" w14:textId="77777777" w:rsidR="00BC17A0" w:rsidRPr="00780884" w:rsidRDefault="00BC17A0" w:rsidP="00702E2D">
            <w:pPr>
              <w:spacing w:before="0" w:after="0" w:line="240" w:lineRule="auto"/>
              <w:rPr>
                <w:rFonts w:eastAsia="Times New Roman" w:cs="Times New Roman"/>
                <w:sz w:val="18"/>
                <w:szCs w:val="18"/>
                <w:highlight w:val="yellow"/>
              </w:rPr>
            </w:pPr>
            <w:r w:rsidRPr="00780884">
              <w:rPr>
                <w:sz w:val="18"/>
                <w:szCs w:val="18"/>
              </w:rPr>
              <w:t xml:space="preserve">California Energy Commission (CEC). 2014. </w:t>
            </w:r>
            <w:r w:rsidRPr="00780884">
              <w:rPr>
                <w:i/>
                <w:sz w:val="18"/>
                <w:szCs w:val="18"/>
              </w:rPr>
              <w:t xml:space="preserve">2014 Appliance Efficiency Regulations. </w:t>
            </w:r>
            <w:r w:rsidRPr="00780884">
              <w:rPr>
                <w:sz w:val="18"/>
                <w:szCs w:val="18"/>
              </w:rPr>
              <w:t>CEC-400-2014-009-CMF.</w:t>
            </w:r>
            <w:r>
              <w:rPr>
                <w:sz w:val="18"/>
                <w:szCs w:val="18"/>
              </w:rPr>
              <w:t xml:space="preserve"> Section 1604.</w:t>
            </w:r>
          </w:p>
        </w:tc>
      </w:tr>
    </w:tbl>
    <w:p w14:paraId="54E74F33" w14:textId="77777777" w:rsidR="00BC17A0" w:rsidRPr="00B20B50" w:rsidRDefault="00BC17A0" w:rsidP="00BC17A0"/>
    <w:p w14:paraId="48D63D6E" w14:textId="77777777" w:rsidR="00BC17A0" w:rsidRDefault="00BC17A0" w:rsidP="00BC17A0">
      <w:r>
        <w:rPr>
          <w:b/>
        </w:rPr>
        <w:t>Recovery Efficiency</w:t>
      </w:r>
      <w:r w:rsidRPr="003557B3">
        <w:rPr>
          <w:b/>
        </w:rPr>
        <w:t xml:space="preserve">: </w:t>
      </w:r>
      <w:r w:rsidRPr="008E679A">
        <w:t xml:space="preserve">To convert the water heating load to </w:t>
      </w:r>
      <w:r>
        <w:t xml:space="preserve">electric </w:t>
      </w:r>
      <w:r w:rsidRPr="008E679A">
        <w:t xml:space="preserve">energy use at the water heater, the recovery efficiency (RE) is used. Recovery efficiency is a measure of how efficiently the heat from the energy source is transferred to the water (the ratio of energy output used to heat the water divided by energy input). </w:t>
      </w:r>
    </w:p>
    <w:p w14:paraId="5DFF7FFF" w14:textId="77777777" w:rsidR="00BC17A0" w:rsidRDefault="00BC17A0" w:rsidP="00BC17A0"/>
    <w:p w14:paraId="6C4E8082" w14:textId="77777777" w:rsidR="004E7D83" w:rsidRPr="004B06E3" w:rsidRDefault="004E7D83" w:rsidP="00FD61F7">
      <w:pPr>
        <w:pStyle w:val="eTRMHeading3"/>
      </w:pPr>
      <w:bookmarkStart w:id="41" w:name="_Toc486490856"/>
      <w:bookmarkStart w:id="42" w:name="_Toc486580927"/>
      <w:bookmarkStart w:id="43" w:name="_Toc23506741"/>
      <w:r w:rsidRPr="004B06E3">
        <w:lastRenderedPageBreak/>
        <w:t>Peak Electric Demand Reduction (</w:t>
      </w:r>
      <w:r w:rsidRPr="00E135CC">
        <w:rPr>
          <w:caps w:val="0"/>
        </w:rPr>
        <w:t>kW</w:t>
      </w:r>
      <w:r w:rsidRPr="004B06E3">
        <w:t>)</w:t>
      </w:r>
      <w:bookmarkEnd w:id="41"/>
      <w:bookmarkEnd w:id="42"/>
      <w:bookmarkEnd w:id="43"/>
    </w:p>
    <w:p w14:paraId="2B684823" w14:textId="3EC0B854" w:rsidR="004E68D3" w:rsidRPr="00834EEE" w:rsidRDefault="004E68D3" w:rsidP="00FD61F7">
      <w:pPr>
        <w:keepNext/>
        <w:keepLines/>
      </w:pPr>
      <w:bookmarkStart w:id="44" w:name="_Toc486490858"/>
      <w:bookmarkStart w:id="45" w:name="_Toc486580929"/>
      <w:r>
        <w:t xml:space="preserve">Peak demand reduction is calculated </w:t>
      </w:r>
      <w:r w:rsidR="00FC6744">
        <w:t>as a function of the electric UES, a peak period usage factor, and the operating hours per year</w:t>
      </w:r>
      <w:r>
        <w:t xml:space="preserve">. </w:t>
      </w:r>
      <w:r w:rsidRPr="0053560D">
        <w:t xml:space="preserve">The peak period usage factor </w:t>
      </w:r>
      <w:r w:rsidR="00BE7FA3">
        <w:t xml:space="preserve">(PPUF) – similar in concept to a coincident demand factor (CDF) – </w:t>
      </w:r>
      <w:r w:rsidRPr="0053560D">
        <w:t xml:space="preserve">reflects the percent of hot water usage during the </w:t>
      </w:r>
      <w:r w:rsidR="00EE0A98">
        <w:t xml:space="preserve">designated </w:t>
      </w:r>
      <w:r w:rsidRPr="0053560D">
        <w:t>peak demand period.</w:t>
      </w:r>
    </w:p>
    <w:p w14:paraId="65739120" w14:textId="5E45C61D" w:rsidR="004E68D3" w:rsidRPr="00BE7FA3" w:rsidRDefault="00497854" w:rsidP="004E68D3">
      <w:pPr>
        <w:keepNext/>
        <w:keepLines/>
        <w:ind w:left="720"/>
        <w:rPr>
          <w:rFonts w:asciiTheme="minorHAnsi" w:hAnsiTheme="minorHAns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kW</m:t>
              </m:r>
            </m:e>
            <m:sub>
              <m:r>
                <w:rPr>
                  <w:rFonts w:ascii="Cambria Math" w:hAnsi="Cambria Math"/>
                  <w:sz w:val="18"/>
                  <w:szCs w:val="18"/>
                </w:rPr>
                <m:t>reduction</m:t>
              </m:r>
              <m:r>
                <w:rPr>
                  <w:rFonts w:ascii="Cambria Math" w:hAnsi="Cambria Math"/>
                  <w:sz w:val="18"/>
                  <w:szCs w:val="18"/>
                </w:rPr>
                <m:t xml:space="preserve"> </m:t>
              </m:r>
            </m:sub>
          </m:sSub>
          <m:r>
            <w:rPr>
              <w:rFonts w:ascii="Cambria Math" w:hAnsi="Cambria Math"/>
              <w:sz w:val="18"/>
              <w:szCs w:val="18"/>
            </w:rPr>
            <m:t xml:space="preserve">= </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UES</m:t>
                  </m:r>
                </m:e>
                <m:sub>
                  <m:r>
                    <w:rPr>
                      <w:rFonts w:ascii="Cambria Math" w:hAnsi="Cambria Math"/>
                      <w:sz w:val="18"/>
                      <w:szCs w:val="18"/>
                    </w:rPr>
                    <m:t>kW</m:t>
                  </m:r>
                  <m:r>
                    <w:rPr>
                      <w:rFonts w:ascii="Cambria Math" w:hAnsi="Cambria Math"/>
                      <w:sz w:val="18"/>
                      <w:szCs w:val="18"/>
                    </w:rPr>
                    <m:t>h</m:t>
                  </m:r>
                  <m:r>
                    <w:rPr>
                      <w:rFonts w:ascii="Cambria Math" w:hAnsi="Cambria Math"/>
                      <w:sz w:val="18"/>
                      <w:szCs w:val="18"/>
                    </w:rPr>
                    <m:t xml:space="preserve"> </m:t>
                  </m:r>
                </m:sub>
              </m:sSub>
              <m:r>
                <w:rPr>
                  <w:rFonts w:ascii="Cambria Math" w:hAnsi="Cambria Math"/>
                  <w:sz w:val="18"/>
                  <w:szCs w:val="18"/>
                </w:rPr>
                <m:t>×</m:t>
              </m:r>
              <m:r>
                <w:rPr>
                  <w:rFonts w:ascii="Cambria Math" w:hAnsi="Cambria Math"/>
                  <w:sz w:val="18"/>
                  <w:szCs w:val="18"/>
                </w:rPr>
                <m:t>PPUF</m:t>
              </m:r>
            </m:num>
            <m:den>
              <m:r>
                <w:rPr>
                  <w:rFonts w:ascii="Cambria Math" w:hAnsi="Cambria Math"/>
                  <w:sz w:val="18"/>
                  <w:szCs w:val="18"/>
                </w:rPr>
                <m:t>(</m:t>
              </m:r>
              <m:r>
                <w:rPr>
                  <w:rFonts w:ascii="Cambria Math" w:hAnsi="Cambria Math"/>
                  <w:sz w:val="18"/>
                  <w:szCs w:val="18"/>
                </w:rPr>
                <m:t>DAYS</m:t>
              </m:r>
              <m:r>
                <w:rPr>
                  <w:rFonts w:ascii="Cambria Math" w:hAnsi="Cambria Math"/>
                  <w:sz w:val="18"/>
                  <w:szCs w:val="18"/>
                </w:rPr>
                <m:t>×</m:t>
              </m:r>
              <m:r>
                <w:rPr>
                  <w:rFonts w:ascii="Cambria Math" w:hAnsi="Cambria Math"/>
                  <w:sz w:val="18"/>
                  <w:szCs w:val="18"/>
                </w:rPr>
                <m:t>PEAKHRS</m:t>
              </m:r>
              <m:r>
                <w:rPr>
                  <w:rFonts w:ascii="Cambria Math" w:hAnsi="Cambria Math"/>
                  <w:sz w:val="18"/>
                  <w:szCs w:val="18"/>
                </w:rPr>
                <m:t>)</m:t>
              </m:r>
            </m:den>
          </m:f>
        </m:oMath>
      </m:oMathPara>
    </w:p>
    <w:p w14:paraId="35CE34FB" w14:textId="42D350FB" w:rsidR="00BE7FA3" w:rsidRDefault="00BE7FA3" w:rsidP="004E68D3">
      <w:pPr>
        <w:keepNext/>
        <w:keepLines/>
        <w:ind w:left="720"/>
        <w:rPr>
          <w:rFonts w:asciiTheme="minorHAnsi" w:hAnsiTheme="minorHAnsi"/>
          <w:sz w:val="18"/>
          <w:szCs w:val="18"/>
        </w:rPr>
      </w:pPr>
    </w:p>
    <w:p w14:paraId="2699053D" w14:textId="77777777" w:rsidR="00BE7FA3" w:rsidRDefault="00BE7FA3" w:rsidP="00BE7FA3">
      <w:pPr>
        <w:tabs>
          <w:tab w:val="left" w:pos="288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sidRPr="00AC4758">
        <w:rPr>
          <w:rFonts w:ascii="Cambria Math" w:hAnsi="Cambria Math" w:cs="Calibri Light"/>
          <w:i/>
          <w:sz w:val="18"/>
          <w:szCs w:val="18"/>
          <w:vertAlign w:val="subscript"/>
        </w:rPr>
        <w:t>kWh</w:t>
      </w:r>
      <w:proofErr w:type="spellEnd"/>
      <w:r>
        <w:rPr>
          <w:rFonts w:ascii="Cambria Math" w:hAnsi="Cambria Math" w:cs="Calibri Light"/>
          <w:i/>
          <w:sz w:val="18"/>
          <w:szCs w:val="18"/>
        </w:rPr>
        <w:t xml:space="preserve"> = </w:t>
      </w:r>
      <w:r>
        <w:rPr>
          <w:rFonts w:ascii="Cambria Math" w:hAnsi="Cambria Math" w:cs="Calibri Light"/>
          <w:i/>
          <w:sz w:val="18"/>
          <w:szCs w:val="18"/>
        </w:rPr>
        <w:tab/>
        <w:t>Annual electric unit energy savings (kWh/</w:t>
      </w:r>
      <w:proofErr w:type="spellStart"/>
      <w:r>
        <w:rPr>
          <w:rFonts w:ascii="Cambria Math" w:hAnsi="Cambria Math" w:cs="Calibri Light"/>
          <w:i/>
          <w:sz w:val="18"/>
          <w:szCs w:val="18"/>
        </w:rPr>
        <w:t>yr</w:t>
      </w:r>
      <w:proofErr w:type="spellEnd"/>
      <w:r>
        <w:rPr>
          <w:rFonts w:ascii="Cambria Math" w:hAnsi="Cambria Math" w:cs="Calibri Light"/>
          <w:i/>
          <w:sz w:val="18"/>
          <w:szCs w:val="18"/>
        </w:rPr>
        <w:t>)</w:t>
      </w:r>
    </w:p>
    <w:p w14:paraId="576AB78C" w14:textId="77777777" w:rsidR="00BE7FA3" w:rsidRDefault="00BE7FA3" w:rsidP="00BE7FA3">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 xml:space="preserve">PPUF = </w:t>
      </w:r>
      <w:r>
        <w:rPr>
          <w:rFonts w:ascii="Cambria Math" w:hAnsi="Cambria Math" w:cs="Calibri Light"/>
          <w:i/>
          <w:sz w:val="18"/>
          <w:szCs w:val="18"/>
        </w:rPr>
        <w:tab/>
        <w:t>Peak period usage factor</w:t>
      </w:r>
    </w:p>
    <w:p w14:paraId="34104D27" w14:textId="77777777" w:rsidR="00BE7FA3" w:rsidRDefault="00BE7FA3" w:rsidP="00BE7FA3">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 xml:space="preserve">DAYS = </w:t>
      </w:r>
      <w:r>
        <w:rPr>
          <w:rFonts w:ascii="Cambria Math" w:hAnsi="Cambria Math" w:cs="Calibri Light"/>
          <w:i/>
          <w:sz w:val="18"/>
          <w:szCs w:val="18"/>
        </w:rPr>
        <w:tab/>
        <w:t>Operating days per year (days)</w:t>
      </w:r>
    </w:p>
    <w:p w14:paraId="706C9C18" w14:textId="77777777" w:rsidR="00BE7FA3" w:rsidRDefault="00BE7FA3" w:rsidP="00BE7FA3">
      <w:pPr>
        <w:tabs>
          <w:tab w:val="left" w:pos="2880"/>
        </w:tabs>
        <w:spacing w:before="20" w:after="20"/>
        <w:ind w:left="1440"/>
        <w:rPr>
          <w:rFonts w:ascii="Cambria Math" w:hAnsi="Cambria Math" w:cs="Calibri Light"/>
          <w:i/>
          <w:sz w:val="18"/>
          <w:szCs w:val="18"/>
        </w:rPr>
      </w:pPr>
      <w:r>
        <w:rPr>
          <w:rFonts w:ascii="Cambria Math" w:hAnsi="Cambria Math" w:cs="Calibri Light"/>
          <w:i/>
          <w:sz w:val="18"/>
          <w:szCs w:val="18"/>
        </w:rPr>
        <w:t xml:space="preserve">PEAKHRS = </w:t>
      </w:r>
      <w:r>
        <w:rPr>
          <w:rFonts w:ascii="Cambria Math" w:hAnsi="Cambria Math" w:cs="Calibri Light"/>
          <w:i/>
          <w:sz w:val="18"/>
          <w:szCs w:val="18"/>
        </w:rPr>
        <w:tab/>
        <w:t>Peak hours per day</w:t>
      </w:r>
    </w:p>
    <w:p w14:paraId="3FD6982E" w14:textId="77777777" w:rsidR="00BE7FA3" w:rsidRPr="00E37CC2" w:rsidRDefault="00BE7FA3" w:rsidP="004E68D3">
      <w:pPr>
        <w:keepNext/>
        <w:keepLines/>
        <w:ind w:left="720"/>
        <w:rPr>
          <w:rFonts w:asciiTheme="minorHAnsi" w:hAnsiTheme="minorHAnsi"/>
          <w:sz w:val="18"/>
          <w:szCs w:val="18"/>
        </w:rPr>
      </w:pPr>
    </w:p>
    <w:p w14:paraId="1D93619A" w14:textId="1DC2BCF7" w:rsidR="004E68D3" w:rsidRDefault="004E68D3" w:rsidP="004E68D3">
      <w:pPr>
        <w:pStyle w:val="Caption"/>
      </w:pPr>
      <w:r>
        <w:t>Peak Demand Reduction Parameters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335"/>
        <w:gridCol w:w="1170"/>
        <w:gridCol w:w="6030"/>
      </w:tblGrid>
      <w:tr w:rsidR="004E68D3" w:rsidRPr="00A94CA4" w14:paraId="79127362" w14:textId="77777777" w:rsidTr="00CA7B8C">
        <w:trPr>
          <w:cantSplit/>
          <w:trHeight w:val="20"/>
        </w:trPr>
        <w:tc>
          <w:tcPr>
            <w:tcW w:w="23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A1416C7" w14:textId="77777777" w:rsidR="004E68D3" w:rsidRPr="00A94CA4" w:rsidRDefault="004E68D3" w:rsidP="00CA7B8C">
            <w:pPr>
              <w:spacing w:before="20" w:after="20" w:line="240" w:lineRule="auto"/>
              <w:rPr>
                <w:b/>
                <w:sz w:val="20"/>
                <w:szCs w:val="20"/>
              </w:rPr>
            </w:pPr>
            <w:r w:rsidRPr="00A94CA4">
              <w:rPr>
                <w:b/>
                <w:sz w:val="20"/>
                <w:szCs w:val="20"/>
              </w:rPr>
              <w:t>Parameter</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center"/>
          </w:tcPr>
          <w:p w14:paraId="2FBAB539" w14:textId="77777777" w:rsidR="004E68D3" w:rsidRPr="00A94CA4" w:rsidRDefault="004E68D3" w:rsidP="00CA7B8C">
            <w:pPr>
              <w:spacing w:before="20" w:after="20" w:line="240" w:lineRule="auto"/>
              <w:jc w:val="center"/>
              <w:rPr>
                <w:rFonts w:eastAsia="Times New Roman" w:cs="Calibri Light"/>
                <w:b/>
                <w:color w:val="000000"/>
                <w:sz w:val="20"/>
                <w:szCs w:val="20"/>
              </w:rPr>
            </w:pPr>
            <w:r w:rsidRPr="00A94CA4">
              <w:rPr>
                <w:rFonts w:eastAsia="Times New Roman" w:cs="Calibri Light"/>
                <w:b/>
                <w:color w:val="000000"/>
                <w:sz w:val="20"/>
                <w:szCs w:val="20"/>
              </w:rPr>
              <w:t>Value</w:t>
            </w:r>
          </w:p>
        </w:tc>
        <w:tc>
          <w:tcPr>
            <w:tcW w:w="60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8C718E3" w14:textId="77777777" w:rsidR="004E68D3" w:rsidRPr="00A94CA4" w:rsidRDefault="004E68D3" w:rsidP="00CA7B8C">
            <w:pPr>
              <w:spacing w:before="20" w:after="20" w:line="240" w:lineRule="auto"/>
              <w:rPr>
                <w:b/>
                <w:sz w:val="20"/>
                <w:szCs w:val="20"/>
              </w:rPr>
            </w:pPr>
            <w:r w:rsidRPr="00A94CA4">
              <w:rPr>
                <w:b/>
                <w:sz w:val="20"/>
                <w:szCs w:val="20"/>
              </w:rPr>
              <w:t>Source</w:t>
            </w:r>
          </w:p>
        </w:tc>
      </w:tr>
      <w:tr w:rsidR="004E68D3" w:rsidRPr="00BA632F" w14:paraId="4B834DE3" w14:textId="77777777" w:rsidTr="00CA7B8C">
        <w:trPr>
          <w:cantSplit/>
          <w:trHeight w:val="20"/>
        </w:trPr>
        <w:tc>
          <w:tcPr>
            <w:tcW w:w="23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53E17C46" w14:textId="77777777" w:rsidR="004E68D3" w:rsidRPr="00A94CA4" w:rsidRDefault="004E68D3" w:rsidP="00CA7B8C">
            <w:pPr>
              <w:spacing w:before="20" w:after="20" w:line="240" w:lineRule="auto"/>
              <w:rPr>
                <w:sz w:val="20"/>
                <w:szCs w:val="20"/>
              </w:rPr>
            </w:pPr>
            <w:r w:rsidRPr="00A94CA4">
              <w:rPr>
                <w:sz w:val="20"/>
                <w:szCs w:val="20"/>
              </w:rPr>
              <w:t>Peak Period Usage Factor (PPUF)</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0C696512" w14:textId="683CAA28" w:rsidR="004E68D3" w:rsidRPr="00FC6744" w:rsidRDefault="004E68D3" w:rsidP="00CA7B8C">
            <w:pPr>
              <w:spacing w:before="20" w:after="20" w:line="240" w:lineRule="auto"/>
              <w:jc w:val="center"/>
              <w:rPr>
                <w:rFonts w:eastAsia="Times New Roman" w:cs="Calibri Light"/>
                <w:sz w:val="20"/>
                <w:szCs w:val="20"/>
              </w:rPr>
            </w:pPr>
            <w:r w:rsidRPr="00FC6744">
              <w:rPr>
                <w:rFonts w:eastAsia="Times New Roman" w:cs="Calibri Light"/>
                <w:sz w:val="20"/>
                <w:szCs w:val="20"/>
              </w:rPr>
              <w:t>0.</w:t>
            </w:r>
            <w:r w:rsidR="0047299B">
              <w:rPr>
                <w:rFonts w:eastAsia="Times New Roman" w:cs="Calibri Light"/>
                <w:sz w:val="20"/>
                <w:szCs w:val="20"/>
              </w:rPr>
              <w:t>37</w:t>
            </w:r>
          </w:p>
        </w:tc>
        <w:tc>
          <w:tcPr>
            <w:tcW w:w="60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D098D0" w14:textId="573EA478" w:rsidR="0047299B" w:rsidRPr="005C7B8D" w:rsidRDefault="0047299B" w:rsidP="00CA7B8C">
            <w:pPr>
              <w:spacing w:before="20" w:after="20" w:line="240" w:lineRule="auto"/>
            </w:pPr>
            <w:r>
              <w:rPr>
                <w:sz w:val="18"/>
                <w:szCs w:val="18"/>
              </w:rPr>
              <w:t>Southern California Edison (SCE). 2019. “</w:t>
            </w:r>
            <w:r w:rsidRPr="002A20C1">
              <w:rPr>
                <w:sz w:val="18"/>
                <w:szCs w:val="18"/>
              </w:rPr>
              <w:t>Water Heater - Electric Peak Usage Factor adjustment to new TOU</w:t>
            </w:r>
            <w:r>
              <w:rPr>
                <w:sz w:val="18"/>
                <w:szCs w:val="18"/>
              </w:rPr>
              <w:t>.xlsx”</w:t>
            </w:r>
          </w:p>
        </w:tc>
      </w:tr>
      <w:tr w:rsidR="00BE7FA3" w:rsidRPr="00BA632F" w14:paraId="7A991A16" w14:textId="77777777" w:rsidTr="00CA7B8C">
        <w:trPr>
          <w:cantSplit/>
          <w:trHeight w:val="20"/>
        </w:trPr>
        <w:tc>
          <w:tcPr>
            <w:tcW w:w="23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5A7E9B07" w14:textId="58DFB3F1" w:rsidR="00BE7FA3" w:rsidRPr="00A94CA4" w:rsidRDefault="00BE7FA3" w:rsidP="00CA7B8C">
            <w:pPr>
              <w:spacing w:before="20" w:after="20" w:line="240" w:lineRule="auto"/>
              <w:rPr>
                <w:sz w:val="20"/>
                <w:szCs w:val="20"/>
              </w:rPr>
            </w:pPr>
            <w:r>
              <w:rPr>
                <w:sz w:val="20"/>
                <w:szCs w:val="20"/>
              </w:rPr>
              <w:t>Operating days per year</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460E40D9" w14:textId="32DCAD98" w:rsidR="00BE7FA3" w:rsidRPr="00FC6744" w:rsidRDefault="00BE7FA3" w:rsidP="00CA7B8C">
            <w:pPr>
              <w:spacing w:before="20" w:after="20" w:line="240" w:lineRule="auto"/>
              <w:jc w:val="center"/>
              <w:rPr>
                <w:rFonts w:eastAsia="Times New Roman" w:cs="Calibri Light"/>
                <w:sz w:val="20"/>
                <w:szCs w:val="20"/>
              </w:rPr>
            </w:pPr>
            <w:r>
              <w:rPr>
                <w:rFonts w:eastAsia="Times New Roman" w:cs="Calibri Light"/>
                <w:sz w:val="20"/>
                <w:szCs w:val="20"/>
              </w:rPr>
              <w:t>365</w:t>
            </w:r>
          </w:p>
        </w:tc>
        <w:tc>
          <w:tcPr>
            <w:tcW w:w="60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DA8E7D" w14:textId="27D0ACA4" w:rsidR="00BE7FA3" w:rsidRDefault="00BE7FA3" w:rsidP="00CA7B8C">
            <w:pPr>
              <w:spacing w:before="20" w:after="20" w:line="240" w:lineRule="auto"/>
              <w:rPr>
                <w:sz w:val="18"/>
                <w:szCs w:val="18"/>
              </w:rPr>
            </w:pPr>
            <w:r>
              <w:rPr>
                <w:sz w:val="18"/>
                <w:szCs w:val="18"/>
              </w:rPr>
              <w:t>Professional judgement</w:t>
            </w:r>
          </w:p>
        </w:tc>
      </w:tr>
      <w:tr w:rsidR="0047299B" w:rsidRPr="00BA632F" w14:paraId="398C0D13" w14:textId="77777777" w:rsidTr="00CA7B8C">
        <w:trPr>
          <w:cantSplit/>
          <w:trHeight w:val="20"/>
        </w:trPr>
        <w:tc>
          <w:tcPr>
            <w:tcW w:w="23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70A571C0" w14:textId="5D23A421" w:rsidR="0047299B" w:rsidRPr="00A94CA4" w:rsidRDefault="0047299B" w:rsidP="0047299B">
            <w:pPr>
              <w:spacing w:before="20" w:after="20" w:line="240" w:lineRule="auto"/>
              <w:rPr>
                <w:sz w:val="20"/>
                <w:szCs w:val="20"/>
              </w:rPr>
            </w:pPr>
            <w:r>
              <w:rPr>
                <w:sz w:val="20"/>
                <w:szCs w:val="20"/>
              </w:rPr>
              <w:t>Peak hours per day</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1609D68D" w14:textId="3B5C6B11" w:rsidR="0047299B" w:rsidRPr="00FC6744" w:rsidRDefault="0047299B" w:rsidP="0047299B">
            <w:pPr>
              <w:spacing w:before="20" w:after="20" w:line="240" w:lineRule="auto"/>
              <w:jc w:val="center"/>
              <w:rPr>
                <w:rFonts w:eastAsia="Times New Roman" w:cs="Calibri Light"/>
                <w:sz w:val="20"/>
                <w:szCs w:val="20"/>
              </w:rPr>
            </w:pPr>
            <w:r>
              <w:rPr>
                <w:rFonts w:eastAsia="Times New Roman" w:cs="Calibri Light"/>
                <w:sz w:val="20"/>
                <w:szCs w:val="20"/>
              </w:rPr>
              <w:t>5</w:t>
            </w:r>
          </w:p>
        </w:tc>
        <w:tc>
          <w:tcPr>
            <w:tcW w:w="60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278A62F" w14:textId="63844649" w:rsidR="0047299B" w:rsidRPr="00E540D1" w:rsidRDefault="0047299B" w:rsidP="0047299B">
            <w:pPr>
              <w:spacing w:before="20" w:after="20" w:line="240" w:lineRule="auto"/>
              <w:rPr>
                <w:rFonts w:eastAsia="Times New Roman" w:cs="Times New Roman"/>
                <w:sz w:val="18"/>
                <w:szCs w:val="18"/>
              </w:rPr>
            </w:pP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Op</w:t>
            </w:r>
            <w:r w:rsidRPr="00461A0D">
              <w:rPr>
                <w:rStyle w:val="eTRMFootnoteTextChar"/>
              </w:rPr>
              <w:t xml:space="preserve"> 1.</w:t>
            </w:r>
          </w:p>
        </w:tc>
      </w:tr>
    </w:tbl>
    <w:p w14:paraId="4315B929" w14:textId="77777777" w:rsidR="004E68D3" w:rsidRDefault="004E68D3" w:rsidP="004E68D3"/>
    <w:p w14:paraId="0E9D248B" w14:textId="15CF0C40" w:rsidR="007D230B" w:rsidRDefault="007D230B" w:rsidP="00462BB6">
      <w:pPr>
        <w:pStyle w:val="eTRMHeading3"/>
      </w:pPr>
      <w:bookmarkStart w:id="46" w:name="_Toc23506742"/>
      <w:r w:rsidRPr="004B06E3">
        <w:t>Gas Savings</w:t>
      </w:r>
      <w:r w:rsidR="00245AFF" w:rsidRPr="004B06E3">
        <w:t xml:space="preserve"> (</w:t>
      </w:r>
      <w:proofErr w:type="spellStart"/>
      <w:r w:rsidR="00245AFF" w:rsidRPr="00FC6744">
        <w:rPr>
          <w:caps w:val="0"/>
        </w:rPr>
        <w:t>Therms</w:t>
      </w:r>
      <w:proofErr w:type="spellEnd"/>
      <w:r w:rsidR="00245AFF" w:rsidRPr="004B06E3">
        <w:t>)</w:t>
      </w:r>
      <w:bookmarkEnd w:id="44"/>
      <w:bookmarkEnd w:id="45"/>
      <w:bookmarkEnd w:id="46"/>
    </w:p>
    <w:p w14:paraId="3B6149AC" w14:textId="52D814BD" w:rsidR="00370966" w:rsidRDefault="00370966" w:rsidP="00370966">
      <w:r>
        <w:t>This section explains the methodology for calculating the gas unit energy savings</w:t>
      </w:r>
      <w:r w:rsidR="00FC6744">
        <w:t xml:space="preserve"> </w:t>
      </w:r>
      <w:r>
        <w:t>(UES) of a TSV alone and a TSV with a low-flow showerhead. As per the Workpaper Disposition for Water Fixtures issued by the Energy Division of the California Public Utilities Commission (CPUC) in 2013,</w:t>
      </w:r>
      <w:r w:rsidR="004E68D3">
        <w:rPr>
          <w:rStyle w:val="FootnoteReference"/>
        </w:rPr>
        <w:footnoteReference w:id="8"/>
      </w:r>
      <w:r>
        <w:t xml:space="preserve"> the energy savings of a TSV with a low-flow showerhead is equal to the sum of the savings of each individual device, </w:t>
      </w:r>
      <w:r w:rsidR="004E68D3">
        <w:t>each of which is</w:t>
      </w:r>
      <w:r>
        <w:t xml:space="preserve"> provided below.</w:t>
      </w:r>
    </w:p>
    <w:p w14:paraId="48E11BAA" w14:textId="77777777" w:rsidR="00746406" w:rsidRDefault="00746406" w:rsidP="00746406"/>
    <w:p w14:paraId="7712104E" w14:textId="0D6ED205" w:rsidR="00D43431" w:rsidRDefault="00D43431" w:rsidP="00370966">
      <w:pPr>
        <w:pStyle w:val="eTRMHeading4"/>
      </w:pPr>
      <w:r>
        <w:t>Low-Flow Showerhead Gas Energy Savings (</w:t>
      </w:r>
      <w:proofErr w:type="spellStart"/>
      <w:r>
        <w:t>Therms</w:t>
      </w:r>
      <w:proofErr w:type="spellEnd"/>
      <w:r>
        <w:t>)</w:t>
      </w:r>
    </w:p>
    <w:p w14:paraId="511B3AC9" w14:textId="3B2EAF34" w:rsidR="00C95071" w:rsidRDefault="00C95071" w:rsidP="00C95071">
      <w:bookmarkStart w:id="47" w:name="_Hlk511805696"/>
      <w:r>
        <w:t>The gas UES</w:t>
      </w:r>
      <w:r w:rsidRPr="00B20B50">
        <w:t xml:space="preserve"> </w:t>
      </w:r>
      <w:r>
        <w:t>of this measure is</w:t>
      </w:r>
      <w:r w:rsidRPr="00B20B50">
        <w:t xml:space="preserve"> </w:t>
      </w:r>
      <w:r>
        <w:t xml:space="preserve">based upon the estimated decrease in hot water usage as a result of the installation of a low-flow showerhead. </w:t>
      </w:r>
      <w:bookmarkEnd w:id="47"/>
      <w:r>
        <w:t>The calculation of</w:t>
      </w:r>
      <w:r w:rsidRPr="00C96E45">
        <w:t xml:space="preserve"> </w:t>
      </w:r>
      <w:r>
        <w:t xml:space="preserve">water savings and gas </w:t>
      </w:r>
      <w:r w:rsidRPr="00C96E45">
        <w:t xml:space="preserve">energy </w:t>
      </w:r>
      <w:r>
        <w:t>savings are explained below.</w:t>
      </w:r>
    </w:p>
    <w:p w14:paraId="1CAB2277" w14:textId="1E6291FE" w:rsidR="00C95071" w:rsidRDefault="00C95071" w:rsidP="00C95071">
      <w:pPr>
        <w:pStyle w:val="eTRMHeading5"/>
        <w:keepNext/>
        <w:keepLines/>
      </w:pPr>
      <w:bookmarkStart w:id="48" w:name="_Hlk511642684"/>
      <w:r>
        <w:t>Calculation of Water Usage and Water Savings</w:t>
      </w:r>
      <w:r w:rsidR="00FE34B8">
        <w:t xml:space="preserve"> of Low-Flow Showerhead</w:t>
      </w:r>
    </w:p>
    <w:bookmarkEnd w:id="48"/>
    <w:p w14:paraId="6C55E2DB" w14:textId="535F3014" w:rsidR="00C95071" w:rsidRDefault="00C95071" w:rsidP="00C95071">
      <w:r>
        <w:t xml:space="preserve">The calculation of water savings due to the installation of a low-flow showerhead is </w:t>
      </w:r>
      <w:r w:rsidR="001E74B2">
        <w:t>shown below</w:t>
      </w:r>
      <w:r>
        <w:t xml:space="preserve">. Annual water savings is calculated as the difference between the estimated base case and measure case annual water usage. </w:t>
      </w:r>
    </w:p>
    <w:p w14:paraId="35ECCB2B" w14:textId="14DA157B" w:rsidR="00C95071" w:rsidRDefault="00C95071" w:rsidP="00C95071">
      <w:r>
        <w:lastRenderedPageBreak/>
        <w:t>Annual water usage is a function of the showerhead flow rate (</w:t>
      </w:r>
      <w:proofErr w:type="spellStart"/>
      <w:r>
        <w:t>gpm</w:t>
      </w:r>
      <w:proofErr w:type="spellEnd"/>
      <w:r>
        <w:t xml:space="preserve">), the average duration of each shower, the average number of showers taken per day per household, and the average number of showerheads per household. This calculation also includes a throttling factor which is a constant that represents the assumed actual water pressure as a portion of full pressure (80 psi). The annual water use calculation also includes a </w:t>
      </w:r>
      <w:r w:rsidR="00906C8F">
        <w:t xml:space="preserve">baseline water usage </w:t>
      </w:r>
      <w:r>
        <w:t xml:space="preserve">normalization factor, which adjusts the estimated water consumption to account for a change in the baseline hot water consumption as per </w:t>
      </w:r>
      <w:r w:rsidR="001D1CB2">
        <w:t>the</w:t>
      </w:r>
      <w:r>
        <w:t xml:space="preserve"> Water Fixture Disposition issued by the Energy Division of the California Public Utilities Commission (CPUC) in 2013.</w:t>
      </w:r>
      <w:r>
        <w:rPr>
          <w:rStyle w:val="FootnoteReference"/>
        </w:rPr>
        <w:footnoteReference w:id="9"/>
      </w:r>
      <w:r>
        <w:t xml:space="preserve"> </w:t>
      </w:r>
    </w:p>
    <w:bookmarkStart w:id="49" w:name="_Hlk496952838"/>
    <w:p w14:paraId="6ABFB18A" w14:textId="1EC3C60C" w:rsidR="00C95071" w:rsidRPr="003E67E2" w:rsidRDefault="00497854" w:rsidP="00C95071">
      <w:pPr>
        <w:keepNext/>
        <w:keepLines/>
        <w:ind w:left="720"/>
        <w:rPr>
          <w:rFonts w:asciiTheme="minorHAnsi" w:hAnsiTheme="minorHAnsi"/>
          <w:sz w:val="18"/>
        </w:rPr>
      </w:pPr>
      <m:oMathPara>
        <m:oMathParaPr>
          <m:jc m:val="left"/>
        </m:oMathParaPr>
        <m:oMath>
          <m:sSub>
            <m:sSubPr>
              <m:ctrlPr>
                <w:rPr>
                  <w:rFonts w:ascii="Cambria Math" w:hAnsi="Cambria Math"/>
                  <w:i/>
                  <w:sz w:val="18"/>
                </w:rPr>
              </m:ctrlPr>
            </m:sSubPr>
            <m:e>
              <m:r>
                <w:rPr>
                  <w:rFonts w:ascii="Cambria Math" w:hAnsi="Cambria Math"/>
                  <w:sz w:val="18"/>
                </w:rPr>
                <m:t>WS</m:t>
              </m:r>
            </m:e>
            <m:sub>
              <m:r>
                <w:rPr>
                  <w:rFonts w:ascii="Cambria Math" w:hAnsi="Cambria Math"/>
                  <w:sz w:val="18"/>
                </w:rPr>
                <m:t>s</m:t>
              </m:r>
              <m:r>
                <w:rPr>
                  <w:rFonts w:ascii="Cambria Math" w:hAnsi="Cambria Math"/>
                  <w:sz w:val="18"/>
                </w:rPr>
                <m:t>h</m:t>
              </m:r>
              <m:r>
                <w:rPr>
                  <w:rFonts w:ascii="Cambria Math" w:hAnsi="Cambria Math"/>
                  <w:sz w:val="18"/>
                </w:rPr>
                <m:t>ower</m:t>
              </m:r>
              <m:r>
                <w:rPr>
                  <w:rFonts w:ascii="Cambria Math" w:hAnsi="Cambria Math"/>
                  <w:sz w:val="18"/>
                </w:rPr>
                <m:t>h</m:t>
              </m:r>
              <m:r>
                <w:rPr>
                  <w:rFonts w:ascii="Cambria Math" w:hAnsi="Cambria Math"/>
                  <w:sz w:val="18"/>
                </w:rPr>
                <m:t>ead</m:t>
              </m:r>
            </m:sub>
          </m:sSub>
          <m:r>
            <w:rPr>
              <w:rFonts w:ascii="Cambria Math" w:hAnsi="Cambria Math"/>
              <w:sz w:val="18"/>
            </w:rPr>
            <m:t>=</m:t>
          </m:r>
          <m:sSub>
            <m:sSubPr>
              <m:ctrlPr>
                <w:rPr>
                  <w:rFonts w:ascii="Cambria Math" w:hAnsi="Cambria Math" w:cs="Times New Roman"/>
                  <w:i/>
                  <w:sz w:val="18"/>
                </w:rPr>
              </m:ctrlPr>
            </m:sSubPr>
            <m:e>
              <m:r>
                <w:rPr>
                  <w:rFonts w:ascii="Cambria Math" w:hAnsi="Cambria Math" w:cs="Times New Roman"/>
                  <w:sz w:val="18"/>
                </w:rPr>
                <m:t>WU</m:t>
              </m:r>
            </m:e>
            <m:sub>
              <m:r>
                <w:rPr>
                  <w:rFonts w:ascii="Cambria Math" w:hAnsi="Cambria Math"/>
                  <w:sz w:val="18"/>
                </w:rPr>
                <m:t>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WU</m:t>
              </m:r>
            </m:e>
            <m:sub>
              <m:r>
                <w:rPr>
                  <w:rFonts w:ascii="Cambria Math" w:hAnsi="Cambria Math"/>
                  <w:sz w:val="18"/>
                </w:rPr>
                <m:t>measure</m:t>
              </m:r>
            </m:sub>
          </m:sSub>
        </m:oMath>
      </m:oMathPara>
    </w:p>
    <w:p w14:paraId="579171A8" w14:textId="77777777" w:rsidR="003E67E2" w:rsidRPr="001543FB" w:rsidRDefault="003E67E2" w:rsidP="00C95071">
      <w:pPr>
        <w:keepNext/>
        <w:keepLines/>
        <w:ind w:left="720"/>
        <w:rPr>
          <w:rFonts w:asciiTheme="minorHAnsi" w:hAnsiTheme="minorHAnsi"/>
          <w:sz w:val="18"/>
        </w:rPr>
      </w:pPr>
    </w:p>
    <w:p w14:paraId="582E4862" w14:textId="77777777" w:rsidR="00C95071" w:rsidRPr="000B726B" w:rsidRDefault="00C95071" w:rsidP="00C95071">
      <w:pPr>
        <w:keepNext/>
        <w:keepLines/>
        <w:ind w:left="720"/>
        <w:rPr>
          <w:rFonts w:cs="Calibri Light"/>
          <w:sz w:val="18"/>
          <w:szCs w:val="22"/>
        </w:rPr>
      </w:pPr>
      <w:bookmarkStart w:id="50" w:name="_Hlk511642807"/>
      <w:bookmarkEnd w:id="49"/>
      <m:oMathPara>
        <m:oMathParaPr>
          <m:jc m:val="left"/>
        </m:oMathParaPr>
        <m:oMath>
          <m:r>
            <w:rPr>
              <w:rFonts w:ascii="Cambria Math" w:hAnsi="Cambria Math" w:cs="Calibri Light"/>
              <w:sz w:val="18"/>
              <w:szCs w:val="22"/>
            </w:rPr>
            <m:t xml:space="preserve">WU= </m:t>
          </m:r>
          <m:f>
            <m:fPr>
              <m:ctrlPr>
                <w:rPr>
                  <w:rFonts w:ascii="Cambria Math" w:hAnsi="Cambria Math" w:cs="Calibri Light"/>
                  <w:i/>
                  <w:sz w:val="18"/>
                  <w:szCs w:val="22"/>
                </w:rPr>
              </m:ctrlPr>
            </m:fPr>
            <m:num>
              <m:r>
                <w:rPr>
                  <w:rFonts w:ascii="Cambria Math" w:hAnsi="Cambria Math" w:cs="Calibri Light"/>
                  <w:sz w:val="18"/>
                  <w:szCs w:val="22"/>
                </w:rPr>
                <m:t xml:space="preserve">FlowRate×F×Min ×Days×QShwr </m:t>
              </m:r>
            </m:num>
            <m:den>
              <m:r>
                <w:rPr>
                  <w:rFonts w:ascii="Cambria Math" w:hAnsi="Cambria Math" w:cs="Calibri Light"/>
                  <w:sz w:val="18"/>
                  <w:szCs w:val="22"/>
                </w:rPr>
                <m:t>N</m:t>
              </m:r>
            </m:den>
          </m:f>
          <m:r>
            <w:rPr>
              <w:rFonts w:ascii="Cambria Math" w:hAnsi="Cambria Math" w:cs="Calibri Light"/>
              <w:sz w:val="18"/>
              <w:szCs w:val="22"/>
            </w:rPr>
            <m:t>×G</m:t>
          </m:r>
        </m:oMath>
      </m:oMathPara>
    </w:p>
    <w:bookmarkEnd w:id="50"/>
    <w:p w14:paraId="029BBC3C" w14:textId="77777777" w:rsidR="00C95071" w:rsidRDefault="00C95071" w:rsidP="00C95071">
      <w:pPr>
        <w:keepNext/>
        <w:keepLines/>
        <w:ind w:left="720"/>
        <w:rPr>
          <w:rFonts w:ascii="Cambria Math" w:hAnsi="Cambria Math" w:cs="Calibri Light"/>
          <w:i/>
          <w:sz w:val="18"/>
          <w:szCs w:val="18"/>
        </w:rPr>
      </w:pPr>
    </w:p>
    <w:p w14:paraId="73FDDBDA" w14:textId="46ED3B0A" w:rsidR="00C95071" w:rsidRPr="00374A3A" w:rsidRDefault="00C95071" w:rsidP="00C95071">
      <w:pPr>
        <w:keepNext/>
        <w:keepLines/>
        <w:tabs>
          <w:tab w:val="left" w:pos="2700"/>
        </w:tabs>
        <w:spacing w:beforeLines="20" w:before="48" w:afterLines="20" w:after="48"/>
        <w:ind w:left="1440"/>
        <w:rPr>
          <w:rFonts w:ascii="Cambria Math" w:hAnsi="Cambria Math" w:cs="Calibri Light"/>
          <w:i/>
          <w:sz w:val="18"/>
          <w:szCs w:val="18"/>
        </w:rPr>
      </w:pPr>
      <w:proofErr w:type="spellStart"/>
      <w:r w:rsidRPr="00374A3A">
        <w:rPr>
          <w:rFonts w:ascii="Cambria Math" w:hAnsi="Cambria Math" w:cs="Calibri Light"/>
          <w:i/>
          <w:sz w:val="18"/>
          <w:szCs w:val="18"/>
        </w:rPr>
        <w:t>WS</w:t>
      </w:r>
      <w:r w:rsidR="00573157">
        <w:rPr>
          <w:rFonts w:ascii="Cambria Math" w:hAnsi="Cambria Math" w:cs="Calibri Light"/>
          <w:i/>
          <w:sz w:val="18"/>
          <w:szCs w:val="18"/>
          <w:vertAlign w:val="subscript"/>
        </w:rPr>
        <w:t>showerhead</w:t>
      </w:r>
      <w:proofErr w:type="spellEnd"/>
      <w:r w:rsidRPr="00374A3A">
        <w:rPr>
          <w:rFonts w:ascii="Cambria Math" w:hAnsi="Cambria Math" w:cs="Calibri Light"/>
          <w:i/>
          <w:sz w:val="18"/>
          <w:szCs w:val="18"/>
        </w:rPr>
        <w:t xml:space="preserve"> = </w:t>
      </w:r>
      <w:r w:rsidRPr="00374A3A">
        <w:rPr>
          <w:rFonts w:ascii="Cambria Math" w:hAnsi="Cambria Math" w:cs="Calibri Light"/>
          <w:i/>
          <w:sz w:val="18"/>
          <w:szCs w:val="18"/>
        </w:rPr>
        <w:tab/>
        <w:t>Annual water savings (gal/</w:t>
      </w:r>
      <w:proofErr w:type="spellStart"/>
      <w:r w:rsidR="003358D6">
        <w:rPr>
          <w:rFonts w:ascii="Cambria Math" w:hAnsi="Cambria Math" w:cs="Calibri Light"/>
          <w:i/>
          <w:sz w:val="18"/>
          <w:szCs w:val="18"/>
        </w:rPr>
        <w:t>yr</w:t>
      </w:r>
      <w:proofErr w:type="spellEnd"/>
      <w:r w:rsidRPr="00374A3A">
        <w:rPr>
          <w:rFonts w:ascii="Cambria Math" w:hAnsi="Cambria Math" w:cs="Calibri Light"/>
          <w:i/>
          <w:sz w:val="18"/>
          <w:szCs w:val="18"/>
        </w:rPr>
        <w:t>)</w:t>
      </w:r>
      <w:r w:rsidR="00573157">
        <w:rPr>
          <w:rFonts w:ascii="Cambria Math" w:hAnsi="Cambria Math" w:cs="Calibri Light"/>
          <w:i/>
          <w:sz w:val="18"/>
          <w:szCs w:val="18"/>
        </w:rPr>
        <w:t xml:space="preserve"> for low-flow showerhead</w:t>
      </w:r>
    </w:p>
    <w:p w14:paraId="6CE82F02" w14:textId="03187528" w:rsidR="00C95071" w:rsidRPr="00374A3A" w:rsidRDefault="00C95071" w:rsidP="00C95071">
      <w:pPr>
        <w:keepNext/>
        <w:keepLines/>
        <w:tabs>
          <w:tab w:val="left" w:pos="2700"/>
        </w:tabs>
        <w:spacing w:beforeLines="20" w:before="48" w:afterLines="20" w:after="48"/>
        <w:ind w:left="1440"/>
        <w:rPr>
          <w:rFonts w:ascii="Cambria Math" w:hAnsi="Cambria Math" w:cs="Calibri Light"/>
          <w:i/>
          <w:sz w:val="18"/>
          <w:szCs w:val="18"/>
        </w:rPr>
      </w:pPr>
      <m:oMath>
        <m:r>
          <w:rPr>
            <w:rFonts w:ascii="Cambria Math" w:hAnsi="Cambria Math" w:cs="Calibri Light"/>
            <w:sz w:val="18"/>
            <w:szCs w:val="18"/>
          </w:rPr>
          <m:t>WU</m:t>
        </m:r>
      </m:oMath>
      <w:r w:rsidRPr="00374A3A">
        <w:rPr>
          <w:rFonts w:ascii="Cambria Math" w:hAnsi="Cambria Math" w:cs="Calibri Light"/>
          <w:i/>
          <w:sz w:val="18"/>
          <w:szCs w:val="18"/>
        </w:rPr>
        <w:t xml:space="preserve"> = </w:t>
      </w:r>
      <w:r w:rsidRPr="00374A3A">
        <w:rPr>
          <w:rFonts w:ascii="Cambria Math" w:hAnsi="Cambria Math" w:cs="Calibri Light"/>
          <w:i/>
          <w:sz w:val="18"/>
          <w:szCs w:val="18"/>
        </w:rPr>
        <w:tab/>
        <w:t>Annual water use (gal/</w:t>
      </w:r>
      <w:proofErr w:type="spellStart"/>
      <w:r w:rsidR="003358D6">
        <w:rPr>
          <w:rFonts w:ascii="Cambria Math" w:hAnsi="Cambria Math" w:cs="Calibri Light"/>
          <w:i/>
          <w:sz w:val="18"/>
          <w:szCs w:val="18"/>
        </w:rPr>
        <w:t>yr</w:t>
      </w:r>
      <w:proofErr w:type="spellEnd"/>
      <w:r w:rsidRPr="00374A3A">
        <w:rPr>
          <w:rFonts w:ascii="Cambria Math" w:hAnsi="Cambria Math" w:cs="Calibri Light"/>
          <w:i/>
          <w:sz w:val="18"/>
          <w:szCs w:val="18"/>
        </w:rPr>
        <w:t>), for base or measure case</w:t>
      </w:r>
    </w:p>
    <w:p w14:paraId="22604076" w14:textId="77777777" w:rsidR="00C95071" w:rsidRPr="00374A3A" w:rsidRDefault="00C95071" w:rsidP="00C95071">
      <w:pPr>
        <w:tabs>
          <w:tab w:val="left" w:pos="2700"/>
        </w:tabs>
        <w:spacing w:beforeLines="20" w:before="48" w:afterLines="20" w:after="48" w:line="240" w:lineRule="auto"/>
        <w:ind w:left="1440"/>
        <w:rPr>
          <w:rFonts w:ascii="Cambria Math" w:hAnsi="Cambria Math" w:cs="Calibri Light"/>
          <w:i/>
          <w:sz w:val="18"/>
          <w:szCs w:val="18"/>
        </w:rPr>
      </w:pPr>
      <w:proofErr w:type="spellStart"/>
      <w:r w:rsidRPr="00374A3A">
        <w:rPr>
          <w:rFonts w:ascii="Cambria Math" w:hAnsi="Cambria Math" w:cs="Calibri Light"/>
          <w:i/>
          <w:sz w:val="18"/>
          <w:szCs w:val="18"/>
        </w:rPr>
        <w:t>FlowRate</w:t>
      </w:r>
      <w:proofErr w:type="spellEnd"/>
      <w:r w:rsidRPr="00374A3A">
        <w:rPr>
          <w:rFonts w:ascii="Cambria Math" w:hAnsi="Cambria Math" w:cs="Calibri Light"/>
          <w:i/>
          <w:sz w:val="18"/>
          <w:szCs w:val="18"/>
        </w:rPr>
        <w:t xml:space="preserve"> = </w:t>
      </w:r>
      <w:r w:rsidRPr="00374A3A">
        <w:rPr>
          <w:rFonts w:ascii="Cambria Math" w:hAnsi="Cambria Math" w:cs="Calibri Light"/>
          <w:i/>
          <w:sz w:val="18"/>
          <w:szCs w:val="18"/>
        </w:rPr>
        <w:tab/>
        <w:t>Showerhead water flow rate (</w:t>
      </w:r>
      <w:proofErr w:type="spellStart"/>
      <w:r w:rsidRPr="00374A3A">
        <w:rPr>
          <w:rFonts w:ascii="Cambria Math" w:hAnsi="Cambria Math" w:cs="Calibri Light"/>
          <w:i/>
          <w:sz w:val="18"/>
          <w:szCs w:val="18"/>
        </w:rPr>
        <w:t>gpm</w:t>
      </w:r>
      <w:proofErr w:type="spellEnd"/>
      <w:r w:rsidRPr="00374A3A">
        <w:rPr>
          <w:rFonts w:ascii="Cambria Math" w:hAnsi="Cambria Math" w:cs="Calibri Light"/>
          <w:i/>
          <w:sz w:val="18"/>
          <w:szCs w:val="18"/>
        </w:rPr>
        <w:t>) for base or measure case fixtures</w:t>
      </w:r>
    </w:p>
    <w:p w14:paraId="6195B586" w14:textId="77777777" w:rsidR="00C95071" w:rsidRPr="00374A3A" w:rsidRDefault="00C95071" w:rsidP="00C95071">
      <w:pPr>
        <w:tabs>
          <w:tab w:val="left" w:pos="2700"/>
        </w:tabs>
        <w:spacing w:beforeLines="20" w:before="48" w:afterLines="20" w:after="48" w:line="240" w:lineRule="auto"/>
        <w:ind w:left="1440"/>
        <w:rPr>
          <w:rFonts w:ascii="Cambria Math" w:hAnsi="Cambria Math" w:cs="Calibri Light"/>
          <w:i/>
          <w:sz w:val="18"/>
          <w:szCs w:val="18"/>
        </w:rPr>
      </w:pPr>
      <w:r w:rsidRPr="00374A3A">
        <w:rPr>
          <w:rFonts w:ascii="Cambria Math" w:hAnsi="Cambria Math" w:cs="Calibri Light"/>
          <w:i/>
          <w:sz w:val="18"/>
          <w:szCs w:val="18"/>
        </w:rPr>
        <w:t xml:space="preserve">F = </w:t>
      </w:r>
      <w:r w:rsidRPr="00374A3A">
        <w:rPr>
          <w:rFonts w:ascii="Cambria Math" w:hAnsi="Cambria Math" w:cs="Calibri Light"/>
          <w:i/>
          <w:sz w:val="18"/>
          <w:szCs w:val="18"/>
        </w:rPr>
        <w:tab/>
        <w:t xml:space="preserve">Throttling factor (%) </w:t>
      </w:r>
    </w:p>
    <w:p w14:paraId="4761BA88" w14:textId="77777777" w:rsidR="00C95071" w:rsidRPr="00374A3A" w:rsidRDefault="00C95071" w:rsidP="00C95071">
      <w:pPr>
        <w:tabs>
          <w:tab w:val="left" w:pos="2700"/>
        </w:tabs>
        <w:spacing w:beforeLines="20" w:before="48" w:afterLines="20" w:after="48"/>
        <w:ind w:left="1440"/>
        <w:rPr>
          <w:rFonts w:ascii="Cambria Math" w:hAnsi="Cambria Math" w:cs="Calibri Light"/>
          <w:i/>
          <w:sz w:val="18"/>
          <w:szCs w:val="18"/>
        </w:rPr>
      </w:pPr>
      <w:r w:rsidRPr="00374A3A">
        <w:rPr>
          <w:rFonts w:ascii="Cambria Math" w:hAnsi="Cambria Math" w:cs="Calibri Light"/>
          <w:i/>
          <w:sz w:val="18"/>
          <w:szCs w:val="18"/>
        </w:rPr>
        <w:t xml:space="preserve">Min = </w:t>
      </w:r>
      <w:r w:rsidRPr="00374A3A">
        <w:rPr>
          <w:rFonts w:ascii="Cambria Math" w:hAnsi="Cambria Math" w:cs="Calibri Light"/>
          <w:i/>
          <w:sz w:val="18"/>
          <w:szCs w:val="18"/>
        </w:rPr>
        <w:tab/>
        <w:t xml:space="preserve">Average shower time (min/day) </w:t>
      </w:r>
    </w:p>
    <w:p w14:paraId="0B3DDFFB" w14:textId="77777777" w:rsidR="00C95071" w:rsidRPr="00374A3A" w:rsidRDefault="00C95071" w:rsidP="00C95071">
      <w:pPr>
        <w:tabs>
          <w:tab w:val="left" w:pos="2700"/>
        </w:tabs>
        <w:spacing w:beforeLines="20" w:before="48" w:afterLines="20" w:after="48"/>
        <w:ind w:left="1440"/>
        <w:rPr>
          <w:rFonts w:ascii="Cambria Math" w:hAnsi="Cambria Math" w:cs="Calibri Light"/>
          <w:i/>
          <w:sz w:val="18"/>
          <w:szCs w:val="18"/>
        </w:rPr>
      </w:pPr>
      <w:proofErr w:type="spellStart"/>
      <w:r w:rsidRPr="00374A3A">
        <w:rPr>
          <w:rFonts w:ascii="Cambria Math" w:hAnsi="Cambria Math" w:cs="Calibri Light"/>
          <w:i/>
          <w:sz w:val="18"/>
          <w:szCs w:val="18"/>
        </w:rPr>
        <w:t>QShwr</w:t>
      </w:r>
      <w:proofErr w:type="spellEnd"/>
      <w:r w:rsidRPr="00374A3A">
        <w:rPr>
          <w:rFonts w:ascii="Cambria Math" w:hAnsi="Cambria Math" w:cs="Calibri Light"/>
          <w:i/>
          <w:sz w:val="18"/>
          <w:szCs w:val="18"/>
        </w:rPr>
        <w:t xml:space="preserve"> = </w:t>
      </w:r>
      <w:r w:rsidRPr="00374A3A">
        <w:rPr>
          <w:rFonts w:ascii="Cambria Math" w:hAnsi="Cambria Math" w:cs="Calibri Light"/>
          <w:i/>
          <w:sz w:val="18"/>
          <w:szCs w:val="18"/>
        </w:rPr>
        <w:tab/>
        <w:t>Number of showers per household per day</w:t>
      </w:r>
    </w:p>
    <w:p w14:paraId="5FC65B3A" w14:textId="08047ACD" w:rsidR="00C95071" w:rsidRPr="00374A3A" w:rsidRDefault="00C95071" w:rsidP="00C95071">
      <w:pPr>
        <w:tabs>
          <w:tab w:val="left" w:pos="2700"/>
        </w:tabs>
        <w:spacing w:beforeLines="20" w:before="48" w:afterLines="20" w:after="48"/>
        <w:ind w:left="1440"/>
        <w:rPr>
          <w:rFonts w:ascii="Cambria Math" w:hAnsi="Cambria Math" w:cs="Calibri Light"/>
          <w:i/>
          <w:sz w:val="18"/>
          <w:szCs w:val="18"/>
        </w:rPr>
      </w:pPr>
      <w:r w:rsidRPr="00374A3A">
        <w:rPr>
          <w:rFonts w:ascii="Cambria Math" w:hAnsi="Cambria Math" w:cs="Calibri Light"/>
          <w:i/>
          <w:sz w:val="18"/>
          <w:szCs w:val="18"/>
        </w:rPr>
        <w:t xml:space="preserve">Days = </w:t>
      </w:r>
      <w:r w:rsidRPr="00374A3A">
        <w:rPr>
          <w:rFonts w:ascii="Cambria Math" w:hAnsi="Cambria Math" w:cs="Calibri Light"/>
          <w:i/>
          <w:sz w:val="18"/>
          <w:szCs w:val="18"/>
        </w:rPr>
        <w:tab/>
        <w:t>Shower days of operation (days/</w:t>
      </w:r>
      <w:proofErr w:type="spellStart"/>
      <w:r w:rsidR="003358D6">
        <w:rPr>
          <w:rFonts w:ascii="Cambria Math" w:hAnsi="Cambria Math" w:cs="Calibri Light"/>
          <w:i/>
          <w:sz w:val="18"/>
          <w:szCs w:val="18"/>
        </w:rPr>
        <w:t>yr</w:t>
      </w:r>
      <w:proofErr w:type="spellEnd"/>
      <w:r w:rsidRPr="00374A3A">
        <w:rPr>
          <w:rFonts w:ascii="Cambria Math" w:hAnsi="Cambria Math" w:cs="Calibri Light"/>
          <w:i/>
          <w:sz w:val="18"/>
          <w:szCs w:val="18"/>
        </w:rPr>
        <w:t>)</w:t>
      </w:r>
    </w:p>
    <w:p w14:paraId="57A69F01" w14:textId="77777777" w:rsidR="00C95071" w:rsidRPr="00374A3A" w:rsidRDefault="00C95071" w:rsidP="00C95071">
      <w:pPr>
        <w:tabs>
          <w:tab w:val="left" w:pos="2700"/>
        </w:tabs>
        <w:spacing w:beforeLines="20" w:before="48" w:afterLines="20" w:after="48"/>
        <w:ind w:left="1440"/>
        <w:rPr>
          <w:rFonts w:ascii="Cambria Math" w:hAnsi="Cambria Math"/>
          <w:i/>
          <w:sz w:val="18"/>
          <w:szCs w:val="18"/>
        </w:rPr>
      </w:pPr>
      <w:r w:rsidRPr="00374A3A">
        <w:rPr>
          <w:rFonts w:ascii="Cambria Math" w:hAnsi="Cambria Math" w:cs="Calibri Light"/>
          <w:i/>
          <w:sz w:val="18"/>
          <w:szCs w:val="18"/>
        </w:rPr>
        <w:t xml:space="preserve">N = </w:t>
      </w:r>
      <w:r w:rsidRPr="00374A3A">
        <w:rPr>
          <w:rFonts w:ascii="Cambria Math" w:hAnsi="Cambria Math" w:cs="Calibri Light"/>
          <w:i/>
          <w:sz w:val="18"/>
          <w:szCs w:val="18"/>
        </w:rPr>
        <w:tab/>
        <w:t>Number of showerheads per household, SF or MF</w:t>
      </w:r>
    </w:p>
    <w:p w14:paraId="2E2EC886" w14:textId="0A0075F9" w:rsidR="00C95071" w:rsidRPr="00374A3A" w:rsidRDefault="00C95071" w:rsidP="00C95071">
      <w:pPr>
        <w:tabs>
          <w:tab w:val="left" w:pos="2700"/>
        </w:tabs>
        <w:spacing w:beforeLines="20" w:before="48" w:afterLines="20" w:after="48" w:line="360" w:lineRule="auto"/>
        <w:ind w:left="1440"/>
        <w:rPr>
          <w:rFonts w:ascii="Cambria Math" w:hAnsi="Cambria Math"/>
          <w:i/>
          <w:sz w:val="18"/>
          <w:szCs w:val="18"/>
        </w:rPr>
      </w:pPr>
      <w:r w:rsidRPr="00374A3A">
        <w:rPr>
          <w:rFonts w:ascii="Cambria Math" w:hAnsi="Cambria Math"/>
          <w:i/>
          <w:sz w:val="18"/>
          <w:szCs w:val="18"/>
        </w:rPr>
        <w:t xml:space="preserve">G = </w:t>
      </w:r>
      <w:r w:rsidRPr="00374A3A">
        <w:rPr>
          <w:rFonts w:ascii="Cambria Math" w:hAnsi="Cambria Math"/>
          <w:i/>
          <w:sz w:val="18"/>
          <w:szCs w:val="18"/>
        </w:rPr>
        <w:tab/>
      </w:r>
      <w:r w:rsidR="00906C8F">
        <w:rPr>
          <w:rFonts w:ascii="Cambria Math" w:hAnsi="Cambria Math"/>
          <w:i/>
          <w:sz w:val="18"/>
          <w:szCs w:val="18"/>
        </w:rPr>
        <w:t>Baseline water usage normalization</w:t>
      </w:r>
      <w:r w:rsidRPr="00374A3A">
        <w:rPr>
          <w:rFonts w:ascii="Cambria Math" w:hAnsi="Cambria Math"/>
          <w:i/>
          <w:sz w:val="18"/>
          <w:szCs w:val="18"/>
        </w:rPr>
        <w:t xml:space="preserve"> factor</w:t>
      </w:r>
    </w:p>
    <w:p w14:paraId="6039706E" w14:textId="77777777" w:rsidR="00C955EC" w:rsidRDefault="00C955EC" w:rsidP="00C955EC"/>
    <w:p w14:paraId="31D26816" w14:textId="56C9F95F" w:rsidR="00C955EC" w:rsidRDefault="00C955EC" w:rsidP="00C955EC">
      <w:r>
        <w:t>The</w:t>
      </w:r>
      <w:r w:rsidRPr="00B20B50">
        <w:t xml:space="preserve"> inputs</w:t>
      </w:r>
      <w:r>
        <w:t xml:space="preserve"> to calculate base case and measure case water usage are provided in the following tables. Note that this measure is applicable for single family, multifamily, and mobile home installations. Due to lack of data on mobile home water usage, particularly at the fixture type level (showerhead, faucet), the mobile home water usage and savings calculations adopt the more conservative multifamily values.</w:t>
      </w:r>
    </w:p>
    <w:p w14:paraId="5C275359" w14:textId="582B8733" w:rsidR="00C95071" w:rsidRDefault="00C95071" w:rsidP="00C955EC">
      <w:pPr>
        <w:pStyle w:val="Caption"/>
        <w:keepNext w:val="0"/>
        <w:keepLines w:val="0"/>
      </w:pPr>
      <w:r>
        <w:t xml:space="preserve">Base Case Water Usage </w:t>
      </w:r>
      <w:r w:rsidR="00C955EC">
        <w:t>Inputs</w:t>
      </w:r>
      <w:r w:rsidRPr="008560FF">
        <w:t xml:space="preserve"> </w:t>
      </w:r>
    </w:p>
    <w:tbl>
      <w:tblPr>
        <w:tblW w:w="951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85"/>
        <w:gridCol w:w="1440"/>
        <w:gridCol w:w="1440"/>
        <w:gridCol w:w="4752"/>
      </w:tblGrid>
      <w:tr w:rsidR="000A6464" w:rsidRPr="002D723D" w14:paraId="4F0C3AD2" w14:textId="77777777" w:rsidTr="000A6464">
        <w:trPr>
          <w:trHeight w:val="260"/>
          <w:tblHeader/>
        </w:trPr>
        <w:tc>
          <w:tcPr>
            <w:tcW w:w="1885" w:type="dxa"/>
            <w:shd w:val="clear" w:color="auto" w:fill="F2F2F2" w:themeFill="background1" w:themeFillShade="F2"/>
            <w:noWrap/>
            <w:vAlign w:val="bottom"/>
          </w:tcPr>
          <w:p w14:paraId="6BB56A80" w14:textId="77777777" w:rsidR="000A6464" w:rsidRPr="002D723D" w:rsidRDefault="000A6464" w:rsidP="00C955EC">
            <w:pPr>
              <w:spacing w:before="0" w:after="0" w:line="240" w:lineRule="auto"/>
              <w:rPr>
                <w:rFonts w:eastAsia="Times New Roman" w:cs="Calibri Light"/>
                <w:b/>
                <w:sz w:val="20"/>
                <w:szCs w:val="20"/>
              </w:rPr>
            </w:pPr>
            <w:r>
              <w:rPr>
                <w:rFonts w:eastAsia="Times New Roman" w:cs="Calibri Light"/>
                <w:b/>
                <w:sz w:val="20"/>
                <w:szCs w:val="20"/>
              </w:rPr>
              <w:t>Parameter</w:t>
            </w:r>
          </w:p>
        </w:tc>
        <w:tc>
          <w:tcPr>
            <w:tcW w:w="1440" w:type="dxa"/>
            <w:shd w:val="clear" w:color="auto" w:fill="F2F2F2" w:themeFill="background1" w:themeFillShade="F2"/>
            <w:noWrap/>
            <w:vAlign w:val="bottom"/>
          </w:tcPr>
          <w:p w14:paraId="29C3A34B" w14:textId="6E931435" w:rsidR="000A6464" w:rsidRPr="002D723D" w:rsidRDefault="000A6464" w:rsidP="00C955EC">
            <w:pPr>
              <w:spacing w:before="0" w:after="0" w:line="240" w:lineRule="auto"/>
              <w:jc w:val="center"/>
              <w:rPr>
                <w:rFonts w:eastAsia="Times New Roman" w:cs="Calibri Light"/>
                <w:b/>
                <w:sz w:val="20"/>
                <w:szCs w:val="20"/>
              </w:rPr>
            </w:pPr>
            <w:r>
              <w:rPr>
                <w:rFonts w:eastAsia="Times New Roman" w:cs="Calibri Light"/>
                <w:b/>
                <w:sz w:val="20"/>
                <w:szCs w:val="20"/>
              </w:rPr>
              <w:t>Single Family</w:t>
            </w:r>
          </w:p>
        </w:tc>
        <w:tc>
          <w:tcPr>
            <w:tcW w:w="1440" w:type="dxa"/>
            <w:shd w:val="clear" w:color="auto" w:fill="F2F2F2" w:themeFill="background1" w:themeFillShade="F2"/>
            <w:vAlign w:val="bottom"/>
          </w:tcPr>
          <w:p w14:paraId="515C3236" w14:textId="3CD42D02" w:rsidR="000A6464" w:rsidRPr="002D723D" w:rsidRDefault="000A6464" w:rsidP="00C955EC">
            <w:pPr>
              <w:spacing w:before="0" w:after="0" w:line="240" w:lineRule="auto"/>
              <w:jc w:val="center"/>
              <w:rPr>
                <w:rFonts w:eastAsia="Times New Roman" w:cs="Calibri Light"/>
                <w:b/>
                <w:sz w:val="20"/>
                <w:szCs w:val="20"/>
              </w:rPr>
            </w:pPr>
            <w:r>
              <w:rPr>
                <w:rFonts w:eastAsia="Times New Roman" w:cs="Calibri Light"/>
                <w:b/>
                <w:sz w:val="20"/>
                <w:szCs w:val="20"/>
              </w:rPr>
              <w:t>Multifamily</w:t>
            </w:r>
            <w:r w:rsidR="00EE0A98">
              <w:rPr>
                <w:rFonts w:eastAsia="Times New Roman" w:cs="Calibri Light"/>
                <w:b/>
                <w:sz w:val="20"/>
                <w:szCs w:val="20"/>
              </w:rPr>
              <w:t xml:space="preserve"> / Mobile Home</w:t>
            </w:r>
          </w:p>
        </w:tc>
        <w:tc>
          <w:tcPr>
            <w:tcW w:w="4752" w:type="dxa"/>
            <w:shd w:val="clear" w:color="auto" w:fill="F2F2F2" w:themeFill="background1" w:themeFillShade="F2"/>
            <w:vAlign w:val="bottom"/>
          </w:tcPr>
          <w:p w14:paraId="58FF23C6" w14:textId="5B5215A6" w:rsidR="000A6464" w:rsidRPr="002D723D" w:rsidRDefault="000A6464" w:rsidP="00C955EC">
            <w:pPr>
              <w:spacing w:before="0" w:after="0" w:line="240" w:lineRule="auto"/>
              <w:jc w:val="center"/>
              <w:rPr>
                <w:rFonts w:eastAsia="Times New Roman" w:cs="Calibri Light"/>
                <w:b/>
                <w:sz w:val="20"/>
                <w:szCs w:val="20"/>
              </w:rPr>
            </w:pPr>
            <w:r>
              <w:rPr>
                <w:rFonts w:eastAsia="Times New Roman" w:cs="Calibri Light"/>
                <w:b/>
                <w:sz w:val="20"/>
                <w:szCs w:val="20"/>
              </w:rPr>
              <w:t>Source</w:t>
            </w:r>
          </w:p>
        </w:tc>
      </w:tr>
      <w:tr w:rsidR="000A6464" w:rsidRPr="002D723D" w14:paraId="00D9D7A3" w14:textId="77777777" w:rsidTr="000A6464">
        <w:trPr>
          <w:trHeight w:val="260"/>
        </w:trPr>
        <w:tc>
          <w:tcPr>
            <w:tcW w:w="1885" w:type="dxa"/>
            <w:shd w:val="clear" w:color="auto" w:fill="auto"/>
            <w:noWrap/>
            <w:vAlign w:val="center"/>
            <w:hideMark/>
          </w:tcPr>
          <w:p w14:paraId="2339669A" w14:textId="758CEA14" w:rsidR="000A6464" w:rsidRPr="002D723D" w:rsidRDefault="000A6464" w:rsidP="00C955EC">
            <w:pPr>
              <w:spacing w:before="0" w:after="0" w:line="240" w:lineRule="auto"/>
              <w:rPr>
                <w:rFonts w:eastAsia="Times New Roman" w:cs="Calibri Light"/>
                <w:sz w:val="20"/>
                <w:szCs w:val="20"/>
              </w:rPr>
            </w:pPr>
            <w:r w:rsidRPr="002D723D">
              <w:rPr>
                <w:rFonts w:eastAsia="Times New Roman" w:cs="Calibri Light"/>
                <w:sz w:val="20"/>
                <w:szCs w:val="20"/>
              </w:rPr>
              <w:t>Base Case Flow Rate</w:t>
            </w:r>
            <w:r>
              <w:rPr>
                <w:rFonts w:eastAsia="Times New Roman" w:cs="Calibri Light"/>
                <w:sz w:val="20"/>
                <w:szCs w:val="20"/>
              </w:rPr>
              <w:t xml:space="preserve"> – </w:t>
            </w:r>
            <w:r w:rsidR="00AB7DCE">
              <w:rPr>
                <w:rFonts w:eastAsia="Times New Roman" w:cs="Calibri Light"/>
                <w:sz w:val="20"/>
                <w:szCs w:val="20"/>
              </w:rPr>
              <w:t xml:space="preserve">NR </w:t>
            </w:r>
            <w:r>
              <w:rPr>
                <w:rFonts w:eastAsia="Times New Roman" w:cs="Calibri Light"/>
                <w:sz w:val="20"/>
                <w:szCs w:val="20"/>
              </w:rPr>
              <w:t>(</w:t>
            </w:r>
            <w:proofErr w:type="spellStart"/>
            <w:r>
              <w:rPr>
                <w:rFonts w:eastAsia="Times New Roman" w:cs="Calibri Light"/>
                <w:sz w:val="20"/>
                <w:szCs w:val="20"/>
              </w:rPr>
              <w:t>gpm</w:t>
            </w:r>
            <w:proofErr w:type="spellEnd"/>
            <w:r>
              <w:rPr>
                <w:rFonts w:eastAsia="Times New Roman" w:cs="Calibri Light"/>
                <w:sz w:val="20"/>
                <w:szCs w:val="20"/>
              </w:rPr>
              <w:t>)</w:t>
            </w:r>
          </w:p>
        </w:tc>
        <w:tc>
          <w:tcPr>
            <w:tcW w:w="1440" w:type="dxa"/>
            <w:shd w:val="clear" w:color="auto" w:fill="auto"/>
            <w:noWrap/>
            <w:vAlign w:val="center"/>
          </w:tcPr>
          <w:p w14:paraId="6C21F364"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1.80</w:t>
            </w:r>
          </w:p>
        </w:tc>
        <w:tc>
          <w:tcPr>
            <w:tcW w:w="1440" w:type="dxa"/>
            <w:vAlign w:val="center"/>
          </w:tcPr>
          <w:p w14:paraId="6D832E2C"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1.80</w:t>
            </w:r>
          </w:p>
        </w:tc>
        <w:tc>
          <w:tcPr>
            <w:tcW w:w="4752" w:type="dxa"/>
            <w:vAlign w:val="center"/>
          </w:tcPr>
          <w:p w14:paraId="5C8F4F16" w14:textId="08F79062" w:rsidR="000A6464" w:rsidRPr="006504ED" w:rsidRDefault="000A6464" w:rsidP="00C955EC">
            <w:pPr>
              <w:spacing w:before="0" w:after="0" w:line="240" w:lineRule="auto"/>
              <w:rPr>
                <w:rFonts w:eastAsia="Times New Roman" w:cs="Calibri Light"/>
                <w:sz w:val="18"/>
                <w:szCs w:val="18"/>
              </w:rPr>
            </w:pPr>
            <w:r w:rsidRPr="006504ED">
              <w:rPr>
                <w:sz w:val="18"/>
                <w:szCs w:val="18"/>
              </w:rPr>
              <w:t xml:space="preserve">California Energy Commission (CEC). 2014. </w:t>
            </w:r>
            <w:r w:rsidRPr="006504ED">
              <w:rPr>
                <w:i/>
                <w:sz w:val="18"/>
                <w:szCs w:val="18"/>
              </w:rPr>
              <w:t xml:space="preserve">2014 Appliance Efficiency Regulations. </w:t>
            </w:r>
            <w:r w:rsidRPr="006504ED">
              <w:rPr>
                <w:sz w:val="18"/>
                <w:szCs w:val="18"/>
              </w:rPr>
              <w:t>CEC-400-2014-009-CMF.</w:t>
            </w:r>
          </w:p>
        </w:tc>
      </w:tr>
      <w:tr w:rsidR="000A6464" w:rsidRPr="002D723D" w14:paraId="79BD38F6" w14:textId="77777777" w:rsidTr="000A6464">
        <w:trPr>
          <w:trHeight w:val="260"/>
        </w:trPr>
        <w:tc>
          <w:tcPr>
            <w:tcW w:w="1885" w:type="dxa"/>
            <w:shd w:val="clear" w:color="auto" w:fill="auto"/>
            <w:noWrap/>
            <w:vAlign w:val="center"/>
          </w:tcPr>
          <w:p w14:paraId="4032371F" w14:textId="38DAF99A" w:rsidR="000A6464" w:rsidRPr="002D723D" w:rsidRDefault="000A6464" w:rsidP="00C955EC">
            <w:pPr>
              <w:spacing w:before="0" w:after="0" w:line="240" w:lineRule="auto"/>
              <w:rPr>
                <w:rFonts w:eastAsia="Times New Roman" w:cs="Calibri Light"/>
                <w:sz w:val="20"/>
                <w:szCs w:val="20"/>
              </w:rPr>
            </w:pPr>
            <w:r>
              <w:rPr>
                <w:rFonts w:eastAsia="Times New Roman" w:cs="Calibri Light"/>
                <w:sz w:val="20"/>
                <w:szCs w:val="20"/>
              </w:rPr>
              <w:t xml:space="preserve">Base Case Flow Rate – </w:t>
            </w:r>
            <w:r w:rsidR="00AB7DCE">
              <w:rPr>
                <w:rFonts w:eastAsia="Times New Roman" w:cs="Calibri Light"/>
                <w:sz w:val="20"/>
                <w:szCs w:val="20"/>
              </w:rPr>
              <w:t xml:space="preserve">AR </w:t>
            </w:r>
            <w:r>
              <w:rPr>
                <w:rFonts w:eastAsia="Times New Roman" w:cs="Calibri Light"/>
                <w:sz w:val="20"/>
                <w:szCs w:val="20"/>
              </w:rPr>
              <w:t xml:space="preserve">and </w:t>
            </w:r>
            <w:r w:rsidR="00AB7DCE">
              <w:rPr>
                <w:rFonts w:eastAsia="Times New Roman" w:cs="Calibri Light"/>
                <w:sz w:val="20"/>
                <w:szCs w:val="20"/>
              </w:rPr>
              <w:t xml:space="preserve">AOE </w:t>
            </w:r>
            <w:r>
              <w:rPr>
                <w:rFonts w:eastAsia="Times New Roman" w:cs="Calibri Light"/>
                <w:sz w:val="20"/>
                <w:szCs w:val="20"/>
              </w:rPr>
              <w:t>(</w:t>
            </w:r>
            <w:proofErr w:type="spellStart"/>
            <w:r>
              <w:rPr>
                <w:rFonts w:eastAsia="Times New Roman" w:cs="Calibri Light"/>
                <w:sz w:val="20"/>
                <w:szCs w:val="20"/>
              </w:rPr>
              <w:t>gpm</w:t>
            </w:r>
            <w:proofErr w:type="spellEnd"/>
            <w:r>
              <w:rPr>
                <w:rFonts w:eastAsia="Times New Roman" w:cs="Calibri Light"/>
                <w:sz w:val="20"/>
                <w:szCs w:val="20"/>
              </w:rPr>
              <w:t>)</w:t>
            </w:r>
          </w:p>
        </w:tc>
        <w:tc>
          <w:tcPr>
            <w:tcW w:w="1440" w:type="dxa"/>
            <w:shd w:val="clear" w:color="auto" w:fill="auto"/>
            <w:noWrap/>
            <w:vAlign w:val="center"/>
          </w:tcPr>
          <w:p w14:paraId="61796EDC"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2.25</w:t>
            </w:r>
          </w:p>
        </w:tc>
        <w:tc>
          <w:tcPr>
            <w:tcW w:w="1440" w:type="dxa"/>
            <w:vAlign w:val="center"/>
          </w:tcPr>
          <w:p w14:paraId="0A9EE7FC"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2.25</w:t>
            </w:r>
          </w:p>
        </w:tc>
        <w:tc>
          <w:tcPr>
            <w:tcW w:w="4752" w:type="dxa"/>
            <w:vAlign w:val="center"/>
          </w:tcPr>
          <w:p w14:paraId="0D365DE8" w14:textId="47787481" w:rsidR="000A6464" w:rsidRPr="006504ED" w:rsidRDefault="000A6464" w:rsidP="00C955EC">
            <w:pPr>
              <w:spacing w:before="0" w:after="0" w:line="240" w:lineRule="auto"/>
              <w:rPr>
                <w:rFonts w:eastAsia="Times New Roman" w:cs="Calibri Light"/>
                <w:sz w:val="18"/>
                <w:szCs w:val="18"/>
              </w:rPr>
            </w:pPr>
            <w:r w:rsidRPr="00252C37">
              <w:rPr>
                <w:sz w:val="18"/>
              </w:rPr>
              <w:t>Sempra Energy Utilities (SEU). 2012. “</w:t>
            </w:r>
            <w:r>
              <w:rPr>
                <w:sz w:val="18"/>
              </w:rPr>
              <w:t>SEU</w:t>
            </w:r>
            <w:r w:rsidRPr="00252C37">
              <w:rPr>
                <w:sz w:val="18"/>
              </w:rPr>
              <w:t xml:space="preserve"> 2009 ASW Data REDACTED.xlsx”.</w:t>
            </w:r>
          </w:p>
        </w:tc>
      </w:tr>
      <w:tr w:rsidR="000A6464" w:rsidRPr="002D723D" w14:paraId="5E521C80" w14:textId="77777777" w:rsidTr="000A6464">
        <w:trPr>
          <w:trHeight w:val="260"/>
        </w:trPr>
        <w:tc>
          <w:tcPr>
            <w:tcW w:w="1885" w:type="dxa"/>
            <w:shd w:val="clear" w:color="auto" w:fill="auto"/>
            <w:noWrap/>
            <w:vAlign w:val="center"/>
            <w:hideMark/>
          </w:tcPr>
          <w:p w14:paraId="6B3F3199" w14:textId="77777777" w:rsidR="000A6464" w:rsidRPr="002D723D" w:rsidRDefault="000A6464" w:rsidP="00C955EC">
            <w:pPr>
              <w:spacing w:before="0" w:after="0" w:line="240" w:lineRule="auto"/>
              <w:rPr>
                <w:rFonts w:eastAsia="Times New Roman" w:cs="Calibri Light"/>
                <w:sz w:val="20"/>
                <w:szCs w:val="20"/>
              </w:rPr>
            </w:pPr>
            <w:r w:rsidRPr="002D723D">
              <w:rPr>
                <w:rFonts w:eastAsia="Times New Roman" w:cs="Calibri Light"/>
                <w:sz w:val="20"/>
                <w:szCs w:val="20"/>
              </w:rPr>
              <w:t xml:space="preserve">Average </w:t>
            </w:r>
            <w:r>
              <w:rPr>
                <w:rFonts w:eastAsia="Times New Roman" w:cs="Calibri Light"/>
                <w:sz w:val="20"/>
                <w:szCs w:val="20"/>
              </w:rPr>
              <w:t>Shower Time (min/shower)</w:t>
            </w:r>
          </w:p>
        </w:tc>
        <w:tc>
          <w:tcPr>
            <w:tcW w:w="1440" w:type="dxa"/>
            <w:shd w:val="clear" w:color="auto" w:fill="auto"/>
            <w:noWrap/>
            <w:vAlign w:val="center"/>
          </w:tcPr>
          <w:p w14:paraId="725E9AB6"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7.4</w:t>
            </w:r>
          </w:p>
        </w:tc>
        <w:tc>
          <w:tcPr>
            <w:tcW w:w="1440" w:type="dxa"/>
            <w:vAlign w:val="center"/>
          </w:tcPr>
          <w:p w14:paraId="32623A1E"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7.4</w:t>
            </w:r>
          </w:p>
        </w:tc>
        <w:tc>
          <w:tcPr>
            <w:tcW w:w="4752" w:type="dxa"/>
          </w:tcPr>
          <w:p w14:paraId="7D5C706E" w14:textId="5154328C" w:rsidR="000A6464" w:rsidRPr="006504ED" w:rsidRDefault="000A6464" w:rsidP="00C955EC">
            <w:pPr>
              <w:spacing w:before="0" w:after="0" w:line="240" w:lineRule="auto"/>
              <w:rPr>
                <w:rFonts w:eastAsia="Times New Roman" w:cs="Calibri Light"/>
                <w:i/>
                <w:sz w:val="18"/>
                <w:szCs w:val="18"/>
              </w:rPr>
            </w:pPr>
            <w:proofErr w:type="spellStart"/>
            <w:r w:rsidRPr="006504ED">
              <w:rPr>
                <w:sz w:val="18"/>
                <w:szCs w:val="18"/>
              </w:rPr>
              <w:t>DeOreo</w:t>
            </w:r>
            <w:proofErr w:type="spellEnd"/>
            <w:r w:rsidRPr="006504ED">
              <w:rPr>
                <w:sz w:val="18"/>
                <w:szCs w:val="18"/>
              </w:rPr>
              <w:t xml:space="preserve">, W., P. Mayer, and D. Lewis. 2000. </w:t>
            </w:r>
            <w:r w:rsidRPr="006504ED">
              <w:rPr>
                <w:i/>
                <w:sz w:val="18"/>
                <w:szCs w:val="18"/>
              </w:rPr>
              <w:t xml:space="preserve">Seattle Home Water Conservation Study: The Impacts </w:t>
            </w:r>
            <w:proofErr w:type="gramStart"/>
            <w:r w:rsidRPr="006504ED">
              <w:rPr>
                <w:i/>
                <w:sz w:val="18"/>
                <w:szCs w:val="18"/>
              </w:rPr>
              <w:t>Of</w:t>
            </w:r>
            <w:proofErr w:type="gramEnd"/>
            <w:r w:rsidRPr="006504ED">
              <w:rPr>
                <w:i/>
                <w:sz w:val="18"/>
                <w:szCs w:val="18"/>
              </w:rPr>
              <w:t xml:space="preserve"> High Efficiency Plumbing Fixture Retrofits In Single-Family Homes.</w:t>
            </w:r>
            <w:r w:rsidRPr="006504ED">
              <w:rPr>
                <w:sz w:val="18"/>
                <w:szCs w:val="18"/>
              </w:rPr>
              <w:t xml:space="preserve"> Prepared for the Seattle Public Utilities and the U.S. Environmental Protection Agency. Boulder, CO: </w:t>
            </w:r>
            <w:proofErr w:type="spellStart"/>
            <w:r w:rsidRPr="006504ED">
              <w:rPr>
                <w:sz w:val="18"/>
                <w:szCs w:val="18"/>
              </w:rPr>
              <w:t>Aquacraft</w:t>
            </w:r>
            <w:proofErr w:type="spellEnd"/>
            <w:r w:rsidRPr="006504ED">
              <w:rPr>
                <w:sz w:val="18"/>
                <w:szCs w:val="18"/>
              </w:rPr>
              <w:t>, Inc. Water Engineering and Management.</w:t>
            </w:r>
          </w:p>
        </w:tc>
      </w:tr>
      <w:tr w:rsidR="000A6464" w:rsidRPr="002D723D" w14:paraId="500CB16B" w14:textId="77777777" w:rsidTr="000A6464">
        <w:trPr>
          <w:trHeight w:val="260"/>
        </w:trPr>
        <w:tc>
          <w:tcPr>
            <w:tcW w:w="1885" w:type="dxa"/>
            <w:shd w:val="clear" w:color="auto" w:fill="auto"/>
            <w:noWrap/>
            <w:vAlign w:val="center"/>
            <w:hideMark/>
          </w:tcPr>
          <w:p w14:paraId="0F1C541D" w14:textId="77777777" w:rsidR="000A6464" w:rsidRPr="002D723D" w:rsidRDefault="000A6464" w:rsidP="003358D6">
            <w:pPr>
              <w:keepNext/>
              <w:keepLines/>
              <w:spacing w:before="0" w:after="0" w:line="240" w:lineRule="auto"/>
              <w:rPr>
                <w:rFonts w:eastAsia="Times New Roman" w:cs="Calibri Light"/>
                <w:sz w:val="20"/>
                <w:szCs w:val="20"/>
              </w:rPr>
            </w:pPr>
            <w:r>
              <w:rPr>
                <w:rFonts w:eastAsia="Times New Roman" w:cs="Calibri Light"/>
                <w:sz w:val="20"/>
                <w:szCs w:val="20"/>
              </w:rPr>
              <w:lastRenderedPageBreak/>
              <w:t>Avg. #</w:t>
            </w:r>
            <w:r w:rsidRPr="002D723D">
              <w:rPr>
                <w:rFonts w:eastAsia="Times New Roman" w:cs="Calibri Light"/>
                <w:sz w:val="20"/>
                <w:szCs w:val="20"/>
              </w:rPr>
              <w:t xml:space="preserve"> of </w:t>
            </w:r>
            <w:r>
              <w:rPr>
                <w:rFonts w:eastAsia="Times New Roman" w:cs="Calibri Light"/>
                <w:sz w:val="20"/>
                <w:szCs w:val="20"/>
              </w:rPr>
              <w:t xml:space="preserve">Showers Taken per Day Per Household </w:t>
            </w:r>
            <w:r>
              <w:rPr>
                <w:rFonts w:eastAsia="Times New Roman" w:cs="Calibri Light"/>
                <w:sz w:val="20"/>
                <w:szCs w:val="20"/>
              </w:rPr>
              <w:br/>
              <w:t>(showers/day/</w:t>
            </w:r>
            <w:proofErr w:type="spellStart"/>
            <w:r>
              <w:rPr>
                <w:rFonts w:eastAsia="Times New Roman" w:cs="Calibri Light"/>
                <w:sz w:val="20"/>
                <w:szCs w:val="20"/>
              </w:rPr>
              <w:t>hh</w:t>
            </w:r>
            <w:proofErr w:type="spellEnd"/>
            <w:r>
              <w:rPr>
                <w:rFonts w:eastAsia="Times New Roman" w:cs="Calibri Light"/>
                <w:sz w:val="20"/>
                <w:szCs w:val="20"/>
              </w:rPr>
              <w:t>)</w:t>
            </w:r>
          </w:p>
        </w:tc>
        <w:tc>
          <w:tcPr>
            <w:tcW w:w="1440" w:type="dxa"/>
            <w:shd w:val="clear" w:color="auto" w:fill="auto"/>
            <w:noWrap/>
            <w:vAlign w:val="center"/>
          </w:tcPr>
          <w:p w14:paraId="4CD38871" w14:textId="77777777" w:rsidR="000A6464" w:rsidRPr="00C955EC" w:rsidRDefault="000A6464" w:rsidP="003358D6">
            <w:pPr>
              <w:keepNext/>
              <w:keepLines/>
              <w:spacing w:before="0" w:after="0" w:line="240" w:lineRule="auto"/>
              <w:jc w:val="right"/>
              <w:rPr>
                <w:rFonts w:eastAsia="Times New Roman" w:cs="Calibri Light"/>
                <w:sz w:val="20"/>
                <w:szCs w:val="20"/>
              </w:rPr>
            </w:pPr>
            <w:r w:rsidRPr="00C955EC">
              <w:rPr>
                <w:rFonts w:eastAsia="Times New Roman" w:cs="Calibri Light"/>
                <w:sz w:val="20"/>
                <w:szCs w:val="20"/>
              </w:rPr>
              <w:t>2.79</w:t>
            </w:r>
          </w:p>
        </w:tc>
        <w:tc>
          <w:tcPr>
            <w:tcW w:w="1440" w:type="dxa"/>
            <w:vAlign w:val="center"/>
          </w:tcPr>
          <w:p w14:paraId="6A2641D2" w14:textId="77777777" w:rsidR="000A6464" w:rsidRPr="00C955EC" w:rsidRDefault="000A6464" w:rsidP="003358D6">
            <w:pPr>
              <w:keepNext/>
              <w:keepLines/>
              <w:spacing w:before="0" w:after="0" w:line="240" w:lineRule="auto"/>
              <w:jc w:val="right"/>
              <w:rPr>
                <w:rFonts w:eastAsia="Times New Roman" w:cs="Calibri Light"/>
                <w:sz w:val="20"/>
                <w:szCs w:val="20"/>
              </w:rPr>
            </w:pPr>
            <w:r w:rsidRPr="00C955EC">
              <w:rPr>
                <w:rFonts w:eastAsia="Times New Roman" w:cs="Calibri Light"/>
                <w:sz w:val="20"/>
                <w:szCs w:val="20"/>
              </w:rPr>
              <w:t>2.22</w:t>
            </w:r>
          </w:p>
        </w:tc>
        <w:tc>
          <w:tcPr>
            <w:tcW w:w="4752" w:type="dxa"/>
          </w:tcPr>
          <w:p w14:paraId="58B80F45" w14:textId="50B7CAA0" w:rsidR="000A6464" w:rsidRPr="00076DB5" w:rsidRDefault="000A6464" w:rsidP="003358D6">
            <w:pPr>
              <w:keepNext/>
              <w:keepLines/>
              <w:spacing w:before="0" w:after="0" w:line="240" w:lineRule="auto"/>
              <w:rPr>
                <w:rFonts w:eastAsia="Times New Roman" w:cs="Times New Roman"/>
                <w:color w:val="000000"/>
                <w:sz w:val="18"/>
                <w:szCs w:val="18"/>
              </w:rPr>
            </w:pPr>
            <w:r w:rsidRPr="00076DB5">
              <w:rPr>
                <w:rFonts w:eastAsia="Times New Roman" w:cs="Times New Roman"/>
                <w:color w:val="000000"/>
                <w:sz w:val="18"/>
                <w:szCs w:val="18"/>
              </w:rPr>
              <w:t>Single Family:</w:t>
            </w:r>
          </w:p>
          <w:p w14:paraId="282EBF2E" w14:textId="77777777" w:rsidR="000A6464" w:rsidRPr="00076DB5" w:rsidRDefault="000A6464" w:rsidP="003358D6">
            <w:pPr>
              <w:keepNext/>
              <w:keepLines/>
              <w:spacing w:before="0" w:after="0" w:line="240" w:lineRule="auto"/>
              <w:rPr>
                <w:rFonts w:eastAsia="Times New Roman" w:cs="Times New Roman"/>
                <w:color w:val="000000"/>
                <w:sz w:val="18"/>
                <w:szCs w:val="18"/>
              </w:rPr>
            </w:pPr>
            <w:r w:rsidRPr="00076DB5">
              <w:rPr>
                <w:sz w:val="18"/>
              </w:rPr>
              <w:t>Sempra Energy Utilities (SEU). 2012. “SEU 2009 ASW Data REDACTED.xlsx”.</w:t>
            </w:r>
          </w:p>
          <w:p w14:paraId="24691DE1" w14:textId="77777777" w:rsidR="000A6464" w:rsidRPr="00076DB5" w:rsidRDefault="000A6464" w:rsidP="003358D6">
            <w:pPr>
              <w:keepNext/>
              <w:keepLines/>
              <w:spacing w:before="0" w:after="0" w:line="240" w:lineRule="auto"/>
              <w:rPr>
                <w:rFonts w:eastAsia="Times New Roman" w:cs="Calibri Light"/>
                <w:sz w:val="18"/>
                <w:szCs w:val="18"/>
              </w:rPr>
            </w:pPr>
          </w:p>
          <w:p w14:paraId="6FAC163B" w14:textId="77777777" w:rsidR="000A6464" w:rsidRPr="00076DB5" w:rsidRDefault="000A6464" w:rsidP="003358D6">
            <w:pPr>
              <w:keepNext/>
              <w:keepLines/>
              <w:spacing w:before="0" w:after="0" w:line="240" w:lineRule="auto"/>
              <w:rPr>
                <w:rFonts w:eastAsia="Times New Roman" w:cs="Calibri Light"/>
                <w:sz w:val="18"/>
                <w:szCs w:val="18"/>
              </w:rPr>
            </w:pPr>
            <w:r w:rsidRPr="00076DB5">
              <w:rPr>
                <w:rFonts w:eastAsia="Times New Roman" w:cs="Calibri Light"/>
                <w:sz w:val="18"/>
                <w:szCs w:val="18"/>
              </w:rPr>
              <w:t>Multifamily:</w:t>
            </w:r>
          </w:p>
          <w:p w14:paraId="37DDB8F0" w14:textId="77777777" w:rsidR="000A6464" w:rsidRPr="00076DB5" w:rsidRDefault="000A6464" w:rsidP="003358D6">
            <w:pPr>
              <w:keepNext/>
              <w:keepLines/>
              <w:spacing w:before="0" w:after="0" w:line="240" w:lineRule="auto"/>
              <w:rPr>
                <w:rFonts w:eastAsia="Times New Roman" w:cs="Calibri Light"/>
                <w:sz w:val="18"/>
                <w:szCs w:val="18"/>
              </w:rPr>
            </w:pPr>
            <w:r w:rsidRPr="00076DB5">
              <w:rPr>
                <w:sz w:val="18"/>
                <w:szCs w:val="18"/>
              </w:rPr>
              <w:t xml:space="preserve">KEMA-XENERGY, </w:t>
            </w:r>
            <w:proofErr w:type="spellStart"/>
            <w:r w:rsidRPr="00076DB5">
              <w:rPr>
                <w:sz w:val="18"/>
                <w:szCs w:val="18"/>
              </w:rPr>
              <w:t>Itron</w:t>
            </w:r>
            <w:proofErr w:type="spellEnd"/>
            <w:r w:rsidRPr="00076DB5">
              <w:rPr>
                <w:sz w:val="18"/>
                <w:szCs w:val="18"/>
              </w:rPr>
              <w:t xml:space="preserve">, and </w:t>
            </w:r>
            <w:proofErr w:type="spellStart"/>
            <w:r w:rsidRPr="00076DB5">
              <w:rPr>
                <w:sz w:val="18"/>
                <w:szCs w:val="18"/>
              </w:rPr>
              <w:t>RoperASW</w:t>
            </w:r>
            <w:proofErr w:type="spellEnd"/>
            <w:r w:rsidRPr="00076DB5">
              <w:rPr>
                <w:sz w:val="18"/>
                <w:szCs w:val="18"/>
              </w:rPr>
              <w:t xml:space="preserve">. 2004. </w:t>
            </w:r>
            <w:r w:rsidRPr="00076DB5">
              <w:rPr>
                <w:bCs/>
                <w:i/>
                <w:sz w:val="18"/>
                <w:szCs w:val="18"/>
              </w:rPr>
              <w:t>California Statewide Residential Appliance Saturation Study</w:t>
            </w:r>
            <w:r w:rsidRPr="00076DB5">
              <w:rPr>
                <w:sz w:val="18"/>
                <w:szCs w:val="18"/>
              </w:rPr>
              <w:t>. Prepared for the California Energy Commission. Contract No. 400-04-009. PG&amp;E Banner Subset, Pages 100 and 102.</w:t>
            </w:r>
          </w:p>
        </w:tc>
      </w:tr>
      <w:tr w:rsidR="000A6464" w:rsidRPr="002D723D" w14:paraId="105F7A58" w14:textId="77777777" w:rsidTr="000A6464">
        <w:trPr>
          <w:trHeight w:val="260"/>
        </w:trPr>
        <w:tc>
          <w:tcPr>
            <w:tcW w:w="1885" w:type="dxa"/>
            <w:shd w:val="clear" w:color="auto" w:fill="auto"/>
            <w:noWrap/>
            <w:vAlign w:val="center"/>
          </w:tcPr>
          <w:p w14:paraId="11FF34BC" w14:textId="77777777" w:rsidR="000A6464" w:rsidRPr="002D723D" w:rsidRDefault="000A6464" w:rsidP="00C955EC">
            <w:pPr>
              <w:spacing w:before="0" w:after="0" w:line="240" w:lineRule="auto"/>
              <w:rPr>
                <w:rFonts w:eastAsia="Times New Roman" w:cs="Calibri Light"/>
                <w:sz w:val="20"/>
                <w:szCs w:val="20"/>
              </w:rPr>
            </w:pPr>
            <w:r>
              <w:rPr>
                <w:rFonts w:eastAsia="Times New Roman" w:cs="Calibri Light"/>
                <w:sz w:val="20"/>
                <w:szCs w:val="20"/>
              </w:rPr>
              <w:t>Avg. # of Showerheads per Household</w:t>
            </w:r>
            <w:r>
              <w:rPr>
                <w:rFonts w:eastAsia="Times New Roman" w:cs="Calibri Light"/>
                <w:sz w:val="20"/>
                <w:szCs w:val="20"/>
              </w:rPr>
              <w:br/>
              <w:t>(showerheads/</w:t>
            </w:r>
            <w:proofErr w:type="spellStart"/>
            <w:r>
              <w:rPr>
                <w:rFonts w:eastAsia="Times New Roman" w:cs="Calibri Light"/>
                <w:sz w:val="20"/>
                <w:szCs w:val="20"/>
              </w:rPr>
              <w:t>hh</w:t>
            </w:r>
            <w:proofErr w:type="spellEnd"/>
            <w:r>
              <w:rPr>
                <w:rFonts w:eastAsia="Times New Roman" w:cs="Calibri Light"/>
                <w:sz w:val="20"/>
                <w:szCs w:val="20"/>
              </w:rPr>
              <w:t>)</w:t>
            </w:r>
          </w:p>
        </w:tc>
        <w:tc>
          <w:tcPr>
            <w:tcW w:w="1440" w:type="dxa"/>
            <w:shd w:val="clear" w:color="auto" w:fill="auto"/>
            <w:noWrap/>
            <w:vAlign w:val="center"/>
          </w:tcPr>
          <w:p w14:paraId="0696C221"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2.01</w:t>
            </w:r>
          </w:p>
        </w:tc>
        <w:tc>
          <w:tcPr>
            <w:tcW w:w="1440" w:type="dxa"/>
            <w:vAlign w:val="center"/>
          </w:tcPr>
          <w:p w14:paraId="60A21772"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1.50</w:t>
            </w:r>
          </w:p>
        </w:tc>
        <w:tc>
          <w:tcPr>
            <w:tcW w:w="4752" w:type="dxa"/>
          </w:tcPr>
          <w:p w14:paraId="456A57BD" w14:textId="3753BF62" w:rsidR="000A6464" w:rsidRPr="00076DB5" w:rsidRDefault="000A6464" w:rsidP="00C955EC">
            <w:pPr>
              <w:spacing w:before="0" w:after="0" w:line="240" w:lineRule="auto"/>
              <w:rPr>
                <w:rFonts w:eastAsia="Times New Roman" w:cs="Times New Roman"/>
                <w:color w:val="000000"/>
                <w:sz w:val="18"/>
                <w:szCs w:val="18"/>
              </w:rPr>
            </w:pPr>
            <w:r w:rsidRPr="00076DB5">
              <w:rPr>
                <w:rFonts w:eastAsia="Times New Roman" w:cs="Times New Roman"/>
                <w:color w:val="000000"/>
                <w:sz w:val="18"/>
                <w:szCs w:val="18"/>
              </w:rPr>
              <w:t>Single Family:</w:t>
            </w:r>
          </w:p>
          <w:p w14:paraId="1BB4DA02" w14:textId="77777777" w:rsidR="000A6464" w:rsidRPr="00076DB5" w:rsidRDefault="000A6464" w:rsidP="00C955EC">
            <w:pPr>
              <w:spacing w:before="0" w:after="0" w:line="240" w:lineRule="auto"/>
              <w:rPr>
                <w:rFonts w:eastAsia="Times New Roman" w:cs="Times New Roman"/>
                <w:color w:val="000000"/>
                <w:sz w:val="18"/>
                <w:szCs w:val="18"/>
              </w:rPr>
            </w:pPr>
            <w:r w:rsidRPr="00076DB5">
              <w:rPr>
                <w:sz w:val="18"/>
              </w:rPr>
              <w:t>Sempra Energy Utilities (SEU). 2012. “SEU 2009 ASW Data REDACTED.xlsx”.</w:t>
            </w:r>
          </w:p>
          <w:p w14:paraId="041C4B3B" w14:textId="77777777" w:rsidR="000A6464" w:rsidRPr="006504ED" w:rsidRDefault="000A6464" w:rsidP="00C955EC">
            <w:pPr>
              <w:spacing w:before="0" w:after="0" w:line="240" w:lineRule="auto"/>
              <w:rPr>
                <w:rFonts w:eastAsia="Times New Roman" w:cs="Calibri Light"/>
                <w:color w:val="000000"/>
                <w:sz w:val="18"/>
                <w:szCs w:val="18"/>
              </w:rPr>
            </w:pPr>
          </w:p>
          <w:p w14:paraId="4C7EDB5E" w14:textId="77777777" w:rsidR="000A6464" w:rsidRPr="006504ED" w:rsidRDefault="000A6464" w:rsidP="00C955EC">
            <w:pPr>
              <w:spacing w:before="0" w:after="0" w:line="240" w:lineRule="auto"/>
              <w:rPr>
                <w:rFonts w:eastAsia="Times New Roman" w:cs="Calibri Light"/>
                <w:color w:val="000000"/>
                <w:sz w:val="18"/>
                <w:szCs w:val="18"/>
              </w:rPr>
            </w:pPr>
            <w:r w:rsidRPr="006504ED">
              <w:rPr>
                <w:rFonts w:eastAsia="Times New Roman" w:cs="Calibri Light"/>
                <w:color w:val="000000"/>
                <w:sz w:val="18"/>
                <w:szCs w:val="18"/>
              </w:rPr>
              <w:t>Multifamily:</w:t>
            </w:r>
          </w:p>
          <w:p w14:paraId="39B2832F" w14:textId="77777777" w:rsidR="000A6464" w:rsidRPr="006504ED" w:rsidRDefault="000A6464" w:rsidP="00C955EC">
            <w:pPr>
              <w:spacing w:before="0" w:after="0" w:line="240" w:lineRule="auto"/>
              <w:rPr>
                <w:rFonts w:eastAsia="Times New Roman" w:cs="Calibri Light"/>
                <w:sz w:val="18"/>
                <w:szCs w:val="18"/>
              </w:rPr>
            </w:pPr>
            <w:r w:rsidRPr="009C43D8">
              <w:rPr>
                <w:rFonts w:eastAsia="Times New Roman" w:cs="Calibri Light"/>
                <w:color w:val="000000"/>
                <w:sz w:val="18"/>
                <w:szCs w:val="18"/>
              </w:rPr>
              <w:t>U.S. Census Bureau. (n.d.). "U.S. 2000 Census Bathrooms in NC MF Units.xls."</w:t>
            </w:r>
          </w:p>
        </w:tc>
      </w:tr>
      <w:tr w:rsidR="000A6464" w:rsidRPr="002D723D" w14:paraId="576A079A" w14:textId="77777777" w:rsidTr="000A6464">
        <w:trPr>
          <w:trHeight w:val="260"/>
        </w:trPr>
        <w:tc>
          <w:tcPr>
            <w:tcW w:w="1885" w:type="dxa"/>
            <w:shd w:val="clear" w:color="auto" w:fill="auto"/>
            <w:noWrap/>
            <w:vAlign w:val="center"/>
          </w:tcPr>
          <w:p w14:paraId="39E53465" w14:textId="77777777" w:rsidR="000A6464" w:rsidRPr="002D723D" w:rsidRDefault="000A6464" w:rsidP="00C955EC">
            <w:pPr>
              <w:spacing w:before="0" w:after="0" w:line="240" w:lineRule="auto"/>
              <w:rPr>
                <w:rFonts w:eastAsia="Times New Roman" w:cs="Calibri Light"/>
                <w:sz w:val="20"/>
                <w:szCs w:val="20"/>
              </w:rPr>
            </w:pPr>
            <w:r>
              <w:rPr>
                <w:rFonts w:eastAsia="Times New Roman" w:cs="Calibri Light"/>
                <w:sz w:val="20"/>
                <w:szCs w:val="20"/>
              </w:rPr>
              <w:t>Throttling Factor (%)</w:t>
            </w:r>
          </w:p>
        </w:tc>
        <w:tc>
          <w:tcPr>
            <w:tcW w:w="1440" w:type="dxa"/>
            <w:shd w:val="clear" w:color="auto" w:fill="auto"/>
            <w:noWrap/>
            <w:vAlign w:val="center"/>
          </w:tcPr>
          <w:p w14:paraId="2917E9E6"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90%</w:t>
            </w:r>
          </w:p>
        </w:tc>
        <w:tc>
          <w:tcPr>
            <w:tcW w:w="1440" w:type="dxa"/>
            <w:vAlign w:val="center"/>
          </w:tcPr>
          <w:p w14:paraId="1574E2EA"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90%</w:t>
            </w:r>
          </w:p>
        </w:tc>
        <w:tc>
          <w:tcPr>
            <w:tcW w:w="4752" w:type="dxa"/>
            <w:vAlign w:val="center"/>
          </w:tcPr>
          <w:p w14:paraId="4031F3FD" w14:textId="4F750584" w:rsidR="000A6464" w:rsidRPr="006504ED" w:rsidRDefault="000A6464" w:rsidP="00C955EC">
            <w:pPr>
              <w:spacing w:before="0" w:after="0" w:line="240" w:lineRule="auto"/>
              <w:rPr>
                <w:rFonts w:eastAsia="Times New Roman" w:cs="Calibri Light"/>
                <w:sz w:val="18"/>
                <w:szCs w:val="18"/>
              </w:rPr>
            </w:pPr>
            <w:r w:rsidRPr="006504ED">
              <w:rPr>
                <w:sz w:val="18"/>
                <w:szCs w:val="18"/>
              </w:rPr>
              <w:t xml:space="preserve">Biermayer, P. 2006. </w:t>
            </w:r>
            <w:r w:rsidRPr="006504ED">
              <w:rPr>
                <w:i/>
                <w:sz w:val="18"/>
                <w:szCs w:val="18"/>
              </w:rPr>
              <w:t xml:space="preserve">Potential Water and Energy Savings from Showerheads. </w:t>
            </w:r>
            <w:r w:rsidRPr="006504ED">
              <w:rPr>
                <w:sz w:val="18"/>
                <w:szCs w:val="18"/>
              </w:rPr>
              <w:t>Ernest Orlando Lawrence Berkeley National Laboratory, Environmental Energy Technologies Division. Contract No. DE-AC02-05CH11231. P. 6.</w:t>
            </w:r>
          </w:p>
        </w:tc>
      </w:tr>
      <w:tr w:rsidR="000A6464" w:rsidRPr="002D723D" w14:paraId="582BAE6D" w14:textId="77777777" w:rsidTr="000A6464">
        <w:trPr>
          <w:trHeight w:val="260"/>
        </w:trPr>
        <w:tc>
          <w:tcPr>
            <w:tcW w:w="1885" w:type="dxa"/>
            <w:shd w:val="clear" w:color="auto" w:fill="auto"/>
            <w:noWrap/>
            <w:vAlign w:val="center"/>
          </w:tcPr>
          <w:p w14:paraId="19B27EDB" w14:textId="77777777" w:rsidR="000A6464" w:rsidRDefault="000A6464" w:rsidP="00C955EC">
            <w:pPr>
              <w:spacing w:before="0" w:after="0" w:line="240" w:lineRule="auto"/>
              <w:rPr>
                <w:rFonts w:eastAsia="Times New Roman" w:cs="Calibri Light"/>
                <w:sz w:val="20"/>
                <w:szCs w:val="20"/>
              </w:rPr>
            </w:pPr>
            <w:r>
              <w:rPr>
                <w:rFonts w:eastAsia="Times New Roman" w:cs="Calibri Light"/>
                <w:sz w:val="20"/>
                <w:szCs w:val="20"/>
              </w:rPr>
              <w:t>Operating Days (days/year)</w:t>
            </w:r>
          </w:p>
        </w:tc>
        <w:tc>
          <w:tcPr>
            <w:tcW w:w="1440" w:type="dxa"/>
            <w:shd w:val="clear" w:color="auto" w:fill="auto"/>
            <w:noWrap/>
            <w:vAlign w:val="center"/>
          </w:tcPr>
          <w:p w14:paraId="6FB95E37"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365</w:t>
            </w:r>
          </w:p>
        </w:tc>
        <w:tc>
          <w:tcPr>
            <w:tcW w:w="1440" w:type="dxa"/>
            <w:vAlign w:val="center"/>
          </w:tcPr>
          <w:p w14:paraId="356048D6" w14:textId="77777777" w:rsidR="000A6464" w:rsidRPr="00C955EC" w:rsidRDefault="000A6464" w:rsidP="00C955EC">
            <w:pPr>
              <w:spacing w:before="0" w:after="0" w:line="240" w:lineRule="auto"/>
              <w:jc w:val="right"/>
              <w:rPr>
                <w:rFonts w:eastAsia="Times New Roman" w:cs="Calibri Light"/>
                <w:sz w:val="20"/>
                <w:szCs w:val="20"/>
              </w:rPr>
            </w:pPr>
            <w:r w:rsidRPr="00C955EC">
              <w:rPr>
                <w:rFonts w:eastAsia="Times New Roman" w:cs="Calibri Light"/>
                <w:sz w:val="20"/>
                <w:szCs w:val="20"/>
              </w:rPr>
              <w:t>365</w:t>
            </w:r>
          </w:p>
        </w:tc>
        <w:tc>
          <w:tcPr>
            <w:tcW w:w="4752" w:type="dxa"/>
            <w:vAlign w:val="center"/>
          </w:tcPr>
          <w:p w14:paraId="49D70019" w14:textId="522CD405" w:rsidR="000A6464" w:rsidRPr="006504ED" w:rsidRDefault="000A6464" w:rsidP="00C955EC">
            <w:pPr>
              <w:spacing w:before="0" w:after="0" w:line="240" w:lineRule="auto"/>
              <w:rPr>
                <w:rFonts w:eastAsia="Times New Roman" w:cs="Calibri Light"/>
                <w:sz w:val="18"/>
                <w:szCs w:val="18"/>
              </w:rPr>
            </w:pPr>
            <w:r w:rsidRPr="006504ED">
              <w:rPr>
                <w:rFonts w:eastAsia="Times New Roman" w:cs="Calibri Light"/>
                <w:color w:val="000000"/>
                <w:sz w:val="18"/>
                <w:szCs w:val="18"/>
              </w:rPr>
              <w:t>Constant, professional judgement.</w:t>
            </w:r>
          </w:p>
        </w:tc>
      </w:tr>
      <w:tr w:rsidR="007D7821" w:rsidRPr="002D723D" w14:paraId="0912D9CB" w14:textId="77777777" w:rsidTr="00F0025D">
        <w:trPr>
          <w:trHeight w:val="260"/>
        </w:trPr>
        <w:tc>
          <w:tcPr>
            <w:tcW w:w="1885" w:type="dxa"/>
            <w:shd w:val="clear" w:color="auto" w:fill="auto"/>
            <w:noWrap/>
            <w:vAlign w:val="center"/>
          </w:tcPr>
          <w:p w14:paraId="1ECF624B" w14:textId="58375AD4" w:rsidR="007D7821" w:rsidRDefault="007D7821" w:rsidP="007D7821">
            <w:pPr>
              <w:spacing w:before="0" w:after="0" w:line="240" w:lineRule="auto"/>
              <w:rPr>
                <w:rFonts w:eastAsia="Times New Roman" w:cs="Calibri Light"/>
                <w:sz w:val="20"/>
                <w:szCs w:val="20"/>
              </w:rPr>
            </w:pPr>
            <w:r>
              <w:rPr>
                <w:rFonts w:eastAsia="Times New Roman" w:cs="Calibri Light"/>
                <w:sz w:val="20"/>
                <w:szCs w:val="20"/>
              </w:rPr>
              <w:t>Baseline Usage Normalization Factor</w:t>
            </w:r>
          </w:p>
        </w:tc>
        <w:tc>
          <w:tcPr>
            <w:tcW w:w="1440" w:type="dxa"/>
            <w:shd w:val="clear" w:color="auto" w:fill="auto"/>
            <w:noWrap/>
            <w:vAlign w:val="center"/>
          </w:tcPr>
          <w:p w14:paraId="14FA90CB" w14:textId="77777777" w:rsidR="007D7821" w:rsidRPr="00C955EC" w:rsidRDefault="007D7821" w:rsidP="007D7821">
            <w:pPr>
              <w:spacing w:before="0" w:after="0" w:line="240" w:lineRule="auto"/>
              <w:jc w:val="right"/>
              <w:rPr>
                <w:rFonts w:eastAsia="Times New Roman" w:cs="Calibri Light"/>
                <w:sz w:val="20"/>
                <w:szCs w:val="20"/>
              </w:rPr>
            </w:pPr>
            <w:r w:rsidRPr="00C955EC">
              <w:rPr>
                <w:rFonts w:eastAsia="Times New Roman" w:cs="Calibri Light"/>
                <w:sz w:val="20"/>
                <w:szCs w:val="20"/>
              </w:rPr>
              <w:t>0.670</w:t>
            </w:r>
          </w:p>
        </w:tc>
        <w:tc>
          <w:tcPr>
            <w:tcW w:w="1440" w:type="dxa"/>
            <w:vAlign w:val="center"/>
          </w:tcPr>
          <w:p w14:paraId="6B918267" w14:textId="77777777" w:rsidR="007D7821" w:rsidRPr="00C955EC" w:rsidRDefault="007D7821" w:rsidP="007D7821">
            <w:pPr>
              <w:spacing w:before="0" w:after="0" w:line="240" w:lineRule="auto"/>
              <w:jc w:val="right"/>
              <w:rPr>
                <w:rFonts w:eastAsia="Times New Roman" w:cs="Calibri Light"/>
                <w:sz w:val="20"/>
                <w:szCs w:val="20"/>
              </w:rPr>
            </w:pPr>
            <w:r w:rsidRPr="00C955EC">
              <w:rPr>
                <w:rFonts w:eastAsia="Times New Roman" w:cs="Calibri Light"/>
                <w:sz w:val="20"/>
                <w:szCs w:val="20"/>
              </w:rPr>
              <w:t>0.702</w:t>
            </w:r>
          </w:p>
        </w:tc>
        <w:tc>
          <w:tcPr>
            <w:tcW w:w="4752" w:type="dxa"/>
          </w:tcPr>
          <w:p w14:paraId="48448E45" w14:textId="2394AABE" w:rsidR="007D7821" w:rsidRPr="006504ED" w:rsidRDefault="007D7821" w:rsidP="007D7821">
            <w:pPr>
              <w:spacing w:before="0" w:after="0" w:line="240" w:lineRule="auto"/>
              <w:rPr>
                <w:rFonts w:eastAsia="Times New Roman" w:cs="Calibri Light"/>
                <w:sz w:val="18"/>
                <w:szCs w:val="18"/>
              </w:rPr>
            </w:pPr>
            <w:r>
              <w:rPr>
                <w:rFonts w:eastAsia="Times New Roman" w:cs="Times New Roman"/>
                <w:sz w:val="18"/>
                <w:szCs w:val="18"/>
              </w:rPr>
              <w:t>See below.</w:t>
            </w:r>
          </w:p>
        </w:tc>
      </w:tr>
    </w:tbl>
    <w:p w14:paraId="4ED43D7A" w14:textId="18EEA2B2" w:rsidR="00C95071" w:rsidRPr="008560FF" w:rsidRDefault="00C95071" w:rsidP="00C955EC">
      <w:pPr>
        <w:pStyle w:val="Caption"/>
        <w:keepNext w:val="0"/>
        <w:keepLines w:val="0"/>
      </w:pPr>
      <w:r>
        <w:t>Measure Case Water Usage Parameters</w:t>
      </w:r>
      <w:r w:rsidRPr="008560FF">
        <w:t xml:space="preserve"> </w:t>
      </w:r>
      <w:r>
        <w:t>– Single Family</w:t>
      </w:r>
    </w:p>
    <w:tbl>
      <w:tblPr>
        <w:tblW w:w="955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3168"/>
        <w:gridCol w:w="864"/>
        <w:gridCol w:w="864"/>
        <w:gridCol w:w="864"/>
        <w:gridCol w:w="864"/>
        <w:gridCol w:w="864"/>
        <w:gridCol w:w="2070"/>
      </w:tblGrid>
      <w:tr w:rsidR="00C95071" w:rsidRPr="00651B0E" w14:paraId="2F3A1BD4" w14:textId="77777777" w:rsidTr="00C95071">
        <w:trPr>
          <w:trHeight w:val="260"/>
        </w:trPr>
        <w:tc>
          <w:tcPr>
            <w:tcW w:w="3168" w:type="dxa"/>
            <w:shd w:val="clear" w:color="auto" w:fill="F2F2F2" w:themeFill="background1" w:themeFillShade="F2"/>
            <w:noWrap/>
            <w:vAlign w:val="bottom"/>
          </w:tcPr>
          <w:p w14:paraId="3F47513B" w14:textId="77777777" w:rsidR="00C95071" w:rsidRPr="00651B0E" w:rsidRDefault="00C95071" w:rsidP="00C955EC">
            <w:pPr>
              <w:spacing w:before="0" w:after="0" w:line="240" w:lineRule="auto"/>
              <w:jc w:val="center"/>
              <w:rPr>
                <w:rFonts w:eastAsia="Times New Roman" w:cs="Times New Roman"/>
                <w:sz w:val="20"/>
                <w:szCs w:val="20"/>
              </w:rPr>
            </w:pPr>
            <w:r>
              <w:rPr>
                <w:rFonts w:eastAsia="Times New Roman" w:cs="Times New Roman"/>
                <w:b/>
                <w:sz w:val="20"/>
                <w:szCs w:val="20"/>
              </w:rPr>
              <w:t>Parameter</w:t>
            </w:r>
          </w:p>
        </w:tc>
        <w:tc>
          <w:tcPr>
            <w:tcW w:w="4320" w:type="dxa"/>
            <w:gridSpan w:val="5"/>
            <w:shd w:val="clear" w:color="auto" w:fill="F2F2F2" w:themeFill="background1" w:themeFillShade="F2"/>
            <w:noWrap/>
            <w:vAlign w:val="bottom"/>
          </w:tcPr>
          <w:p w14:paraId="2E040B18" w14:textId="32CF89C2" w:rsidR="00C95071" w:rsidRDefault="00C95071" w:rsidP="00C955EC">
            <w:pPr>
              <w:spacing w:before="0" w:after="0" w:line="240" w:lineRule="auto"/>
              <w:jc w:val="center"/>
              <w:rPr>
                <w:rFonts w:eastAsia="Times New Roman" w:cs="Times New Roman"/>
                <w:sz w:val="20"/>
                <w:szCs w:val="20"/>
              </w:rPr>
            </w:pPr>
            <w:r>
              <w:rPr>
                <w:rFonts w:eastAsia="Times New Roman" w:cs="Times New Roman"/>
                <w:b/>
                <w:sz w:val="20"/>
                <w:szCs w:val="20"/>
              </w:rPr>
              <w:t>Single Family</w:t>
            </w:r>
          </w:p>
        </w:tc>
        <w:tc>
          <w:tcPr>
            <w:tcW w:w="2070" w:type="dxa"/>
            <w:shd w:val="clear" w:color="auto" w:fill="F2F2F2" w:themeFill="background1" w:themeFillShade="F2"/>
            <w:vAlign w:val="bottom"/>
          </w:tcPr>
          <w:p w14:paraId="6C2A5635" w14:textId="77777777" w:rsidR="00C95071" w:rsidRDefault="00C95071" w:rsidP="00C955EC">
            <w:pPr>
              <w:spacing w:before="0" w:after="0" w:line="240" w:lineRule="auto"/>
              <w:jc w:val="center"/>
              <w:rPr>
                <w:rFonts w:eastAsia="Times New Roman" w:cs="Times New Roman"/>
                <w:sz w:val="18"/>
                <w:szCs w:val="20"/>
              </w:rPr>
            </w:pPr>
            <w:r>
              <w:rPr>
                <w:rFonts w:eastAsia="Times New Roman" w:cs="Times New Roman"/>
                <w:b/>
                <w:sz w:val="20"/>
                <w:szCs w:val="20"/>
              </w:rPr>
              <w:t>Source</w:t>
            </w:r>
          </w:p>
        </w:tc>
      </w:tr>
      <w:tr w:rsidR="00C95071" w:rsidRPr="00651B0E" w14:paraId="2E9D3CCA" w14:textId="77777777" w:rsidTr="00C95071">
        <w:trPr>
          <w:trHeight w:val="260"/>
        </w:trPr>
        <w:tc>
          <w:tcPr>
            <w:tcW w:w="3168" w:type="dxa"/>
            <w:shd w:val="clear" w:color="auto" w:fill="FFFFFF" w:themeFill="background1"/>
            <w:noWrap/>
            <w:vAlign w:val="center"/>
            <w:hideMark/>
          </w:tcPr>
          <w:p w14:paraId="634A4F22" w14:textId="77777777" w:rsidR="00C95071" w:rsidRPr="00651B0E" w:rsidRDefault="00C95071" w:rsidP="00C955EC">
            <w:pPr>
              <w:spacing w:before="0" w:after="0" w:line="240" w:lineRule="auto"/>
              <w:rPr>
                <w:rFonts w:eastAsia="Times New Roman" w:cs="Times New Roman"/>
                <w:sz w:val="20"/>
                <w:szCs w:val="20"/>
              </w:rPr>
            </w:pPr>
            <w:r w:rsidRPr="00651B0E">
              <w:rPr>
                <w:rFonts w:eastAsia="Times New Roman" w:cs="Times New Roman"/>
                <w:sz w:val="20"/>
                <w:szCs w:val="20"/>
              </w:rPr>
              <w:t>Measure Case Flow Rate</w:t>
            </w:r>
            <w:r>
              <w:rPr>
                <w:rFonts w:eastAsia="Times New Roman" w:cs="Times New Roman"/>
                <w:sz w:val="20"/>
                <w:szCs w:val="20"/>
              </w:rPr>
              <w:t xml:space="preserve"> (</w:t>
            </w:r>
            <w:proofErr w:type="spellStart"/>
            <w:r>
              <w:rPr>
                <w:rFonts w:eastAsia="Times New Roman" w:cs="Times New Roman"/>
                <w:sz w:val="20"/>
                <w:szCs w:val="20"/>
              </w:rPr>
              <w:t>gpm</w:t>
            </w:r>
            <w:proofErr w:type="spellEnd"/>
            <w:r>
              <w:rPr>
                <w:rFonts w:eastAsia="Times New Roman" w:cs="Times New Roman"/>
                <w:sz w:val="20"/>
                <w:szCs w:val="20"/>
              </w:rPr>
              <w:t>)</w:t>
            </w:r>
          </w:p>
        </w:tc>
        <w:tc>
          <w:tcPr>
            <w:tcW w:w="864" w:type="dxa"/>
            <w:shd w:val="clear" w:color="auto" w:fill="FFFFFF" w:themeFill="background1"/>
            <w:noWrap/>
            <w:vAlign w:val="center"/>
          </w:tcPr>
          <w:p w14:paraId="34CAB141"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1.00</w:t>
            </w:r>
          </w:p>
        </w:tc>
        <w:tc>
          <w:tcPr>
            <w:tcW w:w="864" w:type="dxa"/>
            <w:shd w:val="clear" w:color="auto" w:fill="FFFFFF" w:themeFill="background1"/>
            <w:noWrap/>
            <w:vAlign w:val="center"/>
          </w:tcPr>
          <w:p w14:paraId="5EFEE5A6"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1.25</w:t>
            </w:r>
          </w:p>
        </w:tc>
        <w:tc>
          <w:tcPr>
            <w:tcW w:w="864" w:type="dxa"/>
            <w:shd w:val="clear" w:color="auto" w:fill="FFFFFF" w:themeFill="background1"/>
            <w:noWrap/>
            <w:vAlign w:val="center"/>
          </w:tcPr>
          <w:p w14:paraId="73BD05BE"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1.50</w:t>
            </w:r>
          </w:p>
        </w:tc>
        <w:tc>
          <w:tcPr>
            <w:tcW w:w="864" w:type="dxa"/>
            <w:shd w:val="clear" w:color="auto" w:fill="FFFFFF" w:themeFill="background1"/>
            <w:vAlign w:val="center"/>
          </w:tcPr>
          <w:p w14:paraId="35922E34"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1.60</w:t>
            </w:r>
          </w:p>
        </w:tc>
        <w:tc>
          <w:tcPr>
            <w:tcW w:w="864" w:type="dxa"/>
            <w:shd w:val="clear" w:color="auto" w:fill="FFFFFF" w:themeFill="background1"/>
            <w:noWrap/>
            <w:vAlign w:val="center"/>
          </w:tcPr>
          <w:p w14:paraId="4403552F"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1.70</w:t>
            </w:r>
          </w:p>
        </w:tc>
        <w:tc>
          <w:tcPr>
            <w:tcW w:w="2070" w:type="dxa"/>
            <w:shd w:val="clear" w:color="auto" w:fill="FFFFFF" w:themeFill="background1"/>
            <w:vAlign w:val="center"/>
          </w:tcPr>
          <w:p w14:paraId="4EE7D32D" w14:textId="77777777" w:rsidR="00C95071" w:rsidRPr="00247D11" w:rsidRDefault="00C95071" w:rsidP="00C955EC">
            <w:pPr>
              <w:spacing w:before="0" w:after="0" w:line="240" w:lineRule="auto"/>
              <w:rPr>
                <w:rFonts w:eastAsia="Times New Roman" w:cs="Times New Roman"/>
                <w:sz w:val="18"/>
                <w:szCs w:val="20"/>
              </w:rPr>
            </w:pPr>
            <w:r>
              <w:rPr>
                <w:rFonts w:eastAsia="Times New Roman" w:cs="Times New Roman"/>
                <w:sz w:val="18"/>
                <w:szCs w:val="20"/>
              </w:rPr>
              <w:t>-</w:t>
            </w:r>
          </w:p>
        </w:tc>
      </w:tr>
      <w:tr w:rsidR="00C95071" w:rsidRPr="00651B0E" w14:paraId="28534815" w14:textId="77777777" w:rsidTr="00C95071">
        <w:trPr>
          <w:trHeight w:val="260"/>
        </w:trPr>
        <w:tc>
          <w:tcPr>
            <w:tcW w:w="3168" w:type="dxa"/>
            <w:shd w:val="clear" w:color="auto" w:fill="FFFFFF" w:themeFill="background1"/>
            <w:noWrap/>
            <w:vAlign w:val="center"/>
          </w:tcPr>
          <w:p w14:paraId="6131EA3F" w14:textId="77777777" w:rsidR="00C95071" w:rsidRPr="00651B0E" w:rsidRDefault="00C95071" w:rsidP="00C955EC">
            <w:pPr>
              <w:spacing w:before="0" w:after="0" w:line="240" w:lineRule="auto"/>
              <w:rPr>
                <w:rFonts w:eastAsia="Times New Roman" w:cs="Times New Roman"/>
                <w:sz w:val="20"/>
                <w:szCs w:val="20"/>
              </w:rPr>
            </w:pPr>
            <w:r w:rsidRPr="002D723D">
              <w:rPr>
                <w:rFonts w:eastAsia="Times New Roman" w:cs="Calibri Light"/>
                <w:sz w:val="20"/>
                <w:szCs w:val="20"/>
              </w:rPr>
              <w:t xml:space="preserve">Average </w:t>
            </w:r>
            <w:r>
              <w:rPr>
                <w:rFonts w:eastAsia="Times New Roman" w:cs="Calibri Light"/>
                <w:sz w:val="20"/>
                <w:szCs w:val="20"/>
              </w:rPr>
              <w:t>Shower Time (min/shower)</w:t>
            </w:r>
          </w:p>
        </w:tc>
        <w:tc>
          <w:tcPr>
            <w:tcW w:w="864" w:type="dxa"/>
            <w:shd w:val="clear" w:color="auto" w:fill="FFFFFF" w:themeFill="background1"/>
            <w:noWrap/>
            <w:vAlign w:val="center"/>
          </w:tcPr>
          <w:p w14:paraId="52F45D0F"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7.4</w:t>
            </w:r>
          </w:p>
        </w:tc>
        <w:tc>
          <w:tcPr>
            <w:tcW w:w="864" w:type="dxa"/>
            <w:shd w:val="clear" w:color="auto" w:fill="FFFFFF" w:themeFill="background1"/>
            <w:noWrap/>
            <w:vAlign w:val="center"/>
          </w:tcPr>
          <w:p w14:paraId="03A2F10E" w14:textId="77777777" w:rsidR="00C95071" w:rsidRPr="00651B0E" w:rsidRDefault="00C95071" w:rsidP="00C955EC">
            <w:pPr>
              <w:spacing w:before="0" w:after="0" w:line="240" w:lineRule="auto"/>
              <w:jc w:val="right"/>
              <w:rPr>
                <w:rFonts w:eastAsia="Times New Roman" w:cs="Times New Roman"/>
                <w:sz w:val="20"/>
                <w:szCs w:val="20"/>
              </w:rPr>
            </w:pPr>
            <w:r w:rsidRPr="00B42382">
              <w:rPr>
                <w:rFonts w:eastAsia="Times New Roman" w:cs="Times New Roman"/>
                <w:sz w:val="20"/>
                <w:szCs w:val="20"/>
              </w:rPr>
              <w:t>7.4</w:t>
            </w:r>
          </w:p>
        </w:tc>
        <w:tc>
          <w:tcPr>
            <w:tcW w:w="864" w:type="dxa"/>
            <w:shd w:val="clear" w:color="auto" w:fill="FFFFFF" w:themeFill="background1"/>
            <w:noWrap/>
            <w:vAlign w:val="center"/>
          </w:tcPr>
          <w:p w14:paraId="1D064914" w14:textId="77777777" w:rsidR="00C95071" w:rsidRPr="00651B0E" w:rsidRDefault="00C95071" w:rsidP="00C955EC">
            <w:pPr>
              <w:spacing w:before="0" w:after="0" w:line="240" w:lineRule="auto"/>
              <w:jc w:val="right"/>
              <w:rPr>
                <w:rFonts w:eastAsia="Times New Roman" w:cs="Times New Roman"/>
                <w:sz w:val="20"/>
                <w:szCs w:val="20"/>
              </w:rPr>
            </w:pPr>
            <w:r w:rsidRPr="00B42382">
              <w:rPr>
                <w:rFonts w:eastAsia="Times New Roman" w:cs="Times New Roman"/>
                <w:sz w:val="20"/>
                <w:szCs w:val="20"/>
              </w:rPr>
              <w:t>7.4</w:t>
            </w:r>
          </w:p>
        </w:tc>
        <w:tc>
          <w:tcPr>
            <w:tcW w:w="864" w:type="dxa"/>
            <w:shd w:val="clear" w:color="auto" w:fill="FFFFFF" w:themeFill="background1"/>
            <w:vAlign w:val="center"/>
          </w:tcPr>
          <w:p w14:paraId="152E5770" w14:textId="77777777" w:rsidR="00C95071" w:rsidRPr="00651B0E" w:rsidRDefault="00C95071" w:rsidP="00C955EC">
            <w:pPr>
              <w:spacing w:before="0" w:after="0" w:line="240" w:lineRule="auto"/>
              <w:jc w:val="right"/>
              <w:rPr>
                <w:rFonts w:eastAsia="Times New Roman" w:cs="Times New Roman"/>
                <w:sz w:val="20"/>
                <w:szCs w:val="20"/>
              </w:rPr>
            </w:pPr>
            <w:r w:rsidRPr="00B42382">
              <w:rPr>
                <w:rFonts w:eastAsia="Times New Roman" w:cs="Times New Roman"/>
                <w:sz w:val="20"/>
                <w:szCs w:val="20"/>
              </w:rPr>
              <w:t>7.4</w:t>
            </w:r>
          </w:p>
        </w:tc>
        <w:tc>
          <w:tcPr>
            <w:tcW w:w="864" w:type="dxa"/>
            <w:shd w:val="clear" w:color="auto" w:fill="FFFFFF" w:themeFill="background1"/>
            <w:noWrap/>
            <w:vAlign w:val="center"/>
          </w:tcPr>
          <w:p w14:paraId="2DDD2EFE" w14:textId="77777777" w:rsidR="00C95071" w:rsidRPr="00651B0E" w:rsidRDefault="00C95071" w:rsidP="00C955EC">
            <w:pPr>
              <w:spacing w:before="0" w:after="0" w:line="240" w:lineRule="auto"/>
              <w:jc w:val="right"/>
              <w:rPr>
                <w:rFonts w:eastAsia="Times New Roman" w:cs="Times New Roman"/>
                <w:sz w:val="20"/>
                <w:szCs w:val="20"/>
              </w:rPr>
            </w:pPr>
            <w:r w:rsidRPr="00B42382">
              <w:rPr>
                <w:rFonts w:eastAsia="Times New Roman" w:cs="Times New Roman"/>
                <w:sz w:val="20"/>
                <w:szCs w:val="20"/>
              </w:rPr>
              <w:t>7.4</w:t>
            </w:r>
          </w:p>
        </w:tc>
        <w:tc>
          <w:tcPr>
            <w:tcW w:w="2070" w:type="dxa"/>
            <w:shd w:val="clear" w:color="auto" w:fill="FFFFFF" w:themeFill="background1"/>
          </w:tcPr>
          <w:p w14:paraId="19608ECF" w14:textId="483862FF" w:rsidR="00C95071" w:rsidRPr="00863542" w:rsidRDefault="007D7821" w:rsidP="00C955EC">
            <w:pPr>
              <w:spacing w:before="0" w:after="0" w:line="240" w:lineRule="auto"/>
              <w:rPr>
                <w:rFonts w:eastAsia="Times New Roman" w:cs="Times New Roman"/>
                <w:sz w:val="18"/>
                <w:szCs w:val="18"/>
              </w:rPr>
            </w:pPr>
            <w:r>
              <w:rPr>
                <w:rFonts w:eastAsia="Times New Roman" w:cs="Times New Roman"/>
                <w:sz w:val="18"/>
                <w:szCs w:val="18"/>
              </w:rPr>
              <w:t>See below.</w:t>
            </w:r>
          </w:p>
        </w:tc>
      </w:tr>
      <w:tr w:rsidR="007D7821" w:rsidRPr="00651B0E" w14:paraId="02073905" w14:textId="77777777" w:rsidTr="00C95071">
        <w:trPr>
          <w:trHeight w:val="260"/>
        </w:trPr>
        <w:tc>
          <w:tcPr>
            <w:tcW w:w="3168" w:type="dxa"/>
            <w:shd w:val="clear" w:color="auto" w:fill="FFFFFF" w:themeFill="background1"/>
            <w:noWrap/>
            <w:vAlign w:val="center"/>
          </w:tcPr>
          <w:p w14:paraId="1E011FE7" w14:textId="77777777" w:rsidR="007D7821" w:rsidRPr="00651B0E" w:rsidRDefault="007D7821" w:rsidP="007D7821">
            <w:pPr>
              <w:spacing w:before="0" w:after="0" w:line="240" w:lineRule="auto"/>
              <w:rPr>
                <w:rFonts w:eastAsia="Times New Roman" w:cs="Times New Roman"/>
                <w:sz w:val="20"/>
                <w:szCs w:val="20"/>
              </w:rPr>
            </w:pPr>
            <w:r>
              <w:rPr>
                <w:rFonts w:eastAsia="Times New Roman" w:cs="Calibri Light"/>
                <w:sz w:val="20"/>
                <w:szCs w:val="20"/>
              </w:rPr>
              <w:t>Avg. #</w:t>
            </w:r>
            <w:r w:rsidRPr="002D723D">
              <w:rPr>
                <w:rFonts w:eastAsia="Times New Roman" w:cs="Calibri Light"/>
                <w:sz w:val="20"/>
                <w:szCs w:val="20"/>
              </w:rPr>
              <w:t xml:space="preserve"> of </w:t>
            </w:r>
            <w:r>
              <w:rPr>
                <w:rFonts w:eastAsia="Times New Roman" w:cs="Calibri Light"/>
                <w:sz w:val="20"/>
                <w:szCs w:val="20"/>
              </w:rPr>
              <w:t>Showers Taken per Day Per Household (showers/day/</w:t>
            </w:r>
            <w:proofErr w:type="spellStart"/>
            <w:r>
              <w:rPr>
                <w:rFonts w:eastAsia="Times New Roman" w:cs="Calibri Light"/>
                <w:sz w:val="20"/>
                <w:szCs w:val="20"/>
              </w:rPr>
              <w:t>hh</w:t>
            </w:r>
            <w:proofErr w:type="spellEnd"/>
            <w:r>
              <w:rPr>
                <w:rFonts w:eastAsia="Times New Roman" w:cs="Calibri Light"/>
                <w:sz w:val="20"/>
                <w:szCs w:val="20"/>
              </w:rPr>
              <w:t>)</w:t>
            </w:r>
          </w:p>
        </w:tc>
        <w:tc>
          <w:tcPr>
            <w:tcW w:w="864" w:type="dxa"/>
            <w:shd w:val="clear" w:color="auto" w:fill="FFFFFF" w:themeFill="background1"/>
            <w:noWrap/>
            <w:vAlign w:val="center"/>
          </w:tcPr>
          <w:p w14:paraId="2C31A554"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2.79</w:t>
            </w:r>
          </w:p>
        </w:tc>
        <w:tc>
          <w:tcPr>
            <w:tcW w:w="864" w:type="dxa"/>
            <w:shd w:val="clear" w:color="auto" w:fill="FFFFFF" w:themeFill="background1"/>
            <w:noWrap/>
            <w:vAlign w:val="center"/>
          </w:tcPr>
          <w:p w14:paraId="07A05B24" w14:textId="77777777" w:rsidR="007D7821" w:rsidRPr="00651B0E" w:rsidRDefault="007D7821" w:rsidP="007D7821">
            <w:pPr>
              <w:spacing w:before="0" w:after="0" w:line="240" w:lineRule="auto"/>
              <w:jc w:val="right"/>
              <w:rPr>
                <w:rFonts w:eastAsia="Times New Roman" w:cs="Times New Roman"/>
                <w:sz w:val="20"/>
                <w:szCs w:val="20"/>
              </w:rPr>
            </w:pPr>
            <w:r w:rsidRPr="00027010">
              <w:rPr>
                <w:rFonts w:eastAsia="Times New Roman" w:cs="Times New Roman"/>
                <w:sz w:val="20"/>
                <w:szCs w:val="20"/>
              </w:rPr>
              <w:t>2.79</w:t>
            </w:r>
          </w:p>
        </w:tc>
        <w:tc>
          <w:tcPr>
            <w:tcW w:w="864" w:type="dxa"/>
            <w:shd w:val="clear" w:color="auto" w:fill="FFFFFF" w:themeFill="background1"/>
            <w:noWrap/>
            <w:vAlign w:val="center"/>
          </w:tcPr>
          <w:p w14:paraId="2DD51C77" w14:textId="77777777" w:rsidR="007D7821" w:rsidRPr="00651B0E" w:rsidRDefault="007D7821" w:rsidP="007D7821">
            <w:pPr>
              <w:spacing w:before="0" w:after="0" w:line="240" w:lineRule="auto"/>
              <w:jc w:val="right"/>
              <w:rPr>
                <w:rFonts w:eastAsia="Times New Roman" w:cs="Times New Roman"/>
                <w:sz w:val="20"/>
                <w:szCs w:val="20"/>
              </w:rPr>
            </w:pPr>
            <w:r w:rsidRPr="00027010">
              <w:rPr>
                <w:rFonts w:eastAsia="Times New Roman" w:cs="Times New Roman"/>
                <w:sz w:val="20"/>
                <w:szCs w:val="20"/>
              </w:rPr>
              <w:t>2.79</w:t>
            </w:r>
          </w:p>
        </w:tc>
        <w:tc>
          <w:tcPr>
            <w:tcW w:w="864" w:type="dxa"/>
            <w:shd w:val="clear" w:color="auto" w:fill="FFFFFF" w:themeFill="background1"/>
            <w:vAlign w:val="center"/>
          </w:tcPr>
          <w:p w14:paraId="63B1D765" w14:textId="77777777" w:rsidR="007D7821" w:rsidRPr="00651B0E" w:rsidRDefault="007D7821" w:rsidP="007D7821">
            <w:pPr>
              <w:spacing w:before="0" w:after="0" w:line="240" w:lineRule="auto"/>
              <w:jc w:val="right"/>
              <w:rPr>
                <w:rFonts w:eastAsia="Times New Roman" w:cs="Times New Roman"/>
                <w:sz w:val="20"/>
                <w:szCs w:val="20"/>
              </w:rPr>
            </w:pPr>
            <w:r w:rsidRPr="00027010">
              <w:rPr>
                <w:rFonts w:eastAsia="Times New Roman" w:cs="Times New Roman"/>
                <w:sz w:val="20"/>
                <w:szCs w:val="20"/>
              </w:rPr>
              <w:t>2.79</w:t>
            </w:r>
          </w:p>
        </w:tc>
        <w:tc>
          <w:tcPr>
            <w:tcW w:w="864" w:type="dxa"/>
            <w:shd w:val="clear" w:color="auto" w:fill="FFFFFF" w:themeFill="background1"/>
            <w:noWrap/>
            <w:vAlign w:val="center"/>
          </w:tcPr>
          <w:p w14:paraId="38A1398C" w14:textId="77777777" w:rsidR="007D7821" w:rsidRPr="00651B0E" w:rsidRDefault="007D7821" w:rsidP="007D7821">
            <w:pPr>
              <w:spacing w:before="0" w:after="0" w:line="240" w:lineRule="auto"/>
              <w:jc w:val="right"/>
              <w:rPr>
                <w:rFonts w:eastAsia="Times New Roman" w:cs="Times New Roman"/>
                <w:sz w:val="20"/>
                <w:szCs w:val="20"/>
              </w:rPr>
            </w:pPr>
            <w:r w:rsidRPr="00027010">
              <w:rPr>
                <w:rFonts w:eastAsia="Times New Roman" w:cs="Times New Roman"/>
                <w:sz w:val="20"/>
                <w:szCs w:val="20"/>
              </w:rPr>
              <w:t>2.79</w:t>
            </w:r>
          </w:p>
        </w:tc>
        <w:tc>
          <w:tcPr>
            <w:tcW w:w="2070" w:type="dxa"/>
            <w:shd w:val="clear" w:color="auto" w:fill="FFFFFF" w:themeFill="background1"/>
          </w:tcPr>
          <w:p w14:paraId="1C29935E" w14:textId="1B14CCA9" w:rsidR="007D7821" w:rsidRPr="00247D11" w:rsidRDefault="007D7821" w:rsidP="007D7821">
            <w:pPr>
              <w:spacing w:before="0" w:after="0" w:line="240" w:lineRule="auto"/>
              <w:rPr>
                <w:rFonts w:eastAsia="Times New Roman" w:cs="Times New Roman"/>
                <w:sz w:val="18"/>
                <w:szCs w:val="20"/>
              </w:rPr>
            </w:pPr>
            <w:r>
              <w:rPr>
                <w:rFonts w:eastAsia="Times New Roman" w:cs="Times New Roman"/>
                <w:sz w:val="18"/>
                <w:szCs w:val="18"/>
              </w:rPr>
              <w:t>See below.</w:t>
            </w:r>
          </w:p>
        </w:tc>
      </w:tr>
      <w:tr w:rsidR="007D7821" w:rsidRPr="00651B0E" w14:paraId="76C48892" w14:textId="77777777" w:rsidTr="00C95071">
        <w:trPr>
          <w:trHeight w:val="260"/>
        </w:trPr>
        <w:tc>
          <w:tcPr>
            <w:tcW w:w="3168" w:type="dxa"/>
            <w:shd w:val="clear" w:color="auto" w:fill="FFFFFF" w:themeFill="background1"/>
            <w:noWrap/>
            <w:vAlign w:val="center"/>
          </w:tcPr>
          <w:p w14:paraId="6A232D4F" w14:textId="77777777" w:rsidR="007D7821" w:rsidRPr="00651B0E" w:rsidRDefault="007D7821" w:rsidP="007D7821">
            <w:pPr>
              <w:spacing w:before="0" w:after="0" w:line="240" w:lineRule="auto"/>
              <w:rPr>
                <w:rFonts w:eastAsia="Times New Roman" w:cs="Times New Roman"/>
                <w:sz w:val="20"/>
                <w:szCs w:val="20"/>
              </w:rPr>
            </w:pPr>
            <w:r>
              <w:rPr>
                <w:rFonts w:eastAsia="Times New Roman" w:cs="Calibri Light"/>
                <w:sz w:val="20"/>
                <w:szCs w:val="20"/>
              </w:rPr>
              <w:t>Avg. # of Showerheads per Household(showerheads/</w:t>
            </w:r>
            <w:proofErr w:type="spellStart"/>
            <w:r>
              <w:rPr>
                <w:rFonts w:eastAsia="Times New Roman" w:cs="Calibri Light"/>
                <w:sz w:val="20"/>
                <w:szCs w:val="20"/>
              </w:rPr>
              <w:t>hh</w:t>
            </w:r>
            <w:proofErr w:type="spellEnd"/>
            <w:r>
              <w:rPr>
                <w:rFonts w:eastAsia="Times New Roman" w:cs="Calibri Light"/>
                <w:sz w:val="20"/>
                <w:szCs w:val="20"/>
              </w:rPr>
              <w:t>)</w:t>
            </w:r>
          </w:p>
        </w:tc>
        <w:tc>
          <w:tcPr>
            <w:tcW w:w="864" w:type="dxa"/>
            <w:shd w:val="clear" w:color="auto" w:fill="FFFFFF" w:themeFill="background1"/>
            <w:noWrap/>
            <w:vAlign w:val="center"/>
          </w:tcPr>
          <w:p w14:paraId="628E2E41"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2.01</w:t>
            </w:r>
          </w:p>
        </w:tc>
        <w:tc>
          <w:tcPr>
            <w:tcW w:w="864" w:type="dxa"/>
            <w:shd w:val="clear" w:color="auto" w:fill="FFFFFF" w:themeFill="background1"/>
            <w:noWrap/>
            <w:vAlign w:val="center"/>
          </w:tcPr>
          <w:p w14:paraId="03915C71"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2.01</w:t>
            </w:r>
          </w:p>
        </w:tc>
        <w:tc>
          <w:tcPr>
            <w:tcW w:w="864" w:type="dxa"/>
            <w:shd w:val="clear" w:color="auto" w:fill="FFFFFF" w:themeFill="background1"/>
            <w:noWrap/>
            <w:vAlign w:val="center"/>
          </w:tcPr>
          <w:p w14:paraId="7A9412F2"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2.01</w:t>
            </w:r>
          </w:p>
        </w:tc>
        <w:tc>
          <w:tcPr>
            <w:tcW w:w="864" w:type="dxa"/>
            <w:shd w:val="clear" w:color="auto" w:fill="FFFFFF" w:themeFill="background1"/>
            <w:vAlign w:val="center"/>
          </w:tcPr>
          <w:p w14:paraId="1DA7BB16"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2.01</w:t>
            </w:r>
          </w:p>
        </w:tc>
        <w:tc>
          <w:tcPr>
            <w:tcW w:w="864" w:type="dxa"/>
            <w:shd w:val="clear" w:color="auto" w:fill="FFFFFF" w:themeFill="background1"/>
            <w:noWrap/>
            <w:vAlign w:val="center"/>
          </w:tcPr>
          <w:p w14:paraId="46C1077E"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2.01</w:t>
            </w:r>
          </w:p>
        </w:tc>
        <w:tc>
          <w:tcPr>
            <w:tcW w:w="2070" w:type="dxa"/>
            <w:shd w:val="clear" w:color="auto" w:fill="FFFFFF" w:themeFill="background1"/>
          </w:tcPr>
          <w:p w14:paraId="76495811" w14:textId="07FC2E57" w:rsidR="007D7821" w:rsidRPr="00247D11" w:rsidRDefault="007D7821" w:rsidP="007D7821">
            <w:pPr>
              <w:spacing w:before="0" w:after="0" w:line="240" w:lineRule="auto"/>
              <w:rPr>
                <w:rFonts w:eastAsia="Times New Roman" w:cs="Times New Roman"/>
                <w:sz w:val="18"/>
                <w:szCs w:val="20"/>
              </w:rPr>
            </w:pPr>
            <w:r>
              <w:rPr>
                <w:rFonts w:eastAsia="Times New Roman" w:cs="Times New Roman"/>
                <w:sz w:val="18"/>
                <w:szCs w:val="18"/>
              </w:rPr>
              <w:t>See below.</w:t>
            </w:r>
          </w:p>
        </w:tc>
      </w:tr>
      <w:tr w:rsidR="007D7821" w:rsidRPr="00651B0E" w14:paraId="20D6F9AA" w14:textId="77777777" w:rsidTr="00C95071">
        <w:trPr>
          <w:trHeight w:val="260"/>
        </w:trPr>
        <w:tc>
          <w:tcPr>
            <w:tcW w:w="3168" w:type="dxa"/>
            <w:shd w:val="clear" w:color="auto" w:fill="FFFFFF" w:themeFill="background1"/>
            <w:noWrap/>
            <w:vAlign w:val="center"/>
          </w:tcPr>
          <w:p w14:paraId="6CB847BE" w14:textId="77777777" w:rsidR="007D7821" w:rsidRPr="00651B0E" w:rsidRDefault="007D7821" w:rsidP="007D7821">
            <w:pPr>
              <w:spacing w:before="0" w:after="0" w:line="240" w:lineRule="auto"/>
              <w:rPr>
                <w:rFonts w:eastAsia="Times New Roman" w:cs="Times New Roman"/>
                <w:sz w:val="20"/>
                <w:szCs w:val="20"/>
              </w:rPr>
            </w:pPr>
            <w:r>
              <w:rPr>
                <w:rFonts w:eastAsia="Times New Roman" w:cs="Calibri Light"/>
                <w:sz w:val="20"/>
                <w:szCs w:val="20"/>
              </w:rPr>
              <w:t>Throttling Factor (%)</w:t>
            </w:r>
          </w:p>
        </w:tc>
        <w:tc>
          <w:tcPr>
            <w:tcW w:w="864" w:type="dxa"/>
            <w:shd w:val="clear" w:color="auto" w:fill="FFFFFF" w:themeFill="background1"/>
            <w:noWrap/>
            <w:vAlign w:val="center"/>
          </w:tcPr>
          <w:p w14:paraId="74A523DB"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864" w:type="dxa"/>
            <w:shd w:val="clear" w:color="auto" w:fill="FFFFFF" w:themeFill="background1"/>
            <w:noWrap/>
            <w:vAlign w:val="center"/>
          </w:tcPr>
          <w:p w14:paraId="7E5D6EAF"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864" w:type="dxa"/>
            <w:shd w:val="clear" w:color="auto" w:fill="FFFFFF" w:themeFill="background1"/>
            <w:noWrap/>
            <w:vAlign w:val="center"/>
          </w:tcPr>
          <w:p w14:paraId="616C1F97"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864" w:type="dxa"/>
            <w:shd w:val="clear" w:color="auto" w:fill="FFFFFF" w:themeFill="background1"/>
            <w:vAlign w:val="center"/>
          </w:tcPr>
          <w:p w14:paraId="0C04D2FA"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864" w:type="dxa"/>
            <w:shd w:val="clear" w:color="auto" w:fill="FFFFFF" w:themeFill="background1"/>
            <w:noWrap/>
            <w:vAlign w:val="center"/>
          </w:tcPr>
          <w:p w14:paraId="301E829C"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2070" w:type="dxa"/>
            <w:shd w:val="clear" w:color="auto" w:fill="FFFFFF" w:themeFill="background1"/>
          </w:tcPr>
          <w:p w14:paraId="1D856095" w14:textId="708A62E5" w:rsidR="007D7821" w:rsidRPr="00247D11" w:rsidRDefault="007D7821" w:rsidP="007D7821">
            <w:pPr>
              <w:spacing w:before="0" w:after="0" w:line="240" w:lineRule="auto"/>
              <w:rPr>
                <w:rFonts w:eastAsia="Times New Roman" w:cs="Times New Roman"/>
                <w:sz w:val="18"/>
                <w:szCs w:val="20"/>
              </w:rPr>
            </w:pPr>
            <w:r>
              <w:rPr>
                <w:rFonts w:eastAsia="Times New Roman" w:cs="Times New Roman"/>
                <w:sz w:val="18"/>
                <w:szCs w:val="18"/>
              </w:rPr>
              <w:t>See below.</w:t>
            </w:r>
          </w:p>
        </w:tc>
      </w:tr>
      <w:tr w:rsidR="00C95071" w:rsidRPr="00651B0E" w14:paraId="15EEBB26" w14:textId="77777777" w:rsidTr="00C95071">
        <w:trPr>
          <w:trHeight w:val="260"/>
        </w:trPr>
        <w:tc>
          <w:tcPr>
            <w:tcW w:w="3168" w:type="dxa"/>
            <w:shd w:val="clear" w:color="auto" w:fill="FFFFFF" w:themeFill="background1"/>
            <w:noWrap/>
            <w:vAlign w:val="center"/>
          </w:tcPr>
          <w:p w14:paraId="7234B7CF" w14:textId="77777777" w:rsidR="00C95071" w:rsidRPr="00651B0E" w:rsidRDefault="00C95071" w:rsidP="00C955EC">
            <w:pPr>
              <w:spacing w:before="0" w:after="0" w:line="240" w:lineRule="auto"/>
              <w:rPr>
                <w:rFonts w:eastAsia="Times New Roman" w:cs="Times New Roman"/>
                <w:sz w:val="20"/>
                <w:szCs w:val="20"/>
              </w:rPr>
            </w:pPr>
            <w:r>
              <w:rPr>
                <w:rFonts w:eastAsia="Times New Roman" w:cs="Calibri Light"/>
                <w:sz w:val="20"/>
                <w:szCs w:val="20"/>
              </w:rPr>
              <w:t>Operating Days (days/year)</w:t>
            </w:r>
          </w:p>
        </w:tc>
        <w:tc>
          <w:tcPr>
            <w:tcW w:w="864" w:type="dxa"/>
            <w:shd w:val="clear" w:color="auto" w:fill="FFFFFF" w:themeFill="background1"/>
            <w:noWrap/>
            <w:vAlign w:val="center"/>
          </w:tcPr>
          <w:p w14:paraId="6B7C8438"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864" w:type="dxa"/>
            <w:shd w:val="clear" w:color="auto" w:fill="FFFFFF" w:themeFill="background1"/>
            <w:noWrap/>
            <w:vAlign w:val="center"/>
          </w:tcPr>
          <w:p w14:paraId="22E95AA5"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864" w:type="dxa"/>
            <w:shd w:val="clear" w:color="auto" w:fill="FFFFFF" w:themeFill="background1"/>
            <w:noWrap/>
            <w:vAlign w:val="center"/>
          </w:tcPr>
          <w:p w14:paraId="6D4740FC"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864" w:type="dxa"/>
            <w:shd w:val="clear" w:color="auto" w:fill="FFFFFF" w:themeFill="background1"/>
            <w:vAlign w:val="center"/>
          </w:tcPr>
          <w:p w14:paraId="6194E39A"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864" w:type="dxa"/>
            <w:shd w:val="clear" w:color="auto" w:fill="FFFFFF" w:themeFill="background1"/>
            <w:noWrap/>
            <w:vAlign w:val="center"/>
          </w:tcPr>
          <w:p w14:paraId="27EC860E" w14:textId="77777777" w:rsidR="00C95071" w:rsidRPr="00651B0E" w:rsidRDefault="00C95071" w:rsidP="00C955EC">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2070" w:type="dxa"/>
            <w:shd w:val="clear" w:color="auto" w:fill="FFFFFF" w:themeFill="background1"/>
            <w:vAlign w:val="center"/>
          </w:tcPr>
          <w:p w14:paraId="37DF8B46" w14:textId="77777777" w:rsidR="00C95071" w:rsidRPr="00247D11" w:rsidRDefault="00C95071" w:rsidP="00C955EC">
            <w:pPr>
              <w:spacing w:before="0" w:after="0" w:line="240" w:lineRule="auto"/>
              <w:rPr>
                <w:rFonts w:eastAsia="Times New Roman" w:cs="Times New Roman"/>
                <w:sz w:val="18"/>
                <w:szCs w:val="20"/>
              </w:rPr>
            </w:pPr>
            <w:r>
              <w:rPr>
                <w:rFonts w:eastAsia="Times New Roman" w:cs="Calibri Light"/>
                <w:color w:val="000000"/>
                <w:sz w:val="18"/>
                <w:szCs w:val="18"/>
              </w:rPr>
              <w:t>Professional judgement.</w:t>
            </w:r>
          </w:p>
        </w:tc>
      </w:tr>
      <w:tr w:rsidR="007D7821" w:rsidRPr="00651B0E" w14:paraId="168C114A" w14:textId="77777777" w:rsidTr="00F0025D">
        <w:trPr>
          <w:trHeight w:val="260"/>
        </w:trPr>
        <w:tc>
          <w:tcPr>
            <w:tcW w:w="3168" w:type="dxa"/>
            <w:shd w:val="clear" w:color="auto" w:fill="FFFFFF" w:themeFill="background1"/>
            <w:noWrap/>
            <w:vAlign w:val="center"/>
          </w:tcPr>
          <w:p w14:paraId="028E558F" w14:textId="3D415F01" w:rsidR="007D7821" w:rsidRPr="00651B0E" w:rsidRDefault="007D7821" w:rsidP="007D7821">
            <w:pPr>
              <w:spacing w:before="0" w:after="0" w:line="240" w:lineRule="auto"/>
              <w:rPr>
                <w:rFonts w:eastAsia="Times New Roman" w:cs="Times New Roman"/>
                <w:sz w:val="20"/>
                <w:szCs w:val="20"/>
              </w:rPr>
            </w:pPr>
            <w:r>
              <w:rPr>
                <w:rFonts w:eastAsia="Times New Roman" w:cs="Calibri Light"/>
                <w:sz w:val="20"/>
                <w:szCs w:val="20"/>
              </w:rPr>
              <w:t>Baseline Usage Normalization Factor</w:t>
            </w:r>
          </w:p>
        </w:tc>
        <w:tc>
          <w:tcPr>
            <w:tcW w:w="864" w:type="dxa"/>
            <w:shd w:val="clear" w:color="auto" w:fill="FFFFFF" w:themeFill="background1"/>
            <w:noWrap/>
            <w:vAlign w:val="center"/>
          </w:tcPr>
          <w:p w14:paraId="2974FDA2"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color w:val="000000"/>
                <w:sz w:val="20"/>
                <w:szCs w:val="20"/>
              </w:rPr>
              <w:t>0.670</w:t>
            </w:r>
          </w:p>
        </w:tc>
        <w:tc>
          <w:tcPr>
            <w:tcW w:w="864" w:type="dxa"/>
            <w:shd w:val="clear" w:color="auto" w:fill="FFFFFF" w:themeFill="background1"/>
            <w:noWrap/>
            <w:vAlign w:val="center"/>
          </w:tcPr>
          <w:p w14:paraId="0832E98D"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color w:val="000000"/>
                <w:sz w:val="20"/>
                <w:szCs w:val="20"/>
              </w:rPr>
              <w:t>0.670</w:t>
            </w:r>
          </w:p>
        </w:tc>
        <w:tc>
          <w:tcPr>
            <w:tcW w:w="864" w:type="dxa"/>
            <w:shd w:val="clear" w:color="auto" w:fill="FFFFFF" w:themeFill="background1"/>
            <w:noWrap/>
            <w:vAlign w:val="center"/>
          </w:tcPr>
          <w:p w14:paraId="24368B75"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color w:val="000000"/>
                <w:sz w:val="20"/>
                <w:szCs w:val="20"/>
              </w:rPr>
              <w:t>0.670</w:t>
            </w:r>
          </w:p>
        </w:tc>
        <w:tc>
          <w:tcPr>
            <w:tcW w:w="864" w:type="dxa"/>
            <w:shd w:val="clear" w:color="auto" w:fill="FFFFFF" w:themeFill="background1"/>
            <w:vAlign w:val="center"/>
          </w:tcPr>
          <w:p w14:paraId="5B90DB0C"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color w:val="000000"/>
                <w:sz w:val="20"/>
                <w:szCs w:val="20"/>
              </w:rPr>
              <w:t>0.670</w:t>
            </w:r>
          </w:p>
        </w:tc>
        <w:tc>
          <w:tcPr>
            <w:tcW w:w="864" w:type="dxa"/>
            <w:shd w:val="clear" w:color="auto" w:fill="FFFFFF" w:themeFill="background1"/>
            <w:noWrap/>
            <w:vAlign w:val="center"/>
          </w:tcPr>
          <w:p w14:paraId="5F304981"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color w:val="000000"/>
                <w:sz w:val="20"/>
                <w:szCs w:val="20"/>
              </w:rPr>
              <w:t>0.670</w:t>
            </w:r>
          </w:p>
        </w:tc>
        <w:tc>
          <w:tcPr>
            <w:tcW w:w="2070" w:type="dxa"/>
            <w:shd w:val="clear" w:color="auto" w:fill="FFFFFF" w:themeFill="background1"/>
          </w:tcPr>
          <w:p w14:paraId="5A80B427" w14:textId="443B2E23" w:rsidR="007D7821" w:rsidRPr="00535864" w:rsidRDefault="007D7821" w:rsidP="007D7821">
            <w:pPr>
              <w:spacing w:before="0" w:after="0" w:line="240" w:lineRule="auto"/>
              <w:rPr>
                <w:rFonts w:eastAsia="Times New Roman" w:cs="Times New Roman"/>
                <w:sz w:val="18"/>
                <w:szCs w:val="18"/>
              </w:rPr>
            </w:pPr>
            <w:r>
              <w:rPr>
                <w:rFonts w:eastAsia="Times New Roman" w:cs="Times New Roman"/>
                <w:sz w:val="18"/>
                <w:szCs w:val="18"/>
              </w:rPr>
              <w:t>See below.</w:t>
            </w:r>
          </w:p>
        </w:tc>
      </w:tr>
    </w:tbl>
    <w:p w14:paraId="483B3F55" w14:textId="32AE1792" w:rsidR="00C95071" w:rsidRPr="008560FF" w:rsidRDefault="00C95071" w:rsidP="00C955EC">
      <w:pPr>
        <w:pStyle w:val="Caption"/>
        <w:keepNext w:val="0"/>
        <w:keepLines w:val="0"/>
      </w:pPr>
      <w:r>
        <w:t>Measure Case Water Usage Parameters</w:t>
      </w:r>
      <w:r w:rsidRPr="008560FF">
        <w:t xml:space="preserve"> </w:t>
      </w:r>
      <w:r>
        <w:t>– Multifamily</w:t>
      </w:r>
      <w:r w:rsidR="00EE0A98">
        <w:t xml:space="preserve"> / Mobile Home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3168"/>
        <w:gridCol w:w="864"/>
        <w:gridCol w:w="864"/>
        <w:gridCol w:w="864"/>
        <w:gridCol w:w="864"/>
        <w:gridCol w:w="841"/>
        <w:gridCol w:w="2070"/>
      </w:tblGrid>
      <w:tr w:rsidR="00C95071" w:rsidRPr="00651B0E" w14:paraId="6E5184B5" w14:textId="77777777" w:rsidTr="00C95071">
        <w:trPr>
          <w:trHeight w:val="260"/>
        </w:trPr>
        <w:tc>
          <w:tcPr>
            <w:tcW w:w="3168" w:type="dxa"/>
            <w:shd w:val="clear" w:color="auto" w:fill="F2F2F2" w:themeFill="background1" w:themeFillShade="F2"/>
            <w:noWrap/>
            <w:vAlign w:val="bottom"/>
          </w:tcPr>
          <w:p w14:paraId="23F97CDE" w14:textId="77777777" w:rsidR="00C95071" w:rsidRPr="00651B0E" w:rsidRDefault="00C95071" w:rsidP="00C955EC">
            <w:pPr>
              <w:spacing w:before="0" w:after="0" w:line="240" w:lineRule="auto"/>
              <w:rPr>
                <w:rFonts w:eastAsia="Times New Roman" w:cs="Times New Roman"/>
                <w:b/>
                <w:sz w:val="20"/>
                <w:szCs w:val="20"/>
              </w:rPr>
            </w:pPr>
            <w:r>
              <w:rPr>
                <w:rFonts w:eastAsia="Times New Roman" w:cs="Times New Roman"/>
                <w:b/>
                <w:sz w:val="20"/>
                <w:szCs w:val="20"/>
              </w:rPr>
              <w:t>Parameter</w:t>
            </w:r>
          </w:p>
        </w:tc>
        <w:tc>
          <w:tcPr>
            <w:tcW w:w="4297" w:type="dxa"/>
            <w:gridSpan w:val="5"/>
            <w:shd w:val="clear" w:color="auto" w:fill="F2F2F2" w:themeFill="background1" w:themeFillShade="F2"/>
            <w:noWrap/>
            <w:vAlign w:val="bottom"/>
          </w:tcPr>
          <w:p w14:paraId="35381416" w14:textId="498051BD" w:rsidR="00C95071" w:rsidRPr="00651B0E" w:rsidRDefault="00C95071" w:rsidP="00C955EC">
            <w:pPr>
              <w:spacing w:before="0" w:after="0" w:line="240" w:lineRule="auto"/>
              <w:jc w:val="center"/>
              <w:rPr>
                <w:rFonts w:eastAsia="Times New Roman" w:cs="Times New Roman"/>
                <w:b/>
                <w:sz w:val="20"/>
                <w:szCs w:val="20"/>
              </w:rPr>
            </w:pPr>
            <w:r>
              <w:rPr>
                <w:rFonts w:eastAsia="Times New Roman" w:cs="Times New Roman"/>
                <w:b/>
                <w:sz w:val="20"/>
                <w:szCs w:val="20"/>
              </w:rPr>
              <w:t>Multifamily</w:t>
            </w:r>
            <w:r w:rsidR="00EE0A98">
              <w:rPr>
                <w:rFonts w:eastAsia="Times New Roman" w:cs="Times New Roman"/>
                <w:b/>
                <w:sz w:val="20"/>
                <w:szCs w:val="20"/>
              </w:rPr>
              <w:t xml:space="preserve"> / Mobile Home</w:t>
            </w:r>
          </w:p>
        </w:tc>
        <w:tc>
          <w:tcPr>
            <w:tcW w:w="2070" w:type="dxa"/>
            <w:shd w:val="clear" w:color="auto" w:fill="F2F2F2" w:themeFill="background1" w:themeFillShade="F2"/>
          </w:tcPr>
          <w:p w14:paraId="436755C0" w14:textId="77777777" w:rsidR="00C95071" w:rsidRPr="00651B0E" w:rsidRDefault="00C95071" w:rsidP="00C955EC">
            <w:pPr>
              <w:spacing w:before="0" w:after="0" w:line="240" w:lineRule="auto"/>
              <w:jc w:val="center"/>
              <w:rPr>
                <w:rFonts w:eastAsia="Times New Roman" w:cs="Times New Roman"/>
                <w:b/>
                <w:sz w:val="20"/>
                <w:szCs w:val="20"/>
              </w:rPr>
            </w:pPr>
            <w:r>
              <w:rPr>
                <w:rFonts w:eastAsia="Times New Roman" w:cs="Times New Roman"/>
                <w:b/>
                <w:sz w:val="20"/>
                <w:szCs w:val="20"/>
              </w:rPr>
              <w:t>Source</w:t>
            </w:r>
          </w:p>
        </w:tc>
      </w:tr>
      <w:tr w:rsidR="00C95071" w:rsidRPr="00651B0E" w14:paraId="4BA17AA0" w14:textId="77777777" w:rsidTr="007D7821">
        <w:trPr>
          <w:trHeight w:val="260"/>
        </w:trPr>
        <w:tc>
          <w:tcPr>
            <w:tcW w:w="3168" w:type="dxa"/>
            <w:shd w:val="clear" w:color="auto" w:fill="FFFFFF" w:themeFill="background1"/>
            <w:noWrap/>
            <w:vAlign w:val="center"/>
            <w:hideMark/>
          </w:tcPr>
          <w:p w14:paraId="485D0B6A" w14:textId="77777777" w:rsidR="00C95071" w:rsidRPr="00651B0E" w:rsidRDefault="00C95071" w:rsidP="00C955EC">
            <w:pPr>
              <w:spacing w:before="0" w:after="0" w:line="240" w:lineRule="auto"/>
              <w:rPr>
                <w:rFonts w:eastAsia="Times New Roman" w:cs="Times New Roman"/>
                <w:sz w:val="20"/>
                <w:szCs w:val="20"/>
              </w:rPr>
            </w:pPr>
            <w:r w:rsidRPr="00651B0E">
              <w:rPr>
                <w:rFonts w:eastAsia="Times New Roman" w:cs="Times New Roman"/>
                <w:sz w:val="20"/>
                <w:szCs w:val="20"/>
              </w:rPr>
              <w:t>Measure Case Flow Rate</w:t>
            </w:r>
            <w:r>
              <w:rPr>
                <w:rFonts w:eastAsia="Times New Roman" w:cs="Times New Roman"/>
                <w:sz w:val="20"/>
                <w:szCs w:val="20"/>
              </w:rPr>
              <w:t xml:space="preserve"> (</w:t>
            </w:r>
            <w:proofErr w:type="spellStart"/>
            <w:r>
              <w:rPr>
                <w:rFonts w:eastAsia="Times New Roman" w:cs="Times New Roman"/>
                <w:sz w:val="20"/>
                <w:szCs w:val="20"/>
              </w:rPr>
              <w:t>gpm</w:t>
            </w:r>
            <w:proofErr w:type="spellEnd"/>
            <w:r>
              <w:rPr>
                <w:rFonts w:eastAsia="Times New Roman" w:cs="Times New Roman"/>
                <w:sz w:val="20"/>
                <w:szCs w:val="20"/>
              </w:rPr>
              <w:t>)</w:t>
            </w:r>
          </w:p>
        </w:tc>
        <w:tc>
          <w:tcPr>
            <w:tcW w:w="864" w:type="dxa"/>
            <w:shd w:val="clear" w:color="auto" w:fill="FFFFFF" w:themeFill="background1"/>
            <w:noWrap/>
            <w:vAlign w:val="center"/>
          </w:tcPr>
          <w:p w14:paraId="348BBE7F"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1.00</w:t>
            </w:r>
          </w:p>
        </w:tc>
        <w:tc>
          <w:tcPr>
            <w:tcW w:w="864" w:type="dxa"/>
            <w:shd w:val="clear" w:color="auto" w:fill="FFFFFF" w:themeFill="background1"/>
            <w:noWrap/>
            <w:vAlign w:val="center"/>
          </w:tcPr>
          <w:p w14:paraId="7017D192"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1.25</w:t>
            </w:r>
          </w:p>
        </w:tc>
        <w:tc>
          <w:tcPr>
            <w:tcW w:w="864" w:type="dxa"/>
            <w:shd w:val="clear" w:color="auto" w:fill="FFFFFF" w:themeFill="background1"/>
            <w:noWrap/>
            <w:vAlign w:val="center"/>
          </w:tcPr>
          <w:p w14:paraId="5CCFBA29"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1.50</w:t>
            </w:r>
          </w:p>
        </w:tc>
        <w:tc>
          <w:tcPr>
            <w:tcW w:w="864" w:type="dxa"/>
            <w:shd w:val="clear" w:color="auto" w:fill="FFFFFF" w:themeFill="background1"/>
            <w:vAlign w:val="center"/>
          </w:tcPr>
          <w:p w14:paraId="282594EE"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1.60</w:t>
            </w:r>
          </w:p>
        </w:tc>
        <w:tc>
          <w:tcPr>
            <w:tcW w:w="841" w:type="dxa"/>
            <w:shd w:val="clear" w:color="auto" w:fill="FFFFFF" w:themeFill="background1"/>
            <w:noWrap/>
            <w:vAlign w:val="center"/>
          </w:tcPr>
          <w:p w14:paraId="44CF46BA"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1.70</w:t>
            </w:r>
          </w:p>
        </w:tc>
        <w:tc>
          <w:tcPr>
            <w:tcW w:w="2070" w:type="dxa"/>
            <w:shd w:val="clear" w:color="auto" w:fill="FFFFFF" w:themeFill="background1"/>
            <w:vAlign w:val="center"/>
          </w:tcPr>
          <w:p w14:paraId="5ED9265C" w14:textId="77777777" w:rsidR="00C95071" w:rsidRPr="00247D11" w:rsidRDefault="00C95071" w:rsidP="00C955EC">
            <w:pPr>
              <w:spacing w:before="0" w:after="0" w:line="240" w:lineRule="auto"/>
              <w:rPr>
                <w:rFonts w:eastAsia="Times New Roman" w:cs="Times New Roman"/>
                <w:sz w:val="18"/>
                <w:szCs w:val="20"/>
              </w:rPr>
            </w:pPr>
            <w:r>
              <w:rPr>
                <w:rFonts w:eastAsia="Times New Roman" w:cs="Times New Roman"/>
                <w:sz w:val="18"/>
                <w:szCs w:val="20"/>
              </w:rPr>
              <w:t>-</w:t>
            </w:r>
          </w:p>
        </w:tc>
      </w:tr>
      <w:tr w:rsidR="007D7821" w:rsidRPr="00651B0E" w14:paraId="18CABC4B" w14:textId="77777777" w:rsidTr="007D7821">
        <w:trPr>
          <w:trHeight w:val="260"/>
        </w:trPr>
        <w:tc>
          <w:tcPr>
            <w:tcW w:w="3168" w:type="dxa"/>
            <w:shd w:val="clear" w:color="auto" w:fill="FFFFFF" w:themeFill="background1"/>
            <w:noWrap/>
            <w:vAlign w:val="center"/>
          </w:tcPr>
          <w:p w14:paraId="0CEA38D9" w14:textId="77777777" w:rsidR="007D7821" w:rsidRPr="00651B0E" w:rsidRDefault="007D7821" w:rsidP="007D7821">
            <w:pPr>
              <w:spacing w:before="0" w:after="0" w:line="240" w:lineRule="auto"/>
              <w:rPr>
                <w:rFonts w:eastAsia="Times New Roman" w:cs="Times New Roman"/>
                <w:sz w:val="20"/>
                <w:szCs w:val="20"/>
              </w:rPr>
            </w:pPr>
            <w:r w:rsidRPr="002D723D">
              <w:rPr>
                <w:rFonts w:eastAsia="Times New Roman" w:cs="Calibri Light"/>
                <w:sz w:val="20"/>
                <w:szCs w:val="20"/>
              </w:rPr>
              <w:t xml:space="preserve">Average </w:t>
            </w:r>
            <w:r>
              <w:rPr>
                <w:rFonts w:eastAsia="Times New Roman" w:cs="Calibri Light"/>
                <w:sz w:val="20"/>
                <w:szCs w:val="20"/>
              </w:rPr>
              <w:t>Shower Time (min/shower)</w:t>
            </w:r>
          </w:p>
        </w:tc>
        <w:tc>
          <w:tcPr>
            <w:tcW w:w="864" w:type="dxa"/>
            <w:shd w:val="clear" w:color="auto" w:fill="FFFFFF" w:themeFill="background1"/>
            <w:noWrap/>
            <w:vAlign w:val="center"/>
          </w:tcPr>
          <w:p w14:paraId="1093A5D1"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7.4</w:t>
            </w:r>
          </w:p>
        </w:tc>
        <w:tc>
          <w:tcPr>
            <w:tcW w:w="864" w:type="dxa"/>
            <w:shd w:val="clear" w:color="auto" w:fill="FFFFFF" w:themeFill="background1"/>
            <w:noWrap/>
            <w:vAlign w:val="center"/>
          </w:tcPr>
          <w:p w14:paraId="0B4CF342" w14:textId="77777777" w:rsidR="007D7821" w:rsidRPr="00651B0E" w:rsidRDefault="007D7821" w:rsidP="007D7821">
            <w:pPr>
              <w:spacing w:before="0" w:after="0" w:line="240" w:lineRule="auto"/>
              <w:jc w:val="right"/>
              <w:rPr>
                <w:rFonts w:eastAsia="Times New Roman" w:cs="Times New Roman"/>
                <w:sz w:val="20"/>
                <w:szCs w:val="20"/>
              </w:rPr>
            </w:pPr>
            <w:r w:rsidRPr="00B42382">
              <w:rPr>
                <w:rFonts w:eastAsia="Times New Roman" w:cs="Times New Roman"/>
                <w:sz w:val="20"/>
                <w:szCs w:val="20"/>
              </w:rPr>
              <w:t>7.4</w:t>
            </w:r>
          </w:p>
        </w:tc>
        <w:tc>
          <w:tcPr>
            <w:tcW w:w="864" w:type="dxa"/>
            <w:shd w:val="clear" w:color="auto" w:fill="FFFFFF" w:themeFill="background1"/>
            <w:noWrap/>
            <w:vAlign w:val="center"/>
          </w:tcPr>
          <w:p w14:paraId="221CE486" w14:textId="77777777" w:rsidR="007D7821" w:rsidRPr="00651B0E" w:rsidRDefault="007D7821" w:rsidP="007D7821">
            <w:pPr>
              <w:spacing w:before="0" w:after="0" w:line="240" w:lineRule="auto"/>
              <w:jc w:val="right"/>
              <w:rPr>
                <w:rFonts w:eastAsia="Times New Roman" w:cs="Times New Roman"/>
                <w:sz w:val="20"/>
                <w:szCs w:val="20"/>
              </w:rPr>
            </w:pPr>
            <w:r w:rsidRPr="00B42382">
              <w:rPr>
                <w:rFonts w:eastAsia="Times New Roman" w:cs="Times New Roman"/>
                <w:sz w:val="20"/>
                <w:szCs w:val="20"/>
              </w:rPr>
              <w:t>7.4</w:t>
            </w:r>
          </w:p>
        </w:tc>
        <w:tc>
          <w:tcPr>
            <w:tcW w:w="864" w:type="dxa"/>
            <w:shd w:val="clear" w:color="auto" w:fill="FFFFFF" w:themeFill="background1"/>
            <w:vAlign w:val="center"/>
          </w:tcPr>
          <w:p w14:paraId="4977AF56" w14:textId="77777777" w:rsidR="007D7821" w:rsidRPr="00651B0E" w:rsidRDefault="007D7821" w:rsidP="007D7821">
            <w:pPr>
              <w:spacing w:before="0" w:after="0" w:line="240" w:lineRule="auto"/>
              <w:jc w:val="right"/>
              <w:rPr>
                <w:rFonts w:eastAsia="Times New Roman" w:cs="Times New Roman"/>
                <w:sz w:val="20"/>
                <w:szCs w:val="20"/>
              </w:rPr>
            </w:pPr>
            <w:r w:rsidRPr="00B42382">
              <w:rPr>
                <w:rFonts w:eastAsia="Times New Roman" w:cs="Times New Roman"/>
                <w:sz w:val="20"/>
                <w:szCs w:val="20"/>
              </w:rPr>
              <w:t>7.4</w:t>
            </w:r>
          </w:p>
        </w:tc>
        <w:tc>
          <w:tcPr>
            <w:tcW w:w="841" w:type="dxa"/>
            <w:shd w:val="clear" w:color="auto" w:fill="FFFFFF" w:themeFill="background1"/>
            <w:noWrap/>
            <w:vAlign w:val="center"/>
          </w:tcPr>
          <w:p w14:paraId="0F8E5B19" w14:textId="77777777" w:rsidR="007D7821" w:rsidRPr="00651B0E" w:rsidRDefault="007D7821" w:rsidP="007D7821">
            <w:pPr>
              <w:spacing w:before="0" w:after="0" w:line="240" w:lineRule="auto"/>
              <w:jc w:val="right"/>
              <w:rPr>
                <w:rFonts w:eastAsia="Times New Roman" w:cs="Times New Roman"/>
                <w:sz w:val="20"/>
                <w:szCs w:val="20"/>
              </w:rPr>
            </w:pPr>
            <w:r w:rsidRPr="00B42382">
              <w:rPr>
                <w:rFonts w:eastAsia="Times New Roman" w:cs="Times New Roman"/>
                <w:sz w:val="20"/>
                <w:szCs w:val="20"/>
              </w:rPr>
              <w:t>7.4</w:t>
            </w:r>
          </w:p>
        </w:tc>
        <w:tc>
          <w:tcPr>
            <w:tcW w:w="2070" w:type="dxa"/>
            <w:shd w:val="clear" w:color="auto" w:fill="FFFFFF" w:themeFill="background1"/>
          </w:tcPr>
          <w:p w14:paraId="6349944A" w14:textId="6081E2AC" w:rsidR="007D7821" w:rsidRPr="007A6EB6" w:rsidRDefault="007D7821" w:rsidP="007D7821">
            <w:pPr>
              <w:spacing w:before="0" w:after="0" w:line="240" w:lineRule="auto"/>
              <w:rPr>
                <w:rFonts w:eastAsia="Times New Roman" w:cs="Times New Roman"/>
                <w:sz w:val="18"/>
                <w:szCs w:val="20"/>
              </w:rPr>
            </w:pPr>
            <w:r>
              <w:rPr>
                <w:rFonts w:eastAsia="Times New Roman" w:cs="Times New Roman"/>
                <w:sz w:val="18"/>
                <w:szCs w:val="18"/>
              </w:rPr>
              <w:t>See below.</w:t>
            </w:r>
          </w:p>
        </w:tc>
      </w:tr>
      <w:tr w:rsidR="007D7821" w:rsidRPr="00651B0E" w14:paraId="65FA2E5A" w14:textId="77777777" w:rsidTr="007D7821">
        <w:trPr>
          <w:trHeight w:val="260"/>
        </w:trPr>
        <w:tc>
          <w:tcPr>
            <w:tcW w:w="3168" w:type="dxa"/>
            <w:shd w:val="clear" w:color="auto" w:fill="FFFFFF" w:themeFill="background1"/>
            <w:noWrap/>
            <w:vAlign w:val="center"/>
          </w:tcPr>
          <w:p w14:paraId="34A641D1" w14:textId="09043A6E" w:rsidR="007D7821" w:rsidRPr="00651B0E" w:rsidRDefault="007D7821" w:rsidP="007D7821">
            <w:pPr>
              <w:spacing w:before="0" w:after="0" w:line="240" w:lineRule="auto"/>
              <w:rPr>
                <w:rFonts w:eastAsia="Times New Roman" w:cs="Times New Roman"/>
                <w:sz w:val="20"/>
                <w:szCs w:val="20"/>
              </w:rPr>
            </w:pPr>
            <w:r>
              <w:rPr>
                <w:rFonts w:eastAsia="Times New Roman" w:cs="Calibri Light"/>
                <w:sz w:val="20"/>
                <w:szCs w:val="20"/>
              </w:rPr>
              <w:t>Avg. #</w:t>
            </w:r>
            <w:r w:rsidRPr="002D723D">
              <w:rPr>
                <w:rFonts w:eastAsia="Times New Roman" w:cs="Calibri Light"/>
                <w:sz w:val="20"/>
                <w:szCs w:val="20"/>
              </w:rPr>
              <w:t xml:space="preserve"> of </w:t>
            </w:r>
            <w:r>
              <w:rPr>
                <w:rFonts w:eastAsia="Times New Roman" w:cs="Calibri Light"/>
                <w:sz w:val="20"/>
                <w:szCs w:val="20"/>
              </w:rPr>
              <w:t>Showers Taken per Day Per Household (showers/day/</w:t>
            </w:r>
            <w:proofErr w:type="spellStart"/>
            <w:r>
              <w:rPr>
                <w:rFonts w:eastAsia="Times New Roman" w:cs="Calibri Light"/>
                <w:sz w:val="20"/>
                <w:szCs w:val="20"/>
              </w:rPr>
              <w:t>hh</w:t>
            </w:r>
            <w:proofErr w:type="spellEnd"/>
            <w:r>
              <w:rPr>
                <w:rFonts w:eastAsia="Times New Roman" w:cs="Calibri Light"/>
                <w:sz w:val="20"/>
                <w:szCs w:val="20"/>
              </w:rPr>
              <w:t>)</w:t>
            </w:r>
          </w:p>
        </w:tc>
        <w:tc>
          <w:tcPr>
            <w:tcW w:w="864" w:type="dxa"/>
            <w:shd w:val="clear" w:color="auto" w:fill="FFFFFF" w:themeFill="background1"/>
            <w:noWrap/>
            <w:vAlign w:val="center"/>
          </w:tcPr>
          <w:p w14:paraId="6937CE15"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2.22</w:t>
            </w:r>
          </w:p>
        </w:tc>
        <w:tc>
          <w:tcPr>
            <w:tcW w:w="864" w:type="dxa"/>
            <w:shd w:val="clear" w:color="auto" w:fill="FFFFFF" w:themeFill="background1"/>
            <w:noWrap/>
            <w:vAlign w:val="center"/>
          </w:tcPr>
          <w:p w14:paraId="1CE9EFB2"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2.22</w:t>
            </w:r>
          </w:p>
        </w:tc>
        <w:tc>
          <w:tcPr>
            <w:tcW w:w="864" w:type="dxa"/>
            <w:shd w:val="clear" w:color="auto" w:fill="FFFFFF" w:themeFill="background1"/>
            <w:noWrap/>
            <w:vAlign w:val="center"/>
          </w:tcPr>
          <w:p w14:paraId="559D4100"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2.22</w:t>
            </w:r>
          </w:p>
        </w:tc>
        <w:tc>
          <w:tcPr>
            <w:tcW w:w="864" w:type="dxa"/>
            <w:shd w:val="clear" w:color="auto" w:fill="FFFFFF" w:themeFill="background1"/>
            <w:vAlign w:val="center"/>
          </w:tcPr>
          <w:p w14:paraId="0CD385D4"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2.22</w:t>
            </w:r>
          </w:p>
        </w:tc>
        <w:tc>
          <w:tcPr>
            <w:tcW w:w="841" w:type="dxa"/>
            <w:shd w:val="clear" w:color="auto" w:fill="FFFFFF" w:themeFill="background1"/>
            <w:noWrap/>
            <w:vAlign w:val="center"/>
          </w:tcPr>
          <w:p w14:paraId="29C1CDEA"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2.22</w:t>
            </w:r>
          </w:p>
        </w:tc>
        <w:tc>
          <w:tcPr>
            <w:tcW w:w="2070" w:type="dxa"/>
            <w:shd w:val="clear" w:color="auto" w:fill="FFFFFF" w:themeFill="background1"/>
          </w:tcPr>
          <w:p w14:paraId="0B0550D2" w14:textId="7B4B789B" w:rsidR="007D7821" w:rsidRPr="00247D11" w:rsidRDefault="007D7821" w:rsidP="007D7821">
            <w:pPr>
              <w:spacing w:before="0" w:after="0" w:line="240" w:lineRule="auto"/>
              <w:rPr>
                <w:rFonts w:eastAsia="Times New Roman" w:cs="Times New Roman"/>
                <w:sz w:val="18"/>
                <w:szCs w:val="20"/>
              </w:rPr>
            </w:pPr>
            <w:r>
              <w:rPr>
                <w:rFonts w:eastAsia="Times New Roman" w:cs="Times New Roman"/>
                <w:sz w:val="18"/>
                <w:szCs w:val="18"/>
              </w:rPr>
              <w:t>See below.</w:t>
            </w:r>
          </w:p>
        </w:tc>
      </w:tr>
      <w:tr w:rsidR="007D7821" w:rsidRPr="00651B0E" w14:paraId="36F43474" w14:textId="77777777" w:rsidTr="007D7821">
        <w:trPr>
          <w:trHeight w:val="260"/>
        </w:trPr>
        <w:tc>
          <w:tcPr>
            <w:tcW w:w="3168" w:type="dxa"/>
            <w:shd w:val="clear" w:color="auto" w:fill="FFFFFF" w:themeFill="background1"/>
            <w:noWrap/>
            <w:vAlign w:val="center"/>
          </w:tcPr>
          <w:p w14:paraId="49D11706" w14:textId="44B541C3" w:rsidR="007D7821" w:rsidRPr="00651B0E" w:rsidRDefault="007D7821" w:rsidP="007D7821">
            <w:pPr>
              <w:spacing w:before="0" w:after="0" w:line="240" w:lineRule="auto"/>
              <w:rPr>
                <w:rFonts w:eastAsia="Times New Roman" w:cs="Times New Roman"/>
                <w:sz w:val="20"/>
                <w:szCs w:val="20"/>
              </w:rPr>
            </w:pPr>
            <w:r>
              <w:rPr>
                <w:rFonts w:eastAsia="Times New Roman" w:cs="Calibri Light"/>
                <w:sz w:val="20"/>
                <w:szCs w:val="20"/>
              </w:rPr>
              <w:t>Avg. # of Showerheads per Household (showerheads/</w:t>
            </w:r>
            <w:proofErr w:type="spellStart"/>
            <w:r>
              <w:rPr>
                <w:rFonts w:eastAsia="Times New Roman" w:cs="Calibri Light"/>
                <w:sz w:val="20"/>
                <w:szCs w:val="20"/>
              </w:rPr>
              <w:t>hh</w:t>
            </w:r>
            <w:proofErr w:type="spellEnd"/>
            <w:r>
              <w:rPr>
                <w:rFonts w:eastAsia="Times New Roman" w:cs="Calibri Light"/>
                <w:sz w:val="20"/>
                <w:szCs w:val="20"/>
              </w:rPr>
              <w:t>)</w:t>
            </w:r>
          </w:p>
        </w:tc>
        <w:tc>
          <w:tcPr>
            <w:tcW w:w="864" w:type="dxa"/>
            <w:shd w:val="clear" w:color="auto" w:fill="FFFFFF" w:themeFill="background1"/>
            <w:noWrap/>
            <w:vAlign w:val="center"/>
          </w:tcPr>
          <w:p w14:paraId="756D2355"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1.50</w:t>
            </w:r>
          </w:p>
        </w:tc>
        <w:tc>
          <w:tcPr>
            <w:tcW w:w="864" w:type="dxa"/>
            <w:shd w:val="clear" w:color="auto" w:fill="FFFFFF" w:themeFill="background1"/>
            <w:noWrap/>
            <w:vAlign w:val="center"/>
          </w:tcPr>
          <w:p w14:paraId="76F17221"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1.50</w:t>
            </w:r>
          </w:p>
        </w:tc>
        <w:tc>
          <w:tcPr>
            <w:tcW w:w="864" w:type="dxa"/>
            <w:shd w:val="clear" w:color="auto" w:fill="FFFFFF" w:themeFill="background1"/>
            <w:noWrap/>
            <w:vAlign w:val="center"/>
          </w:tcPr>
          <w:p w14:paraId="27B45EBD"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1.50</w:t>
            </w:r>
          </w:p>
        </w:tc>
        <w:tc>
          <w:tcPr>
            <w:tcW w:w="864" w:type="dxa"/>
            <w:shd w:val="clear" w:color="auto" w:fill="FFFFFF" w:themeFill="background1"/>
            <w:vAlign w:val="center"/>
          </w:tcPr>
          <w:p w14:paraId="4DA35126"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1.50</w:t>
            </w:r>
          </w:p>
        </w:tc>
        <w:tc>
          <w:tcPr>
            <w:tcW w:w="841" w:type="dxa"/>
            <w:shd w:val="clear" w:color="auto" w:fill="FFFFFF" w:themeFill="background1"/>
            <w:noWrap/>
            <w:vAlign w:val="center"/>
          </w:tcPr>
          <w:p w14:paraId="0D6D0C81"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Times New Roman"/>
                <w:sz w:val="20"/>
                <w:szCs w:val="20"/>
              </w:rPr>
              <w:t>1.50</w:t>
            </w:r>
          </w:p>
        </w:tc>
        <w:tc>
          <w:tcPr>
            <w:tcW w:w="2070" w:type="dxa"/>
            <w:shd w:val="clear" w:color="auto" w:fill="FFFFFF" w:themeFill="background1"/>
          </w:tcPr>
          <w:p w14:paraId="2B856158" w14:textId="658AFFAA" w:rsidR="007D7821" w:rsidRPr="00247D11" w:rsidRDefault="007D7821" w:rsidP="007D7821">
            <w:pPr>
              <w:spacing w:before="0" w:after="0" w:line="240" w:lineRule="auto"/>
              <w:rPr>
                <w:rFonts w:eastAsia="Times New Roman" w:cs="Times New Roman"/>
                <w:sz w:val="18"/>
                <w:szCs w:val="20"/>
              </w:rPr>
            </w:pPr>
            <w:r>
              <w:rPr>
                <w:rFonts w:eastAsia="Times New Roman" w:cs="Times New Roman"/>
                <w:sz w:val="18"/>
                <w:szCs w:val="18"/>
              </w:rPr>
              <w:t>See below.</w:t>
            </w:r>
          </w:p>
        </w:tc>
      </w:tr>
      <w:tr w:rsidR="007D7821" w:rsidRPr="00651B0E" w14:paraId="77790836" w14:textId="77777777" w:rsidTr="007D7821">
        <w:trPr>
          <w:trHeight w:val="260"/>
        </w:trPr>
        <w:tc>
          <w:tcPr>
            <w:tcW w:w="3168" w:type="dxa"/>
            <w:shd w:val="clear" w:color="auto" w:fill="FFFFFF" w:themeFill="background1"/>
            <w:noWrap/>
            <w:vAlign w:val="center"/>
          </w:tcPr>
          <w:p w14:paraId="518D048E" w14:textId="77777777" w:rsidR="007D7821" w:rsidRPr="00651B0E" w:rsidRDefault="007D7821" w:rsidP="007D7821">
            <w:pPr>
              <w:spacing w:before="0" w:after="0" w:line="240" w:lineRule="auto"/>
              <w:rPr>
                <w:rFonts w:eastAsia="Times New Roman" w:cs="Times New Roman"/>
                <w:sz w:val="20"/>
                <w:szCs w:val="20"/>
              </w:rPr>
            </w:pPr>
            <w:r>
              <w:rPr>
                <w:rFonts w:eastAsia="Times New Roman" w:cs="Calibri Light"/>
                <w:sz w:val="20"/>
                <w:szCs w:val="20"/>
              </w:rPr>
              <w:t>Throttling Factor (%)</w:t>
            </w:r>
          </w:p>
        </w:tc>
        <w:tc>
          <w:tcPr>
            <w:tcW w:w="864" w:type="dxa"/>
            <w:shd w:val="clear" w:color="auto" w:fill="FFFFFF" w:themeFill="background1"/>
            <w:noWrap/>
            <w:vAlign w:val="center"/>
          </w:tcPr>
          <w:p w14:paraId="29F4A131"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864" w:type="dxa"/>
            <w:shd w:val="clear" w:color="auto" w:fill="FFFFFF" w:themeFill="background1"/>
            <w:noWrap/>
            <w:vAlign w:val="center"/>
          </w:tcPr>
          <w:p w14:paraId="28D893F8"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864" w:type="dxa"/>
            <w:shd w:val="clear" w:color="auto" w:fill="FFFFFF" w:themeFill="background1"/>
            <w:noWrap/>
            <w:vAlign w:val="center"/>
          </w:tcPr>
          <w:p w14:paraId="17B1494B"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864" w:type="dxa"/>
            <w:shd w:val="clear" w:color="auto" w:fill="FFFFFF" w:themeFill="background1"/>
            <w:vAlign w:val="center"/>
          </w:tcPr>
          <w:p w14:paraId="07557E91"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841" w:type="dxa"/>
            <w:shd w:val="clear" w:color="auto" w:fill="FFFFFF" w:themeFill="background1"/>
            <w:noWrap/>
            <w:vAlign w:val="center"/>
          </w:tcPr>
          <w:p w14:paraId="75E53C9E" w14:textId="77777777" w:rsidR="007D7821" w:rsidRPr="00651B0E" w:rsidRDefault="007D7821" w:rsidP="007D7821">
            <w:pPr>
              <w:spacing w:before="0" w:after="0" w:line="240" w:lineRule="auto"/>
              <w:jc w:val="right"/>
              <w:rPr>
                <w:rFonts w:eastAsia="Times New Roman" w:cs="Times New Roman"/>
                <w:sz w:val="20"/>
                <w:szCs w:val="20"/>
              </w:rPr>
            </w:pPr>
            <w:r>
              <w:rPr>
                <w:rFonts w:eastAsia="Times New Roman" w:cs="Calibri Light"/>
                <w:sz w:val="20"/>
                <w:szCs w:val="20"/>
              </w:rPr>
              <w:t>90%</w:t>
            </w:r>
          </w:p>
        </w:tc>
        <w:tc>
          <w:tcPr>
            <w:tcW w:w="2070" w:type="dxa"/>
            <w:shd w:val="clear" w:color="auto" w:fill="FFFFFF" w:themeFill="background1"/>
          </w:tcPr>
          <w:p w14:paraId="76535F39" w14:textId="425F7666" w:rsidR="007D7821" w:rsidRPr="00247D11" w:rsidRDefault="007D7821" w:rsidP="007D7821">
            <w:pPr>
              <w:spacing w:before="0" w:after="0" w:line="240" w:lineRule="auto"/>
              <w:rPr>
                <w:rFonts w:eastAsia="Times New Roman" w:cs="Times New Roman"/>
                <w:sz w:val="18"/>
                <w:szCs w:val="20"/>
              </w:rPr>
            </w:pPr>
            <w:r>
              <w:rPr>
                <w:rFonts w:eastAsia="Times New Roman" w:cs="Times New Roman"/>
                <w:sz w:val="18"/>
                <w:szCs w:val="18"/>
              </w:rPr>
              <w:t>See below.</w:t>
            </w:r>
          </w:p>
        </w:tc>
      </w:tr>
      <w:tr w:rsidR="00C95071" w:rsidRPr="00651B0E" w14:paraId="14E09350" w14:textId="77777777" w:rsidTr="007D7821">
        <w:trPr>
          <w:trHeight w:val="260"/>
        </w:trPr>
        <w:tc>
          <w:tcPr>
            <w:tcW w:w="3168" w:type="dxa"/>
            <w:shd w:val="clear" w:color="auto" w:fill="FFFFFF" w:themeFill="background1"/>
            <w:noWrap/>
            <w:vAlign w:val="center"/>
          </w:tcPr>
          <w:p w14:paraId="793CFF38" w14:textId="77777777" w:rsidR="00C95071" w:rsidRPr="00651B0E" w:rsidRDefault="00C95071" w:rsidP="00C955EC">
            <w:pPr>
              <w:spacing w:before="0" w:after="0" w:line="240" w:lineRule="auto"/>
              <w:rPr>
                <w:rFonts w:eastAsia="Times New Roman" w:cs="Times New Roman"/>
                <w:sz w:val="20"/>
                <w:szCs w:val="20"/>
              </w:rPr>
            </w:pPr>
            <w:r>
              <w:rPr>
                <w:rFonts w:eastAsia="Times New Roman" w:cs="Calibri Light"/>
                <w:sz w:val="20"/>
                <w:szCs w:val="20"/>
              </w:rPr>
              <w:t>Operating Days (days/year)</w:t>
            </w:r>
          </w:p>
        </w:tc>
        <w:tc>
          <w:tcPr>
            <w:tcW w:w="864" w:type="dxa"/>
            <w:shd w:val="clear" w:color="auto" w:fill="FFFFFF" w:themeFill="background1"/>
            <w:noWrap/>
            <w:vAlign w:val="center"/>
          </w:tcPr>
          <w:p w14:paraId="3417EE12"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864" w:type="dxa"/>
            <w:shd w:val="clear" w:color="auto" w:fill="FFFFFF" w:themeFill="background1"/>
            <w:noWrap/>
            <w:vAlign w:val="center"/>
          </w:tcPr>
          <w:p w14:paraId="15150394"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864" w:type="dxa"/>
            <w:shd w:val="clear" w:color="auto" w:fill="FFFFFF" w:themeFill="background1"/>
            <w:noWrap/>
            <w:vAlign w:val="center"/>
          </w:tcPr>
          <w:p w14:paraId="623712D7"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864" w:type="dxa"/>
            <w:shd w:val="clear" w:color="auto" w:fill="FFFFFF" w:themeFill="background1"/>
            <w:vAlign w:val="center"/>
          </w:tcPr>
          <w:p w14:paraId="75DAA648"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841" w:type="dxa"/>
            <w:shd w:val="clear" w:color="auto" w:fill="FFFFFF" w:themeFill="background1"/>
            <w:noWrap/>
            <w:vAlign w:val="center"/>
          </w:tcPr>
          <w:p w14:paraId="602A12BD" w14:textId="77777777" w:rsidR="00C95071" w:rsidRPr="00651B0E" w:rsidRDefault="00C95071" w:rsidP="007D7821">
            <w:pPr>
              <w:spacing w:before="0" w:after="0" w:line="240" w:lineRule="auto"/>
              <w:jc w:val="right"/>
              <w:rPr>
                <w:rFonts w:eastAsia="Times New Roman" w:cs="Times New Roman"/>
                <w:sz w:val="20"/>
                <w:szCs w:val="20"/>
              </w:rPr>
            </w:pPr>
            <w:r>
              <w:rPr>
                <w:rFonts w:eastAsia="Times New Roman" w:cs="Times New Roman"/>
                <w:sz w:val="20"/>
                <w:szCs w:val="20"/>
              </w:rPr>
              <w:t>365</w:t>
            </w:r>
          </w:p>
        </w:tc>
        <w:tc>
          <w:tcPr>
            <w:tcW w:w="2070" w:type="dxa"/>
            <w:shd w:val="clear" w:color="auto" w:fill="FFFFFF" w:themeFill="background1"/>
            <w:vAlign w:val="center"/>
          </w:tcPr>
          <w:p w14:paraId="491DBCCB" w14:textId="77777777" w:rsidR="00C95071" w:rsidRPr="00247D11" w:rsidRDefault="00C95071" w:rsidP="00C955EC">
            <w:pPr>
              <w:spacing w:before="0" w:after="0" w:line="240" w:lineRule="auto"/>
              <w:rPr>
                <w:rFonts w:eastAsia="Times New Roman" w:cs="Times New Roman"/>
                <w:sz w:val="18"/>
                <w:szCs w:val="20"/>
              </w:rPr>
            </w:pPr>
            <w:r>
              <w:rPr>
                <w:rFonts w:eastAsia="Times New Roman" w:cs="Calibri Light"/>
                <w:color w:val="000000"/>
                <w:sz w:val="18"/>
                <w:szCs w:val="18"/>
              </w:rPr>
              <w:t>Professional judgement.</w:t>
            </w:r>
          </w:p>
        </w:tc>
      </w:tr>
      <w:tr w:rsidR="007D7821" w:rsidRPr="00651B0E" w14:paraId="46AD5CEA" w14:textId="77777777" w:rsidTr="00F0025D">
        <w:trPr>
          <w:trHeight w:val="260"/>
        </w:trPr>
        <w:tc>
          <w:tcPr>
            <w:tcW w:w="3168" w:type="dxa"/>
            <w:shd w:val="clear" w:color="auto" w:fill="FFFFFF" w:themeFill="background1"/>
            <w:noWrap/>
            <w:vAlign w:val="center"/>
          </w:tcPr>
          <w:p w14:paraId="06801632" w14:textId="0FD770E3" w:rsidR="007D7821" w:rsidRPr="00651B0E" w:rsidRDefault="007D7821" w:rsidP="007D7821">
            <w:pPr>
              <w:spacing w:before="0" w:after="0" w:line="240" w:lineRule="auto"/>
              <w:rPr>
                <w:rFonts w:eastAsia="Times New Roman" w:cs="Times New Roman"/>
                <w:sz w:val="20"/>
                <w:szCs w:val="20"/>
              </w:rPr>
            </w:pPr>
            <w:r>
              <w:rPr>
                <w:rFonts w:eastAsia="Times New Roman" w:cs="Calibri Light"/>
                <w:sz w:val="20"/>
                <w:szCs w:val="20"/>
              </w:rPr>
              <w:t>Baseline Usage Normalization Factor</w:t>
            </w:r>
          </w:p>
        </w:tc>
        <w:tc>
          <w:tcPr>
            <w:tcW w:w="864" w:type="dxa"/>
            <w:shd w:val="clear" w:color="auto" w:fill="FFFFFF" w:themeFill="background1"/>
            <w:noWrap/>
            <w:vAlign w:val="center"/>
          </w:tcPr>
          <w:p w14:paraId="7AE01D21" w14:textId="77777777" w:rsidR="007D7821" w:rsidRPr="00651B0E" w:rsidRDefault="007D7821" w:rsidP="007D7821">
            <w:pPr>
              <w:spacing w:before="0" w:after="0" w:line="240" w:lineRule="auto"/>
              <w:jc w:val="right"/>
              <w:rPr>
                <w:rFonts w:eastAsia="Times New Roman" w:cs="Times New Roman"/>
                <w:sz w:val="20"/>
                <w:szCs w:val="20"/>
              </w:rPr>
            </w:pPr>
            <w:r w:rsidRPr="00D62C76">
              <w:rPr>
                <w:rFonts w:eastAsia="Times New Roman" w:cs="Calibri Light"/>
                <w:color w:val="000000"/>
                <w:sz w:val="20"/>
                <w:szCs w:val="20"/>
              </w:rPr>
              <w:t>0.702</w:t>
            </w:r>
          </w:p>
        </w:tc>
        <w:tc>
          <w:tcPr>
            <w:tcW w:w="864" w:type="dxa"/>
            <w:shd w:val="clear" w:color="auto" w:fill="FFFFFF" w:themeFill="background1"/>
            <w:noWrap/>
            <w:vAlign w:val="center"/>
          </w:tcPr>
          <w:p w14:paraId="02CA7833" w14:textId="77777777" w:rsidR="007D7821" w:rsidRPr="00651B0E" w:rsidRDefault="007D7821" w:rsidP="007D7821">
            <w:pPr>
              <w:spacing w:before="0" w:after="0" w:line="240" w:lineRule="auto"/>
              <w:jc w:val="right"/>
              <w:rPr>
                <w:rFonts w:eastAsia="Times New Roman" w:cs="Times New Roman"/>
                <w:sz w:val="20"/>
                <w:szCs w:val="20"/>
              </w:rPr>
            </w:pPr>
            <w:r w:rsidRPr="00D62C76">
              <w:rPr>
                <w:rFonts w:eastAsia="Times New Roman" w:cs="Calibri Light"/>
                <w:color w:val="000000"/>
                <w:sz w:val="20"/>
                <w:szCs w:val="20"/>
              </w:rPr>
              <w:t>0.702</w:t>
            </w:r>
          </w:p>
        </w:tc>
        <w:tc>
          <w:tcPr>
            <w:tcW w:w="864" w:type="dxa"/>
            <w:shd w:val="clear" w:color="auto" w:fill="FFFFFF" w:themeFill="background1"/>
            <w:noWrap/>
            <w:vAlign w:val="center"/>
          </w:tcPr>
          <w:p w14:paraId="2C71DDB9" w14:textId="77777777" w:rsidR="007D7821" w:rsidRPr="00651B0E" w:rsidRDefault="007D7821" w:rsidP="007D7821">
            <w:pPr>
              <w:spacing w:before="0" w:after="0" w:line="240" w:lineRule="auto"/>
              <w:jc w:val="right"/>
              <w:rPr>
                <w:rFonts w:eastAsia="Times New Roman" w:cs="Times New Roman"/>
                <w:sz w:val="20"/>
                <w:szCs w:val="20"/>
              </w:rPr>
            </w:pPr>
            <w:r w:rsidRPr="00D62C76">
              <w:rPr>
                <w:rFonts w:eastAsia="Times New Roman" w:cs="Calibri Light"/>
                <w:color w:val="000000"/>
                <w:sz w:val="20"/>
                <w:szCs w:val="20"/>
              </w:rPr>
              <w:t>0.702</w:t>
            </w:r>
          </w:p>
        </w:tc>
        <w:tc>
          <w:tcPr>
            <w:tcW w:w="864" w:type="dxa"/>
            <w:shd w:val="clear" w:color="auto" w:fill="FFFFFF" w:themeFill="background1"/>
            <w:vAlign w:val="center"/>
          </w:tcPr>
          <w:p w14:paraId="2753C798" w14:textId="77777777" w:rsidR="007D7821" w:rsidRPr="00651B0E" w:rsidRDefault="007D7821" w:rsidP="007D7821">
            <w:pPr>
              <w:spacing w:before="0" w:after="0" w:line="240" w:lineRule="auto"/>
              <w:jc w:val="right"/>
              <w:rPr>
                <w:rFonts w:eastAsia="Times New Roman" w:cs="Times New Roman"/>
                <w:sz w:val="20"/>
                <w:szCs w:val="20"/>
              </w:rPr>
            </w:pPr>
            <w:r w:rsidRPr="00D62C76">
              <w:rPr>
                <w:rFonts w:eastAsia="Times New Roman" w:cs="Calibri Light"/>
                <w:color w:val="000000"/>
                <w:sz w:val="20"/>
                <w:szCs w:val="20"/>
              </w:rPr>
              <w:t>0.702</w:t>
            </w:r>
          </w:p>
        </w:tc>
        <w:tc>
          <w:tcPr>
            <w:tcW w:w="841" w:type="dxa"/>
            <w:shd w:val="clear" w:color="auto" w:fill="FFFFFF" w:themeFill="background1"/>
            <w:noWrap/>
            <w:vAlign w:val="center"/>
          </w:tcPr>
          <w:p w14:paraId="541CE457" w14:textId="77777777" w:rsidR="007D7821" w:rsidRPr="00651B0E" w:rsidRDefault="007D7821" w:rsidP="007D7821">
            <w:pPr>
              <w:spacing w:before="0" w:after="0" w:line="240" w:lineRule="auto"/>
              <w:jc w:val="right"/>
              <w:rPr>
                <w:rFonts w:eastAsia="Times New Roman" w:cs="Times New Roman"/>
                <w:sz w:val="20"/>
                <w:szCs w:val="20"/>
              </w:rPr>
            </w:pPr>
            <w:r w:rsidRPr="00D62C76">
              <w:rPr>
                <w:rFonts w:eastAsia="Times New Roman" w:cs="Calibri Light"/>
                <w:color w:val="000000"/>
                <w:sz w:val="20"/>
                <w:szCs w:val="20"/>
              </w:rPr>
              <w:t>0.702</w:t>
            </w:r>
          </w:p>
        </w:tc>
        <w:tc>
          <w:tcPr>
            <w:tcW w:w="2070" w:type="dxa"/>
            <w:shd w:val="clear" w:color="auto" w:fill="FFFFFF" w:themeFill="background1"/>
          </w:tcPr>
          <w:p w14:paraId="7370BA70" w14:textId="0A326BE2" w:rsidR="007D7821" w:rsidRPr="00247D11" w:rsidRDefault="007D7821" w:rsidP="007D7821">
            <w:pPr>
              <w:spacing w:before="0" w:after="0" w:line="240" w:lineRule="auto"/>
              <w:rPr>
                <w:rFonts w:eastAsia="Times New Roman" w:cs="Times New Roman"/>
                <w:sz w:val="18"/>
                <w:szCs w:val="20"/>
              </w:rPr>
            </w:pPr>
            <w:r>
              <w:rPr>
                <w:rFonts w:eastAsia="Times New Roman" w:cs="Times New Roman"/>
                <w:sz w:val="18"/>
                <w:szCs w:val="18"/>
              </w:rPr>
              <w:t>See below.</w:t>
            </w:r>
          </w:p>
        </w:tc>
      </w:tr>
    </w:tbl>
    <w:p w14:paraId="6928EFE7" w14:textId="77777777" w:rsidR="00E7308E" w:rsidRPr="005C5EF7" w:rsidRDefault="00E7308E" w:rsidP="00C95071">
      <w:pPr>
        <w:rPr>
          <w:rFonts w:cs="Calibri Light"/>
        </w:rPr>
      </w:pPr>
    </w:p>
    <w:p w14:paraId="359A28AE" w14:textId="604574E8" w:rsidR="00C95071" w:rsidRPr="00495AD3" w:rsidRDefault="00C95071" w:rsidP="00C95071">
      <w:r w:rsidRPr="00495AD3">
        <w:rPr>
          <w:rFonts w:cs="Calibri Light"/>
          <w:b/>
        </w:rPr>
        <w:t>Base Case Showerhead Flow Rate:</w:t>
      </w:r>
      <w:r>
        <w:rPr>
          <w:rFonts w:cs="Calibri Light"/>
        </w:rPr>
        <w:t xml:space="preserve"> </w:t>
      </w:r>
      <w:r w:rsidRPr="00495AD3">
        <w:t xml:space="preserve">The baseline for </w:t>
      </w:r>
      <w:r w:rsidR="00AB7DCE">
        <w:t>normal replacement</w:t>
      </w:r>
      <w:r>
        <w:t xml:space="preserve"> (</w:t>
      </w:r>
      <w:r w:rsidR="00AB7DCE">
        <w:t>NR</w:t>
      </w:r>
      <w:r>
        <w:t>)</w:t>
      </w:r>
      <w:r w:rsidRPr="00495AD3">
        <w:t xml:space="preserve"> showerhead installations have a single baseline flow rate that complies with the Title 20 code effective on July 1, 2016.</w:t>
      </w:r>
      <w:r>
        <w:t xml:space="preserve"> </w:t>
      </w:r>
      <w:r>
        <w:rPr>
          <w:rFonts w:cs="Calibri Light"/>
        </w:rPr>
        <w:t xml:space="preserve">For </w:t>
      </w:r>
      <w:r w:rsidR="00EA0AF5">
        <w:rPr>
          <w:rFonts w:cs="Calibri Light"/>
        </w:rPr>
        <w:t xml:space="preserve">accelerated replacement and </w:t>
      </w:r>
      <w:r>
        <w:rPr>
          <w:rFonts w:cs="Calibri Light"/>
        </w:rPr>
        <w:t xml:space="preserve">add-on </w:t>
      </w:r>
      <w:r w:rsidR="00EA0AF5">
        <w:rPr>
          <w:rFonts w:cs="Calibri Light"/>
        </w:rPr>
        <w:t>equipment</w:t>
      </w:r>
      <w:r>
        <w:rPr>
          <w:rFonts w:cs="Calibri Light"/>
        </w:rPr>
        <w:t xml:space="preserve"> installations, t</w:t>
      </w:r>
      <w:r w:rsidRPr="00495AD3">
        <w:t xml:space="preserve">he first </w:t>
      </w:r>
      <w:r>
        <w:t>baseline flow rate was derived as the average of measured existing showerhead flow rates from a residential field survey in Southern California</w:t>
      </w:r>
      <w:r w:rsidRPr="00495AD3">
        <w:t xml:space="preserve">. The second baseline for </w:t>
      </w:r>
      <w:r w:rsidR="00EA0AF5">
        <w:rPr>
          <w:rFonts w:cs="Calibri Light"/>
        </w:rPr>
        <w:t>accelerated replacement and add-on equipment</w:t>
      </w:r>
      <w:r w:rsidR="00EA0AF5">
        <w:t xml:space="preserve"> </w:t>
      </w:r>
      <w:r>
        <w:t>installations</w:t>
      </w:r>
      <w:r w:rsidRPr="00495AD3">
        <w:t xml:space="preserve"> complies with the Title 20 flow regulations effective on July 1, 2018.</w:t>
      </w:r>
    </w:p>
    <w:p w14:paraId="76176B4E" w14:textId="658F23C5" w:rsidR="00C95071" w:rsidRDefault="00C95071" w:rsidP="00C95071">
      <w:pPr>
        <w:rPr>
          <w:rFonts w:cs="Calibri Light"/>
        </w:rPr>
      </w:pPr>
      <w:r w:rsidRPr="00845B23">
        <w:rPr>
          <w:rFonts w:cs="Calibri Light"/>
          <w:b/>
        </w:rPr>
        <w:t>Measure Case Showerhead Flow Rate:</w:t>
      </w:r>
      <w:r>
        <w:rPr>
          <w:rFonts w:cs="Calibri Light"/>
        </w:rPr>
        <w:t xml:space="preserve">  </w:t>
      </w:r>
      <w:r>
        <w:t>T</w:t>
      </w:r>
      <w:r w:rsidRPr="001D6683">
        <w:t xml:space="preserve">he mixed water </w:t>
      </w:r>
      <w:r>
        <w:t>flow rate</w:t>
      </w:r>
      <w:r w:rsidRPr="001D6683">
        <w:t xml:space="preserve"> for each of the measure </w:t>
      </w:r>
      <w:r>
        <w:t xml:space="preserve">case </w:t>
      </w:r>
      <w:r w:rsidRPr="001D6683">
        <w:t>showerheads used in the water saving calculation.</w:t>
      </w:r>
    </w:p>
    <w:p w14:paraId="7B7C9634" w14:textId="78123F2F" w:rsidR="00C95071" w:rsidRDefault="00C95071" w:rsidP="00C95071">
      <w:r>
        <w:rPr>
          <w:b/>
        </w:rPr>
        <w:t>Average Shower Time per Day</w:t>
      </w:r>
      <w:r w:rsidRPr="007E4CF1">
        <w:rPr>
          <w:b/>
        </w:rPr>
        <w:t>:</w:t>
      </w:r>
      <w:r>
        <w:t xml:space="preserve"> </w:t>
      </w:r>
      <w:r w:rsidR="00E02538">
        <w:t>The average s</w:t>
      </w:r>
      <w:r>
        <w:t>hower duration was derived from water trace data from ten single family homes in Seattle in 1999.</w:t>
      </w:r>
      <w:r w:rsidR="00885443">
        <w:t xml:space="preserve"> A</w:t>
      </w:r>
      <w:r w:rsidR="00885443" w:rsidRPr="006E632D">
        <w:t xml:space="preserve"> study of residential end use of water </w:t>
      </w:r>
      <w:r w:rsidR="00885443">
        <w:t>conducted for the</w:t>
      </w:r>
      <w:r w:rsidR="00885443" w:rsidRPr="006E632D">
        <w:t xml:space="preserve"> AWWA Research Foundation</w:t>
      </w:r>
      <w:r w:rsidR="00885443">
        <w:t xml:space="preserve"> found a similar result (a median of 7.2 minutes and a mean of 8.2 minutes).</w:t>
      </w:r>
      <w:r>
        <w:rPr>
          <w:rStyle w:val="FootnoteReference"/>
        </w:rPr>
        <w:footnoteReference w:id="10"/>
      </w:r>
      <w:r w:rsidRPr="006E632D">
        <w:t xml:space="preserve"> </w:t>
      </w:r>
      <w:r w:rsidR="00EE0A98">
        <w:t>Note that the average shower time in minutes per day is fixed and varies only by housing type. The assumption that the minutes per day a showerhead is used does not change between the base case and measure case scenarios means that a reduction in the showerhead flow rate will reduce water usage.</w:t>
      </w:r>
    </w:p>
    <w:p w14:paraId="759B474B" w14:textId="77777777" w:rsidR="00C95071" w:rsidRDefault="00C95071" w:rsidP="00C95071">
      <w:r w:rsidRPr="00432E10">
        <w:rPr>
          <w:b/>
        </w:rPr>
        <w:t>Average Number of Showers per Day:</w:t>
      </w:r>
      <w:r>
        <w:t xml:space="preserve"> The average number of showers per day per single-family household was derived from the 2009 </w:t>
      </w:r>
      <w:r w:rsidRPr="00453055">
        <w:t>residential water fixture field study conducted in Southern California.</w:t>
      </w:r>
      <w:r>
        <w:t xml:space="preserve"> The average number of showers per day per multifamily household was derived from the 2004 California Residential Appliance Saturation Study survey data. </w:t>
      </w:r>
      <w:r w:rsidRPr="0040364D">
        <w:t xml:space="preserve"> </w:t>
      </w:r>
    </w:p>
    <w:p w14:paraId="610AF291" w14:textId="77777777" w:rsidR="00C95071" w:rsidRDefault="00C95071" w:rsidP="00C95071">
      <w:r w:rsidRPr="002D37BB">
        <w:rPr>
          <w:b/>
          <w:szCs w:val="20"/>
        </w:rPr>
        <w:t>Number of Showerheads per Household.</w:t>
      </w:r>
      <w:r w:rsidRPr="00432E10">
        <w:rPr>
          <w:szCs w:val="20"/>
        </w:rPr>
        <w:t xml:space="preserve"> </w:t>
      </w:r>
      <w:r>
        <w:t xml:space="preserve">The average number of showerheads per single-family household was derived from the 2009 </w:t>
      </w:r>
      <w:r w:rsidRPr="00453055">
        <w:t>residential water fixture field study conducted in Southern California.</w:t>
      </w:r>
      <w:r>
        <w:t xml:space="preserve"> The average number of showerheads per multifamily household was calculated from U.S. Census 2000 data as the weighted average of the number of bathrooms in new construction homes the West Region from 1978 to 2006. This calculation assumes that each bathroom contains a shower or bath with one showerhead.</w:t>
      </w:r>
    </w:p>
    <w:p w14:paraId="7C089B49" w14:textId="77777777" w:rsidR="00C95071" w:rsidRDefault="00C95071" w:rsidP="00C95071">
      <w:r>
        <w:rPr>
          <w:b/>
        </w:rPr>
        <w:t>Throttling F</w:t>
      </w:r>
      <w:r w:rsidRPr="007E4CF1">
        <w:rPr>
          <w:b/>
        </w:rPr>
        <w:t>actor</w:t>
      </w:r>
      <w:bookmarkStart w:id="51" w:name="_Hlk511070811"/>
      <w:r w:rsidRPr="007E4CF1">
        <w:rPr>
          <w:b/>
        </w:rPr>
        <w:t>:</w:t>
      </w:r>
      <w:r>
        <w:t xml:space="preserve"> This factor a</w:t>
      </w:r>
      <w:r w:rsidRPr="003E097B">
        <w:t xml:space="preserve">djusts </w:t>
      </w:r>
      <w:r>
        <w:t>the showerhead flow rate</w:t>
      </w:r>
      <w:r w:rsidRPr="003E097B">
        <w:t xml:space="preserve"> to account </w:t>
      </w:r>
      <w:r>
        <w:t xml:space="preserve">for pressures less than 80 </w:t>
      </w:r>
      <w:proofErr w:type="spellStart"/>
      <w:r>
        <w:t>psig</w:t>
      </w:r>
      <w:proofErr w:type="spellEnd"/>
      <w:r>
        <w:t xml:space="preserve">, </w:t>
      </w:r>
      <w:r w:rsidRPr="003E097B">
        <w:t>for limiting flow by throttling back (closing) th</w:t>
      </w:r>
      <w:r>
        <w:t xml:space="preserve">e control valve to the shower, and to account for </w:t>
      </w:r>
      <w:r w:rsidRPr="003E097B">
        <w:t xml:space="preserve">partial clogging due to debris in the pipe or from calcium deposits in areas with hard water contributes to this </w:t>
      </w:r>
      <w:r w:rsidRPr="002C3A0B">
        <w:t>factor.</w:t>
      </w:r>
      <w:r>
        <w:t xml:space="preserve"> </w:t>
      </w:r>
      <w:bookmarkEnd w:id="51"/>
    </w:p>
    <w:p w14:paraId="713A2DF6" w14:textId="77777777" w:rsidR="00C95071" w:rsidRDefault="00C95071" w:rsidP="00C95071">
      <w:r w:rsidRPr="00432E10">
        <w:rPr>
          <w:b/>
        </w:rPr>
        <w:t>Operating Days per Year.</w:t>
      </w:r>
      <w:r>
        <w:t xml:space="preserve"> This analysis assumes showerhead fixtures are in operation 365 days per year.</w:t>
      </w:r>
    </w:p>
    <w:p w14:paraId="60022CAD" w14:textId="511FF916" w:rsidR="00C95071" w:rsidRDefault="00906C8F" w:rsidP="00C95071">
      <w:r>
        <w:rPr>
          <w:rFonts w:cs="Calibri Light"/>
          <w:b/>
        </w:rPr>
        <w:t xml:space="preserve">Baseline Usage </w:t>
      </w:r>
      <w:r w:rsidR="00C95071" w:rsidRPr="00056FD6">
        <w:rPr>
          <w:rFonts w:cs="Calibri Light"/>
          <w:b/>
        </w:rPr>
        <w:t>Normalization Factor:</w:t>
      </w:r>
      <w:r w:rsidR="00C95071" w:rsidRPr="00056FD6">
        <w:rPr>
          <w:rFonts w:cs="Calibri Light"/>
        </w:rPr>
        <w:t xml:space="preserve"> </w:t>
      </w:r>
      <w:r w:rsidR="00C95071" w:rsidRPr="00056FD6">
        <w:t xml:space="preserve">The </w:t>
      </w:r>
      <w:r w:rsidR="00C95071">
        <w:t>2013 “</w:t>
      </w:r>
      <w:r w:rsidR="00C95071" w:rsidRPr="00056FD6">
        <w:t>Water Fixture Disposition</w:t>
      </w:r>
      <w:r w:rsidR="00C95071">
        <w:t>”</w:t>
      </w:r>
      <w:r w:rsidR="00C95071" w:rsidRPr="00056FD6">
        <w:t xml:space="preserve"> adopted the assumptions for baseline daily hot water (DHW) </w:t>
      </w:r>
      <w:r w:rsidR="00C95071">
        <w:t>usage in the Database for Energy Efficient Resources (DEER)</w:t>
      </w:r>
      <w:r w:rsidR="00C95071" w:rsidRPr="00056FD6">
        <w:t xml:space="preserve">. As per the </w:t>
      </w:r>
      <w:r w:rsidR="00C95071">
        <w:t xml:space="preserve">2013 </w:t>
      </w:r>
      <w:r w:rsidR="00C95071" w:rsidRPr="00056FD6">
        <w:t>Water Fixture Disposition, the "DEER values for daily hot water use by end use are developed by NREL for the Building America House Simulation Protocols” (p.3)</w:t>
      </w:r>
      <w:r w:rsidR="00C95071">
        <w:t>.</w:t>
      </w:r>
      <w:r w:rsidR="00C95071" w:rsidRPr="00056FD6">
        <w:t xml:space="preserve"> The NREL baselines standardize the daily shower hot water </w:t>
      </w:r>
      <w:r w:rsidR="00C95071">
        <w:t>usage</w:t>
      </w:r>
      <w:r w:rsidR="00C95071" w:rsidRPr="00056FD6">
        <w:t xml:space="preserve"> for </w:t>
      </w:r>
      <w:r w:rsidR="00AB7DCE">
        <w:t>NR</w:t>
      </w:r>
      <w:r w:rsidR="00C95071" w:rsidRPr="00056FD6">
        <w:t xml:space="preserve"> and </w:t>
      </w:r>
      <w:r w:rsidR="00AC1C01">
        <w:t>AR</w:t>
      </w:r>
      <w:r w:rsidR="00C95071" w:rsidRPr="00056FD6">
        <w:t xml:space="preserve"> measure installations to 28.01 and 23.3 gallons per day for single and multifamily, respectively. </w:t>
      </w:r>
    </w:p>
    <w:p w14:paraId="4E78E1DB" w14:textId="54540EBA" w:rsidR="00C95071" w:rsidRDefault="00C95071" w:rsidP="00C95071">
      <w:r w:rsidRPr="003A3DE6">
        <w:t>The purpose of the normalization factor is</w:t>
      </w:r>
      <w:r>
        <w:t xml:space="preserve"> to</w:t>
      </w:r>
      <w:r w:rsidRPr="003A3DE6">
        <w:t xml:space="preserve"> account for this</w:t>
      </w:r>
      <w:r>
        <w:t xml:space="preserve"> change in assumed daily hot water baseline water usage from the daily usage derived from the residential field study to the usage adopted for DEER </w:t>
      </w:r>
      <w:r>
        <w:lastRenderedPageBreak/>
        <w:t xml:space="preserve">from the NREL study. The </w:t>
      </w:r>
      <w:r w:rsidR="007D7821">
        <w:t xml:space="preserve">normalization </w:t>
      </w:r>
      <w:r w:rsidRPr="00E740DB">
        <w:t xml:space="preserve">factor is calculated as the ratio of </w:t>
      </w:r>
      <w:r>
        <w:t xml:space="preserve">daily </w:t>
      </w:r>
      <w:r w:rsidRPr="00E740DB">
        <w:t xml:space="preserve">hot water consumption derived from the NREL study to the </w:t>
      </w:r>
      <w:r>
        <w:t xml:space="preserve">daily hot water consumption calculated from the 2009 field study. The inputs for this calculation are explained </w:t>
      </w:r>
      <w:r w:rsidR="00C955EC">
        <w:t>below</w:t>
      </w:r>
      <w:r>
        <w:t>.</w:t>
      </w:r>
    </w:p>
    <w:p w14:paraId="7E1D6B93" w14:textId="3368A855" w:rsidR="00C95071" w:rsidRPr="005D3839" w:rsidRDefault="00C95071" w:rsidP="00C95071">
      <w:pPr>
        <w:ind w:left="720"/>
        <w:rPr>
          <w:rFonts w:ascii="Times New Roman" w:hAnsi="Times New Roman"/>
          <w:i/>
          <w:sz w:val="18"/>
          <w:szCs w:val="18"/>
        </w:rPr>
      </w:pPr>
      <m:oMathPara>
        <m:oMathParaPr>
          <m:jc m:val="left"/>
        </m:oMathParaPr>
        <m:oMath>
          <m:r>
            <w:rPr>
              <w:rFonts w:ascii="Cambria Math" w:hAnsi="Cambria Math"/>
              <w:sz w:val="18"/>
              <w:szCs w:val="18"/>
            </w:rPr>
            <m:t>G=</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WU</m:t>
                  </m:r>
                </m:e>
                <m:sub>
                  <m:r>
                    <w:rPr>
                      <w:rFonts w:ascii="Cambria Math" w:hAnsi="Cambria Math"/>
                      <w:sz w:val="18"/>
                      <w:szCs w:val="18"/>
                    </w:rPr>
                    <m:t>day DEER/NREL</m:t>
                  </m:r>
                </m:sub>
              </m:sSub>
            </m:num>
            <m:den>
              <m:sSub>
                <m:sSubPr>
                  <m:ctrlPr>
                    <w:rPr>
                      <w:rFonts w:ascii="Cambria Math" w:hAnsi="Cambria Math"/>
                      <w:i/>
                      <w:sz w:val="18"/>
                      <w:szCs w:val="18"/>
                    </w:rPr>
                  </m:ctrlPr>
                </m:sSubPr>
                <m:e>
                  <m:r>
                    <w:rPr>
                      <w:rFonts w:ascii="Cambria Math" w:hAnsi="Cambria Math"/>
                      <w:sz w:val="18"/>
                      <w:szCs w:val="18"/>
                    </w:rPr>
                    <m:t>WU</m:t>
                  </m:r>
                </m:e>
                <m:sub>
                  <m:r>
                    <w:rPr>
                      <w:rFonts w:ascii="Cambria Math" w:hAnsi="Cambria Math"/>
                      <w:sz w:val="18"/>
                      <w:szCs w:val="18"/>
                    </w:rPr>
                    <m:t xml:space="preserve">day field study </m:t>
                  </m:r>
                </m:sub>
              </m:sSub>
            </m:den>
          </m:f>
        </m:oMath>
      </m:oMathPara>
    </w:p>
    <w:p w14:paraId="49B4DD63" w14:textId="7C89D60A" w:rsidR="00C95071" w:rsidRDefault="00906C8F" w:rsidP="005647A9">
      <w:pPr>
        <w:pStyle w:val="Caption"/>
      </w:pPr>
      <w:r>
        <w:t xml:space="preserve">Baseline Usage </w:t>
      </w:r>
      <w:r w:rsidR="00C95071">
        <w:t>Normalization Factor Parameters</w:t>
      </w:r>
    </w:p>
    <w:tbl>
      <w:tblPr>
        <w:tblW w:w="905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795"/>
        <w:gridCol w:w="1170"/>
        <w:gridCol w:w="1350"/>
        <w:gridCol w:w="1440"/>
        <w:gridCol w:w="3299"/>
      </w:tblGrid>
      <w:tr w:rsidR="00885443" w:rsidRPr="00535864" w14:paraId="096A2A63" w14:textId="77777777" w:rsidTr="005647A9">
        <w:trPr>
          <w:trHeight w:val="260"/>
          <w:tblHeader/>
        </w:trPr>
        <w:tc>
          <w:tcPr>
            <w:tcW w:w="1795" w:type="dxa"/>
            <w:shd w:val="clear" w:color="auto" w:fill="F2F2F2" w:themeFill="background1" w:themeFillShade="F2"/>
            <w:noWrap/>
            <w:vAlign w:val="bottom"/>
          </w:tcPr>
          <w:p w14:paraId="3A9E09E3" w14:textId="77777777" w:rsidR="00885443" w:rsidRPr="00535864" w:rsidRDefault="00885443" w:rsidP="005647A9">
            <w:pPr>
              <w:keepNext/>
              <w:keepLines/>
              <w:spacing w:before="0" w:after="0" w:line="240" w:lineRule="auto"/>
              <w:jc w:val="center"/>
              <w:rPr>
                <w:rFonts w:eastAsia="Times New Roman" w:cs="Calibri Light"/>
                <w:b/>
                <w:sz w:val="20"/>
                <w:szCs w:val="20"/>
              </w:rPr>
            </w:pPr>
            <w:r w:rsidRPr="00535864">
              <w:rPr>
                <w:rFonts w:eastAsia="Times New Roman" w:cs="Calibri Light"/>
                <w:b/>
                <w:sz w:val="20"/>
                <w:szCs w:val="20"/>
              </w:rPr>
              <w:t>Parameter</w:t>
            </w:r>
          </w:p>
        </w:tc>
        <w:tc>
          <w:tcPr>
            <w:tcW w:w="1170" w:type="dxa"/>
            <w:shd w:val="clear" w:color="auto" w:fill="F2F2F2" w:themeFill="background1" w:themeFillShade="F2"/>
            <w:noWrap/>
            <w:vAlign w:val="bottom"/>
          </w:tcPr>
          <w:p w14:paraId="5BEE2B05" w14:textId="77777777" w:rsidR="00885443" w:rsidRPr="00535864" w:rsidRDefault="00885443" w:rsidP="005647A9">
            <w:pPr>
              <w:keepNext/>
              <w:keepLines/>
              <w:spacing w:before="0" w:after="0" w:line="240" w:lineRule="auto"/>
              <w:jc w:val="center"/>
              <w:rPr>
                <w:rFonts w:eastAsia="Times New Roman" w:cs="Calibri Light"/>
                <w:b/>
                <w:sz w:val="20"/>
                <w:szCs w:val="20"/>
              </w:rPr>
            </w:pPr>
            <w:r w:rsidRPr="00535864">
              <w:rPr>
                <w:rFonts w:eastAsia="Times New Roman" w:cs="Calibri Light"/>
                <w:b/>
                <w:sz w:val="20"/>
                <w:szCs w:val="20"/>
              </w:rPr>
              <w:t>Units</w:t>
            </w:r>
          </w:p>
        </w:tc>
        <w:tc>
          <w:tcPr>
            <w:tcW w:w="1350" w:type="dxa"/>
            <w:shd w:val="clear" w:color="auto" w:fill="F2F2F2" w:themeFill="background1" w:themeFillShade="F2"/>
            <w:noWrap/>
            <w:vAlign w:val="bottom"/>
          </w:tcPr>
          <w:p w14:paraId="5AF54BB0" w14:textId="29457DA6" w:rsidR="00885443" w:rsidRPr="00535864" w:rsidRDefault="00885443" w:rsidP="005647A9">
            <w:pPr>
              <w:keepNext/>
              <w:keepLines/>
              <w:spacing w:before="0" w:after="0" w:line="240" w:lineRule="auto"/>
              <w:jc w:val="center"/>
              <w:rPr>
                <w:rFonts w:eastAsia="Times New Roman" w:cs="Calibri Light"/>
                <w:b/>
                <w:sz w:val="20"/>
                <w:szCs w:val="20"/>
              </w:rPr>
            </w:pPr>
            <w:r w:rsidRPr="00535864">
              <w:rPr>
                <w:rFonts w:eastAsia="Times New Roman" w:cs="Calibri Light"/>
                <w:b/>
                <w:sz w:val="20"/>
                <w:szCs w:val="20"/>
              </w:rPr>
              <w:t>Single Family</w:t>
            </w:r>
          </w:p>
        </w:tc>
        <w:tc>
          <w:tcPr>
            <w:tcW w:w="1440" w:type="dxa"/>
            <w:shd w:val="clear" w:color="auto" w:fill="F2F2F2" w:themeFill="background1" w:themeFillShade="F2"/>
            <w:vAlign w:val="bottom"/>
          </w:tcPr>
          <w:p w14:paraId="018D178B" w14:textId="3404247B" w:rsidR="00885443" w:rsidRPr="00535864" w:rsidRDefault="00885443" w:rsidP="005647A9">
            <w:pPr>
              <w:keepNext/>
              <w:keepLines/>
              <w:spacing w:before="0" w:after="0" w:line="240" w:lineRule="auto"/>
              <w:jc w:val="center"/>
              <w:rPr>
                <w:rFonts w:eastAsia="Times New Roman" w:cs="Calibri Light"/>
                <w:b/>
                <w:sz w:val="20"/>
                <w:szCs w:val="20"/>
              </w:rPr>
            </w:pPr>
            <w:r w:rsidRPr="00535864">
              <w:rPr>
                <w:rFonts w:eastAsia="Times New Roman" w:cs="Calibri Light"/>
                <w:b/>
                <w:sz w:val="20"/>
                <w:szCs w:val="20"/>
              </w:rPr>
              <w:t>Multifamily</w:t>
            </w:r>
            <w:r w:rsidR="00EE0A98">
              <w:rPr>
                <w:rFonts w:eastAsia="Times New Roman" w:cs="Calibri Light"/>
                <w:b/>
                <w:sz w:val="20"/>
                <w:szCs w:val="20"/>
              </w:rPr>
              <w:t xml:space="preserve"> / Mobile Home</w:t>
            </w:r>
          </w:p>
        </w:tc>
        <w:tc>
          <w:tcPr>
            <w:tcW w:w="3299" w:type="dxa"/>
            <w:shd w:val="clear" w:color="auto" w:fill="F2F2F2" w:themeFill="background1" w:themeFillShade="F2"/>
            <w:vAlign w:val="bottom"/>
          </w:tcPr>
          <w:p w14:paraId="42672102" w14:textId="77777777" w:rsidR="00885443" w:rsidRPr="00535864" w:rsidRDefault="00885443" w:rsidP="005647A9">
            <w:pPr>
              <w:keepNext/>
              <w:keepLines/>
              <w:spacing w:before="0" w:after="0" w:line="240" w:lineRule="auto"/>
              <w:jc w:val="center"/>
              <w:rPr>
                <w:rFonts w:eastAsia="Times New Roman" w:cs="Calibri Light"/>
                <w:b/>
                <w:sz w:val="18"/>
                <w:szCs w:val="18"/>
              </w:rPr>
            </w:pPr>
            <w:r w:rsidRPr="00535864">
              <w:rPr>
                <w:rFonts w:eastAsia="Times New Roman" w:cs="Calibri Light"/>
                <w:b/>
                <w:sz w:val="18"/>
                <w:szCs w:val="18"/>
              </w:rPr>
              <w:t>Source</w:t>
            </w:r>
          </w:p>
        </w:tc>
      </w:tr>
      <w:tr w:rsidR="00885443" w:rsidRPr="002D723D" w14:paraId="7D3C2A37" w14:textId="77777777" w:rsidTr="00885443">
        <w:trPr>
          <w:trHeight w:val="260"/>
        </w:trPr>
        <w:tc>
          <w:tcPr>
            <w:tcW w:w="1795" w:type="dxa"/>
            <w:shd w:val="clear" w:color="auto" w:fill="auto"/>
            <w:noWrap/>
            <w:vAlign w:val="center"/>
          </w:tcPr>
          <w:p w14:paraId="48E8D794" w14:textId="013E69D4" w:rsidR="00885443" w:rsidRDefault="00885443" w:rsidP="005647A9">
            <w:pPr>
              <w:keepNext/>
              <w:keepLines/>
              <w:spacing w:before="0" w:after="0" w:line="240" w:lineRule="auto"/>
              <w:rPr>
                <w:rFonts w:eastAsia="Times New Roman" w:cs="Calibri Light"/>
                <w:sz w:val="20"/>
                <w:szCs w:val="20"/>
              </w:rPr>
            </w:pPr>
            <w:r>
              <w:rPr>
                <w:rFonts w:eastAsia="Times New Roman" w:cs="Calibri Light"/>
                <w:sz w:val="20"/>
                <w:szCs w:val="20"/>
              </w:rPr>
              <w:t xml:space="preserve">Shower gpd/household </w:t>
            </w:r>
            <w:r>
              <w:rPr>
                <w:rFonts w:eastAsia="Times New Roman" w:cs="Calibri Light"/>
                <w:sz w:val="20"/>
                <w:szCs w:val="20"/>
              </w:rPr>
              <w:br/>
              <w:t>(DEER assumption/ NREL)</w:t>
            </w:r>
          </w:p>
        </w:tc>
        <w:tc>
          <w:tcPr>
            <w:tcW w:w="1170" w:type="dxa"/>
            <w:shd w:val="clear" w:color="auto" w:fill="auto"/>
            <w:noWrap/>
            <w:vAlign w:val="center"/>
          </w:tcPr>
          <w:p w14:paraId="27A32AC6" w14:textId="77777777" w:rsidR="00885443" w:rsidRDefault="00885443" w:rsidP="005647A9">
            <w:pPr>
              <w:keepNext/>
              <w:keepLines/>
              <w:spacing w:before="0" w:after="0" w:line="240" w:lineRule="auto"/>
              <w:rPr>
                <w:rFonts w:eastAsia="Times New Roman" w:cs="Calibri Light"/>
                <w:sz w:val="20"/>
                <w:szCs w:val="20"/>
              </w:rPr>
            </w:pPr>
            <w:r>
              <w:rPr>
                <w:rFonts w:eastAsia="Times New Roman" w:cs="Calibri Light"/>
                <w:sz w:val="20"/>
                <w:szCs w:val="20"/>
              </w:rPr>
              <w:t>gal/day/</w:t>
            </w:r>
            <w:proofErr w:type="spellStart"/>
            <w:r>
              <w:rPr>
                <w:rFonts w:eastAsia="Times New Roman" w:cs="Calibri Light"/>
                <w:sz w:val="20"/>
                <w:szCs w:val="20"/>
              </w:rPr>
              <w:t>hh</w:t>
            </w:r>
            <w:proofErr w:type="spellEnd"/>
          </w:p>
        </w:tc>
        <w:tc>
          <w:tcPr>
            <w:tcW w:w="1350" w:type="dxa"/>
            <w:shd w:val="clear" w:color="auto" w:fill="auto"/>
            <w:noWrap/>
            <w:vAlign w:val="center"/>
          </w:tcPr>
          <w:p w14:paraId="39ACB7E2" w14:textId="77777777" w:rsidR="00885443" w:rsidRPr="002D723D" w:rsidRDefault="00885443" w:rsidP="005647A9">
            <w:pPr>
              <w:keepNext/>
              <w:keepLines/>
              <w:spacing w:before="0" w:after="0" w:line="240" w:lineRule="auto"/>
              <w:jc w:val="right"/>
              <w:rPr>
                <w:rFonts w:eastAsia="Times New Roman" w:cs="Calibri Light"/>
                <w:sz w:val="20"/>
                <w:szCs w:val="20"/>
              </w:rPr>
            </w:pPr>
            <w:r>
              <w:rPr>
                <w:rFonts w:eastAsia="Times New Roman" w:cs="Calibri Light"/>
                <w:sz w:val="20"/>
                <w:szCs w:val="20"/>
              </w:rPr>
              <w:t>28.01</w:t>
            </w:r>
          </w:p>
        </w:tc>
        <w:tc>
          <w:tcPr>
            <w:tcW w:w="1440" w:type="dxa"/>
            <w:vAlign w:val="center"/>
          </w:tcPr>
          <w:p w14:paraId="78ED55FE" w14:textId="482D911B" w:rsidR="00885443" w:rsidRDefault="00885443" w:rsidP="005647A9">
            <w:pPr>
              <w:keepNext/>
              <w:keepLines/>
              <w:spacing w:before="0" w:after="0" w:line="240" w:lineRule="auto"/>
              <w:jc w:val="right"/>
              <w:rPr>
                <w:rFonts w:eastAsia="Times New Roman" w:cs="Calibri Light"/>
                <w:sz w:val="20"/>
                <w:szCs w:val="20"/>
              </w:rPr>
            </w:pPr>
            <w:r>
              <w:rPr>
                <w:rFonts w:eastAsia="Times New Roman" w:cs="Calibri Light"/>
                <w:sz w:val="20"/>
                <w:szCs w:val="20"/>
              </w:rPr>
              <w:t>23.34</w:t>
            </w:r>
          </w:p>
        </w:tc>
        <w:tc>
          <w:tcPr>
            <w:tcW w:w="3299" w:type="dxa"/>
            <w:vAlign w:val="center"/>
          </w:tcPr>
          <w:p w14:paraId="40A526BB" w14:textId="77777777" w:rsidR="00885443" w:rsidRDefault="00885443" w:rsidP="005647A9">
            <w:pPr>
              <w:keepNext/>
              <w:keepLines/>
              <w:spacing w:before="0" w:after="0" w:line="240" w:lineRule="auto"/>
              <w:rPr>
                <w:rStyle w:val="eTRMFootnoteTextChar"/>
              </w:rPr>
            </w:pPr>
            <w:proofErr w:type="spellStart"/>
            <w:r w:rsidRPr="008C3747">
              <w:rPr>
                <w:rStyle w:val="eTRMFootnoteTextChar"/>
              </w:rPr>
              <w:t>Henron</w:t>
            </w:r>
            <w:proofErr w:type="spellEnd"/>
            <w:r w:rsidRPr="008C3747">
              <w:rPr>
                <w:rStyle w:val="eTRMFootnoteTextChar"/>
              </w:rPr>
              <w:t xml:space="preserve">, H. and C. </w:t>
            </w:r>
            <w:proofErr w:type="spellStart"/>
            <w:r w:rsidRPr="008C3747">
              <w:rPr>
                <w:rStyle w:val="eTRMFootnoteTextChar"/>
              </w:rPr>
              <w:t>Engebrecht</w:t>
            </w:r>
            <w:proofErr w:type="spellEnd"/>
            <w:r w:rsidRPr="008C3747">
              <w:rPr>
                <w:rStyle w:val="eTRMFootnoteTextChar"/>
              </w:rPr>
              <w:t xml:space="preserve">. 2010. </w:t>
            </w:r>
            <w:r w:rsidRPr="008C3747">
              <w:rPr>
                <w:rStyle w:val="eTRMFootnoteTextChar"/>
                <w:i/>
              </w:rPr>
              <w:t>Building America House Simulation Protocols.</w:t>
            </w:r>
            <w:r w:rsidRPr="008C3747">
              <w:rPr>
                <w:rStyle w:val="eTRMFootnoteTextChar"/>
              </w:rPr>
              <w:t xml:space="preserve"> Prepared for the U.S. Department of Energy Building Technologies Program. Golden, CO: National Renewable Energy Laboratory (NREL). NREL Report Number TP-550-49426.</w:t>
            </w:r>
          </w:p>
          <w:p w14:paraId="1ACB9F77" w14:textId="77777777" w:rsidR="00885443" w:rsidRDefault="00885443" w:rsidP="005647A9">
            <w:pPr>
              <w:keepNext/>
              <w:keepLines/>
              <w:spacing w:before="0" w:after="0" w:line="240" w:lineRule="auto"/>
              <w:rPr>
                <w:rFonts w:eastAsia="Times New Roman" w:cs="Calibri Light"/>
                <w:sz w:val="18"/>
                <w:szCs w:val="18"/>
              </w:rPr>
            </w:pPr>
          </w:p>
          <w:p w14:paraId="10B14F4E" w14:textId="3DE9679B" w:rsidR="00885443" w:rsidRPr="00BF1799" w:rsidRDefault="00885443" w:rsidP="005647A9">
            <w:pPr>
              <w:keepNext/>
              <w:keepLines/>
              <w:spacing w:before="0" w:after="0" w:line="240" w:lineRule="auto"/>
              <w:rPr>
                <w:rFonts w:eastAsia="Times New Roman" w:cs="Calibri Light"/>
                <w:sz w:val="18"/>
                <w:szCs w:val="18"/>
              </w:rPr>
            </w:pPr>
            <w:r w:rsidRPr="005C385C">
              <w:rPr>
                <w:sz w:val="18"/>
              </w:rPr>
              <w:t xml:space="preserve">California Public Utilities Commission (CPUC), Energy Division. 2013. </w:t>
            </w:r>
            <w:r w:rsidR="00226B43" w:rsidRPr="00226B43">
              <w:rPr>
                <w:sz w:val="18"/>
              </w:rPr>
              <w:t>“</w:t>
            </w:r>
            <w:r w:rsidRPr="00226B43">
              <w:rPr>
                <w:sz w:val="18"/>
              </w:rPr>
              <w:t>Workpaper Disposition for Water Fixtures.</w:t>
            </w:r>
            <w:r w:rsidR="00226B43" w:rsidRPr="00226B43">
              <w:rPr>
                <w:sz w:val="18"/>
              </w:rPr>
              <w:t>”</w:t>
            </w:r>
            <w:r w:rsidRPr="005C385C">
              <w:rPr>
                <w:sz w:val="18"/>
              </w:rPr>
              <w:t xml:space="preserve"> February 22.</w:t>
            </w:r>
          </w:p>
        </w:tc>
      </w:tr>
      <w:tr w:rsidR="00885443" w:rsidRPr="002D723D" w14:paraId="5FE98214" w14:textId="77777777" w:rsidTr="00885443">
        <w:trPr>
          <w:trHeight w:val="260"/>
        </w:trPr>
        <w:tc>
          <w:tcPr>
            <w:tcW w:w="1795" w:type="dxa"/>
            <w:shd w:val="clear" w:color="auto" w:fill="auto"/>
            <w:noWrap/>
            <w:vAlign w:val="center"/>
          </w:tcPr>
          <w:p w14:paraId="082C79BE" w14:textId="77777777" w:rsidR="00885443" w:rsidRDefault="00885443" w:rsidP="005647A9">
            <w:pPr>
              <w:spacing w:before="0" w:after="0" w:line="240" w:lineRule="auto"/>
              <w:rPr>
                <w:rFonts w:eastAsia="Times New Roman" w:cs="Calibri Light"/>
                <w:sz w:val="20"/>
                <w:szCs w:val="20"/>
              </w:rPr>
            </w:pPr>
            <w:r>
              <w:rPr>
                <w:rFonts w:eastAsia="Times New Roman" w:cs="Calibri Light"/>
                <w:sz w:val="20"/>
                <w:szCs w:val="20"/>
              </w:rPr>
              <w:t>Shower gpd/household</w:t>
            </w:r>
          </w:p>
        </w:tc>
        <w:tc>
          <w:tcPr>
            <w:tcW w:w="1170" w:type="dxa"/>
            <w:shd w:val="clear" w:color="auto" w:fill="auto"/>
            <w:noWrap/>
            <w:vAlign w:val="center"/>
          </w:tcPr>
          <w:p w14:paraId="2D4727F2" w14:textId="77777777" w:rsidR="00885443" w:rsidRDefault="00885443" w:rsidP="005647A9">
            <w:pPr>
              <w:spacing w:before="0" w:after="0" w:line="240" w:lineRule="auto"/>
              <w:rPr>
                <w:rFonts w:eastAsia="Times New Roman" w:cs="Calibri Light"/>
                <w:sz w:val="20"/>
                <w:szCs w:val="20"/>
              </w:rPr>
            </w:pPr>
            <w:r>
              <w:rPr>
                <w:rFonts w:eastAsia="Times New Roman" w:cs="Calibri Light"/>
                <w:sz w:val="20"/>
                <w:szCs w:val="20"/>
              </w:rPr>
              <w:t>gal/day/</w:t>
            </w:r>
            <w:proofErr w:type="spellStart"/>
            <w:r>
              <w:rPr>
                <w:rFonts w:eastAsia="Times New Roman" w:cs="Calibri Light"/>
                <w:sz w:val="20"/>
                <w:szCs w:val="20"/>
              </w:rPr>
              <w:t>hh</w:t>
            </w:r>
            <w:proofErr w:type="spellEnd"/>
          </w:p>
        </w:tc>
        <w:tc>
          <w:tcPr>
            <w:tcW w:w="1350" w:type="dxa"/>
            <w:shd w:val="clear" w:color="auto" w:fill="auto"/>
            <w:noWrap/>
            <w:vAlign w:val="center"/>
          </w:tcPr>
          <w:p w14:paraId="1DD4320D" w14:textId="77777777" w:rsidR="00885443" w:rsidRPr="002D723D" w:rsidRDefault="00885443" w:rsidP="005647A9">
            <w:pPr>
              <w:spacing w:before="0" w:after="0" w:line="240" w:lineRule="auto"/>
              <w:jc w:val="right"/>
              <w:rPr>
                <w:rFonts w:eastAsia="Times New Roman" w:cs="Calibri Light"/>
                <w:sz w:val="20"/>
                <w:szCs w:val="20"/>
              </w:rPr>
            </w:pPr>
            <w:r>
              <w:rPr>
                <w:rFonts w:eastAsia="Times New Roman" w:cs="Calibri Light"/>
                <w:sz w:val="20"/>
                <w:szCs w:val="20"/>
              </w:rPr>
              <w:t>48.81</w:t>
            </w:r>
          </w:p>
        </w:tc>
        <w:tc>
          <w:tcPr>
            <w:tcW w:w="1440" w:type="dxa"/>
            <w:vAlign w:val="center"/>
          </w:tcPr>
          <w:p w14:paraId="24D5C62C" w14:textId="17248217" w:rsidR="00885443" w:rsidRDefault="00885443" w:rsidP="005647A9">
            <w:pPr>
              <w:spacing w:before="0" w:after="0" w:line="240" w:lineRule="auto"/>
              <w:jc w:val="right"/>
              <w:rPr>
                <w:rFonts w:eastAsia="Times New Roman" w:cs="Calibri Light"/>
                <w:sz w:val="20"/>
                <w:szCs w:val="20"/>
              </w:rPr>
            </w:pPr>
            <w:r>
              <w:rPr>
                <w:rFonts w:eastAsia="Times New Roman" w:cs="Calibri Light"/>
                <w:sz w:val="20"/>
                <w:szCs w:val="20"/>
              </w:rPr>
              <w:t>33.27</w:t>
            </w:r>
          </w:p>
        </w:tc>
        <w:tc>
          <w:tcPr>
            <w:tcW w:w="3299" w:type="dxa"/>
            <w:vAlign w:val="center"/>
          </w:tcPr>
          <w:p w14:paraId="02DFD48B" w14:textId="77777777" w:rsidR="00885443" w:rsidRPr="00BF1799" w:rsidRDefault="00885443" w:rsidP="005647A9">
            <w:pPr>
              <w:spacing w:before="0" w:after="0" w:line="240" w:lineRule="auto"/>
              <w:rPr>
                <w:rFonts w:eastAsia="Times New Roman" w:cs="Calibri Light"/>
                <w:sz w:val="18"/>
                <w:szCs w:val="18"/>
              </w:rPr>
            </w:pPr>
            <w:r w:rsidRPr="00076DB5">
              <w:rPr>
                <w:sz w:val="18"/>
              </w:rPr>
              <w:t>Sempra Energy Utilities (SEU). 2012. “SEU 2009 ASW Data REDACTED.xlsx”.</w:t>
            </w:r>
          </w:p>
        </w:tc>
      </w:tr>
    </w:tbl>
    <w:p w14:paraId="1C303234" w14:textId="77777777" w:rsidR="00C95071" w:rsidRDefault="00C95071" w:rsidP="00C95071"/>
    <w:p w14:paraId="0002C5D1" w14:textId="7CFE3714" w:rsidR="00C95071" w:rsidRDefault="00C95071" w:rsidP="00C95071">
      <w:pPr>
        <w:pStyle w:val="eTRMHeading5"/>
        <w:keepNext/>
        <w:keepLines/>
      </w:pPr>
      <w:r>
        <w:t>Calculation of Gas Unit Energy Savings</w:t>
      </w:r>
      <w:r w:rsidR="00FE34B8">
        <w:t xml:space="preserve"> from Low-Flow Showerhead</w:t>
      </w:r>
    </w:p>
    <w:p w14:paraId="056B9D00" w14:textId="186DCC4B" w:rsidR="00C95071" w:rsidRDefault="00C95071" w:rsidP="00C95071">
      <w:pPr>
        <w:keepNext/>
        <w:keepLines/>
      </w:pPr>
      <w:r>
        <w:t>The gas unit energy s</w:t>
      </w:r>
      <w:r w:rsidRPr="00B20B50">
        <w:t>avings</w:t>
      </w:r>
      <w:r>
        <w:t xml:space="preserve"> (UES)</w:t>
      </w:r>
      <w:r w:rsidRPr="00B20B50">
        <w:t xml:space="preserve"> </w:t>
      </w:r>
      <w:r>
        <w:t>of this measure is</w:t>
      </w:r>
      <w:r w:rsidRPr="00B20B50">
        <w:t xml:space="preserve"> </w:t>
      </w:r>
      <w:r>
        <w:t xml:space="preserve">based upon the estimated decrease in hot water usage as a result of the installation of a low-flow aerator. The calculation of gas UES is represented </w:t>
      </w:r>
      <w:r w:rsidR="007E70F8">
        <w:t>below</w:t>
      </w:r>
      <w:r>
        <w:t xml:space="preserve">. </w:t>
      </w:r>
    </w:p>
    <w:bookmarkStart w:id="52" w:name="_Hlk511642967"/>
    <w:p w14:paraId="4DDFB050" w14:textId="03932CD0" w:rsidR="00C95071" w:rsidRPr="008560FF" w:rsidRDefault="00497854" w:rsidP="00C95071">
      <w:pPr>
        <w:ind w:left="630"/>
        <w:rPr>
          <w:rFonts w:asciiTheme="minorHAnsi" w:hAnsiTheme="minorHAnsi"/>
          <w:sz w:val="16"/>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t</m:t>
              </m:r>
              <m:r>
                <w:rPr>
                  <w:rFonts w:ascii="Cambria Math" w:hAnsi="Cambria Math"/>
                  <w:sz w:val="18"/>
                </w:rPr>
                <m:t>h</m:t>
              </m:r>
              <m:r>
                <w:rPr>
                  <w:rFonts w:ascii="Cambria Math" w:hAnsi="Cambria Math"/>
                  <w:sz w:val="18"/>
                </w:rPr>
                <m:t>erms</m:t>
              </m:r>
              <m:r>
                <w:rPr>
                  <w:rFonts w:ascii="Cambria Math" w:hAnsi="Cambria Math"/>
                  <w:sz w:val="18"/>
                </w:rPr>
                <m:t xml:space="preserve"> </m:t>
              </m:r>
            </m:sub>
          </m:sSub>
          <m:r>
            <w:rPr>
              <w:rFonts w:ascii="Cambria Math" w:hAnsi="Cambria Math"/>
              <w:sz w:val="18"/>
            </w:rPr>
            <m:t xml:space="preserve">= </m:t>
          </m:r>
          <m:d>
            <m:dPr>
              <m:begChr m:val="["/>
              <m:endChr m:val="]"/>
              <m:ctrlPr>
                <w:rPr>
                  <w:rFonts w:ascii="Cambria Math" w:hAnsi="Cambria Math"/>
                  <w:i/>
                  <w:sz w:val="18"/>
                </w:rPr>
              </m:ctrlPr>
            </m:dPr>
            <m:e>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WS</m:t>
                      </m:r>
                    </m:e>
                    <m:sub>
                      <m:r>
                        <w:rPr>
                          <w:rFonts w:ascii="Cambria Math" w:hAnsi="Cambria Math"/>
                          <w:sz w:val="18"/>
                        </w:rPr>
                        <m:t>s</m:t>
                      </m:r>
                      <m:r>
                        <w:rPr>
                          <w:rFonts w:ascii="Cambria Math" w:hAnsi="Cambria Math"/>
                          <w:sz w:val="18"/>
                        </w:rPr>
                        <m:t>h</m:t>
                      </m:r>
                      <m:r>
                        <w:rPr>
                          <w:rFonts w:ascii="Cambria Math" w:hAnsi="Cambria Math"/>
                          <w:sz w:val="18"/>
                        </w:rPr>
                        <m:t>ower</m:t>
                      </m:r>
                      <m:r>
                        <w:rPr>
                          <w:rFonts w:ascii="Cambria Math" w:hAnsi="Cambria Math"/>
                          <w:sz w:val="18"/>
                        </w:rPr>
                        <m:t>h</m:t>
                      </m:r>
                      <m:r>
                        <w:rPr>
                          <w:rFonts w:ascii="Cambria Math" w:hAnsi="Cambria Math"/>
                          <w:sz w:val="18"/>
                        </w:rPr>
                        <m:t>ead</m:t>
                      </m:r>
                    </m:sub>
                  </m:sSub>
                  <m:r>
                    <w:rPr>
                      <w:rFonts w:ascii="Cambria Math" w:hAnsi="Cambria Math"/>
                      <w:sz w:val="18"/>
                    </w:rPr>
                    <m:t>×</m:t>
                  </m:r>
                  <m:r>
                    <w:rPr>
                      <w:rFonts w:ascii="Cambria Math" w:hAnsi="Cambria Math"/>
                      <w:sz w:val="18"/>
                    </w:rPr>
                    <m:t>Cp</m:t>
                  </m:r>
                  <m:r>
                    <w:rPr>
                      <w:rFonts w:ascii="Cambria Math" w:hAnsi="Cambria Math"/>
                      <w:sz w:val="18"/>
                    </w:rPr>
                    <m:t>×</m:t>
                  </m:r>
                  <m:r>
                    <w:rPr>
                      <w:rFonts w:ascii="Cambria Math" w:hAnsi="Cambria Math"/>
                      <w:sz w:val="18"/>
                    </w:rPr>
                    <m:t>WaterWeig</m:t>
                  </m:r>
                  <m:r>
                    <w:rPr>
                      <w:rFonts w:ascii="Cambria Math" w:hAnsi="Cambria Math"/>
                      <w:sz w:val="18"/>
                    </w:rPr>
                    <m:t>h</m:t>
                  </m:r>
                  <m:r>
                    <w:rPr>
                      <w:rFonts w:ascii="Cambria Math" w:hAnsi="Cambria Math"/>
                      <w:sz w:val="18"/>
                    </w:rPr>
                    <m:t>t</m:t>
                  </m:r>
                  <m:r>
                    <w:rPr>
                      <w:rFonts w:ascii="Cambria Math" w:hAnsi="Cambria Math"/>
                      <w:sz w:val="18"/>
                    </w:rPr>
                    <m:t>×</m:t>
                  </m:r>
                  <m:d>
                    <m:dPr>
                      <m:ctrlPr>
                        <w:rPr>
                          <w:rFonts w:ascii="Cambria Math" w:hAnsi="Cambria Math"/>
                          <w:i/>
                          <w:sz w:val="18"/>
                        </w:rPr>
                      </m:ctrlPr>
                    </m:dPr>
                    <m:e>
                      <m:f>
                        <m:fPr>
                          <m:ctrlPr>
                            <w:rPr>
                              <w:rFonts w:ascii="Cambria Math" w:hAnsi="Cambria Math"/>
                              <w:i/>
                              <w:sz w:val="18"/>
                            </w:rPr>
                          </m:ctrlPr>
                        </m:fPr>
                        <m:num>
                          <m:r>
                            <w:rPr>
                              <w:rFonts w:ascii="Cambria Math" w:hAnsi="Cambria Math"/>
                              <w:sz w:val="18"/>
                            </w:rPr>
                            <m:t xml:space="preserve">1 </m:t>
                          </m:r>
                          <m:r>
                            <w:rPr>
                              <w:rFonts w:ascii="Cambria Math" w:hAnsi="Cambria Math"/>
                              <w:sz w:val="18"/>
                            </w:rPr>
                            <m:t>t</m:t>
                          </m:r>
                          <m:r>
                            <w:rPr>
                              <w:rFonts w:ascii="Cambria Math" w:hAnsi="Cambria Math"/>
                              <w:sz w:val="18"/>
                            </w:rPr>
                            <m:t>h</m:t>
                          </m:r>
                          <m:r>
                            <w:rPr>
                              <w:rFonts w:ascii="Cambria Math" w:hAnsi="Cambria Math"/>
                              <w:sz w:val="18"/>
                            </w:rPr>
                            <m:t>erm</m:t>
                          </m:r>
                        </m:num>
                        <m:den>
                          <m:r>
                            <w:rPr>
                              <w:rFonts w:ascii="Cambria Math" w:hAnsi="Cambria Math"/>
                              <w:sz w:val="18"/>
                            </w:rPr>
                            <m:t xml:space="preserve">100,000 </m:t>
                          </m:r>
                          <m:r>
                            <w:rPr>
                              <w:rFonts w:ascii="Cambria Math" w:hAnsi="Cambria Math"/>
                              <w:sz w:val="18"/>
                            </w:rPr>
                            <m:t>Btu</m:t>
                          </m:r>
                        </m:den>
                      </m:f>
                    </m:e>
                  </m:d>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T</m:t>
                          </m:r>
                        </m:e>
                        <m:sub>
                          <m:r>
                            <w:rPr>
                              <w:rFonts w:ascii="Cambria Math" w:hAnsi="Cambria Math"/>
                              <w:sz w:val="18"/>
                            </w:rPr>
                            <m:t>m</m:t>
                          </m:r>
                          <m:r>
                            <w:rPr>
                              <w:rFonts w:ascii="Cambria Math" w:hAnsi="Cambria Math"/>
                              <w:sz w:val="18"/>
                            </w:rPr>
                            <m:t>ixed</m:t>
                          </m:r>
                        </m:sub>
                      </m:sSub>
                      <m:r>
                        <w:rPr>
                          <w:rFonts w:ascii="Cambria Math" w:hAnsi="Cambria Math"/>
                          <w:sz w:val="18"/>
                        </w:rPr>
                        <m:t>-</m:t>
                      </m:r>
                      <m:sSub>
                        <m:sSubPr>
                          <m:ctrlPr>
                            <w:rPr>
                              <w:rFonts w:ascii="Cambria Math" w:hAnsi="Cambria Math"/>
                              <w:i/>
                              <w:sz w:val="18"/>
                            </w:rPr>
                          </m:ctrlPr>
                        </m:sSubPr>
                        <m:e>
                          <m:r>
                            <w:rPr>
                              <w:rFonts w:ascii="Cambria Math" w:hAnsi="Cambria Math"/>
                              <w:sz w:val="18"/>
                            </w:rPr>
                            <m:t>T</m:t>
                          </m:r>
                        </m:e>
                        <m:sub>
                          <m:r>
                            <w:rPr>
                              <w:rFonts w:ascii="Cambria Math" w:hAnsi="Cambria Math"/>
                              <w:sz w:val="18"/>
                            </w:rPr>
                            <m:t>ground</m:t>
                          </m:r>
                        </m:sub>
                      </m:sSub>
                    </m:e>
                  </m:d>
                </m:num>
                <m:den>
                  <m:sSub>
                    <m:sSubPr>
                      <m:ctrlPr>
                        <w:rPr>
                          <w:rFonts w:ascii="Cambria Math" w:hAnsi="Cambria Math"/>
                          <w:i/>
                          <w:sz w:val="18"/>
                        </w:rPr>
                      </m:ctrlPr>
                    </m:sSubPr>
                    <m:e>
                      <m:r>
                        <w:rPr>
                          <w:rFonts w:ascii="Cambria Math" w:hAnsi="Cambria Math"/>
                          <w:sz w:val="18"/>
                        </w:rPr>
                        <m:t>EFF</m:t>
                      </m:r>
                    </m:e>
                    <m:sub>
                      <m:r>
                        <w:rPr>
                          <w:rFonts w:ascii="Cambria Math" w:hAnsi="Cambria Math"/>
                          <w:sz w:val="18"/>
                        </w:rPr>
                        <m:t>gas</m:t>
                      </m:r>
                    </m:sub>
                  </m:sSub>
                </m:den>
              </m:f>
            </m:e>
          </m:d>
        </m:oMath>
      </m:oMathPara>
    </w:p>
    <w:bookmarkEnd w:id="52"/>
    <w:p w14:paraId="197BD1B2" w14:textId="77777777" w:rsidR="00C95071" w:rsidRDefault="00C95071" w:rsidP="00C95071">
      <w:pPr>
        <w:rPr>
          <w:rFonts w:asciiTheme="minorHAnsi" w:hAnsiTheme="minorHAnsi"/>
          <w:sz w:val="16"/>
        </w:rPr>
      </w:pPr>
    </w:p>
    <w:p w14:paraId="2AD0D381" w14:textId="6852838E" w:rsidR="00C95071" w:rsidRDefault="00C95071" w:rsidP="00C95071">
      <w:pPr>
        <w:tabs>
          <w:tab w:val="left" w:pos="342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UES</w:t>
      </w:r>
      <w:r>
        <w:rPr>
          <w:rFonts w:ascii="Cambria Math" w:hAnsi="Cambria Math" w:cs="Calibri Light"/>
          <w:i/>
          <w:sz w:val="18"/>
          <w:szCs w:val="18"/>
          <w:vertAlign w:val="subscript"/>
        </w:rPr>
        <w:t>therms</w:t>
      </w:r>
      <w:proofErr w:type="spellEnd"/>
      <w:r>
        <w:rPr>
          <w:rFonts w:ascii="Cambria Math" w:hAnsi="Cambria Math" w:cs="Calibri Light"/>
          <w:i/>
          <w:sz w:val="18"/>
          <w:szCs w:val="18"/>
        </w:rPr>
        <w:t xml:space="preserve"> = </w:t>
      </w:r>
      <w:r>
        <w:rPr>
          <w:rFonts w:ascii="Cambria Math" w:hAnsi="Cambria Math" w:cs="Calibri Light"/>
          <w:i/>
          <w:sz w:val="18"/>
          <w:szCs w:val="18"/>
        </w:rPr>
        <w:tab/>
        <w:t>Annual gas unit energy savings (</w:t>
      </w:r>
      <w:proofErr w:type="spellStart"/>
      <w:r>
        <w:rPr>
          <w:rFonts w:ascii="Cambria Math" w:hAnsi="Cambria Math" w:cs="Calibri Light"/>
          <w:i/>
          <w:sz w:val="18"/>
          <w:szCs w:val="18"/>
        </w:rPr>
        <w:t>therms</w:t>
      </w:r>
      <w:proofErr w:type="spellEnd"/>
      <w:r>
        <w:rPr>
          <w:rFonts w:ascii="Cambria Math" w:hAnsi="Cambria Math" w:cs="Calibri Light"/>
          <w:i/>
          <w:sz w:val="18"/>
          <w:szCs w:val="18"/>
        </w:rPr>
        <w:t>/</w:t>
      </w:r>
      <w:proofErr w:type="spellStart"/>
      <w:r w:rsidR="00226B43">
        <w:rPr>
          <w:rFonts w:ascii="Cambria Math" w:hAnsi="Cambria Math" w:cs="Calibri Light"/>
          <w:i/>
          <w:sz w:val="18"/>
          <w:szCs w:val="18"/>
        </w:rPr>
        <w:t>yr</w:t>
      </w:r>
      <w:proofErr w:type="spellEnd"/>
      <w:r>
        <w:rPr>
          <w:rFonts w:ascii="Cambria Math" w:hAnsi="Cambria Math" w:cs="Calibri Light"/>
          <w:i/>
          <w:sz w:val="18"/>
          <w:szCs w:val="18"/>
        </w:rPr>
        <w:t>)</w:t>
      </w:r>
    </w:p>
    <w:p w14:paraId="284EB350" w14:textId="77777777" w:rsidR="00C95071" w:rsidRDefault="00C95071" w:rsidP="00C95071">
      <w:pPr>
        <w:tabs>
          <w:tab w:val="left" w:pos="3420"/>
        </w:tabs>
        <w:spacing w:before="20" w:after="20"/>
        <w:ind w:left="1440"/>
        <w:rPr>
          <w:rFonts w:ascii="Cambria Math" w:hAnsi="Cambria Math" w:cs="Calibri Light"/>
          <w:i/>
          <w:sz w:val="18"/>
          <w:szCs w:val="18"/>
        </w:rPr>
      </w:pPr>
      <w:r>
        <w:rPr>
          <w:rFonts w:ascii="Cambria Math" w:hAnsi="Cambria Math" w:cs="Calibri Light"/>
          <w:i/>
          <w:sz w:val="18"/>
          <w:szCs w:val="18"/>
        </w:rPr>
        <w:t xml:space="preserve">Cp = </w:t>
      </w:r>
      <w:r>
        <w:rPr>
          <w:rFonts w:ascii="Cambria Math" w:hAnsi="Cambria Math" w:cs="Calibri Light"/>
          <w:i/>
          <w:sz w:val="18"/>
          <w:szCs w:val="18"/>
        </w:rPr>
        <w:tab/>
        <w:t>Specific heat capacity of water (Btu/</w:t>
      </w:r>
      <w:proofErr w:type="spellStart"/>
      <w:r>
        <w:rPr>
          <w:rFonts w:ascii="Cambria Math" w:hAnsi="Cambria Math" w:cs="Calibri Light"/>
          <w:i/>
          <w:sz w:val="18"/>
          <w:szCs w:val="18"/>
        </w:rPr>
        <w:t>lb</w:t>
      </w:r>
      <w:proofErr w:type="spellEnd"/>
      <w:r>
        <w:rPr>
          <w:rFonts w:ascii="Cambria Math" w:hAnsi="Cambria Math" w:cs="Calibri Light"/>
          <w:i/>
          <w:sz w:val="18"/>
          <w:szCs w:val="18"/>
        </w:rPr>
        <w:t>/°F), fixed constant</w:t>
      </w:r>
    </w:p>
    <w:p w14:paraId="6E41C76C" w14:textId="77777777" w:rsidR="00C95071" w:rsidRDefault="00C95071" w:rsidP="00C95071">
      <w:pPr>
        <w:tabs>
          <w:tab w:val="left" w:pos="342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WaterWeight</w:t>
      </w:r>
      <w:proofErr w:type="spellEnd"/>
      <w:r>
        <w:rPr>
          <w:rFonts w:ascii="Cambria Math" w:hAnsi="Cambria Math" w:cs="Calibri Light"/>
          <w:i/>
          <w:sz w:val="18"/>
          <w:szCs w:val="18"/>
        </w:rPr>
        <w:t xml:space="preserve"> = </w:t>
      </w:r>
      <w:r>
        <w:rPr>
          <w:rFonts w:ascii="Cambria Math" w:hAnsi="Cambria Math" w:cs="Calibri Light"/>
          <w:i/>
          <w:sz w:val="18"/>
          <w:szCs w:val="18"/>
        </w:rPr>
        <w:tab/>
        <w:t>Weight of water (</w:t>
      </w:r>
      <w:proofErr w:type="spellStart"/>
      <w:r>
        <w:rPr>
          <w:rFonts w:ascii="Cambria Math" w:hAnsi="Cambria Math" w:cs="Calibri Light"/>
          <w:i/>
          <w:sz w:val="18"/>
          <w:szCs w:val="18"/>
        </w:rPr>
        <w:t>lb</w:t>
      </w:r>
      <w:proofErr w:type="spellEnd"/>
      <w:r>
        <w:rPr>
          <w:rFonts w:ascii="Cambria Math" w:hAnsi="Cambria Math" w:cs="Calibri Light"/>
          <w:i/>
          <w:sz w:val="18"/>
          <w:szCs w:val="18"/>
        </w:rPr>
        <w:t>/gal), fixed constant</w:t>
      </w:r>
    </w:p>
    <w:p w14:paraId="6C8C5F63" w14:textId="77777777" w:rsidR="00C95071" w:rsidRDefault="00C95071" w:rsidP="00C95071">
      <w:pPr>
        <w:tabs>
          <w:tab w:val="left" w:pos="342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T</w:t>
      </w:r>
      <w:r w:rsidRPr="00615CFA">
        <w:rPr>
          <w:rFonts w:ascii="Cambria Math" w:hAnsi="Cambria Math" w:cs="Calibri Light"/>
          <w:i/>
          <w:sz w:val="18"/>
          <w:szCs w:val="18"/>
          <w:vertAlign w:val="subscript"/>
        </w:rPr>
        <w:t>mixed</w:t>
      </w:r>
      <w:proofErr w:type="spellEnd"/>
      <w:r>
        <w:rPr>
          <w:rFonts w:ascii="Cambria Math" w:hAnsi="Cambria Math" w:cs="Calibri Light"/>
          <w:i/>
          <w:sz w:val="18"/>
          <w:szCs w:val="18"/>
        </w:rPr>
        <w:t xml:space="preserve"> </w:t>
      </w:r>
      <w:r w:rsidRPr="000B726B">
        <w:rPr>
          <w:rFonts w:ascii="Cambria Math" w:hAnsi="Cambria Math" w:cs="Calibri Light"/>
          <w:i/>
          <w:sz w:val="18"/>
          <w:szCs w:val="18"/>
        </w:rPr>
        <w:t xml:space="preserve">= </w:t>
      </w:r>
      <w:r>
        <w:rPr>
          <w:rFonts w:ascii="Cambria Math" w:hAnsi="Cambria Math" w:cs="Calibri Light"/>
          <w:i/>
          <w:sz w:val="18"/>
          <w:szCs w:val="18"/>
        </w:rPr>
        <w:tab/>
        <w:t>Mixed water temperature, at faucet (°F)</w:t>
      </w:r>
    </w:p>
    <w:p w14:paraId="60343B32" w14:textId="6BD78411" w:rsidR="00C95071" w:rsidRDefault="00C95071" w:rsidP="00C95071">
      <w:pPr>
        <w:tabs>
          <w:tab w:val="left" w:pos="3420"/>
        </w:tabs>
        <w:spacing w:before="20" w:after="20"/>
        <w:ind w:left="1440"/>
        <w:rPr>
          <w:rFonts w:ascii="Cambria Math" w:hAnsi="Cambria Math" w:cs="Calibri Light"/>
          <w:i/>
          <w:sz w:val="18"/>
          <w:szCs w:val="18"/>
        </w:rPr>
      </w:pPr>
      <w:proofErr w:type="spellStart"/>
      <w:r>
        <w:rPr>
          <w:rFonts w:ascii="Cambria Math" w:hAnsi="Cambria Math"/>
          <w:i/>
          <w:sz w:val="18"/>
          <w:szCs w:val="18"/>
        </w:rPr>
        <w:t>T</w:t>
      </w:r>
      <w:r w:rsidRPr="00615CFA">
        <w:rPr>
          <w:rFonts w:ascii="Cambria Math" w:hAnsi="Cambria Math"/>
          <w:i/>
          <w:sz w:val="18"/>
          <w:szCs w:val="18"/>
          <w:vertAlign w:val="subscript"/>
        </w:rPr>
        <w:t>ground</w:t>
      </w:r>
      <w:proofErr w:type="spellEnd"/>
      <w:r>
        <w:rPr>
          <w:rFonts w:ascii="Cambria Math" w:hAnsi="Cambria Math"/>
          <w:i/>
          <w:sz w:val="18"/>
          <w:szCs w:val="18"/>
        </w:rPr>
        <w:t xml:space="preserve"> = </w:t>
      </w:r>
      <w:r>
        <w:rPr>
          <w:rFonts w:ascii="Cambria Math" w:hAnsi="Cambria Math"/>
          <w:i/>
          <w:sz w:val="18"/>
          <w:szCs w:val="18"/>
        </w:rPr>
        <w:tab/>
        <w:t xml:space="preserve">Make-up groundwater temperature, </w:t>
      </w:r>
      <w:r w:rsidR="007E70F8">
        <w:rPr>
          <w:rFonts w:ascii="Cambria Math" w:hAnsi="Cambria Math"/>
          <w:i/>
          <w:sz w:val="18"/>
          <w:szCs w:val="18"/>
        </w:rPr>
        <w:t>varies by climate zone</w:t>
      </w:r>
      <w:r>
        <w:rPr>
          <w:rFonts w:ascii="Cambria Math" w:hAnsi="Cambria Math" w:cs="Calibri Light"/>
          <w:i/>
          <w:sz w:val="18"/>
          <w:szCs w:val="18"/>
        </w:rPr>
        <w:t>(°F)</w:t>
      </w:r>
    </w:p>
    <w:p w14:paraId="4ECFCC19" w14:textId="77777777" w:rsidR="00C95071" w:rsidRDefault="00C95071" w:rsidP="00C95071">
      <w:pPr>
        <w:tabs>
          <w:tab w:val="left" w:pos="3420"/>
        </w:tabs>
        <w:spacing w:before="20" w:after="20"/>
        <w:ind w:left="1440"/>
        <w:rPr>
          <w:rFonts w:ascii="Cambria Math" w:hAnsi="Cambria Math"/>
          <w:i/>
          <w:sz w:val="18"/>
          <w:szCs w:val="18"/>
        </w:rPr>
      </w:pPr>
      <w:proofErr w:type="spellStart"/>
      <w:r>
        <w:rPr>
          <w:rFonts w:ascii="Cambria Math" w:hAnsi="Cambria Math"/>
          <w:i/>
          <w:sz w:val="18"/>
          <w:szCs w:val="18"/>
        </w:rPr>
        <w:t>EFF</w:t>
      </w:r>
      <w:r>
        <w:rPr>
          <w:rFonts w:ascii="Cambria Math" w:hAnsi="Cambria Math"/>
          <w:i/>
          <w:sz w:val="18"/>
          <w:szCs w:val="18"/>
          <w:vertAlign w:val="subscript"/>
        </w:rPr>
        <w:t>gas</w:t>
      </w:r>
      <w:proofErr w:type="spellEnd"/>
      <w:r>
        <w:rPr>
          <w:rFonts w:ascii="Cambria Math" w:hAnsi="Cambria Math"/>
          <w:i/>
          <w:sz w:val="18"/>
          <w:szCs w:val="18"/>
        </w:rPr>
        <w:t xml:space="preserve"> = </w:t>
      </w:r>
      <w:r>
        <w:rPr>
          <w:rFonts w:ascii="Cambria Math" w:hAnsi="Cambria Math"/>
          <w:i/>
          <w:sz w:val="18"/>
          <w:szCs w:val="18"/>
        </w:rPr>
        <w:tab/>
        <w:t xml:space="preserve">Water heater efficiency, gas </w:t>
      </w:r>
    </w:p>
    <w:p w14:paraId="6656AA39" w14:textId="77777777" w:rsidR="00C95071" w:rsidRDefault="00C95071" w:rsidP="00C95071">
      <w:pPr>
        <w:rPr>
          <w:rFonts w:cs="Calibri Light"/>
        </w:rPr>
      </w:pPr>
    </w:p>
    <w:p w14:paraId="25CD3469" w14:textId="2D98FE53" w:rsidR="00C95071" w:rsidRPr="006A3263" w:rsidRDefault="00C955EC" w:rsidP="00C95071">
      <w:r>
        <w:t xml:space="preserve">The inputs </w:t>
      </w:r>
      <w:r w:rsidR="00C95071" w:rsidRPr="006A3263">
        <w:t>and assumptions used in these equations</w:t>
      </w:r>
      <w:r>
        <w:t xml:space="preserve"> are specified below</w:t>
      </w:r>
      <w:r w:rsidR="00C95071" w:rsidRPr="006A3263">
        <w:t>.</w:t>
      </w:r>
      <w:r w:rsidR="00C95071" w:rsidRPr="00891C20">
        <w:t xml:space="preserve"> </w:t>
      </w:r>
      <w:r w:rsidR="00C95071">
        <w:t xml:space="preserve">Refer to Electric Savings for explanation of the fuel-neutral inputs. Additional explanation for the inputs that are specific only to natural gas follows the </w:t>
      </w:r>
      <w:r w:rsidR="00EE0A98">
        <w:rPr>
          <w:szCs w:val="22"/>
        </w:rPr>
        <w:t>table</w:t>
      </w:r>
      <w:r w:rsidR="00C95071">
        <w:t>.</w:t>
      </w:r>
    </w:p>
    <w:p w14:paraId="4C60629B" w14:textId="61616EA6" w:rsidR="00C95071" w:rsidRPr="008560FF" w:rsidRDefault="00C95071" w:rsidP="00FD61F7">
      <w:pPr>
        <w:pStyle w:val="Caption"/>
        <w:rPr>
          <w:rFonts w:cs="Calibri Light"/>
          <w:szCs w:val="20"/>
        </w:rPr>
      </w:pPr>
      <w:r>
        <w:lastRenderedPageBreak/>
        <w:t xml:space="preserve">Gas </w:t>
      </w:r>
      <w:r>
        <w:rPr>
          <w:rFonts w:cs="Calibri Light"/>
          <w:szCs w:val="20"/>
        </w:rPr>
        <w:t>Energy Use Parameters</w:t>
      </w:r>
      <w:r w:rsidRPr="008560FF">
        <w:rPr>
          <w:rFonts w:cs="Calibri Light"/>
          <w:szCs w:val="20"/>
        </w:rPr>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2965"/>
        <w:gridCol w:w="1260"/>
        <w:gridCol w:w="5310"/>
      </w:tblGrid>
      <w:tr w:rsidR="00CD1B33" w:rsidRPr="00D31C65" w14:paraId="4C4B7DF6" w14:textId="77777777" w:rsidTr="00CD1B33">
        <w:trPr>
          <w:trHeight w:val="260"/>
          <w:tblHeader/>
        </w:trPr>
        <w:tc>
          <w:tcPr>
            <w:tcW w:w="2965" w:type="dxa"/>
            <w:shd w:val="clear" w:color="auto" w:fill="F2F2F2" w:themeFill="background1" w:themeFillShade="F2"/>
            <w:noWrap/>
            <w:vAlign w:val="bottom"/>
            <w:hideMark/>
          </w:tcPr>
          <w:p w14:paraId="660A34DF" w14:textId="77777777" w:rsidR="00CD1B33" w:rsidRPr="00D31C65" w:rsidRDefault="00CD1B33" w:rsidP="00FD61F7">
            <w:pPr>
              <w:keepNext/>
              <w:keepLines/>
              <w:spacing w:before="0" w:after="0" w:line="240" w:lineRule="auto"/>
              <w:rPr>
                <w:rFonts w:eastAsia="Times New Roman" w:cs="Times New Roman"/>
                <w:b/>
                <w:sz w:val="20"/>
                <w:szCs w:val="20"/>
              </w:rPr>
            </w:pPr>
            <w:r>
              <w:rPr>
                <w:rFonts w:eastAsia="Times New Roman" w:cs="Times New Roman"/>
                <w:b/>
                <w:sz w:val="20"/>
                <w:szCs w:val="20"/>
              </w:rPr>
              <w:t>Parameter</w:t>
            </w:r>
          </w:p>
        </w:tc>
        <w:tc>
          <w:tcPr>
            <w:tcW w:w="1260" w:type="dxa"/>
            <w:shd w:val="clear" w:color="auto" w:fill="F2F2F2" w:themeFill="background1" w:themeFillShade="F2"/>
            <w:noWrap/>
            <w:vAlign w:val="bottom"/>
            <w:hideMark/>
          </w:tcPr>
          <w:p w14:paraId="4CB456C5" w14:textId="77777777" w:rsidR="00CD1B33" w:rsidRPr="00D31C65" w:rsidRDefault="00CD1B33" w:rsidP="00FD61F7">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Value</w:t>
            </w:r>
          </w:p>
        </w:tc>
        <w:tc>
          <w:tcPr>
            <w:tcW w:w="5310" w:type="dxa"/>
            <w:shd w:val="clear" w:color="auto" w:fill="F2F2F2" w:themeFill="background1" w:themeFillShade="F2"/>
            <w:noWrap/>
            <w:vAlign w:val="bottom"/>
            <w:hideMark/>
          </w:tcPr>
          <w:p w14:paraId="3D71A81F" w14:textId="77777777" w:rsidR="00CD1B33" w:rsidRPr="00D31C65" w:rsidRDefault="00CD1B33" w:rsidP="00FD61F7">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Source</w:t>
            </w:r>
          </w:p>
        </w:tc>
      </w:tr>
      <w:tr w:rsidR="00CD1B33" w:rsidRPr="00D31C65" w14:paraId="636F3D7D" w14:textId="77777777" w:rsidTr="00CD1B33">
        <w:trPr>
          <w:trHeight w:val="260"/>
        </w:trPr>
        <w:tc>
          <w:tcPr>
            <w:tcW w:w="2965" w:type="dxa"/>
            <w:shd w:val="clear" w:color="auto" w:fill="FFFFFF" w:themeFill="background1"/>
            <w:noWrap/>
            <w:vAlign w:val="center"/>
            <w:hideMark/>
          </w:tcPr>
          <w:p w14:paraId="072C11E6" w14:textId="1F02F43E" w:rsidR="00CD1B33" w:rsidRPr="00D31C65" w:rsidRDefault="00CD1B33" w:rsidP="00FD61F7">
            <w:pPr>
              <w:keepNext/>
              <w:keepLines/>
              <w:spacing w:before="0" w:after="0" w:line="240" w:lineRule="auto"/>
              <w:rPr>
                <w:rFonts w:eastAsia="Times New Roman" w:cs="Times New Roman"/>
                <w:sz w:val="20"/>
                <w:szCs w:val="20"/>
              </w:rPr>
            </w:pPr>
            <w:r>
              <w:rPr>
                <w:rFonts w:eastAsia="Times New Roman" w:cs="Times New Roman"/>
                <w:sz w:val="20"/>
                <w:szCs w:val="20"/>
              </w:rPr>
              <w:t>Specific Heat Capacity</w:t>
            </w:r>
            <w:r w:rsidRPr="00D31C65">
              <w:rPr>
                <w:rFonts w:eastAsia="Times New Roman" w:cs="Times New Roman"/>
                <w:sz w:val="20"/>
                <w:szCs w:val="20"/>
              </w:rPr>
              <w:t xml:space="preserve"> of </w:t>
            </w:r>
            <w:r>
              <w:rPr>
                <w:rFonts w:eastAsia="Times New Roman" w:cs="Times New Roman"/>
                <w:sz w:val="20"/>
                <w:szCs w:val="20"/>
              </w:rPr>
              <w:t>W</w:t>
            </w:r>
            <w:r w:rsidRPr="00D31C65">
              <w:rPr>
                <w:rFonts w:eastAsia="Times New Roman" w:cs="Times New Roman"/>
                <w:sz w:val="20"/>
                <w:szCs w:val="20"/>
              </w:rPr>
              <w:t>ater</w:t>
            </w:r>
            <w:r>
              <w:rPr>
                <w:rFonts w:eastAsia="Times New Roman" w:cs="Times New Roman"/>
                <w:sz w:val="20"/>
                <w:szCs w:val="20"/>
              </w:rPr>
              <w:t xml:space="preserve"> (Btu</w:t>
            </w:r>
            <w:r w:rsidRPr="00D31C65">
              <w:rPr>
                <w:rFonts w:eastAsia="Times New Roman" w:cs="Times New Roman"/>
                <w:sz w:val="20"/>
                <w:szCs w:val="20"/>
              </w:rPr>
              <w:t>/</w:t>
            </w:r>
            <w:proofErr w:type="spellStart"/>
            <w:r w:rsidRPr="00D31C65">
              <w:rPr>
                <w:rFonts w:eastAsia="Times New Roman" w:cs="Times New Roman"/>
                <w:sz w:val="20"/>
                <w:szCs w:val="20"/>
              </w:rPr>
              <w:t>lb</w:t>
            </w:r>
            <w:proofErr w:type="spellEnd"/>
            <w:r w:rsidRPr="00D31C65">
              <w:rPr>
                <w:rFonts w:eastAsia="Times New Roman" w:cs="Times New Roman"/>
                <w:sz w:val="20"/>
                <w:szCs w:val="20"/>
              </w:rPr>
              <w:t>/°F</w:t>
            </w:r>
            <w:r>
              <w:rPr>
                <w:rFonts w:eastAsia="Times New Roman" w:cs="Times New Roman"/>
                <w:sz w:val="20"/>
                <w:szCs w:val="20"/>
              </w:rPr>
              <w:t>)</w:t>
            </w:r>
          </w:p>
        </w:tc>
        <w:tc>
          <w:tcPr>
            <w:tcW w:w="1260" w:type="dxa"/>
            <w:shd w:val="clear" w:color="auto" w:fill="FFFFFF" w:themeFill="background1"/>
            <w:noWrap/>
            <w:vAlign w:val="center"/>
            <w:hideMark/>
          </w:tcPr>
          <w:p w14:paraId="5542F65F" w14:textId="77777777" w:rsidR="00CD1B33" w:rsidRPr="00D31C65" w:rsidRDefault="00CD1B33" w:rsidP="00FD61F7">
            <w:pPr>
              <w:keepNext/>
              <w:keepLines/>
              <w:spacing w:before="0" w:after="0" w:line="240" w:lineRule="auto"/>
              <w:jc w:val="right"/>
              <w:rPr>
                <w:rFonts w:eastAsia="Times New Roman" w:cs="Times New Roman"/>
                <w:sz w:val="20"/>
                <w:szCs w:val="20"/>
              </w:rPr>
            </w:pPr>
            <w:r w:rsidRPr="00D31C65">
              <w:rPr>
                <w:rFonts w:eastAsia="Times New Roman" w:cs="Times New Roman"/>
                <w:sz w:val="20"/>
                <w:szCs w:val="20"/>
              </w:rPr>
              <w:t>1</w:t>
            </w:r>
          </w:p>
        </w:tc>
        <w:tc>
          <w:tcPr>
            <w:tcW w:w="5310" w:type="dxa"/>
            <w:shd w:val="clear" w:color="auto" w:fill="FFFFFF" w:themeFill="background1"/>
            <w:noWrap/>
            <w:vAlign w:val="center"/>
            <w:hideMark/>
          </w:tcPr>
          <w:p w14:paraId="04F26DE9" w14:textId="77777777" w:rsidR="00CD1B33" w:rsidRPr="00247D11" w:rsidRDefault="00CD1B33" w:rsidP="00FD61F7">
            <w:pPr>
              <w:keepNext/>
              <w:keepLines/>
              <w:spacing w:before="0" w:after="0" w:line="240" w:lineRule="auto"/>
              <w:rPr>
                <w:rFonts w:eastAsia="Times New Roman" w:cs="Times New Roman"/>
                <w:sz w:val="18"/>
                <w:szCs w:val="20"/>
              </w:rPr>
            </w:pPr>
            <w:r w:rsidRPr="00247D11">
              <w:rPr>
                <w:rFonts w:eastAsia="Times New Roman" w:cs="Times New Roman"/>
                <w:sz w:val="18"/>
                <w:szCs w:val="20"/>
              </w:rPr>
              <w:t>Fixed constant</w:t>
            </w:r>
          </w:p>
        </w:tc>
      </w:tr>
      <w:tr w:rsidR="00CD1B33" w:rsidRPr="00D31C65" w14:paraId="77D2F7C0" w14:textId="77777777" w:rsidTr="00CD1B33">
        <w:trPr>
          <w:trHeight w:val="260"/>
        </w:trPr>
        <w:tc>
          <w:tcPr>
            <w:tcW w:w="2965" w:type="dxa"/>
            <w:shd w:val="clear" w:color="auto" w:fill="FFFFFF" w:themeFill="background1"/>
            <w:noWrap/>
            <w:vAlign w:val="center"/>
            <w:hideMark/>
          </w:tcPr>
          <w:p w14:paraId="3D96C6F1" w14:textId="48A47FBE" w:rsidR="00CD1B33" w:rsidRPr="00D31C65" w:rsidRDefault="00CD1B33" w:rsidP="00FD61F7">
            <w:pPr>
              <w:keepNext/>
              <w:keepLines/>
              <w:spacing w:before="0" w:after="0" w:line="240" w:lineRule="auto"/>
              <w:rPr>
                <w:rFonts w:eastAsia="Times New Roman" w:cs="Times New Roman"/>
                <w:sz w:val="20"/>
                <w:szCs w:val="20"/>
              </w:rPr>
            </w:pPr>
            <w:r w:rsidRPr="00D31C65">
              <w:rPr>
                <w:rFonts w:eastAsia="Times New Roman" w:cs="Times New Roman"/>
                <w:sz w:val="20"/>
                <w:szCs w:val="20"/>
              </w:rPr>
              <w:t xml:space="preserve">Water </w:t>
            </w:r>
            <w:r>
              <w:rPr>
                <w:rFonts w:eastAsia="Times New Roman" w:cs="Times New Roman"/>
                <w:sz w:val="20"/>
                <w:szCs w:val="20"/>
              </w:rPr>
              <w:t>W</w:t>
            </w:r>
            <w:r w:rsidRPr="00D31C65">
              <w:rPr>
                <w:rFonts w:eastAsia="Times New Roman" w:cs="Times New Roman"/>
                <w:sz w:val="20"/>
                <w:szCs w:val="20"/>
              </w:rPr>
              <w:t>eight</w:t>
            </w:r>
            <w:r>
              <w:rPr>
                <w:rFonts w:eastAsia="Times New Roman" w:cs="Times New Roman"/>
                <w:sz w:val="20"/>
                <w:szCs w:val="20"/>
              </w:rPr>
              <w:t xml:space="preserve"> (</w:t>
            </w:r>
            <w:proofErr w:type="spellStart"/>
            <w:r w:rsidRPr="00D31C65">
              <w:rPr>
                <w:rFonts w:eastAsia="Times New Roman" w:cs="Times New Roman"/>
                <w:sz w:val="20"/>
                <w:szCs w:val="20"/>
              </w:rPr>
              <w:t>lb</w:t>
            </w:r>
            <w:proofErr w:type="spellEnd"/>
            <w:r w:rsidRPr="00D31C65">
              <w:rPr>
                <w:rFonts w:eastAsia="Times New Roman" w:cs="Times New Roman"/>
                <w:sz w:val="20"/>
                <w:szCs w:val="20"/>
              </w:rPr>
              <w:t>/gal</w:t>
            </w:r>
            <w:r>
              <w:rPr>
                <w:rFonts w:eastAsia="Times New Roman" w:cs="Times New Roman"/>
                <w:sz w:val="20"/>
                <w:szCs w:val="20"/>
              </w:rPr>
              <w:t>)</w:t>
            </w:r>
          </w:p>
        </w:tc>
        <w:tc>
          <w:tcPr>
            <w:tcW w:w="1260" w:type="dxa"/>
            <w:shd w:val="clear" w:color="auto" w:fill="FFFFFF" w:themeFill="background1"/>
            <w:noWrap/>
            <w:vAlign w:val="center"/>
            <w:hideMark/>
          </w:tcPr>
          <w:p w14:paraId="254D2871" w14:textId="77777777" w:rsidR="00CD1B33" w:rsidRPr="00D31C65" w:rsidRDefault="00CD1B33" w:rsidP="00FD61F7">
            <w:pPr>
              <w:keepNext/>
              <w:keepLines/>
              <w:spacing w:before="0" w:after="0" w:line="240" w:lineRule="auto"/>
              <w:jc w:val="right"/>
              <w:rPr>
                <w:rFonts w:eastAsia="Times New Roman" w:cs="Times New Roman"/>
                <w:sz w:val="20"/>
                <w:szCs w:val="20"/>
              </w:rPr>
            </w:pPr>
            <w:r w:rsidRPr="00D31C65">
              <w:rPr>
                <w:rFonts w:eastAsia="Times New Roman" w:cs="Times New Roman"/>
                <w:sz w:val="20"/>
                <w:szCs w:val="20"/>
              </w:rPr>
              <w:t>8.34</w:t>
            </w:r>
          </w:p>
        </w:tc>
        <w:tc>
          <w:tcPr>
            <w:tcW w:w="5310" w:type="dxa"/>
            <w:shd w:val="clear" w:color="auto" w:fill="FFFFFF" w:themeFill="background1"/>
            <w:noWrap/>
            <w:vAlign w:val="center"/>
            <w:hideMark/>
          </w:tcPr>
          <w:p w14:paraId="1C154A60" w14:textId="77777777" w:rsidR="00CD1B33" w:rsidRPr="00247D11" w:rsidRDefault="00CD1B33" w:rsidP="00FD61F7">
            <w:pPr>
              <w:keepNext/>
              <w:keepLines/>
              <w:spacing w:before="0" w:after="0" w:line="240" w:lineRule="auto"/>
              <w:rPr>
                <w:rFonts w:eastAsia="Times New Roman" w:cs="Times New Roman"/>
                <w:sz w:val="18"/>
                <w:szCs w:val="20"/>
              </w:rPr>
            </w:pPr>
            <w:r w:rsidRPr="00247D11">
              <w:rPr>
                <w:rFonts w:eastAsia="Times New Roman" w:cs="Times New Roman"/>
                <w:sz w:val="18"/>
                <w:szCs w:val="20"/>
              </w:rPr>
              <w:t>Fixed constant</w:t>
            </w:r>
          </w:p>
        </w:tc>
      </w:tr>
      <w:tr w:rsidR="00CD1B33" w:rsidRPr="00D31C65" w14:paraId="12E6EB5F" w14:textId="77777777" w:rsidTr="00CD1B33">
        <w:trPr>
          <w:trHeight w:val="260"/>
        </w:trPr>
        <w:tc>
          <w:tcPr>
            <w:tcW w:w="2965" w:type="dxa"/>
            <w:shd w:val="clear" w:color="auto" w:fill="FFFFFF" w:themeFill="background1"/>
            <w:noWrap/>
            <w:vAlign w:val="center"/>
            <w:hideMark/>
          </w:tcPr>
          <w:p w14:paraId="73776766" w14:textId="2AED37DE" w:rsidR="00CD1B33" w:rsidRPr="00D31C65" w:rsidRDefault="00CD1B33" w:rsidP="00FD61F7">
            <w:pPr>
              <w:keepNext/>
              <w:keepLines/>
              <w:spacing w:before="0" w:after="0" w:line="240" w:lineRule="auto"/>
              <w:rPr>
                <w:rFonts w:eastAsia="Times New Roman" w:cs="Times New Roman"/>
                <w:sz w:val="20"/>
                <w:szCs w:val="20"/>
              </w:rPr>
            </w:pPr>
            <w:r>
              <w:rPr>
                <w:rFonts w:eastAsia="Times New Roman" w:cs="Times New Roman"/>
                <w:sz w:val="20"/>
                <w:szCs w:val="20"/>
              </w:rPr>
              <w:t>Average Make-up (Groundwater) W</w:t>
            </w:r>
            <w:r w:rsidRPr="00D31C65">
              <w:rPr>
                <w:rFonts w:eastAsia="Times New Roman" w:cs="Times New Roman"/>
                <w:sz w:val="20"/>
                <w:szCs w:val="20"/>
              </w:rPr>
              <w:t xml:space="preserve">ater </w:t>
            </w:r>
            <w:r>
              <w:rPr>
                <w:rFonts w:eastAsia="Times New Roman" w:cs="Times New Roman"/>
                <w:sz w:val="20"/>
                <w:szCs w:val="20"/>
              </w:rPr>
              <w:t>T</w:t>
            </w:r>
            <w:r w:rsidRPr="00D31C65">
              <w:rPr>
                <w:rFonts w:eastAsia="Times New Roman" w:cs="Times New Roman"/>
                <w:sz w:val="20"/>
                <w:szCs w:val="20"/>
              </w:rPr>
              <w:t>emperature</w:t>
            </w:r>
            <w:r>
              <w:rPr>
                <w:rFonts w:eastAsia="Times New Roman" w:cs="Times New Roman"/>
                <w:sz w:val="20"/>
                <w:szCs w:val="20"/>
              </w:rPr>
              <w:t xml:space="preserve"> (</w:t>
            </w:r>
            <w:r w:rsidRPr="00D31C65">
              <w:rPr>
                <w:rFonts w:eastAsia="Times New Roman" w:cs="Times New Roman"/>
                <w:sz w:val="20"/>
                <w:szCs w:val="20"/>
              </w:rPr>
              <w:t>°F</w:t>
            </w:r>
            <w:r>
              <w:rPr>
                <w:rFonts w:eastAsia="Times New Roman" w:cs="Times New Roman"/>
                <w:sz w:val="20"/>
                <w:szCs w:val="20"/>
              </w:rPr>
              <w:t>)</w:t>
            </w:r>
          </w:p>
        </w:tc>
        <w:tc>
          <w:tcPr>
            <w:tcW w:w="1260" w:type="dxa"/>
            <w:shd w:val="clear" w:color="auto" w:fill="FFFFFF" w:themeFill="background1"/>
            <w:vAlign w:val="center"/>
          </w:tcPr>
          <w:p w14:paraId="4F23A38D" w14:textId="77777777" w:rsidR="00CD1B33" w:rsidRPr="00E07825" w:rsidRDefault="00CD1B33" w:rsidP="00FD61F7">
            <w:pPr>
              <w:keepNext/>
              <w:keepLines/>
              <w:spacing w:before="0" w:after="0" w:line="240" w:lineRule="auto"/>
              <w:rPr>
                <w:rFonts w:eastAsia="Times New Roman" w:cs="Times New Roman"/>
                <w:sz w:val="18"/>
                <w:szCs w:val="20"/>
                <w:highlight w:val="yellow"/>
              </w:rPr>
            </w:pPr>
            <w:r w:rsidRPr="00E07825">
              <w:rPr>
                <w:rFonts w:eastAsia="Times New Roman" w:cs="Times New Roman"/>
                <w:sz w:val="18"/>
                <w:szCs w:val="20"/>
              </w:rPr>
              <w:t>Varies by climate zone.</w:t>
            </w:r>
          </w:p>
        </w:tc>
        <w:tc>
          <w:tcPr>
            <w:tcW w:w="5310" w:type="dxa"/>
            <w:shd w:val="clear" w:color="auto" w:fill="FFFFFF" w:themeFill="background1"/>
            <w:vAlign w:val="center"/>
          </w:tcPr>
          <w:p w14:paraId="25463EE0" w14:textId="2A288027" w:rsidR="00CD1B33" w:rsidRPr="00CD1B33" w:rsidRDefault="00CD1B33" w:rsidP="00FD61F7">
            <w:pPr>
              <w:keepNext/>
              <w:keepLines/>
              <w:spacing w:before="0" w:after="0" w:line="240" w:lineRule="auto"/>
              <w:rPr>
                <w:rFonts w:eastAsia="Times New Roman" w:cs="Times New Roman"/>
                <w:sz w:val="18"/>
                <w:szCs w:val="20"/>
              </w:rPr>
            </w:pPr>
            <w:r w:rsidRPr="00CD1B33">
              <w:rPr>
                <w:rFonts w:eastAsia="Times New Roman" w:cs="Times New Roman"/>
                <w:sz w:val="18"/>
                <w:szCs w:val="20"/>
              </w:rPr>
              <w:t>See below.</w:t>
            </w:r>
          </w:p>
        </w:tc>
      </w:tr>
      <w:tr w:rsidR="00CD1B33" w:rsidRPr="00D31C65" w14:paraId="51874638" w14:textId="77777777" w:rsidTr="00CD1B33">
        <w:trPr>
          <w:trHeight w:val="260"/>
        </w:trPr>
        <w:tc>
          <w:tcPr>
            <w:tcW w:w="2965" w:type="dxa"/>
            <w:shd w:val="clear" w:color="auto" w:fill="FFFFFF" w:themeFill="background1"/>
            <w:noWrap/>
            <w:vAlign w:val="center"/>
            <w:hideMark/>
          </w:tcPr>
          <w:p w14:paraId="3FE066BD" w14:textId="6D6EC6A2" w:rsidR="00CD1B33" w:rsidRPr="00D31C65" w:rsidRDefault="00CD1B33" w:rsidP="007E70F8">
            <w:pPr>
              <w:spacing w:before="0" w:after="0" w:line="240" w:lineRule="auto"/>
              <w:rPr>
                <w:rFonts w:eastAsia="Times New Roman" w:cs="Times New Roman"/>
                <w:sz w:val="20"/>
                <w:szCs w:val="20"/>
              </w:rPr>
            </w:pPr>
            <w:r>
              <w:rPr>
                <w:rFonts w:eastAsia="Times New Roman" w:cs="Times New Roman"/>
                <w:sz w:val="20"/>
                <w:szCs w:val="20"/>
              </w:rPr>
              <w:t xml:space="preserve">Mixed </w:t>
            </w:r>
            <w:r w:rsidRPr="00D31C65">
              <w:rPr>
                <w:rFonts w:eastAsia="Times New Roman" w:cs="Times New Roman"/>
                <w:sz w:val="20"/>
                <w:szCs w:val="20"/>
              </w:rPr>
              <w:t xml:space="preserve">Water </w:t>
            </w:r>
            <w:r>
              <w:rPr>
                <w:rFonts w:eastAsia="Times New Roman" w:cs="Times New Roman"/>
                <w:sz w:val="20"/>
                <w:szCs w:val="20"/>
              </w:rPr>
              <w:t>T</w:t>
            </w:r>
            <w:r w:rsidRPr="00D31C65">
              <w:rPr>
                <w:rFonts w:eastAsia="Times New Roman" w:cs="Times New Roman"/>
                <w:sz w:val="20"/>
                <w:szCs w:val="20"/>
              </w:rPr>
              <w:t>emp</w:t>
            </w:r>
            <w:r>
              <w:rPr>
                <w:rFonts w:eastAsia="Times New Roman" w:cs="Times New Roman"/>
                <w:sz w:val="20"/>
                <w:szCs w:val="20"/>
              </w:rPr>
              <w:t>erature</w:t>
            </w:r>
            <w:r w:rsidRPr="00D31C65">
              <w:rPr>
                <w:rFonts w:eastAsia="Times New Roman" w:cs="Times New Roman"/>
                <w:sz w:val="20"/>
                <w:szCs w:val="20"/>
              </w:rPr>
              <w:t xml:space="preserve"> @ Faucet</w:t>
            </w:r>
            <w:r>
              <w:rPr>
                <w:rFonts w:eastAsia="Times New Roman" w:cs="Times New Roman"/>
                <w:sz w:val="20"/>
                <w:szCs w:val="20"/>
              </w:rPr>
              <w:t xml:space="preserve"> (</w:t>
            </w:r>
            <w:r w:rsidRPr="00D31C65">
              <w:rPr>
                <w:rFonts w:eastAsia="Times New Roman" w:cs="Times New Roman"/>
                <w:sz w:val="20"/>
                <w:szCs w:val="20"/>
              </w:rPr>
              <w:t>°F</w:t>
            </w:r>
            <w:r>
              <w:rPr>
                <w:rFonts w:eastAsia="Times New Roman" w:cs="Times New Roman"/>
                <w:sz w:val="20"/>
                <w:szCs w:val="20"/>
              </w:rPr>
              <w:t>)</w:t>
            </w:r>
          </w:p>
        </w:tc>
        <w:tc>
          <w:tcPr>
            <w:tcW w:w="1260" w:type="dxa"/>
            <w:shd w:val="clear" w:color="auto" w:fill="FFFFFF" w:themeFill="background1"/>
            <w:noWrap/>
            <w:vAlign w:val="center"/>
            <w:hideMark/>
          </w:tcPr>
          <w:p w14:paraId="043779DD" w14:textId="21CFE9A7" w:rsidR="00CD1B33" w:rsidRPr="00C955EC" w:rsidRDefault="00CD1B33" w:rsidP="007E70F8">
            <w:pPr>
              <w:spacing w:before="0" w:after="0" w:line="240" w:lineRule="auto"/>
              <w:jc w:val="right"/>
              <w:rPr>
                <w:rFonts w:eastAsia="Times New Roman" w:cs="Times New Roman"/>
                <w:sz w:val="20"/>
                <w:szCs w:val="20"/>
              </w:rPr>
            </w:pPr>
            <w:r w:rsidRPr="00C955EC">
              <w:rPr>
                <w:rFonts w:eastAsia="Times New Roman" w:cs="Times New Roman"/>
                <w:sz w:val="20"/>
                <w:szCs w:val="20"/>
              </w:rPr>
              <w:t>106</w:t>
            </w:r>
            <w:r>
              <w:rPr>
                <w:rFonts w:eastAsia="Times New Roman" w:cs="Times New Roman"/>
                <w:sz w:val="20"/>
                <w:szCs w:val="20"/>
              </w:rPr>
              <w:t xml:space="preserve"> </w:t>
            </w:r>
            <w:r w:rsidRPr="00D31C65">
              <w:rPr>
                <w:rFonts w:eastAsia="Times New Roman" w:cs="Times New Roman"/>
                <w:sz w:val="20"/>
                <w:szCs w:val="20"/>
              </w:rPr>
              <w:t>°F</w:t>
            </w:r>
          </w:p>
        </w:tc>
        <w:tc>
          <w:tcPr>
            <w:tcW w:w="5310" w:type="dxa"/>
            <w:shd w:val="clear" w:color="auto" w:fill="FFFFFF" w:themeFill="background1"/>
            <w:noWrap/>
            <w:vAlign w:val="center"/>
          </w:tcPr>
          <w:p w14:paraId="5F4ABED1" w14:textId="77777777" w:rsidR="00CD1B33" w:rsidRPr="00325626" w:rsidRDefault="00CD1B33" w:rsidP="007E70F8">
            <w:pPr>
              <w:spacing w:before="0" w:after="0" w:line="240" w:lineRule="auto"/>
              <w:rPr>
                <w:rFonts w:eastAsia="Times New Roman" w:cs="Times New Roman"/>
                <w:b/>
                <w:sz w:val="20"/>
                <w:szCs w:val="20"/>
                <w:highlight w:val="yellow"/>
              </w:rPr>
            </w:pPr>
            <w:r w:rsidRPr="00247D11">
              <w:rPr>
                <w:sz w:val="18"/>
              </w:rPr>
              <w:t>Sempra Energy Utilities (SEU). 2012. “</w:t>
            </w:r>
            <w:r>
              <w:rPr>
                <w:sz w:val="18"/>
              </w:rPr>
              <w:t>SEU</w:t>
            </w:r>
            <w:r w:rsidRPr="00247D11">
              <w:rPr>
                <w:sz w:val="18"/>
              </w:rPr>
              <w:t xml:space="preserve"> 2009 ASW Data REDACTED.xlsx”.</w:t>
            </w:r>
          </w:p>
        </w:tc>
      </w:tr>
      <w:tr w:rsidR="00CD1B33" w:rsidRPr="00D31C65" w14:paraId="6C5650EA" w14:textId="77777777" w:rsidTr="00CD1B33">
        <w:trPr>
          <w:trHeight w:val="260"/>
        </w:trPr>
        <w:tc>
          <w:tcPr>
            <w:tcW w:w="2965" w:type="dxa"/>
            <w:shd w:val="clear" w:color="auto" w:fill="FFFFFF" w:themeFill="background1"/>
            <w:noWrap/>
            <w:vAlign w:val="center"/>
          </w:tcPr>
          <w:p w14:paraId="4D9DBA92" w14:textId="77777777" w:rsidR="00CD1B33" w:rsidRPr="00D31C65" w:rsidRDefault="00CD1B33" w:rsidP="007E70F8">
            <w:pPr>
              <w:spacing w:before="0" w:after="0" w:line="240" w:lineRule="auto"/>
              <w:rPr>
                <w:rFonts w:eastAsia="Times New Roman" w:cs="Times New Roman"/>
                <w:sz w:val="20"/>
                <w:szCs w:val="20"/>
              </w:rPr>
            </w:pPr>
            <w:r w:rsidRPr="00D31C65">
              <w:rPr>
                <w:rFonts w:eastAsia="Times New Roman" w:cs="Times New Roman"/>
                <w:sz w:val="20"/>
                <w:szCs w:val="20"/>
              </w:rPr>
              <w:t xml:space="preserve">Gas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260" w:type="dxa"/>
            <w:shd w:val="clear" w:color="auto" w:fill="FFFFFF" w:themeFill="background1"/>
            <w:noWrap/>
            <w:vAlign w:val="center"/>
          </w:tcPr>
          <w:p w14:paraId="459FDBC9" w14:textId="77777777" w:rsidR="00CD1B33" w:rsidRPr="00C955EC" w:rsidRDefault="00CD1B33" w:rsidP="007E70F8">
            <w:pPr>
              <w:spacing w:before="0" w:after="0" w:line="240" w:lineRule="auto"/>
              <w:jc w:val="right"/>
              <w:rPr>
                <w:rFonts w:eastAsia="Times New Roman" w:cs="Times New Roman"/>
                <w:sz w:val="20"/>
                <w:szCs w:val="20"/>
              </w:rPr>
            </w:pPr>
            <w:r w:rsidRPr="00C955EC">
              <w:rPr>
                <w:rFonts w:eastAsia="Times New Roman" w:cs="Times New Roman"/>
                <w:sz w:val="20"/>
                <w:szCs w:val="20"/>
              </w:rPr>
              <w:t>0.77</w:t>
            </w:r>
          </w:p>
        </w:tc>
        <w:tc>
          <w:tcPr>
            <w:tcW w:w="5310" w:type="dxa"/>
            <w:shd w:val="clear" w:color="auto" w:fill="FFFFFF" w:themeFill="background1"/>
            <w:noWrap/>
            <w:vAlign w:val="center"/>
          </w:tcPr>
          <w:p w14:paraId="1790CD33" w14:textId="77777777" w:rsidR="00CD1B33" w:rsidRPr="00CD1B33" w:rsidRDefault="00CD1B33" w:rsidP="007E70F8">
            <w:pPr>
              <w:spacing w:before="0" w:after="0" w:line="240" w:lineRule="auto"/>
              <w:rPr>
                <w:rFonts w:eastAsia="Times New Roman" w:cs="Times New Roman"/>
                <w:sz w:val="18"/>
                <w:szCs w:val="18"/>
              </w:rPr>
            </w:pPr>
            <w:r w:rsidRPr="00CD1B33">
              <w:rPr>
                <w:rFonts w:eastAsia="Times New Roman" w:cs="Times New Roman"/>
                <w:sz w:val="18"/>
                <w:szCs w:val="18"/>
              </w:rPr>
              <w:t>Southern California Gas Company (SCG). 2010. “Gas Fired Storage Water Heater Extract from CEC Appliance Data 07.07.2010.xlsx.”</w:t>
            </w:r>
          </w:p>
          <w:p w14:paraId="50C76DD4" w14:textId="77777777" w:rsidR="00CD1B33" w:rsidRPr="00CD1B33" w:rsidRDefault="00CD1B33" w:rsidP="007E70F8">
            <w:pPr>
              <w:spacing w:before="0" w:after="0" w:line="240" w:lineRule="auto"/>
              <w:rPr>
                <w:rFonts w:eastAsia="Times New Roman" w:cs="Times New Roman"/>
                <w:sz w:val="20"/>
                <w:szCs w:val="20"/>
                <w:highlight w:val="yellow"/>
              </w:rPr>
            </w:pPr>
          </w:p>
          <w:p w14:paraId="20BF7774" w14:textId="183707F6" w:rsidR="00CD1B33" w:rsidRPr="00CD1B33" w:rsidRDefault="00CD1B33" w:rsidP="007E70F8">
            <w:pPr>
              <w:spacing w:before="0" w:after="0" w:line="240" w:lineRule="auto"/>
              <w:rPr>
                <w:rFonts w:eastAsia="Times New Roman" w:cs="Times New Roman"/>
                <w:sz w:val="20"/>
                <w:szCs w:val="20"/>
                <w:highlight w:val="yellow"/>
              </w:rPr>
            </w:pPr>
            <w:r w:rsidRPr="00CD1B33">
              <w:rPr>
                <w:rFonts w:eastAsia="Times New Roman" w:cs="Times New Roman"/>
                <w:sz w:val="18"/>
                <w:szCs w:val="18"/>
              </w:rPr>
              <w:t xml:space="preserve">California Public Utilities Commission (CPUC), Energy Division. 2010. </w:t>
            </w:r>
            <w:r w:rsidRPr="00CD1B33">
              <w:rPr>
                <w:rFonts w:eastAsia="Times New Roman" w:cs="Times New Roman"/>
                <w:i/>
                <w:sz w:val="18"/>
                <w:szCs w:val="18"/>
              </w:rPr>
              <w:t>Non-DEER Measure Review Template: PGECODHW113 – Low Flow Showerhead and Therm</w:t>
            </w:r>
            <w:r w:rsidR="0033796C">
              <w:rPr>
                <w:rFonts w:eastAsia="Times New Roman" w:cs="Times New Roman"/>
                <w:i/>
                <w:sz w:val="18"/>
                <w:szCs w:val="18"/>
              </w:rPr>
              <w:t>o</w:t>
            </w:r>
            <w:r w:rsidRPr="00CD1B33">
              <w:rPr>
                <w:rFonts w:eastAsia="Times New Roman" w:cs="Times New Roman"/>
                <w:i/>
                <w:sz w:val="18"/>
                <w:szCs w:val="18"/>
              </w:rPr>
              <w:t>static Shower Restriction Valve.</w:t>
            </w:r>
            <w:r w:rsidRPr="00CD1B33">
              <w:rPr>
                <w:rFonts w:eastAsia="Times New Roman" w:cs="Times New Roman"/>
                <w:sz w:val="18"/>
                <w:szCs w:val="18"/>
              </w:rPr>
              <w:t xml:space="preserve"> April 27.</w:t>
            </w:r>
          </w:p>
        </w:tc>
      </w:tr>
    </w:tbl>
    <w:p w14:paraId="466B0E8E" w14:textId="77777777" w:rsidR="00907A80" w:rsidRDefault="00907A80" w:rsidP="00907A80">
      <w:pPr>
        <w:rPr>
          <w:rFonts w:cs="Calibri Light"/>
        </w:rPr>
      </w:pPr>
    </w:p>
    <w:p w14:paraId="6056BE10" w14:textId="4E6DFC7C" w:rsidR="00C95071" w:rsidRDefault="00C95071" w:rsidP="00C95071">
      <w:pPr>
        <w:rPr>
          <w:rFonts w:cs="Calibri Light"/>
        </w:rPr>
      </w:pPr>
      <w:r w:rsidRPr="00834EEE">
        <w:rPr>
          <w:rFonts w:cs="Calibri Light"/>
          <w:b/>
        </w:rPr>
        <w:t xml:space="preserve">Groundwater Temperature. </w:t>
      </w:r>
      <w:r w:rsidRPr="00EB66E7">
        <w:t>The ground water temperature is a key factor in determining the amount of hot water</w:t>
      </w:r>
      <w:r>
        <w:t xml:space="preserve"> that is</w:t>
      </w:r>
      <w:r w:rsidRPr="00EB66E7">
        <w:t xml:space="preserve"> needed to achieve a mixed water temperature of 106 °F, which </w:t>
      </w:r>
      <w:r>
        <w:t>is a typical mixed-</w:t>
      </w:r>
      <w:r w:rsidRPr="00EB66E7">
        <w:t>water temperature</w:t>
      </w:r>
      <w:r>
        <w:t xml:space="preserve"> exiting </w:t>
      </w:r>
      <w:r w:rsidRPr="00EB66E7">
        <w:t xml:space="preserve">the showerhead. </w:t>
      </w:r>
      <w:r w:rsidRPr="00834EEE">
        <w:rPr>
          <w:rFonts w:cs="Calibri Light"/>
        </w:rPr>
        <w:t>T</w:t>
      </w:r>
      <w:r w:rsidRPr="00EB66E7">
        <w:t xml:space="preserve">o reflect differences across climate zones, this analysis includes the average groundwater temperature for each California climate zone, developed from California climate zone weather data. </w:t>
      </w:r>
      <w:r>
        <w:t>Specifically, the ground</w:t>
      </w:r>
      <w:r w:rsidRPr="00EB66E7">
        <w:t xml:space="preserve">water temperatures </w:t>
      </w:r>
      <w:r>
        <w:t>used for this analysis are based upon</w:t>
      </w:r>
      <w:r w:rsidRPr="00EB66E7">
        <w:t xml:space="preserve"> the </w:t>
      </w:r>
      <w:r>
        <w:t>weather files adopted for the 2013 update of the California Building Efficiency Standards</w:t>
      </w:r>
      <w:r w:rsidRPr="00EB66E7">
        <w:t>. The average ground water temperatures</w:t>
      </w:r>
      <w:r w:rsidR="005647A9">
        <w:t xml:space="preserve"> by climate zone</w:t>
      </w:r>
      <w:r w:rsidRPr="00EB66E7">
        <w:t xml:space="preserve"> utilized in this analysis are </w:t>
      </w:r>
      <w:r w:rsidR="005647A9">
        <w:t>specified below</w:t>
      </w:r>
      <w:r w:rsidRPr="00EB66E7">
        <w:t>.</w:t>
      </w:r>
    </w:p>
    <w:p w14:paraId="7AC65FE0" w14:textId="6D549EFF" w:rsidR="00C95071" w:rsidRPr="00BA632F" w:rsidRDefault="00C95071" w:rsidP="00C955EC">
      <w:pPr>
        <w:pStyle w:val="Caption"/>
        <w:keepNext w:val="0"/>
        <w:keepLines w:val="0"/>
        <w:rPr>
          <w:i/>
        </w:rPr>
      </w:pPr>
      <w:bookmarkStart w:id="53" w:name="_Hlk511642499"/>
      <w:r>
        <w:t>Make-up (Groundwater) Water Temperatures by Climate Zone</w:t>
      </w:r>
    </w:p>
    <w:tbl>
      <w:tblPr>
        <w:tblW w:w="611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08"/>
        <w:gridCol w:w="2496"/>
        <w:gridCol w:w="2607"/>
      </w:tblGrid>
      <w:tr w:rsidR="00E07825" w:rsidRPr="001A2534" w14:paraId="63504951" w14:textId="77777777" w:rsidTr="0065439B">
        <w:trPr>
          <w:cantSplit/>
          <w:trHeight w:val="20"/>
          <w:tblHeader/>
        </w:trPr>
        <w:tc>
          <w:tcPr>
            <w:tcW w:w="1008" w:type="dxa"/>
            <w:tcBorders>
              <w:right w:val="dashed" w:sz="4" w:space="0" w:color="A6A6A6" w:themeColor="background1" w:themeShade="A6"/>
            </w:tcBorders>
            <w:shd w:val="clear" w:color="auto" w:fill="F2F2F2" w:themeFill="background1" w:themeFillShade="F2"/>
            <w:hideMark/>
          </w:tcPr>
          <w:bookmarkEnd w:id="53"/>
          <w:p w14:paraId="47AFD0AF" w14:textId="77777777" w:rsidR="00E07825" w:rsidRPr="001A2534" w:rsidRDefault="00E07825" w:rsidP="00C955EC">
            <w:pPr>
              <w:spacing w:before="0" w:after="0" w:line="240" w:lineRule="auto"/>
              <w:jc w:val="center"/>
              <w:rPr>
                <w:rFonts w:eastAsia="Times New Roman" w:cs="Calibri Light"/>
                <w:b/>
                <w:color w:val="000000"/>
                <w:sz w:val="20"/>
                <w:szCs w:val="20"/>
              </w:rPr>
            </w:pPr>
            <w:r w:rsidRPr="001A2534">
              <w:rPr>
                <w:rFonts w:eastAsia="Times New Roman" w:cs="Calibri Light"/>
                <w:b/>
                <w:color w:val="000000"/>
                <w:sz w:val="20"/>
                <w:szCs w:val="20"/>
              </w:rPr>
              <w:t>Climate Zone</w:t>
            </w:r>
          </w:p>
        </w:tc>
        <w:tc>
          <w:tcPr>
            <w:tcW w:w="2496" w:type="dxa"/>
            <w:tcBorders>
              <w:left w:val="dashed" w:sz="4" w:space="0" w:color="A6A6A6" w:themeColor="background1" w:themeShade="A6"/>
              <w:right w:val="single" w:sz="4" w:space="0" w:color="A6A6A6" w:themeColor="background1" w:themeShade="A6"/>
            </w:tcBorders>
            <w:shd w:val="clear" w:color="auto" w:fill="F2F2F2" w:themeFill="background1" w:themeFillShade="F2"/>
            <w:hideMark/>
          </w:tcPr>
          <w:p w14:paraId="3EE5A344" w14:textId="77777777" w:rsidR="00E07825" w:rsidRPr="001A2534" w:rsidRDefault="00E07825" w:rsidP="00C955EC">
            <w:pPr>
              <w:spacing w:before="0" w:after="0" w:line="240" w:lineRule="auto"/>
              <w:jc w:val="center"/>
              <w:rPr>
                <w:rFonts w:eastAsia="Times New Roman" w:cs="Calibri Light"/>
                <w:b/>
                <w:color w:val="000000"/>
                <w:sz w:val="20"/>
                <w:szCs w:val="20"/>
              </w:rPr>
            </w:pPr>
            <w:r w:rsidRPr="001A2534">
              <w:rPr>
                <w:rFonts w:eastAsia="Times New Roman" w:cs="Calibri Light"/>
                <w:b/>
                <w:color w:val="000000"/>
                <w:sz w:val="20"/>
                <w:szCs w:val="20"/>
              </w:rPr>
              <w:t xml:space="preserve">Make-up (Groundwater) Temperature </w:t>
            </w:r>
            <w:r w:rsidRPr="001A2534">
              <w:rPr>
                <w:b/>
                <w:sz w:val="20"/>
                <w:szCs w:val="20"/>
              </w:rPr>
              <w:t>(</w:t>
            </w:r>
            <w:r>
              <w:rPr>
                <w:rFonts w:cs="Calibri Light"/>
                <w:b/>
                <w:sz w:val="20"/>
                <w:szCs w:val="20"/>
              </w:rPr>
              <w:t>°</w:t>
            </w:r>
            <w:r>
              <w:rPr>
                <w:b/>
                <w:sz w:val="20"/>
                <w:szCs w:val="20"/>
              </w:rPr>
              <w:t>F</w:t>
            </w:r>
            <w:r w:rsidRPr="001A2534">
              <w:rPr>
                <w:b/>
                <w:sz w:val="20"/>
                <w:szCs w:val="20"/>
              </w:rPr>
              <w:t>)</w:t>
            </w:r>
          </w:p>
        </w:tc>
        <w:tc>
          <w:tcPr>
            <w:tcW w:w="2607" w:type="dxa"/>
            <w:shd w:val="clear" w:color="auto" w:fill="F2F2F2" w:themeFill="background1" w:themeFillShade="F2"/>
            <w:vAlign w:val="bottom"/>
          </w:tcPr>
          <w:p w14:paraId="0AB52B71" w14:textId="77777777" w:rsidR="00E07825" w:rsidRPr="001A2534" w:rsidRDefault="00E07825" w:rsidP="00C955EC">
            <w:pPr>
              <w:spacing w:before="0" w:after="0" w:line="240" w:lineRule="auto"/>
              <w:jc w:val="center"/>
              <w:rPr>
                <w:rFonts w:eastAsia="Times New Roman" w:cs="Calibri Light"/>
                <w:b/>
                <w:color w:val="000000"/>
                <w:sz w:val="20"/>
                <w:szCs w:val="20"/>
              </w:rPr>
            </w:pPr>
            <w:r>
              <w:rPr>
                <w:rFonts w:eastAsia="Times New Roman" w:cs="Calibri Light"/>
                <w:b/>
                <w:color w:val="000000"/>
                <w:sz w:val="20"/>
                <w:szCs w:val="20"/>
              </w:rPr>
              <w:t>Source</w:t>
            </w:r>
          </w:p>
        </w:tc>
      </w:tr>
      <w:tr w:rsidR="00BE7FA3" w:rsidRPr="00BA632F" w14:paraId="4CEE9D4A"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1A199C44" w14:textId="77777777" w:rsidR="00BE7FA3" w:rsidRPr="001A2534" w:rsidRDefault="00BE7FA3" w:rsidP="00BE7FA3">
            <w:pPr>
              <w:spacing w:before="0" w:after="0" w:line="240" w:lineRule="auto"/>
              <w:rPr>
                <w:rFonts w:eastAsia="Times New Roman" w:cs="Calibri Light"/>
                <w:color w:val="000000"/>
                <w:sz w:val="20"/>
                <w:szCs w:val="20"/>
              </w:rPr>
            </w:pPr>
            <w:r>
              <w:rPr>
                <w:rFonts w:cs="Calibri"/>
                <w:sz w:val="20"/>
                <w:szCs w:val="20"/>
              </w:rPr>
              <w:t xml:space="preserve">CZ </w:t>
            </w:r>
            <w:r w:rsidRPr="001A2534">
              <w:rPr>
                <w:rFonts w:cs="Calibri"/>
                <w:sz w:val="20"/>
                <w:szCs w:val="20"/>
              </w:rPr>
              <w:t>1</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638CAF7F" w14:textId="77777777" w:rsidR="00BE7FA3" w:rsidRPr="001A2534" w:rsidRDefault="00BE7FA3" w:rsidP="00BE7FA3">
            <w:pPr>
              <w:spacing w:before="0" w:after="0" w:line="240" w:lineRule="auto"/>
              <w:jc w:val="center"/>
              <w:rPr>
                <w:rFonts w:eastAsia="Times New Roman" w:cs="Calibri Light"/>
                <w:color w:val="000000"/>
                <w:sz w:val="20"/>
                <w:szCs w:val="20"/>
              </w:rPr>
            </w:pPr>
            <w:r w:rsidRPr="001A2534">
              <w:rPr>
                <w:sz w:val="20"/>
                <w:szCs w:val="20"/>
              </w:rPr>
              <w:t>51.</w:t>
            </w:r>
            <w:r>
              <w:rPr>
                <w:sz w:val="20"/>
                <w:szCs w:val="20"/>
              </w:rPr>
              <w:t>4</w:t>
            </w:r>
          </w:p>
        </w:tc>
        <w:tc>
          <w:tcPr>
            <w:tcW w:w="26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27359054" w14:textId="715F7416" w:rsidR="00BE7FA3" w:rsidRPr="00B853CA" w:rsidRDefault="00BE7FA3" w:rsidP="00BE7FA3">
            <w:pPr>
              <w:spacing w:before="0" w:after="0" w:line="240" w:lineRule="auto"/>
              <w:rPr>
                <w:rFonts w:cs="Calibri"/>
                <w:sz w:val="18"/>
                <w:szCs w:val="20"/>
              </w:rPr>
            </w:pPr>
            <w:r w:rsidRPr="00620282">
              <w:rPr>
                <w:rFonts w:cs="Calibri"/>
                <w:sz w:val="18"/>
                <w:szCs w:val="20"/>
              </w:rPr>
              <w:t>Reeves, P. (Consultant to California Public Utilities Commission, Energy Division). 2013. "Comparison-of-Ground-Temperatures-v2_byPaulReeves.xlsx."</w:t>
            </w:r>
          </w:p>
        </w:tc>
      </w:tr>
      <w:tr w:rsidR="00BE7FA3" w:rsidRPr="00BA632F" w14:paraId="217D1D2C"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914F140" w14:textId="77777777" w:rsidR="00BE7FA3" w:rsidRPr="001A2534" w:rsidRDefault="00BE7FA3" w:rsidP="00BE7FA3">
            <w:pPr>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2</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3782E7E" w14:textId="77777777" w:rsidR="00BE7FA3" w:rsidRPr="001A2534" w:rsidRDefault="00BE7FA3" w:rsidP="00BE7FA3">
            <w:pPr>
              <w:spacing w:before="0" w:after="0" w:line="240" w:lineRule="auto"/>
              <w:jc w:val="center"/>
              <w:rPr>
                <w:rFonts w:eastAsia="Times New Roman" w:cs="Calibri Light"/>
                <w:color w:val="000000"/>
                <w:sz w:val="20"/>
                <w:szCs w:val="20"/>
              </w:rPr>
            </w:pPr>
            <w:r w:rsidRPr="001A2534">
              <w:rPr>
                <w:sz w:val="20"/>
                <w:szCs w:val="20"/>
              </w:rPr>
              <w:t>57.</w:t>
            </w:r>
            <w:r>
              <w:rPr>
                <w:sz w:val="20"/>
                <w:szCs w:val="20"/>
              </w:rPr>
              <w:t>3</w:t>
            </w:r>
          </w:p>
        </w:tc>
        <w:tc>
          <w:tcPr>
            <w:tcW w:w="2607" w:type="dxa"/>
            <w:vMerge/>
            <w:tcBorders>
              <w:left w:val="single" w:sz="4" w:space="0" w:color="A6A6A6" w:themeColor="background1" w:themeShade="A6"/>
              <w:right w:val="single" w:sz="4" w:space="0" w:color="A6A6A6" w:themeColor="background1" w:themeShade="A6"/>
            </w:tcBorders>
          </w:tcPr>
          <w:p w14:paraId="249C768F" w14:textId="77777777" w:rsidR="00BE7FA3" w:rsidRPr="001A2534" w:rsidRDefault="00BE7FA3" w:rsidP="00BE7FA3">
            <w:pPr>
              <w:spacing w:before="0" w:after="0" w:line="240" w:lineRule="auto"/>
              <w:jc w:val="center"/>
              <w:rPr>
                <w:rFonts w:cs="Calibri"/>
                <w:sz w:val="20"/>
                <w:szCs w:val="20"/>
              </w:rPr>
            </w:pPr>
          </w:p>
        </w:tc>
      </w:tr>
      <w:tr w:rsidR="00BE7FA3" w:rsidRPr="00BA632F" w14:paraId="65B3AF2D"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7D4F6ED" w14:textId="77777777" w:rsidR="00BE7FA3" w:rsidRPr="001A2534" w:rsidRDefault="00BE7FA3" w:rsidP="00BE7FA3">
            <w:pPr>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3</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2011C90D" w14:textId="77777777" w:rsidR="00BE7FA3" w:rsidRPr="001A2534" w:rsidRDefault="00BE7FA3" w:rsidP="00BE7FA3">
            <w:pPr>
              <w:spacing w:before="0" w:after="0" w:line="240" w:lineRule="auto"/>
              <w:jc w:val="center"/>
              <w:rPr>
                <w:rFonts w:eastAsia="Times New Roman" w:cs="Calibri Light"/>
                <w:color w:val="000000"/>
                <w:sz w:val="20"/>
                <w:szCs w:val="20"/>
              </w:rPr>
            </w:pPr>
            <w:r w:rsidRPr="001A2534">
              <w:rPr>
                <w:sz w:val="20"/>
                <w:szCs w:val="20"/>
              </w:rPr>
              <w:t>57.</w:t>
            </w:r>
            <w:r>
              <w:rPr>
                <w:sz w:val="20"/>
                <w:szCs w:val="20"/>
              </w:rPr>
              <w:t>1</w:t>
            </w:r>
          </w:p>
        </w:tc>
        <w:tc>
          <w:tcPr>
            <w:tcW w:w="2607" w:type="dxa"/>
            <w:vMerge/>
            <w:tcBorders>
              <w:left w:val="single" w:sz="4" w:space="0" w:color="A6A6A6" w:themeColor="background1" w:themeShade="A6"/>
              <w:right w:val="single" w:sz="4" w:space="0" w:color="A6A6A6" w:themeColor="background1" w:themeShade="A6"/>
            </w:tcBorders>
          </w:tcPr>
          <w:p w14:paraId="655AC13A" w14:textId="77777777" w:rsidR="00BE7FA3" w:rsidRPr="001A2534" w:rsidRDefault="00BE7FA3" w:rsidP="00BE7FA3">
            <w:pPr>
              <w:spacing w:before="0" w:after="0" w:line="240" w:lineRule="auto"/>
              <w:jc w:val="center"/>
              <w:rPr>
                <w:rFonts w:cs="Calibri"/>
                <w:sz w:val="20"/>
                <w:szCs w:val="20"/>
              </w:rPr>
            </w:pPr>
          </w:p>
        </w:tc>
      </w:tr>
      <w:tr w:rsidR="00BE7FA3" w:rsidRPr="00BA632F" w14:paraId="3D20BDCA"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9543AC6" w14:textId="77777777" w:rsidR="00BE7FA3" w:rsidRPr="001A2534" w:rsidRDefault="00BE7FA3" w:rsidP="00BE7FA3">
            <w:pPr>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4</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6F5F8735" w14:textId="77777777" w:rsidR="00BE7FA3" w:rsidRPr="001A2534" w:rsidRDefault="00BE7FA3" w:rsidP="00BE7FA3">
            <w:pPr>
              <w:spacing w:before="0" w:after="0" w:line="240" w:lineRule="auto"/>
              <w:jc w:val="center"/>
              <w:rPr>
                <w:rFonts w:eastAsia="Times New Roman" w:cs="Calibri Light"/>
                <w:color w:val="000000"/>
                <w:sz w:val="20"/>
                <w:szCs w:val="20"/>
              </w:rPr>
            </w:pPr>
            <w:r w:rsidRPr="001A2534">
              <w:rPr>
                <w:sz w:val="20"/>
                <w:szCs w:val="20"/>
              </w:rPr>
              <w:t>59.5</w:t>
            </w:r>
          </w:p>
        </w:tc>
        <w:tc>
          <w:tcPr>
            <w:tcW w:w="2607" w:type="dxa"/>
            <w:vMerge/>
            <w:tcBorders>
              <w:left w:val="single" w:sz="4" w:space="0" w:color="A6A6A6" w:themeColor="background1" w:themeShade="A6"/>
              <w:right w:val="single" w:sz="4" w:space="0" w:color="A6A6A6" w:themeColor="background1" w:themeShade="A6"/>
            </w:tcBorders>
          </w:tcPr>
          <w:p w14:paraId="3ED2EED2" w14:textId="77777777" w:rsidR="00BE7FA3" w:rsidRPr="001A2534" w:rsidRDefault="00BE7FA3" w:rsidP="00BE7FA3">
            <w:pPr>
              <w:spacing w:before="0" w:after="0" w:line="240" w:lineRule="auto"/>
              <w:jc w:val="center"/>
              <w:rPr>
                <w:rFonts w:cs="Calibri"/>
                <w:sz w:val="20"/>
                <w:szCs w:val="20"/>
              </w:rPr>
            </w:pPr>
          </w:p>
        </w:tc>
      </w:tr>
      <w:tr w:rsidR="00BE7FA3" w:rsidRPr="00BA632F" w14:paraId="5288DFB8"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2C1DBD82" w14:textId="77777777" w:rsidR="00BE7FA3" w:rsidRPr="001A2534" w:rsidRDefault="00BE7FA3" w:rsidP="00BE7FA3">
            <w:pPr>
              <w:spacing w:before="0" w:after="0" w:line="240" w:lineRule="auto"/>
              <w:rPr>
                <w:sz w:val="20"/>
                <w:szCs w:val="20"/>
              </w:rPr>
            </w:pPr>
            <w:r>
              <w:rPr>
                <w:rFonts w:cs="Calibri"/>
                <w:sz w:val="20"/>
                <w:szCs w:val="20"/>
              </w:rPr>
              <w:t>CZ</w:t>
            </w:r>
            <w:r w:rsidRPr="001A2534">
              <w:rPr>
                <w:rFonts w:cs="Calibri"/>
                <w:sz w:val="20"/>
                <w:szCs w:val="20"/>
              </w:rPr>
              <w:t xml:space="preserve"> 5</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0BFBF6E0" w14:textId="77777777" w:rsidR="00BE7FA3" w:rsidRPr="001A2534" w:rsidRDefault="00BE7FA3" w:rsidP="00BE7FA3">
            <w:pPr>
              <w:spacing w:before="0" w:after="0" w:line="240" w:lineRule="auto"/>
              <w:jc w:val="center"/>
              <w:rPr>
                <w:rFonts w:eastAsia="Times New Roman" w:cs="Calibri Light"/>
                <w:color w:val="000000"/>
                <w:sz w:val="20"/>
                <w:szCs w:val="20"/>
              </w:rPr>
            </w:pPr>
            <w:r w:rsidRPr="001A2534">
              <w:rPr>
                <w:rFonts w:cs="Calibri"/>
                <w:sz w:val="20"/>
                <w:szCs w:val="20"/>
              </w:rPr>
              <w:t>55.8</w:t>
            </w:r>
          </w:p>
        </w:tc>
        <w:tc>
          <w:tcPr>
            <w:tcW w:w="2607" w:type="dxa"/>
            <w:vMerge/>
            <w:tcBorders>
              <w:left w:val="single" w:sz="4" w:space="0" w:color="A6A6A6" w:themeColor="background1" w:themeShade="A6"/>
              <w:right w:val="single" w:sz="4" w:space="0" w:color="A6A6A6" w:themeColor="background1" w:themeShade="A6"/>
            </w:tcBorders>
          </w:tcPr>
          <w:p w14:paraId="5C3AB043" w14:textId="77777777" w:rsidR="00BE7FA3" w:rsidRPr="001A2534" w:rsidRDefault="00BE7FA3" w:rsidP="00BE7FA3">
            <w:pPr>
              <w:spacing w:before="0" w:after="0" w:line="240" w:lineRule="auto"/>
              <w:jc w:val="center"/>
              <w:rPr>
                <w:rFonts w:cs="Calibri"/>
                <w:sz w:val="20"/>
                <w:szCs w:val="20"/>
              </w:rPr>
            </w:pPr>
          </w:p>
        </w:tc>
      </w:tr>
      <w:tr w:rsidR="00BE7FA3" w:rsidRPr="00BA632F" w14:paraId="78E99913"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67FB6677" w14:textId="77777777" w:rsidR="00BE7FA3" w:rsidRPr="001A2534" w:rsidRDefault="00BE7FA3" w:rsidP="00BE7FA3">
            <w:pPr>
              <w:spacing w:before="0" w:after="0" w:line="240" w:lineRule="auto"/>
              <w:rPr>
                <w:sz w:val="20"/>
                <w:szCs w:val="20"/>
              </w:rPr>
            </w:pPr>
            <w:r>
              <w:rPr>
                <w:rFonts w:cs="Calibri"/>
                <w:sz w:val="20"/>
                <w:szCs w:val="20"/>
              </w:rPr>
              <w:t>CZ</w:t>
            </w:r>
            <w:r w:rsidRPr="001A2534">
              <w:rPr>
                <w:rFonts w:cs="Calibri"/>
                <w:sz w:val="20"/>
                <w:szCs w:val="20"/>
              </w:rPr>
              <w:t xml:space="preserve"> 6</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296CE27" w14:textId="77777777" w:rsidR="00BE7FA3" w:rsidRPr="001A2534" w:rsidRDefault="00BE7FA3" w:rsidP="00BE7FA3">
            <w:pPr>
              <w:spacing w:before="0" w:after="0" w:line="240" w:lineRule="auto"/>
              <w:jc w:val="center"/>
              <w:rPr>
                <w:rFonts w:eastAsia="Times New Roman" w:cs="Calibri Light"/>
                <w:color w:val="000000"/>
                <w:sz w:val="20"/>
                <w:szCs w:val="20"/>
              </w:rPr>
            </w:pPr>
            <w:r w:rsidRPr="001A2534">
              <w:rPr>
                <w:rFonts w:cs="Calibri"/>
                <w:sz w:val="20"/>
                <w:szCs w:val="20"/>
              </w:rPr>
              <w:t>61.</w:t>
            </w:r>
            <w:r>
              <w:rPr>
                <w:rFonts w:cs="Calibri"/>
                <w:sz w:val="20"/>
                <w:szCs w:val="20"/>
              </w:rPr>
              <w:t>8</w:t>
            </w:r>
          </w:p>
        </w:tc>
        <w:tc>
          <w:tcPr>
            <w:tcW w:w="2607" w:type="dxa"/>
            <w:vMerge/>
            <w:tcBorders>
              <w:left w:val="single" w:sz="4" w:space="0" w:color="A6A6A6" w:themeColor="background1" w:themeShade="A6"/>
              <w:right w:val="single" w:sz="4" w:space="0" w:color="A6A6A6" w:themeColor="background1" w:themeShade="A6"/>
            </w:tcBorders>
          </w:tcPr>
          <w:p w14:paraId="5E6F8FB9" w14:textId="77777777" w:rsidR="00BE7FA3" w:rsidRPr="001A2534" w:rsidRDefault="00BE7FA3" w:rsidP="00BE7FA3">
            <w:pPr>
              <w:spacing w:before="0" w:after="0" w:line="240" w:lineRule="auto"/>
              <w:jc w:val="center"/>
              <w:rPr>
                <w:rFonts w:cs="Calibri"/>
                <w:sz w:val="20"/>
                <w:szCs w:val="20"/>
              </w:rPr>
            </w:pPr>
          </w:p>
        </w:tc>
      </w:tr>
      <w:tr w:rsidR="00BE7FA3" w:rsidRPr="00BA632F" w14:paraId="46FF4238" w14:textId="77777777" w:rsidTr="0065439B">
        <w:trPr>
          <w:cantSplit/>
          <w:trHeight w:val="27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4A26B2F" w14:textId="77777777" w:rsidR="00BE7FA3" w:rsidRPr="001A2534" w:rsidRDefault="00BE7FA3" w:rsidP="00BE7FA3">
            <w:pPr>
              <w:spacing w:before="0" w:after="0" w:line="240" w:lineRule="auto"/>
              <w:rPr>
                <w:rFonts w:eastAsia="Times New Roman" w:cs="Calibri Light"/>
                <w:color w:val="000000"/>
                <w:sz w:val="20"/>
                <w:szCs w:val="20"/>
              </w:rPr>
            </w:pPr>
            <w:r>
              <w:rPr>
                <w:rFonts w:cs="Calibri"/>
                <w:sz w:val="20"/>
                <w:szCs w:val="20"/>
              </w:rPr>
              <w:t>CZ</w:t>
            </w:r>
            <w:r w:rsidRPr="001A2534">
              <w:rPr>
                <w:rFonts w:cs="Calibri"/>
                <w:sz w:val="20"/>
                <w:szCs w:val="20"/>
              </w:rPr>
              <w:t xml:space="preserve"> 7</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55F6B886" w14:textId="77777777" w:rsidR="00BE7FA3" w:rsidRPr="001A2534" w:rsidRDefault="00BE7FA3" w:rsidP="00BE7FA3">
            <w:pPr>
              <w:spacing w:before="0" w:after="0" w:line="240" w:lineRule="auto"/>
              <w:jc w:val="center"/>
              <w:rPr>
                <w:rFonts w:eastAsia="Times New Roman" w:cs="Calibri Light"/>
                <w:color w:val="000000"/>
                <w:sz w:val="20"/>
                <w:szCs w:val="20"/>
              </w:rPr>
            </w:pPr>
            <w:r w:rsidRPr="001A2534">
              <w:rPr>
                <w:rFonts w:cs="Calibri"/>
                <w:sz w:val="20"/>
                <w:szCs w:val="20"/>
              </w:rPr>
              <w:t>62.</w:t>
            </w:r>
            <w:r>
              <w:rPr>
                <w:rFonts w:cs="Calibri"/>
                <w:sz w:val="20"/>
                <w:szCs w:val="20"/>
              </w:rPr>
              <w:t>6</w:t>
            </w:r>
          </w:p>
        </w:tc>
        <w:tc>
          <w:tcPr>
            <w:tcW w:w="2607" w:type="dxa"/>
            <w:vMerge/>
            <w:tcBorders>
              <w:left w:val="single" w:sz="4" w:space="0" w:color="A6A6A6" w:themeColor="background1" w:themeShade="A6"/>
              <w:right w:val="single" w:sz="4" w:space="0" w:color="A6A6A6" w:themeColor="background1" w:themeShade="A6"/>
            </w:tcBorders>
          </w:tcPr>
          <w:p w14:paraId="7511CD56" w14:textId="77777777" w:rsidR="00BE7FA3" w:rsidRPr="001A2534" w:rsidRDefault="00BE7FA3" w:rsidP="00BE7FA3">
            <w:pPr>
              <w:spacing w:before="0" w:after="0" w:line="240" w:lineRule="auto"/>
              <w:jc w:val="center"/>
              <w:rPr>
                <w:rFonts w:cs="Calibri"/>
                <w:sz w:val="20"/>
                <w:szCs w:val="20"/>
              </w:rPr>
            </w:pPr>
          </w:p>
        </w:tc>
      </w:tr>
      <w:tr w:rsidR="00BE7FA3" w:rsidRPr="00BA632F" w14:paraId="3FA682D3"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499C406D" w14:textId="77777777" w:rsidR="00BE7FA3" w:rsidRPr="001A2534" w:rsidRDefault="00BE7FA3" w:rsidP="00BE7FA3">
            <w:pPr>
              <w:spacing w:before="0" w:after="0" w:line="240" w:lineRule="auto"/>
              <w:rPr>
                <w:sz w:val="20"/>
                <w:szCs w:val="20"/>
              </w:rPr>
            </w:pPr>
            <w:r>
              <w:rPr>
                <w:rFonts w:cs="Calibri"/>
                <w:sz w:val="20"/>
                <w:szCs w:val="20"/>
              </w:rPr>
              <w:t>CZ</w:t>
            </w:r>
            <w:r w:rsidRPr="001A2534">
              <w:rPr>
                <w:rFonts w:cs="Calibri"/>
                <w:sz w:val="20"/>
                <w:szCs w:val="20"/>
              </w:rPr>
              <w:t xml:space="preserve"> 8</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0A606686" w14:textId="77777777" w:rsidR="00BE7FA3" w:rsidRPr="001A2534" w:rsidRDefault="00BE7FA3" w:rsidP="00BE7FA3">
            <w:pPr>
              <w:spacing w:before="0" w:after="0" w:line="240" w:lineRule="auto"/>
              <w:jc w:val="center"/>
              <w:rPr>
                <w:rFonts w:eastAsia="Times New Roman" w:cs="Calibri Light"/>
                <w:color w:val="000000"/>
                <w:sz w:val="20"/>
                <w:szCs w:val="20"/>
              </w:rPr>
            </w:pPr>
            <w:r w:rsidRPr="001A2534">
              <w:rPr>
                <w:rFonts w:cs="Calibri"/>
                <w:sz w:val="20"/>
                <w:szCs w:val="20"/>
              </w:rPr>
              <w:t>63.7</w:t>
            </w:r>
          </w:p>
        </w:tc>
        <w:tc>
          <w:tcPr>
            <w:tcW w:w="2607" w:type="dxa"/>
            <w:vMerge/>
            <w:tcBorders>
              <w:left w:val="single" w:sz="4" w:space="0" w:color="A6A6A6" w:themeColor="background1" w:themeShade="A6"/>
              <w:right w:val="single" w:sz="4" w:space="0" w:color="A6A6A6" w:themeColor="background1" w:themeShade="A6"/>
            </w:tcBorders>
          </w:tcPr>
          <w:p w14:paraId="2F49DCC0" w14:textId="77777777" w:rsidR="00BE7FA3" w:rsidRPr="001A2534" w:rsidRDefault="00BE7FA3" w:rsidP="00BE7FA3">
            <w:pPr>
              <w:spacing w:before="0" w:after="0" w:line="240" w:lineRule="auto"/>
              <w:jc w:val="center"/>
              <w:rPr>
                <w:rFonts w:cs="Calibri"/>
                <w:sz w:val="20"/>
                <w:szCs w:val="20"/>
              </w:rPr>
            </w:pPr>
          </w:p>
        </w:tc>
      </w:tr>
      <w:tr w:rsidR="00BE7FA3" w:rsidRPr="00BA632F" w14:paraId="785397E0"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1F5A0A8" w14:textId="77777777" w:rsidR="00BE7FA3" w:rsidRPr="00837472" w:rsidRDefault="00BE7FA3" w:rsidP="00BE7FA3">
            <w:pPr>
              <w:spacing w:before="0" w:after="0" w:line="240" w:lineRule="auto"/>
              <w:rPr>
                <w:rFonts w:cs="Calibri"/>
                <w:sz w:val="20"/>
                <w:szCs w:val="20"/>
              </w:rPr>
            </w:pPr>
            <w:r>
              <w:rPr>
                <w:rFonts w:cs="Calibri"/>
                <w:sz w:val="20"/>
                <w:szCs w:val="20"/>
              </w:rPr>
              <w:t>CZ</w:t>
            </w:r>
            <w:r w:rsidRPr="001A2534">
              <w:rPr>
                <w:rFonts w:cs="Calibri"/>
                <w:sz w:val="20"/>
                <w:szCs w:val="20"/>
              </w:rPr>
              <w:t xml:space="preserve"> 9</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7213C39" w14:textId="77777777" w:rsidR="00BE7FA3" w:rsidRPr="00837472" w:rsidRDefault="00BE7FA3" w:rsidP="00BE7FA3">
            <w:pPr>
              <w:spacing w:before="0" w:after="0" w:line="240" w:lineRule="auto"/>
              <w:jc w:val="center"/>
              <w:rPr>
                <w:rFonts w:cs="Calibri"/>
                <w:sz w:val="20"/>
                <w:szCs w:val="20"/>
              </w:rPr>
            </w:pPr>
            <w:r w:rsidRPr="001A2534">
              <w:rPr>
                <w:rFonts w:cs="Calibri"/>
                <w:sz w:val="20"/>
                <w:szCs w:val="20"/>
              </w:rPr>
              <w:t>63.8</w:t>
            </w:r>
          </w:p>
        </w:tc>
        <w:tc>
          <w:tcPr>
            <w:tcW w:w="2607" w:type="dxa"/>
            <w:vMerge/>
            <w:tcBorders>
              <w:left w:val="single" w:sz="4" w:space="0" w:color="A6A6A6" w:themeColor="background1" w:themeShade="A6"/>
              <w:right w:val="single" w:sz="4" w:space="0" w:color="A6A6A6" w:themeColor="background1" w:themeShade="A6"/>
            </w:tcBorders>
          </w:tcPr>
          <w:p w14:paraId="511045D3" w14:textId="77777777" w:rsidR="00BE7FA3" w:rsidRPr="00B853CA" w:rsidRDefault="00BE7FA3" w:rsidP="00BE7FA3">
            <w:pPr>
              <w:spacing w:before="0" w:after="0" w:line="240" w:lineRule="auto"/>
              <w:rPr>
                <w:rFonts w:cs="Calibri"/>
                <w:sz w:val="18"/>
                <w:szCs w:val="20"/>
              </w:rPr>
            </w:pPr>
          </w:p>
        </w:tc>
      </w:tr>
      <w:tr w:rsidR="00BE7FA3" w:rsidRPr="00BA632F" w14:paraId="0CC79B32"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9F65F9E" w14:textId="77777777" w:rsidR="00BE7FA3" w:rsidRPr="00837472" w:rsidRDefault="00BE7FA3" w:rsidP="00BE7FA3">
            <w:pPr>
              <w:spacing w:before="0" w:after="0" w:line="240" w:lineRule="auto"/>
              <w:rPr>
                <w:rFonts w:cs="Calibri"/>
                <w:sz w:val="20"/>
                <w:szCs w:val="20"/>
              </w:rPr>
            </w:pPr>
            <w:r>
              <w:rPr>
                <w:rFonts w:cs="Calibri"/>
                <w:sz w:val="20"/>
                <w:szCs w:val="20"/>
              </w:rPr>
              <w:t>CZ</w:t>
            </w:r>
            <w:r w:rsidRPr="001A2534">
              <w:rPr>
                <w:rFonts w:cs="Calibri"/>
                <w:sz w:val="20"/>
                <w:szCs w:val="20"/>
              </w:rPr>
              <w:t xml:space="preserve"> 10</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BBEF1F6" w14:textId="77777777" w:rsidR="00BE7FA3" w:rsidRPr="00837472" w:rsidRDefault="00BE7FA3" w:rsidP="00BE7FA3">
            <w:pPr>
              <w:spacing w:before="0" w:after="0" w:line="240" w:lineRule="auto"/>
              <w:jc w:val="center"/>
              <w:rPr>
                <w:rFonts w:cs="Calibri"/>
                <w:sz w:val="20"/>
                <w:szCs w:val="20"/>
              </w:rPr>
            </w:pPr>
            <w:r w:rsidRPr="001A2534">
              <w:rPr>
                <w:rFonts w:cs="Calibri"/>
                <w:sz w:val="20"/>
                <w:szCs w:val="20"/>
              </w:rPr>
              <w:t>64.</w:t>
            </w:r>
            <w:r>
              <w:rPr>
                <w:rFonts w:cs="Calibri"/>
                <w:sz w:val="20"/>
                <w:szCs w:val="20"/>
              </w:rPr>
              <w:t>2</w:t>
            </w:r>
          </w:p>
        </w:tc>
        <w:tc>
          <w:tcPr>
            <w:tcW w:w="2607" w:type="dxa"/>
            <w:vMerge/>
            <w:tcBorders>
              <w:left w:val="single" w:sz="4" w:space="0" w:color="A6A6A6" w:themeColor="background1" w:themeShade="A6"/>
              <w:right w:val="single" w:sz="4" w:space="0" w:color="A6A6A6" w:themeColor="background1" w:themeShade="A6"/>
            </w:tcBorders>
          </w:tcPr>
          <w:p w14:paraId="275541BC" w14:textId="77777777" w:rsidR="00BE7FA3" w:rsidRPr="001A2534" w:rsidRDefault="00BE7FA3" w:rsidP="00BE7FA3">
            <w:pPr>
              <w:spacing w:before="0" w:after="0" w:line="240" w:lineRule="auto"/>
              <w:jc w:val="center"/>
              <w:rPr>
                <w:rFonts w:cs="Calibri"/>
                <w:sz w:val="20"/>
                <w:szCs w:val="20"/>
              </w:rPr>
            </w:pPr>
          </w:p>
        </w:tc>
      </w:tr>
      <w:tr w:rsidR="00BE7FA3" w:rsidRPr="00BA632F" w14:paraId="613A664F"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60999518" w14:textId="77777777" w:rsidR="00BE7FA3" w:rsidRPr="00837472" w:rsidRDefault="00BE7FA3" w:rsidP="00BE7FA3">
            <w:pPr>
              <w:spacing w:before="0" w:after="0" w:line="240" w:lineRule="auto"/>
              <w:rPr>
                <w:rFonts w:cs="Calibri"/>
                <w:sz w:val="20"/>
                <w:szCs w:val="20"/>
              </w:rPr>
            </w:pPr>
            <w:r>
              <w:rPr>
                <w:rFonts w:cs="Calibri"/>
                <w:sz w:val="20"/>
                <w:szCs w:val="20"/>
              </w:rPr>
              <w:t>CZ</w:t>
            </w:r>
            <w:r w:rsidRPr="001A2534">
              <w:rPr>
                <w:rFonts w:cs="Calibri"/>
                <w:sz w:val="20"/>
                <w:szCs w:val="20"/>
              </w:rPr>
              <w:t xml:space="preserve"> 11</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EF9A1F1" w14:textId="77777777" w:rsidR="00BE7FA3" w:rsidRPr="00837472" w:rsidRDefault="00BE7FA3" w:rsidP="00BE7FA3">
            <w:pPr>
              <w:spacing w:before="0" w:after="0" w:line="240" w:lineRule="auto"/>
              <w:jc w:val="center"/>
              <w:rPr>
                <w:rFonts w:cs="Calibri"/>
                <w:sz w:val="20"/>
                <w:szCs w:val="20"/>
              </w:rPr>
            </w:pPr>
            <w:r w:rsidRPr="001A2534">
              <w:rPr>
                <w:rFonts w:cs="Calibri"/>
                <w:sz w:val="20"/>
                <w:szCs w:val="20"/>
              </w:rPr>
              <w:t>63.</w:t>
            </w:r>
            <w:r>
              <w:rPr>
                <w:rFonts w:cs="Calibri"/>
                <w:sz w:val="20"/>
                <w:szCs w:val="20"/>
              </w:rPr>
              <w:t>2</w:t>
            </w:r>
          </w:p>
        </w:tc>
        <w:tc>
          <w:tcPr>
            <w:tcW w:w="2607" w:type="dxa"/>
            <w:vMerge/>
            <w:tcBorders>
              <w:left w:val="single" w:sz="4" w:space="0" w:color="A6A6A6" w:themeColor="background1" w:themeShade="A6"/>
              <w:right w:val="single" w:sz="4" w:space="0" w:color="A6A6A6" w:themeColor="background1" w:themeShade="A6"/>
            </w:tcBorders>
          </w:tcPr>
          <w:p w14:paraId="49C68DCA" w14:textId="77777777" w:rsidR="00BE7FA3" w:rsidRPr="001A2534" w:rsidRDefault="00BE7FA3" w:rsidP="00BE7FA3">
            <w:pPr>
              <w:spacing w:before="0" w:after="0" w:line="240" w:lineRule="auto"/>
              <w:jc w:val="center"/>
              <w:rPr>
                <w:rFonts w:cs="Calibri"/>
                <w:sz w:val="20"/>
                <w:szCs w:val="20"/>
              </w:rPr>
            </w:pPr>
          </w:p>
        </w:tc>
      </w:tr>
      <w:tr w:rsidR="00BE7FA3" w:rsidRPr="00BA632F" w14:paraId="54336D9A"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1873BC11" w14:textId="77777777" w:rsidR="00BE7FA3" w:rsidRPr="00837472" w:rsidRDefault="00BE7FA3" w:rsidP="00BE7FA3">
            <w:pPr>
              <w:spacing w:before="0" w:after="0" w:line="240" w:lineRule="auto"/>
              <w:rPr>
                <w:rFonts w:cs="Calibri"/>
                <w:sz w:val="20"/>
                <w:szCs w:val="20"/>
              </w:rPr>
            </w:pPr>
            <w:r>
              <w:rPr>
                <w:rFonts w:cs="Calibri"/>
                <w:sz w:val="20"/>
                <w:szCs w:val="20"/>
              </w:rPr>
              <w:t>CZ</w:t>
            </w:r>
            <w:r w:rsidRPr="001A2534">
              <w:rPr>
                <w:rFonts w:cs="Calibri"/>
                <w:sz w:val="20"/>
                <w:szCs w:val="20"/>
              </w:rPr>
              <w:t xml:space="preserve"> 12</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2B02AA13" w14:textId="77777777" w:rsidR="00BE7FA3" w:rsidRPr="00837472" w:rsidRDefault="00BE7FA3" w:rsidP="00BE7FA3">
            <w:pPr>
              <w:spacing w:before="0" w:after="0" w:line="240" w:lineRule="auto"/>
              <w:jc w:val="center"/>
              <w:rPr>
                <w:rFonts w:cs="Calibri"/>
                <w:sz w:val="20"/>
                <w:szCs w:val="20"/>
              </w:rPr>
            </w:pPr>
            <w:r w:rsidRPr="001A2534">
              <w:rPr>
                <w:rFonts w:cs="Calibri"/>
                <w:sz w:val="20"/>
                <w:szCs w:val="20"/>
              </w:rPr>
              <w:t>60.</w:t>
            </w:r>
            <w:r>
              <w:rPr>
                <w:rFonts w:cs="Calibri"/>
                <w:sz w:val="20"/>
                <w:szCs w:val="20"/>
              </w:rPr>
              <w:t>9</w:t>
            </w:r>
          </w:p>
        </w:tc>
        <w:tc>
          <w:tcPr>
            <w:tcW w:w="2607" w:type="dxa"/>
            <w:vMerge/>
            <w:tcBorders>
              <w:left w:val="single" w:sz="4" w:space="0" w:color="A6A6A6" w:themeColor="background1" w:themeShade="A6"/>
              <w:right w:val="single" w:sz="4" w:space="0" w:color="A6A6A6" w:themeColor="background1" w:themeShade="A6"/>
            </w:tcBorders>
          </w:tcPr>
          <w:p w14:paraId="204362D6" w14:textId="77777777" w:rsidR="00BE7FA3" w:rsidRPr="001A2534" w:rsidRDefault="00BE7FA3" w:rsidP="00BE7FA3">
            <w:pPr>
              <w:spacing w:before="0" w:after="0" w:line="240" w:lineRule="auto"/>
              <w:jc w:val="center"/>
              <w:rPr>
                <w:rFonts w:cs="Calibri"/>
                <w:sz w:val="20"/>
                <w:szCs w:val="20"/>
              </w:rPr>
            </w:pPr>
          </w:p>
        </w:tc>
      </w:tr>
      <w:tr w:rsidR="00BE7FA3" w:rsidRPr="00BA632F" w14:paraId="45361A44"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400A02F" w14:textId="77777777" w:rsidR="00BE7FA3" w:rsidRPr="00837472" w:rsidRDefault="00BE7FA3" w:rsidP="00BE7FA3">
            <w:pPr>
              <w:spacing w:before="0" w:after="0" w:line="240" w:lineRule="auto"/>
              <w:rPr>
                <w:rFonts w:cs="Calibri"/>
                <w:sz w:val="20"/>
                <w:szCs w:val="20"/>
              </w:rPr>
            </w:pPr>
            <w:r>
              <w:rPr>
                <w:rFonts w:cs="Calibri"/>
                <w:sz w:val="20"/>
                <w:szCs w:val="20"/>
              </w:rPr>
              <w:t>CZ</w:t>
            </w:r>
            <w:r w:rsidRPr="001A2534">
              <w:rPr>
                <w:rFonts w:cs="Calibri"/>
                <w:sz w:val="20"/>
                <w:szCs w:val="20"/>
              </w:rPr>
              <w:t xml:space="preserve"> 13</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70E12DA" w14:textId="77777777" w:rsidR="00BE7FA3" w:rsidRPr="00837472" w:rsidRDefault="00BE7FA3" w:rsidP="00BE7FA3">
            <w:pPr>
              <w:spacing w:before="0" w:after="0" w:line="240" w:lineRule="auto"/>
              <w:jc w:val="center"/>
              <w:rPr>
                <w:rFonts w:cs="Calibri"/>
                <w:sz w:val="20"/>
                <w:szCs w:val="20"/>
              </w:rPr>
            </w:pPr>
            <w:r w:rsidRPr="001A2534">
              <w:rPr>
                <w:rFonts w:cs="Calibri"/>
                <w:sz w:val="20"/>
                <w:szCs w:val="20"/>
              </w:rPr>
              <w:t>64.1</w:t>
            </w:r>
          </w:p>
        </w:tc>
        <w:tc>
          <w:tcPr>
            <w:tcW w:w="2607" w:type="dxa"/>
            <w:vMerge/>
            <w:tcBorders>
              <w:left w:val="single" w:sz="4" w:space="0" w:color="A6A6A6" w:themeColor="background1" w:themeShade="A6"/>
              <w:right w:val="single" w:sz="4" w:space="0" w:color="A6A6A6" w:themeColor="background1" w:themeShade="A6"/>
            </w:tcBorders>
          </w:tcPr>
          <w:p w14:paraId="31F5FEA0" w14:textId="77777777" w:rsidR="00BE7FA3" w:rsidRPr="001A2534" w:rsidRDefault="00BE7FA3" w:rsidP="00BE7FA3">
            <w:pPr>
              <w:spacing w:before="0" w:after="0" w:line="240" w:lineRule="auto"/>
              <w:jc w:val="center"/>
              <w:rPr>
                <w:rFonts w:cs="Calibri"/>
                <w:sz w:val="20"/>
                <w:szCs w:val="20"/>
              </w:rPr>
            </w:pPr>
          </w:p>
        </w:tc>
      </w:tr>
      <w:tr w:rsidR="00BE7FA3" w:rsidRPr="00BA632F" w14:paraId="62D53FD3"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479A69E3" w14:textId="77777777" w:rsidR="00BE7FA3" w:rsidRPr="00837472" w:rsidRDefault="00BE7FA3" w:rsidP="00BE7FA3">
            <w:pPr>
              <w:spacing w:before="0" w:after="0" w:line="240" w:lineRule="auto"/>
              <w:rPr>
                <w:rFonts w:cs="Calibri"/>
                <w:sz w:val="20"/>
                <w:szCs w:val="20"/>
              </w:rPr>
            </w:pPr>
            <w:r>
              <w:rPr>
                <w:rFonts w:cs="Calibri"/>
                <w:sz w:val="20"/>
                <w:szCs w:val="20"/>
              </w:rPr>
              <w:t>CZ</w:t>
            </w:r>
            <w:r w:rsidRPr="001A2534">
              <w:rPr>
                <w:rFonts w:cs="Calibri"/>
                <w:sz w:val="20"/>
                <w:szCs w:val="20"/>
              </w:rPr>
              <w:t xml:space="preserve"> 14</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09DCF260" w14:textId="77777777" w:rsidR="00BE7FA3" w:rsidRPr="00837472" w:rsidRDefault="00BE7FA3" w:rsidP="00BE7FA3">
            <w:pPr>
              <w:spacing w:before="0" w:after="0" w:line="240" w:lineRule="auto"/>
              <w:jc w:val="center"/>
              <w:rPr>
                <w:rFonts w:cs="Calibri"/>
                <w:sz w:val="20"/>
                <w:szCs w:val="20"/>
              </w:rPr>
            </w:pPr>
            <w:r w:rsidRPr="001A2534">
              <w:rPr>
                <w:rFonts w:cs="Calibri"/>
                <w:sz w:val="20"/>
                <w:szCs w:val="20"/>
              </w:rPr>
              <w:t>62.</w:t>
            </w:r>
            <w:r>
              <w:rPr>
                <w:rFonts w:cs="Calibri"/>
                <w:sz w:val="20"/>
                <w:szCs w:val="20"/>
              </w:rPr>
              <w:t>7</w:t>
            </w:r>
          </w:p>
        </w:tc>
        <w:tc>
          <w:tcPr>
            <w:tcW w:w="2607" w:type="dxa"/>
            <w:vMerge/>
            <w:tcBorders>
              <w:left w:val="single" w:sz="4" w:space="0" w:color="A6A6A6" w:themeColor="background1" w:themeShade="A6"/>
              <w:right w:val="single" w:sz="4" w:space="0" w:color="A6A6A6" w:themeColor="background1" w:themeShade="A6"/>
            </w:tcBorders>
          </w:tcPr>
          <w:p w14:paraId="7C4AF63B" w14:textId="77777777" w:rsidR="00BE7FA3" w:rsidRPr="001A2534" w:rsidRDefault="00BE7FA3" w:rsidP="00BE7FA3">
            <w:pPr>
              <w:spacing w:before="0" w:after="0" w:line="240" w:lineRule="auto"/>
              <w:jc w:val="center"/>
              <w:rPr>
                <w:rFonts w:cs="Calibri"/>
                <w:sz w:val="20"/>
                <w:szCs w:val="20"/>
              </w:rPr>
            </w:pPr>
          </w:p>
        </w:tc>
      </w:tr>
      <w:tr w:rsidR="00BE7FA3" w:rsidRPr="00BA632F" w14:paraId="6F986828"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29FE6E60" w14:textId="77777777" w:rsidR="00BE7FA3" w:rsidRPr="00837472" w:rsidRDefault="00BE7FA3" w:rsidP="00BE7FA3">
            <w:pPr>
              <w:spacing w:before="0" w:after="0" w:line="240" w:lineRule="auto"/>
              <w:rPr>
                <w:rFonts w:cs="Calibri"/>
                <w:sz w:val="20"/>
                <w:szCs w:val="20"/>
              </w:rPr>
            </w:pPr>
            <w:r>
              <w:rPr>
                <w:rFonts w:cs="Calibri"/>
                <w:sz w:val="20"/>
                <w:szCs w:val="20"/>
              </w:rPr>
              <w:t>CZ</w:t>
            </w:r>
            <w:r w:rsidRPr="001A2534">
              <w:rPr>
                <w:rFonts w:cs="Calibri"/>
                <w:sz w:val="20"/>
                <w:szCs w:val="20"/>
              </w:rPr>
              <w:t xml:space="preserve"> 15</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20DD21DB" w14:textId="77777777" w:rsidR="00BE7FA3" w:rsidRPr="00837472" w:rsidRDefault="00BE7FA3" w:rsidP="00BE7FA3">
            <w:pPr>
              <w:spacing w:before="0" w:after="0" w:line="240" w:lineRule="auto"/>
              <w:jc w:val="center"/>
              <w:rPr>
                <w:rFonts w:cs="Calibri"/>
                <w:sz w:val="20"/>
                <w:szCs w:val="20"/>
              </w:rPr>
            </w:pPr>
            <w:r w:rsidRPr="001A2534">
              <w:rPr>
                <w:rFonts w:cs="Calibri"/>
                <w:sz w:val="20"/>
                <w:szCs w:val="20"/>
              </w:rPr>
              <w:t>75.</w:t>
            </w:r>
            <w:r>
              <w:rPr>
                <w:rFonts w:cs="Calibri"/>
                <w:sz w:val="20"/>
                <w:szCs w:val="20"/>
              </w:rPr>
              <w:t>5</w:t>
            </w:r>
          </w:p>
        </w:tc>
        <w:tc>
          <w:tcPr>
            <w:tcW w:w="2607" w:type="dxa"/>
            <w:vMerge/>
            <w:tcBorders>
              <w:left w:val="single" w:sz="4" w:space="0" w:color="A6A6A6" w:themeColor="background1" w:themeShade="A6"/>
              <w:right w:val="single" w:sz="4" w:space="0" w:color="A6A6A6" w:themeColor="background1" w:themeShade="A6"/>
            </w:tcBorders>
          </w:tcPr>
          <w:p w14:paraId="5E68A540" w14:textId="77777777" w:rsidR="00BE7FA3" w:rsidRPr="001A2534" w:rsidRDefault="00BE7FA3" w:rsidP="00BE7FA3">
            <w:pPr>
              <w:spacing w:before="0" w:after="0" w:line="240" w:lineRule="auto"/>
              <w:jc w:val="center"/>
              <w:rPr>
                <w:rFonts w:cs="Calibri"/>
                <w:sz w:val="20"/>
                <w:szCs w:val="20"/>
              </w:rPr>
            </w:pPr>
          </w:p>
        </w:tc>
      </w:tr>
      <w:tr w:rsidR="00BE7FA3" w:rsidRPr="00BA632F" w14:paraId="08BE3368" w14:textId="77777777" w:rsidTr="0065439B">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44E0B38D" w14:textId="77777777" w:rsidR="00BE7FA3" w:rsidRPr="00837472" w:rsidRDefault="00BE7FA3" w:rsidP="00BE7FA3">
            <w:pPr>
              <w:spacing w:before="0" w:after="0" w:line="240" w:lineRule="auto"/>
              <w:rPr>
                <w:rFonts w:cs="Calibri"/>
                <w:sz w:val="20"/>
                <w:szCs w:val="20"/>
              </w:rPr>
            </w:pPr>
            <w:r>
              <w:rPr>
                <w:rFonts w:cs="Calibri"/>
                <w:sz w:val="20"/>
                <w:szCs w:val="20"/>
              </w:rPr>
              <w:t>CZ</w:t>
            </w:r>
            <w:r w:rsidRPr="001A2534">
              <w:rPr>
                <w:rFonts w:cs="Calibri"/>
                <w:sz w:val="20"/>
                <w:szCs w:val="20"/>
              </w:rPr>
              <w:t xml:space="preserve"> 16</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B550D26" w14:textId="77777777" w:rsidR="00BE7FA3" w:rsidRPr="00837472" w:rsidRDefault="00BE7FA3" w:rsidP="00BE7FA3">
            <w:pPr>
              <w:spacing w:before="0" w:after="0" w:line="240" w:lineRule="auto"/>
              <w:jc w:val="center"/>
              <w:rPr>
                <w:rFonts w:cs="Calibri"/>
                <w:sz w:val="20"/>
                <w:szCs w:val="20"/>
              </w:rPr>
            </w:pPr>
            <w:r w:rsidRPr="001A2534">
              <w:rPr>
                <w:rFonts w:cs="Calibri"/>
                <w:sz w:val="20"/>
                <w:szCs w:val="20"/>
              </w:rPr>
              <w:t>51.</w:t>
            </w:r>
            <w:r>
              <w:rPr>
                <w:rFonts w:cs="Calibri"/>
                <w:sz w:val="20"/>
                <w:szCs w:val="20"/>
              </w:rPr>
              <w:t>8</w:t>
            </w:r>
          </w:p>
        </w:tc>
        <w:tc>
          <w:tcPr>
            <w:tcW w:w="26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08E65E59" w14:textId="77777777" w:rsidR="00BE7FA3" w:rsidRPr="001A2534" w:rsidRDefault="00BE7FA3" w:rsidP="00BE7FA3">
            <w:pPr>
              <w:spacing w:before="0" w:after="0" w:line="240" w:lineRule="auto"/>
              <w:jc w:val="center"/>
              <w:rPr>
                <w:rFonts w:cs="Calibri"/>
                <w:sz w:val="20"/>
                <w:szCs w:val="20"/>
              </w:rPr>
            </w:pPr>
          </w:p>
        </w:tc>
      </w:tr>
    </w:tbl>
    <w:p w14:paraId="03C6E3AB" w14:textId="77777777" w:rsidR="00E07825" w:rsidRDefault="00E07825" w:rsidP="00E07825"/>
    <w:p w14:paraId="407EA110" w14:textId="77777777" w:rsidR="00C95071" w:rsidRPr="00C955EC" w:rsidRDefault="00C95071" w:rsidP="00C95071">
      <w:pPr>
        <w:rPr>
          <w:szCs w:val="22"/>
        </w:rPr>
      </w:pPr>
      <w:r w:rsidRPr="00C955EC">
        <w:rPr>
          <w:b/>
          <w:szCs w:val="22"/>
        </w:rPr>
        <w:t>Mixed Water Temperature at Showerhead Outlet.</w:t>
      </w:r>
      <w:r w:rsidRPr="00C955EC">
        <w:rPr>
          <w:szCs w:val="22"/>
        </w:rPr>
        <w:t xml:space="preserve"> For low-flow showerheads, the outlet water heater temperature was derived from the Sempra Energy Utilities (San Diego Gas and Electric and the Southern California Gas Company) 2009 field survey data. The mixed water temperature reflects that hot water </w:t>
      </w:r>
      <w:r w:rsidRPr="00C955EC">
        <w:rPr>
          <w:szCs w:val="22"/>
        </w:rPr>
        <w:lastRenderedPageBreak/>
        <w:t xml:space="preserve">does not comprise the entire shower flow and the tempering of the hot water with cold water to establish full shower flow. </w:t>
      </w:r>
    </w:p>
    <w:p w14:paraId="54F5AA25" w14:textId="77777777" w:rsidR="00C95071" w:rsidRPr="00C955EC" w:rsidRDefault="00C95071" w:rsidP="00C95071">
      <w:pPr>
        <w:rPr>
          <w:szCs w:val="22"/>
        </w:rPr>
      </w:pPr>
      <w:r w:rsidRPr="00C955EC">
        <w:rPr>
          <w:b/>
          <w:szCs w:val="22"/>
        </w:rPr>
        <w:t xml:space="preserve">Recovery Efficiency: </w:t>
      </w:r>
      <w:r w:rsidRPr="00C955EC">
        <w:rPr>
          <w:szCs w:val="22"/>
        </w:rPr>
        <w:t xml:space="preserve">To convert the water heating load to gas energy use at the water heater, the recovery efficiency (RE) is used. Recovery efficiency is a measure of how efficiently the heat from the energy source is transferred to the water (the ratio of energy output used to heat the water divided by energy input). A weighted RE value was derived from the natural-gas fired, storage-type water heaters extracted from the California Energy Commission database of certified equipment (without limit to the listed equipment energy factor, EF). </w:t>
      </w:r>
      <w:r w:rsidRPr="00C955EC">
        <w:rPr>
          <w:rFonts w:ascii="Times New Roman" w:hAnsi="Times New Roman"/>
          <w:szCs w:val="22"/>
        </w:rPr>
        <w:t xml:space="preserve">  </w:t>
      </w:r>
    </w:p>
    <w:p w14:paraId="32F3B66B" w14:textId="6CD068B5" w:rsidR="00D43431" w:rsidRDefault="00D43431" w:rsidP="002A1CD3"/>
    <w:p w14:paraId="06D3766D" w14:textId="28A07F54" w:rsidR="00370966" w:rsidRDefault="00BF44BA" w:rsidP="00370966">
      <w:pPr>
        <w:pStyle w:val="eTRMHeading4"/>
      </w:pPr>
      <w:r>
        <w:t>TSV</w:t>
      </w:r>
      <w:r w:rsidR="00370966">
        <w:t xml:space="preserve"> Gas Energy Savings (</w:t>
      </w:r>
      <w:proofErr w:type="spellStart"/>
      <w:r w:rsidR="00370966">
        <w:t>Therms</w:t>
      </w:r>
      <w:proofErr w:type="spellEnd"/>
      <w:r w:rsidR="00370966">
        <w:t>)</w:t>
      </w:r>
    </w:p>
    <w:p w14:paraId="1298450F" w14:textId="78A8B18D" w:rsidR="00702E2D" w:rsidRPr="00851A64" w:rsidRDefault="00702E2D" w:rsidP="00702E2D">
      <w:r w:rsidRPr="00851A64">
        <w:t xml:space="preserve">The gas UES of a TSV is based upon the estimated decrease in hot water usage as a result of the </w:t>
      </w:r>
      <w:r w:rsidR="00D84CF2" w:rsidRPr="00851A64">
        <w:t>reduction of time before the user enters the shower to wait for the mixed water to reach the optimum temperature</w:t>
      </w:r>
      <w:r w:rsidRPr="00851A64">
        <w:t xml:space="preserve">. </w:t>
      </w:r>
      <w:r w:rsidR="00D84CF2" w:rsidRPr="00851A64">
        <w:t>The calculation of water usage and water savings, and the corresponding energy savings due to hot water usage reduction are explained below.</w:t>
      </w:r>
    </w:p>
    <w:p w14:paraId="769DFBFB" w14:textId="556DDEA2" w:rsidR="00702E2D" w:rsidRPr="00851A64" w:rsidRDefault="00702E2D" w:rsidP="00702E2D">
      <w:pPr>
        <w:pStyle w:val="eTRMHeading5"/>
        <w:keepNext/>
        <w:keepLines/>
      </w:pPr>
      <w:r w:rsidRPr="00851A64">
        <w:t>Calculation Water Usage and Water Savings</w:t>
      </w:r>
      <w:r w:rsidR="00573157">
        <w:t xml:space="preserve"> with TSV</w:t>
      </w:r>
    </w:p>
    <w:p w14:paraId="0D1B1BFE" w14:textId="31637645" w:rsidR="00702E2D" w:rsidRPr="00851A64" w:rsidRDefault="00702E2D" w:rsidP="007E70F8">
      <w:r w:rsidRPr="00851A64">
        <w:t xml:space="preserve">The calculation of water savings due to the installation of a </w:t>
      </w:r>
      <w:r w:rsidR="00D84CF2" w:rsidRPr="00851A64">
        <w:t xml:space="preserve">TSV without a low-flow showerhead follows the same methodology as the water savings of a low-flow showerhead, </w:t>
      </w:r>
      <w:r w:rsidRPr="00851A64">
        <w:t xml:space="preserve">represented </w:t>
      </w:r>
      <w:r w:rsidR="00D84CF2" w:rsidRPr="00851A64">
        <w:t>in the previous section</w:t>
      </w:r>
      <w:r w:rsidRPr="00851A64">
        <w:t xml:space="preserve">. </w:t>
      </w:r>
      <w:r w:rsidR="00393D69" w:rsidRPr="00851A64">
        <w:t xml:space="preserve">The </w:t>
      </w:r>
      <w:r w:rsidR="00E41BE1">
        <w:t xml:space="preserve">UES calculation for the </w:t>
      </w:r>
      <w:r w:rsidR="00393D69" w:rsidRPr="00851A64">
        <w:t>TSV assumes base case showerhead flow rate for the base case and measure case water usage.</w:t>
      </w:r>
      <w:r w:rsidR="00F66A36">
        <w:t xml:space="preserve"> </w:t>
      </w:r>
      <w:r w:rsidR="00BB344E">
        <w:t xml:space="preserve">Instead of the total shower time </w:t>
      </w:r>
      <w:r w:rsidR="00DE4678">
        <w:t>(</w:t>
      </w:r>
      <w:r w:rsidR="00BB344E">
        <w:t>used in the showerhead water usage calculation</w:t>
      </w:r>
      <w:r w:rsidR="00DE4678">
        <w:t>)</w:t>
      </w:r>
      <w:r w:rsidR="00BB344E">
        <w:t>, the water usage calculation for the TSV uses “adjusted time” parameter that disaggregates the total time into the “behavioral time” and the “shower time.” The behavioral time represents</w:t>
      </w:r>
      <w:r w:rsidR="00D84CF2" w:rsidRPr="00851A64">
        <w:t xml:space="preserve"> the average time a person waits to enter the </w:t>
      </w:r>
      <w:r w:rsidR="009C37FE">
        <w:t xml:space="preserve">shower </w:t>
      </w:r>
      <w:r w:rsidR="009C37FE" w:rsidRPr="009C37FE">
        <w:rPr>
          <w:i/>
        </w:rPr>
        <w:t>after</w:t>
      </w:r>
      <w:r w:rsidR="009C37FE">
        <w:t xml:space="preserve"> the water temperature has already reached the optimum temperature</w:t>
      </w:r>
      <w:r w:rsidR="00BB344E">
        <w:t xml:space="preserve">. </w:t>
      </w:r>
    </w:p>
    <w:p w14:paraId="4BA59C06" w14:textId="1B5B3C4D" w:rsidR="00906C8F" w:rsidRDefault="00906C8F" w:rsidP="00702E2D">
      <w:r>
        <w:t xml:space="preserve">The calculation of water savings and water usage for the TSV installation is shown </w:t>
      </w:r>
      <w:r w:rsidR="00BE2D82">
        <w:t>below.</w:t>
      </w:r>
      <w:r>
        <w:t xml:space="preserve"> </w:t>
      </w:r>
      <w:r w:rsidRPr="00851A64">
        <w:t>Annual water savings is calculated as the difference between the estimated base case and measure case annual water usage.</w:t>
      </w:r>
    </w:p>
    <w:p w14:paraId="3C2B532A" w14:textId="75F56614" w:rsidR="00906C8F" w:rsidRPr="00BE7FA3" w:rsidRDefault="00497854" w:rsidP="00906C8F">
      <w:pPr>
        <w:keepNext/>
        <w:keepLines/>
        <w:ind w:left="720"/>
        <w:rPr>
          <w:rFonts w:asciiTheme="minorHAnsi" w:hAnsiTheme="minorHAnsi"/>
          <w:sz w:val="18"/>
        </w:rPr>
      </w:pPr>
      <m:oMathPara>
        <m:oMathParaPr>
          <m:jc m:val="left"/>
        </m:oMathParaPr>
        <m:oMath>
          <m:sSub>
            <m:sSubPr>
              <m:ctrlPr>
                <w:rPr>
                  <w:rFonts w:ascii="Cambria Math" w:hAnsi="Cambria Math"/>
                  <w:i/>
                  <w:sz w:val="18"/>
                </w:rPr>
              </m:ctrlPr>
            </m:sSubPr>
            <m:e>
              <m:r>
                <w:rPr>
                  <w:rFonts w:ascii="Cambria Math" w:hAnsi="Cambria Math"/>
                  <w:sz w:val="18"/>
                </w:rPr>
                <m:t>WS</m:t>
              </m:r>
            </m:e>
            <m:sub>
              <m:r>
                <w:rPr>
                  <w:rFonts w:ascii="Cambria Math" w:hAnsi="Cambria Math"/>
                  <w:sz w:val="18"/>
                </w:rPr>
                <m:t>TSV</m:t>
              </m:r>
            </m:sub>
          </m:sSub>
          <m:r>
            <w:rPr>
              <w:rFonts w:ascii="Cambria Math" w:hAnsi="Cambria Math"/>
              <w:sz w:val="18"/>
            </w:rPr>
            <m:t>=</m:t>
          </m:r>
          <m:sSub>
            <m:sSubPr>
              <m:ctrlPr>
                <w:rPr>
                  <w:rFonts w:ascii="Cambria Math" w:hAnsi="Cambria Math" w:cs="Times New Roman"/>
                  <w:i/>
                  <w:sz w:val="18"/>
                </w:rPr>
              </m:ctrlPr>
            </m:sSubPr>
            <m:e>
              <m:r>
                <w:rPr>
                  <w:rFonts w:ascii="Cambria Math" w:hAnsi="Cambria Math" w:cs="Times New Roman"/>
                  <w:sz w:val="18"/>
                </w:rPr>
                <m:t>WU</m:t>
              </m:r>
            </m:e>
            <m:sub>
              <m:r>
                <w:rPr>
                  <w:rFonts w:ascii="Cambria Math" w:hAnsi="Cambria Math"/>
                  <w:sz w:val="18"/>
                </w:rPr>
                <m:t>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WU</m:t>
              </m:r>
            </m:e>
            <m:sub>
              <m:r>
                <w:rPr>
                  <w:rFonts w:ascii="Cambria Math" w:hAnsi="Cambria Math"/>
                  <w:sz w:val="18"/>
                </w:rPr>
                <m:t>measure</m:t>
              </m:r>
            </m:sub>
          </m:sSub>
        </m:oMath>
      </m:oMathPara>
    </w:p>
    <w:p w14:paraId="6259F14B" w14:textId="77777777" w:rsidR="00BE7FA3" w:rsidRPr="001543FB" w:rsidRDefault="00BE7FA3" w:rsidP="00906C8F">
      <w:pPr>
        <w:keepNext/>
        <w:keepLines/>
        <w:ind w:left="720"/>
        <w:rPr>
          <w:rFonts w:asciiTheme="minorHAnsi" w:hAnsiTheme="minorHAnsi"/>
          <w:sz w:val="18"/>
        </w:rPr>
      </w:pPr>
    </w:p>
    <w:p w14:paraId="6EC5B8A6" w14:textId="75289734" w:rsidR="00906C8F" w:rsidRPr="000B726B" w:rsidRDefault="00906C8F" w:rsidP="00906C8F">
      <w:pPr>
        <w:keepNext/>
        <w:keepLines/>
        <w:ind w:left="720"/>
        <w:rPr>
          <w:rFonts w:cs="Calibri Light"/>
          <w:sz w:val="18"/>
          <w:szCs w:val="22"/>
        </w:rPr>
      </w:pPr>
      <m:oMathPara>
        <m:oMathParaPr>
          <m:jc m:val="left"/>
        </m:oMathParaPr>
        <m:oMath>
          <m:r>
            <w:rPr>
              <w:rFonts w:ascii="Cambria Math" w:hAnsi="Cambria Math" w:cs="Calibri Light"/>
              <w:sz w:val="18"/>
              <w:szCs w:val="22"/>
            </w:rPr>
            <m:t xml:space="preserve">WU= </m:t>
          </m:r>
          <m:f>
            <m:fPr>
              <m:ctrlPr>
                <w:rPr>
                  <w:rFonts w:ascii="Cambria Math" w:hAnsi="Cambria Math" w:cs="Calibri Light"/>
                  <w:i/>
                  <w:sz w:val="18"/>
                  <w:szCs w:val="22"/>
                </w:rPr>
              </m:ctrlPr>
            </m:fPr>
            <m:num>
              <m:r>
                <w:rPr>
                  <w:rFonts w:ascii="Cambria Math" w:hAnsi="Cambria Math" w:cs="Calibri Light"/>
                  <w:sz w:val="18"/>
                  <w:szCs w:val="22"/>
                </w:rPr>
                <m:t xml:space="preserve">FlowRate×F×AdjMin ×Days×QShwr </m:t>
              </m:r>
            </m:num>
            <m:den>
              <m:r>
                <w:rPr>
                  <w:rFonts w:ascii="Cambria Math" w:hAnsi="Cambria Math" w:cs="Calibri Light"/>
                  <w:sz w:val="18"/>
                  <w:szCs w:val="22"/>
                </w:rPr>
                <m:t>N</m:t>
              </m:r>
            </m:den>
          </m:f>
          <m:r>
            <w:rPr>
              <w:rFonts w:ascii="Cambria Math" w:hAnsi="Cambria Math" w:cs="Calibri Light"/>
              <w:sz w:val="18"/>
              <w:szCs w:val="22"/>
            </w:rPr>
            <m:t>×G</m:t>
          </m:r>
        </m:oMath>
      </m:oMathPara>
    </w:p>
    <w:p w14:paraId="3249B390" w14:textId="77777777" w:rsidR="00906C8F" w:rsidRDefault="00906C8F" w:rsidP="00906C8F">
      <w:pPr>
        <w:keepNext/>
        <w:keepLines/>
        <w:ind w:left="720"/>
        <w:rPr>
          <w:rFonts w:ascii="Cambria Math" w:hAnsi="Cambria Math" w:cs="Calibri Light"/>
          <w:i/>
          <w:sz w:val="18"/>
          <w:szCs w:val="18"/>
        </w:rPr>
      </w:pPr>
    </w:p>
    <w:p w14:paraId="03C7F809" w14:textId="556E63B7" w:rsidR="00906C8F" w:rsidRPr="00374A3A" w:rsidRDefault="00906C8F" w:rsidP="001D4DF1">
      <w:pPr>
        <w:keepNext/>
        <w:keepLines/>
        <w:tabs>
          <w:tab w:val="left" w:pos="2700"/>
        </w:tabs>
        <w:spacing w:before="20" w:after="20"/>
        <w:ind w:left="1440"/>
        <w:rPr>
          <w:rFonts w:ascii="Cambria Math" w:hAnsi="Cambria Math" w:cs="Calibri Light"/>
          <w:i/>
          <w:sz w:val="18"/>
          <w:szCs w:val="18"/>
        </w:rPr>
      </w:pPr>
      <w:r w:rsidRPr="00374A3A">
        <w:rPr>
          <w:rFonts w:ascii="Cambria Math" w:hAnsi="Cambria Math" w:cs="Calibri Light"/>
          <w:i/>
          <w:sz w:val="18"/>
          <w:szCs w:val="18"/>
        </w:rPr>
        <w:t>WS</w:t>
      </w:r>
      <w:r w:rsidR="009C37FE">
        <w:rPr>
          <w:rFonts w:ascii="Cambria Math" w:hAnsi="Cambria Math" w:cs="Calibri Light"/>
          <w:i/>
          <w:sz w:val="18"/>
          <w:szCs w:val="18"/>
          <w:vertAlign w:val="subscript"/>
        </w:rPr>
        <w:t>TSV</w:t>
      </w:r>
      <w:r w:rsidRPr="00374A3A">
        <w:rPr>
          <w:rFonts w:ascii="Cambria Math" w:hAnsi="Cambria Math" w:cs="Calibri Light"/>
          <w:i/>
          <w:sz w:val="18"/>
          <w:szCs w:val="18"/>
        </w:rPr>
        <w:t xml:space="preserve">= </w:t>
      </w:r>
      <w:r w:rsidRPr="00374A3A">
        <w:rPr>
          <w:rFonts w:ascii="Cambria Math" w:hAnsi="Cambria Math" w:cs="Calibri Light"/>
          <w:i/>
          <w:sz w:val="18"/>
          <w:szCs w:val="18"/>
        </w:rPr>
        <w:tab/>
        <w:t>Annual water savings (gal/</w:t>
      </w:r>
      <w:proofErr w:type="spellStart"/>
      <w:r w:rsidR="001D4DF1">
        <w:rPr>
          <w:rFonts w:ascii="Cambria Math" w:hAnsi="Cambria Math" w:cs="Calibri Light"/>
          <w:i/>
          <w:sz w:val="18"/>
          <w:szCs w:val="18"/>
        </w:rPr>
        <w:t>yr</w:t>
      </w:r>
      <w:proofErr w:type="spellEnd"/>
      <w:r w:rsidRPr="00374A3A">
        <w:rPr>
          <w:rFonts w:ascii="Cambria Math" w:hAnsi="Cambria Math" w:cs="Calibri Light"/>
          <w:i/>
          <w:sz w:val="18"/>
          <w:szCs w:val="18"/>
        </w:rPr>
        <w:t>)</w:t>
      </w:r>
      <w:r>
        <w:rPr>
          <w:rFonts w:ascii="Cambria Math" w:hAnsi="Cambria Math" w:cs="Calibri Light"/>
          <w:i/>
          <w:sz w:val="18"/>
          <w:szCs w:val="18"/>
        </w:rPr>
        <w:t xml:space="preserve"> for </w:t>
      </w:r>
      <w:r w:rsidR="009C37FE">
        <w:rPr>
          <w:rFonts w:ascii="Cambria Math" w:hAnsi="Cambria Math" w:cs="Calibri Light"/>
          <w:i/>
          <w:sz w:val="18"/>
          <w:szCs w:val="18"/>
        </w:rPr>
        <w:t>TSV</w:t>
      </w:r>
    </w:p>
    <w:p w14:paraId="298322A6" w14:textId="1A7F687A" w:rsidR="00906C8F" w:rsidRPr="00374A3A" w:rsidRDefault="00906C8F" w:rsidP="001D4DF1">
      <w:pPr>
        <w:keepNext/>
        <w:keepLines/>
        <w:tabs>
          <w:tab w:val="left" w:pos="2700"/>
        </w:tabs>
        <w:spacing w:before="20" w:after="20"/>
        <w:ind w:left="1440"/>
        <w:rPr>
          <w:rFonts w:ascii="Cambria Math" w:hAnsi="Cambria Math" w:cs="Calibri Light"/>
          <w:i/>
          <w:sz w:val="18"/>
          <w:szCs w:val="18"/>
        </w:rPr>
      </w:pPr>
      <m:oMath>
        <m:r>
          <w:rPr>
            <w:rFonts w:ascii="Cambria Math" w:hAnsi="Cambria Math" w:cs="Calibri Light"/>
            <w:sz w:val="18"/>
            <w:szCs w:val="18"/>
          </w:rPr>
          <m:t>WU</m:t>
        </m:r>
      </m:oMath>
      <w:r w:rsidRPr="00374A3A">
        <w:rPr>
          <w:rFonts w:ascii="Cambria Math" w:hAnsi="Cambria Math" w:cs="Calibri Light"/>
          <w:i/>
          <w:sz w:val="18"/>
          <w:szCs w:val="18"/>
        </w:rPr>
        <w:t xml:space="preserve"> = </w:t>
      </w:r>
      <w:r w:rsidRPr="00374A3A">
        <w:rPr>
          <w:rFonts w:ascii="Cambria Math" w:hAnsi="Cambria Math" w:cs="Calibri Light"/>
          <w:i/>
          <w:sz w:val="18"/>
          <w:szCs w:val="18"/>
        </w:rPr>
        <w:tab/>
        <w:t>Annual water use (gal/</w:t>
      </w:r>
      <w:proofErr w:type="spellStart"/>
      <w:r w:rsidR="001D4DF1">
        <w:rPr>
          <w:rFonts w:ascii="Cambria Math" w:hAnsi="Cambria Math" w:cs="Calibri Light"/>
          <w:i/>
          <w:sz w:val="18"/>
          <w:szCs w:val="18"/>
        </w:rPr>
        <w:t>yr</w:t>
      </w:r>
      <w:proofErr w:type="spellEnd"/>
      <w:r w:rsidRPr="00374A3A">
        <w:rPr>
          <w:rFonts w:ascii="Cambria Math" w:hAnsi="Cambria Math" w:cs="Calibri Light"/>
          <w:i/>
          <w:sz w:val="18"/>
          <w:szCs w:val="18"/>
        </w:rPr>
        <w:t>), for base or measure case</w:t>
      </w:r>
    </w:p>
    <w:p w14:paraId="26D508AE" w14:textId="77777777" w:rsidR="00906C8F" w:rsidRPr="00374A3A" w:rsidRDefault="00906C8F" w:rsidP="001D4DF1">
      <w:pPr>
        <w:tabs>
          <w:tab w:val="left" w:pos="2700"/>
        </w:tabs>
        <w:spacing w:before="20" w:after="20"/>
        <w:ind w:left="1440"/>
        <w:rPr>
          <w:rFonts w:ascii="Cambria Math" w:hAnsi="Cambria Math" w:cs="Calibri Light"/>
          <w:i/>
          <w:sz w:val="18"/>
          <w:szCs w:val="18"/>
        </w:rPr>
      </w:pPr>
      <w:proofErr w:type="spellStart"/>
      <w:r w:rsidRPr="00374A3A">
        <w:rPr>
          <w:rFonts w:ascii="Cambria Math" w:hAnsi="Cambria Math" w:cs="Calibri Light"/>
          <w:i/>
          <w:sz w:val="18"/>
          <w:szCs w:val="18"/>
        </w:rPr>
        <w:t>FlowRate</w:t>
      </w:r>
      <w:proofErr w:type="spellEnd"/>
      <w:r w:rsidRPr="00374A3A">
        <w:rPr>
          <w:rFonts w:ascii="Cambria Math" w:hAnsi="Cambria Math" w:cs="Calibri Light"/>
          <w:i/>
          <w:sz w:val="18"/>
          <w:szCs w:val="18"/>
        </w:rPr>
        <w:t xml:space="preserve"> = </w:t>
      </w:r>
      <w:r w:rsidRPr="00374A3A">
        <w:rPr>
          <w:rFonts w:ascii="Cambria Math" w:hAnsi="Cambria Math" w:cs="Calibri Light"/>
          <w:i/>
          <w:sz w:val="18"/>
          <w:szCs w:val="18"/>
        </w:rPr>
        <w:tab/>
        <w:t>Showerhead water flow rate (</w:t>
      </w:r>
      <w:proofErr w:type="spellStart"/>
      <w:r w:rsidRPr="00374A3A">
        <w:rPr>
          <w:rFonts w:ascii="Cambria Math" w:hAnsi="Cambria Math" w:cs="Calibri Light"/>
          <w:i/>
          <w:sz w:val="18"/>
          <w:szCs w:val="18"/>
        </w:rPr>
        <w:t>gpm</w:t>
      </w:r>
      <w:proofErr w:type="spellEnd"/>
      <w:r w:rsidRPr="00374A3A">
        <w:rPr>
          <w:rFonts w:ascii="Cambria Math" w:hAnsi="Cambria Math" w:cs="Calibri Light"/>
          <w:i/>
          <w:sz w:val="18"/>
          <w:szCs w:val="18"/>
        </w:rPr>
        <w:t>) for base or measure case fixtures</w:t>
      </w:r>
    </w:p>
    <w:p w14:paraId="55BAD4E6" w14:textId="77777777" w:rsidR="00906C8F" w:rsidRPr="00374A3A" w:rsidRDefault="00906C8F" w:rsidP="001D4DF1">
      <w:pPr>
        <w:tabs>
          <w:tab w:val="left" w:pos="2700"/>
        </w:tabs>
        <w:spacing w:before="20" w:after="20"/>
        <w:ind w:left="1440"/>
        <w:rPr>
          <w:rFonts w:ascii="Cambria Math" w:hAnsi="Cambria Math" w:cs="Calibri Light"/>
          <w:i/>
          <w:sz w:val="18"/>
          <w:szCs w:val="18"/>
        </w:rPr>
      </w:pPr>
      <w:r w:rsidRPr="00374A3A">
        <w:rPr>
          <w:rFonts w:ascii="Cambria Math" w:hAnsi="Cambria Math" w:cs="Calibri Light"/>
          <w:i/>
          <w:sz w:val="18"/>
          <w:szCs w:val="18"/>
        </w:rPr>
        <w:t xml:space="preserve">F = </w:t>
      </w:r>
      <w:r w:rsidRPr="00374A3A">
        <w:rPr>
          <w:rFonts w:ascii="Cambria Math" w:hAnsi="Cambria Math" w:cs="Calibri Light"/>
          <w:i/>
          <w:sz w:val="18"/>
          <w:szCs w:val="18"/>
        </w:rPr>
        <w:tab/>
        <w:t xml:space="preserve">Throttling factor (%) </w:t>
      </w:r>
    </w:p>
    <w:p w14:paraId="7B8665A6" w14:textId="78F30855" w:rsidR="00906C8F" w:rsidRPr="00374A3A" w:rsidRDefault="00906C8F" w:rsidP="001D4DF1">
      <w:pPr>
        <w:tabs>
          <w:tab w:val="left" w:pos="2700"/>
        </w:tabs>
        <w:spacing w:before="20" w:after="20"/>
        <w:ind w:left="1440"/>
        <w:rPr>
          <w:rFonts w:ascii="Cambria Math" w:hAnsi="Cambria Math" w:cs="Calibri Light"/>
          <w:i/>
          <w:sz w:val="18"/>
          <w:szCs w:val="18"/>
        </w:rPr>
      </w:pPr>
      <w:proofErr w:type="spellStart"/>
      <w:r>
        <w:rPr>
          <w:rFonts w:ascii="Cambria Math" w:hAnsi="Cambria Math" w:cs="Calibri Light"/>
          <w:i/>
          <w:sz w:val="18"/>
          <w:szCs w:val="18"/>
        </w:rPr>
        <w:t>Adj</w:t>
      </w:r>
      <w:r w:rsidRPr="00374A3A">
        <w:rPr>
          <w:rFonts w:ascii="Cambria Math" w:hAnsi="Cambria Math" w:cs="Calibri Light"/>
          <w:i/>
          <w:sz w:val="18"/>
          <w:szCs w:val="18"/>
        </w:rPr>
        <w:t>Min</w:t>
      </w:r>
      <w:proofErr w:type="spellEnd"/>
      <w:r w:rsidRPr="00374A3A">
        <w:rPr>
          <w:rFonts w:ascii="Cambria Math" w:hAnsi="Cambria Math" w:cs="Calibri Light"/>
          <w:i/>
          <w:sz w:val="18"/>
          <w:szCs w:val="18"/>
        </w:rPr>
        <w:t xml:space="preserve"> = </w:t>
      </w:r>
      <w:r w:rsidRPr="00374A3A">
        <w:rPr>
          <w:rFonts w:ascii="Cambria Math" w:hAnsi="Cambria Math" w:cs="Calibri Light"/>
          <w:i/>
          <w:sz w:val="18"/>
          <w:szCs w:val="18"/>
        </w:rPr>
        <w:tab/>
      </w:r>
      <w:r>
        <w:rPr>
          <w:rFonts w:ascii="Cambria Math" w:hAnsi="Cambria Math" w:cs="Calibri Light"/>
          <w:i/>
          <w:sz w:val="18"/>
          <w:szCs w:val="18"/>
        </w:rPr>
        <w:t>Adjusted a</w:t>
      </w:r>
      <w:r w:rsidRPr="00374A3A">
        <w:rPr>
          <w:rFonts w:ascii="Cambria Math" w:hAnsi="Cambria Math" w:cs="Calibri Light"/>
          <w:i/>
          <w:sz w:val="18"/>
          <w:szCs w:val="18"/>
        </w:rPr>
        <w:t xml:space="preserve">verage shower time (min/day) </w:t>
      </w:r>
    </w:p>
    <w:p w14:paraId="6DF6994C" w14:textId="77777777" w:rsidR="00906C8F" w:rsidRPr="00374A3A" w:rsidRDefault="00906C8F" w:rsidP="001D4DF1">
      <w:pPr>
        <w:tabs>
          <w:tab w:val="left" w:pos="2700"/>
        </w:tabs>
        <w:spacing w:before="20" w:after="20"/>
        <w:ind w:left="1440"/>
        <w:rPr>
          <w:rFonts w:ascii="Cambria Math" w:hAnsi="Cambria Math" w:cs="Calibri Light"/>
          <w:i/>
          <w:sz w:val="18"/>
          <w:szCs w:val="18"/>
        </w:rPr>
      </w:pPr>
      <w:proofErr w:type="spellStart"/>
      <w:r w:rsidRPr="00374A3A">
        <w:rPr>
          <w:rFonts w:ascii="Cambria Math" w:hAnsi="Cambria Math" w:cs="Calibri Light"/>
          <w:i/>
          <w:sz w:val="18"/>
          <w:szCs w:val="18"/>
        </w:rPr>
        <w:t>QShwr</w:t>
      </w:r>
      <w:proofErr w:type="spellEnd"/>
      <w:r w:rsidRPr="00374A3A">
        <w:rPr>
          <w:rFonts w:ascii="Cambria Math" w:hAnsi="Cambria Math" w:cs="Calibri Light"/>
          <w:i/>
          <w:sz w:val="18"/>
          <w:szCs w:val="18"/>
        </w:rPr>
        <w:t xml:space="preserve"> = </w:t>
      </w:r>
      <w:r w:rsidRPr="00374A3A">
        <w:rPr>
          <w:rFonts w:ascii="Cambria Math" w:hAnsi="Cambria Math" w:cs="Calibri Light"/>
          <w:i/>
          <w:sz w:val="18"/>
          <w:szCs w:val="18"/>
        </w:rPr>
        <w:tab/>
        <w:t>Number of showers per household per day</w:t>
      </w:r>
    </w:p>
    <w:p w14:paraId="2863EC86" w14:textId="19706C1C" w:rsidR="00906C8F" w:rsidRPr="00374A3A" w:rsidRDefault="00906C8F" w:rsidP="001D4DF1">
      <w:pPr>
        <w:tabs>
          <w:tab w:val="left" w:pos="2700"/>
        </w:tabs>
        <w:spacing w:before="20" w:after="20"/>
        <w:ind w:left="1440"/>
        <w:rPr>
          <w:rFonts w:ascii="Cambria Math" w:hAnsi="Cambria Math" w:cs="Calibri Light"/>
          <w:i/>
          <w:sz w:val="18"/>
          <w:szCs w:val="18"/>
        </w:rPr>
      </w:pPr>
      <w:r w:rsidRPr="00374A3A">
        <w:rPr>
          <w:rFonts w:ascii="Cambria Math" w:hAnsi="Cambria Math" w:cs="Calibri Light"/>
          <w:i/>
          <w:sz w:val="18"/>
          <w:szCs w:val="18"/>
        </w:rPr>
        <w:t xml:space="preserve">Days = </w:t>
      </w:r>
      <w:r w:rsidRPr="00374A3A">
        <w:rPr>
          <w:rFonts w:ascii="Cambria Math" w:hAnsi="Cambria Math" w:cs="Calibri Light"/>
          <w:i/>
          <w:sz w:val="18"/>
          <w:szCs w:val="18"/>
        </w:rPr>
        <w:tab/>
        <w:t>Shower days of operation (days/</w:t>
      </w:r>
      <w:proofErr w:type="spellStart"/>
      <w:r w:rsidR="001D4DF1">
        <w:rPr>
          <w:rFonts w:ascii="Cambria Math" w:hAnsi="Cambria Math" w:cs="Calibri Light"/>
          <w:i/>
          <w:sz w:val="18"/>
          <w:szCs w:val="18"/>
        </w:rPr>
        <w:t>yr</w:t>
      </w:r>
      <w:proofErr w:type="spellEnd"/>
      <w:r w:rsidRPr="00374A3A">
        <w:rPr>
          <w:rFonts w:ascii="Cambria Math" w:hAnsi="Cambria Math" w:cs="Calibri Light"/>
          <w:i/>
          <w:sz w:val="18"/>
          <w:szCs w:val="18"/>
        </w:rPr>
        <w:t>)</w:t>
      </w:r>
    </w:p>
    <w:p w14:paraId="1C75AA85" w14:textId="77777777" w:rsidR="00906C8F" w:rsidRPr="00374A3A" w:rsidRDefault="00906C8F" w:rsidP="001D4DF1">
      <w:pPr>
        <w:tabs>
          <w:tab w:val="left" w:pos="2700"/>
        </w:tabs>
        <w:spacing w:before="20" w:after="20"/>
        <w:ind w:left="1440"/>
        <w:rPr>
          <w:rFonts w:ascii="Cambria Math" w:hAnsi="Cambria Math"/>
          <w:i/>
          <w:sz w:val="18"/>
          <w:szCs w:val="18"/>
        </w:rPr>
      </w:pPr>
      <w:r w:rsidRPr="00374A3A">
        <w:rPr>
          <w:rFonts w:ascii="Cambria Math" w:hAnsi="Cambria Math" w:cs="Calibri Light"/>
          <w:i/>
          <w:sz w:val="18"/>
          <w:szCs w:val="18"/>
        </w:rPr>
        <w:t xml:space="preserve">N = </w:t>
      </w:r>
      <w:r w:rsidRPr="00374A3A">
        <w:rPr>
          <w:rFonts w:ascii="Cambria Math" w:hAnsi="Cambria Math" w:cs="Calibri Light"/>
          <w:i/>
          <w:sz w:val="18"/>
          <w:szCs w:val="18"/>
        </w:rPr>
        <w:tab/>
        <w:t>Number of showerheads per household, SF or MF</w:t>
      </w:r>
    </w:p>
    <w:p w14:paraId="691B81FC" w14:textId="35DD14D6" w:rsidR="00906C8F" w:rsidRDefault="00906C8F" w:rsidP="001D4DF1">
      <w:pPr>
        <w:tabs>
          <w:tab w:val="left" w:pos="2700"/>
        </w:tabs>
        <w:spacing w:before="20" w:after="20"/>
        <w:ind w:left="1440"/>
        <w:rPr>
          <w:rFonts w:ascii="Cambria Math" w:hAnsi="Cambria Math"/>
          <w:i/>
          <w:sz w:val="18"/>
          <w:szCs w:val="18"/>
        </w:rPr>
      </w:pPr>
      <w:r w:rsidRPr="00374A3A">
        <w:rPr>
          <w:rFonts w:ascii="Cambria Math" w:hAnsi="Cambria Math"/>
          <w:i/>
          <w:sz w:val="18"/>
          <w:szCs w:val="18"/>
        </w:rPr>
        <w:t xml:space="preserve">G = </w:t>
      </w:r>
      <w:r w:rsidRPr="00374A3A">
        <w:rPr>
          <w:rFonts w:ascii="Cambria Math" w:hAnsi="Cambria Math"/>
          <w:i/>
          <w:sz w:val="18"/>
          <w:szCs w:val="18"/>
        </w:rPr>
        <w:tab/>
      </w:r>
      <w:r>
        <w:rPr>
          <w:rFonts w:ascii="Cambria Math" w:hAnsi="Cambria Math"/>
          <w:i/>
          <w:sz w:val="18"/>
          <w:szCs w:val="18"/>
        </w:rPr>
        <w:t>Baseline water usage normalization</w:t>
      </w:r>
      <w:r w:rsidRPr="00374A3A">
        <w:rPr>
          <w:rFonts w:ascii="Cambria Math" w:hAnsi="Cambria Math"/>
          <w:i/>
          <w:sz w:val="18"/>
          <w:szCs w:val="18"/>
        </w:rPr>
        <w:t xml:space="preserve"> factor</w:t>
      </w:r>
    </w:p>
    <w:p w14:paraId="788438C1" w14:textId="01268702" w:rsidR="00702E2D" w:rsidRPr="00393D69" w:rsidRDefault="00702E2D" w:rsidP="00BE2D82">
      <w:pPr>
        <w:pStyle w:val="Caption"/>
        <w:keepNext w:val="0"/>
        <w:keepLines w:val="0"/>
      </w:pPr>
      <w:r w:rsidRPr="00393D69">
        <w:t xml:space="preserve">Base Case Water Usage Parameters </w:t>
      </w:r>
      <w:r w:rsidR="00851A64">
        <w:t>for TSV-only Installation</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85"/>
        <w:gridCol w:w="1440"/>
        <w:gridCol w:w="1440"/>
        <w:gridCol w:w="4770"/>
      </w:tblGrid>
      <w:tr w:rsidR="002C1811" w:rsidRPr="00393D69" w14:paraId="6C90A757" w14:textId="77777777" w:rsidTr="007E70F8">
        <w:trPr>
          <w:cantSplit/>
          <w:trHeight w:val="20"/>
          <w:tblHeader/>
        </w:trPr>
        <w:tc>
          <w:tcPr>
            <w:tcW w:w="1885" w:type="dxa"/>
            <w:shd w:val="clear" w:color="auto" w:fill="F2F2F2" w:themeFill="background1" w:themeFillShade="F2"/>
            <w:noWrap/>
            <w:vAlign w:val="bottom"/>
          </w:tcPr>
          <w:p w14:paraId="03823C4D" w14:textId="77777777" w:rsidR="002C1811" w:rsidRPr="00393D69" w:rsidRDefault="002C1811" w:rsidP="007E70F8">
            <w:pPr>
              <w:spacing w:before="0" w:after="0" w:line="240" w:lineRule="auto"/>
              <w:rPr>
                <w:rFonts w:eastAsia="Times New Roman" w:cs="Calibri Light"/>
                <w:b/>
                <w:sz w:val="20"/>
                <w:szCs w:val="20"/>
              </w:rPr>
            </w:pPr>
            <w:r w:rsidRPr="00393D69">
              <w:rPr>
                <w:rFonts w:eastAsia="Times New Roman" w:cs="Calibri Light"/>
                <w:b/>
                <w:sz w:val="20"/>
                <w:szCs w:val="20"/>
              </w:rPr>
              <w:lastRenderedPageBreak/>
              <w:t>Parameter</w:t>
            </w:r>
          </w:p>
        </w:tc>
        <w:tc>
          <w:tcPr>
            <w:tcW w:w="1440" w:type="dxa"/>
            <w:shd w:val="clear" w:color="auto" w:fill="F2F2F2" w:themeFill="background1" w:themeFillShade="F2"/>
            <w:noWrap/>
            <w:vAlign w:val="bottom"/>
          </w:tcPr>
          <w:p w14:paraId="365016F0" w14:textId="4D5862F0" w:rsidR="002C1811" w:rsidRPr="00393D69" w:rsidRDefault="002C1811" w:rsidP="007E70F8">
            <w:pPr>
              <w:spacing w:before="0" w:after="0" w:line="240" w:lineRule="auto"/>
              <w:jc w:val="center"/>
              <w:rPr>
                <w:rFonts w:eastAsia="Times New Roman" w:cs="Calibri Light"/>
                <w:b/>
                <w:sz w:val="20"/>
                <w:szCs w:val="20"/>
              </w:rPr>
            </w:pPr>
            <w:r w:rsidRPr="00393D69">
              <w:rPr>
                <w:rFonts w:eastAsia="Times New Roman" w:cs="Calibri Light"/>
                <w:b/>
                <w:sz w:val="20"/>
                <w:szCs w:val="20"/>
              </w:rPr>
              <w:t>Single Family</w:t>
            </w:r>
          </w:p>
        </w:tc>
        <w:tc>
          <w:tcPr>
            <w:tcW w:w="1440" w:type="dxa"/>
            <w:shd w:val="clear" w:color="auto" w:fill="F2F2F2" w:themeFill="background1" w:themeFillShade="F2"/>
            <w:vAlign w:val="bottom"/>
          </w:tcPr>
          <w:p w14:paraId="398CBB2C" w14:textId="0DB7179C" w:rsidR="002C1811" w:rsidRPr="00393D69" w:rsidRDefault="002C1811" w:rsidP="007E70F8">
            <w:pPr>
              <w:spacing w:before="0" w:after="0" w:line="240" w:lineRule="auto"/>
              <w:jc w:val="center"/>
              <w:rPr>
                <w:rFonts w:eastAsia="Times New Roman" w:cs="Calibri Light"/>
                <w:b/>
                <w:sz w:val="20"/>
                <w:szCs w:val="20"/>
              </w:rPr>
            </w:pPr>
            <w:r w:rsidRPr="00393D69">
              <w:rPr>
                <w:rFonts w:eastAsia="Times New Roman" w:cs="Calibri Light"/>
                <w:b/>
                <w:sz w:val="20"/>
                <w:szCs w:val="20"/>
              </w:rPr>
              <w:t>Multifamily</w:t>
            </w:r>
            <w:r w:rsidR="00B324C5">
              <w:rPr>
                <w:rFonts w:eastAsia="Times New Roman" w:cs="Calibri Light"/>
                <w:b/>
                <w:sz w:val="20"/>
                <w:szCs w:val="20"/>
              </w:rPr>
              <w:t xml:space="preserve"> / Mobile Home</w:t>
            </w:r>
          </w:p>
        </w:tc>
        <w:tc>
          <w:tcPr>
            <w:tcW w:w="4770" w:type="dxa"/>
            <w:shd w:val="clear" w:color="auto" w:fill="F2F2F2" w:themeFill="background1" w:themeFillShade="F2"/>
            <w:vAlign w:val="bottom"/>
          </w:tcPr>
          <w:p w14:paraId="66F5537C" w14:textId="61C7206B" w:rsidR="002C1811" w:rsidRPr="00393D69" w:rsidRDefault="002C1811" w:rsidP="007E70F8">
            <w:pPr>
              <w:spacing w:before="0" w:after="0" w:line="240" w:lineRule="auto"/>
              <w:jc w:val="center"/>
              <w:rPr>
                <w:rFonts w:eastAsia="Times New Roman" w:cs="Calibri Light"/>
                <w:b/>
                <w:sz w:val="20"/>
                <w:szCs w:val="20"/>
              </w:rPr>
            </w:pPr>
            <w:r w:rsidRPr="00393D69">
              <w:rPr>
                <w:rFonts w:eastAsia="Times New Roman" w:cs="Calibri Light"/>
                <w:b/>
                <w:sz w:val="20"/>
                <w:szCs w:val="20"/>
              </w:rPr>
              <w:t>Source</w:t>
            </w:r>
          </w:p>
        </w:tc>
      </w:tr>
      <w:tr w:rsidR="002C1811" w:rsidRPr="00393D69" w14:paraId="78F8614C" w14:textId="77777777" w:rsidTr="007E70F8">
        <w:trPr>
          <w:cantSplit/>
          <w:trHeight w:val="20"/>
        </w:trPr>
        <w:tc>
          <w:tcPr>
            <w:tcW w:w="1885" w:type="dxa"/>
            <w:shd w:val="clear" w:color="auto" w:fill="auto"/>
            <w:noWrap/>
            <w:vAlign w:val="center"/>
            <w:hideMark/>
          </w:tcPr>
          <w:p w14:paraId="0470B902" w14:textId="04F0FA2A" w:rsidR="002C1811" w:rsidRPr="00393D69" w:rsidRDefault="002C1811" w:rsidP="007E70F8">
            <w:pPr>
              <w:spacing w:before="0" w:after="0" w:line="240" w:lineRule="auto"/>
              <w:rPr>
                <w:rFonts w:eastAsia="Times New Roman" w:cs="Calibri Light"/>
                <w:sz w:val="20"/>
                <w:szCs w:val="20"/>
              </w:rPr>
            </w:pPr>
            <w:r w:rsidRPr="00393D69">
              <w:rPr>
                <w:rFonts w:eastAsia="Times New Roman" w:cs="Calibri Light"/>
                <w:sz w:val="20"/>
                <w:szCs w:val="20"/>
              </w:rPr>
              <w:t xml:space="preserve">Base Case Flow Rate – </w:t>
            </w:r>
            <w:r w:rsidR="00BE7FA3">
              <w:rPr>
                <w:rFonts w:eastAsia="Times New Roman" w:cs="Calibri Light"/>
                <w:sz w:val="20"/>
                <w:szCs w:val="20"/>
              </w:rPr>
              <w:t>NR and NC</w:t>
            </w:r>
            <w:r w:rsidRPr="00393D69">
              <w:rPr>
                <w:rFonts w:eastAsia="Times New Roman" w:cs="Calibri Light"/>
                <w:sz w:val="20"/>
                <w:szCs w:val="20"/>
              </w:rPr>
              <w:t xml:space="preserve"> (</w:t>
            </w:r>
            <w:proofErr w:type="spellStart"/>
            <w:r w:rsidRPr="00393D69">
              <w:rPr>
                <w:rFonts w:eastAsia="Times New Roman" w:cs="Calibri Light"/>
                <w:sz w:val="20"/>
                <w:szCs w:val="20"/>
              </w:rPr>
              <w:t>gpm</w:t>
            </w:r>
            <w:proofErr w:type="spellEnd"/>
            <w:r w:rsidRPr="00393D69">
              <w:rPr>
                <w:rFonts w:eastAsia="Times New Roman" w:cs="Calibri Light"/>
                <w:sz w:val="20"/>
                <w:szCs w:val="20"/>
              </w:rPr>
              <w:t>)</w:t>
            </w:r>
          </w:p>
        </w:tc>
        <w:tc>
          <w:tcPr>
            <w:tcW w:w="1440" w:type="dxa"/>
            <w:shd w:val="clear" w:color="auto" w:fill="auto"/>
            <w:noWrap/>
            <w:vAlign w:val="center"/>
          </w:tcPr>
          <w:p w14:paraId="737633B3"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1.80</w:t>
            </w:r>
          </w:p>
        </w:tc>
        <w:tc>
          <w:tcPr>
            <w:tcW w:w="1440" w:type="dxa"/>
            <w:vAlign w:val="center"/>
          </w:tcPr>
          <w:p w14:paraId="18AA6027"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1.80</w:t>
            </w:r>
          </w:p>
        </w:tc>
        <w:tc>
          <w:tcPr>
            <w:tcW w:w="4770" w:type="dxa"/>
            <w:vAlign w:val="center"/>
          </w:tcPr>
          <w:p w14:paraId="5B37710A" w14:textId="6A07254C" w:rsidR="002C1811" w:rsidRPr="00393D69" w:rsidRDefault="002C1811" w:rsidP="007E70F8">
            <w:pPr>
              <w:spacing w:before="0" w:after="0" w:line="240" w:lineRule="auto"/>
              <w:rPr>
                <w:rFonts w:eastAsia="Times New Roman" w:cs="Calibri Light"/>
                <w:sz w:val="18"/>
                <w:szCs w:val="18"/>
              </w:rPr>
            </w:pPr>
            <w:r w:rsidRPr="00393D69">
              <w:rPr>
                <w:sz w:val="18"/>
                <w:szCs w:val="18"/>
              </w:rPr>
              <w:t xml:space="preserve">California Energy Commission (CEC). 2014. </w:t>
            </w:r>
            <w:r w:rsidRPr="00393D69">
              <w:rPr>
                <w:i/>
                <w:sz w:val="18"/>
                <w:szCs w:val="18"/>
              </w:rPr>
              <w:t xml:space="preserve">2014 Appliance Efficiency Regulations. </w:t>
            </w:r>
            <w:r w:rsidRPr="00393D69">
              <w:rPr>
                <w:sz w:val="18"/>
                <w:szCs w:val="18"/>
              </w:rPr>
              <w:t>CEC-400-2014-009-CMF.</w:t>
            </w:r>
          </w:p>
        </w:tc>
      </w:tr>
      <w:tr w:rsidR="002C1811" w:rsidRPr="00393D69" w14:paraId="13D46094" w14:textId="77777777" w:rsidTr="007E70F8">
        <w:trPr>
          <w:cantSplit/>
          <w:trHeight w:val="20"/>
        </w:trPr>
        <w:tc>
          <w:tcPr>
            <w:tcW w:w="1885" w:type="dxa"/>
            <w:shd w:val="clear" w:color="auto" w:fill="auto"/>
            <w:noWrap/>
            <w:vAlign w:val="center"/>
          </w:tcPr>
          <w:p w14:paraId="6BB9AA8D" w14:textId="0FC09DC0" w:rsidR="002C1811" w:rsidRPr="00393D69" w:rsidRDefault="002C1811" w:rsidP="007E70F8">
            <w:pPr>
              <w:spacing w:before="0" w:after="0" w:line="240" w:lineRule="auto"/>
              <w:rPr>
                <w:rFonts w:eastAsia="Times New Roman" w:cs="Calibri Light"/>
                <w:sz w:val="20"/>
                <w:szCs w:val="20"/>
              </w:rPr>
            </w:pPr>
            <w:r w:rsidRPr="00393D69">
              <w:rPr>
                <w:rFonts w:eastAsia="Times New Roman" w:cs="Calibri Light"/>
                <w:sz w:val="20"/>
                <w:szCs w:val="20"/>
              </w:rPr>
              <w:t xml:space="preserve">Base Case Flow Rate – </w:t>
            </w:r>
            <w:r w:rsidR="00BE7FA3">
              <w:rPr>
                <w:rFonts w:eastAsia="Times New Roman" w:cs="Calibri Light"/>
                <w:sz w:val="20"/>
                <w:szCs w:val="20"/>
              </w:rPr>
              <w:t>AR and AOE</w:t>
            </w:r>
            <w:r w:rsidRPr="00393D69">
              <w:rPr>
                <w:rFonts w:eastAsia="Times New Roman" w:cs="Calibri Light"/>
                <w:sz w:val="20"/>
                <w:szCs w:val="20"/>
              </w:rPr>
              <w:t xml:space="preserve"> (</w:t>
            </w:r>
            <w:proofErr w:type="spellStart"/>
            <w:r w:rsidRPr="00393D69">
              <w:rPr>
                <w:rFonts w:eastAsia="Times New Roman" w:cs="Calibri Light"/>
                <w:sz w:val="20"/>
                <w:szCs w:val="20"/>
              </w:rPr>
              <w:t>gpm</w:t>
            </w:r>
            <w:proofErr w:type="spellEnd"/>
            <w:r w:rsidRPr="00393D69">
              <w:rPr>
                <w:rFonts w:eastAsia="Times New Roman" w:cs="Calibri Light"/>
                <w:sz w:val="20"/>
                <w:szCs w:val="20"/>
              </w:rPr>
              <w:t>)</w:t>
            </w:r>
          </w:p>
        </w:tc>
        <w:tc>
          <w:tcPr>
            <w:tcW w:w="1440" w:type="dxa"/>
            <w:shd w:val="clear" w:color="auto" w:fill="auto"/>
            <w:noWrap/>
            <w:vAlign w:val="center"/>
          </w:tcPr>
          <w:p w14:paraId="4CD0CC7F"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2.25</w:t>
            </w:r>
          </w:p>
        </w:tc>
        <w:tc>
          <w:tcPr>
            <w:tcW w:w="1440" w:type="dxa"/>
            <w:vAlign w:val="center"/>
          </w:tcPr>
          <w:p w14:paraId="014205EC"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2.25</w:t>
            </w:r>
          </w:p>
        </w:tc>
        <w:tc>
          <w:tcPr>
            <w:tcW w:w="4770" w:type="dxa"/>
            <w:vAlign w:val="center"/>
          </w:tcPr>
          <w:p w14:paraId="5CE9E3C8" w14:textId="32DABEE8" w:rsidR="002C1811" w:rsidRPr="00393D69" w:rsidRDefault="002C1811" w:rsidP="007E70F8">
            <w:pPr>
              <w:spacing w:before="0" w:after="0" w:line="240" w:lineRule="auto"/>
              <w:rPr>
                <w:rFonts w:eastAsia="Times New Roman" w:cs="Calibri Light"/>
                <w:sz w:val="18"/>
                <w:szCs w:val="18"/>
              </w:rPr>
            </w:pPr>
            <w:r w:rsidRPr="00393D69">
              <w:rPr>
                <w:sz w:val="18"/>
              </w:rPr>
              <w:t>Sempra Energy Utilities (SEU). 2012. “SEU 2009 ASW Data REDACTED.xlsx”.</w:t>
            </w:r>
          </w:p>
        </w:tc>
      </w:tr>
      <w:tr w:rsidR="002C1811" w:rsidRPr="002D723D" w14:paraId="6F159559" w14:textId="77777777" w:rsidTr="007E70F8">
        <w:trPr>
          <w:cantSplit/>
          <w:trHeight w:val="20"/>
        </w:trPr>
        <w:tc>
          <w:tcPr>
            <w:tcW w:w="1885" w:type="dxa"/>
            <w:shd w:val="clear" w:color="auto" w:fill="auto"/>
            <w:noWrap/>
            <w:vAlign w:val="center"/>
            <w:hideMark/>
          </w:tcPr>
          <w:p w14:paraId="2B00812A" w14:textId="77777777" w:rsidR="002C1811" w:rsidRPr="002D723D" w:rsidRDefault="002C1811" w:rsidP="007E70F8">
            <w:pPr>
              <w:spacing w:before="0" w:after="0" w:line="240" w:lineRule="auto"/>
              <w:rPr>
                <w:rFonts w:eastAsia="Times New Roman" w:cs="Calibri Light"/>
                <w:sz w:val="20"/>
                <w:szCs w:val="20"/>
              </w:rPr>
            </w:pPr>
            <w:r w:rsidRPr="002D723D">
              <w:rPr>
                <w:rFonts w:eastAsia="Times New Roman" w:cs="Calibri Light"/>
                <w:sz w:val="20"/>
                <w:szCs w:val="20"/>
              </w:rPr>
              <w:t xml:space="preserve">Average </w:t>
            </w:r>
            <w:r>
              <w:rPr>
                <w:rFonts w:eastAsia="Times New Roman" w:cs="Calibri Light"/>
                <w:sz w:val="20"/>
                <w:szCs w:val="20"/>
              </w:rPr>
              <w:t>Shower Time (min/shower)</w:t>
            </w:r>
          </w:p>
        </w:tc>
        <w:tc>
          <w:tcPr>
            <w:tcW w:w="1440" w:type="dxa"/>
            <w:shd w:val="clear" w:color="auto" w:fill="auto"/>
            <w:noWrap/>
            <w:vAlign w:val="center"/>
          </w:tcPr>
          <w:p w14:paraId="4D67F8F5" w14:textId="2A0F7118"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7.40</w:t>
            </w:r>
          </w:p>
        </w:tc>
        <w:tc>
          <w:tcPr>
            <w:tcW w:w="1440" w:type="dxa"/>
            <w:vAlign w:val="center"/>
          </w:tcPr>
          <w:p w14:paraId="28C69A89" w14:textId="2D725FA4"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7.40</w:t>
            </w:r>
          </w:p>
        </w:tc>
        <w:tc>
          <w:tcPr>
            <w:tcW w:w="4770" w:type="dxa"/>
          </w:tcPr>
          <w:p w14:paraId="662330D7" w14:textId="3B278750" w:rsidR="002C1811" w:rsidRPr="006504ED" w:rsidRDefault="002C1811" w:rsidP="007E70F8">
            <w:pPr>
              <w:spacing w:before="0" w:after="0" w:line="240" w:lineRule="auto"/>
              <w:rPr>
                <w:rFonts w:eastAsia="Times New Roman" w:cs="Calibri Light"/>
                <w:i/>
                <w:sz w:val="18"/>
                <w:szCs w:val="18"/>
              </w:rPr>
            </w:pPr>
            <w:proofErr w:type="spellStart"/>
            <w:r w:rsidRPr="006504ED">
              <w:rPr>
                <w:sz w:val="18"/>
                <w:szCs w:val="18"/>
              </w:rPr>
              <w:t>DeOreo</w:t>
            </w:r>
            <w:proofErr w:type="spellEnd"/>
            <w:r w:rsidRPr="006504ED">
              <w:rPr>
                <w:sz w:val="18"/>
                <w:szCs w:val="18"/>
              </w:rPr>
              <w:t xml:space="preserve">, W., P. Mayer, and D. Lewis. 2000. </w:t>
            </w:r>
            <w:r w:rsidRPr="006504ED">
              <w:rPr>
                <w:i/>
                <w:sz w:val="18"/>
                <w:szCs w:val="18"/>
              </w:rPr>
              <w:t xml:space="preserve">Seattle Home Water Conservation Study: The Impacts </w:t>
            </w:r>
            <w:proofErr w:type="gramStart"/>
            <w:r w:rsidRPr="006504ED">
              <w:rPr>
                <w:i/>
                <w:sz w:val="18"/>
                <w:szCs w:val="18"/>
              </w:rPr>
              <w:t>Of</w:t>
            </w:r>
            <w:proofErr w:type="gramEnd"/>
            <w:r w:rsidRPr="006504ED">
              <w:rPr>
                <w:i/>
                <w:sz w:val="18"/>
                <w:szCs w:val="18"/>
              </w:rPr>
              <w:t xml:space="preserve"> High Efficiency Plumbing Fixture Retrofits In Single-Family Homes.</w:t>
            </w:r>
            <w:r w:rsidRPr="006504ED">
              <w:rPr>
                <w:sz w:val="18"/>
                <w:szCs w:val="18"/>
              </w:rPr>
              <w:t xml:space="preserve"> Prepared for the Seattle Public Utilities and the U.S. Environmental Protection Agency. Boulder, CO: </w:t>
            </w:r>
            <w:proofErr w:type="spellStart"/>
            <w:r w:rsidRPr="006504ED">
              <w:rPr>
                <w:sz w:val="18"/>
                <w:szCs w:val="18"/>
              </w:rPr>
              <w:t>Aquacraft</w:t>
            </w:r>
            <w:proofErr w:type="spellEnd"/>
            <w:r w:rsidRPr="006504ED">
              <w:rPr>
                <w:sz w:val="18"/>
                <w:szCs w:val="18"/>
              </w:rPr>
              <w:t>, Inc. Water Engineering and Management.</w:t>
            </w:r>
          </w:p>
        </w:tc>
      </w:tr>
      <w:tr w:rsidR="002C1811" w:rsidRPr="00702E2D" w14:paraId="63587A38" w14:textId="77777777" w:rsidTr="007E70F8">
        <w:trPr>
          <w:cantSplit/>
          <w:trHeight w:val="20"/>
        </w:trPr>
        <w:tc>
          <w:tcPr>
            <w:tcW w:w="1885" w:type="dxa"/>
            <w:shd w:val="clear" w:color="auto" w:fill="auto"/>
            <w:noWrap/>
            <w:vAlign w:val="center"/>
            <w:hideMark/>
          </w:tcPr>
          <w:p w14:paraId="5589C270" w14:textId="6FF5739B" w:rsidR="002C1811" w:rsidRPr="00851A64" w:rsidRDefault="002C1811" w:rsidP="007E70F8">
            <w:pPr>
              <w:spacing w:before="0" w:after="0" w:line="240" w:lineRule="auto"/>
              <w:rPr>
                <w:rFonts w:eastAsia="Times New Roman" w:cs="Calibri Light"/>
                <w:sz w:val="20"/>
                <w:szCs w:val="20"/>
              </w:rPr>
            </w:pPr>
            <w:r>
              <w:rPr>
                <w:rFonts w:eastAsia="Times New Roman" w:cs="Calibri Light"/>
                <w:sz w:val="20"/>
                <w:szCs w:val="20"/>
              </w:rPr>
              <w:t xml:space="preserve">Behavior </w:t>
            </w:r>
            <w:r w:rsidRPr="00851A64">
              <w:rPr>
                <w:rFonts w:eastAsia="Times New Roman" w:cs="Calibri Light"/>
                <w:sz w:val="20"/>
                <w:szCs w:val="20"/>
              </w:rPr>
              <w:t>Time (min/shower)</w:t>
            </w:r>
            <w:r w:rsidRPr="00851A64">
              <w:rPr>
                <w:rFonts w:eastAsia="Times New Roman" w:cs="Calibri Light"/>
                <w:sz w:val="20"/>
                <w:szCs w:val="20"/>
              </w:rPr>
              <w:br/>
            </w:r>
            <w:r w:rsidRPr="00851A64">
              <w:rPr>
                <w:rFonts w:eastAsia="Times New Roman" w:cs="Calibri Light"/>
                <w:sz w:val="16"/>
                <w:szCs w:val="20"/>
              </w:rPr>
              <w:t>* Time</w:t>
            </w:r>
            <w:r>
              <w:rPr>
                <w:rFonts w:eastAsia="Times New Roman" w:cs="Calibri Light"/>
                <w:sz w:val="16"/>
                <w:szCs w:val="20"/>
              </w:rPr>
              <w:t xml:space="preserve"> hot water flows</w:t>
            </w:r>
            <w:r w:rsidRPr="00851A64">
              <w:rPr>
                <w:rFonts w:eastAsia="Times New Roman" w:cs="Calibri Light"/>
                <w:sz w:val="16"/>
                <w:szCs w:val="20"/>
              </w:rPr>
              <w:t xml:space="preserve"> before user enters shower</w:t>
            </w:r>
          </w:p>
        </w:tc>
        <w:tc>
          <w:tcPr>
            <w:tcW w:w="1440" w:type="dxa"/>
            <w:shd w:val="clear" w:color="auto" w:fill="auto"/>
            <w:noWrap/>
            <w:vAlign w:val="center"/>
          </w:tcPr>
          <w:p w14:paraId="20F53721" w14:textId="1C6848B6"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0.56</w:t>
            </w:r>
          </w:p>
        </w:tc>
        <w:tc>
          <w:tcPr>
            <w:tcW w:w="1440" w:type="dxa"/>
            <w:vAlign w:val="center"/>
          </w:tcPr>
          <w:p w14:paraId="7A50AACD" w14:textId="2BC0BCD8"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0.56</w:t>
            </w:r>
          </w:p>
        </w:tc>
        <w:tc>
          <w:tcPr>
            <w:tcW w:w="4770" w:type="dxa"/>
            <w:vAlign w:val="center"/>
          </w:tcPr>
          <w:p w14:paraId="03B5750F" w14:textId="7C906DE1" w:rsidR="002C1811" w:rsidRPr="000B624C" w:rsidRDefault="002C1811" w:rsidP="007E70F8">
            <w:pPr>
              <w:spacing w:before="0" w:after="0" w:line="240" w:lineRule="auto"/>
              <w:rPr>
                <w:rFonts w:eastAsia="Times New Roman" w:cs="Calibri Light"/>
                <w:sz w:val="18"/>
                <w:szCs w:val="18"/>
              </w:rPr>
            </w:pPr>
            <w:r w:rsidRPr="000B624C">
              <w:rPr>
                <w:rFonts w:eastAsia="Times New Roman" w:cs="Calibri Light"/>
                <w:sz w:val="18"/>
                <w:szCs w:val="18"/>
              </w:rPr>
              <w:t xml:space="preserve">Sherman, T. 2014. </w:t>
            </w:r>
            <w:r w:rsidRPr="000B624C">
              <w:rPr>
                <w:rFonts w:eastAsia="Times New Roman" w:cs="Calibri Light"/>
                <w:i/>
                <w:sz w:val="18"/>
                <w:szCs w:val="18"/>
              </w:rPr>
              <w:t xml:space="preserve">Disaggregating Residential Shower Warm-Up Waste: An Understanding and Quantification of Behavioral Waste Based </w:t>
            </w:r>
            <w:proofErr w:type="gramStart"/>
            <w:r w:rsidRPr="000B624C">
              <w:rPr>
                <w:rFonts w:eastAsia="Times New Roman" w:cs="Calibri Light"/>
                <w:i/>
                <w:sz w:val="18"/>
                <w:szCs w:val="18"/>
              </w:rPr>
              <w:t>On</w:t>
            </w:r>
            <w:proofErr w:type="gramEnd"/>
            <w:r w:rsidRPr="000B624C">
              <w:rPr>
                <w:rFonts w:eastAsia="Times New Roman" w:cs="Calibri Light"/>
                <w:i/>
                <w:sz w:val="18"/>
                <w:szCs w:val="18"/>
              </w:rPr>
              <w:t xml:space="preserve"> Data From Lawrence Berkeley National Labs.</w:t>
            </w:r>
            <w:r w:rsidRPr="000B624C">
              <w:rPr>
                <w:rFonts w:eastAsia="Times New Roman" w:cs="Calibri Light"/>
                <w:sz w:val="18"/>
                <w:szCs w:val="18"/>
              </w:rPr>
              <w:t xml:space="preserve"> Scottsdale: AZ. Evolve Technologies, LLC.</w:t>
            </w:r>
          </w:p>
        </w:tc>
      </w:tr>
      <w:tr w:rsidR="002C1811" w:rsidRPr="00702E2D" w14:paraId="2B31BF56" w14:textId="77777777" w:rsidTr="007E70F8">
        <w:trPr>
          <w:cantSplit/>
          <w:trHeight w:val="20"/>
        </w:trPr>
        <w:tc>
          <w:tcPr>
            <w:tcW w:w="1885" w:type="dxa"/>
            <w:shd w:val="clear" w:color="auto" w:fill="auto"/>
            <w:noWrap/>
            <w:vAlign w:val="center"/>
            <w:hideMark/>
          </w:tcPr>
          <w:p w14:paraId="545591E8" w14:textId="77777777" w:rsidR="002C1811" w:rsidRPr="00393D69" w:rsidRDefault="002C1811" w:rsidP="007E70F8">
            <w:pPr>
              <w:spacing w:before="0" w:after="0" w:line="240" w:lineRule="auto"/>
              <w:rPr>
                <w:rFonts w:eastAsia="Times New Roman" w:cs="Calibri Light"/>
                <w:sz w:val="20"/>
                <w:szCs w:val="20"/>
              </w:rPr>
            </w:pPr>
            <w:r w:rsidRPr="00393D69">
              <w:rPr>
                <w:rFonts w:eastAsia="Times New Roman" w:cs="Calibri Light"/>
                <w:sz w:val="20"/>
                <w:szCs w:val="20"/>
              </w:rPr>
              <w:t xml:space="preserve">Avg. # of Showers Taken per Day Per Household </w:t>
            </w:r>
            <w:r w:rsidRPr="00393D69">
              <w:rPr>
                <w:rFonts w:eastAsia="Times New Roman" w:cs="Calibri Light"/>
                <w:sz w:val="20"/>
                <w:szCs w:val="20"/>
              </w:rPr>
              <w:br/>
              <w:t>(showers/day/</w:t>
            </w:r>
            <w:proofErr w:type="spellStart"/>
            <w:r w:rsidRPr="00393D69">
              <w:rPr>
                <w:rFonts w:eastAsia="Times New Roman" w:cs="Calibri Light"/>
                <w:sz w:val="20"/>
                <w:szCs w:val="20"/>
              </w:rPr>
              <w:t>hh</w:t>
            </w:r>
            <w:proofErr w:type="spellEnd"/>
            <w:r w:rsidRPr="00393D69">
              <w:rPr>
                <w:rFonts w:eastAsia="Times New Roman" w:cs="Calibri Light"/>
                <w:sz w:val="20"/>
                <w:szCs w:val="20"/>
              </w:rPr>
              <w:t>)</w:t>
            </w:r>
          </w:p>
        </w:tc>
        <w:tc>
          <w:tcPr>
            <w:tcW w:w="1440" w:type="dxa"/>
            <w:shd w:val="clear" w:color="auto" w:fill="auto"/>
            <w:noWrap/>
            <w:vAlign w:val="center"/>
          </w:tcPr>
          <w:p w14:paraId="71CB49C5"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2.79</w:t>
            </w:r>
          </w:p>
        </w:tc>
        <w:tc>
          <w:tcPr>
            <w:tcW w:w="1440" w:type="dxa"/>
            <w:vAlign w:val="center"/>
          </w:tcPr>
          <w:p w14:paraId="1ED9F844"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2.22</w:t>
            </w:r>
          </w:p>
        </w:tc>
        <w:tc>
          <w:tcPr>
            <w:tcW w:w="4770" w:type="dxa"/>
          </w:tcPr>
          <w:p w14:paraId="2B15F92F" w14:textId="2B8DFB29" w:rsidR="002C1811" w:rsidRPr="00393D69" w:rsidRDefault="002C1811" w:rsidP="007E70F8">
            <w:pPr>
              <w:spacing w:before="0" w:after="0" w:line="240" w:lineRule="auto"/>
              <w:rPr>
                <w:rFonts w:eastAsia="Times New Roman" w:cs="Times New Roman"/>
                <w:color w:val="000000"/>
                <w:sz w:val="18"/>
                <w:szCs w:val="18"/>
              </w:rPr>
            </w:pPr>
            <w:r w:rsidRPr="00393D69">
              <w:rPr>
                <w:rFonts w:eastAsia="Times New Roman" w:cs="Times New Roman"/>
                <w:color w:val="000000"/>
                <w:sz w:val="18"/>
                <w:szCs w:val="18"/>
              </w:rPr>
              <w:t>Single Family:</w:t>
            </w:r>
          </w:p>
          <w:p w14:paraId="0505478F" w14:textId="77777777" w:rsidR="002C1811" w:rsidRPr="00393D69" w:rsidRDefault="002C1811" w:rsidP="007E70F8">
            <w:pPr>
              <w:spacing w:before="0" w:after="0" w:line="240" w:lineRule="auto"/>
              <w:rPr>
                <w:rFonts w:eastAsia="Times New Roman" w:cs="Times New Roman"/>
                <w:color w:val="000000"/>
                <w:sz w:val="18"/>
                <w:szCs w:val="18"/>
              </w:rPr>
            </w:pPr>
            <w:r w:rsidRPr="00393D69">
              <w:rPr>
                <w:sz w:val="18"/>
              </w:rPr>
              <w:t>Sempra Energy Utilities (SEU). 2012. “SEU 2009 ASW Data REDACTED.xlsx”.</w:t>
            </w:r>
          </w:p>
          <w:p w14:paraId="3696F75E" w14:textId="77777777" w:rsidR="002C1811" w:rsidRPr="00393D69" w:rsidRDefault="002C1811" w:rsidP="007E70F8">
            <w:pPr>
              <w:spacing w:before="0" w:after="0" w:line="240" w:lineRule="auto"/>
              <w:rPr>
                <w:rFonts w:eastAsia="Times New Roman" w:cs="Calibri Light"/>
                <w:sz w:val="18"/>
                <w:szCs w:val="18"/>
              </w:rPr>
            </w:pPr>
          </w:p>
          <w:p w14:paraId="589C9063" w14:textId="77777777" w:rsidR="002C1811" w:rsidRPr="00393D69" w:rsidRDefault="002C1811" w:rsidP="007E70F8">
            <w:pPr>
              <w:spacing w:before="0" w:after="0" w:line="240" w:lineRule="auto"/>
              <w:rPr>
                <w:rFonts w:eastAsia="Times New Roman" w:cs="Calibri Light"/>
                <w:sz w:val="18"/>
                <w:szCs w:val="18"/>
              </w:rPr>
            </w:pPr>
            <w:r w:rsidRPr="00393D69">
              <w:rPr>
                <w:rFonts w:eastAsia="Times New Roman" w:cs="Calibri Light"/>
                <w:sz w:val="18"/>
                <w:szCs w:val="18"/>
              </w:rPr>
              <w:t>Multifamily:</w:t>
            </w:r>
          </w:p>
          <w:p w14:paraId="095C0B7F" w14:textId="77777777" w:rsidR="002C1811" w:rsidRPr="00393D69" w:rsidRDefault="002C1811" w:rsidP="007E70F8">
            <w:pPr>
              <w:spacing w:before="0" w:after="0" w:line="240" w:lineRule="auto"/>
              <w:rPr>
                <w:rFonts w:eastAsia="Times New Roman" w:cs="Calibri Light"/>
                <w:sz w:val="18"/>
                <w:szCs w:val="18"/>
              </w:rPr>
            </w:pPr>
            <w:r w:rsidRPr="00393D69">
              <w:rPr>
                <w:sz w:val="18"/>
                <w:szCs w:val="18"/>
              </w:rPr>
              <w:t xml:space="preserve">KEMA-XENERGY, </w:t>
            </w:r>
            <w:proofErr w:type="spellStart"/>
            <w:r w:rsidRPr="00393D69">
              <w:rPr>
                <w:sz w:val="18"/>
                <w:szCs w:val="18"/>
              </w:rPr>
              <w:t>Itron</w:t>
            </w:r>
            <w:proofErr w:type="spellEnd"/>
            <w:r w:rsidRPr="00393D69">
              <w:rPr>
                <w:sz w:val="18"/>
                <w:szCs w:val="18"/>
              </w:rPr>
              <w:t xml:space="preserve">, and </w:t>
            </w:r>
            <w:proofErr w:type="spellStart"/>
            <w:r w:rsidRPr="00393D69">
              <w:rPr>
                <w:sz w:val="18"/>
                <w:szCs w:val="18"/>
              </w:rPr>
              <w:t>RoperASW</w:t>
            </w:r>
            <w:proofErr w:type="spellEnd"/>
            <w:r w:rsidRPr="00393D69">
              <w:rPr>
                <w:sz w:val="18"/>
                <w:szCs w:val="18"/>
              </w:rPr>
              <w:t xml:space="preserve">. 2004. </w:t>
            </w:r>
            <w:r w:rsidRPr="00393D69">
              <w:rPr>
                <w:bCs/>
                <w:i/>
                <w:sz w:val="18"/>
                <w:szCs w:val="18"/>
              </w:rPr>
              <w:t>California Statewide Residential Appliance Saturation Study</w:t>
            </w:r>
            <w:r w:rsidRPr="00393D69">
              <w:rPr>
                <w:sz w:val="18"/>
                <w:szCs w:val="18"/>
              </w:rPr>
              <w:t>. Prepared for the California Energy Commission. Contract No. 400-04-009. PG&amp;E Banner Subset, Pages 100 and 102.</w:t>
            </w:r>
          </w:p>
        </w:tc>
      </w:tr>
      <w:tr w:rsidR="002C1811" w:rsidRPr="00702E2D" w14:paraId="034E2B8A" w14:textId="77777777" w:rsidTr="007E70F8">
        <w:trPr>
          <w:cantSplit/>
          <w:trHeight w:val="20"/>
        </w:trPr>
        <w:tc>
          <w:tcPr>
            <w:tcW w:w="1885" w:type="dxa"/>
            <w:shd w:val="clear" w:color="auto" w:fill="auto"/>
            <w:noWrap/>
            <w:vAlign w:val="center"/>
          </w:tcPr>
          <w:p w14:paraId="2E860290" w14:textId="77777777" w:rsidR="002C1811" w:rsidRPr="00393D69" w:rsidRDefault="002C1811" w:rsidP="007E70F8">
            <w:pPr>
              <w:spacing w:before="0" w:after="0" w:line="240" w:lineRule="auto"/>
              <w:rPr>
                <w:rFonts w:eastAsia="Times New Roman" w:cs="Calibri Light"/>
                <w:sz w:val="20"/>
                <w:szCs w:val="20"/>
              </w:rPr>
            </w:pPr>
            <w:r w:rsidRPr="00393D69">
              <w:rPr>
                <w:rFonts w:eastAsia="Times New Roman" w:cs="Calibri Light"/>
                <w:sz w:val="20"/>
                <w:szCs w:val="20"/>
              </w:rPr>
              <w:t>Avg. # of Showerheads per Household</w:t>
            </w:r>
            <w:r w:rsidRPr="00393D69">
              <w:rPr>
                <w:rFonts w:eastAsia="Times New Roman" w:cs="Calibri Light"/>
                <w:sz w:val="20"/>
                <w:szCs w:val="20"/>
              </w:rPr>
              <w:br/>
              <w:t>(showerheads/</w:t>
            </w:r>
            <w:proofErr w:type="spellStart"/>
            <w:r w:rsidRPr="00393D69">
              <w:rPr>
                <w:rFonts w:eastAsia="Times New Roman" w:cs="Calibri Light"/>
                <w:sz w:val="20"/>
                <w:szCs w:val="20"/>
              </w:rPr>
              <w:t>hh</w:t>
            </w:r>
            <w:proofErr w:type="spellEnd"/>
            <w:r w:rsidRPr="00393D69">
              <w:rPr>
                <w:rFonts w:eastAsia="Times New Roman" w:cs="Calibri Light"/>
                <w:sz w:val="20"/>
                <w:szCs w:val="20"/>
              </w:rPr>
              <w:t>)</w:t>
            </w:r>
          </w:p>
        </w:tc>
        <w:tc>
          <w:tcPr>
            <w:tcW w:w="1440" w:type="dxa"/>
            <w:shd w:val="clear" w:color="auto" w:fill="auto"/>
            <w:noWrap/>
            <w:vAlign w:val="center"/>
          </w:tcPr>
          <w:p w14:paraId="661D0A41"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2.01</w:t>
            </w:r>
          </w:p>
        </w:tc>
        <w:tc>
          <w:tcPr>
            <w:tcW w:w="1440" w:type="dxa"/>
            <w:vAlign w:val="center"/>
          </w:tcPr>
          <w:p w14:paraId="031F4572"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1.50</w:t>
            </w:r>
          </w:p>
        </w:tc>
        <w:tc>
          <w:tcPr>
            <w:tcW w:w="4770" w:type="dxa"/>
          </w:tcPr>
          <w:p w14:paraId="61B7D41E" w14:textId="0B0288B1" w:rsidR="002C1811" w:rsidRPr="00393D69" w:rsidRDefault="002C1811" w:rsidP="007E70F8">
            <w:pPr>
              <w:spacing w:before="0" w:after="0" w:line="240" w:lineRule="auto"/>
              <w:rPr>
                <w:rFonts w:eastAsia="Times New Roman" w:cs="Times New Roman"/>
                <w:color w:val="000000"/>
                <w:sz w:val="18"/>
                <w:szCs w:val="18"/>
              </w:rPr>
            </w:pPr>
            <w:r w:rsidRPr="00393D69">
              <w:rPr>
                <w:rFonts w:eastAsia="Times New Roman" w:cs="Times New Roman"/>
                <w:color w:val="000000"/>
                <w:sz w:val="18"/>
                <w:szCs w:val="18"/>
              </w:rPr>
              <w:t>Single Family:</w:t>
            </w:r>
          </w:p>
          <w:p w14:paraId="64517B75" w14:textId="77777777" w:rsidR="002C1811" w:rsidRPr="00393D69" w:rsidRDefault="002C1811" w:rsidP="007E70F8">
            <w:pPr>
              <w:spacing w:before="0" w:after="0" w:line="240" w:lineRule="auto"/>
              <w:rPr>
                <w:rFonts w:eastAsia="Times New Roman" w:cs="Times New Roman"/>
                <w:color w:val="000000"/>
                <w:sz w:val="18"/>
                <w:szCs w:val="18"/>
              </w:rPr>
            </w:pPr>
            <w:r w:rsidRPr="00393D69">
              <w:rPr>
                <w:sz w:val="18"/>
              </w:rPr>
              <w:t>Sempra Energy Utilities (SEU). 2012. “SEU 2009 ASW Data REDACTED.xlsx”.</w:t>
            </w:r>
          </w:p>
          <w:p w14:paraId="24FA3250" w14:textId="77777777" w:rsidR="002C1811" w:rsidRPr="00393D69" w:rsidRDefault="002C1811" w:rsidP="007E70F8">
            <w:pPr>
              <w:spacing w:before="0" w:after="0" w:line="240" w:lineRule="auto"/>
              <w:rPr>
                <w:rFonts w:eastAsia="Times New Roman" w:cs="Calibri Light"/>
                <w:color w:val="000000"/>
                <w:sz w:val="18"/>
                <w:szCs w:val="18"/>
              </w:rPr>
            </w:pPr>
          </w:p>
          <w:p w14:paraId="2D68F5BD" w14:textId="77777777" w:rsidR="002C1811" w:rsidRPr="00393D69" w:rsidRDefault="002C1811" w:rsidP="007E70F8">
            <w:pPr>
              <w:spacing w:before="0" w:after="0" w:line="240" w:lineRule="auto"/>
              <w:rPr>
                <w:rFonts w:eastAsia="Times New Roman" w:cs="Calibri Light"/>
                <w:color w:val="000000"/>
                <w:sz w:val="18"/>
                <w:szCs w:val="18"/>
              </w:rPr>
            </w:pPr>
            <w:r w:rsidRPr="00393D69">
              <w:rPr>
                <w:rFonts w:eastAsia="Times New Roman" w:cs="Calibri Light"/>
                <w:color w:val="000000"/>
                <w:sz w:val="18"/>
                <w:szCs w:val="18"/>
              </w:rPr>
              <w:t>Multifamily:</w:t>
            </w:r>
          </w:p>
          <w:p w14:paraId="2EA822DC" w14:textId="77777777" w:rsidR="002C1811" w:rsidRPr="00393D69" w:rsidRDefault="002C1811" w:rsidP="007E70F8">
            <w:pPr>
              <w:spacing w:before="0" w:after="0" w:line="240" w:lineRule="auto"/>
              <w:rPr>
                <w:rFonts w:eastAsia="Times New Roman" w:cs="Calibri Light"/>
                <w:sz w:val="18"/>
                <w:szCs w:val="18"/>
              </w:rPr>
            </w:pPr>
            <w:r w:rsidRPr="00393D69">
              <w:rPr>
                <w:rFonts w:eastAsia="Times New Roman" w:cs="Calibri Light"/>
                <w:color w:val="000000"/>
                <w:sz w:val="18"/>
                <w:szCs w:val="18"/>
              </w:rPr>
              <w:t>U.S. Census Bureau. (n.d.). "U.S. 2000 Census Bathrooms in NC MF Units.xls."</w:t>
            </w:r>
          </w:p>
        </w:tc>
      </w:tr>
      <w:tr w:rsidR="002C1811" w:rsidRPr="00702E2D" w14:paraId="7BA5E03E" w14:textId="77777777" w:rsidTr="007E70F8">
        <w:trPr>
          <w:cantSplit/>
          <w:trHeight w:val="20"/>
        </w:trPr>
        <w:tc>
          <w:tcPr>
            <w:tcW w:w="1885" w:type="dxa"/>
            <w:shd w:val="clear" w:color="auto" w:fill="auto"/>
            <w:noWrap/>
            <w:vAlign w:val="center"/>
          </w:tcPr>
          <w:p w14:paraId="68E909E6" w14:textId="77777777" w:rsidR="002C1811" w:rsidRPr="00393D69" w:rsidRDefault="002C1811" w:rsidP="007E70F8">
            <w:pPr>
              <w:spacing w:before="0" w:after="0" w:line="240" w:lineRule="auto"/>
              <w:rPr>
                <w:rFonts w:eastAsia="Times New Roman" w:cs="Calibri Light"/>
                <w:sz w:val="20"/>
                <w:szCs w:val="20"/>
              </w:rPr>
            </w:pPr>
            <w:r w:rsidRPr="00393D69">
              <w:rPr>
                <w:rFonts w:eastAsia="Times New Roman" w:cs="Calibri Light"/>
                <w:sz w:val="20"/>
                <w:szCs w:val="20"/>
              </w:rPr>
              <w:t>Throttling Factor (%)</w:t>
            </w:r>
          </w:p>
        </w:tc>
        <w:tc>
          <w:tcPr>
            <w:tcW w:w="1440" w:type="dxa"/>
            <w:shd w:val="clear" w:color="auto" w:fill="auto"/>
            <w:noWrap/>
            <w:vAlign w:val="center"/>
          </w:tcPr>
          <w:p w14:paraId="4F2DA24F"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90%</w:t>
            </w:r>
          </w:p>
        </w:tc>
        <w:tc>
          <w:tcPr>
            <w:tcW w:w="1440" w:type="dxa"/>
            <w:vAlign w:val="center"/>
          </w:tcPr>
          <w:p w14:paraId="24B894CE"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90%</w:t>
            </w:r>
          </w:p>
        </w:tc>
        <w:tc>
          <w:tcPr>
            <w:tcW w:w="4770" w:type="dxa"/>
            <w:vAlign w:val="center"/>
          </w:tcPr>
          <w:p w14:paraId="58317016" w14:textId="44931FFF" w:rsidR="002C1811" w:rsidRPr="00393D69" w:rsidRDefault="002C1811" w:rsidP="007E70F8">
            <w:pPr>
              <w:spacing w:before="0" w:after="0" w:line="240" w:lineRule="auto"/>
              <w:rPr>
                <w:rFonts w:eastAsia="Times New Roman" w:cs="Calibri Light"/>
                <w:sz w:val="18"/>
                <w:szCs w:val="18"/>
              </w:rPr>
            </w:pPr>
            <w:r w:rsidRPr="00393D69">
              <w:rPr>
                <w:sz w:val="18"/>
                <w:szCs w:val="18"/>
              </w:rPr>
              <w:t xml:space="preserve">Biermayer, P. 2006. </w:t>
            </w:r>
            <w:r w:rsidRPr="00393D69">
              <w:rPr>
                <w:i/>
                <w:sz w:val="18"/>
                <w:szCs w:val="18"/>
              </w:rPr>
              <w:t xml:space="preserve">Potential Water and Energy Savings from Showerheads. </w:t>
            </w:r>
            <w:r w:rsidRPr="00393D69">
              <w:rPr>
                <w:sz w:val="18"/>
                <w:szCs w:val="18"/>
              </w:rPr>
              <w:t>Ernest Orlando Lawrence Berkeley National Laboratory, Environmental Energy Technologies Division. Contract No. DE-AC02-05CH11231. P. 6.</w:t>
            </w:r>
          </w:p>
        </w:tc>
      </w:tr>
      <w:tr w:rsidR="002C1811" w:rsidRPr="00702E2D" w14:paraId="5D83FB65" w14:textId="77777777" w:rsidTr="007E70F8">
        <w:trPr>
          <w:cantSplit/>
          <w:trHeight w:val="20"/>
        </w:trPr>
        <w:tc>
          <w:tcPr>
            <w:tcW w:w="1885" w:type="dxa"/>
            <w:shd w:val="clear" w:color="auto" w:fill="auto"/>
            <w:noWrap/>
            <w:vAlign w:val="center"/>
          </w:tcPr>
          <w:p w14:paraId="2598AC14" w14:textId="77777777" w:rsidR="002C1811" w:rsidRPr="00393D69" w:rsidRDefault="002C1811" w:rsidP="007E70F8">
            <w:pPr>
              <w:spacing w:before="0" w:after="0" w:line="240" w:lineRule="auto"/>
              <w:rPr>
                <w:rFonts w:eastAsia="Times New Roman" w:cs="Calibri Light"/>
                <w:sz w:val="20"/>
                <w:szCs w:val="20"/>
              </w:rPr>
            </w:pPr>
            <w:r w:rsidRPr="00393D69">
              <w:rPr>
                <w:rFonts w:eastAsia="Times New Roman" w:cs="Calibri Light"/>
                <w:sz w:val="20"/>
                <w:szCs w:val="20"/>
              </w:rPr>
              <w:t>Operating Days (days/year)</w:t>
            </w:r>
          </w:p>
        </w:tc>
        <w:tc>
          <w:tcPr>
            <w:tcW w:w="1440" w:type="dxa"/>
            <w:shd w:val="clear" w:color="auto" w:fill="auto"/>
            <w:noWrap/>
            <w:vAlign w:val="center"/>
          </w:tcPr>
          <w:p w14:paraId="6D0E30FD"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365</w:t>
            </w:r>
          </w:p>
        </w:tc>
        <w:tc>
          <w:tcPr>
            <w:tcW w:w="1440" w:type="dxa"/>
            <w:shd w:val="clear" w:color="auto" w:fill="auto"/>
            <w:vAlign w:val="center"/>
          </w:tcPr>
          <w:p w14:paraId="547A3CD1" w14:textId="77777777" w:rsidR="002C1811" w:rsidRPr="00BE2D82" w:rsidRDefault="002C1811" w:rsidP="007E70F8">
            <w:pPr>
              <w:spacing w:before="0" w:after="0" w:line="240" w:lineRule="auto"/>
              <w:jc w:val="right"/>
              <w:rPr>
                <w:rFonts w:eastAsia="Times New Roman" w:cs="Calibri Light"/>
                <w:sz w:val="20"/>
                <w:szCs w:val="20"/>
              </w:rPr>
            </w:pPr>
            <w:r w:rsidRPr="00BE2D82">
              <w:rPr>
                <w:rFonts w:eastAsia="Times New Roman" w:cs="Calibri Light"/>
                <w:sz w:val="20"/>
                <w:szCs w:val="20"/>
              </w:rPr>
              <w:t>365</w:t>
            </w:r>
          </w:p>
        </w:tc>
        <w:tc>
          <w:tcPr>
            <w:tcW w:w="4770" w:type="dxa"/>
            <w:shd w:val="clear" w:color="auto" w:fill="auto"/>
            <w:vAlign w:val="center"/>
          </w:tcPr>
          <w:p w14:paraId="707BEEC5" w14:textId="251C5BE5" w:rsidR="002C1811" w:rsidRPr="00393D69" w:rsidRDefault="002C1811" w:rsidP="007E70F8">
            <w:pPr>
              <w:spacing w:before="0" w:after="0" w:line="240" w:lineRule="auto"/>
              <w:rPr>
                <w:rFonts w:eastAsia="Times New Roman" w:cs="Calibri Light"/>
                <w:sz w:val="18"/>
                <w:szCs w:val="18"/>
              </w:rPr>
            </w:pPr>
            <w:r w:rsidRPr="00393D69">
              <w:rPr>
                <w:rFonts w:eastAsia="Times New Roman" w:cs="Calibri Light"/>
                <w:color w:val="000000"/>
                <w:sz w:val="18"/>
                <w:szCs w:val="18"/>
              </w:rPr>
              <w:t>Constant, professional judgement.</w:t>
            </w:r>
          </w:p>
        </w:tc>
      </w:tr>
    </w:tbl>
    <w:p w14:paraId="7547A9E4" w14:textId="1EC4A9FA" w:rsidR="00851A64" w:rsidRPr="00393D69" w:rsidRDefault="00851A64" w:rsidP="00851A64">
      <w:pPr>
        <w:pStyle w:val="Caption"/>
      </w:pPr>
      <w:r>
        <w:t>Measure</w:t>
      </w:r>
      <w:r w:rsidRPr="00393D69">
        <w:t xml:space="preserve"> Case Water Usage Parameters </w:t>
      </w:r>
      <w:r>
        <w:t>for TSV-only Installation</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85"/>
        <w:gridCol w:w="1440"/>
        <w:gridCol w:w="1440"/>
        <w:gridCol w:w="4770"/>
      </w:tblGrid>
      <w:tr w:rsidR="007E70F8" w:rsidRPr="00BE2D82" w14:paraId="6C44A6C2" w14:textId="77777777" w:rsidTr="007E70F8">
        <w:trPr>
          <w:cantSplit/>
          <w:trHeight w:val="20"/>
          <w:tblHeader/>
        </w:trPr>
        <w:tc>
          <w:tcPr>
            <w:tcW w:w="1885" w:type="dxa"/>
            <w:shd w:val="clear" w:color="auto" w:fill="F2F2F2" w:themeFill="background1" w:themeFillShade="F2"/>
            <w:noWrap/>
            <w:vAlign w:val="bottom"/>
          </w:tcPr>
          <w:p w14:paraId="594D986C" w14:textId="77777777" w:rsidR="002C1811" w:rsidRPr="00BE2D82" w:rsidRDefault="002C1811" w:rsidP="00BE2D82">
            <w:pPr>
              <w:spacing w:before="0" w:after="0" w:line="240" w:lineRule="auto"/>
              <w:rPr>
                <w:rFonts w:eastAsia="Times New Roman" w:cs="Calibri Light"/>
                <w:b/>
                <w:sz w:val="20"/>
                <w:szCs w:val="20"/>
              </w:rPr>
            </w:pPr>
            <w:r w:rsidRPr="00BE2D82">
              <w:rPr>
                <w:rFonts w:eastAsia="Times New Roman" w:cs="Calibri Light"/>
                <w:b/>
                <w:sz w:val="20"/>
                <w:szCs w:val="20"/>
              </w:rPr>
              <w:t>Parameter</w:t>
            </w:r>
          </w:p>
        </w:tc>
        <w:tc>
          <w:tcPr>
            <w:tcW w:w="1440" w:type="dxa"/>
            <w:shd w:val="clear" w:color="auto" w:fill="F2F2F2" w:themeFill="background1" w:themeFillShade="F2"/>
            <w:noWrap/>
            <w:vAlign w:val="bottom"/>
          </w:tcPr>
          <w:p w14:paraId="10DD462C" w14:textId="6E37BB93" w:rsidR="002C1811" w:rsidRPr="00BE2D82" w:rsidRDefault="002C1811" w:rsidP="00BE2D82">
            <w:pPr>
              <w:spacing w:before="0" w:after="0" w:line="240" w:lineRule="auto"/>
              <w:jc w:val="center"/>
              <w:rPr>
                <w:rFonts w:eastAsia="Times New Roman" w:cs="Calibri Light"/>
                <w:b/>
                <w:sz w:val="20"/>
                <w:szCs w:val="20"/>
              </w:rPr>
            </w:pPr>
            <w:r w:rsidRPr="00BE2D82">
              <w:rPr>
                <w:rFonts w:eastAsia="Times New Roman" w:cs="Calibri Light"/>
                <w:b/>
                <w:sz w:val="20"/>
                <w:szCs w:val="20"/>
              </w:rPr>
              <w:t>Single Family</w:t>
            </w:r>
          </w:p>
        </w:tc>
        <w:tc>
          <w:tcPr>
            <w:tcW w:w="1440" w:type="dxa"/>
            <w:shd w:val="clear" w:color="auto" w:fill="F2F2F2" w:themeFill="background1" w:themeFillShade="F2"/>
            <w:vAlign w:val="bottom"/>
          </w:tcPr>
          <w:p w14:paraId="13D9BEC8" w14:textId="6B23E8F7" w:rsidR="002C1811" w:rsidRPr="00BE2D82" w:rsidRDefault="002C1811" w:rsidP="00BE2D82">
            <w:pPr>
              <w:spacing w:before="0" w:after="0" w:line="240" w:lineRule="auto"/>
              <w:jc w:val="center"/>
              <w:rPr>
                <w:rFonts w:eastAsia="Times New Roman" w:cs="Calibri Light"/>
                <w:b/>
                <w:sz w:val="20"/>
                <w:szCs w:val="20"/>
              </w:rPr>
            </w:pPr>
            <w:r w:rsidRPr="00BE2D82">
              <w:rPr>
                <w:rFonts w:eastAsia="Times New Roman" w:cs="Calibri Light"/>
                <w:b/>
                <w:sz w:val="20"/>
                <w:szCs w:val="20"/>
              </w:rPr>
              <w:t>Multifamily</w:t>
            </w:r>
          </w:p>
        </w:tc>
        <w:tc>
          <w:tcPr>
            <w:tcW w:w="4770" w:type="dxa"/>
            <w:shd w:val="clear" w:color="auto" w:fill="F2F2F2" w:themeFill="background1" w:themeFillShade="F2"/>
            <w:vAlign w:val="bottom"/>
          </w:tcPr>
          <w:p w14:paraId="2378CC5C" w14:textId="0BAB33EC" w:rsidR="002C1811" w:rsidRPr="00BE2D82" w:rsidRDefault="002C1811" w:rsidP="00BE2D82">
            <w:pPr>
              <w:spacing w:before="0" w:after="0" w:line="240" w:lineRule="auto"/>
              <w:jc w:val="center"/>
              <w:rPr>
                <w:rFonts w:eastAsia="Times New Roman" w:cs="Calibri Light"/>
                <w:b/>
                <w:sz w:val="20"/>
                <w:szCs w:val="20"/>
              </w:rPr>
            </w:pPr>
            <w:r w:rsidRPr="00BE2D82">
              <w:rPr>
                <w:rFonts w:eastAsia="Times New Roman" w:cs="Calibri Light"/>
                <w:b/>
                <w:sz w:val="20"/>
                <w:szCs w:val="20"/>
              </w:rPr>
              <w:t>Source</w:t>
            </w:r>
          </w:p>
        </w:tc>
      </w:tr>
      <w:tr w:rsidR="007E70F8" w:rsidRPr="00BE2D82" w14:paraId="20AD13D5" w14:textId="77777777" w:rsidTr="007E70F8">
        <w:trPr>
          <w:cantSplit/>
          <w:trHeight w:val="20"/>
        </w:trPr>
        <w:tc>
          <w:tcPr>
            <w:tcW w:w="1885" w:type="dxa"/>
            <w:shd w:val="clear" w:color="auto" w:fill="auto"/>
            <w:noWrap/>
            <w:vAlign w:val="center"/>
            <w:hideMark/>
          </w:tcPr>
          <w:p w14:paraId="20BE494E" w14:textId="073E92E2" w:rsidR="002C1811" w:rsidRPr="00BE2D82" w:rsidRDefault="002C1811" w:rsidP="00BE2D82">
            <w:pPr>
              <w:spacing w:before="0" w:after="0" w:line="240" w:lineRule="auto"/>
              <w:rPr>
                <w:rFonts w:eastAsia="Times New Roman" w:cs="Calibri Light"/>
                <w:sz w:val="20"/>
                <w:szCs w:val="20"/>
              </w:rPr>
            </w:pPr>
            <w:r w:rsidRPr="00BE2D82">
              <w:rPr>
                <w:rFonts w:eastAsia="Times New Roman" w:cs="Calibri Light"/>
                <w:sz w:val="20"/>
                <w:szCs w:val="20"/>
              </w:rPr>
              <w:t xml:space="preserve">Base Case Flow Rate – </w:t>
            </w:r>
            <w:r w:rsidR="00AB7DCE">
              <w:rPr>
                <w:rFonts w:eastAsia="Times New Roman" w:cs="Calibri Light"/>
                <w:sz w:val="20"/>
                <w:szCs w:val="20"/>
              </w:rPr>
              <w:t>NR</w:t>
            </w:r>
            <w:r w:rsidR="00AB7DCE" w:rsidRPr="00BE2D82">
              <w:rPr>
                <w:rFonts w:eastAsia="Times New Roman" w:cs="Calibri Light"/>
                <w:sz w:val="20"/>
                <w:szCs w:val="20"/>
              </w:rPr>
              <w:t xml:space="preserve"> </w:t>
            </w:r>
            <w:r w:rsidRPr="00BE2D82">
              <w:rPr>
                <w:rFonts w:eastAsia="Times New Roman" w:cs="Calibri Light"/>
                <w:sz w:val="20"/>
                <w:szCs w:val="20"/>
              </w:rPr>
              <w:t>(</w:t>
            </w:r>
            <w:proofErr w:type="spellStart"/>
            <w:r w:rsidRPr="00BE2D82">
              <w:rPr>
                <w:rFonts w:eastAsia="Times New Roman" w:cs="Calibri Light"/>
                <w:sz w:val="20"/>
                <w:szCs w:val="20"/>
              </w:rPr>
              <w:t>gpm</w:t>
            </w:r>
            <w:proofErr w:type="spellEnd"/>
            <w:r w:rsidRPr="00BE2D82">
              <w:rPr>
                <w:rFonts w:eastAsia="Times New Roman" w:cs="Calibri Light"/>
                <w:sz w:val="20"/>
                <w:szCs w:val="20"/>
              </w:rPr>
              <w:t>)</w:t>
            </w:r>
          </w:p>
        </w:tc>
        <w:tc>
          <w:tcPr>
            <w:tcW w:w="1440" w:type="dxa"/>
            <w:shd w:val="clear" w:color="auto" w:fill="auto"/>
            <w:noWrap/>
            <w:vAlign w:val="center"/>
          </w:tcPr>
          <w:p w14:paraId="3F0EED4F"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1.80</w:t>
            </w:r>
          </w:p>
        </w:tc>
        <w:tc>
          <w:tcPr>
            <w:tcW w:w="1440" w:type="dxa"/>
            <w:vAlign w:val="center"/>
          </w:tcPr>
          <w:p w14:paraId="3AB2BD7A"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1.80</w:t>
            </w:r>
          </w:p>
        </w:tc>
        <w:tc>
          <w:tcPr>
            <w:tcW w:w="4770" w:type="dxa"/>
            <w:vAlign w:val="center"/>
          </w:tcPr>
          <w:p w14:paraId="761BB9A0" w14:textId="36D8BBAC" w:rsidR="002C1811" w:rsidRPr="00BE2D82" w:rsidRDefault="002C1811" w:rsidP="00BE2D82">
            <w:pPr>
              <w:spacing w:before="0" w:after="0" w:line="240" w:lineRule="auto"/>
              <w:rPr>
                <w:rFonts w:eastAsia="Times New Roman" w:cs="Calibri Light"/>
                <w:sz w:val="18"/>
                <w:szCs w:val="18"/>
              </w:rPr>
            </w:pPr>
            <w:r w:rsidRPr="00BE2D82">
              <w:rPr>
                <w:sz w:val="18"/>
                <w:szCs w:val="18"/>
              </w:rPr>
              <w:t xml:space="preserve">California Energy Commission (CEC). 2014. </w:t>
            </w:r>
            <w:r w:rsidRPr="00BE2D82">
              <w:rPr>
                <w:i/>
                <w:sz w:val="18"/>
                <w:szCs w:val="18"/>
              </w:rPr>
              <w:t xml:space="preserve">2014 Appliance Efficiency Regulations. </w:t>
            </w:r>
            <w:r w:rsidRPr="00BE2D82">
              <w:rPr>
                <w:sz w:val="18"/>
                <w:szCs w:val="18"/>
              </w:rPr>
              <w:t>CEC-400-2014-009-CMF.</w:t>
            </w:r>
          </w:p>
        </w:tc>
      </w:tr>
      <w:tr w:rsidR="007E70F8" w:rsidRPr="00BE2D82" w14:paraId="00F08B1C" w14:textId="77777777" w:rsidTr="007E70F8">
        <w:trPr>
          <w:cantSplit/>
          <w:trHeight w:val="20"/>
        </w:trPr>
        <w:tc>
          <w:tcPr>
            <w:tcW w:w="1885" w:type="dxa"/>
            <w:shd w:val="clear" w:color="auto" w:fill="auto"/>
            <w:noWrap/>
            <w:vAlign w:val="center"/>
          </w:tcPr>
          <w:p w14:paraId="2ADE8AA7" w14:textId="376C8CAF" w:rsidR="002C1811" w:rsidRPr="00BE2D82" w:rsidRDefault="002C1811" w:rsidP="00BE2D82">
            <w:pPr>
              <w:spacing w:before="0" w:after="0" w:line="240" w:lineRule="auto"/>
              <w:rPr>
                <w:rFonts w:eastAsia="Times New Roman" w:cs="Calibri Light"/>
                <w:sz w:val="20"/>
                <w:szCs w:val="20"/>
              </w:rPr>
            </w:pPr>
            <w:r w:rsidRPr="00BE2D82">
              <w:rPr>
                <w:rFonts w:eastAsia="Times New Roman" w:cs="Calibri Light"/>
                <w:sz w:val="20"/>
                <w:szCs w:val="20"/>
              </w:rPr>
              <w:t xml:space="preserve">Base Case Flow Rate – </w:t>
            </w:r>
            <w:r w:rsidR="00AB7DCE">
              <w:rPr>
                <w:rFonts w:eastAsia="Times New Roman" w:cs="Calibri Light"/>
                <w:sz w:val="20"/>
                <w:szCs w:val="20"/>
              </w:rPr>
              <w:t>AR</w:t>
            </w:r>
            <w:r w:rsidR="00AB7DCE" w:rsidRPr="00BE2D82">
              <w:rPr>
                <w:rFonts w:eastAsia="Times New Roman" w:cs="Calibri Light"/>
                <w:sz w:val="20"/>
                <w:szCs w:val="20"/>
              </w:rPr>
              <w:t xml:space="preserve"> </w:t>
            </w:r>
            <w:r w:rsidRPr="00BE2D82">
              <w:rPr>
                <w:rFonts w:eastAsia="Times New Roman" w:cs="Calibri Light"/>
                <w:sz w:val="20"/>
                <w:szCs w:val="20"/>
              </w:rPr>
              <w:t xml:space="preserve">and </w:t>
            </w:r>
            <w:r w:rsidR="00AB7DCE">
              <w:rPr>
                <w:rFonts w:eastAsia="Times New Roman" w:cs="Calibri Light"/>
                <w:sz w:val="20"/>
                <w:szCs w:val="20"/>
              </w:rPr>
              <w:t>AOE</w:t>
            </w:r>
            <w:r w:rsidR="00AB7DCE" w:rsidRPr="00BE2D82">
              <w:rPr>
                <w:rFonts w:eastAsia="Times New Roman" w:cs="Calibri Light"/>
                <w:sz w:val="20"/>
                <w:szCs w:val="20"/>
              </w:rPr>
              <w:t xml:space="preserve"> </w:t>
            </w:r>
            <w:r w:rsidRPr="00BE2D82">
              <w:rPr>
                <w:rFonts w:eastAsia="Times New Roman" w:cs="Calibri Light"/>
                <w:sz w:val="20"/>
                <w:szCs w:val="20"/>
              </w:rPr>
              <w:t>(</w:t>
            </w:r>
            <w:proofErr w:type="spellStart"/>
            <w:r w:rsidRPr="00BE2D82">
              <w:rPr>
                <w:rFonts w:eastAsia="Times New Roman" w:cs="Calibri Light"/>
                <w:sz w:val="20"/>
                <w:szCs w:val="20"/>
              </w:rPr>
              <w:t>gpm</w:t>
            </w:r>
            <w:proofErr w:type="spellEnd"/>
            <w:r w:rsidRPr="00BE2D82">
              <w:rPr>
                <w:rFonts w:eastAsia="Times New Roman" w:cs="Calibri Light"/>
                <w:sz w:val="20"/>
                <w:szCs w:val="20"/>
              </w:rPr>
              <w:t>)</w:t>
            </w:r>
          </w:p>
        </w:tc>
        <w:tc>
          <w:tcPr>
            <w:tcW w:w="1440" w:type="dxa"/>
            <w:shd w:val="clear" w:color="auto" w:fill="auto"/>
            <w:noWrap/>
            <w:vAlign w:val="center"/>
          </w:tcPr>
          <w:p w14:paraId="3679EBF4"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2.25</w:t>
            </w:r>
          </w:p>
        </w:tc>
        <w:tc>
          <w:tcPr>
            <w:tcW w:w="1440" w:type="dxa"/>
            <w:vAlign w:val="center"/>
          </w:tcPr>
          <w:p w14:paraId="7E5DCDD2"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2.25</w:t>
            </w:r>
          </w:p>
        </w:tc>
        <w:tc>
          <w:tcPr>
            <w:tcW w:w="4770" w:type="dxa"/>
            <w:vAlign w:val="center"/>
          </w:tcPr>
          <w:p w14:paraId="6FADFDDA" w14:textId="4A8B7B4A" w:rsidR="002C1811" w:rsidRPr="00BE2D82" w:rsidRDefault="002C1811" w:rsidP="00BE2D82">
            <w:pPr>
              <w:spacing w:before="0" w:after="0" w:line="240" w:lineRule="auto"/>
              <w:rPr>
                <w:rFonts w:eastAsia="Times New Roman" w:cs="Calibri Light"/>
                <w:sz w:val="18"/>
                <w:szCs w:val="18"/>
              </w:rPr>
            </w:pPr>
            <w:r w:rsidRPr="00BE2D82">
              <w:rPr>
                <w:sz w:val="18"/>
              </w:rPr>
              <w:t>Sempra Energy Utilities (SEU). 2012. “SEU 2009 ASW Data REDACTED.xlsx”.</w:t>
            </w:r>
          </w:p>
        </w:tc>
      </w:tr>
      <w:tr w:rsidR="007E70F8" w:rsidRPr="00BE2D82" w14:paraId="69AE4DF6" w14:textId="77777777" w:rsidTr="007E70F8">
        <w:trPr>
          <w:cantSplit/>
          <w:trHeight w:val="20"/>
        </w:trPr>
        <w:tc>
          <w:tcPr>
            <w:tcW w:w="1885" w:type="dxa"/>
            <w:shd w:val="clear" w:color="auto" w:fill="auto"/>
            <w:noWrap/>
            <w:vAlign w:val="center"/>
            <w:hideMark/>
          </w:tcPr>
          <w:p w14:paraId="5A999D2C" w14:textId="77777777" w:rsidR="002C1811" w:rsidRPr="00BE2D82" w:rsidRDefault="002C1811" w:rsidP="00BE2D82">
            <w:pPr>
              <w:spacing w:before="0" w:after="0" w:line="240" w:lineRule="auto"/>
              <w:rPr>
                <w:rFonts w:eastAsia="Times New Roman" w:cs="Calibri Light"/>
                <w:sz w:val="20"/>
                <w:szCs w:val="20"/>
              </w:rPr>
            </w:pPr>
            <w:r w:rsidRPr="00BE2D82">
              <w:rPr>
                <w:rFonts w:eastAsia="Times New Roman" w:cs="Calibri Light"/>
                <w:sz w:val="20"/>
                <w:szCs w:val="20"/>
              </w:rPr>
              <w:t>Average Shower Time (min/shower)</w:t>
            </w:r>
          </w:p>
        </w:tc>
        <w:tc>
          <w:tcPr>
            <w:tcW w:w="1440" w:type="dxa"/>
            <w:shd w:val="clear" w:color="auto" w:fill="auto"/>
            <w:noWrap/>
            <w:vAlign w:val="center"/>
          </w:tcPr>
          <w:p w14:paraId="522F767A"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7.40</w:t>
            </w:r>
          </w:p>
        </w:tc>
        <w:tc>
          <w:tcPr>
            <w:tcW w:w="1440" w:type="dxa"/>
            <w:vAlign w:val="center"/>
          </w:tcPr>
          <w:p w14:paraId="01E109D4"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7.40</w:t>
            </w:r>
          </w:p>
        </w:tc>
        <w:tc>
          <w:tcPr>
            <w:tcW w:w="4770" w:type="dxa"/>
          </w:tcPr>
          <w:p w14:paraId="3142C5E2" w14:textId="48DE3615" w:rsidR="002C1811" w:rsidRPr="00BE2D82" w:rsidRDefault="002C1811" w:rsidP="00BE2D82">
            <w:pPr>
              <w:spacing w:before="0" w:after="0" w:line="240" w:lineRule="auto"/>
              <w:rPr>
                <w:rFonts w:eastAsia="Times New Roman" w:cs="Calibri Light"/>
                <w:i/>
                <w:sz w:val="18"/>
                <w:szCs w:val="18"/>
              </w:rPr>
            </w:pPr>
            <w:proofErr w:type="spellStart"/>
            <w:r w:rsidRPr="00BE2D82">
              <w:rPr>
                <w:sz w:val="18"/>
                <w:szCs w:val="18"/>
              </w:rPr>
              <w:t>DeOreo</w:t>
            </w:r>
            <w:proofErr w:type="spellEnd"/>
            <w:r w:rsidRPr="00BE2D82">
              <w:rPr>
                <w:sz w:val="18"/>
                <w:szCs w:val="18"/>
              </w:rPr>
              <w:t xml:space="preserve">, W., P. Mayer, and D. Lewis. 2000. </w:t>
            </w:r>
            <w:r w:rsidRPr="00BE2D82">
              <w:rPr>
                <w:i/>
                <w:sz w:val="18"/>
                <w:szCs w:val="18"/>
              </w:rPr>
              <w:t xml:space="preserve">Seattle Home Water Conservation Study: The Impacts </w:t>
            </w:r>
            <w:proofErr w:type="gramStart"/>
            <w:r w:rsidRPr="00BE2D82">
              <w:rPr>
                <w:i/>
                <w:sz w:val="18"/>
                <w:szCs w:val="18"/>
              </w:rPr>
              <w:t>Of</w:t>
            </w:r>
            <w:proofErr w:type="gramEnd"/>
            <w:r w:rsidRPr="00BE2D82">
              <w:rPr>
                <w:i/>
                <w:sz w:val="18"/>
                <w:szCs w:val="18"/>
              </w:rPr>
              <w:t xml:space="preserve"> High Efficiency Plumbing Fixture Retrofits In Single-Family Homes.</w:t>
            </w:r>
            <w:r w:rsidRPr="00BE2D82">
              <w:rPr>
                <w:sz w:val="18"/>
                <w:szCs w:val="18"/>
              </w:rPr>
              <w:t xml:space="preserve"> Prepared for the Seattle Public Utilities and the U.S. Environmental Protection Agency. Boulder, CO: </w:t>
            </w:r>
            <w:proofErr w:type="spellStart"/>
            <w:r w:rsidRPr="00BE2D82">
              <w:rPr>
                <w:sz w:val="18"/>
                <w:szCs w:val="18"/>
              </w:rPr>
              <w:t>Aquacraft</w:t>
            </w:r>
            <w:proofErr w:type="spellEnd"/>
            <w:r w:rsidRPr="00BE2D82">
              <w:rPr>
                <w:sz w:val="18"/>
                <w:szCs w:val="18"/>
              </w:rPr>
              <w:t>, Inc. Water Engineering and Management.</w:t>
            </w:r>
          </w:p>
        </w:tc>
      </w:tr>
      <w:tr w:rsidR="007E70F8" w:rsidRPr="00BE2D82" w14:paraId="40B97C6E" w14:textId="77777777" w:rsidTr="007E70F8">
        <w:trPr>
          <w:cantSplit/>
          <w:trHeight w:val="20"/>
        </w:trPr>
        <w:tc>
          <w:tcPr>
            <w:tcW w:w="1885" w:type="dxa"/>
            <w:shd w:val="clear" w:color="auto" w:fill="auto"/>
            <w:noWrap/>
            <w:vAlign w:val="center"/>
            <w:hideMark/>
          </w:tcPr>
          <w:p w14:paraId="27156ED7" w14:textId="327C9798" w:rsidR="002C1811" w:rsidRPr="00BE2D82" w:rsidRDefault="002C1811" w:rsidP="00BE2D82">
            <w:pPr>
              <w:spacing w:before="0" w:after="0" w:line="240" w:lineRule="auto"/>
              <w:rPr>
                <w:rFonts w:eastAsia="Times New Roman" w:cs="Calibri Light"/>
                <w:sz w:val="20"/>
                <w:szCs w:val="20"/>
              </w:rPr>
            </w:pPr>
            <w:r w:rsidRPr="00BE2D82">
              <w:rPr>
                <w:rFonts w:eastAsia="Times New Roman" w:cs="Calibri Light"/>
                <w:sz w:val="20"/>
                <w:szCs w:val="20"/>
              </w:rPr>
              <w:lastRenderedPageBreak/>
              <w:t>Behavior Waste Shower Time (min/shower)</w:t>
            </w:r>
            <w:r w:rsidRPr="00BE2D82">
              <w:rPr>
                <w:rFonts w:eastAsia="Times New Roman" w:cs="Calibri Light"/>
                <w:sz w:val="20"/>
                <w:szCs w:val="20"/>
              </w:rPr>
              <w:br/>
            </w:r>
            <w:r w:rsidRPr="00BE2D82">
              <w:rPr>
                <w:rFonts w:eastAsia="Times New Roman" w:cs="Calibri Light"/>
                <w:sz w:val="16"/>
                <w:szCs w:val="20"/>
              </w:rPr>
              <w:t>* Time hot water flows before user enters shower</w:t>
            </w:r>
          </w:p>
        </w:tc>
        <w:tc>
          <w:tcPr>
            <w:tcW w:w="1440" w:type="dxa"/>
            <w:shd w:val="clear" w:color="auto" w:fill="auto"/>
            <w:noWrap/>
            <w:vAlign w:val="center"/>
          </w:tcPr>
          <w:p w14:paraId="7C49F463" w14:textId="4F98FC24"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0.0</w:t>
            </w:r>
          </w:p>
        </w:tc>
        <w:tc>
          <w:tcPr>
            <w:tcW w:w="1440" w:type="dxa"/>
            <w:vAlign w:val="center"/>
          </w:tcPr>
          <w:p w14:paraId="3C316DD8" w14:textId="1D7C9509"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0.0</w:t>
            </w:r>
          </w:p>
        </w:tc>
        <w:tc>
          <w:tcPr>
            <w:tcW w:w="4770" w:type="dxa"/>
            <w:vAlign w:val="center"/>
          </w:tcPr>
          <w:p w14:paraId="4F4FBAAE" w14:textId="5F668785" w:rsidR="002C1811" w:rsidRPr="00BE2D82" w:rsidRDefault="002C1811" w:rsidP="00BE2D82">
            <w:pPr>
              <w:spacing w:before="0" w:after="0" w:line="240" w:lineRule="auto"/>
              <w:rPr>
                <w:rFonts w:eastAsia="Times New Roman" w:cs="Calibri Light"/>
                <w:sz w:val="18"/>
                <w:szCs w:val="18"/>
              </w:rPr>
            </w:pPr>
            <w:r w:rsidRPr="00BE2D82">
              <w:rPr>
                <w:rFonts w:eastAsia="Times New Roman" w:cs="Calibri Light"/>
                <w:sz w:val="18"/>
                <w:szCs w:val="18"/>
              </w:rPr>
              <w:t>TSV installation eliminates time hot water is wasted due to user delay in entering shower.</w:t>
            </w:r>
          </w:p>
        </w:tc>
      </w:tr>
      <w:tr w:rsidR="007E70F8" w:rsidRPr="00BE2D82" w14:paraId="29632163" w14:textId="77777777" w:rsidTr="007E70F8">
        <w:trPr>
          <w:cantSplit/>
          <w:trHeight w:val="20"/>
        </w:trPr>
        <w:tc>
          <w:tcPr>
            <w:tcW w:w="1885" w:type="dxa"/>
            <w:shd w:val="clear" w:color="auto" w:fill="auto"/>
            <w:noWrap/>
            <w:vAlign w:val="center"/>
            <w:hideMark/>
          </w:tcPr>
          <w:p w14:paraId="26E74BEC" w14:textId="77777777" w:rsidR="002C1811" w:rsidRPr="00BE2D82" w:rsidRDefault="002C1811" w:rsidP="00BE2D82">
            <w:pPr>
              <w:spacing w:before="0" w:after="0" w:line="240" w:lineRule="auto"/>
              <w:rPr>
                <w:rFonts w:eastAsia="Times New Roman" w:cs="Calibri Light"/>
                <w:sz w:val="20"/>
                <w:szCs w:val="20"/>
              </w:rPr>
            </w:pPr>
            <w:r w:rsidRPr="00BE2D82">
              <w:rPr>
                <w:rFonts w:eastAsia="Times New Roman" w:cs="Calibri Light"/>
                <w:sz w:val="20"/>
                <w:szCs w:val="20"/>
              </w:rPr>
              <w:t xml:space="preserve">Avg. # of Showers Taken per Day Per Household </w:t>
            </w:r>
            <w:r w:rsidRPr="00BE2D82">
              <w:rPr>
                <w:rFonts w:eastAsia="Times New Roman" w:cs="Calibri Light"/>
                <w:sz w:val="20"/>
                <w:szCs w:val="20"/>
              </w:rPr>
              <w:br/>
              <w:t>(showers/day/</w:t>
            </w:r>
            <w:proofErr w:type="spellStart"/>
            <w:r w:rsidRPr="00BE2D82">
              <w:rPr>
                <w:rFonts w:eastAsia="Times New Roman" w:cs="Calibri Light"/>
                <w:sz w:val="20"/>
                <w:szCs w:val="20"/>
              </w:rPr>
              <w:t>hh</w:t>
            </w:r>
            <w:proofErr w:type="spellEnd"/>
            <w:r w:rsidRPr="00BE2D82">
              <w:rPr>
                <w:rFonts w:eastAsia="Times New Roman" w:cs="Calibri Light"/>
                <w:sz w:val="20"/>
                <w:szCs w:val="20"/>
              </w:rPr>
              <w:t>)</w:t>
            </w:r>
          </w:p>
        </w:tc>
        <w:tc>
          <w:tcPr>
            <w:tcW w:w="1440" w:type="dxa"/>
            <w:shd w:val="clear" w:color="auto" w:fill="auto"/>
            <w:noWrap/>
            <w:vAlign w:val="center"/>
          </w:tcPr>
          <w:p w14:paraId="12586CE9"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2.79</w:t>
            </w:r>
          </w:p>
        </w:tc>
        <w:tc>
          <w:tcPr>
            <w:tcW w:w="1440" w:type="dxa"/>
            <w:vAlign w:val="center"/>
          </w:tcPr>
          <w:p w14:paraId="6556E7C1"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2.22</w:t>
            </w:r>
          </w:p>
        </w:tc>
        <w:tc>
          <w:tcPr>
            <w:tcW w:w="4770" w:type="dxa"/>
          </w:tcPr>
          <w:p w14:paraId="5205D165" w14:textId="2A1AC610" w:rsidR="002C1811" w:rsidRPr="00BE2D82" w:rsidRDefault="002C1811" w:rsidP="00BE2D82">
            <w:pPr>
              <w:spacing w:before="0" w:after="0" w:line="240" w:lineRule="auto"/>
              <w:rPr>
                <w:rFonts w:eastAsia="Times New Roman" w:cs="Times New Roman"/>
                <w:sz w:val="18"/>
                <w:szCs w:val="18"/>
              </w:rPr>
            </w:pPr>
            <w:r w:rsidRPr="00BE2D82">
              <w:rPr>
                <w:rFonts w:eastAsia="Times New Roman" w:cs="Times New Roman"/>
                <w:sz w:val="18"/>
                <w:szCs w:val="18"/>
              </w:rPr>
              <w:t>Single Family:</w:t>
            </w:r>
          </w:p>
          <w:p w14:paraId="443EFA50" w14:textId="77777777" w:rsidR="002C1811" w:rsidRPr="00BE2D82" w:rsidRDefault="002C1811" w:rsidP="00BE2D82">
            <w:pPr>
              <w:spacing w:before="0" w:after="0" w:line="240" w:lineRule="auto"/>
              <w:rPr>
                <w:rFonts w:eastAsia="Times New Roman" w:cs="Times New Roman"/>
                <w:sz w:val="18"/>
                <w:szCs w:val="18"/>
              </w:rPr>
            </w:pPr>
            <w:r w:rsidRPr="00BE2D82">
              <w:rPr>
                <w:sz w:val="18"/>
              </w:rPr>
              <w:t>Sempra Energy Utilities (SEU). 2012. “SEU 2009 ASW Data REDACTED.xlsx”.</w:t>
            </w:r>
          </w:p>
          <w:p w14:paraId="3F15BB1C" w14:textId="77777777" w:rsidR="002C1811" w:rsidRPr="00BE2D82" w:rsidRDefault="002C1811" w:rsidP="00BE2D82">
            <w:pPr>
              <w:spacing w:before="0" w:after="0" w:line="240" w:lineRule="auto"/>
              <w:rPr>
                <w:rFonts w:eastAsia="Times New Roman" w:cs="Calibri Light"/>
                <w:sz w:val="18"/>
                <w:szCs w:val="18"/>
              </w:rPr>
            </w:pPr>
          </w:p>
          <w:p w14:paraId="3FB7F82A" w14:textId="77777777" w:rsidR="002C1811" w:rsidRPr="00BE2D82" w:rsidRDefault="002C1811" w:rsidP="00BE2D82">
            <w:pPr>
              <w:spacing w:before="0" w:after="0" w:line="240" w:lineRule="auto"/>
              <w:rPr>
                <w:rFonts w:eastAsia="Times New Roman" w:cs="Calibri Light"/>
                <w:sz w:val="18"/>
                <w:szCs w:val="18"/>
              </w:rPr>
            </w:pPr>
            <w:r w:rsidRPr="00BE2D82">
              <w:rPr>
                <w:rFonts w:eastAsia="Times New Roman" w:cs="Calibri Light"/>
                <w:sz w:val="18"/>
                <w:szCs w:val="18"/>
              </w:rPr>
              <w:t>Multifamily:</w:t>
            </w:r>
          </w:p>
          <w:p w14:paraId="0FB838AE" w14:textId="77777777" w:rsidR="002C1811" w:rsidRPr="00BE2D82" w:rsidRDefault="002C1811" w:rsidP="00BE2D82">
            <w:pPr>
              <w:spacing w:before="0" w:after="0" w:line="240" w:lineRule="auto"/>
              <w:rPr>
                <w:rFonts w:eastAsia="Times New Roman" w:cs="Calibri Light"/>
                <w:sz w:val="18"/>
                <w:szCs w:val="18"/>
              </w:rPr>
            </w:pPr>
            <w:r w:rsidRPr="00BE2D82">
              <w:rPr>
                <w:sz w:val="18"/>
                <w:szCs w:val="18"/>
              </w:rPr>
              <w:t xml:space="preserve">KEMA-XENERGY, </w:t>
            </w:r>
            <w:proofErr w:type="spellStart"/>
            <w:r w:rsidRPr="00BE2D82">
              <w:rPr>
                <w:sz w:val="18"/>
                <w:szCs w:val="18"/>
              </w:rPr>
              <w:t>Itron</w:t>
            </w:r>
            <w:proofErr w:type="spellEnd"/>
            <w:r w:rsidRPr="00BE2D82">
              <w:rPr>
                <w:sz w:val="18"/>
                <w:szCs w:val="18"/>
              </w:rPr>
              <w:t xml:space="preserve">, and </w:t>
            </w:r>
            <w:proofErr w:type="spellStart"/>
            <w:r w:rsidRPr="00BE2D82">
              <w:rPr>
                <w:sz w:val="18"/>
                <w:szCs w:val="18"/>
              </w:rPr>
              <w:t>RoperASW</w:t>
            </w:r>
            <w:proofErr w:type="spellEnd"/>
            <w:r w:rsidRPr="00BE2D82">
              <w:rPr>
                <w:sz w:val="18"/>
                <w:szCs w:val="18"/>
              </w:rPr>
              <w:t xml:space="preserve">. 2004. </w:t>
            </w:r>
            <w:r w:rsidRPr="00BE2D82">
              <w:rPr>
                <w:bCs/>
                <w:i/>
                <w:sz w:val="18"/>
                <w:szCs w:val="18"/>
              </w:rPr>
              <w:t>California Statewide Residential Appliance Saturation Study</w:t>
            </w:r>
            <w:r w:rsidRPr="00BE2D82">
              <w:rPr>
                <w:sz w:val="18"/>
                <w:szCs w:val="18"/>
              </w:rPr>
              <w:t>. Prepared for the California Energy Commission. Contract No. 400-04-009. PG&amp;E Banner Subset, Pages 100 and 102.</w:t>
            </w:r>
          </w:p>
        </w:tc>
      </w:tr>
      <w:tr w:rsidR="007E70F8" w:rsidRPr="00BE2D82" w14:paraId="4E3591CD" w14:textId="77777777" w:rsidTr="007E70F8">
        <w:trPr>
          <w:cantSplit/>
          <w:trHeight w:val="20"/>
        </w:trPr>
        <w:tc>
          <w:tcPr>
            <w:tcW w:w="1885" w:type="dxa"/>
            <w:shd w:val="clear" w:color="auto" w:fill="auto"/>
            <w:noWrap/>
            <w:vAlign w:val="center"/>
          </w:tcPr>
          <w:p w14:paraId="5B0492F4" w14:textId="77777777" w:rsidR="002C1811" w:rsidRPr="00BE2D82" w:rsidRDefault="002C1811" w:rsidP="00BE2D82">
            <w:pPr>
              <w:spacing w:before="0" w:after="0" w:line="240" w:lineRule="auto"/>
              <w:rPr>
                <w:rFonts w:eastAsia="Times New Roman" w:cs="Calibri Light"/>
                <w:sz w:val="20"/>
                <w:szCs w:val="20"/>
              </w:rPr>
            </w:pPr>
            <w:r w:rsidRPr="00BE2D82">
              <w:rPr>
                <w:rFonts w:eastAsia="Times New Roman" w:cs="Calibri Light"/>
                <w:sz w:val="20"/>
                <w:szCs w:val="20"/>
              </w:rPr>
              <w:t>Avg. # of Showerheads per Household</w:t>
            </w:r>
            <w:r w:rsidRPr="00BE2D82">
              <w:rPr>
                <w:rFonts w:eastAsia="Times New Roman" w:cs="Calibri Light"/>
                <w:sz w:val="20"/>
                <w:szCs w:val="20"/>
              </w:rPr>
              <w:br/>
              <w:t>(showerheads/</w:t>
            </w:r>
            <w:proofErr w:type="spellStart"/>
            <w:r w:rsidRPr="00BE2D82">
              <w:rPr>
                <w:rFonts w:eastAsia="Times New Roman" w:cs="Calibri Light"/>
                <w:sz w:val="20"/>
                <w:szCs w:val="20"/>
              </w:rPr>
              <w:t>hh</w:t>
            </w:r>
            <w:proofErr w:type="spellEnd"/>
            <w:r w:rsidRPr="00BE2D82">
              <w:rPr>
                <w:rFonts w:eastAsia="Times New Roman" w:cs="Calibri Light"/>
                <w:sz w:val="20"/>
                <w:szCs w:val="20"/>
              </w:rPr>
              <w:t>)</w:t>
            </w:r>
          </w:p>
        </w:tc>
        <w:tc>
          <w:tcPr>
            <w:tcW w:w="1440" w:type="dxa"/>
            <w:shd w:val="clear" w:color="auto" w:fill="auto"/>
            <w:noWrap/>
            <w:vAlign w:val="center"/>
          </w:tcPr>
          <w:p w14:paraId="59867920"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2.01</w:t>
            </w:r>
          </w:p>
        </w:tc>
        <w:tc>
          <w:tcPr>
            <w:tcW w:w="1440" w:type="dxa"/>
            <w:vAlign w:val="center"/>
          </w:tcPr>
          <w:p w14:paraId="16E19C57"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1.50</w:t>
            </w:r>
          </w:p>
        </w:tc>
        <w:tc>
          <w:tcPr>
            <w:tcW w:w="4770" w:type="dxa"/>
          </w:tcPr>
          <w:p w14:paraId="683775AB" w14:textId="3B7A682D" w:rsidR="002C1811" w:rsidRPr="00BE2D82" w:rsidRDefault="002C1811" w:rsidP="00BE2D82">
            <w:pPr>
              <w:spacing w:before="0" w:after="0" w:line="240" w:lineRule="auto"/>
              <w:rPr>
                <w:rFonts w:eastAsia="Times New Roman" w:cs="Times New Roman"/>
                <w:sz w:val="18"/>
                <w:szCs w:val="18"/>
              </w:rPr>
            </w:pPr>
            <w:r w:rsidRPr="00BE2D82">
              <w:rPr>
                <w:rFonts w:eastAsia="Times New Roman" w:cs="Times New Roman"/>
                <w:sz w:val="18"/>
                <w:szCs w:val="18"/>
              </w:rPr>
              <w:t>Single Family:</w:t>
            </w:r>
          </w:p>
          <w:p w14:paraId="32AA0693" w14:textId="77777777" w:rsidR="002C1811" w:rsidRPr="00BE2D82" w:rsidRDefault="002C1811" w:rsidP="00BE2D82">
            <w:pPr>
              <w:spacing w:before="0" w:after="0" w:line="240" w:lineRule="auto"/>
              <w:rPr>
                <w:rFonts w:eastAsia="Times New Roman" w:cs="Times New Roman"/>
                <w:sz w:val="18"/>
                <w:szCs w:val="18"/>
              </w:rPr>
            </w:pPr>
            <w:r w:rsidRPr="00BE2D82">
              <w:rPr>
                <w:sz w:val="18"/>
              </w:rPr>
              <w:t>Sempra Energy Utilities (SEU). 2012. “SEU 2009 ASW Data REDACTED.xlsx”.</w:t>
            </w:r>
          </w:p>
          <w:p w14:paraId="3FCB0CFE" w14:textId="77777777" w:rsidR="002C1811" w:rsidRPr="00BE2D82" w:rsidRDefault="002C1811" w:rsidP="00BE2D82">
            <w:pPr>
              <w:spacing w:before="0" w:after="0" w:line="240" w:lineRule="auto"/>
              <w:rPr>
                <w:rFonts w:eastAsia="Times New Roman" w:cs="Calibri Light"/>
                <w:sz w:val="18"/>
                <w:szCs w:val="18"/>
              </w:rPr>
            </w:pPr>
          </w:p>
          <w:p w14:paraId="6BBE5313" w14:textId="77777777" w:rsidR="002C1811" w:rsidRPr="00BE2D82" w:rsidRDefault="002C1811" w:rsidP="00BE2D82">
            <w:pPr>
              <w:spacing w:before="0" w:after="0" w:line="240" w:lineRule="auto"/>
              <w:rPr>
                <w:rFonts w:eastAsia="Times New Roman" w:cs="Calibri Light"/>
                <w:sz w:val="18"/>
                <w:szCs w:val="18"/>
              </w:rPr>
            </w:pPr>
            <w:r w:rsidRPr="00BE2D82">
              <w:rPr>
                <w:rFonts w:eastAsia="Times New Roman" w:cs="Calibri Light"/>
                <w:sz w:val="18"/>
                <w:szCs w:val="18"/>
              </w:rPr>
              <w:t>Multifamily:</w:t>
            </w:r>
          </w:p>
          <w:p w14:paraId="7F85E1D4" w14:textId="77777777" w:rsidR="002C1811" w:rsidRPr="00BE2D82" w:rsidRDefault="002C1811" w:rsidP="00BE2D82">
            <w:pPr>
              <w:spacing w:before="0" w:after="0" w:line="240" w:lineRule="auto"/>
              <w:rPr>
                <w:rFonts w:eastAsia="Times New Roman" w:cs="Calibri Light"/>
                <w:sz w:val="18"/>
                <w:szCs w:val="18"/>
              </w:rPr>
            </w:pPr>
            <w:r w:rsidRPr="00BE2D82">
              <w:rPr>
                <w:rFonts w:eastAsia="Times New Roman" w:cs="Calibri Light"/>
                <w:sz w:val="18"/>
                <w:szCs w:val="18"/>
              </w:rPr>
              <w:t>U.S. Census Bureau. (n.d.). "U.S. 2000 Census Bathrooms in NC MF Units.xls."</w:t>
            </w:r>
          </w:p>
        </w:tc>
      </w:tr>
      <w:tr w:rsidR="007E70F8" w:rsidRPr="00BE2D82" w14:paraId="00DAAA8B" w14:textId="77777777" w:rsidTr="007E70F8">
        <w:trPr>
          <w:cantSplit/>
          <w:trHeight w:val="20"/>
        </w:trPr>
        <w:tc>
          <w:tcPr>
            <w:tcW w:w="1885" w:type="dxa"/>
            <w:shd w:val="clear" w:color="auto" w:fill="auto"/>
            <w:noWrap/>
            <w:vAlign w:val="center"/>
          </w:tcPr>
          <w:p w14:paraId="78275530" w14:textId="77777777" w:rsidR="002C1811" w:rsidRPr="00BE2D82" w:rsidRDefault="002C1811" w:rsidP="00BE2D82">
            <w:pPr>
              <w:spacing w:before="0" w:after="0" w:line="240" w:lineRule="auto"/>
              <w:rPr>
                <w:rFonts w:eastAsia="Times New Roman" w:cs="Calibri Light"/>
                <w:sz w:val="20"/>
                <w:szCs w:val="20"/>
              </w:rPr>
            </w:pPr>
            <w:r w:rsidRPr="00BE2D82">
              <w:rPr>
                <w:rFonts w:eastAsia="Times New Roman" w:cs="Calibri Light"/>
                <w:sz w:val="20"/>
                <w:szCs w:val="20"/>
              </w:rPr>
              <w:t>Throttling Factor (%)</w:t>
            </w:r>
          </w:p>
        </w:tc>
        <w:tc>
          <w:tcPr>
            <w:tcW w:w="1440" w:type="dxa"/>
            <w:shd w:val="clear" w:color="auto" w:fill="auto"/>
            <w:noWrap/>
            <w:vAlign w:val="center"/>
          </w:tcPr>
          <w:p w14:paraId="17FC0BF9"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90%</w:t>
            </w:r>
          </w:p>
        </w:tc>
        <w:tc>
          <w:tcPr>
            <w:tcW w:w="1440" w:type="dxa"/>
            <w:vAlign w:val="center"/>
          </w:tcPr>
          <w:p w14:paraId="3B641AE9"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90%</w:t>
            </w:r>
          </w:p>
        </w:tc>
        <w:tc>
          <w:tcPr>
            <w:tcW w:w="4770" w:type="dxa"/>
            <w:vAlign w:val="center"/>
          </w:tcPr>
          <w:p w14:paraId="0A69331E" w14:textId="00F9C1E5" w:rsidR="002C1811" w:rsidRPr="00BE2D82" w:rsidRDefault="002C1811" w:rsidP="00BE2D82">
            <w:pPr>
              <w:spacing w:before="0" w:after="0" w:line="240" w:lineRule="auto"/>
              <w:rPr>
                <w:rFonts w:eastAsia="Times New Roman" w:cs="Calibri Light"/>
                <w:sz w:val="18"/>
                <w:szCs w:val="18"/>
              </w:rPr>
            </w:pPr>
            <w:r w:rsidRPr="00BE2D82">
              <w:rPr>
                <w:sz w:val="18"/>
                <w:szCs w:val="18"/>
              </w:rPr>
              <w:t xml:space="preserve">Biermayer, P. 2006. </w:t>
            </w:r>
            <w:r w:rsidRPr="00BE2D82">
              <w:rPr>
                <w:i/>
                <w:sz w:val="18"/>
                <w:szCs w:val="18"/>
              </w:rPr>
              <w:t xml:space="preserve">Potential Water and Energy Savings from Showerheads. </w:t>
            </w:r>
            <w:r w:rsidRPr="00BE2D82">
              <w:rPr>
                <w:sz w:val="18"/>
                <w:szCs w:val="18"/>
              </w:rPr>
              <w:t>Ernest Orlando Lawrence Berkeley National Laboratory, Environmental Energy Technologies Division. Contract No. DE-AC02-05CH11231. P. 6.</w:t>
            </w:r>
          </w:p>
        </w:tc>
      </w:tr>
      <w:tr w:rsidR="007E70F8" w:rsidRPr="00BE2D82" w14:paraId="10399CD4" w14:textId="77777777" w:rsidTr="007E70F8">
        <w:trPr>
          <w:cantSplit/>
          <w:trHeight w:val="20"/>
        </w:trPr>
        <w:tc>
          <w:tcPr>
            <w:tcW w:w="1885" w:type="dxa"/>
            <w:shd w:val="clear" w:color="auto" w:fill="auto"/>
            <w:noWrap/>
            <w:vAlign w:val="center"/>
          </w:tcPr>
          <w:p w14:paraId="5FCD4327" w14:textId="77777777" w:rsidR="002C1811" w:rsidRPr="00BE2D82" w:rsidRDefault="002C1811" w:rsidP="00BE2D82">
            <w:pPr>
              <w:spacing w:before="0" w:after="0" w:line="240" w:lineRule="auto"/>
              <w:rPr>
                <w:rFonts w:eastAsia="Times New Roman" w:cs="Calibri Light"/>
                <w:sz w:val="20"/>
                <w:szCs w:val="20"/>
              </w:rPr>
            </w:pPr>
            <w:r w:rsidRPr="00BE2D82">
              <w:rPr>
                <w:rFonts w:eastAsia="Times New Roman" w:cs="Calibri Light"/>
                <w:sz w:val="20"/>
                <w:szCs w:val="20"/>
              </w:rPr>
              <w:t>Operating Days (days/year)</w:t>
            </w:r>
          </w:p>
        </w:tc>
        <w:tc>
          <w:tcPr>
            <w:tcW w:w="1440" w:type="dxa"/>
            <w:shd w:val="clear" w:color="auto" w:fill="auto"/>
            <w:noWrap/>
            <w:vAlign w:val="center"/>
          </w:tcPr>
          <w:p w14:paraId="609612E6"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365</w:t>
            </w:r>
          </w:p>
        </w:tc>
        <w:tc>
          <w:tcPr>
            <w:tcW w:w="1440" w:type="dxa"/>
            <w:shd w:val="clear" w:color="auto" w:fill="auto"/>
            <w:vAlign w:val="center"/>
          </w:tcPr>
          <w:p w14:paraId="785FDDCA" w14:textId="77777777" w:rsidR="002C1811" w:rsidRPr="00BE2D82" w:rsidRDefault="002C1811" w:rsidP="00BE2D82">
            <w:pPr>
              <w:spacing w:before="0" w:after="0" w:line="240" w:lineRule="auto"/>
              <w:jc w:val="right"/>
              <w:rPr>
                <w:rFonts w:eastAsia="Times New Roman" w:cs="Calibri Light"/>
                <w:sz w:val="20"/>
                <w:szCs w:val="20"/>
              </w:rPr>
            </w:pPr>
            <w:r w:rsidRPr="00BE2D82">
              <w:rPr>
                <w:rFonts w:eastAsia="Times New Roman" w:cs="Calibri Light"/>
                <w:sz w:val="20"/>
                <w:szCs w:val="20"/>
              </w:rPr>
              <w:t>365</w:t>
            </w:r>
          </w:p>
        </w:tc>
        <w:tc>
          <w:tcPr>
            <w:tcW w:w="4770" w:type="dxa"/>
            <w:shd w:val="clear" w:color="auto" w:fill="auto"/>
            <w:vAlign w:val="center"/>
          </w:tcPr>
          <w:p w14:paraId="10CC7F3A" w14:textId="074F65FA" w:rsidR="002C1811" w:rsidRPr="00BE2D82" w:rsidRDefault="00512ECE" w:rsidP="00BE2D82">
            <w:pPr>
              <w:spacing w:before="0" w:after="0" w:line="240" w:lineRule="auto"/>
              <w:rPr>
                <w:rFonts w:eastAsia="Times New Roman" w:cs="Calibri Light"/>
                <w:sz w:val="18"/>
                <w:szCs w:val="18"/>
              </w:rPr>
            </w:pPr>
            <w:r>
              <w:rPr>
                <w:rFonts w:eastAsia="Times New Roman" w:cs="Calibri Light"/>
                <w:sz w:val="18"/>
                <w:szCs w:val="18"/>
              </w:rPr>
              <w:t>P</w:t>
            </w:r>
            <w:r w:rsidR="002C1811" w:rsidRPr="00BE2D82">
              <w:rPr>
                <w:rFonts w:eastAsia="Times New Roman" w:cs="Calibri Light"/>
                <w:sz w:val="18"/>
                <w:szCs w:val="18"/>
              </w:rPr>
              <w:t>rofessional judgement.</w:t>
            </w:r>
          </w:p>
        </w:tc>
      </w:tr>
    </w:tbl>
    <w:p w14:paraId="2582EFB3" w14:textId="77777777" w:rsidR="00804FB0" w:rsidRDefault="00804FB0" w:rsidP="007E70F8"/>
    <w:p w14:paraId="1048618F" w14:textId="77777777" w:rsidR="009C37FE" w:rsidRDefault="009C37FE" w:rsidP="00702E2D">
      <w:r>
        <w:rPr>
          <w:b/>
        </w:rPr>
        <w:t>Adjusted</w:t>
      </w:r>
      <w:r w:rsidR="00702E2D" w:rsidRPr="00851A64">
        <w:rPr>
          <w:b/>
        </w:rPr>
        <w:t xml:space="preserve"> Shower Time per Day</w:t>
      </w:r>
      <w:r w:rsidR="00851A64" w:rsidRPr="00851A64">
        <w:rPr>
          <w:b/>
        </w:rPr>
        <w:t xml:space="preserve">: </w:t>
      </w:r>
      <w:r w:rsidR="00851A64" w:rsidRPr="00851A64">
        <w:t>For the estimation of water usage before and after the installation of a TSV, this parameter represents the average time before user enters shower</w:t>
      </w:r>
      <w:r>
        <w:t xml:space="preserve"> </w:t>
      </w:r>
      <w:r w:rsidRPr="009C37FE">
        <w:rPr>
          <w:i/>
        </w:rPr>
        <w:t>after</w:t>
      </w:r>
      <w:r>
        <w:t xml:space="preserve"> the water has already reached the optimum temperature</w:t>
      </w:r>
      <w:r w:rsidR="00851A64" w:rsidRPr="00851A64">
        <w:t xml:space="preserve">. </w:t>
      </w:r>
    </w:p>
    <w:p w14:paraId="5242D093" w14:textId="1F4ABA29" w:rsidR="009C37FE" w:rsidRDefault="000B624C" w:rsidP="00702E2D">
      <w:r>
        <w:t xml:space="preserve">The </w:t>
      </w:r>
      <w:r w:rsidR="009C37FE">
        <w:t xml:space="preserve">adjusted time for the </w:t>
      </w:r>
      <w:r>
        <w:t xml:space="preserve">base case was </w:t>
      </w:r>
      <w:r w:rsidR="009C37FE">
        <w:t xml:space="preserve">based upon results of </w:t>
      </w:r>
      <w:r>
        <w:t xml:space="preserve">a 2014 study of shower water waste in single-family residences. The study estimated </w:t>
      </w:r>
      <w:r w:rsidR="00804FB0">
        <w:t>“</w:t>
      </w:r>
      <w:r>
        <w:t>behavioral waste time</w:t>
      </w:r>
      <w:r w:rsidR="00804FB0">
        <w:t>”</w:t>
      </w:r>
      <w:r>
        <w:t xml:space="preserve"> due to </w:t>
      </w:r>
      <w:r w:rsidR="009C37FE">
        <w:t>user activity</w:t>
      </w:r>
      <w:r>
        <w:t xml:space="preserve"> through a survey of 1,057 homes and water use monitoring of 19 homes in California. The results of this </w:t>
      </w:r>
      <w:r w:rsidR="00804FB0">
        <w:t xml:space="preserve">study </w:t>
      </w:r>
      <w:r>
        <w:t xml:space="preserve">were adopted for multifamily residences. </w:t>
      </w:r>
    </w:p>
    <w:p w14:paraId="52C978DA" w14:textId="0E51016D" w:rsidR="00702E2D" w:rsidRDefault="000B624C" w:rsidP="00702E2D">
      <w:r>
        <w:t>The</w:t>
      </w:r>
      <w:r w:rsidR="009C37FE">
        <w:t xml:space="preserve"> adjusted time for the</w:t>
      </w:r>
      <w:r>
        <w:t xml:space="preserve"> measure case assumes the </w:t>
      </w:r>
      <w:r w:rsidR="009C37FE">
        <w:t>behavior</w:t>
      </w:r>
      <w:r>
        <w:t xml:space="preserve"> time has been eliminated. </w:t>
      </w:r>
    </w:p>
    <w:p w14:paraId="163ECF59" w14:textId="77777777" w:rsidR="00AD08C4" w:rsidRDefault="00AD08C4" w:rsidP="00702E2D"/>
    <w:p w14:paraId="1B16F842" w14:textId="0216B969" w:rsidR="00702E2D" w:rsidRPr="00573157" w:rsidRDefault="00702E2D" w:rsidP="00702E2D">
      <w:pPr>
        <w:pStyle w:val="eTRMHeading5"/>
        <w:keepNext/>
        <w:keepLines/>
      </w:pPr>
      <w:r w:rsidRPr="00573157">
        <w:t>Calculation of</w:t>
      </w:r>
      <w:r w:rsidR="00573157">
        <w:t xml:space="preserve"> </w:t>
      </w:r>
      <w:r w:rsidRPr="00573157">
        <w:t>Gas Unit Energy Savings</w:t>
      </w:r>
      <w:r w:rsidR="00573157">
        <w:t xml:space="preserve"> with TSV</w:t>
      </w:r>
    </w:p>
    <w:p w14:paraId="5B3EAF3A" w14:textId="15A6FDE4" w:rsidR="00702E2D" w:rsidRPr="00573157" w:rsidRDefault="00702E2D" w:rsidP="00804FB0">
      <w:r w:rsidRPr="00573157">
        <w:t xml:space="preserve">The gas UES of this measure is based upon the estimated decrease in hot water usage as a result of the installation of a </w:t>
      </w:r>
      <w:r w:rsidR="00573157" w:rsidRPr="00573157">
        <w:t>TSV</w:t>
      </w:r>
      <w:r w:rsidRPr="00573157">
        <w:t xml:space="preserve">. </w:t>
      </w:r>
      <w:r w:rsidR="00573157" w:rsidRPr="00573157">
        <w:t>This methodology is identical to t</w:t>
      </w:r>
      <w:r w:rsidRPr="00573157">
        <w:t xml:space="preserve">he calculation of gas UES </w:t>
      </w:r>
      <w:r w:rsidR="00573157" w:rsidRPr="00573157">
        <w:t xml:space="preserve">of a low-flow showerhead </w:t>
      </w:r>
      <w:r w:rsidR="004E68D3" w:rsidRPr="00573157">
        <w:t>but</w:t>
      </w:r>
      <w:r w:rsidR="00573157" w:rsidRPr="00573157">
        <w:t xml:space="preserve"> includes the estimated water savings from the TSV instead of the water savings from the </w:t>
      </w:r>
      <w:r w:rsidR="00573157" w:rsidRPr="00AD08C4">
        <w:t>low-flow showerhead</w:t>
      </w:r>
      <w:r w:rsidRPr="00AD08C4">
        <w:t xml:space="preserve">. </w:t>
      </w:r>
      <w:r w:rsidR="00804FB0" w:rsidRPr="00AD08C4">
        <w:t>See “Calculation of Gas Unit Energy Savings from Low-Flow Showerhead” for input parameters and definitions.</w:t>
      </w:r>
    </w:p>
    <w:p w14:paraId="224DB548" w14:textId="72AD8F81" w:rsidR="00702E2D" w:rsidRPr="00573157" w:rsidRDefault="00497854" w:rsidP="00702E2D">
      <w:pPr>
        <w:ind w:left="630"/>
        <w:rPr>
          <w:rFonts w:asciiTheme="minorHAnsi" w:hAnsiTheme="minorHAnsi"/>
          <w:sz w:val="16"/>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t</m:t>
              </m:r>
              <m:r>
                <w:rPr>
                  <w:rFonts w:ascii="Cambria Math" w:hAnsi="Cambria Math"/>
                  <w:sz w:val="18"/>
                </w:rPr>
                <m:t>h</m:t>
              </m:r>
              <m:r>
                <w:rPr>
                  <w:rFonts w:ascii="Cambria Math" w:hAnsi="Cambria Math"/>
                  <w:sz w:val="18"/>
                </w:rPr>
                <m:t>erms</m:t>
              </m:r>
              <m:r>
                <w:rPr>
                  <w:rFonts w:ascii="Cambria Math" w:hAnsi="Cambria Math"/>
                  <w:sz w:val="18"/>
                </w:rPr>
                <m:t xml:space="preserve"> </m:t>
              </m:r>
            </m:sub>
          </m:sSub>
          <m:r>
            <w:rPr>
              <w:rFonts w:ascii="Cambria Math" w:hAnsi="Cambria Math"/>
              <w:sz w:val="18"/>
            </w:rPr>
            <m:t xml:space="preserve">= </m:t>
          </m:r>
          <m:d>
            <m:dPr>
              <m:begChr m:val="["/>
              <m:endChr m:val="]"/>
              <m:ctrlPr>
                <w:rPr>
                  <w:rFonts w:ascii="Cambria Math" w:hAnsi="Cambria Math"/>
                  <w:i/>
                  <w:sz w:val="18"/>
                </w:rPr>
              </m:ctrlPr>
            </m:dPr>
            <m:e>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WS</m:t>
                      </m:r>
                    </m:e>
                    <m:sub>
                      <m:r>
                        <w:rPr>
                          <w:rFonts w:ascii="Cambria Math" w:hAnsi="Cambria Math"/>
                          <w:sz w:val="18"/>
                        </w:rPr>
                        <m:t>TSV</m:t>
                      </m:r>
                    </m:sub>
                  </m:sSub>
                  <m:r>
                    <w:rPr>
                      <w:rFonts w:ascii="Cambria Math" w:hAnsi="Cambria Math"/>
                      <w:sz w:val="18"/>
                    </w:rPr>
                    <m:t>×</m:t>
                  </m:r>
                  <m:r>
                    <w:rPr>
                      <w:rFonts w:ascii="Cambria Math" w:hAnsi="Cambria Math"/>
                      <w:sz w:val="18"/>
                    </w:rPr>
                    <m:t>Cp</m:t>
                  </m:r>
                  <m:r>
                    <w:rPr>
                      <w:rFonts w:ascii="Cambria Math" w:hAnsi="Cambria Math"/>
                      <w:sz w:val="18"/>
                    </w:rPr>
                    <m:t>×</m:t>
                  </m:r>
                  <m:r>
                    <w:rPr>
                      <w:rFonts w:ascii="Cambria Math" w:hAnsi="Cambria Math"/>
                      <w:sz w:val="18"/>
                    </w:rPr>
                    <m:t>WaterWeig</m:t>
                  </m:r>
                  <m:r>
                    <w:rPr>
                      <w:rFonts w:ascii="Cambria Math" w:hAnsi="Cambria Math"/>
                      <w:sz w:val="18"/>
                    </w:rPr>
                    <m:t>h</m:t>
                  </m:r>
                  <m:r>
                    <w:rPr>
                      <w:rFonts w:ascii="Cambria Math" w:hAnsi="Cambria Math"/>
                      <w:sz w:val="18"/>
                    </w:rPr>
                    <m:t>t</m:t>
                  </m:r>
                  <m:r>
                    <w:rPr>
                      <w:rFonts w:ascii="Cambria Math" w:hAnsi="Cambria Math"/>
                      <w:sz w:val="18"/>
                    </w:rPr>
                    <m:t>×</m:t>
                  </m:r>
                  <m:d>
                    <m:dPr>
                      <m:ctrlPr>
                        <w:rPr>
                          <w:rFonts w:ascii="Cambria Math" w:hAnsi="Cambria Math"/>
                          <w:i/>
                          <w:sz w:val="18"/>
                        </w:rPr>
                      </m:ctrlPr>
                    </m:dPr>
                    <m:e>
                      <m:f>
                        <m:fPr>
                          <m:ctrlPr>
                            <w:rPr>
                              <w:rFonts w:ascii="Cambria Math" w:hAnsi="Cambria Math"/>
                              <w:i/>
                              <w:sz w:val="18"/>
                            </w:rPr>
                          </m:ctrlPr>
                        </m:fPr>
                        <m:num>
                          <m:r>
                            <w:rPr>
                              <w:rFonts w:ascii="Cambria Math" w:hAnsi="Cambria Math"/>
                              <w:sz w:val="18"/>
                            </w:rPr>
                            <m:t xml:space="preserve">1 </m:t>
                          </m:r>
                          <m:r>
                            <w:rPr>
                              <w:rFonts w:ascii="Cambria Math" w:hAnsi="Cambria Math"/>
                              <w:sz w:val="18"/>
                            </w:rPr>
                            <m:t>t</m:t>
                          </m:r>
                          <m:r>
                            <w:rPr>
                              <w:rFonts w:ascii="Cambria Math" w:hAnsi="Cambria Math"/>
                              <w:sz w:val="18"/>
                            </w:rPr>
                            <m:t>h</m:t>
                          </m:r>
                          <m:r>
                            <w:rPr>
                              <w:rFonts w:ascii="Cambria Math" w:hAnsi="Cambria Math"/>
                              <w:sz w:val="18"/>
                            </w:rPr>
                            <m:t>erm</m:t>
                          </m:r>
                        </m:num>
                        <m:den>
                          <m:r>
                            <w:rPr>
                              <w:rFonts w:ascii="Cambria Math" w:hAnsi="Cambria Math"/>
                              <w:sz w:val="18"/>
                            </w:rPr>
                            <m:t xml:space="preserve">100,000 </m:t>
                          </m:r>
                          <m:r>
                            <w:rPr>
                              <w:rFonts w:ascii="Cambria Math" w:hAnsi="Cambria Math"/>
                              <w:sz w:val="18"/>
                            </w:rPr>
                            <m:t>Btu</m:t>
                          </m:r>
                        </m:den>
                      </m:f>
                    </m:e>
                  </m:d>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T</m:t>
                          </m:r>
                        </m:e>
                        <m:sub>
                          <m:r>
                            <w:rPr>
                              <w:rFonts w:ascii="Cambria Math" w:hAnsi="Cambria Math"/>
                              <w:sz w:val="18"/>
                            </w:rPr>
                            <m:t>mixed</m:t>
                          </m:r>
                        </m:sub>
                      </m:sSub>
                      <m:r>
                        <w:rPr>
                          <w:rFonts w:ascii="Cambria Math" w:hAnsi="Cambria Math"/>
                          <w:sz w:val="18"/>
                        </w:rPr>
                        <m:t>-</m:t>
                      </m:r>
                      <m:sSub>
                        <m:sSubPr>
                          <m:ctrlPr>
                            <w:rPr>
                              <w:rFonts w:ascii="Cambria Math" w:hAnsi="Cambria Math"/>
                              <w:i/>
                              <w:sz w:val="18"/>
                            </w:rPr>
                          </m:ctrlPr>
                        </m:sSubPr>
                        <m:e>
                          <m:r>
                            <w:rPr>
                              <w:rFonts w:ascii="Cambria Math" w:hAnsi="Cambria Math"/>
                              <w:sz w:val="18"/>
                            </w:rPr>
                            <m:t>T</m:t>
                          </m:r>
                        </m:e>
                        <m:sub>
                          <m:r>
                            <w:rPr>
                              <w:rFonts w:ascii="Cambria Math" w:hAnsi="Cambria Math"/>
                              <w:sz w:val="18"/>
                            </w:rPr>
                            <m:t>ground</m:t>
                          </m:r>
                        </m:sub>
                      </m:sSub>
                    </m:e>
                  </m:d>
                </m:num>
                <m:den>
                  <m:sSub>
                    <m:sSubPr>
                      <m:ctrlPr>
                        <w:rPr>
                          <w:rFonts w:ascii="Cambria Math" w:hAnsi="Cambria Math"/>
                          <w:i/>
                          <w:sz w:val="18"/>
                        </w:rPr>
                      </m:ctrlPr>
                    </m:sSubPr>
                    <m:e>
                      <m:r>
                        <w:rPr>
                          <w:rFonts w:ascii="Cambria Math" w:hAnsi="Cambria Math"/>
                          <w:sz w:val="18"/>
                        </w:rPr>
                        <m:t>EFF</m:t>
                      </m:r>
                    </m:e>
                    <m:sub>
                      <m:r>
                        <w:rPr>
                          <w:rFonts w:ascii="Cambria Math" w:hAnsi="Cambria Math"/>
                          <w:sz w:val="18"/>
                        </w:rPr>
                        <m:t>gas</m:t>
                      </m:r>
                    </m:sub>
                  </m:sSub>
                </m:den>
              </m:f>
            </m:e>
          </m:d>
        </m:oMath>
      </m:oMathPara>
    </w:p>
    <w:p w14:paraId="1A305843" w14:textId="77777777" w:rsidR="00702E2D" w:rsidRPr="00573157" w:rsidRDefault="00702E2D" w:rsidP="00702E2D">
      <w:pPr>
        <w:rPr>
          <w:rFonts w:asciiTheme="minorHAnsi" w:hAnsiTheme="minorHAnsi"/>
          <w:sz w:val="16"/>
        </w:rPr>
      </w:pPr>
    </w:p>
    <w:p w14:paraId="3AE2CAAD" w14:textId="77777777" w:rsidR="00702E2D" w:rsidRPr="00573157" w:rsidRDefault="00702E2D" w:rsidP="00702E2D">
      <w:pPr>
        <w:tabs>
          <w:tab w:val="left" w:pos="3420"/>
        </w:tabs>
        <w:spacing w:before="20" w:after="20"/>
        <w:ind w:left="1440"/>
        <w:rPr>
          <w:rFonts w:ascii="Cambria Math" w:hAnsi="Cambria Math" w:cs="Calibri Light"/>
          <w:i/>
          <w:sz w:val="18"/>
          <w:szCs w:val="18"/>
        </w:rPr>
      </w:pPr>
      <w:proofErr w:type="spellStart"/>
      <w:r w:rsidRPr="00573157">
        <w:rPr>
          <w:rFonts w:ascii="Cambria Math" w:hAnsi="Cambria Math" w:cs="Calibri Light"/>
          <w:i/>
          <w:sz w:val="18"/>
          <w:szCs w:val="18"/>
        </w:rPr>
        <w:t>UES</w:t>
      </w:r>
      <w:r w:rsidRPr="00573157">
        <w:rPr>
          <w:rFonts w:ascii="Cambria Math" w:hAnsi="Cambria Math" w:cs="Calibri Light"/>
          <w:i/>
          <w:sz w:val="18"/>
          <w:szCs w:val="18"/>
          <w:vertAlign w:val="subscript"/>
        </w:rPr>
        <w:t>therms</w:t>
      </w:r>
      <w:proofErr w:type="spellEnd"/>
      <w:r w:rsidRPr="00573157">
        <w:rPr>
          <w:rFonts w:ascii="Cambria Math" w:hAnsi="Cambria Math" w:cs="Calibri Light"/>
          <w:i/>
          <w:sz w:val="18"/>
          <w:szCs w:val="18"/>
        </w:rPr>
        <w:t xml:space="preserve"> = </w:t>
      </w:r>
      <w:r w:rsidRPr="00573157">
        <w:rPr>
          <w:rFonts w:ascii="Cambria Math" w:hAnsi="Cambria Math" w:cs="Calibri Light"/>
          <w:i/>
          <w:sz w:val="18"/>
          <w:szCs w:val="18"/>
        </w:rPr>
        <w:tab/>
        <w:t>Annual gas unit energy savings (</w:t>
      </w:r>
      <w:proofErr w:type="spellStart"/>
      <w:r w:rsidRPr="00573157">
        <w:rPr>
          <w:rFonts w:ascii="Cambria Math" w:hAnsi="Cambria Math" w:cs="Calibri Light"/>
          <w:i/>
          <w:sz w:val="18"/>
          <w:szCs w:val="18"/>
        </w:rPr>
        <w:t>therms</w:t>
      </w:r>
      <w:proofErr w:type="spellEnd"/>
      <w:r w:rsidRPr="00573157">
        <w:rPr>
          <w:rFonts w:ascii="Cambria Math" w:hAnsi="Cambria Math" w:cs="Calibri Light"/>
          <w:i/>
          <w:sz w:val="18"/>
          <w:szCs w:val="18"/>
        </w:rPr>
        <w:t>/year)</w:t>
      </w:r>
    </w:p>
    <w:p w14:paraId="29862A1D" w14:textId="77777777" w:rsidR="00702E2D" w:rsidRPr="00573157" w:rsidRDefault="00702E2D" w:rsidP="00702E2D">
      <w:pPr>
        <w:tabs>
          <w:tab w:val="left" w:pos="3420"/>
        </w:tabs>
        <w:spacing w:before="20" w:after="20"/>
        <w:ind w:left="1440"/>
        <w:rPr>
          <w:rFonts w:ascii="Cambria Math" w:hAnsi="Cambria Math" w:cs="Calibri Light"/>
          <w:i/>
          <w:sz w:val="18"/>
          <w:szCs w:val="18"/>
        </w:rPr>
      </w:pPr>
      <w:r w:rsidRPr="00573157">
        <w:rPr>
          <w:rFonts w:ascii="Cambria Math" w:hAnsi="Cambria Math" w:cs="Calibri Light"/>
          <w:i/>
          <w:sz w:val="18"/>
          <w:szCs w:val="18"/>
        </w:rPr>
        <w:t xml:space="preserve">Cp = </w:t>
      </w:r>
      <w:r w:rsidRPr="00573157">
        <w:rPr>
          <w:rFonts w:ascii="Cambria Math" w:hAnsi="Cambria Math" w:cs="Calibri Light"/>
          <w:i/>
          <w:sz w:val="18"/>
          <w:szCs w:val="18"/>
        </w:rPr>
        <w:tab/>
        <w:t>Specific heat capacity of water (Btu/</w:t>
      </w:r>
      <w:proofErr w:type="spellStart"/>
      <w:r w:rsidRPr="00573157">
        <w:rPr>
          <w:rFonts w:ascii="Cambria Math" w:hAnsi="Cambria Math" w:cs="Calibri Light"/>
          <w:i/>
          <w:sz w:val="18"/>
          <w:szCs w:val="18"/>
        </w:rPr>
        <w:t>lb</w:t>
      </w:r>
      <w:proofErr w:type="spellEnd"/>
      <w:r w:rsidRPr="00573157">
        <w:rPr>
          <w:rFonts w:ascii="Cambria Math" w:hAnsi="Cambria Math" w:cs="Calibri Light"/>
          <w:i/>
          <w:sz w:val="18"/>
          <w:szCs w:val="18"/>
        </w:rPr>
        <w:t>/°F), fixed constant</w:t>
      </w:r>
    </w:p>
    <w:p w14:paraId="1B0A5728" w14:textId="77777777" w:rsidR="00702E2D" w:rsidRPr="00573157" w:rsidRDefault="00702E2D" w:rsidP="00702E2D">
      <w:pPr>
        <w:tabs>
          <w:tab w:val="left" w:pos="3420"/>
        </w:tabs>
        <w:spacing w:before="20" w:after="20"/>
        <w:ind w:left="1440"/>
        <w:rPr>
          <w:rFonts w:ascii="Cambria Math" w:hAnsi="Cambria Math" w:cs="Calibri Light"/>
          <w:i/>
          <w:sz w:val="18"/>
          <w:szCs w:val="18"/>
        </w:rPr>
      </w:pPr>
      <w:proofErr w:type="spellStart"/>
      <w:r w:rsidRPr="00573157">
        <w:rPr>
          <w:rFonts w:ascii="Cambria Math" w:hAnsi="Cambria Math" w:cs="Calibri Light"/>
          <w:i/>
          <w:sz w:val="18"/>
          <w:szCs w:val="18"/>
        </w:rPr>
        <w:t>WaterWeight</w:t>
      </w:r>
      <w:proofErr w:type="spellEnd"/>
      <w:r w:rsidRPr="00573157">
        <w:rPr>
          <w:rFonts w:ascii="Cambria Math" w:hAnsi="Cambria Math" w:cs="Calibri Light"/>
          <w:i/>
          <w:sz w:val="18"/>
          <w:szCs w:val="18"/>
        </w:rPr>
        <w:t xml:space="preserve"> = </w:t>
      </w:r>
      <w:r w:rsidRPr="00573157">
        <w:rPr>
          <w:rFonts w:ascii="Cambria Math" w:hAnsi="Cambria Math" w:cs="Calibri Light"/>
          <w:i/>
          <w:sz w:val="18"/>
          <w:szCs w:val="18"/>
        </w:rPr>
        <w:tab/>
        <w:t>Weight of water (</w:t>
      </w:r>
      <w:proofErr w:type="spellStart"/>
      <w:r w:rsidRPr="00573157">
        <w:rPr>
          <w:rFonts w:ascii="Cambria Math" w:hAnsi="Cambria Math" w:cs="Calibri Light"/>
          <w:i/>
          <w:sz w:val="18"/>
          <w:szCs w:val="18"/>
        </w:rPr>
        <w:t>lb</w:t>
      </w:r>
      <w:proofErr w:type="spellEnd"/>
      <w:r w:rsidRPr="00573157">
        <w:rPr>
          <w:rFonts w:ascii="Cambria Math" w:hAnsi="Cambria Math" w:cs="Calibri Light"/>
          <w:i/>
          <w:sz w:val="18"/>
          <w:szCs w:val="18"/>
        </w:rPr>
        <w:t>/gal), fixed constant</w:t>
      </w:r>
    </w:p>
    <w:p w14:paraId="76BE4AFB" w14:textId="77777777" w:rsidR="00702E2D" w:rsidRPr="00573157" w:rsidRDefault="00702E2D" w:rsidP="00702E2D">
      <w:pPr>
        <w:tabs>
          <w:tab w:val="left" w:pos="3420"/>
        </w:tabs>
        <w:spacing w:before="20" w:after="20"/>
        <w:ind w:left="1440"/>
        <w:rPr>
          <w:rFonts w:ascii="Cambria Math" w:hAnsi="Cambria Math" w:cs="Calibri Light"/>
          <w:i/>
          <w:sz w:val="18"/>
          <w:szCs w:val="18"/>
        </w:rPr>
      </w:pPr>
      <w:proofErr w:type="spellStart"/>
      <w:r w:rsidRPr="00573157">
        <w:rPr>
          <w:rFonts w:ascii="Cambria Math" w:hAnsi="Cambria Math" w:cs="Calibri Light"/>
          <w:i/>
          <w:sz w:val="18"/>
          <w:szCs w:val="18"/>
        </w:rPr>
        <w:t>T</w:t>
      </w:r>
      <w:r w:rsidRPr="00573157">
        <w:rPr>
          <w:rFonts w:ascii="Cambria Math" w:hAnsi="Cambria Math" w:cs="Calibri Light"/>
          <w:i/>
          <w:sz w:val="18"/>
          <w:szCs w:val="18"/>
          <w:vertAlign w:val="subscript"/>
        </w:rPr>
        <w:t>mixed</w:t>
      </w:r>
      <w:proofErr w:type="spellEnd"/>
      <w:r w:rsidRPr="00573157">
        <w:rPr>
          <w:rFonts w:ascii="Cambria Math" w:hAnsi="Cambria Math" w:cs="Calibri Light"/>
          <w:i/>
          <w:sz w:val="18"/>
          <w:szCs w:val="18"/>
        </w:rPr>
        <w:t xml:space="preserve"> = </w:t>
      </w:r>
      <w:r w:rsidRPr="00573157">
        <w:rPr>
          <w:rFonts w:ascii="Cambria Math" w:hAnsi="Cambria Math" w:cs="Calibri Light"/>
          <w:i/>
          <w:sz w:val="18"/>
          <w:szCs w:val="18"/>
        </w:rPr>
        <w:tab/>
        <w:t>Mixed water temperature, at faucet (°F)</w:t>
      </w:r>
    </w:p>
    <w:p w14:paraId="7D4F7AE3" w14:textId="313444B5" w:rsidR="00702E2D" w:rsidRPr="00573157" w:rsidRDefault="00702E2D" w:rsidP="00702E2D">
      <w:pPr>
        <w:tabs>
          <w:tab w:val="left" w:pos="3420"/>
        </w:tabs>
        <w:spacing w:before="20" w:after="20"/>
        <w:ind w:left="1440"/>
        <w:rPr>
          <w:rFonts w:ascii="Cambria Math" w:hAnsi="Cambria Math" w:cs="Calibri Light"/>
          <w:i/>
          <w:sz w:val="18"/>
          <w:szCs w:val="18"/>
        </w:rPr>
      </w:pPr>
      <w:proofErr w:type="spellStart"/>
      <w:r w:rsidRPr="00573157">
        <w:rPr>
          <w:rFonts w:ascii="Cambria Math" w:hAnsi="Cambria Math"/>
          <w:i/>
          <w:sz w:val="18"/>
          <w:szCs w:val="18"/>
        </w:rPr>
        <w:t>T</w:t>
      </w:r>
      <w:r w:rsidRPr="00573157">
        <w:rPr>
          <w:rFonts w:ascii="Cambria Math" w:hAnsi="Cambria Math"/>
          <w:i/>
          <w:sz w:val="18"/>
          <w:szCs w:val="18"/>
          <w:vertAlign w:val="subscript"/>
        </w:rPr>
        <w:t>ground</w:t>
      </w:r>
      <w:proofErr w:type="spellEnd"/>
      <w:r w:rsidRPr="00573157">
        <w:rPr>
          <w:rFonts w:ascii="Cambria Math" w:hAnsi="Cambria Math"/>
          <w:i/>
          <w:sz w:val="18"/>
          <w:szCs w:val="18"/>
        </w:rPr>
        <w:t xml:space="preserve"> = </w:t>
      </w:r>
      <w:r w:rsidRPr="00573157">
        <w:rPr>
          <w:rFonts w:ascii="Cambria Math" w:hAnsi="Cambria Math"/>
          <w:i/>
          <w:sz w:val="18"/>
          <w:szCs w:val="18"/>
        </w:rPr>
        <w:tab/>
        <w:t xml:space="preserve">Make-up groundwater temperature, </w:t>
      </w:r>
      <w:r w:rsidR="005647A9">
        <w:rPr>
          <w:rFonts w:ascii="Cambria Math" w:hAnsi="Cambria Math"/>
          <w:i/>
          <w:sz w:val="18"/>
          <w:szCs w:val="18"/>
        </w:rPr>
        <w:t xml:space="preserve">varies by climate zone </w:t>
      </w:r>
      <w:r w:rsidRPr="00573157">
        <w:rPr>
          <w:rFonts w:ascii="Cambria Math" w:hAnsi="Cambria Math" w:cs="Calibri Light"/>
          <w:i/>
          <w:sz w:val="18"/>
          <w:szCs w:val="18"/>
        </w:rPr>
        <w:t>(°F)</w:t>
      </w:r>
    </w:p>
    <w:p w14:paraId="6D2A5278" w14:textId="77777777" w:rsidR="00702E2D" w:rsidRPr="00573157" w:rsidRDefault="00702E2D" w:rsidP="00702E2D">
      <w:pPr>
        <w:tabs>
          <w:tab w:val="left" w:pos="3420"/>
        </w:tabs>
        <w:spacing w:before="20" w:after="20"/>
        <w:ind w:left="1440"/>
        <w:rPr>
          <w:rFonts w:ascii="Cambria Math" w:hAnsi="Cambria Math"/>
          <w:i/>
          <w:sz w:val="18"/>
          <w:szCs w:val="18"/>
        </w:rPr>
      </w:pPr>
      <w:proofErr w:type="spellStart"/>
      <w:r w:rsidRPr="00573157">
        <w:rPr>
          <w:rFonts w:ascii="Cambria Math" w:hAnsi="Cambria Math"/>
          <w:i/>
          <w:sz w:val="18"/>
          <w:szCs w:val="18"/>
        </w:rPr>
        <w:t>EFF</w:t>
      </w:r>
      <w:r w:rsidRPr="00573157">
        <w:rPr>
          <w:rFonts w:ascii="Cambria Math" w:hAnsi="Cambria Math"/>
          <w:i/>
          <w:sz w:val="18"/>
          <w:szCs w:val="18"/>
          <w:vertAlign w:val="subscript"/>
        </w:rPr>
        <w:t>gas</w:t>
      </w:r>
      <w:proofErr w:type="spellEnd"/>
      <w:r w:rsidRPr="00573157">
        <w:rPr>
          <w:rFonts w:ascii="Cambria Math" w:hAnsi="Cambria Math"/>
          <w:i/>
          <w:sz w:val="18"/>
          <w:szCs w:val="18"/>
        </w:rPr>
        <w:t xml:space="preserve"> = </w:t>
      </w:r>
      <w:r w:rsidRPr="00573157">
        <w:rPr>
          <w:rFonts w:ascii="Cambria Math" w:hAnsi="Cambria Math"/>
          <w:i/>
          <w:sz w:val="18"/>
          <w:szCs w:val="18"/>
        </w:rPr>
        <w:tab/>
        <w:t xml:space="preserve">Water heater efficiency, gas </w:t>
      </w:r>
    </w:p>
    <w:p w14:paraId="29D906BB" w14:textId="58E19FB1" w:rsidR="00370966" w:rsidRDefault="00370966" w:rsidP="002A1CD3"/>
    <w:p w14:paraId="4562F443" w14:textId="77777777" w:rsidR="00F939F6" w:rsidRPr="006A3263" w:rsidRDefault="00F939F6" w:rsidP="00F939F6">
      <w:r>
        <w:t>The inputs</w:t>
      </w:r>
      <w:r w:rsidRPr="006A3263">
        <w:t xml:space="preserve"> and assumptions used in these equations</w:t>
      </w:r>
      <w:r>
        <w:t xml:space="preserve"> are specified below</w:t>
      </w:r>
      <w:r w:rsidRPr="006A3263">
        <w:t>.</w:t>
      </w:r>
      <w:r w:rsidRPr="00891C20">
        <w:t xml:space="preserve"> </w:t>
      </w:r>
      <w:r>
        <w:t>Refer to the Electric Savings section for explanation of the fuel-neutral inputs. Additional explanation of the inputs that are specific only to natural gas follows.</w:t>
      </w:r>
    </w:p>
    <w:p w14:paraId="004176CD" w14:textId="77777777" w:rsidR="00F939F6" w:rsidRPr="008560FF" w:rsidRDefault="00F939F6" w:rsidP="00F939F6">
      <w:pPr>
        <w:pStyle w:val="Caption"/>
        <w:rPr>
          <w:rFonts w:cs="Calibri Light"/>
          <w:szCs w:val="20"/>
        </w:rPr>
      </w:pPr>
      <w:r>
        <w:t xml:space="preserve">Gas </w:t>
      </w:r>
      <w:r>
        <w:rPr>
          <w:rFonts w:cs="Calibri Light"/>
          <w:szCs w:val="20"/>
        </w:rPr>
        <w:t>UES Inputs</w:t>
      </w:r>
      <w:r w:rsidRPr="008560FF">
        <w:rPr>
          <w:rFonts w:cs="Calibri Light"/>
          <w:szCs w:val="20"/>
        </w:rPr>
        <w:t xml:space="preserve"> </w:t>
      </w:r>
    </w:p>
    <w:tbl>
      <w:tblPr>
        <w:tblW w:w="82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ayout w:type="fixed"/>
        <w:tblCellMar>
          <w:left w:w="115" w:type="dxa"/>
          <w:right w:w="115" w:type="dxa"/>
        </w:tblCellMar>
        <w:tblLook w:val="04A0" w:firstRow="1" w:lastRow="0" w:firstColumn="1" w:lastColumn="0" w:noHBand="0" w:noVBand="1"/>
      </w:tblPr>
      <w:tblGrid>
        <w:gridCol w:w="3356"/>
        <w:gridCol w:w="1229"/>
        <w:gridCol w:w="3631"/>
      </w:tblGrid>
      <w:tr w:rsidR="00F939F6" w:rsidRPr="00D31C65" w14:paraId="20C3B7D1" w14:textId="77777777" w:rsidTr="00802095">
        <w:trPr>
          <w:trHeight w:val="260"/>
          <w:tblHeader/>
        </w:trPr>
        <w:tc>
          <w:tcPr>
            <w:tcW w:w="3356" w:type="dxa"/>
            <w:shd w:val="clear" w:color="auto" w:fill="F2F2F2" w:themeFill="background1" w:themeFillShade="F2"/>
            <w:noWrap/>
            <w:vAlign w:val="bottom"/>
            <w:hideMark/>
          </w:tcPr>
          <w:p w14:paraId="6A773C62" w14:textId="77777777" w:rsidR="00F939F6" w:rsidRPr="00D31C65" w:rsidRDefault="00F939F6" w:rsidP="00802095">
            <w:pPr>
              <w:keepNext/>
              <w:keepLines/>
              <w:spacing w:before="0" w:after="0" w:line="240" w:lineRule="auto"/>
              <w:rPr>
                <w:rFonts w:eastAsia="Times New Roman" w:cs="Times New Roman"/>
                <w:b/>
                <w:sz w:val="20"/>
                <w:szCs w:val="20"/>
              </w:rPr>
            </w:pPr>
            <w:bookmarkStart w:id="54" w:name="_Hlk512236803"/>
            <w:r>
              <w:rPr>
                <w:rFonts w:eastAsia="Times New Roman" w:cs="Times New Roman"/>
                <w:b/>
                <w:sz w:val="20"/>
                <w:szCs w:val="20"/>
              </w:rPr>
              <w:t>Parameter</w:t>
            </w:r>
          </w:p>
        </w:tc>
        <w:tc>
          <w:tcPr>
            <w:tcW w:w="1229" w:type="dxa"/>
            <w:shd w:val="clear" w:color="auto" w:fill="F2F2F2" w:themeFill="background1" w:themeFillShade="F2"/>
            <w:noWrap/>
            <w:vAlign w:val="bottom"/>
            <w:hideMark/>
          </w:tcPr>
          <w:p w14:paraId="7B54785B" w14:textId="77777777" w:rsidR="00F939F6" w:rsidRPr="00D31C65" w:rsidRDefault="00F939F6" w:rsidP="00802095">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Value</w:t>
            </w:r>
          </w:p>
        </w:tc>
        <w:tc>
          <w:tcPr>
            <w:tcW w:w="3631" w:type="dxa"/>
            <w:shd w:val="clear" w:color="auto" w:fill="F2F2F2" w:themeFill="background1" w:themeFillShade="F2"/>
            <w:noWrap/>
            <w:vAlign w:val="bottom"/>
            <w:hideMark/>
          </w:tcPr>
          <w:p w14:paraId="729A33D7" w14:textId="77777777" w:rsidR="00F939F6" w:rsidRPr="00D31C65" w:rsidRDefault="00F939F6" w:rsidP="00802095">
            <w:pPr>
              <w:keepNext/>
              <w:keepLines/>
              <w:spacing w:before="0" w:after="0" w:line="240" w:lineRule="auto"/>
              <w:rPr>
                <w:rFonts w:eastAsia="Times New Roman" w:cs="Times New Roman"/>
                <w:b/>
                <w:sz w:val="20"/>
                <w:szCs w:val="20"/>
              </w:rPr>
            </w:pPr>
            <w:r w:rsidRPr="00D31C65">
              <w:rPr>
                <w:rFonts w:eastAsia="Times New Roman" w:cs="Times New Roman"/>
                <w:b/>
                <w:sz w:val="20"/>
                <w:szCs w:val="20"/>
              </w:rPr>
              <w:t>Source</w:t>
            </w:r>
          </w:p>
        </w:tc>
      </w:tr>
      <w:tr w:rsidR="00F939F6" w:rsidRPr="00D31C65" w14:paraId="07F47680" w14:textId="77777777" w:rsidTr="00802095">
        <w:trPr>
          <w:trHeight w:val="260"/>
        </w:trPr>
        <w:tc>
          <w:tcPr>
            <w:tcW w:w="3356" w:type="dxa"/>
            <w:shd w:val="clear" w:color="auto" w:fill="FFFFFF" w:themeFill="background1"/>
            <w:noWrap/>
            <w:vAlign w:val="center"/>
            <w:hideMark/>
          </w:tcPr>
          <w:p w14:paraId="0F6F9862" w14:textId="77777777" w:rsidR="00F939F6" w:rsidRPr="00D31C65" w:rsidRDefault="00F939F6" w:rsidP="00802095">
            <w:pPr>
              <w:keepNext/>
              <w:keepLines/>
              <w:spacing w:before="0" w:after="0" w:line="240" w:lineRule="auto"/>
              <w:rPr>
                <w:rFonts w:eastAsia="Times New Roman" w:cs="Times New Roman"/>
                <w:sz w:val="20"/>
                <w:szCs w:val="20"/>
              </w:rPr>
            </w:pPr>
            <w:r>
              <w:rPr>
                <w:rFonts w:eastAsia="Times New Roman" w:cs="Times New Roman"/>
                <w:sz w:val="20"/>
                <w:szCs w:val="20"/>
              </w:rPr>
              <w:t>Specific Heat Capacity</w:t>
            </w:r>
            <w:r w:rsidRPr="00D31C65">
              <w:rPr>
                <w:rFonts w:eastAsia="Times New Roman" w:cs="Times New Roman"/>
                <w:sz w:val="20"/>
                <w:szCs w:val="20"/>
              </w:rPr>
              <w:t xml:space="preserve"> of </w:t>
            </w:r>
            <w:r>
              <w:rPr>
                <w:rFonts w:eastAsia="Times New Roman" w:cs="Times New Roman"/>
                <w:sz w:val="20"/>
                <w:szCs w:val="20"/>
              </w:rPr>
              <w:t>W</w:t>
            </w:r>
            <w:r w:rsidRPr="00D31C65">
              <w:rPr>
                <w:rFonts w:eastAsia="Times New Roman" w:cs="Times New Roman"/>
                <w:sz w:val="20"/>
                <w:szCs w:val="20"/>
              </w:rPr>
              <w:t>ater</w:t>
            </w:r>
            <w:r>
              <w:rPr>
                <w:rFonts w:eastAsia="Times New Roman" w:cs="Times New Roman"/>
                <w:sz w:val="20"/>
                <w:szCs w:val="20"/>
              </w:rPr>
              <w:t xml:space="preserve"> (Btu</w:t>
            </w:r>
            <w:r w:rsidRPr="00D31C65">
              <w:rPr>
                <w:rFonts w:eastAsia="Times New Roman" w:cs="Times New Roman"/>
                <w:sz w:val="20"/>
                <w:szCs w:val="20"/>
              </w:rPr>
              <w:t>/</w:t>
            </w:r>
            <w:proofErr w:type="spellStart"/>
            <w:r w:rsidRPr="00D31C65">
              <w:rPr>
                <w:rFonts w:eastAsia="Times New Roman" w:cs="Times New Roman"/>
                <w:sz w:val="20"/>
                <w:szCs w:val="20"/>
              </w:rPr>
              <w:t>lb</w:t>
            </w:r>
            <w:proofErr w:type="spellEnd"/>
            <w:r w:rsidRPr="00D31C65">
              <w:rPr>
                <w:rFonts w:eastAsia="Times New Roman" w:cs="Times New Roman"/>
                <w:sz w:val="20"/>
                <w:szCs w:val="20"/>
              </w:rPr>
              <w:t>/°F</w:t>
            </w:r>
            <w:r>
              <w:rPr>
                <w:rFonts w:eastAsia="Times New Roman" w:cs="Times New Roman"/>
                <w:sz w:val="20"/>
                <w:szCs w:val="20"/>
              </w:rPr>
              <w:t>)</w:t>
            </w:r>
          </w:p>
        </w:tc>
        <w:tc>
          <w:tcPr>
            <w:tcW w:w="1229" w:type="dxa"/>
            <w:shd w:val="clear" w:color="auto" w:fill="FFFFFF" w:themeFill="background1"/>
            <w:noWrap/>
            <w:vAlign w:val="center"/>
            <w:hideMark/>
          </w:tcPr>
          <w:p w14:paraId="473597B5" w14:textId="77777777" w:rsidR="00F939F6" w:rsidRPr="00D31C65" w:rsidRDefault="00F939F6" w:rsidP="00802095">
            <w:pPr>
              <w:keepNext/>
              <w:keepLines/>
              <w:spacing w:before="0" w:after="0" w:line="240" w:lineRule="auto"/>
              <w:jc w:val="right"/>
              <w:rPr>
                <w:rFonts w:eastAsia="Times New Roman" w:cs="Times New Roman"/>
                <w:sz w:val="20"/>
                <w:szCs w:val="20"/>
              </w:rPr>
            </w:pPr>
            <w:r w:rsidRPr="00D31C65">
              <w:rPr>
                <w:rFonts w:eastAsia="Times New Roman" w:cs="Times New Roman"/>
                <w:sz w:val="20"/>
                <w:szCs w:val="20"/>
              </w:rPr>
              <w:t>1</w:t>
            </w:r>
          </w:p>
        </w:tc>
        <w:tc>
          <w:tcPr>
            <w:tcW w:w="3631" w:type="dxa"/>
            <w:shd w:val="clear" w:color="auto" w:fill="FFFFFF" w:themeFill="background1"/>
            <w:noWrap/>
            <w:vAlign w:val="center"/>
            <w:hideMark/>
          </w:tcPr>
          <w:p w14:paraId="6E09C5C1" w14:textId="77777777" w:rsidR="00F939F6" w:rsidRPr="00247D11" w:rsidRDefault="00F939F6" w:rsidP="00802095">
            <w:pPr>
              <w:keepNext/>
              <w:keepLines/>
              <w:spacing w:before="0" w:after="0" w:line="240" w:lineRule="auto"/>
              <w:rPr>
                <w:rFonts w:eastAsia="Times New Roman" w:cs="Times New Roman"/>
                <w:sz w:val="18"/>
                <w:szCs w:val="20"/>
              </w:rPr>
            </w:pPr>
            <w:r w:rsidRPr="00247D11">
              <w:rPr>
                <w:rFonts w:eastAsia="Times New Roman" w:cs="Times New Roman"/>
                <w:sz w:val="18"/>
                <w:szCs w:val="20"/>
              </w:rPr>
              <w:t>Fixed constant</w:t>
            </w:r>
          </w:p>
        </w:tc>
      </w:tr>
      <w:tr w:rsidR="00F939F6" w:rsidRPr="00D31C65" w14:paraId="0CCDA654" w14:textId="77777777" w:rsidTr="00802095">
        <w:trPr>
          <w:trHeight w:val="260"/>
        </w:trPr>
        <w:tc>
          <w:tcPr>
            <w:tcW w:w="3356" w:type="dxa"/>
            <w:shd w:val="clear" w:color="auto" w:fill="FFFFFF" w:themeFill="background1"/>
            <w:noWrap/>
            <w:vAlign w:val="center"/>
            <w:hideMark/>
          </w:tcPr>
          <w:p w14:paraId="4872C9DE" w14:textId="77777777" w:rsidR="00F939F6" w:rsidRPr="00D31C65" w:rsidRDefault="00F939F6" w:rsidP="00802095">
            <w:pPr>
              <w:spacing w:before="0" w:after="0" w:line="240" w:lineRule="auto"/>
              <w:rPr>
                <w:rFonts w:eastAsia="Times New Roman" w:cs="Times New Roman"/>
                <w:sz w:val="20"/>
                <w:szCs w:val="20"/>
              </w:rPr>
            </w:pPr>
            <w:r w:rsidRPr="00D31C65">
              <w:rPr>
                <w:rFonts w:eastAsia="Times New Roman" w:cs="Times New Roman"/>
                <w:sz w:val="20"/>
                <w:szCs w:val="20"/>
              </w:rPr>
              <w:t xml:space="preserve">Water </w:t>
            </w:r>
            <w:r>
              <w:rPr>
                <w:rFonts w:eastAsia="Times New Roman" w:cs="Times New Roman"/>
                <w:sz w:val="20"/>
                <w:szCs w:val="20"/>
              </w:rPr>
              <w:t>W</w:t>
            </w:r>
            <w:r w:rsidRPr="00D31C65">
              <w:rPr>
                <w:rFonts w:eastAsia="Times New Roman" w:cs="Times New Roman"/>
                <w:sz w:val="20"/>
                <w:szCs w:val="20"/>
              </w:rPr>
              <w:t>eight</w:t>
            </w:r>
            <w:r>
              <w:rPr>
                <w:rFonts w:eastAsia="Times New Roman" w:cs="Times New Roman"/>
                <w:sz w:val="20"/>
                <w:szCs w:val="20"/>
              </w:rPr>
              <w:t xml:space="preserve"> (</w:t>
            </w:r>
            <w:proofErr w:type="spellStart"/>
            <w:r>
              <w:rPr>
                <w:rFonts w:eastAsia="Times New Roman" w:cs="Times New Roman"/>
                <w:sz w:val="20"/>
                <w:szCs w:val="20"/>
              </w:rPr>
              <w:t>lb</w:t>
            </w:r>
            <w:proofErr w:type="spellEnd"/>
            <w:r>
              <w:rPr>
                <w:rFonts w:eastAsia="Times New Roman" w:cs="Times New Roman"/>
                <w:sz w:val="20"/>
                <w:szCs w:val="20"/>
              </w:rPr>
              <w:t>/gal)</w:t>
            </w:r>
          </w:p>
        </w:tc>
        <w:tc>
          <w:tcPr>
            <w:tcW w:w="1229" w:type="dxa"/>
            <w:shd w:val="clear" w:color="auto" w:fill="FFFFFF" w:themeFill="background1"/>
            <w:noWrap/>
            <w:vAlign w:val="center"/>
            <w:hideMark/>
          </w:tcPr>
          <w:p w14:paraId="76B71A6B" w14:textId="77777777" w:rsidR="00F939F6" w:rsidRPr="00D31C65" w:rsidRDefault="00F939F6" w:rsidP="00802095">
            <w:pPr>
              <w:spacing w:before="0" w:after="0" w:line="240" w:lineRule="auto"/>
              <w:jc w:val="right"/>
              <w:rPr>
                <w:rFonts w:eastAsia="Times New Roman" w:cs="Times New Roman"/>
                <w:sz w:val="20"/>
                <w:szCs w:val="20"/>
              </w:rPr>
            </w:pPr>
            <w:r w:rsidRPr="00D31C65">
              <w:rPr>
                <w:rFonts w:eastAsia="Times New Roman" w:cs="Times New Roman"/>
                <w:sz w:val="20"/>
                <w:szCs w:val="20"/>
              </w:rPr>
              <w:t>8.34</w:t>
            </w:r>
          </w:p>
        </w:tc>
        <w:tc>
          <w:tcPr>
            <w:tcW w:w="3631" w:type="dxa"/>
            <w:shd w:val="clear" w:color="auto" w:fill="FFFFFF" w:themeFill="background1"/>
            <w:noWrap/>
            <w:vAlign w:val="center"/>
            <w:hideMark/>
          </w:tcPr>
          <w:p w14:paraId="697D73BA" w14:textId="77777777" w:rsidR="00F939F6" w:rsidRPr="00247D11" w:rsidRDefault="00F939F6" w:rsidP="00802095">
            <w:pPr>
              <w:spacing w:before="0" w:after="0" w:line="240" w:lineRule="auto"/>
              <w:rPr>
                <w:rFonts w:eastAsia="Times New Roman" w:cs="Times New Roman"/>
                <w:sz w:val="18"/>
                <w:szCs w:val="20"/>
              </w:rPr>
            </w:pPr>
            <w:r w:rsidRPr="00247D11">
              <w:rPr>
                <w:rFonts w:eastAsia="Times New Roman" w:cs="Times New Roman"/>
                <w:sz w:val="18"/>
                <w:szCs w:val="20"/>
              </w:rPr>
              <w:t>Fixed constant</w:t>
            </w:r>
          </w:p>
        </w:tc>
      </w:tr>
      <w:tr w:rsidR="00F939F6" w:rsidRPr="00D31C65" w14:paraId="4C8ED6AE" w14:textId="77777777" w:rsidTr="00802095">
        <w:trPr>
          <w:trHeight w:val="260"/>
        </w:trPr>
        <w:tc>
          <w:tcPr>
            <w:tcW w:w="3356" w:type="dxa"/>
            <w:shd w:val="clear" w:color="auto" w:fill="FFFFFF" w:themeFill="background1"/>
            <w:noWrap/>
            <w:vAlign w:val="center"/>
            <w:hideMark/>
          </w:tcPr>
          <w:p w14:paraId="2C6CF09D" w14:textId="77777777" w:rsidR="00F939F6" w:rsidRPr="00D31C65" w:rsidRDefault="00F939F6" w:rsidP="00802095">
            <w:pPr>
              <w:spacing w:before="0" w:after="0" w:line="240" w:lineRule="auto"/>
              <w:rPr>
                <w:rFonts w:eastAsia="Times New Roman" w:cs="Times New Roman"/>
                <w:sz w:val="20"/>
                <w:szCs w:val="20"/>
              </w:rPr>
            </w:pPr>
            <w:r>
              <w:rPr>
                <w:rFonts w:eastAsia="Times New Roman" w:cs="Times New Roman"/>
                <w:sz w:val="20"/>
                <w:szCs w:val="20"/>
              </w:rPr>
              <w:t xml:space="preserve">Mixed </w:t>
            </w:r>
            <w:r w:rsidRPr="00D31C65">
              <w:rPr>
                <w:rFonts w:eastAsia="Times New Roman" w:cs="Times New Roman"/>
                <w:sz w:val="20"/>
                <w:szCs w:val="20"/>
              </w:rPr>
              <w:t xml:space="preserve">Water </w:t>
            </w:r>
            <w:r>
              <w:rPr>
                <w:rFonts w:eastAsia="Times New Roman" w:cs="Times New Roman"/>
                <w:sz w:val="20"/>
                <w:szCs w:val="20"/>
              </w:rPr>
              <w:t>T</w:t>
            </w:r>
            <w:r w:rsidRPr="00D31C65">
              <w:rPr>
                <w:rFonts w:eastAsia="Times New Roman" w:cs="Times New Roman"/>
                <w:sz w:val="20"/>
                <w:szCs w:val="20"/>
              </w:rPr>
              <w:t>emp</w:t>
            </w:r>
            <w:r>
              <w:rPr>
                <w:rFonts w:eastAsia="Times New Roman" w:cs="Times New Roman"/>
                <w:sz w:val="20"/>
                <w:szCs w:val="20"/>
              </w:rPr>
              <w:t>erature</w:t>
            </w:r>
            <w:r w:rsidRPr="00D31C65">
              <w:rPr>
                <w:rFonts w:eastAsia="Times New Roman" w:cs="Times New Roman"/>
                <w:sz w:val="20"/>
                <w:szCs w:val="20"/>
              </w:rPr>
              <w:t xml:space="preserve"> @ Faucet</w:t>
            </w:r>
            <w:r>
              <w:rPr>
                <w:rFonts w:eastAsia="Times New Roman" w:cs="Times New Roman"/>
                <w:sz w:val="20"/>
                <w:szCs w:val="20"/>
              </w:rPr>
              <w:t xml:space="preserve"> (</w:t>
            </w:r>
            <w:r w:rsidRPr="00D31C65">
              <w:rPr>
                <w:rFonts w:eastAsia="Times New Roman" w:cs="Times New Roman"/>
                <w:sz w:val="20"/>
                <w:szCs w:val="20"/>
              </w:rPr>
              <w:t>°F</w:t>
            </w:r>
            <w:r>
              <w:rPr>
                <w:rFonts w:eastAsia="Times New Roman" w:cs="Times New Roman"/>
                <w:sz w:val="20"/>
                <w:szCs w:val="20"/>
              </w:rPr>
              <w:t>)</w:t>
            </w:r>
          </w:p>
        </w:tc>
        <w:tc>
          <w:tcPr>
            <w:tcW w:w="1229" w:type="dxa"/>
            <w:shd w:val="clear" w:color="auto" w:fill="FFFFFF" w:themeFill="background1"/>
            <w:noWrap/>
            <w:vAlign w:val="center"/>
            <w:hideMark/>
          </w:tcPr>
          <w:p w14:paraId="6A578495" w14:textId="5E9EB314" w:rsidR="00F939F6" w:rsidRPr="00636566" w:rsidRDefault="00F939F6" w:rsidP="00802095">
            <w:pPr>
              <w:spacing w:before="0" w:after="0" w:line="240" w:lineRule="auto"/>
              <w:jc w:val="right"/>
              <w:rPr>
                <w:rFonts w:eastAsia="Times New Roman" w:cs="Times New Roman"/>
                <w:sz w:val="20"/>
                <w:szCs w:val="20"/>
              </w:rPr>
            </w:pPr>
            <w:r w:rsidRPr="00636566">
              <w:rPr>
                <w:rFonts w:eastAsia="Times New Roman" w:cs="Times New Roman"/>
                <w:sz w:val="20"/>
                <w:szCs w:val="20"/>
              </w:rPr>
              <w:t>106</w:t>
            </w:r>
            <w:r>
              <w:rPr>
                <w:rFonts w:eastAsia="Times New Roman" w:cs="Times New Roman"/>
                <w:sz w:val="20"/>
                <w:szCs w:val="20"/>
              </w:rPr>
              <w:t xml:space="preserve"> </w:t>
            </w:r>
            <w:r>
              <w:rPr>
                <w:rFonts w:eastAsia="Times New Roman" w:cs="Calibri Light"/>
                <w:sz w:val="20"/>
                <w:szCs w:val="20"/>
              </w:rPr>
              <w:t>°</w:t>
            </w:r>
            <w:r>
              <w:rPr>
                <w:rFonts w:eastAsia="Times New Roman" w:cs="Times New Roman"/>
                <w:sz w:val="20"/>
                <w:szCs w:val="20"/>
              </w:rPr>
              <w:t>F</w:t>
            </w:r>
          </w:p>
        </w:tc>
        <w:tc>
          <w:tcPr>
            <w:tcW w:w="3631" w:type="dxa"/>
            <w:shd w:val="clear" w:color="auto" w:fill="FFFFFF" w:themeFill="background1"/>
            <w:noWrap/>
            <w:vAlign w:val="center"/>
          </w:tcPr>
          <w:p w14:paraId="4EB2BBFC" w14:textId="77777777" w:rsidR="00F939F6" w:rsidRPr="00F939F6" w:rsidRDefault="00F939F6" w:rsidP="00802095">
            <w:pPr>
              <w:spacing w:before="0" w:after="0" w:line="240" w:lineRule="auto"/>
              <w:rPr>
                <w:sz w:val="18"/>
              </w:rPr>
            </w:pPr>
            <w:r w:rsidRPr="00F939F6">
              <w:rPr>
                <w:sz w:val="18"/>
              </w:rPr>
              <w:t>Sempra Energy Utilities (SEU). 2012. “SEU 2009 ASW Data REDACTED.xlsx”.</w:t>
            </w:r>
          </w:p>
          <w:p w14:paraId="0CF35B6A" w14:textId="77777777" w:rsidR="00F939F6" w:rsidRPr="00F939F6" w:rsidRDefault="00F939F6" w:rsidP="00802095">
            <w:pPr>
              <w:spacing w:before="0" w:after="0" w:line="240" w:lineRule="auto"/>
              <w:rPr>
                <w:rFonts w:eastAsia="Times New Roman" w:cs="Times New Roman"/>
                <w:sz w:val="20"/>
                <w:szCs w:val="20"/>
                <w:highlight w:val="yellow"/>
              </w:rPr>
            </w:pPr>
          </w:p>
          <w:p w14:paraId="3A864842" w14:textId="6F069758" w:rsidR="00F939F6" w:rsidRPr="00F939F6" w:rsidRDefault="00F939F6" w:rsidP="00802095">
            <w:pPr>
              <w:spacing w:before="0" w:after="0" w:line="240" w:lineRule="auto"/>
              <w:rPr>
                <w:rFonts w:eastAsia="Times New Roman" w:cs="Times New Roman"/>
                <w:sz w:val="20"/>
                <w:szCs w:val="20"/>
                <w:highlight w:val="yellow"/>
              </w:rPr>
            </w:pPr>
            <w:r w:rsidRPr="00F939F6">
              <w:rPr>
                <w:rFonts w:cs="Calibri Light"/>
                <w:sz w:val="18"/>
                <w:szCs w:val="18"/>
              </w:rPr>
              <w:t>California Public Utilities Commission (CPUC), Energy Division. 2013. “2013-2014_DHWFixtureMeasures_Disposition-1March2013.xls.” February 22. See “</w:t>
            </w:r>
            <w:proofErr w:type="spellStart"/>
            <w:r w:rsidRPr="00F939F6">
              <w:rPr>
                <w:rFonts w:cs="Calibri Light"/>
                <w:sz w:val="18"/>
                <w:szCs w:val="18"/>
              </w:rPr>
              <w:t>Annexe_Low_FlowShowerHeads_gas</w:t>
            </w:r>
            <w:proofErr w:type="spellEnd"/>
            <w:r w:rsidRPr="00F939F6">
              <w:rPr>
                <w:rFonts w:cs="Calibri Light"/>
                <w:sz w:val="18"/>
                <w:szCs w:val="18"/>
              </w:rPr>
              <w:t>” tab.</w:t>
            </w:r>
          </w:p>
        </w:tc>
      </w:tr>
      <w:tr w:rsidR="00F939F6" w:rsidRPr="00D31C65" w14:paraId="331B8003" w14:textId="77777777" w:rsidTr="00802095">
        <w:trPr>
          <w:trHeight w:val="260"/>
        </w:trPr>
        <w:tc>
          <w:tcPr>
            <w:tcW w:w="3356" w:type="dxa"/>
            <w:shd w:val="clear" w:color="auto" w:fill="FFFFFF" w:themeFill="background1"/>
            <w:noWrap/>
            <w:vAlign w:val="center"/>
            <w:hideMark/>
          </w:tcPr>
          <w:p w14:paraId="693AA673" w14:textId="77777777" w:rsidR="00F939F6" w:rsidRPr="00D31C65" w:rsidRDefault="00F939F6" w:rsidP="00802095">
            <w:pPr>
              <w:spacing w:before="0" w:after="0" w:line="240" w:lineRule="auto"/>
              <w:rPr>
                <w:rFonts w:eastAsia="Times New Roman" w:cs="Times New Roman"/>
                <w:sz w:val="20"/>
                <w:szCs w:val="20"/>
              </w:rPr>
            </w:pPr>
            <w:r>
              <w:rPr>
                <w:rFonts w:eastAsia="Times New Roman" w:cs="Times New Roman"/>
                <w:sz w:val="20"/>
                <w:szCs w:val="20"/>
              </w:rPr>
              <w:t>Average Make-up (Groundwater) W</w:t>
            </w:r>
            <w:r w:rsidRPr="00D31C65">
              <w:rPr>
                <w:rFonts w:eastAsia="Times New Roman" w:cs="Times New Roman"/>
                <w:sz w:val="20"/>
                <w:szCs w:val="20"/>
              </w:rPr>
              <w:t xml:space="preserve">ater </w:t>
            </w:r>
            <w:r>
              <w:rPr>
                <w:rFonts w:eastAsia="Times New Roman" w:cs="Times New Roman"/>
                <w:sz w:val="20"/>
                <w:szCs w:val="20"/>
              </w:rPr>
              <w:t>T</w:t>
            </w:r>
            <w:r w:rsidRPr="00D31C65">
              <w:rPr>
                <w:rFonts w:eastAsia="Times New Roman" w:cs="Times New Roman"/>
                <w:sz w:val="20"/>
                <w:szCs w:val="20"/>
              </w:rPr>
              <w:t>emperature</w:t>
            </w:r>
            <w:r>
              <w:rPr>
                <w:rFonts w:eastAsia="Times New Roman" w:cs="Times New Roman"/>
                <w:sz w:val="20"/>
                <w:szCs w:val="20"/>
              </w:rPr>
              <w:t xml:space="preserve"> (</w:t>
            </w:r>
            <w:r w:rsidRPr="00D31C65">
              <w:rPr>
                <w:rFonts w:eastAsia="Times New Roman" w:cs="Times New Roman"/>
                <w:sz w:val="20"/>
                <w:szCs w:val="20"/>
              </w:rPr>
              <w:t>°F</w:t>
            </w:r>
            <w:r>
              <w:rPr>
                <w:rFonts w:eastAsia="Times New Roman" w:cs="Times New Roman"/>
                <w:sz w:val="20"/>
                <w:szCs w:val="20"/>
              </w:rPr>
              <w:t>)</w:t>
            </w:r>
          </w:p>
        </w:tc>
        <w:tc>
          <w:tcPr>
            <w:tcW w:w="1229" w:type="dxa"/>
            <w:shd w:val="clear" w:color="auto" w:fill="FFFFFF" w:themeFill="background1"/>
            <w:vAlign w:val="center"/>
          </w:tcPr>
          <w:p w14:paraId="0A106BCA" w14:textId="77777777" w:rsidR="00F939F6" w:rsidRPr="00692176" w:rsidRDefault="00F939F6" w:rsidP="00802095">
            <w:pPr>
              <w:spacing w:before="0" w:after="0" w:line="240" w:lineRule="auto"/>
              <w:rPr>
                <w:rFonts w:eastAsia="Times New Roman" w:cs="Times New Roman"/>
                <w:sz w:val="18"/>
                <w:szCs w:val="20"/>
                <w:highlight w:val="yellow"/>
              </w:rPr>
            </w:pPr>
            <w:r w:rsidRPr="00692176">
              <w:rPr>
                <w:rFonts w:eastAsia="Times New Roman" w:cs="Times New Roman"/>
                <w:sz w:val="18"/>
                <w:szCs w:val="20"/>
              </w:rPr>
              <w:t>Varies by climate zone.</w:t>
            </w:r>
          </w:p>
        </w:tc>
        <w:tc>
          <w:tcPr>
            <w:tcW w:w="3631" w:type="dxa"/>
            <w:shd w:val="clear" w:color="auto" w:fill="FFFFFF" w:themeFill="background1"/>
            <w:vAlign w:val="center"/>
          </w:tcPr>
          <w:p w14:paraId="3303C7FA" w14:textId="77777777" w:rsidR="00F939F6" w:rsidRPr="00247D11" w:rsidRDefault="00F939F6" w:rsidP="00802095">
            <w:pPr>
              <w:spacing w:before="0" w:after="0" w:line="240" w:lineRule="auto"/>
              <w:rPr>
                <w:rFonts w:eastAsia="Times New Roman" w:cs="Times New Roman"/>
                <w:sz w:val="18"/>
                <w:szCs w:val="20"/>
                <w:highlight w:val="yellow"/>
              </w:rPr>
            </w:pPr>
            <w:r w:rsidRPr="006F383F">
              <w:rPr>
                <w:sz w:val="18"/>
              </w:rPr>
              <w:t xml:space="preserve">See </w:t>
            </w:r>
            <w:r>
              <w:rPr>
                <w:sz w:val="18"/>
              </w:rPr>
              <w:t>below.</w:t>
            </w:r>
          </w:p>
        </w:tc>
      </w:tr>
      <w:tr w:rsidR="00F939F6" w:rsidRPr="00D31C65" w14:paraId="70437E3C" w14:textId="77777777" w:rsidTr="00802095">
        <w:trPr>
          <w:trHeight w:val="260"/>
        </w:trPr>
        <w:tc>
          <w:tcPr>
            <w:tcW w:w="3356" w:type="dxa"/>
            <w:shd w:val="clear" w:color="auto" w:fill="FFFFFF" w:themeFill="background1"/>
            <w:noWrap/>
            <w:vAlign w:val="center"/>
          </w:tcPr>
          <w:p w14:paraId="1ECEAEB9" w14:textId="77777777" w:rsidR="00F939F6" w:rsidRPr="00D31C65" w:rsidRDefault="00F939F6" w:rsidP="00802095">
            <w:pPr>
              <w:spacing w:before="0" w:after="0" w:line="240" w:lineRule="auto"/>
              <w:rPr>
                <w:rFonts w:eastAsia="Times New Roman" w:cs="Times New Roman"/>
                <w:sz w:val="20"/>
                <w:szCs w:val="20"/>
              </w:rPr>
            </w:pPr>
            <w:r w:rsidRPr="00D31C65">
              <w:rPr>
                <w:rFonts w:eastAsia="Times New Roman" w:cs="Times New Roman"/>
                <w:sz w:val="20"/>
                <w:szCs w:val="20"/>
              </w:rPr>
              <w:t xml:space="preserve">Gas Water Heater </w:t>
            </w:r>
            <w:r>
              <w:rPr>
                <w:rFonts w:eastAsia="Times New Roman" w:cs="Times New Roman"/>
                <w:sz w:val="20"/>
                <w:szCs w:val="20"/>
              </w:rPr>
              <w:t>M</w:t>
            </w:r>
            <w:r w:rsidRPr="00D31C65">
              <w:rPr>
                <w:rFonts w:eastAsia="Times New Roman" w:cs="Times New Roman"/>
                <w:sz w:val="20"/>
                <w:szCs w:val="20"/>
              </w:rPr>
              <w:t xml:space="preserve">in. </w:t>
            </w:r>
            <w:r>
              <w:rPr>
                <w:rFonts w:eastAsia="Times New Roman" w:cs="Times New Roman"/>
                <w:sz w:val="20"/>
                <w:szCs w:val="20"/>
              </w:rPr>
              <w:t>E</w:t>
            </w:r>
            <w:r w:rsidRPr="00D31C65">
              <w:rPr>
                <w:rFonts w:eastAsia="Times New Roman" w:cs="Times New Roman"/>
                <w:sz w:val="20"/>
                <w:szCs w:val="20"/>
              </w:rPr>
              <w:t>fficiency</w:t>
            </w:r>
            <w:r>
              <w:rPr>
                <w:rFonts w:eastAsia="Times New Roman" w:cs="Times New Roman"/>
                <w:sz w:val="20"/>
                <w:szCs w:val="20"/>
              </w:rPr>
              <w:t xml:space="preserve"> (recovery efficiency)</w:t>
            </w:r>
          </w:p>
        </w:tc>
        <w:tc>
          <w:tcPr>
            <w:tcW w:w="1229" w:type="dxa"/>
            <w:shd w:val="clear" w:color="auto" w:fill="FFFFFF" w:themeFill="background1"/>
            <w:noWrap/>
            <w:vAlign w:val="center"/>
          </w:tcPr>
          <w:p w14:paraId="7A11BD0E" w14:textId="77777777" w:rsidR="00F939F6" w:rsidRPr="00636566" w:rsidRDefault="00F939F6" w:rsidP="00802095">
            <w:pPr>
              <w:spacing w:before="0" w:after="0" w:line="240" w:lineRule="auto"/>
              <w:jc w:val="right"/>
              <w:rPr>
                <w:rFonts w:eastAsia="Times New Roman" w:cs="Times New Roman"/>
                <w:sz w:val="20"/>
                <w:szCs w:val="20"/>
              </w:rPr>
            </w:pPr>
            <w:r w:rsidRPr="00636566">
              <w:rPr>
                <w:rFonts w:eastAsia="Times New Roman" w:cs="Times New Roman"/>
                <w:sz w:val="20"/>
                <w:szCs w:val="20"/>
              </w:rPr>
              <w:t>0.77</w:t>
            </w:r>
          </w:p>
        </w:tc>
        <w:tc>
          <w:tcPr>
            <w:tcW w:w="3631" w:type="dxa"/>
            <w:shd w:val="clear" w:color="auto" w:fill="FFFFFF" w:themeFill="background1"/>
            <w:noWrap/>
            <w:vAlign w:val="center"/>
          </w:tcPr>
          <w:p w14:paraId="158EB7BA" w14:textId="77777777" w:rsidR="00F939F6" w:rsidRDefault="00F939F6" w:rsidP="00802095">
            <w:pPr>
              <w:spacing w:before="0" w:after="0" w:line="240" w:lineRule="auto"/>
              <w:rPr>
                <w:rFonts w:eastAsia="Times New Roman" w:cs="Times New Roman"/>
                <w:sz w:val="18"/>
                <w:szCs w:val="18"/>
              </w:rPr>
            </w:pPr>
            <w:r w:rsidRPr="00780884">
              <w:rPr>
                <w:rFonts w:eastAsia="Times New Roman" w:cs="Times New Roman"/>
                <w:sz w:val="18"/>
                <w:szCs w:val="18"/>
              </w:rPr>
              <w:t>Southern California Gas Company (SCG). 2010. “Gas Fired Storage Water Heater Extract from CEC Appliance Data 07.07.2010.xlsx.”</w:t>
            </w:r>
          </w:p>
          <w:p w14:paraId="1F2B14F1" w14:textId="77777777" w:rsidR="00F939F6" w:rsidRDefault="00F939F6" w:rsidP="00802095">
            <w:pPr>
              <w:spacing w:before="0" w:after="0" w:line="240" w:lineRule="auto"/>
              <w:rPr>
                <w:rFonts w:eastAsia="Times New Roman" w:cs="Times New Roman"/>
                <w:b/>
                <w:sz w:val="20"/>
                <w:szCs w:val="20"/>
                <w:highlight w:val="yellow"/>
              </w:rPr>
            </w:pPr>
          </w:p>
          <w:p w14:paraId="52CF2822" w14:textId="77777777" w:rsidR="00F939F6" w:rsidRPr="00325626" w:rsidRDefault="00F939F6" w:rsidP="00802095">
            <w:pPr>
              <w:spacing w:before="0" w:after="0" w:line="240" w:lineRule="auto"/>
              <w:rPr>
                <w:rFonts w:eastAsia="Times New Roman" w:cs="Times New Roman"/>
                <w:b/>
                <w:sz w:val="20"/>
                <w:szCs w:val="20"/>
                <w:highlight w:val="yellow"/>
              </w:rPr>
            </w:pPr>
            <w:r w:rsidRPr="00E540D1">
              <w:rPr>
                <w:rFonts w:eastAsia="Times New Roman" w:cs="Times New Roman"/>
                <w:sz w:val="18"/>
                <w:szCs w:val="18"/>
              </w:rPr>
              <w:t xml:space="preserve">California Public Utilities Commission (CPUC), Energy Division. 2010. </w:t>
            </w:r>
            <w:r w:rsidRPr="00E540D1">
              <w:rPr>
                <w:rFonts w:eastAsia="Times New Roman" w:cs="Times New Roman"/>
                <w:i/>
                <w:sz w:val="18"/>
                <w:szCs w:val="18"/>
              </w:rPr>
              <w:t>Non-DEER Measure Review Template: PGECODHW113 – Low Flow Showerhead and Therm</w:t>
            </w:r>
            <w:r>
              <w:rPr>
                <w:rFonts w:eastAsia="Times New Roman" w:cs="Times New Roman"/>
                <w:i/>
                <w:sz w:val="18"/>
                <w:szCs w:val="18"/>
              </w:rPr>
              <w:t>o</w:t>
            </w:r>
            <w:r w:rsidRPr="00E540D1">
              <w:rPr>
                <w:rFonts w:eastAsia="Times New Roman" w:cs="Times New Roman"/>
                <w:i/>
                <w:sz w:val="18"/>
                <w:szCs w:val="18"/>
              </w:rPr>
              <w:t>static Shower Restriction Valve.</w:t>
            </w:r>
            <w:r w:rsidRPr="00E540D1">
              <w:rPr>
                <w:rFonts w:eastAsia="Times New Roman" w:cs="Times New Roman"/>
                <w:sz w:val="18"/>
                <w:szCs w:val="18"/>
              </w:rPr>
              <w:t xml:space="preserve"> April 27.</w:t>
            </w:r>
          </w:p>
        </w:tc>
      </w:tr>
    </w:tbl>
    <w:p w14:paraId="684EB47D" w14:textId="77777777" w:rsidR="00F939F6" w:rsidRDefault="00F939F6" w:rsidP="00F939F6">
      <w:pPr>
        <w:rPr>
          <w:rFonts w:cs="Calibri Light"/>
        </w:rPr>
      </w:pPr>
    </w:p>
    <w:bookmarkEnd w:id="54"/>
    <w:p w14:paraId="2E6F0072" w14:textId="77777777" w:rsidR="00F939F6" w:rsidRDefault="00F939F6" w:rsidP="00F939F6">
      <w:pPr>
        <w:rPr>
          <w:rFonts w:cs="Calibri Light"/>
        </w:rPr>
      </w:pPr>
      <w:r w:rsidRPr="00834EEE">
        <w:rPr>
          <w:rFonts w:cs="Calibri Light"/>
          <w:b/>
        </w:rPr>
        <w:t xml:space="preserve">Groundwater Temperature. </w:t>
      </w:r>
      <w:r w:rsidRPr="00EB66E7">
        <w:t>The ground water temperature is a key factor in determining the amount of hot water</w:t>
      </w:r>
      <w:r>
        <w:t xml:space="preserve"> that is</w:t>
      </w:r>
      <w:r w:rsidRPr="00EB66E7">
        <w:t xml:space="preserve"> needed to achieve a mixed water temperature of 106 °F, which </w:t>
      </w:r>
      <w:r>
        <w:t>is a typical mixed-</w:t>
      </w:r>
      <w:r w:rsidRPr="00EB66E7">
        <w:t>water temperature</w:t>
      </w:r>
      <w:r>
        <w:t xml:space="preserve"> exiting </w:t>
      </w:r>
      <w:r w:rsidRPr="00EB66E7">
        <w:t xml:space="preserve">the showerhead. </w:t>
      </w:r>
      <w:r w:rsidRPr="00834EEE">
        <w:rPr>
          <w:rFonts w:cs="Calibri Light"/>
        </w:rPr>
        <w:t>T</w:t>
      </w:r>
      <w:r w:rsidRPr="00EB66E7">
        <w:t xml:space="preserve">o reflect differences across climate zones, this analysis includes the average groundwater temperature for each California climate zone, developed from California climate zone weather data. </w:t>
      </w:r>
      <w:r>
        <w:t>Specifically, the ground</w:t>
      </w:r>
      <w:r w:rsidRPr="00EB66E7">
        <w:t xml:space="preserve">water temperatures </w:t>
      </w:r>
      <w:r>
        <w:t>used for this analysis are based upon</w:t>
      </w:r>
      <w:r w:rsidRPr="00EB66E7">
        <w:t xml:space="preserve"> the </w:t>
      </w:r>
      <w:r>
        <w:t>weather files adopted for the 2013 update of the California Building Efficiency Standards</w:t>
      </w:r>
      <w:r w:rsidRPr="00EB66E7">
        <w:t xml:space="preserve">. The average ground water temperatures utilized in this analysis are </w:t>
      </w:r>
      <w:r>
        <w:t>provided below</w:t>
      </w:r>
      <w:r w:rsidRPr="00EB66E7">
        <w:t>.</w:t>
      </w:r>
    </w:p>
    <w:p w14:paraId="7370D181" w14:textId="77777777" w:rsidR="00F939F6" w:rsidRPr="00BA632F" w:rsidRDefault="00F939F6" w:rsidP="00F939F6">
      <w:pPr>
        <w:pStyle w:val="Caption"/>
        <w:rPr>
          <w:i/>
        </w:rPr>
      </w:pPr>
      <w:r>
        <w:lastRenderedPageBreak/>
        <w:t>Make-up (Groundwater) Water Temperatures by Climate Zone</w:t>
      </w:r>
    </w:p>
    <w:tbl>
      <w:tblPr>
        <w:tblW w:w="611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08"/>
        <w:gridCol w:w="2496"/>
        <w:gridCol w:w="2607"/>
      </w:tblGrid>
      <w:tr w:rsidR="00F939F6" w:rsidRPr="001A2534" w14:paraId="1743362B" w14:textId="77777777" w:rsidTr="00802095">
        <w:trPr>
          <w:cantSplit/>
          <w:trHeight w:val="20"/>
          <w:tblHeader/>
        </w:trPr>
        <w:tc>
          <w:tcPr>
            <w:tcW w:w="1008" w:type="dxa"/>
            <w:tcBorders>
              <w:right w:val="dashed" w:sz="4" w:space="0" w:color="A6A6A6" w:themeColor="background1" w:themeShade="A6"/>
            </w:tcBorders>
            <w:shd w:val="clear" w:color="auto" w:fill="F2F2F2" w:themeFill="background1" w:themeFillShade="F2"/>
            <w:hideMark/>
          </w:tcPr>
          <w:p w14:paraId="4A2235A1" w14:textId="77777777" w:rsidR="00F939F6" w:rsidRPr="001A2534" w:rsidRDefault="00F939F6" w:rsidP="00802095">
            <w:pPr>
              <w:keepNext/>
              <w:keepLines/>
              <w:spacing w:before="0" w:after="0" w:line="240" w:lineRule="auto"/>
              <w:jc w:val="center"/>
              <w:rPr>
                <w:rFonts w:eastAsia="Times New Roman" w:cs="Calibri Light"/>
                <w:b/>
                <w:color w:val="000000"/>
                <w:sz w:val="20"/>
                <w:szCs w:val="20"/>
              </w:rPr>
            </w:pPr>
            <w:r w:rsidRPr="001A2534">
              <w:rPr>
                <w:rFonts w:eastAsia="Times New Roman" w:cs="Calibri Light"/>
                <w:b/>
                <w:color w:val="000000"/>
                <w:sz w:val="20"/>
                <w:szCs w:val="20"/>
              </w:rPr>
              <w:t>Climate Zone</w:t>
            </w:r>
          </w:p>
        </w:tc>
        <w:tc>
          <w:tcPr>
            <w:tcW w:w="2496" w:type="dxa"/>
            <w:tcBorders>
              <w:left w:val="dashed" w:sz="4" w:space="0" w:color="A6A6A6" w:themeColor="background1" w:themeShade="A6"/>
              <w:right w:val="single" w:sz="4" w:space="0" w:color="A6A6A6" w:themeColor="background1" w:themeShade="A6"/>
            </w:tcBorders>
            <w:shd w:val="clear" w:color="auto" w:fill="F2F2F2" w:themeFill="background1" w:themeFillShade="F2"/>
            <w:hideMark/>
          </w:tcPr>
          <w:p w14:paraId="1D702D65" w14:textId="77777777" w:rsidR="00F939F6" w:rsidRPr="001A2534" w:rsidRDefault="00F939F6" w:rsidP="00802095">
            <w:pPr>
              <w:keepNext/>
              <w:keepLines/>
              <w:spacing w:before="0" w:after="0" w:line="240" w:lineRule="auto"/>
              <w:jc w:val="center"/>
              <w:rPr>
                <w:rFonts w:eastAsia="Times New Roman" w:cs="Calibri Light"/>
                <w:b/>
                <w:color w:val="000000"/>
                <w:sz w:val="20"/>
                <w:szCs w:val="20"/>
              </w:rPr>
            </w:pPr>
            <w:r w:rsidRPr="001A2534">
              <w:rPr>
                <w:rFonts w:eastAsia="Times New Roman" w:cs="Calibri Light"/>
                <w:b/>
                <w:color w:val="000000"/>
                <w:sz w:val="20"/>
                <w:szCs w:val="20"/>
              </w:rPr>
              <w:t xml:space="preserve">Make-up (Groundwater) Temperature </w:t>
            </w:r>
            <w:r w:rsidRPr="001A2534">
              <w:rPr>
                <w:b/>
                <w:sz w:val="20"/>
                <w:szCs w:val="20"/>
              </w:rPr>
              <w:t>(</w:t>
            </w:r>
            <w:r>
              <w:rPr>
                <w:rFonts w:cs="Calibri Light"/>
                <w:b/>
                <w:sz w:val="20"/>
                <w:szCs w:val="20"/>
              </w:rPr>
              <w:t>°</w:t>
            </w:r>
            <w:r>
              <w:rPr>
                <w:b/>
                <w:sz w:val="20"/>
                <w:szCs w:val="20"/>
              </w:rPr>
              <w:t>F</w:t>
            </w:r>
            <w:r w:rsidRPr="001A2534">
              <w:rPr>
                <w:b/>
                <w:sz w:val="20"/>
                <w:szCs w:val="20"/>
              </w:rPr>
              <w:t>)</w:t>
            </w:r>
          </w:p>
        </w:tc>
        <w:tc>
          <w:tcPr>
            <w:tcW w:w="2607" w:type="dxa"/>
            <w:shd w:val="clear" w:color="auto" w:fill="F2F2F2" w:themeFill="background1" w:themeFillShade="F2"/>
            <w:vAlign w:val="bottom"/>
          </w:tcPr>
          <w:p w14:paraId="738A2F3D" w14:textId="77777777" w:rsidR="00F939F6" w:rsidRPr="001A2534" w:rsidRDefault="00F939F6" w:rsidP="00802095">
            <w:pPr>
              <w:keepNext/>
              <w:keepLines/>
              <w:spacing w:before="0" w:after="0" w:line="240" w:lineRule="auto"/>
              <w:jc w:val="center"/>
              <w:rPr>
                <w:rFonts w:eastAsia="Times New Roman" w:cs="Calibri Light"/>
                <w:b/>
                <w:color w:val="000000"/>
                <w:sz w:val="20"/>
                <w:szCs w:val="20"/>
              </w:rPr>
            </w:pPr>
            <w:r>
              <w:rPr>
                <w:rFonts w:eastAsia="Times New Roman" w:cs="Calibri Light"/>
                <w:b/>
                <w:color w:val="000000"/>
                <w:sz w:val="20"/>
                <w:szCs w:val="20"/>
              </w:rPr>
              <w:t>Source</w:t>
            </w:r>
          </w:p>
        </w:tc>
      </w:tr>
      <w:tr w:rsidR="00F939F6" w:rsidRPr="00BA632F" w14:paraId="14D9C700"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0881BE9B" w14:textId="77777777" w:rsidR="00F939F6" w:rsidRPr="001A2534" w:rsidRDefault="00F939F6" w:rsidP="00802095">
            <w:pPr>
              <w:keepNext/>
              <w:keepLines/>
              <w:spacing w:before="0" w:after="0" w:line="240" w:lineRule="auto"/>
              <w:rPr>
                <w:rFonts w:eastAsia="Times New Roman" w:cs="Calibri Light"/>
                <w:color w:val="000000"/>
                <w:sz w:val="20"/>
                <w:szCs w:val="20"/>
              </w:rPr>
            </w:pPr>
            <w:r>
              <w:rPr>
                <w:rFonts w:cs="Calibri"/>
                <w:sz w:val="20"/>
                <w:szCs w:val="20"/>
              </w:rPr>
              <w:t xml:space="preserve">CZ </w:t>
            </w:r>
            <w:r w:rsidRPr="001A2534">
              <w:rPr>
                <w:rFonts w:cs="Calibri"/>
                <w:sz w:val="20"/>
                <w:szCs w:val="20"/>
              </w:rPr>
              <w:t>1</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479EF83" w14:textId="77777777" w:rsidR="00F939F6" w:rsidRPr="001A2534" w:rsidRDefault="00F939F6" w:rsidP="00802095">
            <w:pPr>
              <w:keepNext/>
              <w:keepLines/>
              <w:spacing w:before="0" w:after="0" w:line="240" w:lineRule="auto"/>
              <w:jc w:val="center"/>
              <w:rPr>
                <w:rFonts w:eastAsia="Times New Roman" w:cs="Calibri Light"/>
                <w:color w:val="000000"/>
                <w:sz w:val="20"/>
                <w:szCs w:val="20"/>
              </w:rPr>
            </w:pPr>
            <w:r w:rsidRPr="001A2534">
              <w:rPr>
                <w:sz w:val="20"/>
                <w:szCs w:val="20"/>
              </w:rPr>
              <w:t>51.</w:t>
            </w:r>
            <w:r>
              <w:rPr>
                <w:sz w:val="20"/>
                <w:szCs w:val="20"/>
              </w:rPr>
              <w:t>4</w:t>
            </w:r>
          </w:p>
        </w:tc>
        <w:tc>
          <w:tcPr>
            <w:tcW w:w="26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vAlign w:val="center"/>
          </w:tcPr>
          <w:p w14:paraId="04E65F11" w14:textId="77777777" w:rsidR="00F939F6" w:rsidRPr="00B853CA" w:rsidRDefault="00F939F6" w:rsidP="00802095">
            <w:pPr>
              <w:keepNext/>
              <w:keepLines/>
              <w:spacing w:before="0" w:after="0" w:line="240" w:lineRule="auto"/>
              <w:rPr>
                <w:rFonts w:cs="Calibri"/>
                <w:sz w:val="18"/>
                <w:szCs w:val="20"/>
              </w:rPr>
            </w:pPr>
            <w:r w:rsidRPr="00620282">
              <w:rPr>
                <w:rFonts w:cs="Calibri"/>
                <w:sz w:val="18"/>
                <w:szCs w:val="20"/>
              </w:rPr>
              <w:t>Reeves, P. (Consultant to California Public Utilities Commission, Energy Division). 2013. "Comparison-of-Ground-Temperatures-v2_byPaulReeves.xlsx."</w:t>
            </w:r>
          </w:p>
        </w:tc>
      </w:tr>
      <w:tr w:rsidR="00F939F6" w:rsidRPr="00BA632F" w14:paraId="143E4C85"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01B40AD8" w14:textId="77777777" w:rsidR="00F939F6" w:rsidRPr="001A2534" w:rsidRDefault="00F939F6" w:rsidP="00802095">
            <w:pPr>
              <w:keepNext/>
              <w:keepLines/>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2</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310AAA7" w14:textId="77777777" w:rsidR="00F939F6" w:rsidRPr="001A2534" w:rsidRDefault="00F939F6" w:rsidP="00802095">
            <w:pPr>
              <w:keepNext/>
              <w:keepLines/>
              <w:spacing w:before="0" w:after="0" w:line="240" w:lineRule="auto"/>
              <w:jc w:val="center"/>
              <w:rPr>
                <w:rFonts w:eastAsia="Times New Roman" w:cs="Calibri Light"/>
                <w:color w:val="000000"/>
                <w:sz w:val="20"/>
                <w:szCs w:val="20"/>
              </w:rPr>
            </w:pPr>
            <w:r w:rsidRPr="001A2534">
              <w:rPr>
                <w:sz w:val="20"/>
                <w:szCs w:val="20"/>
              </w:rPr>
              <w:t>57.</w:t>
            </w:r>
            <w:r>
              <w:rPr>
                <w:sz w:val="20"/>
                <w:szCs w:val="20"/>
              </w:rPr>
              <w:t>3</w:t>
            </w:r>
          </w:p>
        </w:tc>
        <w:tc>
          <w:tcPr>
            <w:tcW w:w="2607" w:type="dxa"/>
            <w:vMerge/>
            <w:tcBorders>
              <w:left w:val="single" w:sz="4" w:space="0" w:color="A6A6A6" w:themeColor="background1" w:themeShade="A6"/>
              <w:right w:val="single" w:sz="4" w:space="0" w:color="A6A6A6" w:themeColor="background1" w:themeShade="A6"/>
            </w:tcBorders>
          </w:tcPr>
          <w:p w14:paraId="616FAC9F" w14:textId="77777777" w:rsidR="00F939F6" w:rsidRPr="001A2534" w:rsidRDefault="00F939F6" w:rsidP="00802095">
            <w:pPr>
              <w:keepNext/>
              <w:keepLines/>
              <w:spacing w:before="0" w:after="0" w:line="240" w:lineRule="auto"/>
              <w:jc w:val="center"/>
              <w:rPr>
                <w:rFonts w:cs="Calibri"/>
                <w:sz w:val="20"/>
                <w:szCs w:val="20"/>
              </w:rPr>
            </w:pPr>
          </w:p>
        </w:tc>
      </w:tr>
      <w:tr w:rsidR="00F939F6" w:rsidRPr="00BA632F" w14:paraId="2AD94561"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50A4E5A" w14:textId="77777777" w:rsidR="00F939F6" w:rsidRPr="001A2534" w:rsidRDefault="00F939F6" w:rsidP="00802095">
            <w:pPr>
              <w:keepNext/>
              <w:keepLines/>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3</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676CA9D6" w14:textId="77777777" w:rsidR="00F939F6" w:rsidRPr="001A2534" w:rsidRDefault="00F939F6" w:rsidP="00802095">
            <w:pPr>
              <w:keepNext/>
              <w:keepLines/>
              <w:spacing w:before="0" w:after="0" w:line="240" w:lineRule="auto"/>
              <w:jc w:val="center"/>
              <w:rPr>
                <w:rFonts w:eastAsia="Times New Roman" w:cs="Calibri Light"/>
                <w:color w:val="000000"/>
                <w:sz w:val="20"/>
                <w:szCs w:val="20"/>
              </w:rPr>
            </w:pPr>
            <w:r w:rsidRPr="001A2534">
              <w:rPr>
                <w:sz w:val="20"/>
                <w:szCs w:val="20"/>
              </w:rPr>
              <w:t>57.</w:t>
            </w:r>
            <w:r>
              <w:rPr>
                <w:sz w:val="20"/>
                <w:szCs w:val="20"/>
              </w:rPr>
              <w:t>1</w:t>
            </w:r>
          </w:p>
        </w:tc>
        <w:tc>
          <w:tcPr>
            <w:tcW w:w="2607" w:type="dxa"/>
            <w:vMerge/>
            <w:tcBorders>
              <w:left w:val="single" w:sz="4" w:space="0" w:color="A6A6A6" w:themeColor="background1" w:themeShade="A6"/>
              <w:right w:val="single" w:sz="4" w:space="0" w:color="A6A6A6" w:themeColor="background1" w:themeShade="A6"/>
            </w:tcBorders>
          </w:tcPr>
          <w:p w14:paraId="4EBC5A19" w14:textId="77777777" w:rsidR="00F939F6" w:rsidRPr="001A2534" w:rsidRDefault="00F939F6" w:rsidP="00802095">
            <w:pPr>
              <w:keepNext/>
              <w:keepLines/>
              <w:spacing w:before="0" w:after="0" w:line="240" w:lineRule="auto"/>
              <w:jc w:val="center"/>
              <w:rPr>
                <w:rFonts w:cs="Calibri"/>
                <w:sz w:val="20"/>
                <w:szCs w:val="20"/>
              </w:rPr>
            </w:pPr>
          </w:p>
        </w:tc>
      </w:tr>
      <w:tr w:rsidR="00F939F6" w:rsidRPr="00BA632F" w14:paraId="11E40BF0"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6C475AF9" w14:textId="77777777" w:rsidR="00F939F6" w:rsidRPr="001A2534" w:rsidRDefault="00F939F6" w:rsidP="00802095">
            <w:pPr>
              <w:spacing w:before="0" w:after="0" w:line="240" w:lineRule="auto"/>
              <w:rPr>
                <w:rFonts w:eastAsia="Times New Roman" w:cs="Calibri Light"/>
                <w:color w:val="000000"/>
                <w:sz w:val="20"/>
                <w:szCs w:val="20"/>
              </w:rPr>
            </w:pPr>
            <w:r>
              <w:rPr>
                <w:rFonts w:cs="Calibri"/>
                <w:sz w:val="20"/>
                <w:szCs w:val="20"/>
              </w:rPr>
              <w:t>CZ</w:t>
            </w:r>
            <w:r w:rsidRPr="001A2534">
              <w:rPr>
                <w:sz w:val="20"/>
                <w:szCs w:val="20"/>
              </w:rPr>
              <w:t xml:space="preserve"> 4</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087A0044" w14:textId="77777777" w:rsidR="00F939F6" w:rsidRPr="001A2534" w:rsidRDefault="00F939F6" w:rsidP="00802095">
            <w:pPr>
              <w:spacing w:before="0" w:after="0" w:line="240" w:lineRule="auto"/>
              <w:jc w:val="center"/>
              <w:rPr>
                <w:rFonts w:eastAsia="Times New Roman" w:cs="Calibri Light"/>
                <w:color w:val="000000"/>
                <w:sz w:val="20"/>
                <w:szCs w:val="20"/>
              </w:rPr>
            </w:pPr>
            <w:r w:rsidRPr="001A2534">
              <w:rPr>
                <w:sz w:val="20"/>
                <w:szCs w:val="20"/>
              </w:rPr>
              <w:t>59.5</w:t>
            </w:r>
          </w:p>
        </w:tc>
        <w:tc>
          <w:tcPr>
            <w:tcW w:w="2607" w:type="dxa"/>
            <w:vMerge/>
            <w:tcBorders>
              <w:left w:val="single" w:sz="4" w:space="0" w:color="A6A6A6" w:themeColor="background1" w:themeShade="A6"/>
              <w:right w:val="single" w:sz="4" w:space="0" w:color="A6A6A6" w:themeColor="background1" w:themeShade="A6"/>
            </w:tcBorders>
          </w:tcPr>
          <w:p w14:paraId="4B68E348" w14:textId="77777777" w:rsidR="00F939F6" w:rsidRPr="001A2534" w:rsidRDefault="00F939F6" w:rsidP="00802095">
            <w:pPr>
              <w:spacing w:before="0" w:after="0" w:line="240" w:lineRule="auto"/>
              <w:jc w:val="center"/>
              <w:rPr>
                <w:rFonts w:cs="Calibri"/>
                <w:sz w:val="20"/>
                <w:szCs w:val="20"/>
              </w:rPr>
            </w:pPr>
          </w:p>
        </w:tc>
      </w:tr>
      <w:tr w:rsidR="00F939F6" w:rsidRPr="00BA632F" w14:paraId="1581D8B7"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4AAB44D" w14:textId="77777777" w:rsidR="00F939F6" w:rsidRPr="001A2534" w:rsidRDefault="00F939F6" w:rsidP="00802095">
            <w:pPr>
              <w:spacing w:before="0" w:after="0" w:line="240" w:lineRule="auto"/>
              <w:rPr>
                <w:sz w:val="20"/>
                <w:szCs w:val="20"/>
              </w:rPr>
            </w:pPr>
            <w:r>
              <w:rPr>
                <w:rFonts w:cs="Calibri"/>
                <w:sz w:val="20"/>
                <w:szCs w:val="20"/>
              </w:rPr>
              <w:t>CZ</w:t>
            </w:r>
            <w:r w:rsidRPr="001A2534">
              <w:rPr>
                <w:rFonts w:cs="Calibri"/>
                <w:sz w:val="20"/>
                <w:szCs w:val="20"/>
              </w:rPr>
              <w:t xml:space="preserve"> 5</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53D3DE11" w14:textId="77777777" w:rsidR="00F939F6" w:rsidRPr="001A2534" w:rsidRDefault="00F939F6" w:rsidP="00802095">
            <w:pPr>
              <w:spacing w:before="0" w:after="0" w:line="240" w:lineRule="auto"/>
              <w:jc w:val="center"/>
              <w:rPr>
                <w:rFonts w:eastAsia="Times New Roman" w:cs="Calibri Light"/>
                <w:color w:val="000000"/>
                <w:sz w:val="20"/>
                <w:szCs w:val="20"/>
              </w:rPr>
            </w:pPr>
            <w:r w:rsidRPr="001A2534">
              <w:rPr>
                <w:rFonts w:cs="Calibri"/>
                <w:sz w:val="20"/>
                <w:szCs w:val="20"/>
              </w:rPr>
              <w:t>55.8</w:t>
            </w:r>
          </w:p>
        </w:tc>
        <w:tc>
          <w:tcPr>
            <w:tcW w:w="2607" w:type="dxa"/>
            <w:vMerge/>
            <w:tcBorders>
              <w:left w:val="single" w:sz="4" w:space="0" w:color="A6A6A6" w:themeColor="background1" w:themeShade="A6"/>
              <w:right w:val="single" w:sz="4" w:space="0" w:color="A6A6A6" w:themeColor="background1" w:themeShade="A6"/>
            </w:tcBorders>
          </w:tcPr>
          <w:p w14:paraId="01FB01D4" w14:textId="77777777" w:rsidR="00F939F6" w:rsidRPr="001A2534" w:rsidRDefault="00F939F6" w:rsidP="00802095">
            <w:pPr>
              <w:spacing w:before="0" w:after="0" w:line="240" w:lineRule="auto"/>
              <w:jc w:val="center"/>
              <w:rPr>
                <w:rFonts w:cs="Calibri"/>
                <w:sz w:val="20"/>
                <w:szCs w:val="20"/>
              </w:rPr>
            </w:pPr>
          </w:p>
        </w:tc>
      </w:tr>
      <w:tr w:rsidR="00F939F6" w:rsidRPr="00BA632F" w14:paraId="066E75DF"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163AEE3" w14:textId="77777777" w:rsidR="00F939F6" w:rsidRPr="001A2534" w:rsidRDefault="00F939F6" w:rsidP="00802095">
            <w:pPr>
              <w:spacing w:before="0" w:after="0" w:line="240" w:lineRule="auto"/>
              <w:rPr>
                <w:sz w:val="20"/>
                <w:szCs w:val="20"/>
              </w:rPr>
            </w:pPr>
            <w:r>
              <w:rPr>
                <w:rFonts w:cs="Calibri"/>
                <w:sz w:val="20"/>
                <w:szCs w:val="20"/>
              </w:rPr>
              <w:t>CZ</w:t>
            </w:r>
            <w:r w:rsidRPr="001A2534">
              <w:rPr>
                <w:rFonts w:cs="Calibri"/>
                <w:sz w:val="20"/>
                <w:szCs w:val="20"/>
              </w:rPr>
              <w:t xml:space="preserve"> 6</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5839131B" w14:textId="77777777" w:rsidR="00F939F6" w:rsidRPr="001A2534" w:rsidRDefault="00F939F6" w:rsidP="00802095">
            <w:pPr>
              <w:spacing w:before="0" w:after="0" w:line="240" w:lineRule="auto"/>
              <w:jc w:val="center"/>
              <w:rPr>
                <w:rFonts w:eastAsia="Times New Roman" w:cs="Calibri Light"/>
                <w:color w:val="000000"/>
                <w:sz w:val="20"/>
                <w:szCs w:val="20"/>
              </w:rPr>
            </w:pPr>
            <w:r w:rsidRPr="001A2534">
              <w:rPr>
                <w:rFonts w:cs="Calibri"/>
                <w:sz w:val="20"/>
                <w:szCs w:val="20"/>
              </w:rPr>
              <w:t>61.</w:t>
            </w:r>
            <w:r>
              <w:rPr>
                <w:rFonts w:cs="Calibri"/>
                <w:sz w:val="20"/>
                <w:szCs w:val="20"/>
              </w:rPr>
              <w:t>8</w:t>
            </w:r>
          </w:p>
        </w:tc>
        <w:tc>
          <w:tcPr>
            <w:tcW w:w="2607" w:type="dxa"/>
            <w:vMerge/>
            <w:tcBorders>
              <w:left w:val="single" w:sz="4" w:space="0" w:color="A6A6A6" w:themeColor="background1" w:themeShade="A6"/>
              <w:right w:val="single" w:sz="4" w:space="0" w:color="A6A6A6" w:themeColor="background1" w:themeShade="A6"/>
            </w:tcBorders>
          </w:tcPr>
          <w:p w14:paraId="209EC814" w14:textId="77777777" w:rsidR="00F939F6" w:rsidRPr="001A2534" w:rsidRDefault="00F939F6" w:rsidP="00802095">
            <w:pPr>
              <w:spacing w:before="0" w:after="0" w:line="240" w:lineRule="auto"/>
              <w:jc w:val="center"/>
              <w:rPr>
                <w:rFonts w:cs="Calibri"/>
                <w:sz w:val="20"/>
                <w:szCs w:val="20"/>
              </w:rPr>
            </w:pPr>
          </w:p>
        </w:tc>
      </w:tr>
      <w:tr w:rsidR="00F939F6" w:rsidRPr="00BA632F" w14:paraId="2D1F6165" w14:textId="77777777" w:rsidTr="00802095">
        <w:trPr>
          <w:cantSplit/>
          <w:trHeight w:val="27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6AC8DE1" w14:textId="77777777" w:rsidR="00F939F6" w:rsidRPr="001A2534" w:rsidRDefault="00F939F6" w:rsidP="00802095">
            <w:pPr>
              <w:spacing w:before="0" w:after="0" w:line="240" w:lineRule="auto"/>
              <w:rPr>
                <w:rFonts w:eastAsia="Times New Roman" w:cs="Calibri Light"/>
                <w:color w:val="000000"/>
                <w:sz w:val="20"/>
                <w:szCs w:val="20"/>
              </w:rPr>
            </w:pPr>
            <w:r>
              <w:rPr>
                <w:rFonts w:cs="Calibri"/>
                <w:sz w:val="20"/>
                <w:szCs w:val="20"/>
              </w:rPr>
              <w:t>CZ</w:t>
            </w:r>
            <w:r w:rsidRPr="001A2534">
              <w:rPr>
                <w:rFonts w:cs="Calibri"/>
                <w:sz w:val="20"/>
                <w:szCs w:val="20"/>
              </w:rPr>
              <w:t xml:space="preserve"> 7</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4CBCE79" w14:textId="77777777" w:rsidR="00F939F6" w:rsidRPr="001A2534" w:rsidRDefault="00F939F6" w:rsidP="00802095">
            <w:pPr>
              <w:spacing w:before="0" w:after="0" w:line="240" w:lineRule="auto"/>
              <w:jc w:val="center"/>
              <w:rPr>
                <w:rFonts w:eastAsia="Times New Roman" w:cs="Calibri Light"/>
                <w:color w:val="000000"/>
                <w:sz w:val="20"/>
                <w:szCs w:val="20"/>
              </w:rPr>
            </w:pPr>
            <w:r w:rsidRPr="001A2534">
              <w:rPr>
                <w:rFonts w:cs="Calibri"/>
                <w:sz w:val="20"/>
                <w:szCs w:val="20"/>
              </w:rPr>
              <w:t>62.</w:t>
            </w:r>
            <w:r>
              <w:rPr>
                <w:rFonts w:cs="Calibri"/>
                <w:sz w:val="20"/>
                <w:szCs w:val="20"/>
              </w:rPr>
              <w:t>6</w:t>
            </w:r>
          </w:p>
        </w:tc>
        <w:tc>
          <w:tcPr>
            <w:tcW w:w="2607" w:type="dxa"/>
            <w:vMerge/>
            <w:tcBorders>
              <w:left w:val="single" w:sz="4" w:space="0" w:color="A6A6A6" w:themeColor="background1" w:themeShade="A6"/>
              <w:right w:val="single" w:sz="4" w:space="0" w:color="A6A6A6" w:themeColor="background1" w:themeShade="A6"/>
            </w:tcBorders>
          </w:tcPr>
          <w:p w14:paraId="09BCDAB7" w14:textId="77777777" w:rsidR="00F939F6" w:rsidRPr="001A2534" w:rsidRDefault="00F939F6" w:rsidP="00802095">
            <w:pPr>
              <w:spacing w:before="0" w:after="0" w:line="240" w:lineRule="auto"/>
              <w:jc w:val="center"/>
              <w:rPr>
                <w:rFonts w:cs="Calibri"/>
                <w:sz w:val="20"/>
                <w:szCs w:val="20"/>
              </w:rPr>
            </w:pPr>
          </w:p>
        </w:tc>
      </w:tr>
      <w:tr w:rsidR="00F939F6" w:rsidRPr="00BA632F" w14:paraId="176D18BC"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27E81B09" w14:textId="77777777" w:rsidR="00F939F6" w:rsidRPr="001A2534" w:rsidRDefault="00F939F6" w:rsidP="00802095">
            <w:pPr>
              <w:spacing w:before="0" w:after="0" w:line="240" w:lineRule="auto"/>
              <w:rPr>
                <w:sz w:val="20"/>
                <w:szCs w:val="20"/>
              </w:rPr>
            </w:pPr>
            <w:r>
              <w:rPr>
                <w:rFonts w:cs="Calibri"/>
                <w:sz w:val="20"/>
                <w:szCs w:val="20"/>
              </w:rPr>
              <w:t>CZ</w:t>
            </w:r>
            <w:r w:rsidRPr="001A2534">
              <w:rPr>
                <w:rFonts w:cs="Calibri"/>
                <w:sz w:val="20"/>
                <w:szCs w:val="20"/>
              </w:rPr>
              <w:t xml:space="preserve"> 8</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0E61FCB8" w14:textId="77777777" w:rsidR="00F939F6" w:rsidRPr="001A2534" w:rsidRDefault="00F939F6" w:rsidP="00802095">
            <w:pPr>
              <w:spacing w:before="0" w:after="0" w:line="240" w:lineRule="auto"/>
              <w:jc w:val="center"/>
              <w:rPr>
                <w:rFonts w:eastAsia="Times New Roman" w:cs="Calibri Light"/>
                <w:color w:val="000000"/>
                <w:sz w:val="20"/>
                <w:szCs w:val="20"/>
              </w:rPr>
            </w:pPr>
            <w:r w:rsidRPr="001A2534">
              <w:rPr>
                <w:rFonts w:cs="Calibri"/>
                <w:sz w:val="20"/>
                <w:szCs w:val="20"/>
              </w:rPr>
              <w:t>63.7</w:t>
            </w:r>
          </w:p>
        </w:tc>
        <w:tc>
          <w:tcPr>
            <w:tcW w:w="2607" w:type="dxa"/>
            <w:vMerge/>
            <w:tcBorders>
              <w:left w:val="single" w:sz="4" w:space="0" w:color="A6A6A6" w:themeColor="background1" w:themeShade="A6"/>
              <w:right w:val="single" w:sz="4" w:space="0" w:color="A6A6A6" w:themeColor="background1" w:themeShade="A6"/>
            </w:tcBorders>
          </w:tcPr>
          <w:p w14:paraId="6028C727" w14:textId="77777777" w:rsidR="00F939F6" w:rsidRPr="001A2534" w:rsidRDefault="00F939F6" w:rsidP="00802095">
            <w:pPr>
              <w:spacing w:before="0" w:after="0" w:line="240" w:lineRule="auto"/>
              <w:jc w:val="center"/>
              <w:rPr>
                <w:rFonts w:cs="Calibri"/>
                <w:sz w:val="20"/>
                <w:szCs w:val="20"/>
              </w:rPr>
            </w:pPr>
          </w:p>
        </w:tc>
      </w:tr>
      <w:tr w:rsidR="00F939F6" w:rsidRPr="00BA632F" w14:paraId="7FD1F1DB"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4F5A978C" w14:textId="77777777" w:rsidR="00F939F6" w:rsidRPr="00837472" w:rsidRDefault="00F939F6" w:rsidP="00802095">
            <w:pPr>
              <w:spacing w:before="0" w:after="0" w:line="240" w:lineRule="auto"/>
              <w:rPr>
                <w:rFonts w:cs="Calibri"/>
                <w:sz w:val="20"/>
                <w:szCs w:val="20"/>
              </w:rPr>
            </w:pPr>
            <w:r>
              <w:rPr>
                <w:rFonts w:cs="Calibri"/>
                <w:sz w:val="20"/>
                <w:szCs w:val="20"/>
              </w:rPr>
              <w:t>CZ</w:t>
            </w:r>
            <w:r w:rsidRPr="001A2534">
              <w:rPr>
                <w:rFonts w:cs="Calibri"/>
                <w:sz w:val="20"/>
                <w:szCs w:val="20"/>
              </w:rPr>
              <w:t xml:space="preserve"> 9</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6174B8FD" w14:textId="77777777" w:rsidR="00F939F6" w:rsidRPr="00837472" w:rsidRDefault="00F939F6" w:rsidP="00802095">
            <w:pPr>
              <w:spacing w:before="0" w:after="0" w:line="240" w:lineRule="auto"/>
              <w:jc w:val="center"/>
              <w:rPr>
                <w:rFonts w:cs="Calibri"/>
                <w:sz w:val="20"/>
                <w:szCs w:val="20"/>
              </w:rPr>
            </w:pPr>
            <w:r w:rsidRPr="001A2534">
              <w:rPr>
                <w:rFonts w:cs="Calibri"/>
                <w:sz w:val="20"/>
                <w:szCs w:val="20"/>
              </w:rPr>
              <w:t>63.8</w:t>
            </w:r>
          </w:p>
        </w:tc>
        <w:tc>
          <w:tcPr>
            <w:tcW w:w="2607" w:type="dxa"/>
            <w:vMerge/>
            <w:tcBorders>
              <w:left w:val="single" w:sz="4" w:space="0" w:color="A6A6A6" w:themeColor="background1" w:themeShade="A6"/>
              <w:right w:val="single" w:sz="4" w:space="0" w:color="A6A6A6" w:themeColor="background1" w:themeShade="A6"/>
            </w:tcBorders>
          </w:tcPr>
          <w:p w14:paraId="55E9A7A9" w14:textId="77777777" w:rsidR="00F939F6" w:rsidRPr="00B853CA" w:rsidRDefault="00F939F6" w:rsidP="00802095">
            <w:pPr>
              <w:spacing w:before="0" w:after="0" w:line="240" w:lineRule="auto"/>
              <w:rPr>
                <w:rFonts w:cs="Calibri"/>
                <w:sz w:val="18"/>
                <w:szCs w:val="20"/>
              </w:rPr>
            </w:pPr>
          </w:p>
        </w:tc>
      </w:tr>
      <w:tr w:rsidR="00F939F6" w:rsidRPr="00BA632F" w14:paraId="0905B408"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4385B3E" w14:textId="77777777" w:rsidR="00F939F6" w:rsidRPr="00837472" w:rsidRDefault="00F939F6" w:rsidP="00802095">
            <w:pPr>
              <w:spacing w:before="0" w:after="0" w:line="240" w:lineRule="auto"/>
              <w:rPr>
                <w:rFonts w:cs="Calibri"/>
                <w:sz w:val="20"/>
                <w:szCs w:val="20"/>
              </w:rPr>
            </w:pPr>
            <w:r>
              <w:rPr>
                <w:rFonts w:cs="Calibri"/>
                <w:sz w:val="20"/>
                <w:szCs w:val="20"/>
              </w:rPr>
              <w:t>CZ</w:t>
            </w:r>
            <w:r w:rsidRPr="001A2534">
              <w:rPr>
                <w:rFonts w:cs="Calibri"/>
                <w:sz w:val="20"/>
                <w:szCs w:val="20"/>
              </w:rPr>
              <w:t xml:space="preserve"> 10</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71111696" w14:textId="77777777" w:rsidR="00F939F6" w:rsidRPr="00837472" w:rsidRDefault="00F939F6" w:rsidP="00802095">
            <w:pPr>
              <w:spacing w:before="0" w:after="0" w:line="240" w:lineRule="auto"/>
              <w:jc w:val="center"/>
              <w:rPr>
                <w:rFonts w:cs="Calibri"/>
                <w:sz w:val="20"/>
                <w:szCs w:val="20"/>
              </w:rPr>
            </w:pPr>
            <w:r w:rsidRPr="001A2534">
              <w:rPr>
                <w:rFonts w:cs="Calibri"/>
                <w:sz w:val="20"/>
                <w:szCs w:val="20"/>
              </w:rPr>
              <w:t>64.</w:t>
            </w:r>
            <w:r>
              <w:rPr>
                <w:rFonts w:cs="Calibri"/>
                <w:sz w:val="20"/>
                <w:szCs w:val="20"/>
              </w:rPr>
              <w:t>2</w:t>
            </w:r>
          </w:p>
        </w:tc>
        <w:tc>
          <w:tcPr>
            <w:tcW w:w="2607" w:type="dxa"/>
            <w:vMerge/>
            <w:tcBorders>
              <w:left w:val="single" w:sz="4" w:space="0" w:color="A6A6A6" w:themeColor="background1" w:themeShade="A6"/>
              <w:right w:val="single" w:sz="4" w:space="0" w:color="A6A6A6" w:themeColor="background1" w:themeShade="A6"/>
            </w:tcBorders>
          </w:tcPr>
          <w:p w14:paraId="379C7A1E" w14:textId="77777777" w:rsidR="00F939F6" w:rsidRPr="001A2534" w:rsidRDefault="00F939F6" w:rsidP="00802095">
            <w:pPr>
              <w:spacing w:before="0" w:after="0" w:line="240" w:lineRule="auto"/>
              <w:jc w:val="center"/>
              <w:rPr>
                <w:rFonts w:cs="Calibri"/>
                <w:sz w:val="20"/>
                <w:szCs w:val="20"/>
              </w:rPr>
            </w:pPr>
          </w:p>
        </w:tc>
      </w:tr>
      <w:tr w:rsidR="00F939F6" w:rsidRPr="00BA632F" w14:paraId="69AF0FC0"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AD8564C" w14:textId="77777777" w:rsidR="00F939F6" w:rsidRPr="00837472" w:rsidRDefault="00F939F6" w:rsidP="00802095">
            <w:pPr>
              <w:spacing w:before="0" w:after="0" w:line="240" w:lineRule="auto"/>
              <w:rPr>
                <w:rFonts w:cs="Calibri"/>
                <w:sz w:val="20"/>
                <w:szCs w:val="20"/>
              </w:rPr>
            </w:pPr>
            <w:r>
              <w:rPr>
                <w:rFonts w:cs="Calibri"/>
                <w:sz w:val="20"/>
                <w:szCs w:val="20"/>
              </w:rPr>
              <w:t>CZ</w:t>
            </w:r>
            <w:r w:rsidRPr="001A2534">
              <w:rPr>
                <w:rFonts w:cs="Calibri"/>
                <w:sz w:val="20"/>
                <w:szCs w:val="20"/>
              </w:rPr>
              <w:t xml:space="preserve"> 11</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18736EB7" w14:textId="77777777" w:rsidR="00F939F6" w:rsidRPr="00837472" w:rsidRDefault="00F939F6" w:rsidP="00802095">
            <w:pPr>
              <w:spacing w:before="0" w:after="0" w:line="240" w:lineRule="auto"/>
              <w:jc w:val="center"/>
              <w:rPr>
                <w:rFonts w:cs="Calibri"/>
                <w:sz w:val="20"/>
                <w:szCs w:val="20"/>
              </w:rPr>
            </w:pPr>
            <w:r w:rsidRPr="001A2534">
              <w:rPr>
                <w:rFonts w:cs="Calibri"/>
                <w:sz w:val="20"/>
                <w:szCs w:val="20"/>
              </w:rPr>
              <w:t>63.</w:t>
            </w:r>
            <w:r>
              <w:rPr>
                <w:rFonts w:cs="Calibri"/>
                <w:sz w:val="20"/>
                <w:szCs w:val="20"/>
              </w:rPr>
              <w:t>2</w:t>
            </w:r>
          </w:p>
        </w:tc>
        <w:tc>
          <w:tcPr>
            <w:tcW w:w="2607" w:type="dxa"/>
            <w:vMerge/>
            <w:tcBorders>
              <w:left w:val="single" w:sz="4" w:space="0" w:color="A6A6A6" w:themeColor="background1" w:themeShade="A6"/>
              <w:right w:val="single" w:sz="4" w:space="0" w:color="A6A6A6" w:themeColor="background1" w:themeShade="A6"/>
            </w:tcBorders>
          </w:tcPr>
          <w:p w14:paraId="1F6B1270" w14:textId="77777777" w:rsidR="00F939F6" w:rsidRPr="001A2534" w:rsidRDefault="00F939F6" w:rsidP="00802095">
            <w:pPr>
              <w:spacing w:before="0" w:after="0" w:line="240" w:lineRule="auto"/>
              <w:jc w:val="center"/>
              <w:rPr>
                <w:rFonts w:cs="Calibri"/>
                <w:sz w:val="20"/>
                <w:szCs w:val="20"/>
              </w:rPr>
            </w:pPr>
          </w:p>
        </w:tc>
      </w:tr>
      <w:tr w:rsidR="00F939F6" w:rsidRPr="00BA632F" w14:paraId="6E61CC16"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7BFC3A5F" w14:textId="77777777" w:rsidR="00F939F6" w:rsidRPr="00837472" w:rsidRDefault="00F939F6" w:rsidP="00802095">
            <w:pPr>
              <w:spacing w:before="0" w:after="0" w:line="240" w:lineRule="auto"/>
              <w:rPr>
                <w:rFonts w:cs="Calibri"/>
                <w:sz w:val="20"/>
                <w:szCs w:val="20"/>
              </w:rPr>
            </w:pPr>
            <w:r>
              <w:rPr>
                <w:rFonts w:cs="Calibri"/>
                <w:sz w:val="20"/>
                <w:szCs w:val="20"/>
              </w:rPr>
              <w:t>CZ</w:t>
            </w:r>
            <w:r w:rsidRPr="001A2534">
              <w:rPr>
                <w:rFonts w:cs="Calibri"/>
                <w:sz w:val="20"/>
                <w:szCs w:val="20"/>
              </w:rPr>
              <w:t xml:space="preserve"> 12</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165857DC" w14:textId="77777777" w:rsidR="00F939F6" w:rsidRPr="00837472" w:rsidRDefault="00F939F6" w:rsidP="00802095">
            <w:pPr>
              <w:spacing w:before="0" w:after="0" w:line="240" w:lineRule="auto"/>
              <w:jc w:val="center"/>
              <w:rPr>
                <w:rFonts w:cs="Calibri"/>
                <w:sz w:val="20"/>
                <w:szCs w:val="20"/>
              </w:rPr>
            </w:pPr>
            <w:r w:rsidRPr="001A2534">
              <w:rPr>
                <w:rFonts w:cs="Calibri"/>
                <w:sz w:val="20"/>
                <w:szCs w:val="20"/>
              </w:rPr>
              <w:t>60.</w:t>
            </w:r>
            <w:r>
              <w:rPr>
                <w:rFonts w:cs="Calibri"/>
                <w:sz w:val="20"/>
                <w:szCs w:val="20"/>
              </w:rPr>
              <w:t>9</w:t>
            </w:r>
          </w:p>
        </w:tc>
        <w:tc>
          <w:tcPr>
            <w:tcW w:w="2607" w:type="dxa"/>
            <w:vMerge/>
            <w:tcBorders>
              <w:left w:val="single" w:sz="4" w:space="0" w:color="A6A6A6" w:themeColor="background1" w:themeShade="A6"/>
              <w:right w:val="single" w:sz="4" w:space="0" w:color="A6A6A6" w:themeColor="background1" w:themeShade="A6"/>
            </w:tcBorders>
          </w:tcPr>
          <w:p w14:paraId="562F4473" w14:textId="77777777" w:rsidR="00F939F6" w:rsidRPr="001A2534" w:rsidRDefault="00F939F6" w:rsidP="00802095">
            <w:pPr>
              <w:spacing w:before="0" w:after="0" w:line="240" w:lineRule="auto"/>
              <w:jc w:val="center"/>
              <w:rPr>
                <w:rFonts w:cs="Calibri"/>
                <w:sz w:val="20"/>
                <w:szCs w:val="20"/>
              </w:rPr>
            </w:pPr>
          </w:p>
        </w:tc>
      </w:tr>
      <w:tr w:rsidR="00F939F6" w:rsidRPr="00BA632F" w14:paraId="320AA7E9"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38DF5FCE" w14:textId="77777777" w:rsidR="00F939F6" w:rsidRPr="00837472" w:rsidRDefault="00F939F6" w:rsidP="00802095">
            <w:pPr>
              <w:spacing w:before="0" w:after="0" w:line="240" w:lineRule="auto"/>
              <w:rPr>
                <w:rFonts w:cs="Calibri"/>
                <w:sz w:val="20"/>
                <w:szCs w:val="20"/>
              </w:rPr>
            </w:pPr>
            <w:r>
              <w:rPr>
                <w:rFonts w:cs="Calibri"/>
                <w:sz w:val="20"/>
                <w:szCs w:val="20"/>
              </w:rPr>
              <w:t>CZ</w:t>
            </w:r>
            <w:r w:rsidRPr="001A2534">
              <w:rPr>
                <w:rFonts w:cs="Calibri"/>
                <w:sz w:val="20"/>
                <w:szCs w:val="20"/>
              </w:rPr>
              <w:t xml:space="preserve"> 13</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6C6B2665" w14:textId="77777777" w:rsidR="00F939F6" w:rsidRPr="00837472" w:rsidRDefault="00F939F6" w:rsidP="00802095">
            <w:pPr>
              <w:spacing w:before="0" w:after="0" w:line="240" w:lineRule="auto"/>
              <w:jc w:val="center"/>
              <w:rPr>
                <w:rFonts w:cs="Calibri"/>
                <w:sz w:val="20"/>
                <w:szCs w:val="20"/>
              </w:rPr>
            </w:pPr>
            <w:r w:rsidRPr="001A2534">
              <w:rPr>
                <w:rFonts w:cs="Calibri"/>
                <w:sz w:val="20"/>
                <w:szCs w:val="20"/>
              </w:rPr>
              <w:t>64.1</w:t>
            </w:r>
          </w:p>
        </w:tc>
        <w:tc>
          <w:tcPr>
            <w:tcW w:w="2607" w:type="dxa"/>
            <w:vMerge/>
            <w:tcBorders>
              <w:left w:val="single" w:sz="4" w:space="0" w:color="A6A6A6" w:themeColor="background1" w:themeShade="A6"/>
              <w:right w:val="single" w:sz="4" w:space="0" w:color="A6A6A6" w:themeColor="background1" w:themeShade="A6"/>
            </w:tcBorders>
          </w:tcPr>
          <w:p w14:paraId="65ACD23F" w14:textId="77777777" w:rsidR="00F939F6" w:rsidRPr="001A2534" w:rsidRDefault="00F939F6" w:rsidP="00802095">
            <w:pPr>
              <w:spacing w:before="0" w:after="0" w:line="240" w:lineRule="auto"/>
              <w:jc w:val="center"/>
              <w:rPr>
                <w:rFonts w:cs="Calibri"/>
                <w:sz w:val="20"/>
                <w:szCs w:val="20"/>
              </w:rPr>
            </w:pPr>
          </w:p>
        </w:tc>
      </w:tr>
      <w:tr w:rsidR="00F939F6" w:rsidRPr="00BA632F" w14:paraId="41E5EF03"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5DD85422" w14:textId="77777777" w:rsidR="00F939F6" w:rsidRPr="00837472" w:rsidRDefault="00F939F6" w:rsidP="00802095">
            <w:pPr>
              <w:spacing w:before="0" w:after="0" w:line="240" w:lineRule="auto"/>
              <w:rPr>
                <w:rFonts w:cs="Calibri"/>
                <w:sz w:val="20"/>
                <w:szCs w:val="20"/>
              </w:rPr>
            </w:pPr>
            <w:r>
              <w:rPr>
                <w:rFonts w:cs="Calibri"/>
                <w:sz w:val="20"/>
                <w:szCs w:val="20"/>
              </w:rPr>
              <w:t>CZ</w:t>
            </w:r>
            <w:r w:rsidRPr="001A2534">
              <w:rPr>
                <w:rFonts w:cs="Calibri"/>
                <w:sz w:val="20"/>
                <w:szCs w:val="20"/>
              </w:rPr>
              <w:t xml:space="preserve"> 14</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4F2088EC" w14:textId="77777777" w:rsidR="00F939F6" w:rsidRPr="00837472" w:rsidRDefault="00F939F6" w:rsidP="00802095">
            <w:pPr>
              <w:spacing w:before="0" w:after="0" w:line="240" w:lineRule="auto"/>
              <w:jc w:val="center"/>
              <w:rPr>
                <w:rFonts w:cs="Calibri"/>
                <w:sz w:val="20"/>
                <w:szCs w:val="20"/>
              </w:rPr>
            </w:pPr>
            <w:r w:rsidRPr="001A2534">
              <w:rPr>
                <w:rFonts w:cs="Calibri"/>
                <w:sz w:val="20"/>
                <w:szCs w:val="20"/>
              </w:rPr>
              <w:t>62.</w:t>
            </w:r>
            <w:r>
              <w:rPr>
                <w:rFonts w:cs="Calibri"/>
                <w:sz w:val="20"/>
                <w:szCs w:val="20"/>
              </w:rPr>
              <w:t>7</w:t>
            </w:r>
          </w:p>
        </w:tc>
        <w:tc>
          <w:tcPr>
            <w:tcW w:w="2607" w:type="dxa"/>
            <w:vMerge/>
            <w:tcBorders>
              <w:left w:val="single" w:sz="4" w:space="0" w:color="A6A6A6" w:themeColor="background1" w:themeShade="A6"/>
              <w:right w:val="single" w:sz="4" w:space="0" w:color="A6A6A6" w:themeColor="background1" w:themeShade="A6"/>
            </w:tcBorders>
          </w:tcPr>
          <w:p w14:paraId="2E31A724" w14:textId="77777777" w:rsidR="00F939F6" w:rsidRPr="001A2534" w:rsidRDefault="00F939F6" w:rsidP="00802095">
            <w:pPr>
              <w:spacing w:before="0" w:after="0" w:line="240" w:lineRule="auto"/>
              <w:jc w:val="center"/>
              <w:rPr>
                <w:rFonts w:cs="Calibri"/>
                <w:sz w:val="20"/>
                <w:szCs w:val="20"/>
              </w:rPr>
            </w:pPr>
          </w:p>
        </w:tc>
      </w:tr>
      <w:tr w:rsidR="00F939F6" w:rsidRPr="00BA632F" w14:paraId="6BBF09A5"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2D0F2540" w14:textId="77777777" w:rsidR="00F939F6" w:rsidRPr="00837472" w:rsidRDefault="00F939F6" w:rsidP="00802095">
            <w:pPr>
              <w:spacing w:before="0" w:after="0" w:line="240" w:lineRule="auto"/>
              <w:rPr>
                <w:rFonts w:cs="Calibri"/>
                <w:sz w:val="20"/>
                <w:szCs w:val="20"/>
              </w:rPr>
            </w:pPr>
            <w:r>
              <w:rPr>
                <w:rFonts w:cs="Calibri"/>
                <w:sz w:val="20"/>
                <w:szCs w:val="20"/>
              </w:rPr>
              <w:t>CZ</w:t>
            </w:r>
            <w:r w:rsidRPr="001A2534">
              <w:rPr>
                <w:rFonts w:cs="Calibri"/>
                <w:sz w:val="20"/>
                <w:szCs w:val="20"/>
              </w:rPr>
              <w:t xml:space="preserve"> 15</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3914D5F4" w14:textId="77777777" w:rsidR="00F939F6" w:rsidRPr="00837472" w:rsidRDefault="00F939F6" w:rsidP="00802095">
            <w:pPr>
              <w:spacing w:before="0" w:after="0" w:line="240" w:lineRule="auto"/>
              <w:jc w:val="center"/>
              <w:rPr>
                <w:rFonts w:cs="Calibri"/>
                <w:sz w:val="20"/>
                <w:szCs w:val="20"/>
              </w:rPr>
            </w:pPr>
            <w:r w:rsidRPr="001A2534">
              <w:rPr>
                <w:rFonts w:cs="Calibri"/>
                <w:sz w:val="20"/>
                <w:szCs w:val="20"/>
              </w:rPr>
              <w:t>75.</w:t>
            </w:r>
            <w:r>
              <w:rPr>
                <w:rFonts w:cs="Calibri"/>
                <w:sz w:val="20"/>
                <w:szCs w:val="20"/>
              </w:rPr>
              <w:t>5</w:t>
            </w:r>
          </w:p>
        </w:tc>
        <w:tc>
          <w:tcPr>
            <w:tcW w:w="2607" w:type="dxa"/>
            <w:vMerge/>
            <w:tcBorders>
              <w:left w:val="single" w:sz="4" w:space="0" w:color="A6A6A6" w:themeColor="background1" w:themeShade="A6"/>
              <w:right w:val="single" w:sz="4" w:space="0" w:color="A6A6A6" w:themeColor="background1" w:themeShade="A6"/>
            </w:tcBorders>
          </w:tcPr>
          <w:p w14:paraId="6F60B2FA" w14:textId="77777777" w:rsidR="00F939F6" w:rsidRPr="001A2534" w:rsidRDefault="00F939F6" w:rsidP="00802095">
            <w:pPr>
              <w:spacing w:before="0" w:after="0" w:line="240" w:lineRule="auto"/>
              <w:jc w:val="center"/>
              <w:rPr>
                <w:rFonts w:cs="Calibri"/>
                <w:sz w:val="20"/>
                <w:szCs w:val="20"/>
              </w:rPr>
            </w:pPr>
          </w:p>
        </w:tc>
      </w:tr>
      <w:tr w:rsidR="00F939F6" w:rsidRPr="00BA632F" w14:paraId="0EF3ED91" w14:textId="77777777" w:rsidTr="00802095">
        <w:trPr>
          <w:cantSplit/>
          <w:trHeight w:val="20"/>
        </w:trPr>
        <w:tc>
          <w:tcPr>
            <w:tcW w:w="1008" w:type="dxa"/>
            <w:tcBorders>
              <w:top w:val="single" w:sz="4" w:space="0" w:color="A6A6A6" w:themeColor="background1" w:themeShade="A6"/>
              <w:left w:val="single" w:sz="4" w:space="0" w:color="A6A6A6" w:themeColor="background1" w:themeShade="A6"/>
              <w:bottom w:val="single" w:sz="4" w:space="0" w:color="A6A6A6" w:themeColor="background1" w:themeShade="A6"/>
              <w:right w:val="dashed" w:sz="4" w:space="0" w:color="A6A6A6" w:themeColor="background1" w:themeShade="A6"/>
            </w:tcBorders>
            <w:shd w:val="clear" w:color="auto" w:fill="auto"/>
          </w:tcPr>
          <w:p w14:paraId="1AE1DD47" w14:textId="77777777" w:rsidR="00F939F6" w:rsidRPr="00837472" w:rsidRDefault="00F939F6" w:rsidP="00802095">
            <w:pPr>
              <w:spacing w:before="0" w:after="0" w:line="240" w:lineRule="auto"/>
              <w:rPr>
                <w:rFonts w:cs="Calibri"/>
                <w:sz w:val="20"/>
                <w:szCs w:val="20"/>
              </w:rPr>
            </w:pPr>
            <w:r>
              <w:rPr>
                <w:rFonts w:cs="Calibri"/>
                <w:sz w:val="20"/>
                <w:szCs w:val="20"/>
              </w:rPr>
              <w:t>CZ</w:t>
            </w:r>
            <w:r w:rsidRPr="001A2534">
              <w:rPr>
                <w:rFonts w:cs="Calibri"/>
                <w:sz w:val="20"/>
                <w:szCs w:val="20"/>
              </w:rPr>
              <w:t xml:space="preserve"> 16</w:t>
            </w:r>
          </w:p>
        </w:tc>
        <w:tc>
          <w:tcPr>
            <w:tcW w:w="2496" w:type="dxa"/>
            <w:tcBorders>
              <w:top w:val="single" w:sz="4" w:space="0" w:color="A6A6A6" w:themeColor="background1" w:themeShade="A6"/>
              <w:left w:val="dashed"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tcPr>
          <w:p w14:paraId="65F2BAA4" w14:textId="77777777" w:rsidR="00F939F6" w:rsidRPr="00837472" w:rsidRDefault="00F939F6" w:rsidP="00802095">
            <w:pPr>
              <w:spacing w:before="0" w:after="0" w:line="240" w:lineRule="auto"/>
              <w:jc w:val="center"/>
              <w:rPr>
                <w:rFonts w:cs="Calibri"/>
                <w:sz w:val="20"/>
                <w:szCs w:val="20"/>
              </w:rPr>
            </w:pPr>
            <w:r w:rsidRPr="001A2534">
              <w:rPr>
                <w:rFonts w:cs="Calibri"/>
                <w:sz w:val="20"/>
                <w:szCs w:val="20"/>
              </w:rPr>
              <w:t>51.</w:t>
            </w:r>
            <w:r>
              <w:rPr>
                <w:rFonts w:cs="Calibri"/>
                <w:sz w:val="20"/>
                <w:szCs w:val="20"/>
              </w:rPr>
              <w:t>8</w:t>
            </w:r>
          </w:p>
        </w:tc>
        <w:tc>
          <w:tcPr>
            <w:tcW w:w="26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2BEF1B38" w14:textId="77777777" w:rsidR="00F939F6" w:rsidRPr="001A2534" w:rsidRDefault="00F939F6" w:rsidP="00802095">
            <w:pPr>
              <w:spacing w:before="0" w:after="0" w:line="240" w:lineRule="auto"/>
              <w:jc w:val="center"/>
              <w:rPr>
                <w:rFonts w:cs="Calibri"/>
                <w:sz w:val="20"/>
                <w:szCs w:val="20"/>
              </w:rPr>
            </w:pPr>
          </w:p>
        </w:tc>
      </w:tr>
    </w:tbl>
    <w:p w14:paraId="3EED8C52" w14:textId="77777777" w:rsidR="00F939F6" w:rsidRDefault="00F939F6" w:rsidP="00F939F6"/>
    <w:p w14:paraId="3A2D0BEB" w14:textId="704E2BCA" w:rsidR="00F939F6" w:rsidRPr="00A47BE4" w:rsidRDefault="00F939F6" w:rsidP="00F939F6">
      <w:r w:rsidRPr="007E5B22">
        <w:rPr>
          <w:b/>
          <w:szCs w:val="20"/>
        </w:rPr>
        <w:t>Mixed Water Temperature at Showerhead Outlet.</w:t>
      </w:r>
      <w:r>
        <w:rPr>
          <w:szCs w:val="20"/>
        </w:rPr>
        <w:t xml:space="preserve"> </w:t>
      </w:r>
      <w:r>
        <w:t xml:space="preserve">The outlet water heater temperature was derived from the Sempra Energy Utilities (San Diego Gas and Electric and the Southern California Gas Company) 2009 field survey data. The mixed water temperature reflects that hot water does not comprise the entire </w:t>
      </w:r>
      <w:r w:rsidRPr="00A47BE4">
        <w:t xml:space="preserve">shower flow and the tempering of the hot water with cold water to establish full shower flow. </w:t>
      </w:r>
      <w:r w:rsidR="00A47BE4" w:rsidRPr="00A47BE4">
        <w:t>This temperature was subsequently specified in the analysis supporting the “Workpaper Disposition for Water Fixtures” issued in 2013.</w:t>
      </w:r>
    </w:p>
    <w:p w14:paraId="6D2EFFF3" w14:textId="01F2D800" w:rsidR="00F939F6" w:rsidRDefault="00F939F6" w:rsidP="00F939F6">
      <w:r w:rsidRPr="00310349">
        <w:rPr>
          <w:b/>
        </w:rPr>
        <w:t xml:space="preserve">Recovery Efficiency: </w:t>
      </w:r>
      <w:r w:rsidRPr="00310349">
        <w:t>To convert the water heating load to gas energy use at the water heater, the recovery efficiency (RE) is used. Recovery efficiency is a measure of how efficiently the heat from the energy source is transferred to the water (the ratio of energy output used to heat the water divided by energy input). A weighted RE value was derived from the natural-gas fired, storage-type water heaters extracted from the California Energy Commission</w:t>
      </w:r>
      <w:r w:rsidR="00A47BE4">
        <w:t xml:space="preserve"> (CEC)</w:t>
      </w:r>
      <w:r w:rsidRPr="00310349">
        <w:t xml:space="preserve"> database of certified equipment (without limit to the listed equipment energy factor, EF).</w:t>
      </w:r>
      <w:r>
        <w:t xml:space="preserve"> RE was subsequently stipulated by the Energy Division of the CPUC.</w:t>
      </w:r>
      <w:r>
        <w:rPr>
          <w:rStyle w:val="FootnoteReference"/>
        </w:rPr>
        <w:footnoteReference w:id="11"/>
      </w:r>
    </w:p>
    <w:p w14:paraId="62B81CC5" w14:textId="4C3498BE" w:rsidR="00F939F6" w:rsidRDefault="00F939F6" w:rsidP="002A1CD3"/>
    <w:p w14:paraId="4DDCD51F" w14:textId="47E62C6C" w:rsidR="007D230B" w:rsidRPr="004B06E3" w:rsidRDefault="00245AFF" w:rsidP="00462BB6">
      <w:pPr>
        <w:pStyle w:val="eTRMHeading3"/>
      </w:pPr>
      <w:bookmarkStart w:id="55" w:name="_Toc23506743"/>
      <w:bookmarkStart w:id="56" w:name="_Toc486490859"/>
      <w:bookmarkStart w:id="57" w:name="_Toc486580930"/>
      <w:r w:rsidRPr="004B06E3">
        <w:t>Life Cycle</w:t>
      </w:r>
      <w:bookmarkEnd w:id="55"/>
      <w:r w:rsidR="007D230B" w:rsidRPr="004B06E3">
        <w:t xml:space="preserve"> </w:t>
      </w:r>
      <w:bookmarkEnd w:id="56"/>
      <w:bookmarkEnd w:id="57"/>
    </w:p>
    <w:p w14:paraId="25FED911" w14:textId="77777777" w:rsidR="007E70F8" w:rsidRDefault="004E7D83" w:rsidP="004E7D83">
      <w:r w:rsidRPr="000F211A">
        <w:t xml:space="preserve">Effective Useful Life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w:t>
      </w:r>
      <w:r>
        <w:t xml:space="preserve">EUL is often, but not always, derived from measure persistence or retention studies. </w:t>
      </w:r>
      <w:r w:rsidRPr="000F211A">
        <w:t xml:space="preserve">Remaining Useful Life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lastRenderedPageBreak/>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 </w:t>
      </w:r>
    </w:p>
    <w:p w14:paraId="2FA2A89E" w14:textId="564F737F" w:rsidR="004E7D83" w:rsidRDefault="00624E5E" w:rsidP="004E7D83">
      <w:r>
        <w:t>The RUL is only applicable to the first baseline period for a retrofit measure with an applicable code baseline. 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12"/>
      </w:r>
      <w:r>
        <w:t xml:space="preserve"> </w:t>
      </w:r>
      <w:r w:rsidRPr="008F087F">
        <w:rPr>
          <w:rFonts w:eastAsia="Times New Roman"/>
        </w:rPr>
        <w:t xml:space="preserve">This approach provides a reasonable RUL estimate without the requiring </w:t>
      </w:r>
      <w:r w:rsidR="00E8761F">
        <w:rPr>
          <w:rFonts w:eastAsia="Times New Roman"/>
        </w:rPr>
        <w:t xml:space="preserve">of </w:t>
      </w:r>
      <w:r w:rsidRPr="008F087F">
        <w:rPr>
          <w:rFonts w:eastAsia="Times New Roman"/>
        </w:rPr>
        <w:t xml:space="preserve">any </w:t>
      </w:r>
      <w:r w:rsidR="00006920">
        <w:rPr>
          <w:rFonts w:eastAsia="Times New Roman"/>
        </w:rPr>
        <w:t>prior</w:t>
      </w:r>
      <w:r w:rsidRPr="008F087F">
        <w:rPr>
          <w:rFonts w:eastAsia="Times New Roman"/>
        </w:rPr>
        <w:t xml:space="preserve"> knowledge about the age of the equipment being replaced.</w:t>
      </w:r>
      <w:r>
        <w:rPr>
          <w:rStyle w:val="FootnoteReference"/>
          <w:rFonts w:eastAsia="Times New Roman"/>
        </w:rPr>
        <w:footnoteReference w:id="13"/>
      </w:r>
      <w:r w:rsidRPr="008F087F">
        <w:rPr>
          <w:rFonts w:eastAsia="Times New Roman"/>
        </w:rPr>
        <w:t> </w:t>
      </w:r>
    </w:p>
    <w:p w14:paraId="40053B33" w14:textId="00747302" w:rsidR="00624E5E" w:rsidRDefault="004E7D83" w:rsidP="00624E5E">
      <w:r>
        <w:t>The EUL</w:t>
      </w:r>
      <w:r w:rsidR="004E68D3">
        <w:t xml:space="preserve"> and RUL </w:t>
      </w:r>
      <w:r w:rsidR="006A36C9">
        <w:t>are</w:t>
      </w:r>
      <w:r>
        <w:t xml:space="preserve"> </w:t>
      </w:r>
      <w:r w:rsidR="007E70F8">
        <w:t xml:space="preserve">specified below. For </w:t>
      </w:r>
      <w:r w:rsidR="007E70F8" w:rsidRPr="007E70F8">
        <w:rPr>
          <w:i/>
        </w:rPr>
        <w:t>normal replacement installations</w:t>
      </w:r>
      <w:r w:rsidR="00624E5E">
        <w:t xml:space="preserve">, only the EUL is applicable. For the </w:t>
      </w:r>
      <w:r w:rsidR="007E70F8" w:rsidRPr="007E70F8">
        <w:rPr>
          <w:i/>
        </w:rPr>
        <w:t>accelerated replacement installations</w:t>
      </w:r>
      <w:r w:rsidR="007E70F8">
        <w:t>,</w:t>
      </w:r>
      <w:r w:rsidR="00624E5E">
        <w:t xml:space="preserve"> t</w:t>
      </w:r>
      <w:r w:rsidR="00624E5E" w:rsidRPr="008A383B">
        <w:rPr>
          <w:rFonts w:cs="Calibri Light"/>
          <w:szCs w:val="22"/>
        </w:rPr>
        <w:t xml:space="preserve">he first period </w:t>
      </w:r>
      <w:r w:rsidR="00624E5E">
        <w:rPr>
          <w:rFonts w:cs="Calibri Light"/>
          <w:szCs w:val="22"/>
        </w:rPr>
        <w:t>savings utilizes</w:t>
      </w:r>
      <w:r w:rsidR="00624E5E" w:rsidRPr="008A383B">
        <w:rPr>
          <w:rFonts w:cs="Calibri Light"/>
          <w:szCs w:val="22"/>
        </w:rPr>
        <w:t xml:space="preserve"> the RUL period of </w:t>
      </w:r>
      <w:r w:rsidR="000F7D88">
        <w:rPr>
          <w:rFonts w:cs="Calibri Light"/>
          <w:szCs w:val="22"/>
        </w:rPr>
        <w:t>one-third</w:t>
      </w:r>
      <w:r w:rsidR="00624E5E" w:rsidRPr="008A383B">
        <w:rPr>
          <w:rFonts w:cs="Calibri Light"/>
          <w:szCs w:val="22"/>
        </w:rPr>
        <w:t xml:space="preserve"> of the useful life. </w:t>
      </w:r>
      <w:r w:rsidR="00624E5E">
        <w:rPr>
          <w:rFonts w:cs="Calibri Light"/>
          <w:szCs w:val="22"/>
        </w:rPr>
        <w:t>The second period savings utilizes</w:t>
      </w:r>
      <w:r w:rsidR="00624E5E" w:rsidRPr="009E5AF6">
        <w:rPr>
          <w:rFonts w:cs="Calibri Light"/>
          <w:szCs w:val="22"/>
        </w:rPr>
        <w:t xml:space="preserve"> the EUL </w:t>
      </w:r>
      <w:r w:rsidR="00006920">
        <w:rPr>
          <w:rFonts w:cs="Calibri Light"/>
          <w:szCs w:val="22"/>
        </w:rPr>
        <w:t>minus the</w:t>
      </w:r>
      <w:r w:rsidR="00624E5E" w:rsidRPr="009E5AF6">
        <w:rPr>
          <w:rFonts w:cs="Calibri Light"/>
          <w:szCs w:val="22"/>
        </w:rPr>
        <w:t xml:space="preserve"> RUL value.</w:t>
      </w:r>
    </w:p>
    <w:p w14:paraId="6A425029" w14:textId="035E3343" w:rsidR="00624E5E" w:rsidRDefault="004E68D3" w:rsidP="00624E5E">
      <w:r>
        <w:t xml:space="preserve">The showerhead EUL </w:t>
      </w:r>
      <w:r w:rsidR="00624E5E">
        <w:t xml:space="preserve">is </w:t>
      </w:r>
      <w:r>
        <w:t>adopted</w:t>
      </w:r>
      <w:r w:rsidR="00624E5E">
        <w:t xml:space="preserve"> for the TSV, because of lack of data for TSVs. T</w:t>
      </w:r>
      <w:r w:rsidR="00624E5E" w:rsidRPr="00DC4DA6">
        <w:t xml:space="preserve">he only known product of this type of device, manufactured by </w:t>
      </w:r>
      <w:proofErr w:type="spellStart"/>
      <w:r w:rsidR="00624E5E" w:rsidRPr="00DC4DA6">
        <w:t>ShowerStart</w:t>
      </w:r>
      <w:proofErr w:type="spellEnd"/>
      <w:r w:rsidR="00624E5E" w:rsidRPr="00DC4DA6">
        <w:t xml:space="preserve">™, passed a required </w:t>
      </w:r>
      <w:r w:rsidR="00624E5E" w:rsidRPr="004E68D3">
        <w:t>IAPMO</w:t>
      </w:r>
      <w:r>
        <w:rPr>
          <w:rStyle w:val="FootnoteReference"/>
        </w:rPr>
        <w:footnoteReference w:id="14"/>
      </w:r>
      <w:r w:rsidR="00624E5E" w:rsidRPr="00DC4DA6">
        <w:t xml:space="preserve"> life-cycle test of a minimum of 10,00</w:t>
      </w:r>
      <w:r w:rsidR="00624E5E">
        <w:t>0</w:t>
      </w:r>
      <w:r w:rsidR="00624E5E" w:rsidRPr="00624E5E">
        <w:t xml:space="preserve"> cycles.</w:t>
      </w:r>
      <w:r w:rsidR="00624E5E" w:rsidRPr="00A71483">
        <w:rPr>
          <w:rStyle w:val="FootnoteReference"/>
        </w:rPr>
        <w:footnoteReference w:id="15"/>
      </w:r>
      <w:r w:rsidR="00624E5E" w:rsidRPr="00624E5E">
        <w:t xml:space="preserve"> Assuming that one cycle corresponds with one</w:t>
      </w:r>
      <w:r w:rsidR="00624E5E" w:rsidRPr="00DC4DA6">
        <w:t xml:space="preserve"> shower event, and </w:t>
      </w:r>
      <w:r>
        <w:t xml:space="preserve">number of </w:t>
      </w:r>
      <w:r w:rsidR="00624E5E" w:rsidRPr="00DC4DA6">
        <w:t xml:space="preserve">showerheads per household </w:t>
      </w:r>
      <w:r w:rsidR="00C67EF4">
        <w:t>adopted for this measure analysis</w:t>
      </w:r>
      <w:r w:rsidR="00624E5E" w:rsidRPr="00DC4DA6">
        <w:t>, 10,000 cycles translates to a minimum of 19 years.</w:t>
      </w:r>
      <w:r w:rsidR="00624E5E">
        <w:t xml:space="preserve"> </w:t>
      </w:r>
      <w:r w:rsidR="00624E5E" w:rsidRPr="00DC4DA6">
        <w:t xml:space="preserve">However, the life-cycle testing does not account for prolonged exposure to hot water. The </w:t>
      </w:r>
      <w:r w:rsidR="00624E5E">
        <w:t>TSV</w:t>
      </w:r>
      <w:r w:rsidR="00624E5E" w:rsidRPr="00DC4DA6">
        <w:t xml:space="preserve"> and the low-flow showerhead are subject to the same environmental conditions, with the main difference between the </w:t>
      </w:r>
      <w:r w:rsidR="00C67EF4">
        <w:t>TSV</w:t>
      </w:r>
      <w:r w:rsidR="00624E5E" w:rsidRPr="00DC4DA6">
        <w:t xml:space="preserve"> and the showerhead being the thermostatic capability of the valve. </w:t>
      </w:r>
      <w:r w:rsidR="000016B6">
        <w:t xml:space="preserve">Thus, the EUL of the TSV is estimated to be equal to the EUL of the showerhead.  </w:t>
      </w:r>
    </w:p>
    <w:p w14:paraId="37C40D1A" w14:textId="3C98A140" w:rsidR="004E7D83" w:rsidRPr="00052C24" w:rsidRDefault="004E7D83" w:rsidP="004E7D83">
      <w:pPr>
        <w:pStyle w:val="Caption"/>
      </w:pPr>
      <w:r>
        <w:t>Effective Useful Life and Remaining Useful Life</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1"/>
        <w:gridCol w:w="1566"/>
        <w:gridCol w:w="1567"/>
        <w:gridCol w:w="4251"/>
      </w:tblGrid>
      <w:tr w:rsidR="002D3DC0" w:rsidRPr="002005AE" w14:paraId="2493D46D" w14:textId="77777777" w:rsidTr="00F76213">
        <w:trPr>
          <w:cantSplit/>
          <w:trHeight w:val="578"/>
        </w:trPr>
        <w:tc>
          <w:tcPr>
            <w:tcW w:w="1971" w:type="dxa"/>
            <w:shd w:val="clear" w:color="auto" w:fill="F2F2F2" w:themeFill="background1" w:themeFillShade="F2"/>
            <w:vAlign w:val="bottom"/>
          </w:tcPr>
          <w:p w14:paraId="591ED9B9" w14:textId="77777777" w:rsidR="002D3DC0" w:rsidRPr="002005AE" w:rsidRDefault="002D3DC0" w:rsidP="00F76213">
            <w:pPr>
              <w:keepNext/>
              <w:keepLines/>
              <w:spacing w:before="20" w:after="20"/>
              <w:jc w:val="center"/>
              <w:rPr>
                <w:rFonts w:cstheme="minorHAnsi"/>
                <w:b/>
                <w:sz w:val="20"/>
                <w:szCs w:val="20"/>
              </w:rPr>
            </w:pPr>
            <w:bookmarkStart w:id="58" w:name="_Toc486490860"/>
            <w:bookmarkStart w:id="59" w:name="_Toc486580931"/>
            <w:r w:rsidRPr="002005AE">
              <w:rPr>
                <w:rFonts w:cstheme="minorHAnsi"/>
                <w:b/>
                <w:sz w:val="20"/>
                <w:szCs w:val="20"/>
              </w:rPr>
              <w:t>Type</w:t>
            </w:r>
          </w:p>
        </w:tc>
        <w:tc>
          <w:tcPr>
            <w:tcW w:w="1566" w:type="dxa"/>
            <w:shd w:val="clear" w:color="auto" w:fill="F2F2F2" w:themeFill="background1" w:themeFillShade="F2"/>
            <w:vAlign w:val="bottom"/>
          </w:tcPr>
          <w:p w14:paraId="0F93625B" w14:textId="642302F2" w:rsidR="002D3DC0" w:rsidRPr="002005AE" w:rsidRDefault="002D3DC0" w:rsidP="00F76213">
            <w:pPr>
              <w:keepNext/>
              <w:keepLines/>
              <w:spacing w:before="20" w:after="20"/>
              <w:jc w:val="center"/>
              <w:rPr>
                <w:rFonts w:cstheme="minorHAnsi"/>
                <w:b/>
                <w:sz w:val="20"/>
                <w:szCs w:val="20"/>
              </w:rPr>
            </w:pPr>
            <w:r>
              <w:rPr>
                <w:rFonts w:cstheme="minorHAnsi"/>
                <w:b/>
                <w:sz w:val="20"/>
                <w:szCs w:val="20"/>
              </w:rPr>
              <w:t xml:space="preserve">TSV Only </w:t>
            </w:r>
            <w:r>
              <w:rPr>
                <w:rFonts w:cstheme="minorHAnsi"/>
                <w:b/>
                <w:sz w:val="20"/>
                <w:szCs w:val="20"/>
              </w:rPr>
              <w:br/>
              <w:t xml:space="preserve">(gas &amp; </w:t>
            </w:r>
            <w:proofErr w:type="spellStart"/>
            <w:r>
              <w:rPr>
                <w:rFonts w:cstheme="minorHAnsi"/>
                <w:b/>
                <w:sz w:val="20"/>
                <w:szCs w:val="20"/>
              </w:rPr>
              <w:t>elec</w:t>
            </w:r>
            <w:proofErr w:type="spellEnd"/>
            <w:r>
              <w:rPr>
                <w:rFonts w:cstheme="minorHAnsi"/>
                <w:b/>
                <w:sz w:val="20"/>
                <w:szCs w:val="20"/>
              </w:rPr>
              <w:t>)</w:t>
            </w:r>
          </w:p>
        </w:tc>
        <w:tc>
          <w:tcPr>
            <w:tcW w:w="1567" w:type="dxa"/>
            <w:shd w:val="clear" w:color="auto" w:fill="F2F2F2" w:themeFill="background1" w:themeFillShade="F2"/>
            <w:vAlign w:val="bottom"/>
          </w:tcPr>
          <w:p w14:paraId="2430EFDD" w14:textId="08399990" w:rsidR="002D3DC0" w:rsidRPr="002005AE" w:rsidRDefault="002D3DC0" w:rsidP="002D3DC0">
            <w:pPr>
              <w:keepNext/>
              <w:keepLines/>
              <w:spacing w:before="20" w:after="20"/>
              <w:jc w:val="center"/>
              <w:rPr>
                <w:rFonts w:cstheme="minorHAnsi"/>
                <w:b/>
                <w:sz w:val="20"/>
                <w:szCs w:val="20"/>
              </w:rPr>
            </w:pPr>
            <w:r>
              <w:rPr>
                <w:rFonts w:cstheme="minorHAnsi"/>
                <w:b/>
                <w:sz w:val="20"/>
                <w:szCs w:val="20"/>
              </w:rPr>
              <w:t xml:space="preserve">TSV w/ Low-flow Showerhead </w:t>
            </w:r>
            <w:r>
              <w:rPr>
                <w:rFonts w:cstheme="minorHAnsi"/>
                <w:b/>
                <w:sz w:val="20"/>
                <w:szCs w:val="20"/>
              </w:rPr>
              <w:br/>
              <w:t xml:space="preserve">(gas &amp; </w:t>
            </w:r>
            <w:proofErr w:type="spellStart"/>
            <w:r>
              <w:rPr>
                <w:rFonts w:cstheme="minorHAnsi"/>
                <w:b/>
                <w:sz w:val="20"/>
                <w:szCs w:val="20"/>
              </w:rPr>
              <w:t>elec</w:t>
            </w:r>
            <w:proofErr w:type="spellEnd"/>
            <w:r>
              <w:rPr>
                <w:rFonts w:cstheme="minorHAnsi"/>
                <w:b/>
                <w:sz w:val="20"/>
                <w:szCs w:val="20"/>
              </w:rPr>
              <w:t>)</w:t>
            </w:r>
          </w:p>
        </w:tc>
        <w:tc>
          <w:tcPr>
            <w:tcW w:w="4251" w:type="dxa"/>
            <w:shd w:val="clear" w:color="auto" w:fill="F2F2F2" w:themeFill="background1" w:themeFillShade="F2"/>
            <w:vAlign w:val="bottom"/>
          </w:tcPr>
          <w:p w14:paraId="046EAA9C" w14:textId="77777777" w:rsidR="002D3DC0" w:rsidRPr="002005AE" w:rsidRDefault="002D3DC0" w:rsidP="00F76213">
            <w:pPr>
              <w:keepNext/>
              <w:keepLines/>
              <w:spacing w:before="20" w:after="20"/>
              <w:jc w:val="center"/>
              <w:rPr>
                <w:rFonts w:cstheme="minorHAnsi"/>
                <w:b/>
                <w:sz w:val="20"/>
                <w:szCs w:val="20"/>
              </w:rPr>
            </w:pPr>
            <w:r w:rsidRPr="002005AE">
              <w:rPr>
                <w:rFonts w:cstheme="minorHAnsi"/>
                <w:b/>
                <w:sz w:val="20"/>
                <w:szCs w:val="20"/>
              </w:rPr>
              <w:t>Source</w:t>
            </w:r>
          </w:p>
        </w:tc>
      </w:tr>
      <w:tr w:rsidR="002D3DC0" w:rsidRPr="002005AE" w14:paraId="09D4E5AF" w14:textId="77777777" w:rsidTr="00F76213">
        <w:trPr>
          <w:cantSplit/>
          <w:trHeight w:val="20"/>
        </w:trPr>
        <w:tc>
          <w:tcPr>
            <w:tcW w:w="5104" w:type="dxa"/>
            <w:gridSpan w:val="3"/>
            <w:vAlign w:val="bottom"/>
          </w:tcPr>
          <w:p w14:paraId="56492473" w14:textId="4FD56F2E" w:rsidR="002D3DC0" w:rsidRPr="002005AE" w:rsidRDefault="002D3DC0" w:rsidP="00F76213">
            <w:pPr>
              <w:keepNext/>
              <w:keepLines/>
              <w:spacing w:before="20" w:after="20"/>
              <w:rPr>
                <w:sz w:val="20"/>
                <w:szCs w:val="20"/>
              </w:rPr>
            </w:pPr>
            <w:r w:rsidRPr="002005AE">
              <w:rPr>
                <w:b/>
                <w:sz w:val="20"/>
                <w:szCs w:val="20"/>
              </w:rPr>
              <w:t xml:space="preserve">Single </w:t>
            </w:r>
            <w:r w:rsidR="0085000A">
              <w:rPr>
                <w:b/>
                <w:sz w:val="20"/>
                <w:szCs w:val="20"/>
              </w:rPr>
              <w:t>b</w:t>
            </w:r>
            <w:r w:rsidRPr="002005AE">
              <w:rPr>
                <w:b/>
                <w:sz w:val="20"/>
                <w:szCs w:val="20"/>
              </w:rPr>
              <w:t xml:space="preserve">aseline for </w:t>
            </w:r>
            <w:r w:rsidR="0085000A">
              <w:rPr>
                <w:b/>
                <w:sz w:val="20"/>
                <w:szCs w:val="20"/>
              </w:rPr>
              <w:t>normal replacement/new construction</w:t>
            </w:r>
            <w:r w:rsidRPr="002005AE">
              <w:rPr>
                <w:b/>
                <w:sz w:val="20"/>
                <w:szCs w:val="20"/>
              </w:rPr>
              <w:t xml:space="preserve"> </w:t>
            </w:r>
          </w:p>
        </w:tc>
        <w:tc>
          <w:tcPr>
            <w:tcW w:w="4251" w:type="dxa"/>
            <w:vMerge w:val="restart"/>
            <w:vAlign w:val="center"/>
          </w:tcPr>
          <w:p w14:paraId="4F083B39" w14:textId="1B748AF1" w:rsidR="002D3DC0" w:rsidRPr="007773D4" w:rsidRDefault="007773D4" w:rsidP="00F76213">
            <w:pPr>
              <w:keepNext/>
              <w:keepLines/>
              <w:spacing w:before="20" w:after="20"/>
              <w:rPr>
                <w:sz w:val="18"/>
                <w:szCs w:val="18"/>
                <w:highlight w:val="yellow"/>
              </w:rPr>
            </w:pPr>
            <w:r w:rsidRPr="000F2290">
              <w:rPr>
                <w:sz w:val="18"/>
                <w:szCs w:val="18"/>
              </w:rPr>
              <w:t>California Public Utilities Commission (CPUC). 2014. “DEER2014-EUL-table-update_2014-02-05.xlsx.”</w:t>
            </w:r>
          </w:p>
        </w:tc>
      </w:tr>
      <w:tr w:rsidR="002D3DC0" w:rsidRPr="002005AE" w14:paraId="08979CB8" w14:textId="77777777" w:rsidTr="00F76213">
        <w:trPr>
          <w:cantSplit/>
          <w:trHeight w:val="20"/>
        </w:trPr>
        <w:tc>
          <w:tcPr>
            <w:tcW w:w="1971" w:type="dxa"/>
            <w:vAlign w:val="bottom"/>
          </w:tcPr>
          <w:p w14:paraId="477C143C" w14:textId="77777777" w:rsidR="002D3DC0" w:rsidRPr="002005AE" w:rsidRDefault="002D3DC0" w:rsidP="00F76213">
            <w:pPr>
              <w:keepNext/>
              <w:keepLines/>
              <w:spacing w:before="20" w:after="20"/>
              <w:ind w:left="154"/>
              <w:rPr>
                <w:sz w:val="20"/>
                <w:szCs w:val="20"/>
              </w:rPr>
            </w:pPr>
            <w:r w:rsidRPr="002005AE">
              <w:rPr>
                <w:sz w:val="20"/>
                <w:szCs w:val="20"/>
              </w:rPr>
              <w:t>EUL</w:t>
            </w:r>
          </w:p>
        </w:tc>
        <w:tc>
          <w:tcPr>
            <w:tcW w:w="1566" w:type="dxa"/>
          </w:tcPr>
          <w:p w14:paraId="7E211B55" w14:textId="62F775F1" w:rsidR="002D3DC0" w:rsidRPr="007E70F8" w:rsidRDefault="002D3DC0" w:rsidP="000C4796">
            <w:pPr>
              <w:keepNext/>
              <w:keepLines/>
              <w:spacing w:before="20" w:after="20"/>
              <w:jc w:val="right"/>
              <w:rPr>
                <w:sz w:val="20"/>
                <w:szCs w:val="20"/>
              </w:rPr>
            </w:pPr>
            <w:r w:rsidRPr="007E70F8">
              <w:rPr>
                <w:sz w:val="20"/>
                <w:szCs w:val="20"/>
              </w:rPr>
              <w:t>10</w:t>
            </w:r>
            <w:r w:rsidR="000C4796" w:rsidRPr="007E70F8">
              <w:rPr>
                <w:sz w:val="20"/>
                <w:szCs w:val="20"/>
              </w:rPr>
              <w:t>.00</w:t>
            </w:r>
          </w:p>
        </w:tc>
        <w:tc>
          <w:tcPr>
            <w:tcW w:w="1567" w:type="dxa"/>
          </w:tcPr>
          <w:p w14:paraId="57228E67" w14:textId="1A2E3FC6" w:rsidR="002D3DC0" w:rsidRPr="007E70F8" w:rsidRDefault="002D3DC0" w:rsidP="000C4796">
            <w:pPr>
              <w:keepNext/>
              <w:keepLines/>
              <w:spacing w:before="20" w:after="20"/>
              <w:jc w:val="right"/>
              <w:rPr>
                <w:sz w:val="20"/>
                <w:szCs w:val="20"/>
              </w:rPr>
            </w:pPr>
            <w:r w:rsidRPr="007E70F8">
              <w:rPr>
                <w:sz w:val="20"/>
                <w:szCs w:val="20"/>
              </w:rPr>
              <w:t>10</w:t>
            </w:r>
            <w:r w:rsidR="000C4796" w:rsidRPr="007E70F8">
              <w:rPr>
                <w:sz w:val="20"/>
                <w:szCs w:val="20"/>
              </w:rPr>
              <w:t>.00</w:t>
            </w:r>
            <w:r w:rsidRPr="007E70F8">
              <w:rPr>
                <w:sz w:val="20"/>
                <w:szCs w:val="20"/>
              </w:rPr>
              <w:t xml:space="preserve"> </w:t>
            </w:r>
          </w:p>
        </w:tc>
        <w:tc>
          <w:tcPr>
            <w:tcW w:w="4251" w:type="dxa"/>
            <w:vMerge/>
          </w:tcPr>
          <w:p w14:paraId="63BDEF71" w14:textId="77777777" w:rsidR="002D3DC0" w:rsidRPr="002005AE" w:rsidRDefault="002D3DC0" w:rsidP="00F76213">
            <w:pPr>
              <w:keepNext/>
              <w:keepLines/>
              <w:spacing w:before="20" w:after="20"/>
              <w:jc w:val="center"/>
              <w:rPr>
                <w:sz w:val="20"/>
                <w:szCs w:val="20"/>
              </w:rPr>
            </w:pPr>
          </w:p>
        </w:tc>
      </w:tr>
      <w:tr w:rsidR="002D3DC0" w:rsidRPr="002005AE" w14:paraId="1D8FAE0F" w14:textId="77777777" w:rsidTr="00F76213">
        <w:trPr>
          <w:cantSplit/>
          <w:trHeight w:val="20"/>
        </w:trPr>
        <w:tc>
          <w:tcPr>
            <w:tcW w:w="1971" w:type="dxa"/>
            <w:vAlign w:val="bottom"/>
          </w:tcPr>
          <w:p w14:paraId="3B63EA14" w14:textId="77777777" w:rsidR="002D3DC0" w:rsidRPr="002005AE" w:rsidRDefault="002D3DC0" w:rsidP="00F76213">
            <w:pPr>
              <w:keepNext/>
              <w:keepLines/>
              <w:spacing w:before="20" w:after="20"/>
              <w:ind w:left="154"/>
              <w:rPr>
                <w:sz w:val="20"/>
                <w:szCs w:val="20"/>
              </w:rPr>
            </w:pPr>
            <w:r w:rsidRPr="002005AE">
              <w:rPr>
                <w:sz w:val="20"/>
                <w:szCs w:val="20"/>
              </w:rPr>
              <w:t>RUL</w:t>
            </w:r>
          </w:p>
        </w:tc>
        <w:tc>
          <w:tcPr>
            <w:tcW w:w="1566" w:type="dxa"/>
          </w:tcPr>
          <w:p w14:paraId="0317D3B1" w14:textId="77777777" w:rsidR="002D3DC0" w:rsidRPr="007E70F8" w:rsidRDefault="002D3DC0" w:rsidP="000C4796">
            <w:pPr>
              <w:keepNext/>
              <w:keepLines/>
              <w:spacing w:before="20" w:after="20"/>
              <w:jc w:val="right"/>
              <w:rPr>
                <w:sz w:val="20"/>
                <w:szCs w:val="20"/>
              </w:rPr>
            </w:pPr>
            <w:r w:rsidRPr="007E70F8">
              <w:rPr>
                <w:sz w:val="20"/>
                <w:szCs w:val="20"/>
              </w:rPr>
              <w:t>n/a</w:t>
            </w:r>
          </w:p>
        </w:tc>
        <w:tc>
          <w:tcPr>
            <w:tcW w:w="1567" w:type="dxa"/>
          </w:tcPr>
          <w:p w14:paraId="4420D949" w14:textId="77777777" w:rsidR="002D3DC0" w:rsidRPr="007E70F8" w:rsidRDefault="002D3DC0" w:rsidP="000C4796">
            <w:pPr>
              <w:keepNext/>
              <w:keepLines/>
              <w:spacing w:before="20" w:after="20"/>
              <w:jc w:val="right"/>
              <w:rPr>
                <w:sz w:val="20"/>
                <w:szCs w:val="20"/>
              </w:rPr>
            </w:pPr>
            <w:r w:rsidRPr="007E70F8">
              <w:rPr>
                <w:sz w:val="20"/>
                <w:szCs w:val="20"/>
              </w:rPr>
              <w:t>n/a</w:t>
            </w:r>
          </w:p>
        </w:tc>
        <w:tc>
          <w:tcPr>
            <w:tcW w:w="4251" w:type="dxa"/>
            <w:vMerge/>
          </w:tcPr>
          <w:p w14:paraId="3B3C90E6" w14:textId="77777777" w:rsidR="002D3DC0" w:rsidRPr="002005AE" w:rsidRDefault="002D3DC0" w:rsidP="00F76213">
            <w:pPr>
              <w:keepNext/>
              <w:keepLines/>
              <w:spacing w:before="20" w:after="20"/>
              <w:jc w:val="center"/>
              <w:rPr>
                <w:sz w:val="20"/>
                <w:szCs w:val="20"/>
              </w:rPr>
            </w:pPr>
          </w:p>
        </w:tc>
      </w:tr>
      <w:tr w:rsidR="002D3DC0" w:rsidRPr="002005AE" w14:paraId="0FB23CD8" w14:textId="77777777" w:rsidTr="00F76213">
        <w:trPr>
          <w:cantSplit/>
          <w:trHeight w:val="20"/>
        </w:trPr>
        <w:tc>
          <w:tcPr>
            <w:tcW w:w="5104" w:type="dxa"/>
            <w:gridSpan w:val="3"/>
            <w:vAlign w:val="bottom"/>
          </w:tcPr>
          <w:p w14:paraId="2C153B82" w14:textId="17F4D0AC" w:rsidR="002D3DC0" w:rsidRPr="007E70F8" w:rsidRDefault="002D3DC0" w:rsidP="00F76213">
            <w:pPr>
              <w:keepNext/>
              <w:keepLines/>
              <w:spacing w:before="20" w:after="20"/>
              <w:rPr>
                <w:sz w:val="20"/>
                <w:szCs w:val="20"/>
              </w:rPr>
            </w:pPr>
            <w:r w:rsidRPr="007E70F8">
              <w:rPr>
                <w:b/>
                <w:sz w:val="20"/>
                <w:szCs w:val="20"/>
              </w:rPr>
              <w:t xml:space="preserve">Dual </w:t>
            </w:r>
            <w:r w:rsidR="0085000A">
              <w:rPr>
                <w:b/>
                <w:sz w:val="20"/>
                <w:szCs w:val="20"/>
              </w:rPr>
              <w:t>b</w:t>
            </w:r>
            <w:r w:rsidRPr="007E70F8">
              <w:rPr>
                <w:b/>
                <w:sz w:val="20"/>
                <w:szCs w:val="20"/>
              </w:rPr>
              <w:t xml:space="preserve">aseline for </w:t>
            </w:r>
            <w:r w:rsidR="0085000A">
              <w:rPr>
                <w:b/>
                <w:sz w:val="20"/>
                <w:szCs w:val="20"/>
              </w:rPr>
              <w:t>accelerated replacements</w:t>
            </w:r>
            <w:r w:rsidR="00AB7DCE">
              <w:rPr>
                <w:b/>
                <w:sz w:val="20"/>
                <w:szCs w:val="20"/>
              </w:rPr>
              <w:t>/</w:t>
            </w:r>
            <w:r w:rsidR="001C09BF">
              <w:rPr>
                <w:b/>
                <w:sz w:val="20"/>
                <w:szCs w:val="20"/>
              </w:rPr>
              <w:br/>
              <w:t>add-on equipment</w:t>
            </w:r>
            <w:r w:rsidR="00AB7DCE">
              <w:rPr>
                <w:b/>
                <w:sz w:val="20"/>
                <w:szCs w:val="20"/>
              </w:rPr>
              <w:t xml:space="preserve"> </w:t>
            </w:r>
          </w:p>
        </w:tc>
        <w:tc>
          <w:tcPr>
            <w:tcW w:w="4251" w:type="dxa"/>
            <w:vMerge w:val="restart"/>
            <w:vAlign w:val="center"/>
          </w:tcPr>
          <w:p w14:paraId="4598BDB2" w14:textId="77777777" w:rsidR="002D3DC0" w:rsidRPr="00C36AD1" w:rsidRDefault="002D3DC0" w:rsidP="00F76213">
            <w:pPr>
              <w:keepNext/>
              <w:keepLines/>
              <w:spacing w:before="20" w:after="20"/>
              <w:rPr>
                <w:sz w:val="18"/>
                <w:szCs w:val="20"/>
                <w:highlight w:val="yellow"/>
              </w:rPr>
            </w:pPr>
            <w:r w:rsidRPr="00C36AD1">
              <w:rPr>
                <w:sz w:val="18"/>
              </w:rPr>
              <w:t xml:space="preserve">California Public Utilities Commission (CPUC), Energy Division. 2013. </w:t>
            </w:r>
            <w:r w:rsidRPr="00C36AD1">
              <w:rPr>
                <w:i/>
                <w:sz w:val="18"/>
              </w:rPr>
              <w:t>Energy Efficiency Policy Manual Version 5</w:t>
            </w:r>
            <w:r w:rsidRPr="00C36AD1">
              <w:rPr>
                <w:sz w:val="18"/>
              </w:rPr>
              <w:t>. Page 32.</w:t>
            </w:r>
          </w:p>
        </w:tc>
      </w:tr>
      <w:tr w:rsidR="002D3DC0" w:rsidRPr="002005AE" w14:paraId="21FD30C7" w14:textId="77777777" w:rsidTr="00F76213">
        <w:trPr>
          <w:cantSplit/>
          <w:trHeight w:val="20"/>
        </w:trPr>
        <w:tc>
          <w:tcPr>
            <w:tcW w:w="19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14:paraId="43D4E284" w14:textId="77777777" w:rsidR="002D3DC0" w:rsidRPr="002005AE" w:rsidRDefault="002D3DC0" w:rsidP="00F76213">
            <w:pPr>
              <w:keepNext/>
              <w:keepLines/>
              <w:spacing w:before="20" w:after="20"/>
              <w:ind w:left="154"/>
              <w:rPr>
                <w:sz w:val="20"/>
                <w:szCs w:val="20"/>
              </w:rPr>
            </w:pPr>
            <w:r w:rsidRPr="002005AE">
              <w:rPr>
                <w:sz w:val="20"/>
                <w:szCs w:val="20"/>
              </w:rPr>
              <w:t>RUL</w:t>
            </w:r>
            <w:r>
              <w:rPr>
                <w:sz w:val="20"/>
                <w:szCs w:val="20"/>
              </w:rPr>
              <w:t xml:space="preserve"> =1/3 EUL </w:t>
            </w:r>
          </w:p>
        </w:tc>
        <w:tc>
          <w:tcPr>
            <w:tcW w:w="1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902B6B2" w14:textId="6D96F086" w:rsidR="002D3DC0" w:rsidRPr="007E70F8" w:rsidRDefault="000016B6" w:rsidP="000C4796">
            <w:pPr>
              <w:keepNext/>
              <w:keepLines/>
              <w:spacing w:before="20" w:after="20"/>
              <w:jc w:val="right"/>
              <w:rPr>
                <w:sz w:val="20"/>
                <w:szCs w:val="20"/>
              </w:rPr>
            </w:pPr>
            <w:r w:rsidRPr="007E70F8">
              <w:rPr>
                <w:sz w:val="20"/>
                <w:szCs w:val="20"/>
              </w:rPr>
              <w:t>n/a</w:t>
            </w:r>
          </w:p>
        </w:tc>
        <w:tc>
          <w:tcPr>
            <w:tcW w:w="1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27B536" w14:textId="529640AF" w:rsidR="002D3DC0" w:rsidRPr="007E70F8" w:rsidRDefault="000016B6" w:rsidP="000C4796">
            <w:pPr>
              <w:keepNext/>
              <w:keepLines/>
              <w:spacing w:before="20" w:after="20"/>
              <w:jc w:val="right"/>
              <w:rPr>
                <w:sz w:val="20"/>
                <w:szCs w:val="20"/>
              </w:rPr>
            </w:pPr>
            <w:r w:rsidRPr="007E70F8">
              <w:rPr>
                <w:sz w:val="20"/>
                <w:szCs w:val="20"/>
              </w:rPr>
              <w:t>3.33</w:t>
            </w:r>
          </w:p>
        </w:tc>
        <w:tc>
          <w:tcPr>
            <w:tcW w:w="4251" w:type="dxa"/>
            <w:vMerge/>
          </w:tcPr>
          <w:p w14:paraId="065FBDB3" w14:textId="77777777" w:rsidR="002D3DC0" w:rsidRPr="002005AE" w:rsidRDefault="002D3DC0" w:rsidP="00F76213">
            <w:pPr>
              <w:keepNext/>
              <w:keepLines/>
              <w:spacing w:before="20" w:after="20"/>
              <w:jc w:val="center"/>
              <w:rPr>
                <w:sz w:val="20"/>
                <w:szCs w:val="20"/>
              </w:rPr>
            </w:pPr>
          </w:p>
        </w:tc>
      </w:tr>
      <w:tr w:rsidR="002D3DC0" w:rsidRPr="002005AE" w14:paraId="1D1C1CD8" w14:textId="77777777" w:rsidTr="00F76213">
        <w:trPr>
          <w:cantSplit/>
          <w:trHeight w:val="20"/>
        </w:trPr>
        <w:tc>
          <w:tcPr>
            <w:tcW w:w="19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bottom"/>
          </w:tcPr>
          <w:p w14:paraId="09451757" w14:textId="70F6C9C9" w:rsidR="002D3DC0" w:rsidRPr="002005AE" w:rsidRDefault="002D3DC0" w:rsidP="00F76213">
            <w:pPr>
              <w:keepNext/>
              <w:keepLines/>
              <w:spacing w:before="20" w:after="20"/>
              <w:ind w:left="154"/>
              <w:rPr>
                <w:sz w:val="20"/>
                <w:szCs w:val="20"/>
              </w:rPr>
            </w:pPr>
            <w:r w:rsidRPr="002005AE">
              <w:rPr>
                <w:sz w:val="20"/>
                <w:szCs w:val="20"/>
              </w:rPr>
              <w:t>EUL</w:t>
            </w:r>
            <w:r>
              <w:rPr>
                <w:sz w:val="20"/>
                <w:szCs w:val="20"/>
              </w:rPr>
              <w:t xml:space="preserve"> </w:t>
            </w:r>
            <w:r w:rsidR="0085000A">
              <w:rPr>
                <w:sz w:val="20"/>
                <w:szCs w:val="20"/>
              </w:rPr>
              <w:t>minus</w:t>
            </w:r>
            <w:r>
              <w:rPr>
                <w:sz w:val="20"/>
                <w:szCs w:val="20"/>
              </w:rPr>
              <w:t xml:space="preserve"> RUL</w:t>
            </w:r>
          </w:p>
        </w:tc>
        <w:tc>
          <w:tcPr>
            <w:tcW w:w="1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A9D1E4D" w14:textId="4DE53250" w:rsidR="002D3DC0" w:rsidRPr="007E70F8" w:rsidRDefault="000016B6" w:rsidP="000C4796">
            <w:pPr>
              <w:keepNext/>
              <w:keepLines/>
              <w:spacing w:before="20" w:after="20"/>
              <w:jc w:val="right"/>
              <w:rPr>
                <w:sz w:val="20"/>
                <w:szCs w:val="20"/>
              </w:rPr>
            </w:pPr>
            <w:r w:rsidRPr="007E70F8">
              <w:rPr>
                <w:sz w:val="20"/>
                <w:szCs w:val="20"/>
              </w:rPr>
              <w:t>n/a</w:t>
            </w:r>
          </w:p>
        </w:tc>
        <w:tc>
          <w:tcPr>
            <w:tcW w:w="1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8A04491" w14:textId="6CC8028C" w:rsidR="002D3DC0" w:rsidRPr="007E70F8" w:rsidRDefault="000016B6" w:rsidP="000C4796">
            <w:pPr>
              <w:keepNext/>
              <w:keepLines/>
              <w:spacing w:before="20" w:after="20"/>
              <w:jc w:val="right"/>
              <w:rPr>
                <w:sz w:val="20"/>
                <w:szCs w:val="20"/>
              </w:rPr>
            </w:pPr>
            <w:r w:rsidRPr="007E70F8">
              <w:rPr>
                <w:sz w:val="20"/>
                <w:szCs w:val="20"/>
              </w:rPr>
              <w:t>6.67</w:t>
            </w:r>
            <w:r w:rsidR="002D3DC0" w:rsidRPr="007E70F8">
              <w:rPr>
                <w:sz w:val="20"/>
                <w:szCs w:val="20"/>
              </w:rPr>
              <w:t xml:space="preserve"> </w:t>
            </w:r>
          </w:p>
        </w:tc>
        <w:tc>
          <w:tcPr>
            <w:tcW w:w="4251" w:type="dxa"/>
            <w:vMerge/>
          </w:tcPr>
          <w:p w14:paraId="77734B49" w14:textId="77777777" w:rsidR="002D3DC0" w:rsidRPr="002005AE" w:rsidRDefault="002D3DC0" w:rsidP="00F76213">
            <w:pPr>
              <w:keepNext/>
              <w:keepLines/>
              <w:spacing w:before="20" w:after="20"/>
              <w:jc w:val="center"/>
              <w:rPr>
                <w:sz w:val="20"/>
                <w:szCs w:val="20"/>
              </w:rPr>
            </w:pPr>
          </w:p>
        </w:tc>
      </w:tr>
    </w:tbl>
    <w:p w14:paraId="5A8B3E8B" w14:textId="77777777" w:rsidR="002D3DC0" w:rsidRDefault="002D3DC0" w:rsidP="002D3DC0"/>
    <w:p w14:paraId="3B14B593" w14:textId="77777777" w:rsidR="007D230B" w:rsidRPr="004B06E3" w:rsidRDefault="007D230B" w:rsidP="00462BB6">
      <w:pPr>
        <w:pStyle w:val="eTRMHeading3"/>
      </w:pPr>
      <w:bookmarkStart w:id="60" w:name="_Toc23506744"/>
      <w:r w:rsidRPr="004B06E3">
        <w:lastRenderedPageBreak/>
        <w:t>Base Case Material Cost ($/unit)</w:t>
      </w:r>
      <w:bookmarkEnd w:id="58"/>
      <w:bookmarkEnd w:id="59"/>
      <w:bookmarkEnd w:id="60"/>
    </w:p>
    <w:p w14:paraId="4587F3B6" w14:textId="77777777" w:rsidR="00732A64" w:rsidRDefault="00732A64" w:rsidP="00732A64">
      <w:bookmarkStart w:id="61" w:name="_Toc486490861"/>
      <w:bookmarkStart w:id="62" w:name="_Toc486580932"/>
      <w:r>
        <w:t xml:space="preserve">Base case material costs of </w:t>
      </w:r>
      <w:r w:rsidRPr="00E9439F">
        <w:rPr>
          <w:i/>
        </w:rPr>
        <w:t>add-on equipment</w:t>
      </w:r>
      <w:r>
        <w:t xml:space="preserve"> and </w:t>
      </w:r>
      <w:r w:rsidRPr="00E9439F">
        <w:rPr>
          <w:i/>
        </w:rPr>
        <w:t>accelerated replacement installations</w:t>
      </w:r>
      <w:r>
        <w:t xml:space="preserve"> are equal to $0. </w:t>
      </w:r>
    </w:p>
    <w:p w14:paraId="733CC4DF" w14:textId="2D8AD014" w:rsidR="00011E01" w:rsidRDefault="00011E01" w:rsidP="00011E01">
      <w:r>
        <w:t xml:space="preserve">Base case material costs for </w:t>
      </w:r>
      <w:r w:rsidR="00E9439F" w:rsidRPr="00E9439F">
        <w:rPr>
          <w:i/>
        </w:rPr>
        <w:t>normal replacement and new construction</w:t>
      </w:r>
      <w:r w:rsidRPr="00E9439F">
        <w:rPr>
          <w:i/>
        </w:rPr>
        <w:t xml:space="preserve"> installations</w:t>
      </w:r>
      <w:r>
        <w:t xml:space="preserve"> were developed from the </w:t>
      </w:r>
      <w:r w:rsidR="00EE661C">
        <w:t xml:space="preserve">2008 </w:t>
      </w:r>
      <w:r>
        <w:t>revised measure cost summary for the Database of Energy Efficient Resources (DEER).</w:t>
      </w:r>
      <w:r>
        <w:rPr>
          <w:rStyle w:val="FootnoteReference"/>
        </w:rPr>
        <w:footnoteReference w:id="16"/>
      </w:r>
      <w:r>
        <w:t xml:space="preserve"> </w:t>
      </w:r>
    </w:p>
    <w:p w14:paraId="23E448B1" w14:textId="77777777" w:rsidR="00EE1839" w:rsidRDefault="00EE1839" w:rsidP="00EE1839"/>
    <w:p w14:paraId="3449A3CF" w14:textId="7BEF3C2B" w:rsidR="007D230B" w:rsidRDefault="007D230B" w:rsidP="003B3599">
      <w:pPr>
        <w:pStyle w:val="eTRMHeading3"/>
      </w:pPr>
      <w:bookmarkStart w:id="63" w:name="_Toc23506745"/>
      <w:r w:rsidRPr="004B06E3">
        <w:t>Measure Case Material Cost ($/unit)</w:t>
      </w:r>
      <w:bookmarkEnd w:id="61"/>
      <w:bookmarkEnd w:id="62"/>
      <w:bookmarkEnd w:id="63"/>
    </w:p>
    <w:p w14:paraId="7318B104" w14:textId="67D73644" w:rsidR="00EE661C" w:rsidRDefault="00EE661C" w:rsidP="00EE661C">
      <w:pPr>
        <w:spacing w:after="240"/>
        <w:contextualSpacing/>
      </w:pPr>
      <w:r>
        <w:t xml:space="preserve">The measure case equipment costs for a </w:t>
      </w:r>
      <w:r w:rsidR="002310FB">
        <w:t xml:space="preserve">thermostatic shower valve (TSV) and a TSV with a </w:t>
      </w:r>
      <w:r>
        <w:t>low-flow showerhead combination was obtained from the manufacturer website</w:t>
      </w:r>
      <w:r w:rsidR="00186521">
        <w:t xml:space="preserve"> in 2016</w:t>
      </w:r>
      <w:r w:rsidR="002310FB">
        <w:t>.</w:t>
      </w:r>
      <w:r>
        <w:t xml:space="preserve"> </w:t>
      </w:r>
      <w:r w:rsidR="00453262">
        <w:t>The costs represent a TSV</w:t>
      </w:r>
      <w:r w:rsidR="00186521">
        <w:t xml:space="preserve"> with and without a single-function low-flow showerhead, and the cost of the TSV with a low-flow showerhead is the same regardless of showerhead flow rate.</w:t>
      </w:r>
    </w:p>
    <w:p w14:paraId="4649C3BE" w14:textId="77777777" w:rsidR="0085000A" w:rsidRPr="00B4408D" w:rsidRDefault="0085000A" w:rsidP="00EE661C">
      <w:pPr>
        <w:spacing w:after="240"/>
        <w:contextualSpacing/>
        <w:rPr>
          <w:lang w:eastAsia="zh-TW"/>
        </w:rPr>
      </w:pPr>
    </w:p>
    <w:p w14:paraId="2326559C" w14:textId="1795C5F0" w:rsidR="0085000A" w:rsidRPr="004B06E3" w:rsidRDefault="0085000A" w:rsidP="0085000A">
      <w:pPr>
        <w:pStyle w:val="eTRMHeading3"/>
      </w:pPr>
      <w:bookmarkStart w:id="64" w:name="_Toc23506746"/>
      <w:r>
        <w:t xml:space="preserve">Base Case </w:t>
      </w:r>
      <w:r w:rsidRPr="004B06E3">
        <w:t>Labor Cost ($/unit)</w:t>
      </w:r>
      <w:bookmarkEnd w:id="64"/>
    </w:p>
    <w:p w14:paraId="3E844EE0" w14:textId="036B426E" w:rsidR="00732A64" w:rsidRDefault="00732A64" w:rsidP="00732A64">
      <w:r>
        <w:t xml:space="preserve">Base case labor costs of </w:t>
      </w:r>
      <w:r w:rsidRPr="00E9439F">
        <w:rPr>
          <w:i/>
        </w:rPr>
        <w:t>add-on equipment</w:t>
      </w:r>
      <w:r>
        <w:t xml:space="preserve"> and </w:t>
      </w:r>
      <w:r w:rsidRPr="00E9439F">
        <w:rPr>
          <w:i/>
        </w:rPr>
        <w:t>accelerated replacement installations</w:t>
      </w:r>
      <w:r>
        <w:t xml:space="preserve"> are equal to $0. </w:t>
      </w:r>
    </w:p>
    <w:p w14:paraId="476733B8" w14:textId="77777777" w:rsidR="00732A64" w:rsidRDefault="00732A64" w:rsidP="00732A64">
      <w:r>
        <w:t xml:space="preserve">Base case material costs for </w:t>
      </w:r>
      <w:r w:rsidRPr="00E9439F">
        <w:rPr>
          <w:i/>
        </w:rPr>
        <w:t>normal replacement and new construction installations</w:t>
      </w:r>
      <w:r>
        <w:t xml:space="preserve"> were developed from the 2008 revised measure cost summary for the Database of Energy Efficient Resources (DEER).</w:t>
      </w:r>
      <w:r>
        <w:rPr>
          <w:rStyle w:val="FootnoteReference"/>
        </w:rPr>
        <w:footnoteReference w:id="17"/>
      </w:r>
      <w:r>
        <w:t xml:space="preserve"> </w:t>
      </w:r>
    </w:p>
    <w:p w14:paraId="10EDE6D8" w14:textId="77777777" w:rsidR="003B3599" w:rsidRPr="004B06E3" w:rsidRDefault="003B3599" w:rsidP="004142EF"/>
    <w:p w14:paraId="02691007" w14:textId="58B0FBE9" w:rsidR="007D230B" w:rsidRPr="004B06E3" w:rsidRDefault="0085000A" w:rsidP="00462BB6">
      <w:pPr>
        <w:pStyle w:val="eTRMHeading3"/>
      </w:pPr>
      <w:bookmarkStart w:id="65" w:name="_Toc486490862"/>
      <w:bookmarkStart w:id="66" w:name="_Toc486580933"/>
      <w:bookmarkStart w:id="67" w:name="_Toc23506747"/>
      <w:r>
        <w:t xml:space="preserve">Measure Case </w:t>
      </w:r>
      <w:r w:rsidR="007D230B" w:rsidRPr="004B06E3">
        <w:t>Labor Cost ($/unit)</w:t>
      </w:r>
      <w:bookmarkEnd w:id="65"/>
      <w:bookmarkEnd w:id="66"/>
      <w:bookmarkEnd w:id="67"/>
    </w:p>
    <w:p w14:paraId="00F747C4" w14:textId="0B5C6E78" w:rsidR="00AB1CF3" w:rsidRDefault="00AB1CF3" w:rsidP="00AB1CF3">
      <w:bookmarkStart w:id="68" w:name="_Ref489017989"/>
      <w:r w:rsidRPr="00EE661C">
        <w:t xml:space="preserve">The </w:t>
      </w:r>
      <w:r w:rsidR="00732A64">
        <w:t xml:space="preserve">measure case </w:t>
      </w:r>
      <w:r w:rsidRPr="00EE661C">
        <w:t>labor cost</w:t>
      </w:r>
      <w:r w:rsidR="00732A64">
        <w:t>s</w:t>
      </w:r>
      <w:r w:rsidRPr="00EE661C">
        <w:t xml:space="preserve"> for the installation of a thermostatic </w:t>
      </w:r>
      <w:r w:rsidR="00EE661C" w:rsidRPr="00EE661C">
        <w:t xml:space="preserve">shower </w:t>
      </w:r>
      <w:r w:rsidRPr="00EE661C">
        <w:t>valve</w:t>
      </w:r>
      <w:r w:rsidR="00EE661C" w:rsidRPr="00EE661C">
        <w:t xml:space="preserve"> (TSV) only and the installation of a TSV with a low-flow showerhead</w:t>
      </w:r>
      <w:r w:rsidRPr="00EE661C">
        <w:t xml:space="preserve"> is assumed to equal to the labor installation cost for a low-flow showerhead</w:t>
      </w:r>
      <w:r w:rsidR="00EE661C" w:rsidRPr="00EE661C">
        <w:t xml:space="preserve"> </w:t>
      </w:r>
      <w:r w:rsidR="00EE661C" w:rsidRPr="00D479F4">
        <w:rPr>
          <w:i/>
        </w:rPr>
        <w:t>only</w:t>
      </w:r>
      <w:r w:rsidRPr="00EE661C">
        <w:t xml:space="preserve">, which was drawn from the 2010-2012 Ex Ante Measure Cost Study conducted by </w:t>
      </w:r>
      <w:proofErr w:type="spellStart"/>
      <w:r w:rsidRPr="00EE661C">
        <w:t>Itron</w:t>
      </w:r>
      <w:proofErr w:type="spellEnd"/>
      <w:r w:rsidRPr="00EE661C">
        <w:t>, Inc.</w:t>
      </w:r>
      <w:r w:rsidRPr="00EE661C">
        <w:rPr>
          <w:rStyle w:val="FootnoteReference"/>
        </w:rPr>
        <w:footnoteReference w:id="18"/>
      </w:r>
      <w:r w:rsidRPr="00EE661C">
        <w:t xml:space="preserve"> The resultant cost was derived from labor costs obtained from contractors that provided direct installation services to the California IOUs during the 2010-2012 and 2013-2014 program cycles. The study validated the direct installation program prices against data obtained from </w:t>
      </w:r>
      <w:proofErr w:type="spellStart"/>
      <w:r w:rsidRPr="00EE661C">
        <w:t>RSMeans</w:t>
      </w:r>
      <w:proofErr w:type="spellEnd"/>
      <w:r w:rsidRPr="00EE661C">
        <w:t>, Grainger, and Home Depot.</w:t>
      </w:r>
    </w:p>
    <w:p w14:paraId="181E6DD4" w14:textId="77777777" w:rsidR="00AB1CF3" w:rsidRDefault="00AB1CF3" w:rsidP="00AB1CF3"/>
    <w:p w14:paraId="179A833C" w14:textId="77777777" w:rsidR="00AB1CF3" w:rsidRPr="002B45FE" w:rsidRDefault="00AB1CF3" w:rsidP="00AB1CF3">
      <w:pPr>
        <w:pStyle w:val="eTRMHeading3"/>
      </w:pPr>
      <w:bookmarkStart w:id="69" w:name="_Toc486490863"/>
      <w:bookmarkStart w:id="70" w:name="_Toc486580934"/>
      <w:bookmarkStart w:id="71" w:name="_Toc511995783"/>
      <w:bookmarkStart w:id="72" w:name="_Toc23506748"/>
      <w:r w:rsidRPr="002B45FE">
        <w:t>Net-to-Gross</w:t>
      </w:r>
      <w:bookmarkEnd w:id="69"/>
      <w:bookmarkEnd w:id="70"/>
      <w:r w:rsidRPr="002B45FE">
        <w:t xml:space="preserve"> (NTG)</w:t>
      </w:r>
      <w:bookmarkEnd w:id="71"/>
      <w:bookmarkEnd w:id="72"/>
    </w:p>
    <w:p w14:paraId="0CE074E5" w14:textId="50EDF6B7" w:rsidR="00C67EF4" w:rsidRDefault="00C67EF4" w:rsidP="00C67EF4">
      <w:r w:rsidRPr="002B45FE">
        <w:t xml:space="preserve">The net-to-gross (NTG) ratio represents the portion of gross impacts that are determined to be directly attributed to a specific program intervention. </w:t>
      </w:r>
      <w:bookmarkStart w:id="73" w:name="_Hlk505777490"/>
      <w:r w:rsidRPr="00AF3038">
        <w:t>The</w:t>
      </w:r>
      <w:r>
        <w:t xml:space="preserve"> </w:t>
      </w:r>
      <w:r w:rsidRPr="00AF3038">
        <w:t>NTG value</w:t>
      </w:r>
      <w:r>
        <w:t xml:space="preserve"> is</w:t>
      </w:r>
      <w:r w:rsidRPr="00AF3038">
        <w:t xml:space="preserve"> based upon the average of all NTG ratios for all evaluated 2006 – 2008 </w:t>
      </w:r>
      <w:r>
        <w:t>residential</w:t>
      </w:r>
      <w:r w:rsidRPr="00AF3038">
        <w:t xml:space="preserve"> programs, as documented in the 2011 DEER Update Study conducted by </w:t>
      </w:r>
      <w:proofErr w:type="spellStart"/>
      <w:r w:rsidRPr="00AF3038">
        <w:t>Itron</w:t>
      </w:r>
      <w:proofErr w:type="spellEnd"/>
      <w:r w:rsidRPr="00AF3038">
        <w:t xml:space="preserve">, Inc. </w:t>
      </w:r>
      <w:r w:rsidR="003901BE">
        <w:t>This</w:t>
      </w:r>
      <w:r w:rsidRPr="00AF3038">
        <w:t xml:space="preserve"> sector average NTG (“default NTGs”) </w:t>
      </w:r>
      <w:r w:rsidR="003901BE">
        <w:t>is</w:t>
      </w:r>
      <w:r w:rsidRPr="00AF3038">
        <w:t xml:space="preserve"> applicable </w:t>
      </w:r>
      <w:r>
        <w:t xml:space="preserve">to </w:t>
      </w:r>
      <w:r w:rsidRPr="00AF3038">
        <w:t xml:space="preserve">all energy </w:t>
      </w:r>
      <w:r w:rsidRPr="00AF3038">
        <w:lastRenderedPageBreak/>
        <w:t xml:space="preserve">efficiency measures that have been offered </w:t>
      </w:r>
      <w:r>
        <w:t>through</w:t>
      </w:r>
      <w:r w:rsidRPr="00AF3038">
        <w:t xml:space="preserve"> </w:t>
      </w:r>
      <w:r>
        <w:t xml:space="preserve">residential </w:t>
      </w:r>
      <w:r w:rsidRPr="00AF3038">
        <w:t>programs for more than two years and for which impact evaluation results are not available.</w:t>
      </w:r>
      <w:r w:rsidRPr="00765218">
        <w:t> </w:t>
      </w:r>
    </w:p>
    <w:bookmarkEnd w:id="68"/>
    <w:bookmarkEnd w:id="73"/>
    <w:p w14:paraId="19F135C8" w14:textId="57808647" w:rsidR="00C67EF4" w:rsidRPr="002B45FE" w:rsidRDefault="00C67EF4" w:rsidP="00C67EF4">
      <w:pPr>
        <w:pStyle w:val="Caption"/>
      </w:pPr>
      <w:r w:rsidRPr="002B45FE">
        <w:t>Net-to-Gross Ratios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872"/>
        <w:gridCol w:w="1152"/>
        <w:gridCol w:w="1152"/>
        <w:gridCol w:w="5274"/>
      </w:tblGrid>
      <w:tr w:rsidR="00C67EF4" w:rsidRPr="00052C24" w14:paraId="089DEBF2" w14:textId="77777777" w:rsidTr="00CA7B8C">
        <w:tc>
          <w:tcPr>
            <w:tcW w:w="1872" w:type="dxa"/>
            <w:shd w:val="clear" w:color="auto" w:fill="F2F2F2" w:themeFill="background1" w:themeFillShade="F2"/>
            <w:vAlign w:val="bottom"/>
          </w:tcPr>
          <w:p w14:paraId="55A90329" w14:textId="77777777" w:rsidR="00C67EF4" w:rsidRPr="00052C24" w:rsidRDefault="00C67EF4" w:rsidP="00CA7B8C">
            <w:pPr>
              <w:keepNext/>
              <w:keepLines/>
              <w:spacing w:before="0" w:after="0" w:line="200" w:lineRule="atLeast"/>
              <w:jc w:val="center"/>
              <w:rPr>
                <w:b/>
                <w:sz w:val="20"/>
              </w:rPr>
            </w:pPr>
            <w:r>
              <w:rPr>
                <w:b/>
                <w:sz w:val="20"/>
              </w:rPr>
              <w:t>Parameter</w:t>
            </w:r>
          </w:p>
        </w:tc>
        <w:tc>
          <w:tcPr>
            <w:tcW w:w="1152" w:type="dxa"/>
            <w:shd w:val="clear" w:color="auto" w:fill="F2F2F2" w:themeFill="background1" w:themeFillShade="F2"/>
            <w:vAlign w:val="bottom"/>
          </w:tcPr>
          <w:p w14:paraId="4FEB1D00" w14:textId="77777777" w:rsidR="00C67EF4" w:rsidRPr="00052C24" w:rsidRDefault="00C67EF4" w:rsidP="00CA7B8C">
            <w:pPr>
              <w:keepNext/>
              <w:keepLines/>
              <w:spacing w:before="0" w:after="0" w:line="200" w:lineRule="atLeast"/>
              <w:jc w:val="center"/>
              <w:rPr>
                <w:b/>
                <w:sz w:val="20"/>
              </w:rPr>
            </w:pPr>
            <w:r>
              <w:rPr>
                <w:b/>
                <w:sz w:val="20"/>
              </w:rPr>
              <w:t xml:space="preserve"> Electric  </w:t>
            </w:r>
          </w:p>
        </w:tc>
        <w:tc>
          <w:tcPr>
            <w:tcW w:w="1152" w:type="dxa"/>
            <w:shd w:val="clear" w:color="auto" w:fill="F2F2F2" w:themeFill="background1" w:themeFillShade="F2"/>
            <w:vAlign w:val="bottom"/>
          </w:tcPr>
          <w:p w14:paraId="09C4726E" w14:textId="77777777" w:rsidR="00C67EF4" w:rsidRPr="00052C24" w:rsidRDefault="00C67EF4" w:rsidP="00CA7B8C">
            <w:pPr>
              <w:keepNext/>
              <w:keepLines/>
              <w:spacing w:before="0" w:after="0" w:line="200" w:lineRule="atLeast"/>
              <w:jc w:val="center"/>
              <w:rPr>
                <w:b/>
                <w:sz w:val="20"/>
              </w:rPr>
            </w:pPr>
            <w:r>
              <w:rPr>
                <w:b/>
                <w:sz w:val="20"/>
              </w:rPr>
              <w:t xml:space="preserve">Gas  </w:t>
            </w:r>
          </w:p>
        </w:tc>
        <w:tc>
          <w:tcPr>
            <w:tcW w:w="5274" w:type="dxa"/>
            <w:shd w:val="clear" w:color="auto" w:fill="F2F2F2" w:themeFill="background1" w:themeFillShade="F2"/>
            <w:vAlign w:val="bottom"/>
          </w:tcPr>
          <w:p w14:paraId="506688E0" w14:textId="77777777" w:rsidR="00C67EF4" w:rsidRDefault="00C67EF4" w:rsidP="00CA7B8C">
            <w:pPr>
              <w:keepNext/>
              <w:keepLines/>
              <w:spacing w:before="0" w:after="0" w:line="200" w:lineRule="atLeast"/>
              <w:jc w:val="center"/>
              <w:rPr>
                <w:b/>
                <w:sz w:val="20"/>
              </w:rPr>
            </w:pPr>
            <w:r>
              <w:rPr>
                <w:b/>
                <w:sz w:val="20"/>
              </w:rPr>
              <w:t>Source</w:t>
            </w:r>
          </w:p>
        </w:tc>
      </w:tr>
      <w:tr w:rsidR="003901BE" w:rsidRPr="009062D0" w14:paraId="13E8B89D" w14:textId="77777777" w:rsidTr="00CA7B8C">
        <w:trPr>
          <w:trHeight w:val="20"/>
        </w:trPr>
        <w:tc>
          <w:tcPr>
            <w:tcW w:w="1872" w:type="dxa"/>
            <w:vAlign w:val="center"/>
          </w:tcPr>
          <w:p w14:paraId="206C2C2B" w14:textId="71BEBE4C" w:rsidR="003901BE" w:rsidRPr="009062D0" w:rsidRDefault="003901BE" w:rsidP="003901BE">
            <w:pPr>
              <w:keepNext/>
              <w:keepLines/>
              <w:spacing w:before="0" w:after="0" w:line="200" w:lineRule="atLeast"/>
              <w:rPr>
                <w:sz w:val="20"/>
              </w:rPr>
            </w:pPr>
            <w:r>
              <w:rPr>
                <w:sz w:val="20"/>
              </w:rPr>
              <w:t xml:space="preserve">NTG – Residential, </w:t>
            </w:r>
            <w:r w:rsidR="00385D68">
              <w:rPr>
                <w:sz w:val="20"/>
              </w:rPr>
              <w:t>default</w:t>
            </w:r>
          </w:p>
        </w:tc>
        <w:tc>
          <w:tcPr>
            <w:tcW w:w="1152" w:type="dxa"/>
            <w:shd w:val="clear" w:color="auto" w:fill="auto"/>
            <w:vAlign w:val="center"/>
          </w:tcPr>
          <w:p w14:paraId="70E732A1" w14:textId="48AFF2D2" w:rsidR="003901BE" w:rsidRPr="00F720F2" w:rsidRDefault="003901BE" w:rsidP="003901BE">
            <w:pPr>
              <w:keepNext/>
              <w:keepLines/>
              <w:spacing w:before="0" w:after="0" w:line="200" w:lineRule="atLeast"/>
              <w:jc w:val="center"/>
              <w:rPr>
                <w:sz w:val="20"/>
              </w:rPr>
            </w:pPr>
            <w:r>
              <w:rPr>
                <w:sz w:val="20"/>
              </w:rPr>
              <w:t>0.55</w:t>
            </w:r>
          </w:p>
        </w:tc>
        <w:tc>
          <w:tcPr>
            <w:tcW w:w="1152" w:type="dxa"/>
            <w:vAlign w:val="center"/>
          </w:tcPr>
          <w:p w14:paraId="708E2F7D" w14:textId="4F8D82F5" w:rsidR="003901BE" w:rsidRPr="00F720F2" w:rsidRDefault="003901BE" w:rsidP="003901BE">
            <w:pPr>
              <w:keepNext/>
              <w:keepLines/>
              <w:spacing w:before="0" w:after="0" w:line="200" w:lineRule="atLeast"/>
              <w:jc w:val="center"/>
              <w:rPr>
                <w:sz w:val="20"/>
              </w:rPr>
            </w:pPr>
            <w:r>
              <w:rPr>
                <w:sz w:val="20"/>
              </w:rPr>
              <w:t>0.55</w:t>
            </w:r>
          </w:p>
        </w:tc>
        <w:tc>
          <w:tcPr>
            <w:tcW w:w="5274" w:type="dxa"/>
            <w:vAlign w:val="center"/>
          </w:tcPr>
          <w:p w14:paraId="19C0C8EC" w14:textId="54E2A3A8" w:rsidR="003901BE" w:rsidRPr="00F16CD3" w:rsidRDefault="003901BE" w:rsidP="003901BE">
            <w:pPr>
              <w:keepNext/>
              <w:keepLines/>
              <w:spacing w:before="0" w:after="0" w:line="240" w:lineRule="auto"/>
              <w:rPr>
                <w:sz w:val="18"/>
              </w:rPr>
            </w:pPr>
            <w:proofErr w:type="spellStart"/>
            <w:r w:rsidRPr="00E60C2B">
              <w:rPr>
                <w:sz w:val="18"/>
                <w:szCs w:val="18"/>
              </w:rPr>
              <w:t>Itron</w:t>
            </w:r>
            <w:proofErr w:type="spellEnd"/>
            <w:r w:rsidRPr="00E60C2B">
              <w:rPr>
                <w:sz w:val="18"/>
                <w:szCs w:val="18"/>
              </w:rPr>
              <w:t xml:space="preserve">, Inc. 2011. </w:t>
            </w:r>
            <w:r w:rsidRPr="00E60C2B">
              <w:rPr>
                <w:i/>
                <w:sz w:val="18"/>
                <w:szCs w:val="18"/>
              </w:rPr>
              <w:t>DEER Database 2011 Update Documentation.</w:t>
            </w:r>
            <w:r w:rsidRPr="00E60C2B">
              <w:rPr>
                <w:sz w:val="18"/>
                <w:szCs w:val="18"/>
              </w:rPr>
              <w:t xml:space="preserve"> Prepared for the California Public Utilities Commission.  Page 15-4 Table 15-3.</w:t>
            </w:r>
          </w:p>
        </w:tc>
      </w:tr>
    </w:tbl>
    <w:p w14:paraId="74B5D253" w14:textId="77777777" w:rsidR="003901BE" w:rsidRPr="004B06E3" w:rsidRDefault="003901BE" w:rsidP="004142EF"/>
    <w:p w14:paraId="323B5B02" w14:textId="4C4B13DC" w:rsidR="007D230B" w:rsidRPr="004B06E3" w:rsidRDefault="00D02C36" w:rsidP="00462BB6">
      <w:pPr>
        <w:pStyle w:val="eTRMHeading3"/>
      </w:pPr>
      <w:bookmarkStart w:id="74" w:name="_Toc486490864"/>
      <w:bookmarkStart w:id="75" w:name="_Toc486580935"/>
      <w:bookmarkStart w:id="76" w:name="_Toc23506749"/>
      <w:r>
        <w:t>Gross Savings Installation Adjustment (</w:t>
      </w:r>
      <w:r w:rsidR="007D230B" w:rsidRPr="004B06E3">
        <w:t>GSIA</w:t>
      </w:r>
      <w:bookmarkEnd w:id="74"/>
      <w:bookmarkEnd w:id="75"/>
      <w:r>
        <w:t>)</w:t>
      </w:r>
      <w:bookmarkEnd w:id="76"/>
    </w:p>
    <w:p w14:paraId="7AF3D7AD" w14:textId="44D41189" w:rsidR="00183C06" w:rsidRDefault="00EC284F" w:rsidP="00183C06">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 by the utility</w:t>
      </w:r>
      <w:r w:rsidRPr="00AD00D3">
        <w:t xml:space="preserve">. </w:t>
      </w:r>
      <w:r>
        <w:t>This factor</w:t>
      </w:r>
      <w:r w:rsidRPr="00AD00D3">
        <w:t xml:space="preserve"> varies by end use, sector, technology, ap</w:t>
      </w:r>
      <w:r>
        <w:t xml:space="preserve">plication, and delivery method. </w:t>
      </w:r>
      <w:r w:rsidR="005244C1">
        <w:t xml:space="preserve">This GSIA value </w:t>
      </w:r>
      <w:r w:rsidR="0088540B">
        <w:t xml:space="preserve">was derived from a the residential low-flow showerhead GSIA (value of 0.737, GSIA ID: </w:t>
      </w:r>
      <w:r w:rsidR="0088540B" w:rsidRPr="0088540B">
        <w:t>Res-</w:t>
      </w:r>
      <w:proofErr w:type="spellStart"/>
      <w:r w:rsidR="0088540B" w:rsidRPr="0088540B">
        <w:t>LowF</w:t>
      </w:r>
      <w:proofErr w:type="spellEnd"/>
      <w:r w:rsidR="0088540B" w:rsidRPr="0088540B">
        <w:t>-SH-All</w:t>
      </w:r>
      <w:r w:rsidR="0088540B">
        <w:t xml:space="preserve">) that was specified in </w:t>
      </w:r>
      <w:r w:rsidR="005244C1">
        <w:t>the Workpaper Disposition for Water Fixtures disposition issued by the Energy Division of the California Public Utilities Commission (CPUC) in 2013</w:t>
      </w:r>
      <w:r w:rsidR="0088540B">
        <w:rPr>
          <w:rStyle w:val="FootnoteReference"/>
        </w:rPr>
        <w:footnoteReference w:id="19"/>
      </w:r>
      <w:r w:rsidR="005244C1">
        <w:t xml:space="preserve"> and was derived as the gross savings weighted installation rate reported in the 2006-2008 Residential Retrofit impact evaluation report.</w:t>
      </w:r>
      <w:r w:rsidR="0088540B">
        <w:rPr>
          <w:rStyle w:val="FootnoteReference"/>
        </w:rPr>
        <w:footnoteReference w:id="20"/>
      </w:r>
      <w:r w:rsidR="005244C1">
        <w:t xml:space="preserve"> </w:t>
      </w:r>
      <w:r w:rsidR="00B70E39">
        <w:t xml:space="preserve"> </w:t>
      </w:r>
    </w:p>
    <w:p w14:paraId="6F597B12" w14:textId="69767FDC" w:rsidR="001D4DF1" w:rsidRPr="00702E2D" w:rsidRDefault="0088540B" w:rsidP="001D4DF1">
      <w:pPr>
        <w:rPr>
          <w:highlight w:val="yellow"/>
        </w:rPr>
      </w:pPr>
      <w:r w:rsidRPr="0088540B">
        <w:t xml:space="preserve">In conformance with the Workpaper Disposition for Water Fixtures, an additional adjustment factor of 0.80 was applied to the showerhead GSIA to account for installations without a tub/shower combination system. </w:t>
      </w:r>
      <w:r w:rsidR="001D4DF1">
        <w:t xml:space="preserve">This adjustment factor reflects the assumption that a portion of TSV installations are in tub-shower combinations. Specifically, </w:t>
      </w:r>
      <w:r w:rsidR="001D4DF1" w:rsidRPr="001D4DF1">
        <w:t>it is assumed that,</w:t>
      </w:r>
      <w:r w:rsidR="001D4DF1" w:rsidRPr="007A4427">
        <w:t xml:space="preserve"> in a bathtub where both a showerhead and a tub spout are present, the use of </w:t>
      </w:r>
      <w:r w:rsidR="001D4DF1">
        <w:t>TSV</w:t>
      </w:r>
      <w:r w:rsidR="001D4DF1" w:rsidRPr="007A4427">
        <w:t xml:space="preserve"> attached on the showerhead may not be effective because the water may be dispensed through the </w:t>
      </w:r>
      <w:r w:rsidR="001D4DF1">
        <w:t xml:space="preserve">tub </w:t>
      </w:r>
      <w:r w:rsidR="001D4DF1" w:rsidRPr="007A4427">
        <w:t xml:space="preserve">spout instead of the showerhead while waiting for the water temperature to reach a desired level. </w:t>
      </w:r>
      <w:r w:rsidR="001D4DF1">
        <w:t>Thus a “tub/shower”</w:t>
      </w:r>
      <w:r w:rsidR="001D4DF1" w:rsidRPr="007A4427">
        <w:t xml:space="preserve"> adjustment factor was applied to reduce the unit energy savings (UES</w:t>
      </w:r>
      <w:r w:rsidR="001D4DF1">
        <w:t>)</w:t>
      </w:r>
      <w:r w:rsidR="001D4DF1" w:rsidRPr="00D07BF4">
        <w:t>.</w:t>
      </w:r>
    </w:p>
    <w:p w14:paraId="16B18B9D" w14:textId="5B7DD359" w:rsidR="0088540B" w:rsidRDefault="001D4DF1" w:rsidP="00183C06">
      <w:r>
        <w:t>The resultant</w:t>
      </w:r>
      <w:r w:rsidR="0088540B" w:rsidRPr="0088540B">
        <w:t xml:space="preserve"> GSIA stipulated for this measure is specified below.</w:t>
      </w:r>
    </w:p>
    <w:p w14:paraId="5E3C1F35" w14:textId="78AC4840" w:rsidR="00EC284F" w:rsidRPr="0059426D" w:rsidRDefault="00EC284F" w:rsidP="00EC284F">
      <w:pPr>
        <w:pStyle w:val="Caption"/>
      </w:pPr>
      <w:r>
        <w:lastRenderedPageBreak/>
        <w:t>Gross Savings Installation Adjustment Rates</w:t>
      </w:r>
    </w:p>
    <w:tbl>
      <w:tblPr>
        <w:tblW w:w="95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440"/>
        <w:gridCol w:w="1170"/>
        <w:gridCol w:w="6930"/>
      </w:tblGrid>
      <w:tr w:rsidR="00EC284F" w:rsidRPr="00052C24" w14:paraId="6095AD36" w14:textId="77777777" w:rsidTr="0088540B">
        <w:tc>
          <w:tcPr>
            <w:tcW w:w="1440" w:type="dxa"/>
            <w:shd w:val="clear" w:color="auto" w:fill="F2F2F2" w:themeFill="background1" w:themeFillShade="F2"/>
            <w:vAlign w:val="bottom"/>
          </w:tcPr>
          <w:p w14:paraId="43860E78" w14:textId="77777777" w:rsidR="00EC284F" w:rsidRPr="00052C24" w:rsidRDefault="00EC284F" w:rsidP="009705DF">
            <w:pPr>
              <w:keepNext/>
              <w:keepLines/>
              <w:spacing w:before="0" w:after="0" w:line="200" w:lineRule="atLeast"/>
              <w:jc w:val="center"/>
              <w:rPr>
                <w:b/>
                <w:sz w:val="20"/>
              </w:rPr>
            </w:pPr>
            <w:r>
              <w:rPr>
                <w:b/>
                <w:sz w:val="20"/>
              </w:rPr>
              <w:t>Parameter</w:t>
            </w:r>
          </w:p>
        </w:tc>
        <w:tc>
          <w:tcPr>
            <w:tcW w:w="1170" w:type="dxa"/>
            <w:shd w:val="clear" w:color="auto" w:fill="F2F2F2" w:themeFill="background1" w:themeFillShade="F2"/>
            <w:vAlign w:val="bottom"/>
          </w:tcPr>
          <w:p w14:paraId="75C5672B" w14:textId="2C24BB8B" w:rsidR="00EC284F" w:rsidRPr="00052C24" w:rsidRDefault="000608BF" w:rsidP="009705DF">
            <w:pPr>
              <w:keepNext/>
              <w:keepLines/>
              <w:spacing w:before="0" w:after="0" w:line="200" w:lineRule="atLeast"/>
              <w:jc w:val="center"/>
              <w:rPr>
                <w:b/>
                <w:sz w:val="20"/>
              </w:rPr>
            </w:pPr>
            <w:r>
              <w:rPr>
                <w:b/>
                <w:sz w:val="20"/>
              </w:rPr>
              <w:t>Value</w:t>
            </w:r>
          </w:p>
        </w:tc>
        <w:tc>
          <w:tcPr>
            <w:tcW w:w="6930" w:type="dxa"/>
            <w:shd w:val="clear" w:color="auto" w:fill="F2F2F2" w:themeFill="background1" w:themeFillShade="F2"/>
            <w:vAlign w:val="bottom"/>
          </w:tcPr>
          <w:p w14:paraId="024D14E3" w14:textId="77777777" w:rsidR="00EC284F" w:rsidRDefault="00EC284F" w:rsidP="009705DF">
            <w:pPr>
              <w:keepNext/>
              <w:keepLines/>
              <w:spacing w:before="0" w:after="0" w:line="200" w:lineRule="atLeast"/>
              <w:jc w:val="center"/>
              <w:rPr>
                <w:b/>
                <w:sz w:val="20"/>
              </w:rPr>
            </w:pPr>
            <w:r>
              <w:rPr>
                <w:b/>
                <w:sz w:val="20"/>
              </w:rPr>
              <w:t>Source</w:t>
            </w:r>
          </w:p>
          <w:p w14:paraId="3113D315" w14:textId="419B6A62" w:rsidR="0088540B" w:rsidRDefault="0088540B" w:rsidP="009705DF">
            <w:pPr>
              <w:keepNext/>
              <w:keepLines/>
              <w:spacing w:before="0" w:after="0" w:line="200" w:lineRule="atLeast"/>
              <w:jc w:val="center"/>
              <w:rPr>
                <w:b/>
                <w:sz w:val="20"/>
              </w:rPr>
            </w:pPr>
          </w:p>
        </w:tc>
      </w:tr>
      <w:tr w:rsidR="000663CD" w:rsidRPr="009062D0" w14:paraId="3FB0776B" w14:textId="77777777" w:rsidTr="0088540B">
        <w:trPr>
          <w:trHeight w:val="260"/>
        </w:trPr>
        <w:tc>
          <w:tcPr>
            <w:tcW w:w="1440" w:type="dxa"/>
            <w:vAlign w:val="center"/>
          </w:tcPr>
          <w:p w14:paraId="6922CFA0" w14:textId="6CEDDF56" w:rsidR="000663CD" w:rsidRPr="009062D0" w:rsidRDefault="000663CD" w:rsidP="000663CD">
            <w:pPr>
              <w:keepNext/>
              <w:keepLines/>
              <w:spacing w:before="0" w:after="0" w:line="200" w:lineRule="atLeast"/>
              <w:rPr>
                <w:sz w:val="20"/>
              </w:rPr>
            </w:pPr>
            <w:r>
              <w:rPr>
                <w:sz w:val="20"/>
              </w:rPr>
              <w:t xml:space="preserve">GSIA </w:t>
            </w:r>
          </w:p>
        </w:tc>
        <w:tc>
          <w:tcPr>
            <w:tcW w:w="1170" w:type="dxa"/>
            <w:vAlign w:val="center"/>
          </w:tcPr>
          <w:p w14:paraId="20E36E32" w14:textId="47CBC5BE" w:rsidR="000663CD" w:rsidRPr="00F720F2" w:rsidRDefault="000663CD" w:rsidP="00910E83">
            <w:pPr>
              <w:keepNext/>
              <w:keepLines/>
              <w:spacing w:before="0" w:after="0" w:line="200" w:lineRule="atLeast"/>
              <w:jc w:val="center"/>
              <w:rPr>
                <w:sz w:val="20"/>
              </w:rPr>
            </w:pPr>
            <w:r w:rsidRPr="00F720F2">
              <w:rPr>
                <w:sz w:val="20"/>
                <w:szCs w:val="20"/>
              </w:rPr>
              <w:t>0.</w:t>
            </w:r>
            <w:r w:rsidR="004F0790">
              <w:rPr>
                <w:sz w:val="20"/>
                <w:szCs w:val="20"/>
              </w:rPr>
              <w:t>59</w:t>
            </w:r>
          </w:p>
        </w:tc>
        <w:tc>
          <w:tcPr>
            <w:tcW w:w="6930" w:type="dxa"/>
          </w:tcPr>
          <w:p w14:paraId="06E35F6C" w14:textId="78298734" w:rsidR="0088540B" w:rsidRPr="0088540B" w:rsidRDefault="0088540B" w:rsidP="0088540B">
            <w:pPr>
              <w:keepNext/>
              <w:keepLines/>
              <w:spacing w:before="0" w:after="0" w:line="240" w:lineRule="auto"/>
              <w:rPr>
                <w:sz w:val="18"/>
                <w:szCs w:val="18"/>
              </w:rPr>
            </w:pPr>
            <w:r w:rsidRPr="0088540B">
              <w:rPr>
                <w:sz w:val="18"/>
                <w:szCs w:val="18"/>
              </w:rPr>
              <w:t xml:space="preserve">California Public Utilities Commission (CPUC), Energy Division. 2013. </w:t>
            </w:r>
            <w:r w:rsidR="001E189D">
              <w:rPr>
                <w:sz w:val="18"/>
                <w:szCs w:val="18"/>
              </w:rPr>
              <w:t>“</w:t>
            </w:r>
            <w:r w:rsidRPr="001E189D">
              <w:rPr>
                <w:sz w:val="18"/>
                <w:szCs w:val="18"/>
              </w:rPr>
              <w:t>Workpaper Disposition for Water Fixtures.</w:t>
            </w:r>
            <w:r w:rsidR="001E189D">
              <w:rPr>
                <w:sz w:val="18"/>
                <w:szCs w:val="18"/>
              </w:rPr>
              <w:t>”</w:t>
            </w:r>
            <w:r w:rsidRPr="001E189D">
              <w:rPr>
                <w:sz w:val="18"/>
                <w:szCs w:val="18"/>
              </w:rPr>
              <w:t xml:space="preserve"> </w:t>
            </w:r>
            <w:r w:rsidRPr="0088540B">
              <w:rPr>
                <w:sz w:val="18"/>
                <w:szCs w:val="18"/>
              </w:rPr>
              <w:t>February 22. Page 2.</w:t>
            </w:r>
          </w:p>
          <w:p w14:paraId="5BD06509" w14:textId="77777777" w:rsidR="0088540B" w:rsidRPr="0088540B" w:rsidRDefault="0088540B" w:rsidP="0088540B">
            <w:pPr>
              <w:keepNext/>
              <w:keepLines/>
              <w:spacing w:before="0" w:after="0" w:line="240" w:lineRule="auto"/>
              <w:rPr>
                <w:rFonts w:eastAsia="Times New Roman" w:cs="Times New Roman"/>
                <w:color w:val="000000"/>
                <w:sz w:val="18"/>
                <w:szCs w:val="18"/>
              </w:rPr>
            </w:pPr>
          </w:p>
          <w:p w14:paraId="1825A1DB" w14:textId="77777777" w:rsidR="000663CD" w:rsidRPr="0088540B" w:rsidRDefault="0088540B" w:rsidP="000663CD">
            <w:pPr>
              <w:keepNext/>
              <w:keepLines/>
              <w:spacing w:before="0" w:after="0" w:line="240" w:lineRule="auto"/>
              <w:rPr>
                <w:sz w:val="18"/>
                <w:szCs w:val="18"/>
              </w:rPr>
            </w:pPr>
            <w:r w:rsidRPr="0088540B">
              <w:rPr>
                <w:sz w:val="18"/>
                <w:szCs w:val="18"/>
              </w:rPr>
              <w:t>California Public Utilities Commission (CPUC), Energy Division. 2013. “2013-2014_DHWFixtureMeasures_Disposition-1March2013.xls.” February 22.</w:t>
            </w:r>
          </w:p>
          <w:p w14:paraId="0ABC13D3" w14:textId="77777777" w:rsidR="0088540B" w:rsidRPr="0088540B" w:rsidRDefault="0088540B" w:rsidP="0088540B">
            <w:pPr>
              <w:keepNext/>
              <w:keepLines/>
              <w:spacing w:before="0" w:after="0" w:line="240" w:lineRule="auto"/>
              <w:rPr>
                <w:sz w:val="18"/>
                <w:szCs w:val="18"/>
              </w:rPr>
            </w:pPr>
          </w:p>
          <w:p w14:paraId="50073606" w14:textId="64C0E9F3" w:rsidR="0088540B" w:rsidRPr="0088540B" w:rsidRDefault="0088540B" w:rsidP="0088540B">
            <w:pPr>
              <w:keepNext/>
              <w:keepLines/>
              <w:spacing w:before="0" w:after="0" w:line="240" w:lineRule="auto"/>
              <w:rPr>
                <w:rFonts w:eastAsia="Times New Roman" w:cs="Times New Roman"/>
                <w:color w:val="000000"/>
                <w:sz w:val="18"/>
                <w:szCs w:val="18"/>
              </w:rPr>
            </w:pPr>
            <w:r w:rsidRPr="0088540B">
              <w:rPr>
                <w:sz w:val="18"/>
                <w:szCs w:val="18"/>
              </w:rPr>
              <w:t xml:space="preserve">California Public Utilities Commission (CPUC). 2014. </w:t>
            </w:r>
            <w:r w:rsidRPr="0088540B">
              <w:rPr>
                <w:i/>
                <w:sz w:val="18"/>
                <w:szCs w:val="18"/>
              </w:rPr>
              <w:t>Third Decision Addressing Petition for Modification of Decision 09-09-047. Decision 11-07-030</w:t>
            </w:r>
            <w:r w:rsidRPr="0088540B">
              <w:rPr>
                <w:sz w:val="18"/>
                <w:szCs w:val="18"/>
              </w:rPr>
              <w:t>. Applications 08-07-021, 08-07-022, 08-07-023 and 08-07-031. Issued on Month July 14. Attachments A-B, Page A3.</w:t>
            </w:r>
          </w:p>
        </w:tc>
      </w:tr>
    </w:tbl>
    <w:p w14:paraId="01D42988" w14:textId="77777777" w:rsidR="007E694F" w:rsidRPr="004B06E3" w:rsidRDefault="007E694F" w:rsidP="004142EF"/>
    <w:p w14:paraId="4052468A" w14:textId="77777777" w:rsidR="007A4427" w:rsidRPr="004B06E3" w:rsidRDefault="007A4427" w:rsidP="007A4427">
      <w:pPr>
        <w:pStyle w:val="eTRMHeading3"/>
      </w:pPr>
      <w:bookmarkStart w:id="77" w:name="_Toc486490865"/>
      <w:bookmarkStart w:id="78" w:name="_Toc486580936"/>
      <w:bookmarkStart w:id="79" w:name="_Toc494369270"/>
      <w:bookmarkStart w:id="80" w:name="_Toc501094705"/>
      <w:bookmarkStart w:id="81" w:name="_Toc23506750"/>
      <w:r w:rsidRPr="004B06E3">
        <w:t xml:space="preserve">Non-Energy </w:t>
      </w:r>
      <w:bookmarkEnd w:id="77"/>
      <w:bookmarkEnd w:id="78"/>
      <w:bookmarkEnd w:id="79"/>
      <w:r>
        <w:t>Impacts</w:t>
      </w:r>
      <w:bookmarkEnd w:id="80"/>
      <w:bookmarkEnd w:id="81"/>
    </w:p>
    <w:p w14:paraId="2F68FF30" w14:textId="77777777" w:rsidR="007A4427" w:rsidRDefault="007A4427" w:rsidP="007A4427">
      <w:r>
        <w:t>Non-energy impacts for this measure have not been quantified.</w:t>
      </w:r>
    </w:p>
    <w:p w14:paraId="1439411B" w14:textId="77777777" w:rsidR="004B07E2" w:rsidRPr="004B06E3" w:rsidRDefault="004B07E2" w:rsidP="004142EF"/>
    <w:p w14:paraId="7D8551BB" w14:textId="760F7D39" w:rsidR="009C31A4" w:rsidRPr="004B06E3" w:rsidRDefault="009C31A4" w:rsidP="00462BB6">
      <w:pPr>
        <w:pStyle w:val="eTRMHeading3"/>
      </w:pPr>
      <w:bookmarkStart w:id="82" w:name="_Toc23506751"/>
      <w:r>
        <w:t>DEER Differences Analysis</w:t>
      </w:r>
      <w:bookmarkEnd w:id="82"/>
    </w:p>
    <w:p w14:paraId="258E61BB" w14:textId="3041B1E5" w:rsidR="002B3ACF" w:rsidRDefault="002B3ACF" w:rsidP="002B3ACF">
      <w:r>
        <w:t>This section provides a summary of DEER-based inputs and methods, and the rationale for inputs and methods that are not DEER-based.</w:t>
      </w:r>
    </w:p>
    <w:p w14:paraId="756C62FB" w14:textId="045CC620" w:rsidR="00EA057C" w:rsidRPr="00920905" w:rsidRDefault="00EA057C" w:rsidP="00F720F2">
      <w:pPr>
        <w:pStyle w:val="Caption"/>
        <w:keepNext w:val="0"/>
        <w:keepLines w:val="0"/>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F720F2">
        <w:trPr>
          <w:trHeight w:val="20"/>
          <w:tblHeader/>
        </w:trPr>
        <w:tc>
          <w:tcPr>
            <w:tcW w:w="1730" w:type="pct"/>
            <w:shd w:val="clear" w:color="auto" w:fill="F2F2F2" w:themeFill="background1" w:themeFillShade="F2"/>
          </w:tcPr>
          <w:p w14:paraId="5A1E2CE5" w14:textId="77777777" w:rsidR="00EA057C" w:rsidRPr="00EA057C" w:rsidRDefault="00EA057C" w:rsidP="00F720F2">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F720F2">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EA057C" w:rsidRPr="00500C4E" w14:paraId="33003020" w14:textId="77777777" w:rsidTr="00EA057C">
        <w:trPr>
          <w:trHeight w:val="20"/>
        </w:trPr>
        <w:tc>
          <w:tcPr>
            <w:tcW w:w="1730" w:type="pct"/>
          </w:tcPr>
          <w:p w14:paraId="1F2D360A" w14:textId="77777777" w:rsidR="00EA057C" w:rsidRPr="00EA057C" w:rsidRDefault="00EA057C" w:rsidP="00F720F2">
            <w:pPr>
              <w:spacing w:before="20" w:after="20"/>
              <w:rPr>
                <w:rFonts w:cs="Arial"/>
                <w:sz w:val="20"/>
                <w:szCs w:val="20"/>
              </w:rPr>
            </w:pPr>
            <w:r w:rsidRPr="00EA057C">
              <w:rPr>
                <w:rFonts w:cs="Arial"/>
                <w:sz w:val="20"/>
                <w:szCs w:val="20"/>
              </w:rPr>
              <w:t>Modified DEER methodology</w:t>
            </w:r>
          </w:p>
        </w:tc>
        <w:tc>
          <w:tcPr>
            <w:tcW w:w="3270" w:type="pct"/>
          </w:tcPr>
          <w:p w14:paraId="247EE411" w14:textId="71795253" w:rsidR="00EA057C" w:rsidRPr="00AF2089" w:rsidRDefault="00AF2089" w:rsidP="00F720F2">
            <w:pPr>
              <w:spacing w:before="20" w:after="20"/>
              <w:rPr>
                <w:rFonts w:cs="Arial"/>
                <w:sz w:val="20"/>
                <w:szCs w:val="20"/>
              </w:rPr>
            </w:pPr>
            <w:r w:rsidRPr="00AF2089">
              <w:rPr>
                <w:rFonts w:cs="Arial"/>
                <w:sz w:val="20"/>
                <w:szCs w:val="20"/>
              </w:rPr>
              <w:t>No</w:t>
            </w:r>
          </w:p>
        </w:tc>
      </w:tr>
      <w:tr w:rsidR="00EA057C" w:rsidRPr="00500C4E" w14:paraId="507422EA" w14:textId="77777777" w:rsidTr="00EA057C">
        <w:trPr>
          <w:trHeight w:val="20"/>
        </w:trPr>
        <w:tc>
          <w:tcPr>
            <w:tcW w:w="1730" w:type="pct"/>
          </w:tcPr>
          <w:p w14:paraId="29430E33" w14:textId="77777777" w:rsidR="00EA057C" w:rsidRPr="00EA057C" w:rsidRDefault="00EA057C" w:rsidP="00F720F2">
            <w:pPr>
              <w:spacing w:before="20" w:after="20"/>
              <w:rPr>
                <w:rFonts w:cs="Arial"/>
                <w:sz w:val="20"/>
                <w:szCs w:val="20"/>
              </w:rPr>
            </w:pPr>
            <w:r w:rsidRPr="00EA057C">
              <w:rPr>
                <w:rFonts w:cs="Arial"/>
                <w:sz w:val="20"/>
                <w:szCs w:val="20"/>
              </w:rPr>
              <w:t>Scaled DEER measure</w:t>
            </w:r>
          </w:p>
        </w:tc>
        <w:tc>
          <w:tcPr>
            <w:tcW w:w="3270" w:type="pct"/>
          </w:tcPr>
          <w:p w14:paraId="0C847473" w14:textId="56583EED" w:rsidR="00EA057C" w:rsidRPr="00AF2089" w:rsidRDefault="00AF2089" w:rsidP="00F720F2">
            <w:pPr>
              <w:spacing w:before="20" w:after="20"/>
              <w:rPr>
                <w:rFonts w:cs="Arial"/>
                <w:sz w:val="20"/>
                <w:szCs w:val="20"/>
              </w:rPr>
            </w:pPr>
            <w:r w:rsidRPr="00AF2089">
              <w:rPr>
                <w:rFonts w:cs="Arial"/>
                <w:sz w:val="20"/>
                <w:szCs w:val="20"/>
              </w:rPr>
              <w:t>No</w:t>
            </w:r>
          </w:p>
        </w:tc>
      </w:tr>
      <w:tr w:rsidR="00EA057C" w:rsidRPr="00500C4E" w14:paraId="335CDE40" w14:textId="77777777" w:rsidTr="00EA057C">
        <w:trPr>
          <w:trHeight w:val="20"/>
        </w:trPr>
        <w:tc>
          <w:tcPr>
            <w:tcW w:w="1730" w:type="pct"/>
          </w:tcPr>
          <w:p w14:paraId="126C3B42" w14:textId="77777777" w:rsidR="00EA057C" w:rsidRPr="00EA057C" w:rsidRDefault="00EA057C" w:rsidP="00F720F2">
            <w:pPr>
              <w:spacing w:before="20" w:after="20"/>
              <w:rPr>
                <w:rFonts w:cs="Arial"/>
                <w:sz w:val="20"/>
                <w:szCs w:val="20"/>
              </w:rPr>
            </w:pPr>
            <w:r w:rsidRPr="00EA057C">
              <w:rPr>
                <w:rFonts w:cs="Arial"/>
                <w:sz w:val="20"/>
                <w:szCs w:val="20"/>
              </w:rPr>
              <w:t>DEER Base Case</w:t>
            </w:r>
          </w:p>
        </w:tc>
        <w:tc>
          <w:tcPr>
            <w:tcW w:w="3270" w:type="pct"/>
          </w:tcPr>
          <w:p w14:paraId="5D2A1B0E" w14:textId="1272DED8" w:rsidR="00EA057C" w:rsidRPr="00AF2089" w:rsidRDefault="00AF2089" w:rsidP="00F720F2">
            <w:pPr>
              <w:spacing w:before="20" w:after="20"/>
              <w:rPr>
                <w:rFonts w:cs="Arial"/>
                <w:sz w:val="20"/>
                <w:szCs w:val="20"/>
              </w:rPr>
            </w:pPr>
            <w:r w:rsidRPr="00AF2089">
              <w:rPr>
                <w:rFonts w:cs="Arial"/>
                <w:sz w:val="20"/>
                <w:szCs w:val="20"/>
              </w:rPr>
              <w:t>No</w:t>
            </w:r>
          </w:p>
        </w:tc>
      </w:tr>
      <w:tr w:rsidR="00EA057C" w:rsidRPr="00500C4E" w14:paraId="1F8399E1" w14:textId="77777777" w:rsidTr="00EA057C">
        <w:trPr>
          <w:trHeight w:val="20"/>
        </w:trPr>
        <w:tc>
          <w:tcPr>
            <w:tcW w:w="1730" w:type="pct"/>
          </w:tcPr>
          <w:p w14:paraId="0CC701E3" w14:textId="77777777" w:rsidR="00EA057C" w:rsidRPr="00EA057C" w:rsidRDefault="00EA057C" w:rsidP="00F720F2">
            <w:pPr>
              <w:spacing w:before="20" w:after="20"/>
              <w:rPr>
                <w:rFonts w:cs="Arial"/>
                <w:sz w:val="20"/>
                <w:szCs w:val="20"/>
              </w:rPr>
            </w:pPr>
            <w:r w:rsidRPr="00EA057C">
              <w:rPr>
                <w:rFonts w:cs="Arial"/>
                <w:sz w:val="20"/>
                <w:szCs w:val="20"/>
              </w:rPr>
              <w:t>DEER Measure Case</w:t>
            </w:r>
          </w:p>
        </w:tc>
        <w:tc>
          <w:tcPr>
            <w:tcW w:w="3270" w:type="pct"/>
          </w:tcPr>
          <w:p w14:paraId="49A023A0" w14:textId="5BDBC8A7" w:rsidR="00EA057C" w:rsidRPr="00AF2089" w:rsidRDefault="00AF2089" w:rsidP="00F720F2">
            <w:pPr>
              <w:spacing w:before="20" w:after="20"/>
              <w:rPr>
                <w:rFonts w:cs="Arial"/>
                <w:sz w:val="20"/>
                <w:szCs w:val="20"/>
              </w:rPr>
            </w:pPr>
            <w:r w:rsidRPr="00AF2089">
              <w:rPr>
                <w:rFonts w:cs="Arial"/>
                <w:sz w:val="20"/>
                <w:szCs w:val="20"/>
              </w:rPr>
              <w:t>No</w:t>
            </w:r>
          </w:p>
        </w:tc>
      </w:tr>
      <w:tr w:rsidR="00EA057C" w:rsidRPr="00500C4E" w14:paraId="663742C6" w14:textId="77777777" w:rsidTr="00EA057C">
        <w:trPr>
          <w:trHeight w:val="20"/>
        </w:trPr>
        <w:tc>
          <w:tcPr>
            <w:tcW w:w="1730" w:type="pct"/>
          </w:tcPr>
          <w:p w14:paraId="16B2FDAB" w14:textId="77777777" w:rsidR="00EA057C" w:rsidRPr="00EA057C" w:rsidRDefault="00EA057C" w:rsidP="00F720F2">
            <w:pPr>
              <w:spacing w:before="20" w:after="20"/>
              <w:rPr>
                <w:rFonts w:cs="Arial"/>
                <w:sz w:val="20"/>
                <w:szCs w:val="20"/>
              </w:rPr>
            </w:pPr>
            <w:r w:rsidRPr="00EA057C">
              <w:rPr>
                <w:rFonts w:cs="Arial"/>
                <w:sz w:val="20"/>
                <w:szCs w:val="20"/>
              </w:rPr>
              <w:t>DEER Building Types</w:t>
            </w:r>
          </w:p>
        </w:tc>
        <w:tc>
          <w:tcPr>
            <w:tcW w:w="3270" w:type="pct"/>
          </w:tcPr>
          <w:p w14:paraId="6BBA540C" w14:textId="19AD93C0" w:rsidR="00EA057C" w:rsidRPr="00AF2089" w:rsidRDefault="00AF2089" w:rsidP="00F720F2">
            <w:pPr>
              <w:spacing w:before="20" w:after="20"/>
              <w:rPr>
                <w:rFonts w:cs="Arial"/>
                <w:sz w:val="20"/>
                <w:szCs w:val="20"/>
              </w:rPr>
            </w:pPr>
            <w:r w:rsidRPr="00AF2089">
              <w:rPr>
                <w:rFonts w:cs="Arial"/>
                <w:sz w:val="20"/>
                <w:szCs w:val="20"/>
              </w:rPr>
              <w:t>Yes</w:t>
            </w:r>
          </w:p>
        </w:tc>
      </w:tr>
      <w:tr w:rsidR="00EA057C" w:rsidRPr="00500C4E" w14:paraId="424F1325" w14:textId="77777777" w:rsidTr="00EA057C">
        <w:trPr>
          <w:trHeight w:val="20"/>
        </w:trPr>
        <w:tc>
          <w:tcPr>
            <w:tcW w:w="1730" w:type="pct"/>
          </w:tcPr>
          <w:p w14:paraId="71098DDA" w14:textId="77777777" w:rsidR="00EA057C" w:rsidRPr="00EA057C" w:rsidRDefault="00EA057C" w:rsidP="00F720F2">
            <w:pPr>
              <w:spacing w:before="20" w:after="20"/>
              <w:rPr>
                <w:rFonts w:cs="Arial"/>
                <w:sz w:val="20"/>
                <w:szCs w:val="20"/>
              </w:rPr>
            </w:pPr>
            <w:r w:rsidRPr="00EA057C">
              <w:rPr>
                <w:rFonts w:cs="Arial"/>
                <w:sz w:val="20"/>
                <w:szCs w:val="20"/>
              </w:rPr>
              <w:t>DEER Operating Hours</w:t>
            </w:r>
          </w:p>
        </w:tc>
        <w:tc>
          <w:tcPr>
            <w:tcW w:w="3270" w:type="pct"/>
          </w:tcPr>
          <w:p w14:paraId="1693E1EE" w14:textId="3309E180" w:rsidR="00EA057C" w:rsidRPr="00AF2089" w:rsidRDefault="00AF2089" w:rsidP="00F720F2">
            <w:pPr>
              <w:spacing w:before="20" w:after="20"/>
              <w:rPr>
                <w:rFonts w:cs="Arial"/>
                <w:sz w:val="20"/>
                <w:szCs w:val="20"/>
              </w:rPr>
            </w:pPr>
            <w:r w:rsidRPr="00AF2089">
              <w:rPr>
                <w:rFonts w:cs="Arial"/>
                <w:sz w:val="20"/>
                <w:szCs w:val="20"/>
              </w:rPr>
              <w:t>No</w:t>
            </w:r>
          </w:p>
        </w:tc>
      </w:tr>
      <w:tr w:rsidR="00EA057C" w:rsidRPr="00500C4E" w14:paraId="0B93AD47" w14:textId="77777777" w:rsidTr="00EA057C">
        <w:trPr>
          <w:trHeight w:val="20"/>
        </w:trPr>
        <w:tc>
          <w:tcPr>
            <w:tcW w:w="1730" w:type="pct"/>
          </w:tcPr>
          <w:p w14:paraId="6E9E484F" w14:textId="77777777" w:rsidR="00EA057C" w:rsidRPr="00EA057C" w:rsidRDefault="00EA057C" w:rsidP="00F720F2">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1D1CC08C" w:rsidR="00EA057C" w:rsidRPr="00AF2089" w:rsidDel="00505CEC" w:rsidRDefault="00AF2089" w:rsidP="00F720F2">
            <w:pPr>
              <w:spacing w:before="20" w:after="20"/>
              <w:rPr>
                <w:rFonts w:cs="Arial"/>
                <w:sz w:val="20"/>
                <w:szCs w:val="20"/>
              </w:rPr>
            </w:pPr>
            <w:r w:rsidRPr="00AF2089">
              <w:rPr>
                <w:rFonts w:cs="Arial"/>
                <w:sz w:val="20"/>
                <w:szCs w:val="20"/>
              </w:rPr>
              <w:t>No</w:t>
            </w:r>
          </w:p>
        </w:tc>
      </w:tr>
      <w:tr w:rsidR="00EA057C" w:rsidRPr="00500C4E" w14:paraId="2CFDE9D3" w14:textId="77777777" w:rsidTr="00EA057C">
        <w:trPr>
          <w:trHeight w:val="180"/>
        </w:trPr>
        <w:tc>
          <w:tcPr>
            <w:tcW w:w="1730" w:type="pct"/>
          </w:tcPr>
          <w:p w14:paraId="3B6B3E22" w14:textId="77777777" w:rsidR="00EA057C" w:rsidRPr="00EA057C" w:rsidRDefault="00EA057C" w:rsidP="00F720F2">
            <w:pPr>
              <w:spacing w:before="20" w:after="20"/>
              <w:rPr>
                <w:rFonts w:cs="Arial"/>
                <w:sz w:val="20"/>
                <w:szCs w:val="20"/>
              </w:rPr>
            </w:pPr>
            <w:r w:rsidRPr="00EA057C">
              <w:rPr>
                <w:rFonts w:cs="Arial"/>
                <w:sz w:val="20"/>
                <w:szCs w:val="20"/>
              </w:rPr>
              <w:t>DEER Version</w:t>
            </w:r>
          </w:p>
        </w:tc>
        <w:tc>
          <w:tcPr>
            <w:tcW w:w="3270" w:type="pct"/>
          </w:tcPr>
          <w:p w14:paraId="1C3B60D1" w14:textId="308A6C23" w:rsidR="00EA057C" w:rsidRPr="00AF2089" w:rsidRDefault="00AF2089" w:rsidP="00F720F2">
            <w:pPr>
              <w:spacing w:before="20" w:after="20"/>
              <w:rPr>
                <w:rFonts w:cs="Arial"/>
                <w:sz w:val="20"/>
                <w:szCs w:val="20"/>
              </w:rPr>
            </w:pPr>
            <w:r w:rsidRPr="00AF2089">
              <w:rPr>
                <w:rFonts w:cs="Arial"/>
                <w:sz w:val="20"/>
                <w:szCs w:val="20"/>
              </w:rPr>
              <w:t>DEER 20</w:t>
            </w:r>
            <w:r w:rsidR="00CE51CF">
              <w:rPr>
                <w:rFonts w:cs="Arial"/>
                <w:sz w:val="20"/>
                <w:szCs w:val="20"/>
              </w:rPr>
              <w:t>1</w:t>
            </w:r>
            <w:r w:rsidRPr="00AF2089">
              <w:rPr>
                <w:rFonts w:cs="Arial"/>
                <w:sz w:val="20"/>
                <w:szCs w:val="20"/>
              </w:rPr>
              <w:t>6</w:t>
            </w:r>
          </w:p>
        </w:tc>
      </w:tr>
      <w:tr w:rsidR="00EA057C" w:rsidRPr="00500C4E" w14:paraId="3B7464D7" w14:textId="77777777" w:rsidTr="00EA057C">
        <w:trPr>
          <w:trHeight w:val="20"/>
        </w:trPr>
        <w:tc>
          <w:tcPr>
            <w:tcW w:w="1730" w:type="pct"/>
          </w:tcPr>
          <w:p w14:paraId="24000A76" w14:textId="77777777" w:rsidR="00EA057C" w:rsidRPr="00EA057C" w:rsidRDefault="00EA057C" w:rsidP="00F720F2">
            <w:pPr>
              <w:spacing w:before="20" w:after="20"/>
              <w:rPr>
                <w:rFonts w:cs="Arial"/>
                <w:sz w:val="20"/>
                <w:szCs w:val="20"/>
              </w:rPr>
            </w:pPr>
            <w:r w:rsidRPr="00EA057C">
              <w:rPr>
                <w:rFonts w:cs="Arial"/>
                <w:sz w:val="20"/>
                <w:szCs w:val="20"/>
              </w:rPr>
              <w:t>Reason for Deviation from DEER</w:t>
            </w:r>
          </w:p>
        </w:tc>
        <w:tc>
          <w:tcPr>
            <w:tcW w:w="3270" w:type="pct"/>
          </w:tcPr>
          <w:p w14:paraId="125AAB90" w14:textId="4C6B402E" w:rsidR="00EA057C" w:rsidRPr="00AF2089" w:rsidRDefault="00AF2089" w:rsidP="00F720F2">
            <w:pPr>
              <w:spacing w:before="20" w:after="20"/>
              <w:rPr>
                <w:rFonts w:cs="Arial"/>
                <w:sz w:val="20"/>
                <w:szCs w:val="20"/>
              </w:rPr>
            </w:pPr>
            <w:r w:rsidRPr="00AF2089">
              <w:rPr>
                <w:rFonts w:cs="Arial"/>
                <w:sz w:val="20"/>
                <w:szCs w:val="20"/>
              </w:rPr>
              <w:t>DEER does not contain this type of measure</w:t>
            </w:r>
          </w:p>
        </w:tc>
      </w:tr>
      <w:tr w:rsidR="00EA057C" w:rsidRPr="00500C4E" w14:paraId="4A7EE859" w14:textId="77777777" w:rsidTr="00EA057C">
        <w:trPr>
          <w:trHeight w:val="20"/>
        </w:trPr>
        <w:tc>
          <w:tcPr>
            <w:tcW w:w="1730" w:type="pct"/>
          </w:tcPr>
          <w:p w14:paraId="7B4D686A" w14:textId="77777777" w:rsidR="00EA057C" w:rsidRPr="00EA057C" w:rsidRDefault="00EA057C" w:rsidP="00F720F2">
            <w:pPr>
              <w:spacing w:before="20" w:after="20"/>
              <w:rPr>
                <w:rFonts w:cs="Arial"/>
                <w:sz w:val="20"/>
                <w:szCs w:val="20"/>
              </w:rPr>
            </w:pPr>
            <w:r w:rsidRPr="00EA057C">
              <w:rPr>
                <w:rFonts w:cs="Arial"/>
                <w:sz w:val="20"/>
                <w:szCs w:val="20"/>
              </w:rPr>
              <w:t>DEER Measure IDs Used</w:t>
            </w:r>
          </w:p>
        </w:tc>
        <w:tc>
          <w:tcPr>
            <w:tcW w:w="3270" w:type="pct"/>
          </w:tcPr>
          <w:p w14:paraId="63ABA251" w14:textId="498A0166" w:rsidR="00EA057C" w:rsidRPr="00AF2089" w:rsidRDefault="00AF2089" w:rsidP="00F720F2">
            <w:pPr>
              <w:spacing w:before="20" w:after="20"/>
              <w:rPr>
                <w:rFonts w:cs="Arial"/>
                <w:sz w:val="20"/>
                <w:szCs w:val="20"/>
              </w:rPr>
            </w:pPr>
            <w:r w:rsidRPr="00AF2089">
              <w:rPr>
                <w:rFonts w:cs="Arial"/>
                <w:sz w:val="20"/>
                <w:szCs w:val="20"/>
              </w:rPr>
              <w:t>n/a</w:t>
            </w:r>
          </w:p>
        </w:tc>
      </w:tr>
      <w:tr w:rsidR="00EA057C" w:rsidRPr="00500C4E" w14:paraId="5A83EC74" w14:textId="77777777" w:rsidTr="00EA057C">
        <w:trPr>
          <w:trHeight w:val="20"/>
        </w:trPr>
        <w:tc>
          <w:tcPr>
            <w:tcW w:w="1730" w:type="pct"/>
          </w:tcPr>
          <w:p w14:paraId="2C82A9E0" w14:textId="121308D7" w:rsidR="00EA057C" w:rsidRPr="00EA057C" w:rsidRDefault="00EA057C" w:rsidP="00F720F2">
            <w:pPr>
              <w:spacing w:before="20" w:after="20"/>
              <w:rPr>
                <w:rFonts w:cs="Arial"/>
                <w:sz w:val="20"/>
                <w:szCs w:val="20"/>
              </w:rPr>
            </w:pPr>
            <w:r>
              <w:rPr>
                <w:rFonts w:cs="Arial"/>
                <w:sz w:val="20"/>
                <w:szCs w:val="20"/>
              </w:rPr>
              <w:t>NTG</w:t>
            </w:r>
          </w:p>
        </w:tc>
        <w:tc>
          <w:tcPr>
            <w:tcW w:w="3270" w:type="pct"/>
          </w:tcPr>
          <w:p w14:paraId="2BBBB10C" w14:textId="33A0CDA2" w:rsidR="00EA057C" w:rsidRPr="00EA057C" w:rsidRDefault="00EC284F" w:rsidP="00F720F2">
            <w:pPr>
              <w:spacing w:before="20" w:after="20"/>
              <w:rPr>
                <w:rFonts w:cs="Arial"/>
                <w:sz w:val="20"/>
                <w:szCs w:val="20"/>
              </w:rPr>
            </w:pPr>
            <w:r>
              <w:rPr>
                <w:rFonts w:cs="Arial"/>
                <w:sz w:val="20"/>
                <w:szCs w:val="20"/>
              </w:rPr>
              <w:t xml:space="preserve">NTG of 0.55 is associated with NTG ID </w:t>
            </w:r>
            <w:r w:rsidRPr="00B66B2D">
              <w:rPr>
                <w:rFonts w:cs="Arial"/>
                <w:i/>
                <w:sz w:val="20"/>
                <w:szCs w:val="20"/>
              </w:rPr>
              <w:t>Res-Default&gt;2</w:t>
            </w:r>
          </w:p>
        </w:tc>
      </w:tr>
      <w:tr w:rsidR="00EA057C" w:rsidRPr="00500C4E" w14:paraId="131D1F9D" w14:textId="77777777" w:rsidTr="00EA057C">
        <w:trPr>
          <w:trHeight w:val="20"/>
        </w:trPr>
        <w:tc>
          <w:tcPr>
            <w:tcW w:w="1730" w:type="pct"/>
          </w:tcPr>
          <w:p w14:paraId="45FFA983" w14:textId="5F527A83" w:rsidR="00EA057C" w:rsidRDefault="00EA057C" w:rsidP="00F720F2">
            <w:pPr>
              <w:spacing w:before="20" w:after="20"/>
              <w:rPr>
                <w:rFonts w:cs="Arial"/>
                <w:sz w:val="20"/>
                <w:szCs w:val="20"/>
              </w:rPr>
            </w:pPr>
            <w:r>
              <w:rPr>
                <w:rFonts w:cs="Arial"/>
                <w:sz w:val="20"/>
                <w:szCs w:val="20"/>
              </w:rPr>
              <w:t>GSIA</w:t>
            </w:r>
          </w:p>
        </w:tc>
        <w:tc>
          <w:tcPr>
            <w:tcW w:w="3270" w:type="pct"/>
          </w:tcPr>
          <w:p w14:paraId="7C16D603" w14:textId="4B2D5C2A" w:rsidR="00EA057C" w:rsidRPr="00910E83" w:rsidRDefault="00B66B2D" w:rsidP="00F720F2">
            <w:pPr>
              <w:spacing w:before="20" w:after="20"/>
              <w:rPr>
                <w:rFonts w:cs="Arial"/>
                <w:sz w:val="20"/>
                <w:szCs w:val="20"/>
              </w:rPr>
            </w:pPr>
            <w:r>
              <w:rPr>
                <w:rFonts w:cs="Arial"/>
                <w:sz w:val="20"/>
                <w:szCs w:val="20"/>
              </w:rPr>
              <w:t>GSIA of 0.</w:t>
            </w:r>
            <w:r w:rsidR="004F0790">
              <w:rPr>
                <w:rFonts w:cs="Arial"/>
                <w:sz w:val="20"/>
                <w:szCs w:val="20"/>
              </w:rPr>
              <w:t>59</w:t>
            </w:r>
            <w:r>
              <w:rPr>
                <w:rFonts w:cs="Arial"/>
                <w:sz w:val="20"/>
                <w:szCs w:val="20"/>
              </w:rPr>
              <w:t xml:space="preserve"> is associated with GSIA ID: </w:t>
            </w:r>
            <w:r w:rsidRPr="00B66B2D">
              <w:rPr>
                <w:rFonts w:cs="Arial"/>
                <w:i/>
                <w:sz w:val="20"/>
                <w:szCs w:val="20"/>
              </w:rPr>
              <w:t>Res-</w:t>
            </w:r>
            <w:proofErr w:type="spellStart"/>
            <w:r w:rsidRPr="00B66B2D">
              <w:rPr>
                <w:rFonts w:cs="Arial"/>
                <w:i/>
                <w:sz w:val="20"/>
                <w:szCs w:val="20"/>
              </w:rPr>
              <w:t>LowF</w:t>
            </w:r>
            <w:proofErr w:type="spellEnd"/>
            <w:r w:rsidRPr="00B66B2D">
              <w:rPr>
                <w:rFonts w:cs="Arial"/>
                <w:i/>
                <w:sz w:val="20"/>
                <w:szCs w:val="20"/>
              </w:rPr>
              <w:t>-</w:t>
            </w:r>
            <w:proofErr w:type="spellStart"/>
            <w:r w:rsidRPr="00B66B2D">
              <w:rPr>
                <w:rFonts w:cs="Arial"/>
                <w:i/>
                <w:sz w:val="20"/>
                <w:szCs w:val="20"/>
              </w:rPr>
              <w:t>wRest</w:t>
            </w:r>
            <w:proofErr w:type="spellEnd"/>
            <w:r w:rsidRPr="00B66B2D">
              <w:rPr>
                <w:rFonts w:cs="Arial"/>
                <w:i/>
                <w:sz w:val="20"/>
                <w:szCs w:val="20"/>
              </w:rPr>
              <w:t>-SH-All</w:t>
            </w:r>
            <w:r w:rsidR="00910E83">
              <w:rPr>
                <w:rFonts w:cs="Arial"/>
                <w:i/>
                <w:sz w:val="20"/>
                <w:szCs w:val="20"/>
              </w:rPr>
              <w:t xml:space="preserve">. </w:t>
            </w:r>
          </w:p>
        </w:tc>
      </w:tr>
      <w:tr w:rsidR="000663CD" w:rsidRPr="00500C4E" w14:paraId="4D0F7E1B" w14:textId="77777777" w:rsidTr="00EA057C">
        <w:trPr>
          <w:trHeight w:val="20"/>
        </w:trPr>
        <w:tc>
          <w:tcPr>
            <w:tcW w:w="1730" w:type="pct"/>
          </w:tcPr>
          <w:p w14:paraId="103BA947" w14:textId="6665B2EA" w:rsidR="000663CD" w:rsidRDefault="000663CD" w:rsidP="00F720F2">
            <w:pPr>
              <w:spacing w:before="20" w:after="20"/>
              <w:rPr>
                <w:rFonts w:cs="Arial"/>
                <w:sz w:val="20"/>
                <w:szCs w:val="20"/>
              </w:rPr>
            </w:pPr>
            <w:r>
              <w:rPr>
                <w:rFonts w:cs="Arial"/>
                <w:sz w:val="20"/>
                <w:szCs w:val="20"/>
              </w:rPr>
              <w:t>EUL/RUL</w:t>
            </w:r>
          </w:p>
        </w:tc>
        <w:tc>
          <w:tcPr>
            <w:tcW w:w="3270" w:type="pct"/>
          </w:tcPr>
          <w:p w14:paraId="5BD9C961" w14:textId="41F8A651" w:rsidR="000663CD" w:rsidRPr="00CC150C" w:rsidRDefault="000663CD" w:rsidP="00F720F2">
            <w:pPr>
              <w:spacing w:before="20" w:after="20"/>
              <w:rPr>
                <w:rFonts w:cs="Arial"/>
                <w:sz w:val="20"/>
                <w:szCs w:val="20"/>
                <w:highlight w:val="yellow"/>
              </w:rPr>
            </w:pPr>
            <w:r w:rsidRPr="00CC1F42">
              <w:rPr>
                <w:rFonts w:eastAsia="Times New Roman"/>
                <w:sz w:val="20"/>
                <w:szCs w:val="20"/>
              </w:rPr>
              <w:t xml:space="preserve">Source: DEER. The value of 10 years is associated with EUL ID </w:t>
            </w:r>
            <w:proofErr w:type="spellStart"/>
            <w:r w:rsidRPr="00CC1F42">
              <w:rPr>
                <w:rFonts w:eastAsia="Times New Roman"/>
                <w:i/>
                <w:sz w:val="20"/>
                <w:szCs w:val="20"/>
              </w:rPr>
              <w:t>Wtr</w:t>
            </w:r>
            <w:proofErr w:type="spellEnd"/>
            <w:r w:rsidRPr="00CC1F42">
              <w:rPr>
                <w:rFonts w:eastAsia="Times New Roman"/>
                <w:i/>
                <w:sz w:val="20"/>
                <w:szCs w:val="20"/>
              </w:rPr>
              <w:t>-WH-</w:t>
            </w:r>
            <w:proofErr w:type="spellStart"/>
            <w:r w:rsidRPr="00CC1F42">
              <w:rPr>
                <w:rFonts w:eastAsia="Times New Roman"/>
                <w:i/>
                <w:sz w:val="20"/>
                <w:szCs w:val="20"/>
              </w:rPr>
              <w:t>Shrhd</w:t>
            </w:r>
            <w:proofErr w:type="spellEnd"/>
            <w:r w:rsidRPr="00CC1F42">
              <w:rPr>
                <w:rFonts w:eastAsia="Times New Roman"/>
                <w:i/>
                <w:sz w:val="20"/>
                <w:szCs w:val="20"/>
              </w:rPr>
              <w:t>.</w:t>
            </w:r>
            <w:r w:rsidRPr="00CC1F42">
              <w:rPr>
                <w:rFonts w:eastAsia="Times New Roman"/>
                <w:sz w:val="20"/>
                <w:szCs w:val="20"/>
              </w:rPr>
              <w:t xml:space="preserve"> </w:t>
            </w:r>
          </w:p>
        </w:tc>
      </w:tr>
    </w:tbl>
    <w:p w14:paraId="4B43E23A" w14:textId="77777777" w:rsidR="009C31A4" w:rsidRPr="004B06E3" w:rsidRDefault="009C31A4" w:rsidP="00F720F2"/>
    <w:p w14:paraId="53A18983" w14:textId="77777777" w:rsidR="00F80C2F" w:rsidRDefault="00F80C2F" w:rsidP="0088540B">
      <w:pPr>
        <w:pStyle w:val="eTRMHeading3"/>
      </w:pPr>
      <w:bookmarkStart w:id="83" w:name="_Toc486490866"/>
      <w:bookmarkStart w:id="84" w:name="_Toc486580937"/>
      <w:bookmarkStart w:id="85" w:name="_Toc515951877"/>
      <w:bookmarkStart w:id="86" w:name="_Toc23506752"/>
      <w:bookmarkStart w:id="87" w:name="_Hlk511817708"/>
      <w:r w:rsidRPr="004B06E3">
        <w:lastRenderedPageBreak/>
        <w:t>Revision History</w:t>
      </w:r>
      <w:bookmarkEnd w:id="83"/>
      <w:bookmarkEnd w:id="84"/>
      <w:bookmarkEnd w:id="85"/>
      <w:bookmarkEnd w:id="86"/>
    </w:p>
    <w:p w14:paraId="7E98B961" w14:textId="20C479DA" w:rsidR="006C593E" w:rsidRDefault="006C593E" w:rsidP="0088540B">
      <w:pPr>
        <w:pStyle w:val="Caption"/>
      </w:pPr>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711"/>
        <w:gridCol w:w="5034"/>
      </w:tblGrid>
      <w:tr w:rsidR="006C593E" w:rsidRPr="00500C4E" w14:paraId="58ADE2C9" w14:textId="77777777" w:rsidTr="0088540B">
        <w:trPr>
          <w:trHeight w:val="20"/>
          <w:tblHeader/>
        </w:trPr>
        <w:tc>
          <w:tcPr>
            <w:tcW w:w="503" w:type="pct"/>
            <w:shd w:val="clear" w:color="auto" w:fill="F2F2F2" w:themeFill="background1" w:themeFillShade="F2"/>
            <w:vAlign w:val="bottom"/>
          </w:tcPr>
          <w:p w14:paraId="440CB9CC" w14:textId="77777777" w:rsidR="006C593E" w:rsidRPr="00EA057C" w:rsidRDefault="006C593E" w:rsidP="0088540B">
            <w:pPr>
              <w:keepNext/>
              <w:keepLines/>
              <w:tabs>
                <w:tab w:val="right" w:pos="2957"/>
              </w:tabs>
              <w:spacing w:before="20" w:after="20"/>
              <w:rPr>
                <w:rFonts w:cs="Arial"/>
                <w:b/>
                <w:sz w:val="20"/>
                <w:szCs w:val="20"/>
              </w:rPr>
            </w:pPr>
            <w:r>
              <w:rPr>
                <w:rFonts w:cs="Arial"/>
                <w:b/>
                <w:sz w:val="20"/>
                <w:szCs w:val="20"/>
              </w:rPr>
              <w:t>Revision Number</w:t>
            </w:r>
          </w:p>
        </w:tc>
        <w:tc>
          <w:tcPr>
            <w:tcW w:w="890" w:type="pct"/>
            <w:shd w:val="clear" w:color="auto" w:fill="F2F2F2" w:themeFill="background1" w:themeFillShade="F2"/>
            <w:vAlign w:val="bottom"/>
          </w:tcPr>
          <w:p w14:paraId="37408ED1" w14:textId="4EDEB846" w:rsidR="006C593E" w:rsidRPr="00EA057C" w:rsidRDefault="0088540B" w:rsidP="0088540B">
            <w:pPr>
              <w:keepNext/>
              <w:keepLines/>
              <w:spacing w:before="20" w:after="20"/>
              <w:rPr>
                <w:rFonts w:cs="Arial"/>
                <w:b/>
                <w:sz w:val="20"/>
                <w:szCs w:val="20"/>
              </w:rPr>
            </w:pPr>
            <w:r>
              <w:rPr>
                <w:rFonts w:cs="Arial"/>
                <w:b/>
                <w:sz w:val="20"/>
                <w:szCs w:val="20"/>
              </w:rPr>
              <w:t xml:space="preserve">Revision Complete </w:t>
            </w:r>
            <w:r w:rsidR="006C593E">
              <w:rPr>
                <w:rFonts w:cs="Arial"/>
                <w:b/>
                <w:sz w:val="20"/>
                <w:szCs w:val="20"/>
              </w:rPr>
              <w:t>Date</w:t>
            </w:r>
          </w:p>
        </w:tc>
        <w:tc>
          <w:tcPr>
            <w:tcW w:w="915" w:type="pct"/>
            <w:shd w:val="clear" w:color="auto" w:fill="F2F2F2" w:themeFill="background1" w:themeFillShade="F2"/>
            <w:vAlign w:val="bottom"/>
          </w:tcPr>
          <w:p w14:paraId="42B3BB3F" w14:textId="77777777" w:rsidR="006C593E" w:rsidRDefault="006C593E" w:rsidP="0088540B">
            <w:pPr>
              <w:keepNext/>
              <w:keepLines/>
              <w:spacing w:before="20" w:after="20"/>
              <w:rPr>
                <w:rFonts w:cs="Arial"/>
                <w:b/>
                <w:sz w:val="20"/>
                <w:szCs w:val="20"/>
              </w:rPr>
            </w:pPr>
            <w:r>
              <w:rPr>
                <w:rFonts w:cs="Arial"/>
                <w:b/>
                <w:sz w:val="20"/>
                <w:szCs w:val="20"/>
              </w:rPr>
              <w:t>Primary Author, Title, Organization</w:t>
            </w:r>
          </w:p>
        </w:tc>
        <w:tc>
          <w:tcPr>
            <w:tcW w:w="2692" w:type="pct"/>
            <w:shd w:val="clear" w:color="auto" w:fill="F2F2F2" w:themeFill="background1" w:themeFillShade="F2"/>
            <w:vAlign w:val="bottom"/>
          </w:tcPr>
          <w:p w14:paraId="04233921" w14:textId="77777777" w:rsidR="006C593E" w:rsidRDefault="006C593E" w:rsidP="0088540B">
            <w:pPr>
              <w:keepNext/>
              <w:keepLines/>
              <w:spacing w:before="20" w:after="20"/>
              <w:rPr>
                <w:rFonts w:cs="Arial"/>
                <w:b/>
                <w:sz w:val="20"/>
                <w:szCs w:val="20"/>
              </w:rPr>
            </w:pPr>
            <w:r>
              <w:rPr>
                <w:rFonts w:cs="Arial"/>
                <w:b/>
                <w:sz w:val="20"/>
                <w:szCs w:val="20"/>
              </w:rPr>
              <w:t>Revision Summary and Rationale for Revision</w:t>
            </w:r>
          </w:p>
          <w:p w14:paraId="56536747" w14:textId="77777777" w:rsidR="006C593E" w:rsidRDefault="006C593E" w:rsidP="0088540B">
            <w:pPr>
              <w:keepNext/>
              <w:keepLines/>
              <w:spacing w:before="20" w:after="20"/>
              <w:rPr>
                <w:rFonts w:cs="Arial"/>
                <w:b/>
                <w:sz w:val="20"/>
                <w:szCs w:val="20"/>
              </w:rPr>
            </w:pPr>
            <w:r>
              <w:rPr>
                <w:rFonts w:cs="Arial"/>
                <w:b/>
                <w:sz w:val="20"/>
                <w:szCs w:val="20"/>
              </w:rPr>
              <w:t>Effective Date and Approved By</w:t>
            </w:r>
          </w:p>
        </w:tc>
      </w:tr>
      <w:tr w:rsidR="00E12CA6" w:rsidRPr="00500C4E" w14:paraId="6BB23D04" w14:textId="77777777" w:rsidTr="00E12CA6">
        <w:trPr>
          <w:trHeight w:val="20"/>
          <w:tblHeader/>
        </w:trPr>
        <w:tc>
          <w:tcPr>
            <w:tcW w:w="503" w:type="pct"/>
            <w:vMerge w:val="restart"/>
            <w:shd w:val="clear" w:color="auto" w:fill="auto"/>
            <w:vAlign w:val="bottom"/>
          </w:tcPr>
          <w:p w14:paraId="01627FED" w14:textId="074D81DB" w:rsidR="00E12CA6" w:rsidRPr="00E12CA6" w:rsidRDefault="00E12CA6" w:rsidP="00E12CA6">
            <w:pPr>
              <w:spacing w:before="20" w:after="20"/>
              <w:rPr>
                <w:rFonts w:cs="Arial"/>
                <w:sz w:val="20"/>
                <w:szCs w:val="20"/>
              </w:rPr>
            </w:pPr>
            <w:r>
              <w:rPr>
                <w:rFonts w:cs="Arial"/>
                <w:sz w:val="20"/>
                <w:szCs w:val="20"/>
              </w:rPr>
              <w:t>01</w:t>
            </w:r>
          </w:p>
        </w:tc>
        <w:tc>
          <w:tcPr>
            <w:tcW w:w="890" w:type="pct"/>
            <w:shd w:val="clear" w:color="auto" w:fill="auto"/>
          </w:tcPr>
          <w:p w14:paraId="3AD26391" w14:textId="32047ACA" w:rsidR="00E12CA6" w:rsidRPr="00E12CA6" w:rsidRDefault="00E12CA6" w:rsidP="00E12CA6">
            <w:pPr>
              <w:spacing w:before="20" w:after="20"/>
              <w:rPr>
                <w:rFonts w:cs="Arial"/>
                <w:sz w:val="20"/>
                <w:szCs w:val="20"/>
              </w:rPr>
            </w:pPr>
            <w:r w:rsidRPr="00893543">
              <w:rPr>
                <w:rFonts w:cs="Arial"/>
                <w:sz w:val="20"/>
                <w:szCs w:val="20"/>
              </w:rPr>
              <w:t>03/31/2018</w:t>
            </w:r>
          </w:p>
        </w:tc>
        <w:tc>
          <w:tcPr>
            <w:tcW w:w="915" w:type="pct"/>
            <w:shd w:val="clear" w:color="auto" w:fill="auto"/>
          </w:tcPr>
          <w:p w14:paraId="70E755A5" w14:textId="77777777" w:rsidR="00E12CA6" w:rsidRDefault="00E12CA6" w:rsidP="00E12CA6">
            <w:pPr>
              <w:spacing w:before="20" w:after="20"/>
              <w:rPr>
                <w:rFonts w:cs="Arial"/>
                <w:sz w:val="20"/>
                <w:szCs w:val="20"/>
              </w:rPr>
            </w:pPr>
            <w:r>
              <w:rPr>
                <w:rFonts w:cs="Arial"/>
                <w:sz w:val="20"/>
                <w:szCs w:val="20"/>
              </w:rPr>
              <w:t>Jennifer Holmes</w:t>
            </w:r>
          </w:p>
          <w:p w14:paraId="34427B8F" w14:textId="75CD98F8" w:rsidR="00E12CA6" w:rsidRPr="00E12CA6" w:rsidRDefault="00E12CA6" w:rsidP="00E12CA6">
            <w:pPr>
              <w:spacing w:before="20" w:after="20"/>
              <w:rPr>
                <w:rFonts w:cs="Arial"/>
                <w:sz w:val="20"/>
                <w:szCs w:val="20"/>
              </w:rPr>
            </w:pPr>
            <w:r>
              <w:rPr>
                <w:rFonts w:cs="Arial"/>
                <w:sz w:val="20"/>
                <w:szCs w:val="20"/>
              </w:rPr>
              <w:t>Cal TF Staff</w:t>
            </w:r>
          </w:p>
        </w:tc>
        <w:tc>
          <w:tcPr>
            <w:tcW w:w="2692" w:type="pct"/>
            <w:shd w:val="clear" w:color="auto" w:fill="auto"/>
          </w:tcPr>
          <w:p w14:paraId="6B725003" w14:textId="77777777" w:rsidR="00E12CA6" w:rsidRPr="0032547F" w:rsidRDefault="00E12CA6" w:rsidP="00E12CA6">
            <w:pPr>
              <w:spacing w:before="20" w:after="20"/>
              <w:rPr>
                <w:rFonts w:cs="Arial"/>
                <w:sz w:val="20"/>
                <w:szCs w:val="20"/>
              </w:rPr>
            </w:pPr>
            <w:r w:rsidRPr="0032547F">
              <w:rPr>
                <w:rFonts w:cs="Arial"/>
                <w:sz w:val="20"/>
                <w:szCs w:val="20"/>
              </w:rPr>
              <w:t>Draft of consolidated text for this statewide measure is based upon:</w:t>
            </w:r>
          </w:p>
          <w:p w14:paraId="1B746EEA" w14:textId="77777777" w:rsidR="00E12CA6" w:rsidRPr="00E12CA6" w:rsidRDefault="00E12CA6" w:rsidP="00E12CA6">
            <w:pPr>
              <w:pStyle w:val="eTRMBulletedText"/>
              <w:rPr>
                <w:rFonts w:cs="Arial"/>
                <w:sz w:val="20"/>
                <w:szCs w:val="20"/>
              </w:rPr>
            </w:pPr>
            <w:r w:rsidRPr="00E12CA6">
              <w:rPr>
                <w:rFonts w:cs="Arial"/>
                <w:sz w:val="20"/>
                <w:szCs w:val="20"/>
              </w:rPr>
              <w:t>SCGWP100303B Revision 7 (December 22, 2016)</w:t>
            </w:r>
          </w:p>
          <w:p w14:paraId="5CCFC92B" w14:textId="77777777" w:rsidR="00E12CA6" w:rsidRPr="00E12CA6" w:rsidRDefault="00E12CA6" w:rsidP="00E12CA6">
            <w:pPr>
              <w:pStyle w:val="eTRMBulletedText"/>
              <w:rPr>
                <w:rFonts w:cs="Arial"/>
                <w:sz w:val="20"/>
                <w:szCs w:val="20"/>
              </w:rPr>
            </w:pPr>
            <w:r w:rsidRPr="00E12CA6">
              <w:rPr>
                <w:rFonts w:cs="Arial"/>
                <w:sz w:val="20"/>
                <w:szCs w:val="20"/>
              </w:rPr>
              <w:t>WPSDGEEREWH1012, Revision 1 (January 30, 2014)</w:t>
            </w:r>
          </w:p>
          <w:p w14:paraId="758ADFA2" w14:textId="2A655F5F" w:rsidR="00E12CA6" w:rsidRPr="00E12CA6" w:rsidRDefault="00E12CA6" w:rsidP="00E12CA6">
            <w:pPr>
              <w:spacing w:before="20" w:after="20"/>
              <w:rPr>
                <w:rFonts w:cs="Arial"/>
                <w:sz w:val="20"/>
                <w:szCs w:val="20"/>
              </w:rPr>
            </w:pPr>
            <w:r w:rsidRPr="00E12CA6">
              <w:rPr>
                <w:rFonts w:cs="Arial"/>
                <w:sz w:val="20"/>
                <w:szCs w:val="20"/>
              </w:rPr>
              <w:t>Consensus reached among Cal TF members.</w:t>
            </w:r>
          </w:p>
        </w:tc>
      </w:tr>
      <w:tr w:rsidR="00E12CA6" w:rsidRPr="00500C4E" w14:paraId="756349D1" w14:textId="77777777" w:rsidTr="00E12CA6">
        <w:trPr>
          <w:trHeight w:val="20"/>
          <w:tblHeader/>
        </w:trPr>
        <w:tc>
          <w:tcPr>
            <w:tcW w:w="503" w:type="pct"/>
            <w:vMerge/>
            <w:shd w:val="clear" w:color="auto" w:fill="auto"/>
            <w:vAlign w:val="bottom"/>
          </w:tcPr>
          <w:p w14:paraId="57EB37A5" w14:textId="50E87B8C" w:rsidR="00E12CA6" w:rsidRPr="00E12CA6" w:rsidRDefault="00E12CA6" w:rsidP="00E12CA6">
            <w:pPr>
              <w:spacing w:before="20" w:after="20"/>
              <w:rPr>
                <w:rFonts w:cs="Arial"/>
                <w:sz w:val="20"/>
                <w:szCs w:val="20"/>
              </w:rPr>
            </w:pPr>
          </w:p>
        </w:tc>
        <w:tc>
          <w:tcPr>
            <w:tcW w:w="890" w:type="pct"/>
            <w:shd w:val="clear" w:color="auto" w:fill="auto"/>
          </w:tcPr>
          <w:p w14:paraId="75C28A82" w14:textId="655011B9" w:rsidR="00E12CA6" w:rsidRPr="00E12CA6" w:rsidRDefault="00E12CA6" w:rsidP="00E12CA6">
            <w:pPr>
              <w:spacing w:before="20" w:after="20"/>
              <w:rPr>
                <w:rFonts w:cs="Arial"/>
                <w:sz w:val="20"/>
                <w:szCs w:val="20"/>
              </w:rPr>
            </w:pPr>
            <w:r>
              <w:rPr>
                <w:rFonts w:cs="Arial"/>
                <w:sz w:val="20"/>
                <w:szCs w:val="20"/>
              </w:rPr>
              <w:t>01/31/2019</w:t>
            </w:r>
          </w:p>
        </w:tc>
        <w:tc>
          <w:tcPr>
            <w:tcW w:w="915" w:type="pct"/>
            <w:shd w:val="clear" w:color="auto" w:fill="auto"/>
          </w:tcPr>
          <w:p w14:paraId="4BC4DFE4" w14:textId="77777777" w:rsidR="00E12CA6" w:rsidRDefault="00E12CA6" w:rsidP="00E12CA6">
            <w:pPr>
              <w:spacing w:before="20" w:after="20"/>
              <w:rPr>
                <w:rFonts w:cs="Arial"/>
                <w:sz w:val="20"/>
                <w:szCs w:val="20"/>
              </w:rPr>
            </w:pPr>
            <w:r>
              <w:rPr>
                <w:rFonts w:cs="Arial"/>
                <w:sz w:val="20"/>
                <w:szCs w:val="20"/>
              </w:rPr>
              <w:t>Jennifer Holmes</w:t>
            </w:r>
          </w:p>
          <w:p w14:paraId="434887B3" w14:textId="5ACE0711" w:rsidR="00E12CA6" w:rsidRPr="00E12CA6" w:rsidRDefault="00E12CA6" w:rsidP="00E12CA6">
            <w:pPr>
              <w:spacing w:before="20" w:after="20"/>
              <w:rPr>
                <w:rFonts w:cs="Arial"/>
                <w:sz w:val="20"/>
                <w:szCs w:val="20"/>
              </w:rPr>
            </w:pPr>
            <w:r>
              <w:rPr>
                <w:rFonts w:cs="Arial"/>
                <w:sz w:val="20"/>
                <w:szCs w:val="20"/>
              </w:rPr>
              <w:t>Cal TF Staff</w:t>
            </w:r>
          </w:p>
        </w:tc>
        <w:tc>
          <w:tcPr>
            <w:tcW w:w="2692" w:type="pct"/>
            <w:shd w:val="clear" w:color="auto" w:fill="auto"/>
          </w:tcPr>
          <w:p w14:paraId="508ABC36" w14:textId="2CF1FDD4" w:rsidR="00E12CA6" w:rsidRPr="00E12CA6" w:rsidRDefault="00E12CA6" w:rsidP="00E12CA6">
            <w:pPr>
              <w:spacing w:before="20" w:after="20"/>
              <w:rPr>
                <w:rFonts w:cs="Arial"/>
                <w:sz w:val="20"/>
                <w:szCs w:val="20"/>
              </w:rPr>
            </w:pPr>
            <w:r>
              <w:rPr>
                <w:rFonts w:cs="Arial"/>
                <w:sz w:val="20"/>
                <w:szCs w:val="20"/>
              </w:rPr>
              <w:t>Revisions for submittal of version 01.</w:t>
            </w:r>
          </w:p>
        </w:tc>
      </w:tr>
      <w:tr w:rsidR="00E12CA6" w:rsidRPr="00CA1CB3" w14:paraId="1A72BA69" w14:textId="77777777" w:rsidTr="0088540B">
        <w:trPr>
          <w:trHeight w:val="20"/>
        </w:trPr>
        <w:tc>
          <w:tcPr>
            <w:tcW w:w="503" w:type="pct"/>
            <w:vMerge/>
          </w:tcPr>
          <w:p w14:paraId="3DD58AA9" w14:textId="51ACFDB5" w:rsidR="00E12CA6" w:rsidRPr="00CA1CB3" w:rsidRDefault="00E12CA6" w:rsidP="00E12CA6">
            <w:pPr>
              <w:spacing w:before="20" w:after="20"/>
              <w:rPr>
                <w:rFonts w:cs="Arial"/>
                <w:sz w:val="20"/>
                <w:szCs w:val="20"/>
              </w:rPr>
            </w:pPr>
          </w:p>
        </w:tc>
        <w:tc>
          <w:tcPr>
            <w:tcW w:w="890" w:type="pct"/>
          </w:tcPr>
          <w:p w14:paraId="44355035" w14:textId="6AF01EF1" w:rsidR="00E12CA6" w:rsidRPr="00893543" w:rsidRDefault="00E12CA6" w:rsidP="00E12CA6">
            <w:pPr>
              <w:spacing w:before="20" w:after="20"/>
              <w:rPr>
                <w:rFonts w:cs="Arial"/>
                <w:sz w:val="20"/>
                <w:szCs w:val="20"/>
              </w:rPr>
            </w:pPr>
            <w:r>
              <w:rPr>
                <w:rFonts w:cs="Arial"/>
                <w:sz w:val="20"/>
                <w:szCs w:val="20"/>
              </w:rPr>
              <w:t>10/31/2019</w:t>
            </w:r>
          </w:p>
        </w:tc>
        <w:tc>
          <w:tcPr>
            <w:tcW w:w="915" w:type="pct"/>
          </w:tcPr>
          <w:p w14:paraId="4C52E0C9" w14:textId="16F632B7" w:rsidR="00E12CA6" w:rsidRDefault="00E12CA6" w:rsidP="00E12CA6">
            <w:pPr>
              <w:spacing w:before="20" w:after="20"/>
              <w:rPr>
                <w:rFonts w:cs="Arial"/>
                <w:sz w:val="20"/>
                <w:szCs w:val="20"/>
              </w:rPr>
            </w:pPr>
            <w:r>
              <w:rPr>
                <w:rFonts w:cs="Arial"/>
                <w:sz w:val="20"/>
                <w:szCs w:val="20"/>
              </w:rPr>
              <w:t>Cal TF Staff</w:t>
            </w:r>
          </w:p>
        </w:tc>
        <w:tc>
          <w:tcPr>
            <w:tcW w:w="2692" w:type="pct"/>
          </w:tcPr>
          <w:p w14:paraId="67A533B8" w14:textId="4124EFF9" w:rsidR="00E12CA6" w:rsidRPr="00D64E98" w:rsidRDefault="00E12CA6" w:rsidP="00E12CA6">
            <w:pPr>
              <w:spacing w:before="20" w:after="20"/>
              <w:rPr>
                <w:rFonts w:cs="Arial"/>
                <w:iCs/>
                <w:sz w:val="20"/>
                <w:szCs w:val="20"/>
              </w:rPr>
            </w:pPr>
            <w:r>
              <w:rPr>
                <w:rFonts w:cs="Arial"/>
                <w:sz w:val="20"/>
                <w:szCs w:val="20"/>
              </w:rPr>
              <w:t xml:space="preserve">Updated data to remove an 80% factor that was being </w:t>
            </w:r>
            <w:proofErr w:type="gramStart"/>
            <w:r>
              <w:rPr>
                <w:rFonts w:cs="Arial"/>
                <w:sz w:val="20"/>
                <w:szCs w:val="20"/>
              </w:rPr>
              <w:t>double-counted</w:t>
            </w:r>
            <w:proofErr w:type="gramEnd"/>
            <w:r>
              <w:rPr>
                <w:rFonts w:cs="Arial"/>
                <w:sz w:val="20"/>
                <w:szCs w:val="20"/>
              </w:rPr>
              <w:t xml:space="preserve">.  The new GSIA ID of </w:t>
            </w:r>
            <w:r w:rsidRPr="00B66B2D">
              <w:rPr>
                <w:rFonts w:cs="Arial"/>
                <w:i/>
                <w:sz w:val="20"/>
                <w:szCs w:val="20"/>
              </w:rPr>
              <w:t>Res-</w:t>
            </w:r>
            <w:proofErr w:type="spellStart"/>
            <w:r w:rsidRPr="00B66B2D">
              <w:rPr>
                <w:rFonts w:cs="Arial"/>
                <w:i/>
                <w:sz w:val="20"/>
                <w:szCs w:val="20"/>
              </w:rPr>
              <w:t>LowF</w:t>
            </w:r>
            <w:proofErr w:type="spellEnd"/>
            <w:r w:rsidRPr="00B66B2D">
              <w:rPr>
                <w:rFonts w:cs="Arial"/>
                <w:i/>
                <w:sz w:val="20"/>
                <w:szCs w:val="20"/>
              </w:rPr>
              <w:t>-</w:t>
            </w:r>
            <w:proofErr w:type="spellStart"/>
            <w:r w:rsidRPr="00B66B2D">
              <w:rPr>
                <w:rFonts w:cs="Arial"/>
                <w:i/>
                <w:sz w:val="20"/>
                <w:szCs w:val="20"/>
              </w:rPr>
              <w:t>wRest</w:t>
            </w:r>
            <w:proofErr w:type="spellEnd"/>
            <w:r w:rsidRPr="00B66B2D">
              <w:rPr>
                <w:rFonts w:cs="Arial"/>
                <w:i/>
                <w:sz w:val="20"/>
                <w:szCs w:val="20"/>
              </w:rPr>
              <w:t>-SH-All</w:t>
            </w:r>
            <w:r>
              <w:rPr>
                <w:rFonts w:cs="Arial"/>
                <w:i/>
                <w:sz w:val="20"/>
                <w:szCs w:val="20"/>
              </w:rPr>
              <w:t xml:space="preserve"> </w:t>
            </w:r>
            <w:r w:rsidRPr="00D64E98">
              <w:rPr>
                <w:rFonts w:cs="Arial"/>
                <w:iCs/>
                <w:sz w:val="20"/>
                <w:szCs w:val="20"/>
              </w:rPr>
              <w:t>account for the 80% reduction (0.59 = 0.73 *0.8) to account for installations in non-showers.</w:t>
            </w:r>
          </w:p>
          <w:p w14:paraId="22866F90" w14:textId="21827C14" w:rsidR="00E12CA6" w:rsidRPr="00D64E98" w:rsidRDefault="00E12CA6" w:rsidP="00E12CA6">
            <w:pPr>
              <w:spacing w:before="20" w:after="20"/>
              <w:rPr>
                <w:rFonts w:cs="Arial"/>
                <w:i/>
                <w:sz w:val="20"/>
                <w:szCs w:val="20"/>
              </w:rPr>
            </w:pPr>
            <w:r w:rsidRPr="00D64E98">
              <w:rPr>
                <w:rFonts w:cs="Arial"/>
                <w:iCs/>
                <w:sz w:val="20"/>
                <w:szCs w:val="20"/>
              </w:rPr>
              <w:t>Update calculation to match the methodology.</w:t>
            </w:r>
          </w:p>
        </w:tc>
      </w:tr>
      <w:tr w:rsidR="00E12CA6" w:rsidRPr="00CA1CB3" w14:paraId="4F256021" w14:textId="77777777" w:rsidTr="001629A9">
        <w:trPr>
          <w:trHeight w:val="20"/>
        </w:trPr>
        <w:tc>
          <w:tcPr>
            <w:tcW w:w="503" w:type="pct"/>
            <w:vMerge/>
          </w:tcPr>
          <w:p w14:paraId="4E667D08" w14:textId="77777777" w:rsidR="00E12CA6" w:rsidRPr="00CA1CB3" w:rsidRDefault="00E12CA6" w:rsidP="00E12CA6">
            <w:pPr>
              <w:spacing w:before="20" w:after="20"/>
              <w:rPr>
                <w:rFonts w:cs="Arial"/>
                <w:sz w:val="20"/>
                <w:szCs w:val="20"/>
              </w:rPr>
            </w:pPr>
          </w:p>
        </w:tc>
        <w:tc>
          <w:tcPr>
            <w:tcW w:w="890" w:type="pct"/>
          </w:tcPr>
          <w:p w14:paraId="4CD77F30" w14:textId="06E91396" w:rsidR="00E12CA6" w:rsidRPr="00893543" w:rsidRDefault="00E12CA6" w:rsidP="00E12CA6">
            <w:pPr>
              <w:spacing w:before="20" w:after="20"/>
              <w:rPr>
                <w:rFonts w:cs="Arial"/>
                <w:sz w:val="20"/>
                <w:szCs w:val="20"/>
              </w:rPr>
            </w:pPr>
            <w:r>
              <w:rPr>
                <w:rFonts w:cs="Arial"/>
                <w:sz w:val="20"/>
                <w:szCs w:val="20"/>
              </w:rPr>
              <w:t>0</w:t>
            </w:r>
            <w:r w:rsidR="009D5706">
              <w:rPr>
                <w:rFonts w:cs="Arial"/>
                <w:sz w:val="20"/>
                <w:szCs w:val="20"/>
              </w:rPr>
              <w:t>3/</w:t>
            </w:r>
            <w:r w:rsidR="00C51986">
              <w:rPr>
                <w:rFonts w:cs="Arial"/>
                <w:sz w:val="20"/>
                <w:szCs w:val="20"/>
              </w:rPr>
              <w:t>2</w:t>
            </w:r>
            <w:r w:rsidR="009D5706">
              <w:rPr>
                <w:rFonts w:cs="Arial"/>
                <w:sz w:val="20"/>
                <w:szCs w:val="20"/>
              </w:rPr>
              <w:t>1/2021</w:t>
            </w:r>
          </w:p>
        </w:tc>
        <w:tc>
          <w:tcPr>
            <w:tcW w:w="915" w:type="pct"/>
          </w:tcPr>
          <w:p w14:paraId="2786564E" w14:textId="77777777" w:rsidR="00943667" w:rsidRDefault="00943667" w:rsidP="00943667">
            <w:pPr>
              <w:pStyle w:val="TableParagraph"/>
              <w:spacing w:line="234" w:lineRule="exact"/>
              <w:rPr>
                <w:sz w:val="20"/>
              </w:rPr>
            </w:pPr>
            <w:r>
              <w:rPr>
                <w:sz w:val="20"/>
              </w:rPr>
              <w:t>Soe K Hla</w:t>
            </w:r>
          </w:p>
          <w:p w14:paraId="18172111" w14:textId="67A9BE6F" w:rsidR="00E12CA6" w:rsidRDefault="00943667" w:rsidP="00943667">
            <w:pPr>
              <w:spacing w:before="20" w:after="20"/>
              <w:rPr>
                <w:rFonts w:cs="Arial"/>
                <w:sz w:val="20"/>
                <w:szCs w:val="20"/>
              </w:rPr>
            </w:pPr>
            <w:r>
              <w:rPr>
                <w:sz w:val="20"/>
              </w:rPr>
              <w:t>PG&amp;E</w:t>
            </w:r>
          </w:p>
        </w:tc>
        <w:tc>
          <w:tcPr>
            <w:tcW w:w="2692" w:type="pct"/>
          </w:tcPr>
          <w:p w14:paraId="4F0CA356" w14:textId="77777777" w:rsidR="00E12CA6" w:rsidRDefault="002A3C00" w:rsidP="00E12CA6">
            <w:pPr>
              <w:spacing w:before="20" w:after="20"/>
              <w:rPr>
                <w:sz w:val="20"/>
                <w:szCs w:val="20"/>
              </w:rPr>
            </w:pPr>
            <w:r>
              <w:rPr>
                <w:sz w:val="20"/>
                <w:szCs w:val="20"/>
              </w:rPr>
              <w:t>Adopted all remaining measures for PG&amp;E</w:t>
            </w:r>
          </w:p>
          <w:p w14:paraId="49F7F656" w14:textId="77777777" w:rsidR="0084114B" w:rsidRDefault="0084114B" w:rsidP="00E12CA6">
            <w:pPr>
              <w:spacing w:before="20" w:after="20"/>
              <w:rPr>
                <w:rFonts w:cs="Arial"/>
                <w:sz w:val="20"/>
                <w:szCs w:val="20"/>
              </w:rPr>
            </w:pPr>
            <w:r>
              <w:rPr>
                <w:rFonts w:cs="Arial"/>
                <w:sz w:val="20"/>
                <w:szCs w:val="20"/>
              </w:rPr>
              <w:t>Fixed incorrect GSIA ID and</w:t>
            </w:r>
            <w:r w:rsidR="00EA38E7">
              <w:rPr>
                <w:rFonts w:cs="Arial"/>
                <w:sz w:val="20"/>
                <w:szCs w:val="20"/>
              </w:rPr>
              <w:t xml:space="preserve"> </w:t>
            </w:r>
            <w:proofErr w:type="spellStart"/>
            <w:r w:rsidR="00EA38E7">
              <w:rPr>
                <w:rFonts w:cs="Arial"/>
                <w:sz w:val="20"/>
                <w:szCs w:val="20"/>
              </w:rPr>
              <w:t>ElecImpactProfile</w:t>
            </w:r>
            <w:proofErr w:type="spellEnd"/>
            <w:r w:rsidR="00EA38E7">
              <w:rPr>
                <w:rFonts w:cs="Arial"/>
                <w:sz w:val="20"/>
                <w:szCs w:val="20"/>
              </w:rPr>
              <w:t xml:space="preserve"> ID in EAD</w:t>
            </w:r>
          </w:p>
          <w:p w14:paraId="4A5C39E2" w14:textId="0624B9C9" w:rsidR="00141454" w:rsidRPr="0032547F" w:rsidRDefault="00141454" w:rsidP="00E12CA6">
            <w:pPr>
              <w:spacing w:before="20" w:after="20"/>
              <w:rPr>
                <w:rFonts w:cs="Arial"/>
                <w:sz w:val="20"/>
                <w:szCs w:val="20"/>
              </w:rPr>
            </w:pPr>
            <w:bookmarkStart w:id="88" w:name="_GoBack"/>
            <w:bookmarkEnd w:id="88"/>
          </w:p>
        </w:tc>
      </w:tr>
      <w:bookmarkEnd w:id="87"/>
    </w:tbl>
    <w:p w14:paraId="589F9C35" w14:textId="03B62AE8" w:rsidR="00462BB6" w:rsidRPr="00462BB6" w:rsidRDefault="00462BB6" w:rsidP="008541C2"/>
    <w:sectPr w:rsidR="00462BB6" w:rsidRPr="00462BB6" w:rsidSect="00081DB8">
      <w:headerReference w:type="first" r:id="rId12"/>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F6AB6" w14:textId="77777777" w:rsidR="00167BD0" w:rsidRDefault="00167BD0" w:rsidP="00A2690C">
      <w:r>
        <w:separator/>
      </w:r>
    </w:p>
    <w:p w14:paraId="0AFD8E8E" w14:textId="77777777" w:rsidR="00167BD0" w:rsidRDefault="00167BD0"/>
  </w:endnote>
  <w:endnote w:type="continuationSeparator" w:id="0">
    <w:p w14:paraId="4518758E" w14:textId="77777777" w:rsidR="00167BD0" w:rsidRDefault="00167BD0" w:rsidP="00A2690C">
      <w:r>
        <w:continuationSeparator/>
      </w:r>
    </w:p>
    <w:p w14:paraId="5662A8DE" w14:textId="77777777" w:rsidR="00167BD0" w:rsidRDefault="00167B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altName w:val="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A24F7" w14:textId="77777777" w:rsidR="005D5794" w:rsidRDefault="005D5794" w:rsidP="00081DB8">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1312" behindDoc="0" locked="0" layoutInCell="1" allowOverlap="1" wp14:anchorId="04C11FB8" wp14:editId="7FEA7742">
          <wp:simplePos x="0" y="0"/>
          <wp:positionH relativeFrom="column">
            <wp:posOffset>2863850</wp:posOffset>
          </wp:positionH>
          <wp:positionV relativeFrom="paragraph">
            <wp:posOffset>-138781</wp:posOffset>
          </wp:positionV>
          <wp:extent cx="210820" cy="579335"/>
          <wp:effectExtent l="0" t="6350" r="11430" b="11430"/>
          <wp:wrapNone/>
          <wp:docPr id="1" name="Picture 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6A8E82" w14:textId="70DAC4A7" w:rsidR="005D5794" w:rsidRPr="00081DB8" w:rsidRDefault="005D5794" w:rsidP="00081DB8">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8</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2E782" w14:textId="77777777" w:rsidR="005D5794" w:rsidRDefault="005D5794" w:rsidP="00081DB8">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7B98E25B" wp14:editId="3330AD14">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6A97F48" w14:textId="1C539B72" w:rsidR="005D5794" w:rsidRPr="00081DB8" w:rsidRDefault="005D5794" w:rsidP="00081DB8">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BCCB6" w14:textId="77777777" w:rsidR="00167BD0" w:rsidRDefault="00167BD0" w:rsidP="00A2690C">
      <w:r>
        <w:separator/>
      </w:r>
    </w:p>
    <w:p w14:paraId="09392256" w14:textId="77777777" w:rsidR="00167BD0" w:rsidRDefault="00167BD0"/>
  </w:footnote>
  <w:footnote w:type="continuationSeparator" w:id="0">
    <w:p w14:paraId="07C20AA2" w14:textId="77777777" w:rsidR="00167BD0" w:rsidRDefault="00167BD0" w:rsidP="00A2690C">
      <w:r>
        <w:continuationSeparator/>
      </w:r>
    </w:p>
    <w:p w14:paraId="3A1EAA1D" w14:textId="77777777" w:rsidR="00167BD0" w:rsidRDefault="00167BD0"/>
  </w:footnote>
  <w:footnote w:id="1">
    <w:p w14:paraId="5F973D44" w14:textId="176B6DBD" w:rsidR="005D5794" w:rsidRDefault="005D5794">
      <w:pPr>
        <w:pStyle w:val="FootnoteText"/>
      </w:pPr>
      <w:r>
        <w:rPr>
          <w:rStyle w:val="FootnoteReference"/>
        </w:rPr>
        <w:footnoteRef/>
      </w:r>
      <w:r>
        <w:t xml:space="preserve"> </w:t>
      </w:r>
      <w:r w:rsidRPr="00CE2BC5">
        <w:rPr>
          <w:rFonts w:cs="Calibri Light"/>
          <w:sz w:val="20"/>
          <w:szCs w:val="20"/>
        </w:rPr>
        <w:t>U.S.</w:t>
      </w:r>
      <w:r w:rsidRPr="00CE2BC5">
        <w:rPr>
          <w:rFonts w:cs="Calibri Light"/>
          <w:i/>
          <w:sz w:val="20"/>
          <w:szCs w:val="20"/>
        </w:rPr>
        <w:t xml:space="preserve"> </w:t>
      </w:r>
      <w:r w:rsidRPr="00CE2BC5">
        <w:rPr>
          <w:rFonts w:cs="Calibri Light"/>
          <w:sz w:val="20"/>
          <w:szCs w:val="20"/>
        </w:rPr>
        <w:t xml:space="preserve">Department of Energy (DOE). </w:t>
      </w:r>
      <w:r>
        <w:rPr>
          <w:rFonts w:cs="Calibri Light"/>
          <w:sz w:val="20"/>
          <w:szCs w:val="20"/>
        </w:rPr>
        <w:t>(n.d.) “</w:t>
      </w:r>
      <w:r w:rsidRPr="006D46E5">
        <w:rPr>
          <w:rFonts w:cs="Calibri Light"/>
          <w:sz w:val="20"/>
          <w:szCs w:val="20"/>
        </w:rPr>
        <w:t>Reduce Hot Water Use for Energy Savings</w:t>
      </w:r>
      <w:r>
        <w:rPr>
          <w:rFonts w:cs="Calibri Light"/>
          <w:sz w:val="20"/>
          <w:szCs w:val="20"/>
        </w:rPr>
        <w:t>.”</w:t>
      </w:r>
    </w:p>
  </w:footnote>
  <w:footnote w:id="2">
    <w:p w14:paraId="36B6C195" w14:textId="65D95FDC" w:rsidR="005D5794" w:rsidRDefault="005D5794">
      <w:pPr>
        <w:pStyle w:val="FootnoteText"/>
      </w:pPr>
      <w:r>
        <w:rPr>
          <w:rStyle w:val="FootnoteReference"/>
        </w:rPr>
        <w:footnoteRef/>
      </w:r>
      <w:r>
        <w:t xml:space="preserve"> </w:t>
      </w:r>
      <w:r w:rsidRPr="008C3747">
        <w:rPr>
          <w:rStyle w:val="eTRMFootnoteTextChar"/>
        </w:rPr>
        <w:t xml:space="preserve">California Public Utilities Commission </w:t>
      </w:r>
      <w:r>
        <w:rPr>
          <w:rStyle w:val="eTRMFootnoteTextChar"/>
        </w:rPr>
        <w:t xml:space="preserve">(CPUC), </w:t>
      </w:r>
      <w:r w:rsidRPr="008C3747">
        <w:rPr>
          <w:rStyle w:val="eTRMFootnoteTextChar"/>
        </w:rPr>
        <w:t>Energy Division. 2013. “Workpaper Disposition for Water Fixtures.” February 22.</w:t>
      </w:r>
    </w:p>
  </w:footnote>
  <w:footnote w:id="3">
    <w:p w14:paraId="14831357" w14:textId="4AD0DD46" w:rsidR="005D5794" w:rsidRDefault="005D5794" w:rsidP="00996D0D">
      <w:pPr>
        <w:pStyle w:val="FootnoteText"/>
      </w:pPr>
      <w:r>
        <w:rPr>
          <w:rStyle w:val="FootnoteReference"/>
        </w:rPr>
        <w:footnoteRef/>
      </w:r>
      <w:r>
        <w:t xml:space="preserve"> </w:t>
      </w:r>
      <w:r w:rsidRPr="005D5794">
        <w:t>H.R.776 – 102nd Congress. Energy Policy Act of 1992. Pub. L. 102-486. Stat. 2776.</w:t>
      </w:r>
    </w:p>
  </w:footnote>
  <w:footnote w:id="4">
    <w:p w14:paraId="0389AB5A" w14:textId="636F731F" w:rsidR="005D5794" w:rsidRDefault="005D5794" w:rsidP="00996D0D">
      <w:pPr>
        <w:pStyle w:val="FootnoteText"/>
      </w:pPr>
      <w:r>
        <w:rPr>
          <w:rStyle w:val="FootnoteReference"/>
        </w:rPr>
        <w:footnoteRef/>
      </w:r>
      <w:r>
        <w:t xml:space="preserve"> </w:t>
      </w:r>
      <w:r w:rsidRPr="00AF00FB">
        <w:rPr>
          <w:szCs w:val="18"/>
        </w:rPr>
        <w:t>California Energy Commission (CEC). 201</w:t>
      </w:r>
      <w:r>
        <w:rPr>
          <w:szCs w:val="18"/>
        </w:rPr>
        <w:t>7</w:t>
      </w:r>
      <w:r w:rsidRPr="00AF00FB">
        <w:rPr>
          <w:szCs w:val="18"/>
        </w:rPr>
        <w:t xml:space="preserve">. </w:t>
      </w:r>
      <w:r w:rsidRPr="00AF00FB">
        <w:rPr>
          <w:i/>
          <w:szCs w:val="18"/>
        </w:rPr>
        <w:t>201</w:t>
      </w:r>
      <w:r>
        <w:rPr>
          <w:i/>
          <w:szCs w:val="18"/>
        </w:rPr>
        <w:t>6</w:t>
      </w:r>
      <w:r w:rsidRPr="00AF00FB">
        <w:rPr>
          <w:i/>
          <w:szCs w:val="18"/>
        </w:rPr>
        <w:t xml:space="preserve"> Appliance Efficiency Regulations. </w:t>
      </w:r>
      <w:r w:rsidRPr="00AF00FB">
        <w:rPr>
          <w:szCs w:val="18"/>
        </w:rPr>
        <w:t>CEC-400-2017-002. Section 1605.3, Table H-5.</w:t>
      </w:r>
    </w:p>
  </w:footnote>
  <w:footnote w:id="5">
    <w:p w14:paraId="3542E049" w14:textId="5EFB0704" w:rsidR="005D5794" w:rsidRDefault="005D5794">
      <w:pPr>
        <w:pStyle w:val="FootnoteText"/>
      </w:pPr>
      <w:r>
        <w:rPr>
          <w:rStyle w:val="FootnoteReference"/>
        </w:rPr>
        <w:footnoteRef/>
      </w:r>
      <w:r>
        <w:t xml:space="preserve"> </w:t>
      </w:r>
      <w:r w:rsidRPr="005C7B8D">
        <w:rPr>
          <w:szCs w:val="18"/>
        </w:rPr>
        <w:t xml:space="preserve">California Public Utilities Commission (CPUC), Energy Division. 2013. </w:t>
      </w:r>
      <w:r w:rsidRPr="00802095">
        <w:rPr>
          <w:szCs w:val="18"/>
        </w:rPr>
        <w:t>“Workpaper Disposition for Water Fixtures.”</w:t>
      </w:r>
      <w:r w:rsidRPr="005C7B8D">
        <w:rPr>
          <w:szCs w:val="18"/>
        </w:rPr>
        <w:t xml:space="preserve"> February 22.</w:t>
      </w:r>
    </w:p>
  </w:footnote>
  <w:footnote w:id="6">
    <w:p w14:paraId="08EF2378" w14:textId="77777777" w:rsidR="005D5794" w:rsidRDefault="005D5794" w:rsidP="00D43431">
      <w:pPr>
        <w:pStyle w:val="NormalWeb"/>
      </w:pPr>
      <w:r w:rsidRPr="00A80281">
        <w:rPr>
          <w:rStyle w:val="FootnoteReference"/>
          <w:rFonts w:ascii="Calibri Light" w:hAnsi="Calibri Light" w:cs="Calibri Light"/>
          <w:sz w:val="18"/>
        </w:rPr>
        <w:footnoteRef/>
      </w:r>
      <w:r>
        <w:t xml:space="preserve"> </w:t>
      </w:r>
      <w:proofErr w:type="spellStart"/>
      <w:r w:rsidRPr="008C3747">
        <w:rPr>
          <w:rStyle w:val="eTRMFootnoteTextChar"/>
        </w:rPr>
        <w:t>Henron</w:t>
      </w:r>
      <w:proofErr w:type="spellEnd"/>
      <w:r w:rsidRPr="008C3747">
        <w:rPr>
          <w:rStyle w:val="eTRMFootnoteTextChar"/>
        </w:rPr>
        <w:t xml:space="preserve">, H. and C. </w:t>
      </w:r>
      <w:proofErr w:type="spellStart"/>
      <w:r w:rsidRPr="008C3747">
        <w:rPr>
          <w:rStyle w:val="eTRMFootnoteTextChar"/>
        </w:rPr>
        <w:t>Engebrecht</w:t>
      </w:r>
      <w:proofErr w:type="spellEnd"/>
      <w:r w:rsidRPr="008C3747">
        <w:rPr>
          <w:rStyle w:val="eTRMFootnoteTextChar"/>
        </w:rPr>
        <w:t xml:space="preserve">. 2010. </w:t>
      </w:r>
      <w:r w:rsidRPr="008C3747">
        <w:rPr>
          <w:rStyle w:val="eTRMFootnoteTextChar"/>
          <w:i/>
        </w:rPr>
        <w:t>Building America House Simulation Protocols.</w:t>
      </w:r>
      <w:r w:rsidRPr="008C3747">
        <w:rPr>
          <w:rStyle w:val="eTRMFootnoteTextChar"/>
        </w:rPr>
        <w:t xml:space="preserve"> Prepared for the U.S. Department of Energy Building Technologies Program. Golden, CO: National Renewable Energy Laboratory (NREL). NREL Report Number TP-550-49426.</w:t>
      </w:r>
    </w:p>
  </w:footnote>
  <w:footnote w:id="7">
    <w:p w14:paraId="1E150AA7" w14:textId="0F42EF0C" w:rsidR="005D5794" w:rsidRDefault="005D5794">
      <w:pPr>
        <w:pStyle w:val="FootnoteText"/>
      </w:pPr>
      <w:r>
        <w:rPr>
          <w:rStyle w:val="FootnoteReference"/>
        </w:rPr>
        <w:footnoteRef/>
      </w:r>
      <w:r>
        <w:t xml:space="preserve"> </w:t>
      </w:r>
      <w:r w:rsidRPr="005C7B8D">
        <w:rPr>
          <w:szCs w:val="18"/>
        </w:rPr>
        <w:t xml:space="preserve">California Public Utilities Commission (CPUC), Energy Division. 2013. </w:t>
      </w:r>
      <w:r w:rsidRPr="00802095">
        <w:rPr>
          <w:szCs w:val="18"/>
        </w:rPr>
        <w:t>“Workpaper Disposition for Water Fixtures.”</w:t>
      </w:r>
      <w:r w:rsidRPr="005C7B8D">
        <w:rPr>
          <w:szCs w:val="18"/>
        </w:rPr>
        <w:t xml:space="preserve"> February 22.</w:t>
      </w:r>
    </w:p>
  </w:footnote>
  <w:footnote w:id="8">
    <w:p w14:paraId="557271D7" w14:textId="2B20EE9F" w:rsidR="005D5794" w:rsidRDefault="005D5794">
      <w:pPr>
        <w:pStyle w:val="FootnoteText"/>
      </w:pPr>
      <w:r>
        <w:rPr>
          <w:rStyle w:val="FootnoteReference"/>
        </w:rPr>
        <w:footnoteRef/>
      </w:r>
      <w:r>
        <w:t xml:space="preserve"> </w:t>
      </w:r>
      <w:r w:rsidRPr="005C7B8D">
        <w:rPr>
          <w:szCs w:val="18"/>
        </w:rPr>
        <w:t>California Public Utilities Commission (CPUC), Energy Division. 2013</w:t>
      </w:r>
      <w:r w:rsidRPr="003358D6">
        <w:rPr>
          <w:szCs w:val="18"/>
        </w:rPr>
        <w:t>. “Workpaper Disposition for Water Fixtures.”</w:t>
      </w:r>
      <w:r w:rsidRPr="005C7B8D">
        <w:rPr>
          <w:szCs w:val="18"/>
        </w:rPr>
        <w:t xml:space="preserve"> February 22.</w:t>
      </w:r>
    </w:p>
  </w:footnote>
  <w:footnote w:id="9">
    <w:p w14:paraId="14B5CC01" w14:textId="2FA461D5" w:rsidR="005D5794" w:rsidRDefault="005D5794" w:rsidP="00C95071">
      <w:pPr>
        <w:pStyle w:val="FootnoteText"/>
      </w:pPr>
      <w:r>
        <w:rPr>
          <w:rStyle w:val="FootnoteReference"/>
        </w:rPr>
        <w:footnoteRef/>
      </w:r>
      <w:r>
        <w:t xml:space="preserve"> </w:t>
      </w:r>
      <w:r w:rsidRPr="00264BC6">
        <w:t>California Public Utilities Commission</w:t>
      </w:r>
      <w:r>
        <w:t xml:space="preserve"> (CPUC)</w:t>
      </w:r>
      <w:r w:rsidRPr="00264BC6">
        <w:t xml:space="preserve">, Energy Division. 2013. </w:t>
      </w:r>
      <w:r>
        <w:t>“</w:t>
      </w:r>
      <w:r w:rsidRPr="005D5794">
        <w:t>Workpaper Disposition for Water Fixtures.</w:t>
      </w:r>
      <w:r>
        <w:t>”</w:t>
      </w:r>
      <w:r w:rsidRPr="00264BC6">
        <w:t xml:space="preserve"> February 22.</w:t>
      </w:r>
    </w:p>
  </w:footnote>
  <w:footnote w:id="10">
    <w:p w14:paraId="071077A4" w14:textId="0898800A" w:rsidR="005D5794" w:rsidRDefault="005D5794" w:rsidP="000663CD">
      <w:pPr>
        <w:pStyle w:val="eTRMFootnoteText"/>
        <w:ind w:left="0"/>
      </w:pPr>
      <w:r>
        <w:rPr>
          <w:rStyle w:val="FootnoteReference"/>
        </w:rPr>
        <w:footnoteRef/>
      </w:r>
      <w:r>
        <w:t xml:space="preserve"> </w:t>
      </w:r>
      <w:r w:rsidRPr="001B6D51">
        <w:t xml:space="preserve">Mayer, P. and W. </w:t>
      </w:r>
      <w:proofErr w:type="spellStart"/>
      <w:r w:rsidRPr="001B6D51">
        <w:t>DeOreo</w:t>
      </w:r>
      <w:proofErr w:type="spellEnd"/>
      <w:r w:rsidRPr="001B6D51">
        <w:t xml:space="preserve">. 1999. </w:t>
      </w:r>
      <w:r w:rsidRPr="001B6D51">
        <w:rPr>
          <w:i/>
        </w:rPr>
        <w:t>Residential End Uses of Water 1999, Subject Area: Water Resources.</w:t>
      </w:r>
      <w:r w:rsidRPr="001B6D51">
        <w:t xml:space="preserve"> Denver, CO: American Water Works Association (AWWA) Research Foundation. Page 99.</w:t>
      </w:r>
    </w:p>
  </w:footnote>
  <w:footnote w:id="11">
    <w:p w14:paraId="3F1DF55A" w14:textId="0A980F17" w:rsidR="005D5794" w:rsidRDefault="005D5794" w:rsidP="00F939F6">
      <w:pPr>
        <w:pStyle w:val="FootnoteText"/>
      </w:pPr>
      <w:r>
        <w:rPr>
          <w:rStyle w:val="FootnoteReference"/>
        </w:rPr>
        <w:footnoteRef/>
      </w:r>
      <w:r>
        <w:t xml:space="preserve"> </w:t>
      </w:r>
      <w:r w:rsidRPr="005C385C">
        <w:t xml:space="preserve">California Public Utilities Commission (CPUC), Energy Division. 2013. </w:t>
      </w:r>
      <w:r w:rsidR="005B2996">
        <w:t>“</w:t>
      </w:r>
      <w:r w:rsidRPr="005B2996">
        <w:t>Workpaper Disposition for Water Fixtures.</w:t>
      </w:r>
      <w:r w:rsidR="005B2996">
        <w:t>”</w:t>
      </w:r>
      <w:r w:rsidRPr="005B2996">
        <w:t xml:space="preserve"> </w:t>
      </w:r>
      <w:r w:rsidRPr="005C385C">
        <w:t>February 22.</w:t>
      </w:r>
    </w:p>
  </w:footnote>
  <w:footnote w:id="12">
    <w:p w14:paraId="0FD50531" w14:textId="77777777" w:rsidR="005D5794" w:rsidRDefault="005D5794" w:rsidP="00624E5E">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3">
    <w:p w14:paraId="7A34D95A" w14:textId="77777777" w:rsidR="005D5794" w:rsidRDefault="005D5794" w:rsidP="00624E5E">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14">
    <w:p w14:paraId="0333F4AA" w14:textId="09D33C22" w:rsidR="005D5794" w:rsidRDefault="005D5794">
      <w:pPr>
        <w:pStyle w:val="FootnoteText"/>
      </w:pPr>
      <w:r>
        <w:rPr>
          <w:rStyle w:val="FootnoteReference"/>
        </w:rPr>
        <w:footnoteRef/>
      </w:r>
      <w:r>
        <w:t xml:space="preserve"> The IAPMO, or the International Association of Plumbing and Mechanical Officials, is a plumbing and mechanical product certification agency.</w:t>
      </w:r>
    </w:p>
  </w:footnote>
  <w:footnote w:id="15">
    <w:p w14:paraId="6E265761" w14:textId="7128B994" w:rsidR="005D5794" w:rsidRDefault="005D5794">
      <w:pPr>
        <w:pStyle w:val="FootnoteText"/>
      </w:pPr>
      <w:r>
        <w:rPr>
          <w:rStyle w:val="FootnoteReference"/>
        </w:rPr>
        <w:footnoteRef/>
      </w:r>
      <w:r>
        <w:t xml:space="preserve"> </w:t>
      </w:r>
      <w:r w:rsidRPr="00AD08C4">
        <w:t xml:space="preserve">IAPMO R&amp;T Lab. 2007. “Test Report for </w:t>
      </w:r>
      <w:proofErr w:type="spellStart"/>
      <w:r w:rsidRPr="00AD08C4">
        <w:t>ShowerStart</w:t>
      </w:r>
      <w:proofErr w:type="spellEnd"/>
      <w:r w:rsidRPr="00AD08C4">
        <w:t xml:space="preserve">, LLC. Project No. 14375” October. Report Number 1052-07001. October 2007. </w:t>
      </w:r>
    </w:p>
  </w:footnote>
  <w:footnote w:id="16">
    <w:p w14:paraId="7185DB00" w14:textId="77777777" w:rsidR="005D5794" w:rsidRDefault="005D5794" w:rsidP="00011E01">
      <w:pPr>
        <w:pStyle w:val="FootnoteText"/>
      </w:pPr>
      <w:r>
        <w:rPr>
          <w:rStyle w:val="FootnoteReference"/>
        </w:rPr>
        <w:footnoteRef/>
      </w:r>
      <w:r>
        <w:t xml:space="preserve"> California Public Utilities Commission (CPUC), Energy Division. 2008. “</w:t>
      </w:r>
      <w:r w:rsidRPr="00A64943">
        <w:t>Revised DEER Measure Cost Summary (05_30_2008) Revised (06_02_2008)</w:t>
      </w:r>
      <w:r>
        <w:t xml:space="preserve">.xlsx.” See </w:t>
      </w:r>
      <w:r w:rsidRPr="00A64943">
        <w:t xml:space="preserve">Res - </w:t>
      </w:r>
      <w:proofErr w:type="spellStart"/>
      <w:r w:rsidRPr="00A64943">
        <w:t>Shwrhd</w:t>
      </w:r>
      <w:proofErr w:type="spellEnd"/>
      <w:r w:rsidRPr="00A64943">
        <w:t xml:space="preserve"> &amp; Aerators</w:t>
      </w:r>
      <w:r>
        <w:t xml:space="preserve"> tab.</w:t>
      </w:r>
    </w:p>
  </w:footnote>
  <w:footnote w:id="17">
    <w:p w14:paraId="5D37EE96" w14:textId="77777777" w:rsidR="005D5794" w:rsidRDefault="005D5794" w:rsidP="00732A64">
      <w:pPr>
        <w:pStyle w:val="FootnoteText"/>
      </w:pPr>
      <w:r>
        <w:rPr>
          <w:rStyle w:val="FootnoteReference"/>
        </w:rPr>
        <w:footnoteRef/>
      </w:r>
      <w:r>
        <w:t xml:space="preserve"> California Public Utilities Commission (CPUC), Energy Division. 2008. “</w:t>
      </w:r>
      <w:r w:rsidRPr="00A64943">
        <w:t>Revised DEER Measure Cost Summary (05_30_2008) Revised (06_02_2008)</w:t>
      </w:r>
      <w:r>
        <w:t xml:space="preserve">.xlsx.” See </w:t>
      </w:r>
      <w:r w:rsidRPr="00A64943">
        <w:t xml:space="preserve">Res - </w:t>
      </w:r>
      <w:proofErr w:type="spellStart"/>
      <w:r w:rsidRPr="00A64943">
        <w:t>Shwrhd</w:t>
      </w:r>
      <w:proofErr w:type="spellEnd"/>
      <w:r w:rsidRPr="00A64943">
        <w:t xml:space="preserve"> &amp; Aerators</w:t>
      </w:r>
      <w:r>
        <w:t xml:space="preserve"> tab.</w:t>
      </w:r>
    </w:p>
  </w:footnote>
  <w:footnote w:id="18">
    <w:p w14:paraId="2988D477" w14:textId="77777777" w:rsidR="005D5794" w:rsidRDefault="005D5794" w:rsidP="00AB1CF3">
      <w:pPr>
        <w:pStyle w:val="FootnoteText"/>
      </w:pPr>
      <w:r>
        <w:rPr>
          <w:rStyle w:val="FootnoteReference"/>
        </w:rPr>
        <w:footnoteRef/>
      </w:r>
      <w:r>
        <w:t xml:space="preserve"> </w:t>
      </w:r>
      <w:proofErr w:type="spellStart"/>
      <w:r w:rsidRPr="006632C2">
        <w:rPr>
          <w:rStyle w:val="eTRMFootnoteTextChar"/>
        </w:rPr>
        <w:t>Itron</w:t>
      </w:r>
      <w:proofErr w:type="spellEnd"/>
      <w:r w:rsidRPr="006632C2">
        <w:rPr>
          <w:rStyle w:val="eTRMFootnoteTextChar"/>
        </w:rPr>
        <w:t xml:space="preserve">, Inc. 2014. </w:t>
      </w:r>
      <w:r w:rsidRPr="006632C2">
        <w:rPr>
          <w:rStyle w:val="eTRMFootnoteTextChar"/>
          <w:i/>
        </w:rPr>
        <w:t xml:space="preserve">2010-2012 WO017 Ex Ante Measure Cost Study Final Report. </w:t>
      </w:r>
      <w:r w:rsidRPr="006632C2">
        <w:rPr>
          <w:rStyle w:val="eTRMFootnoteTextChar"/>
        </w:rPr>
        <w:t xml:space="preserve">Prepared for the California Public Utilities Commission. Table </w:t>
      </w:r>
      <w:r>
        <w:rPr>
          <w:rStyle w:val="eTRMFootnoteTextChar"/>
        </w:rPr>
        <w:t>4-15</w:t>
      </w:r>
      <w:r w:rsidRPr="006632C2">
        <w:rPr>
          <w:rStyle w:val="eTRMFootnoteTextChar"/>
        </w:rPr>
        <w:t>.</w:t>
      </w:r>
    </w:p>
  </w:footnote>
  <w:footnote w:id="19">
    <w:p w14:paraId="3E7C8DFB" w14:textId="5A328356" w:rsidR="005D5794" w:rsidRDefault="005D5794">
      <w:pPr>
        <w:pStyle w:val="FootnoteText"/>
      </w:pPr>
      <w:r>
        <w:rPr>
          <w:rStyle w:val="FootnoteReference"/>
        </w:rPr>
        <w:footnoteRef/>
      </w:r>
      <w:r>
        <w:t xml:space="preserve"> </w:t>
      </w:r>
      <w:r w:rsidRPr="0088540B">
        <w:rPr>
          <w:szCs w:val="18"/>
        </w:rPr>
        <w:t>California Public Utilities Commission (CPUC), Energy Division. 2013. “2013-2014_DHWFixtureMeasures_Disposition-1March2013.xls.” February 22. See ED_IR tab.</w:t>
      </w:r>
    </w:p>
  </w:footnote>
  <w:footnote w:id="20">
    <w:p w14:paraId="15D76876" w14:textId="385E7BC2" w:rsidR="005D5794" w:rsidRDefault="005D5794">
      <w:pPr>
        <w:pStyle w:val="FootnoteText"/>
      </w:pPr>
      <w:r>
        <w:rPr>
          <w:rStyle w:val="FootnoteReference"/>
        </w:rPr>
        <w:footnoteRef/>
      </w:r>
      <w:r>
        <w:t xml:space="preserve"> </w:t>
      </w:r>
      <w:r w:rsidRPr="0088540B">
        <w:rPr>
          <w:szCs w:val="18"/>
        </w:rPr>
        <w:t xml:space="preserve">The Cadmus Group, Inc. 2010. </w:t>
      </w:r>
      <w:r w:rsidRPr="0088540B">
        <w:rPr>
          <w:i/>
          <w:szCs w:val="18"/>
        </w:rPr>
        <w:t xml:space="preserve">Residential Retrofit High Impact Measure Evaluation Report. </w:t>
      </w:r>
      <w:r w:rsidRPr="0088540B">
        <w:rPr>
          <w:szCs w:val="18"/>
        </w:rPr>
        <w:t>Prepared for the California Public Utilities Commission Energy Division.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4606751E" w:rsidR="005D5794" w:rsidRDefault="005D5794" w:rsidP="001D7A57">
    <w:pPr>
      <w:pStyle w:val="Header"/>
    </w:pPr>
    <w:r>
      <w:rPr>
        <w:rFonts w:ascii="Calibri Light" w:hAnsi="Calibri Light"/>
      </w:rPr>
      <w:t>SERVICE &amp; DOMESTIC HOT WATER</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TSV with and without an Integrated Low-Flow Showerhead</w:t>
    </w:r>
  </w:p>
  <w:p w14:paraId="2AC97B25" w14:textId="77777777" w:rsidR="005D5794" w:rsidRDefault="005D57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D638F" w14:textId="77777777" w:rsidR="005D5794" w:rsidRDefault="005D5794" w:rsidP="00081DB8">
    <w:pPr>
      <w:jc w:val="center"/>
    </w:pPr>
  </w:p>
  <w:p w14:paraId="5761357F" w14:textId="77777777" w:rsidR="005D5794" w:rsidRDefault="005D5794" w:rsidP="00081DB8">
    <w:pPr>
      <w:jc w:val="center"/>
    </w:pPr>
    <w:r>
      <w:rPr>
        <w:noProof/>
      </w:rPr>
      <w:drawing>
        <wp:inline distT="0" distB="0" distL="0" distR="0" wp14:anchorId="474E2D17" wp14:editId="1D24B109">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98CBB" w14:textId="2E847BAE" w:rsidR="005D5794" w:rsidRDefault="005D5794" w:rsidP="00E2211A">
    <w:pPr>
      <w:pStyle w:val="Header"/>
    </w:pPr>
    <w:r>
      <w:rPr>
        <w:rFonts w:ascii="Calibri Light" w:hAnsi="Calibri Light"/>
      </w:rPr>
      <w:t>SERVICE &amp; DOMESTIC HOT WATER</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TSV with and without an Integrated Low-Flow Showerhead</w:t>
    </w:r>
  </w:p>
  <w:p w14:paraId="2A339A28" w14:textId="77777777" w:rsidR="005D5794" w:rsidRDefault="005D5794" w:rsidP="00081DB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628F7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0DA3B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8BA01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F9C28A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C22BC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38044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24245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70B3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D234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A407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0260C1"/>
    <w:multiLevelType w:val="hybridMultilevel"/>
    <w:tmpl w:val="A7C48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6F37A6"/>
    <w:multiLevelType w:val="hybridMultilevel"/>
    <w:tmpl w:val="47304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BF67A6"/>
    <w:multiLevelType w:val="hybridMultilevel"/>
    <w:tmpl w:val="0BE47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81181A"/>
    <w:multiLevelType w:val="hybridMultilevel"/>
    <w:tmpl w:val="A14C4A42"/>
    <w:lvl w:ilvl="0" w:tplc="7D16587C">
      <w:numFmt w:val="bullet"/>
      <w:lvlText w:val="-"/>
      <w:lvlJc w:val="left"/>
      <w:pPr>
        <w:ind w:left="720" w:hanging="360"/>
      </w:pPr>
      <w:rPr>
        <w:rFonts w:ascii="Times New Roman" w:eastAsia="Times New Roman" w:hAnsi="Times New Roman" w:cs="Times New Roman"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3D4A10F5"/>
    <w:multiLevelType w:val="hybridMultilevel"/>
    <w:tmpl w:val="A8A084A2"/>
    <w:lvl w:ilvl="0" w:tplc="7D16587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0623C98"/>
    <w:multiLevelType w:val="hybridMultilevel"/>
    <w:tmpl w:val="8F7E4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FD2674B"/>
    <w:multiLevelType w:val="hybridMultilevel"/>
    <w:tmpl w:val="EFE85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470674"/>
    <w:multiLevelType w:val="hybridMultilevel"/>
    <w:tmpl w:val="A7C48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5" w15:restartNumberingAfterBreak="0">
    <w:nsid w:val="691B0D34"/>
    <w:multiLevelType w:val="hybridMultilevel"/>
    <w:tmpl w:val="684CB4D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7F597A"/>
    <w:multiLevelType w:val="hybridMultilevel"/>
    <w:tmpl w:val="C7E88BB6"/>
    <w:lvl w:ilvl="0" w:tplc="05200DE4">
      <w:start w:val="1"/>
      <w:numFmt w:val="upperRoman"/>
      <w:lvlText w:val="Table %1 - "/>
      <w:lvlJc w:val="left"/>
      <w:pPr>
        <w:tabs>
          <w:tab w:val="num" w:pos="1080"/>
        </w:tabs>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9"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1" w15:restartNumberingAfterBreak="0">
    <w:nsid w:val="7B7A445E"/>
    <w:multiLevelType w:val="hybridMultilevel"/>
    <w:tmpl w:val="E53CC796"/>
    <w:lvl w:ilvl="0" w:tplc="7D16587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28"/>
  </w:num>
  <w:num w:numId="3">
    <w:abstractNumId w:val="30"/>
  </w:num>
  <w:num w:numId="4">
    <w:abstractNumId w:val="30"/>
  </w:num>
  <w:num w:numId="5">
    <w:abstractNumId w:val="24"/>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0"/>
  </w:num>
  <w:num w:numId="7">
    <w:abstractNumId w:val="15"/>
  </w:num>
  <w:num w:numId="8">
    <w:abstractNumId w:val="26"/>
  </w:num>
  <w:num w:numId="9">
    <w:abstractNumId w:val="9"/>
  </w:num>
  <w:num w:numId="10">
    <w:abstractNumId w:val="29"/>
  </w:num>
  <w:num w:numId="11">
    <w:abstractNumId w:val="16"/>
  </w:num>
  <w:num w:numId="12">
    <w:abstractNumId w:val="31"/>
  </w:num>
  <w:num w:numId="13">
    <w:abstractNumId w:val="12"/>
  </w:num>
  <w:num w:numId="14">
    <w:abstractNumId w:val="20"/>
  </w:num>
  <w:num w:numId="15">
    <w:abstractNumId w:val="23"/>
  </w:num>
  <w:num w:numId="16">
    <w:abstractNumId w:val="11"/>
  </w:num>
  <w:num w:numId="17">
    <w:abstractNumId w:val="22"/>
  </w:num>
  <w:num w:numId="18">
    <w:abstractNumId w:val="25"/>
  </w:num>
  <w:num w:numId="19">
    <w:abstractNumId w:val="27"/>
  </w:num>
  <w:num w:numId="20">
    <w:abstractNumId w:val="19"/>
  </w:num>
  <w:num w:numId="21">
    <w:abstractNumId w:val="13"/>
  </w:num>
  <w:num w:numId="22">
    <w:abstractNumId w:val="14"/>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345"/>
    <w:rsid w:val="000016B6"/>
    <w:rsid w:val="00002A48"/>
    <w:rsid w:val="00004E8C"/>
    <w:rsid w:val="00005B06"/>
    <w:rsid w:val="000063B0"/>
    <w:rsid w:val="00006920"/>
    <w:rsid w:val="000110D9"/>
    <w:rsid w:val="000111AF"/>
    <w:rsid w:val="00011E01"/>
    <w:rsid w:val="0001266B"/>
    <w:rsid w:val="00016928"/>
    <w:rsid w:val="00016D7D"/>
    <w:rsid w:val="00017372"/>
    <w:rsid w:val="00020633"/>
    <w:rsid w:val="000220A0"/>
    <w:rsid w:val="0002389A"/>
    <w:rsid w:val="00023C40"/>
    <w:rsid w:val="00026D58"/>
    <w:rsid w:val="00027426"/>
    <w:rsid w:val="000302DF"/>
    <w:rsid w:val="000303F3"/>
    <w:rsid w:val="00031184"/>
    <w:rsid w:val="00037A06"/>
    <w:rsid w:val="000413BC"/>
    <w:rsid w:val="00043B05"/>
    <w:rsid w:val="00044255"/>
    <w:rsid w:val="00046BB0"/>
    <w:rsid w:val="00051DBB"/>
    <w:rsid w:val="00052137"/>
    <w:rsid w:val="00052C95"/>
    <w:rsid w:val="00053FAC"/>
    <w:rsid w:val="000608BF"/>
    <w:rsid w:val="00061D34"/>
    <w:rsid w:val="000621A8"/>
    <w:rsid w:val="000663CD"/>
    <w:rsid w:val="000672E5"/>
    <w:rsid w:val="00072D01"/>
    <w:rsid w:val="00074E3E"/>
    <w:rsid w:val="00076799"/>
    <w:rsid w:val="000767E9"/>
    <w:rsid w:val="0008108C"/>
    <w:rsid w:val="00081DB8"/>
    <w:rsid w:val="00083378"/>
    <w:rsid w:val="000841AA"/>
    <w:rsid w:val="000844CF"/>
    <w:rsid w:val="0008559D"/>
    <w:rsid w:val="00090BBF"/>
    <w:rsid w:val="000910B7"/>
    <w:rsid w:val="00091581"/>
    <w:rsid w:val="00093A8D"/>
    <w:rsid w:val="00094517"/>
    <w:rsid w:val="00096485"/>
    <w:rsid w:val="0009652C"/>
    <w:rsid w:val="000978C8"/>
    <w:rsid w:val="000A4D3A"/>
    <w:rsid w:val="000A4F2E"/>
    <w:rsid w:val="000A62EF"/>
    <w:rsid w:val="000A6464"/>
    <w:rsid w:val="000A66B7"/>
    <w:rsid w:val="000A6832"/>
    <w:rsid w:val="000A6914"/>
    <w:rsid w:val="000A7058"/>
    <w:rsid w:val="000B6004"/>
    <w:rsid w:val="000B624C"/>
    <w:rsid w:val="000C36B4"/>
    <w:rsid w:val="000C4796"/>
    <w:rsid w:val="000C72C1"/>
    <w:rsid w:val="000E3573"/>
    <w:rsid w:val="000F1833"/>
    <w:rsid w:val="000F2290"/>
    <w:rsid w:val="000F63A4"/>
    <w:rsid w:val="000F7D88"/>
    <w:rsid w:val="00100DDF"/>
    <w:rsid w:val="00103399"/>
    <w:rsid w:val="00104933"/>
    <w:rsid w:val="00105480"/>
    <w:rsid w:val="00107D50"/>
    <w:rsid w:val="00111A53"/>
    <w:rsid w:val="0011498C"/>
    <w:rsid w:val="00120592"/>
    <w:rsid w:val="001217DF"/>
    <w:rsid w:val="0012187D"/>
    <w:rsid w:val="0012189C"/>
    <w:rsid w:val="00123857"/>
    <w:rsid w:val="00124BFE"/>
    <w:rsid w:val="00126809"/>
    <w:rsid w:val="001273C4"/>
    <w:rsid w:val="00131C5A"/>
    <w:rsid w:val="001330E2"/>
    <w:rsid w:val="00141454"/>
    <w:rsid w:val="00142D3C"/>
    <w:rsid w:val="001451AB"/>
    <w:rsid w:val="0015187D"/>
    <w:rsid w:val="00151B9F"/>
    <w:rsid w:val="00154391"/>
    <w:rsid w:val="00155A5F"/>
    <w:rsid w:val="001564FC"/>
    <w:rsid w:val="001573B3"/>
    <w:rsid w:val="00161DF1"/>
    <w:rsid w:val="001648F6"/>
    <w:rsid w:val="0016780B"/>
    <w:rsid w:val="00167BD0"/>
    <w:rsid w:val="00171BB8"/>
    <w:rsid w:val="00172321"/>
    <w:rsid w:val="00174707"/>
    <w:rsid w:val="00180B44"/>
    <w:rsid w:val="00180DAD"/>
    <w:rsid w:val="00181672"/>
    <w:rsid w:val="00181E01"/>
    <w:rsid w:val="00182018"/>
    <w:rsid w:val="00183C06"/>
    <w:rsid w:val="00184FDB"/>
    <w:rsid w:val="00186521"/>
    <w:rsid w:val="00193854"/>
    <w:rsid w:val="001944A0"/>
    <w:rsid w:val="00195B03"/>
    <w:rsid w:val="00196649"/>
    <w:rsid w:val="00196EC0"/>
    <w:rsid w:val="001A11C7"/>
    <w:rsid w:val="001A3532"/>
    <w:rsid w:val="001A4BE1"/>
    <w:rsid w:val="001A7A21"/>
    <w:rsid w:val="001B1D23"/>
    <w:rsid w:val="001B2E85"/>
    <w:rsid w:val="001C09BF"/>
    <w:rsid w:val="001C2ACE"/>
    <w:rsid w:val="001C4368"/>
    <w:rsid w:val="001C6C9B"/>
    <w:rsid w:val="001C7134"/>
    <w:rsid w:val="001D1CB2"/>
    <w:rsid w:val="001D4DF1"/>
    <w:rsid w:val="001D65A6"/>
    <w:rsid w:val="001D7A57"/>
    <w:rsid w:val="001E189D"/>
    <w:rsid w:val="001E19A3"/>
    <w:rsid w:val="001E4C3F"/>
    <w:rsid w:val="001E6273"/>
    <w:rsid w:val="001E74B2"/>
    <w:rsid w:val="001F735E"/>
    <w:rsid w:val="002005A8"/>
    <w:rsid w:val="002006B6"/>
    <w:rsid w:val="00203F9A"/>
    <w:rsid w:val="00205BAF"/>
    <w:rsid w:val="00207F85"/>
    <w:rsid w:val="0021226A"/>
    <w:rsid w:val="002127B6"/>
    <w:rsid w:val="002161A0"/>
    <w:rsid w:val="00220EBD"/>
    <w:rsid w:val="00221B2C"/>
    <w:rsid w:val="00223A61"/>
    <w:rsid w:val="00225142"/>
    <w:rsid w:val="00226694"/>
    <w:rsid w:val="00226B43"/>
    <w:rsid w:val="00227BDD"/>
    <w:rsid w:val="002310FB"/>
    <w:rsid w:val="002318A4"/>
    <w:rsid w:val="002321E0"/>
    <w:rsid w:val="002335FF"/>
    <w:rsid w:val="00233D87"/>
    <w:rsid w:val="0023666C"/>
    <w:rsid w:val="00236BE6"/>
    <w:rsid w:val="00236E0A"/>
    <w:rsid w:val="00237964"/>
    <w:rsid w:val="00242A6D"/>
    <w:rsid w:val="002434DE"/>
    <w:rsid w:val="00245AFF"/>
    <w:rsid w:val="0024628D"/>
    <w:rsid w:val="0024671C"/>
    <w:rsid w:val="0024690E"/>
    <w:rsid w:val="00251ABC"/>
    <w:rsid w:val="002524CF"/>
    <w:rsid w:val="0025534A"/>
    <w:rsid w:val="00256400"/>
    <w:rsid w:val="00267C1C"/>
    <w:rsid w:val="00276F9B"/>
    <w:rsid w:val="002942B0"/>
    <w:rsid w:val="0029555D"/>
    <w:rsid w:val="0029781E"/>
    <w:rsid w:val="002A1AB3"/>
    <w:rsid w:val="002A1CD3"/>
    <w:rsid w:val="002A2471"/>
    <w:rsid w:val="002A2A94"/>
    <w:rsid w:val="002A3C00"/>
    <w:rsid w:val="002A3EE6"/>
    <w:rsid w:val="002B107C"/>
    <w:rsid w:val="002B2C97"/>
    <w:rsid w:val="002B3ACF"/>
    <w:rsid w:val="002B3BF4"/>
    <w:rsid w:val="002B6956"/>
    <w:rsid w:val="002B6DED"/>
    <w:rsid w:val="002B6F2A"/>
    <w:rsid w:val="002C06FC"/>
    <w:rsid w:val="002C1117"/>
    <w:rsid w:val="002C1811"/>
    <w:rsid w:val="002C67DF"/>
    <w:rsid w:val="002C7761"/>
    <w:rsid w:val="002D0036"/>
    <w:rsid w:val="002D191A"/>
    <w:rsid w:val="002D1E30"/>
    <w:rsid w:val="002D29F8"/>
    <w:rsid w:val="002D2FA3"/>
    <w:rsid w:val="002D3784"/>
    <w:rsid w:val="002D3DC0"/>
    <w:rsid w:val="002D40EE"/>
    <w:rsid w:val="002D4721"/>
    <w:rsid w:val="002D4993"/>
    <w:rsid w:val="002D50E9"/>
    <w:rsid w:val="002D513A"/>
    <w:rsid w:val="002D5CFA"/>
    <w:rsid w:val="002E0D14"/>
    <w:rsid w:val="002E158A"/>
    <w:rsid w:val="002F2C5A"/>
    <w:rsid w:val="002F35D9"/>
    <w:rsid w:val="002F44F5"/>
    <w:rsid w:val="00300E2A"/>
    <w:rsid w:val="00302120"/>
    <w:rsid w:val="00302A82"/>
    <w:rsid w:val="003103FB"/>
    <w:rsid w:val="00313E1D"/>
    <w:rsid w:val="003151E9"/>
    <w:rsid w:val="003165D0"/>
    <w:rsid w:val="00316D73"/>
    <w:rsid w:val="0031788A"/>
    <w:rsid w:val="003240DF"/>
    <w:rsid w:val="003247FA"/>
    <w:rsid w:val="0032547F"/>
    <w:rsid w:val="003309DA"/>
    <w:rsid w:val="00330E46"/>
    <w:rsid w:val="00333809"/>
    <w:rsid w:val="00333CD3"/>
    <w:rsid w:val="003358D6"/>
    <w:rsid w:val="00336313"/>
    <w:rsid w:val="0033796C"/>
    <w:rsid w:val="00337D1D"/>
    <w:rsid w:val="00346B23"/>
    <w:rsid w:val="00346DD9"/>
    <w:rsid w:val="003475D4"/>
    <w:rsid w:val="0035060F"/>
    <w:rsid w:val="003513E4"/>
    <w:rsid w:val="00352864"/>
    <w:rsid w:val="003557B3"/>
    <w:rsid w:val="00362F9E"/>
    <w:rsid w:val="00363BE8"/>
    <w:rsid w:val="00363EAB"/>
    <w:rsid w:val="00364069"/>
    <w:rsid w:val="00364F03"/>
    <w:rsid w:val="00370966"/>
    <w:rsid w:val="00372F61"/>
    <w:rsid w:val="00375184"/>
    <w:rsid w:val="003829BB"/>
    <w:rsid w:val="00382F7B"/>
    <w:rsid w:val="00385069"/>
    <w:rsid w:val="00385999"/>
    <w:rsid w:val="00385D68"/>
    <w:rsid w:val="00387072"/>
    <w:rsid w:val="00387AC2"/>
    <w:rsid w:val="003901BE"/>
    <w:rsid w:val="00392097"/>
    <w:rsid w:val="00392684"/>
    <w:rsid w:val="00393D69"/>
    <w:rsid w:val="00394BD9"/>
    <w:rsid w:val="003A1228"/>
    <w:rsid w:val="003A2201"/>
    <w:rsid w:val="003B041E"/>
    <w:rsid w:val="003B2D92"/>
    <w:rsid w:val="003B3599"/>
    <w:rsid w:val="003B3B44"/>
    <w:rsid w:val="003B70D3"/>
    <w:rsid w:val="003B7610"/>
    <w:rsid w:val="003B79A7"/>
    <w:rsid w:val="003B7F06"/>
    <w:rsid w:val="003C03E1"/>
    <w:rsid w:val="003C2CC3"/>
    <w:rsid w:val="003C7721"/>
    <w:rsid w:val="003D012D"/>
    <w:rsid w:val="003D1FB8"/>
    <w:rsid w:val="003D51D6"/>
    <w:rsid w:val="003D7104"/>
    <w:rsid w:val="003E1E3B"/>
    <w:rsid w:val="003E2C97"/>
    <w:rsid w:val="003E3527"/>
    <w:rsid w:val="003E5605"/>
    <w:rsid w:val="003E6213"/>
    <w:rsid w:val="003E67E2"/>
    <w:rsid w:val="003F269E"/>
    <w:rsid w:val="003F2FA1"/>
    <w:rsid w:val="003F394E"/>
    <w:rsid w:val="003F3C99"/>
    <w:rsid w:val="003F4964"/>
    <w:rsid w:val="003F5555"/>
    <w:rsid w:val="003F65F3"/>
    <w:rsid w:val="00400880"/>
    <w:rsid w:val="00401C43"/>
    <w:rsid w:val="004046FF"/>
    <w:rsid w:val="00406C76"/>
    <w:rsid w:val="00410790"/>
    <w:rsid w:val="00411EF4"/>
    <w:rsid w:val="004133BB"/>
    <w:rsid w:val="00413FE2"/>
    <w:rsid w:val="004142EF"/>
    <w:rsid w:val="00420958"/>
    <w:rsid w:val="00420EF1"/>
    <w:rsid w:val="00421446"/>
    <w:rsid w:val="00421920"/>
    <w:rsid w:val="00423D33"/>
    <w:rsid w:val="004249A0"/>
    <w:rsid w:val="00427C97"/>
    <w:rsid w:val="0043142A"/>
    <w:rsid w:val="00432749"/>
    <w:rsid w:val="00432D49"/>
    <w:rsid w:val="004339EA"/>
    <w:rsid w:val="00433E8F"/>
    <w:rsid w:val="00434145"/>
    <w:rsid w:val="00437306"/>
    <w:rsid w:val="0044577B"/>
    <w:rsid w:val="004457A7"/>
    <w:rsid w:val="004517F1"/>
    <w:rsid w:val="00453262"/>
    <w:rsid w:val="00455266"/>
    <w:rsid w:val="0045535C"/>
    <w:rsid w:val="004556DF"/>
    <w:rsid w:val="00461AE3"/>
    <w:rsid w:val="00462BB6"/>
    <w:rsid w:val="00464947"/>
    <w:rsid w:val="00464A63"/>
    <w:rsid w:val="004661BF"/>
    <w:rsid w:val="00466DD6"/>
    <w:rsid w:val="00470670"/>
    <w:rsid w:val="00472286"/>
    <w:rsid w:val="0047299B"/>
    <w:rsid w:val="00475A47"/>
    <w:rsid w:val="00475D57"/>
    <w:rsid w:val="0047628C"/>
    <w:rsid w:val="00481763"/>
    <w:rsid w:val="00484536"/>
    <w:rsid w:val="00484E27"/>
    <w:rsid w:val="00486585"/>
    <w:rsid w:val="00487105"/>
    <w:rsid w:val="00497289"/>
    <w:rsid w:val="00497854"/>
    <w:rsid w:val="004A06AE"/>
    <w:rsid w:val="004A17BC"/>
    <w:rsid w:val="004A510D"/>
    <w:rsid w:val="004A5999"/>
    <w:rsid w:val="004B06E3"/>
    <w:rsid w:val="004B07E2"/>
    <w:rsid w:val="004B35DC"/>
    <w:rsid w:val="004B5888"/>
    <w:rsid w:val="004B64E9"/>
    <w:rsid w:val="004C0032"/>
    <w:rsid w:val="004C1ACB"/>
    <w:rsid w:val="004C2A36"/>
    <w:rsid w:val="004C3663"/>
    <w:rsid w:val="004C57EC"/>
    <w:rsid w:val="004C69F2"/>
    <w:rsid w:val="004D0C20"/>
    <w:rsid w:val="004D1461"/>
    <w:rsid w:val="004D251E"/>
    <w:rsid w:val="004D3A71"/>
    <w:rsid w:val="004D3CE4"/>
    <w:rsid w:val="004D7E51"/>
    <w:rsid w:val="004E04EE"/>
    <w:rsid w:val="004E1B37"/>
    <w:rsid w:val="004E2704"/>
    <w:rsid w:val="004E4C24"/>
    <w:rsid w:val="004E4D01"/>
    <w:rsid w:val="004E68D3"/>
    <w:rsid w:val="004E7D83"/>
    <w:rsid w:val="004F0790"/>
    <w:rsid w:val="004F64F3"/>
    <w:rsid w:val="004F705B"/>
    <w:rsid w:val="00500964"/>
    <w:rsid w:val="00500C66"/>
    <w:rsid w:val="0050441B"/>
    <w:rsid w:val="00504A34"/>
    <w:rsid w:val="00504F33"/>
    <w:rsid w:val="00505B94"/>
    <w:rsid w:val="00510EBE"/>
    <w:rsid w:val="00511039"/>
    <w:rsid w:val="00512ECE"/>
    <w:rsid w:val="005130EC"/>
    <w:rsid w:val="005146E6"/>
    <w:rsid w:val="00522FFC"/>
    <w:rsid w:val="005244C1"/>
    <w:rsid w:val="005252D7"/>
    <w:rsid w:val="00533E48"/>
    <w:rsid w:val="00535A42"/>
    <w:rsid w:val="005360C5"/>
    <w:rsid w:val="0053748E"/>
    <w:rsid w:val="005449C6"/>
    <w:rsid w:val="0055275F"/>
    <w:rsid w:val="005552C5"/>
    <w:rsid w:val="005647A9"/>
    <w:rsid w:val="00566B42"/>
    <w:rsid w:val="00570D7E"/>
    <w:rsid w:val="0057165C"/>
    <w:rsid w:val="005722C6"/>
    <w:rsid w:val="00573157"/>
    <w:rsid w:val="00576C49"/>
    <w:rsid w:val="00580FF8"/>
    <w:rsid w:val="0058527B"/>
    <w:rsid w:val="00585C8D"/>
    <w:rsid w:val="005862CC"/>
    <w:rsid w:val="005911FE"/>
    <w:rsid w:val="0059312F"/>
    <w:rsid w:val="00595758"/>
    <w:rsid w:val="00595B22"/>
    <w:rsid w:val="00596081"/>
    <w:rsid w:val="005A1DC7"/>
    <w:rsid w:val="005A3943"/>
    <w:rsid w:val="005A51E6"/>
    <w:rsid w:val="005A632E"/>
    <w:rsid w:val="005B2996"/>
    <w:rsid w:val="005B3CAC"/>
    <w:rsid w:val="005B7418"/>
    <w:rsid w:val="005C03A9"/>
    <w:rsid w:val="005C2BFC"/>
    <w:rsid w:val="005C324B"/>
    <w:rsid w:val="005C43E2"/>
    <w:rsid w:val="005C454A"/>
    <w:rsid w:val="005C74C9"/>
    <w:rsid w:val="005D1B14"/>
    <w:rsid w:val="005D257B"/>
    <w:rsid w:val="005D3839"/>
    <w:rsid w:val="005D5794"/>
    <w:rsid w:val="005D68FD"/>
    <w:rsid w:val="005D7AE4"/>
    <w:rsid w:val="005E075C"/>
    <w:rsid w:val="005E1D5C"/>
    <w:rsid w:val="005E25DC"/>
    <w:rsid w:val="005E3905"/>
    <w:rsid w:val="005E52AE"/>
    <w:rsid w:val="005E5607"/>
    <w:rsid w:val="005E567C"/>
    <w:rsid w:val="005F505E"/>
    <w:rsid w:val="0060005C"/>
    <w:rsid w:val="00602976"/>
    <w:rsid w:val="00602EC6"/>
    <w:rsid w:val="0060388D"/>
    <w:rsid w:val="00604231"/>
    <w:rsid w:val="00605B74"/>
    <w:rsid w:val="006068F3"/>
    <w:rsid w:val="00610C2F"/>
    <w:rsid w:val="00611EFA"/>
    <w:rsid w:val="0062187C"/>
    <w:rsid w:val="00624E5E"/>
    <w:rsid w:val="00625805"/>
    <w:rsid w:val="00626254"/>
    <w:rsid w:val="00627AC4"/>
    <w:rsid w:val="00630393"/>
    <w:rsid w:val="0063253B"/>
    <w:rsid w:val="0063297C"/>
    <w:rsid w:val="006336FA"/>
    <w:rsid w:val="00636358"/>
    <w:rsid w:val="006363C8"/>
    <w:rsid w:val="00637AB8"/>
    <w:rsid w:val="0064370D"/>
    <w:rsid w:val="00643771"/>
    <w:rsid w:val="00644946"/>
    <w:rsid w:val="006460F3"/>
    <w:rsid w:val="00646AB8"/>
    <w:rsid w:val="00647BD9"/>
    <w:rsid w:val="0065439B"/>
    <w:rsid w:val="00654A3E"/>
    <w:rsid w:val="0065541D"/>
    <w:rsid w:val="00657C00"/>
    <w:rsid w:val="00660A09"/>
    <w:rsid w:val="006624A7"/>
    <w:rsid w:val="00663C1E"/>
    <w:rsid w:val="0066515F"/>
    <w:rsid w:val="006668AF"/>
    <w:rsid w:val="0066695A"/>
    <w:rsid w:val="0067278C"/>
    <w:rsid w:val="00674B60"/>
    <w:rsid w:val="0067506C"/>
    <w:rsid w:val="00676F4F"/>
    <w:rsid w:val="00686439"/>
    <w:rsid w:val="00687E5F"/>
    <w:rsid w:val="006923F1"/>
    <w:rsid w:val="006A1B4F"/>
    <w:rsid w:val="006A3511"/>
    <w:rsid w:val="006A36C9"/>
    <w:rsid w:val="006A6051"/>
    <w:rsid w:val="006B1C4E"/>
    <w:rsid w:val="006B20F4"/>
    <w:rsid w:val="006B22C8"/>
    <w:rsid w:val="006B31D9"/>
    <w:rsid w:val="006B5DB6"/>
    <w:rsid w:val="006B66D8"/>
    <w:rsid w:val="006C0102"/>
    <w:rsid w:val="006C07D4"/>
    <w:rsid w:val="006C0EC8"/>
    <w:rsid w:val="006C14F6"/>
    <w:rsid w:val="006C239E"/>
    <w:rsid w:val="006C41AD"/>
    <w:rsid w:val="006C593E"/>
    <w:rsid w:val="006D04BD"/>
    <w:rsid w:val="006D46E5"/>
    <w:rsid w:val="006D6644"/>
    <w:rsid w:val="006D7180"/>
    <w:rsid w:val="006E0608"/>
    <w:rsid w:val="006E433B"/>
    <w:rsid w:val="006E653E"/>
    <w:rsid w:val="006E7899"/>
    <w:rsid w:val="006E7C78"/>
    <w:rsid w:val="006F27F4"/>
    <w:rsid w:val="006F2E23"/>
    <w:rsid w:val="006F5C28"/>
    <w:rsid w:val="006F7024"/>
    <w:rsid w:val="00700C53"/>
    <w:rsid w:val="00701869"/>
    <w:rsid w:val="00702E2D"/>
    <w:rsid w:val="00703A7C"/>
    <w:rsid w:val="0070688A"/>
    <w:rsid w:val="00706F64"/>
    <w:rsid w:val="007070F2"/>
    <w:rsid w:val="007076DA"/>
    <w:rsid w:val="00707860"/>
    <w:rsid w:val="0071618B"/>
    <w:rsid w:val="007207BF"/>
    <w:rsid w:val="007223E3"/>
    <w:rsid w:val="0072574F"/>
    <w:rsid w:val="00725CB0"/>
    <w:rsid w:val="00726C9F"/>
    <w:rsid w:val="007312B1"/>
    <w:rsid w:val="00732A64"/>
    <w:rsid w:val="0073517D"/>
    <w:rsid w:val="0073685C"/>
    <w:rsid w:val="00737EA5"/>
    <w:rsid w:val="00740008"/>
    <w:rsid w:val="007400AE"/>
    <w:rsid w:val="00741F3E"/>
    <w:rsid w:val="00742859"/>
    <w:rsid w:val="00743AA8"/>
    <w:rsid w:val="00746406"/>
    <w:rsid w:val="00750840"/>
    <w:rsid w:val="007513BD"/>
    <w:rsid w:val="00754C94"/>
    <w:rsid w:val="00754CF6"/>
    <w:rsid w:val="00756C5C"/>
    <w:rsid w:val="007574AD"/>
    <w:rsid w:val="00757617"/>
    <w:rsid w:val="007626C9"/>
    <w:rsid w:val="00763AD8"/>
    <w:rsid w:val="00765016"/>
    <w:rsid w:val="00765A54"/>
    <w:rsid w:val="00767EDE"/>
    <w:rsid w:val="00770E83"/>
    <w:rsid w:val="0077100C"/>
    <w:rsid w:val="007762F1"/>
    <w:rsid w:val="00776C39"/>
    <w:rsid w:val="007772B3"/>
    <w:rsid w:val="007773D4"/>
    <w:rsid w:val="00781CE2"/>
    <w:rsid w:val="00781D00"/>
    <w:rsid w:val="007900F3"/>
    <w:rsid w:val="00790D7B"/>
    <w:rsid w:val="00791B69"/>
    <w:rsid w:val="00793806"/>
    <w:rsid w:val="0079498E"/>
    <w:rsid w:val="007969A5"/>
    <w:rsid w:val="00796F10"/>
    <w:rsid w:val="007A35B2"/>
    <w:rsid w:val="007A3B0F"/>
    <w:rsid w:val="007A4427"/>
    <w:rsid w:val="007A4A00"/>
    <w:rsid w:val="007A6AB5"/>
    <w:rsid w:val="007A6ACC"/>
    <w:rsid w:val="007A734D"/>
    <w:rsid w:val="007B0679"/>
    <w:rsid w:val="007B14D9"/>
    <w:rsid w:val="007B1AF7"/>
    <w:rsid w:val="007B239C"/>
    <w:rsid w:val="007B2B46"/>
    <w:rsid w:val="007B30F2"/>
    <w:rsid w:val="007B377F"/>
    <w:rsid w:val="007B4274"/>
    <w:rsid w:val="007B5117"/>
    <w:rsid w:val="007B599D"/>
    <w:rsid w:val="007B6650"/>
    <w:rsid w:val="007B6A74"/>
    <w:rsid w:val="007C2DC8"/>
    <w:rsid w:val="007C4069"/>
    <w:rsid w:val="007C57D2"/>
    <w:rsid w:val="007D097E"/>
    <w:rsid w:val="007D230B"/>
    <w:rsid w:val="007D2D80"/>
    <w:rsid w:val="007D3681"/>
    <w:rsid w:val="007D3824"/>
    <w:rsid w:val="007D49A1"/>
    <w:rsid w:val="007D59DD"/>
    <w:rsid w:val="007D7821"/>
    <w:rsid w:val="007E1F66"/>
    <w:rsid w:val="007E2CB5"/>
    <w:rsid w:val="007E4C10"/>
    <w:rsid w:val="007E4CF1"/>
    <w:rsid w:val="007E6501"/>
    <w:rsid w:val="007E694F"/>
    <w:rsid w:val="007E6C25"/>
    <w:rsid w:val="007E70F8"/>
    <w:rsid w:val="007F1134"/>
    <w:rsid w:val="007F32D7"/>
    <w:rsid w:val="007F3455"/>
    <w:rsid w:val="00801632"/>
    <w:rsid w:val="00802095"/>
    <w:rsid w:val="00804634"/>
    <w:rsid w:val="00804FB0"/>
    <w:rsid w:val="0080520B"/>
    <w:rsid w:val="00807B3E"/>
    <w:rsid w:val="00810D4A"/>
    <w:rsid w:val="008122B7"/>
    <w:rsid w:val="008122E6"/>
    <w:rsid w:val="00812310"/>
    <w:rsid w:val="00812F82"/>
    <w:rsid w:val="008146FD"/>
    <w:rsid w:val="00814BFA"/>
    <w:rsid w:val="008168E6"/>
    <w:rsid w:val="00816AAB"/>
    <w:rsid w:val="00820402"/>
    <w:rsid w:val="00820603"/>
    <w:rsid w:val="008243B2"/>
    <w:rsid w:val="00824F08"/>
    <w:rsid w:val="008310DF"/>
    <w:rsid w:val="00831105"/>
    <w:rsid w:val="008353C7"/>
    <w:rsid w:val="00835487"/>
    <w:rsid w:val="00840D5E"/>
    <w:rsid w:val="0084114B"/>
    <w:rsid w:val="00844A4B"/>
    <w:rsid w:val="0085000A"/>
    <w:rsid w:val="00851A64"/>
    <w:rsid w:val="008541C2"/>
    <w:rsid w:val="00854676"/>
    <w:rsid w:val="00857695"/>
    <w:rsid w:val="00860E6B"/>
    <w:rsid w:val="00865296"/>
    <w:rsid w:val="00866102"/>
    <w:rsid w:val="00866307"/>
    <w:rsid w:val="00867086"/>
    <w:rsid w:val="008724CA"/>
    <w:rsid w:val="00872B3C"/>
    <w:rsid w:val="00874663"/>
    <w:rsid w:val="008764BC"/>
    <w:rsid w:val="00880F06"/>
    <w:rsid w:val="00881504"/>
    <w:rsid w:val="0088161B"/>
    <w:rsid w:val="00881B95"/>
    <w:rsid w:val="008826A7"/>
    <w:rsid w:val="008831CA"/>
    <w:rsid w:val="0088540B"/>
    <w:rsid w:val="00885443"/>
    <w:rsid w:val="0089272A"/>
    <w:rsid w:val="00894890"/>
    <w:rsid w:val="00894C7A"/>
    <w:rsid w:val="00897247"/>
    <w:rsid w:val="008A3802"/>
    <w:rsid w:val="008A6A62"/>
    <w:rsid w:val="008B08F0"/>
    <w:rsid w:val="008B204F"/>
    <w:rsid w:val="008B24CB"/>
    <w:rsid w:val="008B262C"/>
    <w:rsid w:val="008B6393"/>
    <w:rsid w:val="008B6FC8"/>
    <w:rsid w:val="008B76E2"/>
    <w:rsid w:val="008C19E9"/>
    <w:rsid w:val="008C26E9"/>
    <w:rsid w:val="008C774E"/>
    <w:rsid w:val="008D3017"/>
    <w:rsid w:val="008D4652"/>
    <w:rsid w:val="008D55D0"/>
    <w:rsid w:val="008D6D9D"/>
    <w:rsid w:val="008E002B"/>
    <w:rsid w:val="008E454A"/>
    <w:rsid w:val="008F1691"/>
    <w:rsid w:val="008F22E2"/>
    <w:rsid w:val="008F5698"/>
    <w:rsid w:val="008F639E"/>
    <w:rsid w:val="008F7555"/>
    <w:rsid w:val="009001B8"/>
    <w:rsid w:val="009008B6"/>
    <w:rsid w:val="00901EF2"/>
    <w:rsid w:val="00903EB6"/>
    <w:rsid w:val="00904906"/>
    <w:rsid w:val="00906C8F"/>
    <w:rsid w:val="009079D0"/>
    <w:rsid w:val="00907A80"/>
    <w:rsid w:val="00910E83"/>
    <w:rsid w:val="00913D0A"/>
    <w:rsid w:val="009148A1"/>
    <w:rsid w:val="00916EAF"/>
    <w:rsid w:val="00917F65"/>
    <w:rsid w:val="00924106"/>
    <w:rsid w:val="00924972"/>
    <w:rsid w:val="00927864"/>
    <w:rsid w:val="00932E1E"/>
    <w:rsid w:val="009334B2"/>
    <w:rsid w:val="00934012"/>
    <w:rsid w:val="00934068"/>
    <w:rsid w:val="00937854"/>
    <w:rsid w:val="00943667"/>
    <w:rsid w:val="009469E0"/>
    <w:rsid w:val="00951C4D"/>
    <w:rsid w:val="00952E03"/>
    <w:rsid w:val="009547E2"/>
    <w:rsid w:val="00956488"/>
    <w:rsid w:val="00956F5F"/>
    <w:rsid w:val="009576E4"/>
    <w:rsid w:val="009610DC"/>
    <w:rsid w:val="0096249F"/>
    <w:rsid w:val="009705DF"/>
    <w:rsid w:val="0097154F"/>
    <w:rsid w:val="0097784D"/>
    <w:rsid w:val="00980E28"/>
    <w:rsid w:val="00985876"/>
    <w:rsid w:val="00985996"/>
    <w:rsid w:val="00986978"/>
    <w:rsid w:val="009902DE"/>
    <w:rsid w:val="00993C37"/>
    <w:rsid w:val="00994F74"/>
    <w:rsid w:val="0099563A"/>
    <w:rsid w:val="00996D0D"/>
    <w:rsid w:val="009974B9"/>
    <w:rsid w:val="009A13F4"/>
    <w:rsid w:val="009A44BE"/>
    <w:rsid w:val="009B029F"/>
    <w:rsid w:val="009B152D"/>
    <w:rsid w:val="009B27F8"/>
    <w:rsid w:val="009B4400"/>
    <w:rsid w:val="009B4A8B"/>
    <w:rsid w:val="009B74FB"/>
    <w:rsid w:val="009C02D7"/>
    <w:rsid w:val="009C0660"/>
    <w:rsid w:val="009C27EE"/>
    <w:rsid w:val="009C31A4"/>
    <w:rsid w:val="009C37FE"/>
    <w:rsid w:val="009C3BC4"/>
    <w:rsid w:val="009C4845"/>
    <w:rsid w:val="009C5E68"/>
    <w:rsid w:val="009C7314"/>
    <w:rsid w:val="009D2442"/>
    <w:rsid w:val="009D4030"/>
    <w:rsid w:val="009D40F0"/>
    <w:rsid w:val="009D5706"/>
    <w:rsid w:val="009D5D9F"/>
    <w:rsid w:val="009D713D"/>
    <w:rsid w:val="009E0FA2"/>
    <w:rsid w:val="009E2244"/>
    <w:rsid w:val="009E755F"/>
    <w:rsid w:val="009F57FD"/>
    <w:rsid w:val="009F6554"/>
    <w:rsid w:val="009F67D9"/>
    <w:rsid w:val="009F7F9F"/>
    <w:rsid w:val="00A00DA6"/>
    <w:rsid w:val="00A01E02"/>
    <w:rsid w:val="00A02367"/>
    <w:rsid w:val="00A02E26"/>
    <w:rsid w:val="00A05BA0"/>
    <w:rsid w:val="00A159C9"/>
    <w:rsid w:val="00A167FB"/>
    <w:rsid w:val="00A21B70"/>
    <w:rsid w:val="00A21D02"/>
    <w:rsid w:val="00A21DDB"/>
    <w:rsid w:val="00A23CF6"/>
    <w:rsid w:val="00A2690C"/>
    <w:rsid w:val="00A2792F"/>
    <w:rsid w:val="00A30970"/>
    <w:rsid w:val="00A31010"/>
    <w:rsid w:val="00A315E4"/>
    <w:rsid w:val="00A319FF"/>
    <w:rsid w:val="00A31D96"/>
    <w:rsid w:val="00A31FEE"/>
    <w:rsid w:val="00A33C55"/>
    <w:rsid w:val="00A33D19"/>
    <w:rsid w:val="00A406C3"/>
    <w:rsid w:val="00A40ABA"/>
    <w:rsid w:val="00A42875"/>
    <w:rsid w:val="00A44DC1"/>
    <w:rsid w:val="00A47A98"/>
    <w:rsid w:val="00A47BE4"/>
    <w:rsid w:val="00A47EE7"/>
    <w:rsid w:val="00A50B43"/>
    <w:rsid w:val="00A51C87"/>
    <w:rsid w:val="00A54197"/>
    <w:rsid w:val="00A551FB"/>
    <w:rsid w:val="00A61821"/>
    <w:rsid w:val="00A61E3A"/>
    <w:rsid w:val="00A631BA"/>
    <w:rsid w:val="00A65182"/>
    <w:rsid w:val="00A66D31"/>
    <w:rsid w:val="00A67CA5"/>
    <w:rsid w:val="00A71483"/>
    <w:rsid w:val="00A7370B"/>
    <w:rsid w:val="00A75CCD"/>
    <w:rsid w:val="00A80281"/>
    <w:rsid w:val="00A80506"/>
    <w:rsid w:val="00A806AE"/>
    <w:rsid w:val="00A8118F"/>
    <w:rsid w:val="00A83458"/>
    <w:rsid w:val="00A8644A"/>
    <w:rsid w:val="00A864E2"/>
    <w:rsid w:val="00A86C41"/>
    <w:rsid w:val="00A87D3D"/>
    <w:rsid w:val="00A90148"/>
    <w:rsid w:val="00A917F8"/>
    <w:rsid w:val="00A96AFB"/>
    <w:rsid w:val="00AA0D8C"/>
    <w:rsid w:val="00AA25BC"/>
    <w:rsid w:val="00AA3077"/>
    <w:rsid w:val="00AA46AF"/>
    <w:rsid w:val="00AA5AE7"/>
    <w:rsid w:val="00AA7D03"/>
    <w:rsid w:val="00AB1CF3"/>
    <w:rsid w:val="00AB41C8"/>
    <w:rsid w:val="00AB4E9E"/>
    <w:rsid w:val="00AB6C99"/>
    <w:rsid w:val="00AB7DCE"/>
    <w:rsid w:val="00AC0466"/>
    <w:rsid w:val="00AC11D5"/>
    <w:rsid w:val="00AC15E5"/>
    <w:rsid w:val="00AC1C01"/>
    <w:rsid w:val="00AC22BB"/>
    <w:rsid w:val="00AC2B07"/>
    <w:rsid w:val="00AC4080"/>
    <w:rsid w:val="00AC412E"/>
    <w:rsid w:val="00AC5A6D"/>
    <w:rsid w:val="00AC5D73"/>
    <w:rsid w:val="00AC73AD"/>
    <w:rsid w:val="00AD08C4"/>
    <w:rsid w:val="00AD2486"/>
    <w:rsid w:val="00AD34A7"/>
    <w:rsid w:val="00AD6E7C"/>
    <w:rsid w:val="00AD705A"/>
    <w:rsid w:val="00AD78F9"/>
    <w:rsid w:val="00AE008D"/>
    <w:rsid w:val="00AE29AB"/>
    <w:rsid w:val="00AE30E0"/>
    <w:rsid w:val="00AE346F"/>
    <w:rsid w:val="00AE3AD5"/>
    <w:rsid w:val="00AF00FB"/>
    <w:rsid w:val="00AF2089"/>
    <w:rsid w:val="00AF2329"/>
    <w:rsid w:val="00AF24A8"/>
    <w:rsid w:val="00AF3660"/>
    <w:rsid w:val="00AF66E8"/>
    <w:rsid w:val="00AF7A20"/>
    <w:rsid w:val="00B01312"/>
    <w:rsid w:val="00B02D98"/>
    <w:rsid w:val="00B12AB1"/>
    <w:rsid w:val="00B133DE"/>
    <w:rsid w:val="00B15D2F"/>
    <w:rsid w:val="00B16399"/>
    <w:rsid w:val="00B1760F"/>
    <w:rsid w:val="00B2586D"/>
    <w:rsid w:val="00B25AE4"/>
    <w:rsid w:val="00B26909"/>
    <w:rsid w:val="00B27664"/>
    <w:rsid w:val="00B27AED"/>
    <w:rsid w:val="00B3068F"/>
    <w:rsid w:val="00B31169"/>
    <w:rsid w:val="00B31828"/>
    <w:rsid w:val="00B324C5"/>
    <w:rsid w:val="00B35226"/>
    <w:rsid w:val="00B42BEE"/>
    <w:rsid w:val="00B4345B"/>
    <w:rsid w:val="00B452B7"/>
    <w:rsid w:val="00B458E3"/>
    <w:rsid w:val="00B518FF"/>
    <w:rsid w:val="00B53615"/>
    <w:rsid w:val="00B54B4E"/>
    <w:rsid w:val="00B54F17"/>
    <w:rsid w:val="00B561EE"/>
    <w:rsid w:val="00B57D47"/>
    <w:rsid w:val="00B6210E"/>
    <w:rsid w:val="00B632E3"/>
    <w:rsid w:val="00B64DC8"/>
    <w:rsid w:val="00B66B2D"/>
    <w:rsid w:val="00B70663"/>
    <w:rsid w:val="00B70688"/>
    <w:rsid w:val="00B70E39"/>
    <w:rsid w:val="00B72064"/>
    <w:rsid w:val="00B76E78"/>
    <w:rsid w:val="00B76E84"/>
    <w:rsid w:val="00B77091"/>
    <w:rsid w:val="00B82E3C"/>
    <w:rsid w:val="00B837C1"/>
    <w:rsid w:val="00B841E0"/>
    <w:rsid w:val="00B860BA"/>
    <w:rsid w:val="00B865F5"/>
    <w:rsid w:val="00B870A0"/>
    <w:rsid w:val="00B91DFE"/>
    <w:rsid w:val="00B91FCE"/>
    <w:rsid w:val="00B92CAA"/>
    <w:rsid w:val="00B966E9"/>
    <w:rsid w:val="00B96BC7"/>
    <w:rsid w:val="00B97229"/>
    <w:rsid w:val="00BA08A3"/>
    <w:rsid w:val="00BA5AB3"/>
    <w:rsid w:val="00BB227E"/>
    <w:rsid w:val="00BB344E"/>
    <w:rsid w:val="00BB7E3D"/>
    <w:rsid w:val="00BC067D"/>
    <w:rsid w:val="00BC17A0"/>
    <w:rsid w:val="00BC3B1D"/>
    <w:rsid w:val="00BC3CD1"/>
    <w:rsid w:val="00BC5AC7"/>
    <w:rsid w:val="00BC5EC6"/>
    <w:rsid w:val="00BC5F0E"/>
    <w:rsid w:val="00BD2211"/>
    <w:rsid w:val="00BD221D"/>
    <w:rsid w:val="00BD3E65"/>
    <w:rsid w:val="00BD5934"/>
    <w:rsid w:val="00BD7785"/>
    <w:rsid w:val="00BE2044"/>
    <w:rsid w:val="00BE2D82"/>
    <w:rsid w:val="00BE3366"/>
    <w:rsid w:val="00BE3B2E"/>
    <w:rsid w:val="00BE3C0A"/>
    <w:rsid w:val="00BE7FA3"/>
    <w:rsid w:val="00BF09D4"/>
    <w:rsid w:val="00BF0E31"/>
    <w:rsid w:val="00BF1CBD"/>
    <w:rsid w:val="00BF44BA"/>
    <w:rsid w:val="00BF52C4"/>
    <w:rsid w:val="00C006BE"/>
    <w:rsid w:val="00C040EE"/>
    <w:rsid w:val="00C05B8E"/>
    <w:rsid w:val="00C05DCB"/>
    <w:rsid w:val="00C1063D"/>
    <w:rsid w:val="00C10EEE"/>
    <w:rsid w:val="00C15E0E"/>
    <w:rsid w:val="00C23FB5"/>
    <w:rsid w:val="00C24A1A"/>
    <w:rsid w:val="00C331BB"/>
    <w:rsid w:val="00C3536B"/>
    <w:rsid w:val="00C37AEC"/>
    <w:rsid w:val="00C412F7"/>
    <w:rsid w:val="00C41A08"/>
    <w:rsid w:val="00C422B9"/>
    <w:rsid w:val="00C4241E"/>
    <w:rsid w:val="00C42E91"/>
    <w:rsid w:val="00C50E85"/>
    <w:rsid w:val="00C50EFE"/>
    <w:rsid w:val="00C51986"/>
    <w:rsid w:val="00C615A3"/>
    <w:rsid w:val="00C6198D"/>
    <w:rsid w:val="00C635DA"/>
    <w:rsid w:val="00C639E7"/>
    <w:rsid w:val="00C659BE"/>
    <w:rsid w:val="00C65F23"/>
    <w:rsid w:val="00C67EF4"/>
    <w:rsid w:val="00C745E5"/>
    <w:rsid w:val="00C80300"/>
    <w:rsid w:val="00C82307"/>
    <w:rsid w:val="00C8613B"/>
    <w:rsid w:val="00C874F7"/>
    <w:rsid w:val="00C91D11"/>
    <w:rsid w:val="00C92622"/>
    <w:rsid w:val="00C93F78"/>
    <w:rsid w:val="00C95071"/>
    <w:rsid w:val="00C955EC"/>
    <w:rsid w:val="00C95F25"/>
    <w:rsid w:val="00C97228"/>
    <w:rsid w:val="00C9780D"/>
    <w:rsid w:val="00CA02DA"/>
    <w:rsid w:val="00CA1A54"/>
    <w:rsid w:val="00CA2F23"/>
    <w:rsid w:val="00CA7B8C"/>
    <w:rsid w:val="00CC150C"/>
    <w:rsid w:val="00CC355C"/>
    <w:rsid w:val="00CC46B2"/>
    <w:rsid w:val="00CC5718"/>
    <w:rsid w:val="00CD1352"/>
    <w:rsid w:val="00CD1B33"/>
    <w:rsid w:val="00CD1CBE"/>
    <w:rsid w:val="00CD1E3E"/>
    <w:rsid w:val="00CD32E2"/>
    <w:rsid w:val="00CD4B0B"/>
    <w:rsid w:val="00CD6698"/>
    <w:rsid w:val="00CD66E6"/>
    <w:rsid w:val="00CE1E5B"/>
    <w:rsid w:val="00CE29F2"/>
    <w:rsid w:val="00CE2BC5"/>
    <w:rsid w:val="00CE515B"/>
    <w:rsid w:val="00CE51CF"/>
    <w:rsid w:val="00CE5C49"/>
    <w:rsid w:val="00CE69CC"/>
    <w:rsid w:val="00CE7518"/>
    <w:rsid w:val="00CF1D92"/>
    <w:rsid w:val="00CF24E3"/>
    <w:rsid w:val="00CF5D91"/>
    <w:rsid w:val="00D0025C"/>
    <w:rsid w:val="00D004FB"/>
    <w:rsid w:val="00D02BBC"/>
    <w:rsid w:val="00D02C36"/>
    <w:rsid w:val="00D03EC5"/>
    <w:rsid w:val="00D04492"/>
    <w:rsid w:val="00D04FA4"/>
    <w:rsid w:val="00D05A94"/>
    <w:rsid w:val="00D07BF4"/>
    <w:rsid w:val="00D12172"/>
    <w:rsid w:val="00D12854"/>
    <w:rsid w:val="00D12B8C"/>
    <w:rsid w:val="00D200F6"/>
    <w:rsid w:val="00D2066C"/>
    <w:rsid w:val="00D21646"/>
    <w:rsid w:val="00D22C1C"/>
    <w:rsid w:val="00D303FB"/>
    <w:rsid w:val="00D36A3A"/>
    <w:rsid w:val="00D43431"/>
    <w:rsid w:val="00D454F2"/>
    <w:rsid w:val="00D479F4"/>
    <w:rsid w:val="00D47CE9"/>
    <w:rsid w:val="00D52995"/>
    <w:rsid w:val="00D56B9A"/>
    <w:rsid w:val="00D63406"/>
    <w:rsid w:val="00D64DE2"/>
    <w:rsid w:val="00D64E98"/>
    <w:rsid w:val="00D65983"/>
    <w:rsid w:val="00D72ADE"/>
    <w:rsid w:val="00D75233"/>
    <w:rsid w:val="00D76896"/>
    <w:rsid w:val="00D7728F"/>
    <w:rsid w:val="00D77696"/>
    <w:rsid w:val="00D8031F"/>
    <w:rsid w:val="00D81CC4"/>
    <w:rsid w:val="00D84CF2"/>
    <w:rsid w:val="00D9765E"/>
    <w:rsid w:val="00DA3D3F"/>
    <w:rsid w:val="00DA4591"/>
    <w:rsid w:val="00DA6430"/>
    <w:rsid w:val="00DA7C4B"/>
    <w:rsid w:val="00DB63DB"/>
    <w:rsid w:val="00DB7824"/>
    <w:rsid w:val="00DC308E"/>
    <w:rsid w:val="00DC612B"/>
    <w:rsid w:val="00DC7F73"/>
    <w:rsid w:val="00DD1C01"/>
    <w:rsid w:val="00DE0D7F"/>
    <w:rsid w:val="00DE191A"/>
    <w:rsid w:val="00DE1A0F"/>
    <w:rsid w:val="00DE1A28"/>
    <w:rsid w:val="00DE3123"/>
    <w:rsid w:val="00DE339F"/>
    <w:rsid w:val="00DE3900"/>
    <w:rsid w:val="00DE4678"/>
    <w:rsid w:val="00DE7E65"/>
    <w:rsid w:val="00DF1535"/>
    <w:rsid w:val="00DF2AE9"/>
    <w:rsid w:val="00DF53F5"/>
    <w:rsid w:val="00DF61FD"/>
    <w:rsid w:val="00DF6D25"/>
    <w:rsid w:val="00DF6D63"/>
    <w:rsid w:val="00E022A3"/>
    <w:rsid w:val="00E02538"/>
    <w:rsid w:val="00E03C6D"/>
    <w:rsid w:val="00E07825"/>
    <w:rsid w:val="00E11491"/>
    <w:rsid w:val="00E11EE1"/>
    <w:rsid w:val="00E11EE3"/>
    <w:rsid w:val="00E1254F"/>
    <w:rsid w:val="00E12CA6"/>
    <w:rsid w:val="00E135CC"/>
    <w:rsid w:val="00E135F9"/>
    <w:rsid w:val="00E14349"/>
    <w:rsid w:val="00E15801"/>
    <w:rsid w:val="00E20C28"/>
    <w:rsid w:val="00E219CE"/>
    <w:rsid w:val="00E2211A"/>
    <w:rsid w:val="00E22A77"/>
    <w:rsid w:val="00E22E84"/>
    <w:rsid w:val="00E24B18"/>
    <w:rsid w:val="00E2672D"/>
    <w:rsid w:val="00E269BA"/>
    <w:rsid w:val="00E3016C"/>
    <w:rsid w:val="00E348BC"/>
    <w:rsid w:val="00E37D95"/>
    <w:rsid w:val="00E41BE1"/>
    <w:rsid w:val="00E41D7B"/>
    <w:rsid w:val="00E42837"/>
    <w:rsid w:val="00E4307D"/>
    <w:rsid w:val="00E4318F"/>
    <w:rsid w:val="00E4392E"/>
    <w:rsid w:val="00E540D1"/>
    <w:rsid w:val="00E54395"/>
    <w:rsid w:val="00E54741"/>
    <w:rsid w:val="00E568E5"/>
    <w:rsid w:val="00E56B91"/>
    <w:rsid w:val="00E63E63"/>
    <w:rsid w:val="00E6453F"/>
    <w:rsid w:val="00E659EF"/>
    <w:rsid w:val="00E70CBD"/>
    <w:rsid w:val="00E717E8"/>
    <w:rsid w:val="00E72BAF"/>
    <w:rsid w:val="00E7308E"/>
    <w:rsid w:val="00E73D81"/>
    <w:rsid w:val="00E754F4"/>
    <w:rsid w:val="00E81550"/>
    <w:rsid w:val="00E862BD"/>
    <w:rsid w:val="00E8761F"/>
    <w:rsid w:val="00E87D0E"/>
    <w:rsid w:val="00E9439F"/>
    <w:rsid w:val="00EA057C"/>
    <w:rsid w:val="00EA0AF5"/>
    <w:rsid w:val="00EA2B72"/>
    <w:rsid w:val="00EA2D3D"/>
    <w:rsid w:val="00EA38E7"/>
    <w:rsid w:val="00EA5B84"/>
    <w:rsid w:val="00EA5BFD"/>
    <w:rsid w:val="00EA7C9F"/>
    <w:rsid w:val="00EB20F9"/>
    <w:rsid w:val="00EB24EB"/>
    <w:rsid w:val="00EB2B8E"/>
    <w:rsid w:val="00EB34AF"/>
    <w:rsid w:val="00EC284F"/>
    <w:rsid w:val="00EC3436"/>
    <w:rsid w:val="00ED06CC"/>
    <w:rsid w:val="00ED2C8E"/>
    <w:rsid w:val="00ED379E"/>
    <w:rsid w:val="00ED685D"/>
    <w:rsid w:val="00ED7680"/>
    <w:rsid w:val="00EE0424"/>
    <w:rsid w:val="00EE0A98"/>
    <w:rsid w:val="00EE0D47"/>
    <w:rsid w:val="00EE1839"/>
    <w:rsid w:val="00EE5358"/>
    <w:rsid w:val="00EE661C"/>
    <w:rsid w:val="00EF6B34"/>
    <w:rsid w:val="00EF71E9"/>
    <w:rsid w:val="00F0025D"/>
    <w:rsid w:val="00F006D2"/>
    <w:rsid w:val="00F00BD1"/>
    <w:rsid w:val="00F016A2"/>
    <w:rsid w:val="00F01FD9"/>
    <w:rsid w:val="00F02D92"/>
    <w:rsid w:val="00F044E1"/>
    <w:rsid w:val="00F04B07"/>
    <w:rsid w:val="00F05BA8"/>
    <w:rsid w:val="00F129E6"/>
    <w:rsid w:val="00F15138"/>
    <w:rsid w:val="00F16C28"/>
    <w:rsid w:val="00F16F13"/>
    <w:rsid w:val="00F23E9A"/>
    <w:rsid w:val="00F24008"/>
    <w:rsid w:val="00F242D9"/>
    <w:rsid w:val="00F257CB"/>
    <w:rsid w:val="00F30354"/>
    <w:rsid w:val="00F3697F"/>
    <w:rsid w:val="00F3715D"/>
    <w:rsid w:val="00F44B62"/>
    <w:rsid w:val="00F5072C"/>
    <w:rsid w:val="00F51CBF"/>
    <w:rsid w:val="00F5411D"/>
    <w:rsid w:val="00F56919"/>
    <w:rsid w:val="00F56D2B"/>
    <w:rsid w:val="00F57D2D"/>
    <w:rsid w:val="00F57E0D"/>
    <w:rsid w:val="00F606D8"/>
    <w:rsid w:val="00F61138"/>
    <w:rsid w:val="00F62A49"/>
    <w:rsid w:val="00F637C8"/>
    <w:rsid w:val="00F64F0D"/>
    <w:rsid w:val="00F66A36"/>
    <w:rsid w:val="00F7026A"/>
    <w:rsid w:val="00F71826"/>
    <w:rsid w:val="00F720F2"/>
    <w:rsid w:val="00F72B45"/>
    <w:rsid w:val="00F73B00"/>
    <w:rsid w:val="00F76213"/>
    <w:rsid w:val="00F803EB"/>
    <w:rsid w:val="00F80C2F"/>
    <w:rsid w:val="00F84737"/>
    <w:rsid w:val="00F87B69"/>
    <w:rsid w:val="00F90C95"/>
    <w:rsid w:val="00F9103E"/>
    <w:rsid w:val="00F939F6"/>
    <w:rsid w:val="00F95651"/>
    <w:rsid w:val="00F95923"/>
    <w:rsid w:val="00F96A39"/>
    <w:rsid w:val="00F97463"/>
    <w:rsid w:val="00FA4DC6"/>
    <w:rsid w:val="00FA5D99"/>
    <w:rsid w:val="00FB030E"/>
    <w:rsid w:val="00FB238F"/>
    <w:rsid w:val="00FB5346"/>
    <w:rsid w:val="00FB571F"/>
    <w:rsid w:val="00FC42BA"/>
    <w:rsid w:val="00FC6166"/>
    <w:rsid w:val="00FC6744"/>
    <w:rsid w:val="00FD08C1"/>
    <w:rsid w:val="00FD2C54"/>
    <w:rsid w:val="00FD61F7"/>
    <w:rsid w:val="00FD7A7A"/>
    <w:rsid w:val="00FE10C1"/>
    <w:rsid w:val="00FE190E"/>
    <w:rsid w:val="00FE20A9"/>
    <w:rsid w:val="00FE34B8"/>
    <w:rsid w:val="00FE48A9"/>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3F2FA1"/>
    <w:pPr>
      <w:keepNext/>
      <w:keepLines/>
      <w:spacing w:before="280" w:after="80"/>
      <w:contextualSpacing/>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3F2FA1"/>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32547F"/>
    <w:p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link w:val="TableChar"/>
    <w:qFormat/>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E8761F"/>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E8761F"/>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E2211A"/>
    <w:pPr>
      <w:keepNext/>
      <w:keepLines/>
      <w:spacing w:line="360" w:lineRule="exact"/>
      <w:jc w:val="center"/>
      <w:outlineLvl w:val="1"/>
    </w:pPr>
    <w:rPr>
      <w:rFonts w:eastAsiaTheme="majorEastAsia" w:cstheme="majorBidi"/>
      <w:caps/>
      <w:color w:val="FFFFFF" w:themeColor="background1"/>
      <w:spacing w:val="60"/>
      <w:sz w:val="32"/>
      <w:szCs w:val="30"/>
    </w:rPr>
  </w:style>
  <w:style w:type="character" w:customStyle="1" w:styleId="eTRMHeading2Char">
    <w:name w:val="eTRM Heading 2 Char"/>
    <w:basedOn w:val="DefaultParagraphFont"/>
    <w:link w:val="eTRMHeading2"/>
    <w:rsid w:val="00E2211A"/>
    <w:rPr>
      <w:rFonts w:ascii="Calibri Light" w:eastAsiaTheme="majorEastAsia" w:hAnsi="Calibri Light" w:cstheme="majorBidi"/>
      <w:caps/>
      <w:color w:val="FFFFFF" w:themeColor="background1"/>
      <w:spacing w:val="60"/>
      <w:sz w:val="32"/>
      <w:szCs w:val="30"/>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Normal1">
    <w:name w:val="Normal1"/>
    <w:basedOn w:val="Normal"/>
    <w:rsid w:val="009705DF"/>
    <w:pPr>
      <w:overflowPunct w:val="0"/>
      <w:autoSpaceDE w:val="0"/>
      <w:autoSpaceDN w:val="0"/>
      <w:adjustRightInd w:val="0"/>
      <w:spacing w:before="0" w:line="360" w:lineRule="atLeast"/>
      <w:textAlignment w:val="baseline"/>
    </w:pPr>
    <w:rPr>
      <w:rFonts w:ascii="Times New Roman" w:eastAsia="Batang" w:hAnsi="Times New Roman" w:cs="Times New Roman"/>
      <w:szCs w:val="20"/>
    </w:rPr>
  </w:style>
  <w:style w:type="character" w:customStyle="1" w:styleId="TableChar">
    <w:name w:val="Table Char"/>
    <w:basedOn w:val="DefaultParagraphFont"/>
    <w:link w:val="Table"/>
    <w:rsid w:val="009705DF"/>
    <w:rPr>
      <w:rFonts w:ascii="Arial" w:eastAsia="Times New Roman" w:hAnsi="Arial" w:cs="Arial"/>
      <w:b/>
      <w:bCs/>
      <w:sz w:val="22"/>
      <w:lang w:val="x-none" w:eastAsia="x-none"/>
    </w:rPr>
  </w:style>
  <w:style w:type="paragraph" w:styleId="NoSpacing">
    <w:name w:val="No Spacing"/>
    <w:uiPriority w:val="1"/>
    <w:qFormat/>
    <w:rsid w:val="000608BF"/>
    <w:rPr>
      <w:rFonts w:eastAsiaTheme="minorHAnsi"/>
      <w:sz w:val="22"/>
      <w:szCs w:val="22"/>
    </w:rPr>
  </w:style>
  <w:style w:type="paragraph" w:styleId="NormalWeb">
    <w:name w:val="Normal (Web)"/>
    <w:basedOn w:val="Normal"/>
    <w:uiPriority w:val="99"/>
    <w:unhideWhenUsed/>
    <w:rsid w:val="00D43431"/>
    <w:pPr>
      <w:spacing w:before="100" w:beforeAutospacing="1" w:after="100" w:afterAutospacing="1" w:line="240" w:lineRule="auto"/>
    </w:pPr>
    <w:rPr>
      <w:rFonts w:ascii="Times New Roman" w:hAnsi="Times New Roman" w:cs="Times New Roman"/>
      <w:sz w:val="24"/>
    </w:rPr>
  </w:style>
  <w:style w:type="paragraph" w:customStyle="1" w:styleId="p1">
    <w:name w:val="p1"/>
    <w:basedOn w:val="Normal"/>
    <w:rsid w:val="00996D0D"/>
    <w:pPr>
      <w:spacing w:before="0" w:after="0" w:line="240" w:lineRule="auto"/>
    </w:pPr>
    <w:rPr>
      <w:rFonts w:ascii="Times" w:hAnsi="Times" w:cs="Times New Roman"/>
      <w:sz w:val="18"/>
      <w:szCs w:val="18"/>
    </w:rPr>
  </w:style>
  <w:style w:type="character" w:styleId="PlaceholderText">
    <w:name w:val="Placeholder Text"/>
    <w:basedOn w:val="DefaultParagraphFont"/>
    <w:uiPriority w:val="99"/>
    <w:semiHidden/>
    <w:rsid w:val="002A3EE6"/>
    <w:rPr>
      <w:color w:val="808080"/>
    </w:rPr>
  </w:style>
  <w:style w:type="paragraph" w:customStyle="1" w:styleId="TableParagraph">
    <w:name w:val="Table Paragraph"/>
    <w:basedOn w:val="Normal"/>
    <w:uiPriority w:val="1"/>
    <w:qFormat/>
    <w:rsid w:val="00943667"/>
    <w:pPr>
      <w:widowControl w:val="0"/>
      <w:autoSpaceDE w:val="0"/>
      <w:autoSpaceDN w:val="0"/>
      <w:spacing w:before="0" w:after="0" w:line="240" w:lineRule="auto"/>
    </w:pPr>
    <w:rPr>
      <w:rFonts w:eastAsia="Calibri Light" w:cs="Calibri Light"/>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4389494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4A717-BAE3-494E-8C5E-857D86D7B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19</TotalTime>
  <Pages>23</Pages>
  <Words>7257</Words>
  <Characters>41365</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48525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22</cp:revision>
  <cp:lastPrinted>2021-03-22T06:38:00Z</cp:lastPrinted>
  <dcterms:created xsi:type="dcterms:W3CDTF">2019-11-01T20:11:00Z</dcterms:created>
  <dcterms:modified xsi:type="dcterms:W3CDTF">2021-03-22T06:38:00Z</dcterms:modified>
  <cp:category/>
</cp:coreProperties>
</file>