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8B3ADE" w14:textId="77777777" w:rsidR="0081013A" w:rsidRDefault="004D3D43">
      <w:pPr>
        <w:pStyle w:val="BodyText"/>
        <w:ind w:left="4060"/>
        <w:rPr>
          <w:rFonts w:ascii="Times New Roman"/>
          <w:sz w:val="20"/>
        </w:rPr>
      </w:pPr>
      <w:r>
        <w:rPr>
          <w:rFonts w:ascii="Times New Roman"/>
          <w:noProof/>
          <w:sz w:val="20"/>
        </w:rPr>
        <w:drawing>
          <wp:inline distT="0" distB="0" distL="0" distR="0" wp14:anchorId="528B3FB7" wp14:editId="528B3FB8">
            <wp:extent cx="829155" cy="1399031"/>
            <wp:effectExtent l="0" t="0" r="0" b="0"/>
            <wp:docPr id="3" name="image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jpeg"/>
                    <pic:cNvPicPr/>
                  </pic:nvPicPr>
                  <pic:blipFill>
                    <a:blip r:embed="rId7" cstate="print"/>
                    <a:stretch>
                      <a:fillRect/>
                    </a:stretch>
                  </pic:blipFill>
                  <pic:spPr>
                    <a:xfrm>
                      <a:off x="0" y="0"/>
                      <a:ext cx="829155" cy="1399031"/>
                    </a:xfrm>
                    <a:prstGeom prst="rect">
                      <a:avLst/>
                    </a:prstGeom>
                  </pic:spPr>
                </pic:pic>
              </a:graphicData>
            </a:graphic>
          </wp:inline>
        </w:drawing>
      </w:r>
    </w:p>
    <w:p w14:paraId="528B3ADF" w14:textId="77777777" w:rsidR="0081013A" w:rsidRDefault="0081013A">
      <w:pPr>
        <w:pStyle w:val="BodyText"/>
        <w:rPr>
          <w:rFonts w:ascii="Times New Roman"/>
          <w:sz w:val="20"/>
        </w:rPr>
      </w:pPr>
    </w:p>
    <w:p w14:paraId="528B3AE0" w14:textId="77777777" w:rsidR="0081013A" w:rsidRDefault="0081013A">
      <w:pPr>
        <w:pStyle w:val="BodyText"/>
        <w:rPr>
          <w:rFonts w:ascii="Times New Roman"/>
          <w:sz w:val="20"/>
        </w:rPr>
      </w:pPr>
    </w:p>
    <w:p w14:paraId="528B3AE1" w14:textId="77777777" w:rsidR="0081013A" w:rsidRDefault="004A0AE2">
      <w:pPr>
        <w:pStyle w:val="BodyText"/>
        <w:spacing w:before="6"/>
        <w:rPr>
          <w:rFonts w:ascii="Times New Roman"/>
          <w:sz w:val="20"/>
        </w:rPr>
      </w:pPr>
      <w:r>
        <w:pict w14:anchorId="528B3FBA">
          <v:shapetype id="_x0000_t202" coordsize="21600,21600" o:spt="202" path="m,l,21600r21600,l21600,xe">
            <v:stroke joinstyle="miter"/>
            <v:path gradientshapeok="t" o:connecttype="rect"/>
          </v:shapetype>
          <v:shape id="_x0000_s1043" type="#_x0000_t202" style="position:absolute;margin-left:90pt;margin-top:13.05pt;width:450pt;height:1in;z-index:-251658240;mso-wrap-distance-left:0;mso-wrap-distance-right:0;mso-position-horizontal-relative:page" fillcolor="#8dc53e" stroked="f">
            <v:textbox inset="0,0,0,0">
              <w:txbxContent>
                <w:p w14:paraId="528B3FE3" w14:textId="0675C01A" w:rsidR="004D3D43" w:rsidRPr="00B90739" w:rsidRDefault="004D3D43" w:rsidP="00B90739">
                  <w:pPr>
                    <w:pStyle w:val="eTRMHeading1"/>
                    <w:jc w:val="center"/>
                    <w:rPr>
                      <w:sz w:val="28"/>
                    </w:rPr>
                  </w:pPr>
                  <w:bookmarkStart w:id="0" w:name="SERVICE_&amp;_DOMESTIC_HOT_WATER"/>
                  <w:bookmarkEnd w:id="0"/>
                  <w:r w:rsidRPr="00B90739">
                    <w:rPr>
                      <w:sz w:val="28"/>
                    </w:rPr>
                    <w:t xml:space="preserve">SERVICE &amp; DOMESTIC HOT WATER </w:t>
                  </w:r>
                </w:p>
                <w:p w14:paraId="528B3FE4" w14:textId="1723070B" w:rsidR="004D3D43" w:rsidRDefault="004D3D43">
                  <w:pPr>
                    <w:spacing w:before="90"/>
                    <w:ind w:left="741" w:right="799"/>
                    <w:jc w:val="center"/>
                    <w:rPr>
                      <w:sz w:val="32"/>
                    </w:rPr>
                  </w:pPr>
                  <w:bookmarkStart w:id="1" w:name="LOW-FLOW_SHOWERHEAD,_RESIDENTIAL"/>
                  <w:bookmarkEnd w:id="1"/>
                  <w:r>
                    <w:rPr>
                      <w:color w:val="FFFFFF"/>
                      <w:sz w:val="32"/>
                    </w:rPr>
                    <w:t xml:space="preserve">L </w:t>
                  </w:r>
                  <w:r>
                    <w:rPr>
                      <w:color w:val="FFFFFF"/>
                      <w:spacing w:val="29"/>
                      <w:sz w:val="32"/>
                    </w:rPr>
                    <w:t xml:space="preserve">OW </w:t>
                  </w:r>
                  <w:r>
                    <w:rPr>
                      <w:color w:val="FFFFFF"/>
                      <w:sz w:val="32"/>
                    </w:rPr>
                    <w:t xml:space="preserve">- F L </w:t>
                  </w:r>
                  <w:r>
                    <w:rPr>
                      <w:color w:val="FFFFFF"/>
                      <w:spacing w:val="29"/>
                      <w:sz w:val="32"/>
                    </w:rPr>
                    <w:t>OW</w:t>
                  </w:r>
                  <w:r>
                    <w:rPr>
                      <w:color w:val="FFFFFF"/>
                      <w:spacing w:val="120"/>
                      <w:sz w:val="32"/>
                    </w:rPr>
                    <w:t xml:space="preserve"> </w:t>
                  </w:r>
                  <w:r>
                    <w:rPr>
                      <w:color w:val="FFFFFF"/>
                      <w:sz w:val="32"/>
                    </w:rPr>
                    <w:t xml:space="preserve">S H </w:t>
                  </w:r>
                  <w:r>
                    <w:rPr>
                      <w:color w:val="FFFFFF"/>
                      <w:spacing w:val="29"/>
                      <w:sz w:val="32"/>
                    </w:rPr>
                    <w:t>OW</w:t>
                  </w:r>
                  <w:r>
                    <w:rPr>
                      <w:color w:val="FFFFFF"/>
                      <w:spacing w:val="30"/>
                      <w:sz w:val="32"/>
                    </w:rPr>
                    <w:t>ER</w:t>
                  </w:r>
                  <w:r>
                    <w:rPr>
                      <w:color w:val="FFFFFF"/>
                      <w:sz w:val="32"/>
                    </w:rPr>
                    <w:t xml:space="preserve">H </w:t>
                  </w:r>
                  <w:r>
                    <w:rPr>
                      <w:color w:val="FFFFFF"/>
                      <w:spacing w:val="30"/>
                      <w:sz w:val="32"/>
                    </w:rPr>
                    <w:t>EA</w:t>
                  </w:r>
                  <w:r>
                    <w:rPr>
                      <w:color w:val="FFFFFF"/>
                      <w:sz w:val="32"/>
                    </w:rPr>
                    <w:t xml:space="preserve">D, </w:t>
                  </w:r>
                  <w:r w:rsidRPr="009E3906">
                    <w:rPr>
                      <w:rFonts w:eastAsiaTheme="majorEastAsia" w:cstheme="majorBidi"/>
                      <w:caps/>
                      <w:color w:val="FFFFFF" w:themeColor="background1"/>
                      <w:spacing w:val="60"/>
                      <w:sz w:val="32"/>
                      <w:szCs w:val="26"/>
                      <w:lang w:bidi="ar-SA"/>
                    </w:rPr>
                    <w:t>RESIDENTIAL</w:t>
                  </w:r>
                </w:p>
                <w:p w14:paraId="528B3FE5" w14:textId="77777777" w:rsidR="004D3D43" w:rsidRDefault="004D3D43">
                  <w:pPr>
                    <w:spacing w:before="128"/>
                    <w:ind w:left="741" w:right="741"/>
                    <w:jc w:val="center"/>
                    <w:rPr>
                      <w:sz w:val="28"/>
                    </w:rPr>
                  </w:pPr>
                  <w:bookmarkStart w:id="2" w:name="SWWH002-02"/>
                  <w:bookmarkEnd w:id="2"/>
                  <w:r>
                    <w:rPr>
                      <w:color w:val="FFFFFF"/>
                      <w:sz w:val="28"/>
                    </w:rPr>
                    <w:t>SWWH002-02</w:t>
                  </w:r>
                </w:p>
              </w:txbxContent>
            </v:textbox>
            <w10:wrap type="topAndBottom" anchorx="page"/>
          </v:shape>
        </w:pict>
      </w:r>
    </w:p>
    <w:p w14:paraId="528B3AE2" w14:textId="77777777" w:rsidR="0081013A" w:rsidRDefault="0081013A">
      <w:pPr>
        <w:pStyle w:val="BodyText"/>
        <w:rPr>
          <w:rFonts w:ascii="Times New Roman"/>
          <w:sz w:val="20"/>
        </w:rPr>
      </w:pPr>
    </w:p>
    <w:p w14:paraId="528B3AE3" w14:textId="77777777" w:rsidR="0081013A" w:rsidRDefault="0081013A">
      <w:pPr>
        <w:pStyle w:val="BodyText"/>
        <w:spacing w:before="1"/>
        <w:rPr>
          <w:rFonts w:ascii="Times New Roman"/>
          <w:sz w:val="19"/>
        </w:rPr>
      </w:pPr>
    </w:p>
    <w:p w14:paraId="528B3AE4" w14:textId="77777777" w:rsidR="0081013A" w:rsidRDefault="004D3D43">
      <w:pPr>
        <w:spacing w:before="44"/>
        <w:ind w:left="3907" w:right="4184"/>
        <w:jc w:val="center"/>
        <w:rPr>
          <w:sz w:val="28"/>
        </w:rPr>
      </w:pPr>
      <w:r>
        <w:rPr>
          <w:sz w:val="28"/>
        </w:rPr>
        <w:t>C O N T E N T S</w:t>
      </w:r>
    </w:p>
    <w:sdt>
      <w:sdtPr>
        <w:id w:val="1111553927"/>
        <w:docPartObj>
          <w:docPartGallery w:val="Table of Contents"/>
          <w:docPartUnique/>
        </w:docPartObj>
      </w:sdtPr>
      <w:sdtEndPr/>
      <w:sdtContent>
        <w:p w14:paraId="528B3AE5" w14:textId="77777777" w:rsidR="0081013A" w:rsidRDefault="004D3D43">
          <w:pPr>
            <w:pStyle w:val="TOC1"/>
            <w:tabs>
              <w:tab w:val="right" w:leader="dot" w:pos="9467"/>
            </w:tabs>
            <w:spacing w:before="118"/>
            <w:ind w:left="480"/>
          </w:pPr>
          <w:r>
            <w:t>Measure</w:t>
          </w:r>
          <w:r>
            <w:rPr>
              <w:spacing w:val="-3"/>
            </w:rPr>
            <w:t xml:space="preserve"> </w:t>
          </w:r>
          <w:r>
            <w:t>Name</w:t>
          </w:r>
          <w:r>
            <w:tab/>
            <w:t>2</w:t>
          </w:r>
        </w:p>
        <w:p w14:paraId="528B3AE6" w14:textId="77777777" w:rsidR="0081013A" w:rsidRDefault="004D3D43">
          <w:pPr>
            <w:pStyle w:val="TOC1"/>
            <w:tabs>
              <w:tab w:val="right" w:leader="dot" w:pos="9467"/>
            </w:tabs>
            <w:spacing w:before="1"/>
            <w:ind w:left="480"/>
          </w:pPr>
          <w:r>
            <w:t>Statewide</w:t>
          </w:r>
          <w:r>
            <w:rPr>
              <w:spacing w:val="-2"/>
            </w:rPr>
            <w:t xml:space="preserve"> </w:t>
          </w:r>
          <w:r>
            <w:t>Measure</w:t>
          </w:r>
          <w:r>
            <w:rPr>
              <w:spacing w:val="-1"/>
            </w:rPr>
            <w:t xml:space="preserve"> </w:t>
          </w:r>
          <w:r>
            <w:t>ID</w:t>
          </w:r>
          <w:r>
            <w:tab/>
            <w:t>2</w:t>
          </w:r>
        </w:p>
        <w:p w14:paraId="528B3AE7" w14:textId="77777777" w:rsidR="0081013A" w:rsidRDefault="004A0AE2">
          <w:pPr>
            <w:pStyle w:val="TOC1"/>
            <w:tabs>
              <w:tab w:val="right" w:leader="dot" w:pos="9467"/>
            </w:tabs>
            <w:ind w:left="480"/>
          </w:pPr>
          <w:hyperlink w:anchor="_TOC_250021" w:history="1">
            <w:r w:rsidR="004D3D43">
              <w:t>Technology</w:t>
            </w:r>
            <w:r w:rsidR="004D3D43">
              <w:rPr>
                <w:spacing w:val="-2"/>
              </w:rPr>
              <w:t xml:space="preserve"> </w:t>
            </w:r>
            <w:r w:rsidR="004D3D43">
              <w:t>Summary</w:t>
            </w:r>
            <w:r w:rsidR="004D3D43">
              <w:tab/>
              <w:t>2</w:t>
            </w:r>
          </w:hyperlink>
        </w:p>
        <w:p w14:paraId="528B3AE8" w14:textId="77777777" w:rsidR="0081013A" w:rsidRDefault="004A0AE2">
          <w:pPr>
            <w:pStyle w:val="TOC1"/>
            <w:tabs>
              <w:tab w:val="right" w:leader="dot" w:pos="9467"/>
            </w:tabs>
            <w:ind w:left="480"/>
          </w:pPr>
          <w:hyperlink w:anchor="_TOC_250020" w:history="1">
            <w:r w:rsidR="004D3D43">
              <w:t>Measure</w:t>
            </w:r>
            <w:r w:rsidR="004D3D43">
              <w:rPr>
                <w:spacing w:val="-2"/>
              </w:rPr>
              <w:t xml:space="preserve"> </w:t>
            </w:r>
            <w:r w:rsidR="004D3D43">
              <w:t>Case</w:t>
            </w:r>
            <w:r w:rsidR="004D3D43">
              <w:rPr>
                <w:spacing w:val="-1"/>
              </w:rPr>
              <w:t xml:space="preserve"> </w:t>
            </w:r>
            <w:r w:rsidR="004D3D43">
              <w:t>Description</w:t>
            </w:r>
            <w:r w:rsidR="004D3D43">
              <w:tab/>
              <w:t>2</w:t>
            </w:r>
          </w:hyperlink>
        </w:p>
        <w:p w14:paraId="528B3AE9" w14:textId="77777777" w:rsidR="0081013A" w:rsidRDefault="004A0AE2">
          <w:pPr>
            <w:pStyle w:val="TOC1"/>
            <w:tabs>
              <w:tab w:val="right" w:leader="dot" w:pos="9467"/>
            </w:tabs>
            <w:ind w:left="480"/>
          </w:pPr>
          <w:hyperlink w:anchor="_TOC_250019" w:history="1">
            <w:r w:rsidR="004D3D43">
              <w:t>Base</w:t>
            </w:r>
            <w:r w:rsidR="004D3D43">
              <w:rPr>
                <w:spacing w:val="-2"/>
              </w:rPr>
              <w:t xml:space="preserve"> </w:t>
            </w:r>
            <w:r w:rsidR="004D3D43">
              <w:t>Case</w:t>
            </w:r>
            <w:r w:rsidR="004D3D43">
              <w:rPr>
                <w:spacing w:val="-1"/>
              </w:rPr>
              <w:t xml:space="preserve"> </w:t>
            </w:r>
            <w:r w:rsidR="004D3D43">
              <w:t>Description</w:t>
            </w:r>
            <w:r w:rsidR="004D3D43">
              <w:tab/>
              <w:t>3</w:t>
            </w:r>
          </w:hyperlink>
        </w:p>
        <w:p w14:paraId="528B3AEA" w14:textId="77777777" w:rsidR="0081013A" w:rsidRDefault="004A0AE2">
          <w:pPr>
            <w:pStyle w:val="TOC1"/>
            <w:tabs>
              <w:tab w:val="right" w:leader="dot" w:pos="9467"/>
            </w:tabs>
            <w:spacing w:line="268" w:lineRule="exact"/>
            <w:ind w:left="480"/>
          </w:pPr>
          <w:hyperlink w:anchor="_TOC_250018" w:history="1">
            <w:r w:rsidR="004D3D43">
              <w:t>Code</w:t>
            </w:r>
            <w:r w:rsidR="004D3D43">
              <w:rPr>
                <w:spacing w:val="-2"/>
              </w:rPr>
              <w:t xml:space="preserve"> </w:t>
            </w:r>
            <w:r w:rsidR="004D3D43">
              <w:t>Requirements</w:t>
            </w:r>
            <w:r w:rsidR="004D3D43">
              <w:tab/>
              <w:t>4</w:t>
            </w:r>
          </w:hyperlink>
        </w:p>
        <w:p w14:paraId="528B3AEB" w14:textId="77777777" w:rsidR="0081013A" w:rsidRDefault="004A0AE2">
          <w:pPr>
            <w:pStyle w:val="TOC1"/>
            <w:tabs>
              <w:tab w:val="right" w:leader="dot" w:pos="9467"/>
            </w:tabs>
            <w:spacing w:line="268" w:lineRule="exact"/>
          </w:pPr>
          <w:hyperlink w:anchor="_TOC_250017" w:history="1">
            <w:r w:rsidR="004D3D43">
              <w:t>Normalizing</w:t>
            </w:r>
            <w:r w:rsidR="004D3D43">
              <w:rPr>
                <w:spacing w:val="-1"/>
              </w:rPr>
              <w:t xml:space="preserve"> </w:t>
            </w:r>
            <w:r w:rsidR="004D3D43">
              <w:t>Unit</w:t>
            </w:r>
            <w:r w:rsidR="004D3D43">
              <w:tab/>
              <w:t>5</w:t>
            </w:r>
          </w:hyperlink>
        </w:p>
        <w:p w14:paraId="528B3AEC" w14:textId="77777777" w:rsidR="0081013A" w:rsidRDefault="004A0AE2">
          <w:pPr>
            <w:pStyle w:val="TOC1"/>
            <w:tabs>
              <w:tab w:val="right" w:leader="dot" w:pos="9467"/>
            </w:tabs>
          </w:pPr>
          <w:hyperlink w:anchor="_TOC_250016" w:history="1">
            <w:r w:rsidR="004D3D43">
              <w:t>Program Requirements</w:t>
            </w:r>
            <w:r w:rsidR="004D3D43">
              <w:tab/>
              <w:t>5</w:t>
            </w:r>
          </w:hyperlink>
        </w:p>
        <w:p w14:paraId="528B3AED" w14:textId="77777777" w:rsidR="0081013A" w:rsidRDefault="004A0AE2">
          <w:pPr>
            <w:pStyle w:val="TOC1"/>
            <w:tabs>
              <w:tab w:val="right" w:leader="dot" w:pos="9467"/>
            </w:tabs>
          </w:pPr>
          <w:hyperlink w:anchor="_TOC_250015" w:history="1">
            <w:r w:rsidR="004D3D43">
              <w:t>Program Exclusions</w:t>
            </w:r>
            <w:r w:rsidR="004D3D43">
              <w:tab/>
              <w:t>6</w:t>
            </w:r>
          </w:hyperlink>
        </w:p>
        <w:p w14:paraId="528B3AEE" w14:textId="77777777" w:rsidR="0081013A" w:rsidRDefault="004A0AE2">
          <w:pPr>
            <w:pStyle w:val="TOC1"/>
            <w:tabs>
              <w:tab w:val="right" w:leader="dot" w:pos="9467"/>
            </w:tabs>
            <w:spacing w:before="1"/>
          </w:pPr>
          <w:hyperlink w:anchor="_TOC_250014" w:history="1">
            <w:r w:rsidR="004D3D43">
              <w:t>Data</w:t>
            </w:r>
            <w:r w:rsidR="004D3D43">
              <w:rPr>
                <w:spacing w:val="-2"/>
              </w:rPr>
              <w:t xml:space="preserve"> </w:t>
            </w:r>
            <w:r w:rsidR="004D3D43">
              <w:t>Collection</w:t>
            </w:r>
            <w:r w:rsidR="004D3D43">
              <w:rPr>
                <w:spacing w:val="1"/>
              </w:rPr>
              <w:t xml:space="preserve"> </w:t>
            </w:r>
            <w:r w:rsidR="004D3D43">
              <w:t>Requirements</w:t>
            </w:r>
            <w:r w:rsidR="004D3D43">
              <w:tab/>
              <w:t>7</w:t>
            </w:r>
          </w:hyperlink>
        </w:p>
        <w:p w14:paraId="528B3AEF" w14:textId="77777777" w:rsidR="0081013A" w:rsidRDefault="004A0AE2">
          <w:pPr>
            <w:pStyle w:val="TOC1"/>
            <w:tabs>
              <w:tab w:val="right" w:leader="dot" w:pos="9467"/>
            </w:tabs>
          </w:pPr>
          <w:hyperlink w:anchor="_TOC_250013" w:history="1">
            <w:r w:rsidR="004D3D43">
              <w:t>Use</w:t>
            </w:r>
            <w:r w:rsidR="004D3D43">
              <w:rPr>
                <w:spacing w:val="-2"/>
              </w:rPr>
              <w:t xml:space="preserve"> </w:t>
            </w:r>
            <w:r w:rsidR="004D3D43">
              <w:t>Category</w:t>
            </w:r>
            <w:r w:rsidR="004D3D43">
              <w:tab/>
              <w:t>7</w:t>
            </w:r>
          </w:hyperlink>
        </w:p>
        <w:p w14:paraId="528B3AF0" w14:textId="77777777" w:rsidR="0081013A" w:rsidRDefault="004A0AE2">
          <w:pPr>
            <w:pStyle w:val="TOC1"/>
            <w:tabs>
              <w:tab w:val="right" w:leader="dot" w:pos="9466"/>
            </w:tabs>
          </w:pPr>
          <w:hyperlink w:anchor="_TOC_250012" w:history="1">
            <w:r w:rsidR="004D3D43">
              <w:t>Electric</w:t>
            </w:r>
            <w:r w:rsidR="004D3D43">
              <w:rPr>
                <w:spacing w:val="-1"/>
              </w:rPr>
              <w:t xml:space="preserve"> </w:t>
            </w:r>
            <w:r w:rsidR="004D3D43">
              <w:t>Savings</w:t>
            </w:r>
            <w:r w:rsidR="004D3D43">
              <w:rPr>
                <w:spacing w:val="-1"/>
              </w:rPr>
              <w:t xml:space="preserve"> </w:t>
            </w:r>
            <w:r w:rsidR="004D3D43">
              <w:t>(kWh)</w:t>
            </w:r>
            <w:r w:rsidR="004D3D43">
              <w:tab/>
              <w:t>7</w:t>
            </w:r>
          </w:hyperlink>
        </w:p>
        <w:p w14:paraId="528B3AF1" w14:textId="77777777" w:rsidR="0081013A" w:rsidRDefault="004A0AE2">
          <w:pPr>
            <w:pStyle w:val="TOC1"/>
            <w:tabs>
              <w:tab w:val="right" w:leader="dot" w:pos="9466"/>
            </w:tabs>
          </w:pPr>
          <w:hyperlink w:anchor="_TOC_250011" w:history="1">
            <w:r w:rsidR="004D3D43">
              <w:t>Peak Electric Demand</w:t>
            </w:r>
            <w:r w:rsidR="004D3D43">
              <w:rPr>
                <w:spacing w:val="1"/>
              </w:rPr>
              <w:t xml:space="preserve"> </w:t>
            </w:r>
            <w:r w:rsidR="004D3D43">
              <w:t>Reduction</w:t>
            </w:r>
            <w:r w:rsidR="004D3D43">
              <w:rPr>
                <w:spacing w:val="1"/>
              </w:rPr>
              <w:t xml:space="preserve"> </w:t>
            </w:r>
            <w:r w:rsidR="004D3D43">
              <w:t>(kW)</w:t>
            </w:r>
            <w:r w:rsidR="004D3D43">
              <w:tab/>
              <w:t>7</w:t>
            </w:r>
          </w:hyperlink>
        </w:p>
        <w:p w14:paraId="528B3AF2" w14:textId="77777777" w:rsidR="0081013A" w:rsidRDefault="004A0AE2">
          <w:pPr>
            <w:pStyle w:val="TOC1"/>
            <w:tabs>
              <w:tab w:val="right" w:leader="dot" w:pos="9466"/>
            </w:tabs>
          </w:pPr>
          <w:hyperlink w:anchor="_TOC_250010" w:history="1">
            <w:r w:rsidR="004D3D43">
              <w:t>Gas</w:t>
            </w:r>
            <w:r w:rsidR="004D3D43">
              <w:rPr>
                <w:spacing w:val="-2"/>
              </w:rPr>
              <w:t xml:space="preserve"> </w:t>
            </w:r>
            <w:r w:rsidR="004D3D43">
              <w:t>Savings</w:t>
            </w:r>
            <w:r w:rsidR="004D3D43">
              <w:rPr>
                <w:spacing w:val="-1"/>
              </w:rPr>
              <w:t xml:space="preserve"> </w:t>
            </w:r>
            <w:r w:rsidR="004D3D43">
              <w:t>(Therms)</w:t>
            </w:r>
            <w:r w:rsidR="004D3D43">
              <w:tab/>
              <w:t>8</w:t>
            </w:r>
          </w:hyperlink>
        </w:p>
        <w:p w14:paraId="528B3AF3" w14:textId="77777777" w:rsidR="0081013A" w:rsidRDefault="004A0AE2">
          <w:pPr>
            <w:pStyle w:val="TOC1"/>
            <w:tabs>
              <w:tab w:val="right" w:leader="dot" w:pos="9467"/>
            </w:tabs>
            <w:spacing w:line="268" w:lineRule="exact"/>
          </w:pPr>
          <w:hyperlink w:anchor="_TOC_250009" w:history="1">
            <w:r w:rsidR="004D3D43">
              <w:t>Life</w:t>
            </w:r>
            <w:r w:rsidR="004D3D43">
              <w:rPr>
                <w:spacing w:val="-1"/>
              </w:rPr>
              <w:t xml:space="preserve"> </w:t>
            </w:r>
            <w:r w:rsidR="004D3D43">
              <w:t>Cycle</w:t>
            </w:r>
            <w:r w:rsidR="004D3D43">
              <w:tab/>
              <w:t>14</w:t>
            </w:r>
          </w:hyperlink>
        </w:p>
        <w:p w14:paraId="528B3AF4" w14:textId="77777777" w:rsidR="0081013A" w:rsidRDefault="004A0AE2">
          <w:pPr>
            <w:pStyle w:val="TOC1"/>
            <w:tabs>
              <w:tab w:val="right" w:leader="dot" w:pos="9467"/>
            </w:tabs>
            <w:spacing w:line="268" w:lineRule="exact"/>
          </w:pPr>
          <w:hyperlink w:anchor="_TOC_250008" w:history="1">
            <w:r w:rsidR="004D3D43">
              <w:t>Base Case Material</w:t>
            </w:r>
            <w:r w:rsidR="004D3D43">
              <w:rPr>
                <w:spacing w:val="-4"/>
              </w:rPr>
              <w:t xml:space="preserve"> </w:t>
            </w:r>
            <w:r w:rsidR="004D3D43">
              <w:t>Cost</w:t>
            </w:r>
            <w:r w:rsidR="004D3D43">
              <w:rPr>
                <w:spacing w:val="-3"/>
              </w:rPr>
              <w:t xml:space="preserve"> </w:t>
            </w:r>
            <w:r w:rsidR="004D3D43">
              <w:t>($/unit)</w:t>
            </w:r>
            <w:r w:rsidR="004D3D43">
              <w:tab/>
              <w:t>15</w:t>
            </w:r>
          </w:hyperlink>
        </w:p>
        <w:p w14:paraId="528B3AF5" w14:textId="77777777" w:rsidR="0081013A" w:rsidRDefault="004A0AE2">
          <w:pPr>
            <w:pStyle w:val="TOC1"/>
            <w:tabs>
              <w:tab w:val="right" w:leader="dot" w:pos="9467"/>
            </w:tabs>
            <w:spacing w:before="1"/>
          </w:pPr>
          <w:hyperlink w:anchor="_TOC_250007" w:history="1">
            <w:r w:rsidR="004D3D43">
              <w:t>Measure Case Material</w:t>
            </w:r>
            <w:r w:rsidR="004D3D43">
              <w:rPr>
                <w:spacing w:val="-4"/>
              </w:rPr>
              <w:t xml:space="preserve"> </w:t>
            </w:r>
            <w:r w:rsidR="004D3D43">
              <w:t>Cost ($/unit)</w:t>
            </w:r>
            <w:r w:rsidR="004D3D43">
              <w:tab/>
              <w:t>15</w:t>
            </w:r>
          </w:hyperlink>
        </w:p>
        <w:p w14:paraId="528B3AF6" w14:textId="77777777" w:rsidR="0081013A" w:rsidRDefault="004A0AE2">
          <w:pPr>
            <w:pStyle w:val="TOC1"/>
            <w:tabs>
              <w:tab w:val="right" w:leader="dot" w:pos="9467"/>
            </w:tabs>
          </w:pPr>
          <w:hyperlink w:anchor="_TOC_250006" w:history="1">
            <w:r w:rsidR="004D3D43">
              <w:t>Base Case Labor</w:t>
            </w:r>
            <w:r w:rsidR="004D3D43">
              <w:rPr>
                <w:spacing w:val="-2"/>
              </w:rPr>
              <w:t xml:space="preserve"> </w:t>
            </w:r>
            <w:r w:rsidR="004D3D43">
              <w:t>Cost</w:t>
            </w:r>
            <w:r w:rsidR="004D3D43">
              <w:rPr>
                <w:spacing w:val="-3"/>
              </w:rPr>
              <w:t xml:space="preserve"> </w:t>
            </w:r>
            <w:r w:rsidR="004D3D43">
              <w:t>($/unit)</w:t>
            </w:r>
            <w:r w:rsidR="004D3D43">
              <w:tab/>
              <w:t>15</w:t>
            </w:r>
          </w:hyperlink>
        </w:p>
        <w:p w14:paraId="528B3AF7" w14:textId="77777777" w:rsidR="0081013A" w:rsidRDefault="004A0AE2">
          <w:pPr>
            <w:pStyle w:val="TOC1"/>
            <w:tabs>
              <w:tab w:val="right" w:leader="dot" w:pos="9467"/>
            </w:tabs>
          </w:pPr>
          <w:hyperlink w:anchor="_TOC_250005" w:history="1">
            <w:r w:rsidR="004D3D43">
              <w:t>Measure Case Labor</w:t>
            </w:r>
            <w:r w:rsidR="004D3D43">
              <w:rPr>
                <w:spacing w:val="-2"/>
              </w:rPr>
              <w:t xml:space="preserve"> </w:t>
            </w:r>
            <w:r w:rsidR="004D3D43">
              <w:t>Cost</w:t>
            </w:r>
            <w:r w:rsidR="004D3D43">
              <w:rPr>
                <w:spacing w:val="-3"/>
              </w:rPr>
              <w:t xml:space="preserve"> </w:t>
            </w:r>
            <w:r w:rsidR="004D3D43">
              <w:t>($/unit)</w:t>
            </w:r>
            <w:r w:rsidR="004D3D43">
              <w:tab/>
              <w:t>16</w:t>
            </w:r>
          </w:hyperlink>
        </w:p>
        <w:p w14:paraId="528B3AF8" w14:textId="77777777" w:rsidR="0081013A" w:rsidRDefault="004A0AE2">
          <w:pPr>
            <w:pStyle w:val="TOC1"/>
            <w:tabs>
              <w:tab w:val="right" w:leader="dot" w:pos="9467"/>
            </w:tabs>
          </w:pPr>
          <w:hyperlink w:anchor="_TOC_250004" w:history="1">
            <w:r w:rsidR="004D3D43">
              <w:t>Net-to-Gross</w:t>
            </w:r>
            <w:r w:rsidR="004D3D43">
              <w:rPr>
                <w:spacing w:val="-2"/>
              </w:rPr>
              <w:t xml:space="preserve"> </w:t>
            </w:r>
            <w:r w:rsidR="004D3D43">
              <w:t>(NTG)</w:t>
            </w:r>
            <w:r w:rsidR="004D3D43">
              <w:tab/>
              <w:t>16</w:t>
            </w:r>
          </w:hyperlink>
        </w:p>
        <w:p w14:paraId="528B3AF9" w14:textId="77777777" w:rsidR="0081013A" w:rsidRDefault="004A0AE2">
          <w:pPr>
            <w:pStyle w:val="TOC1"/>
            <w:tabs>
              <w:tab w:val="right" w:leader="dot" w:pos="9467"/>
            </w:tabs>
          </w:pPr>
          <w:hyperlink w:anchor="_TOC_250003" w:history="1">
            <w:r w:rsidR="004D3D43">
              <w:t>Gross Savings Installation Adjustment (GSIA)</w:t>
            </w:r>
            <w:r w:rsidR="004D3D43">
              <w:tab/>
              <w:t>17</w:t>
            </w:r>
          </w:hyperlink>
        </w:p>
        <w:p w14:paraId="528B3AFA" w14:textId="77777777" w:rsidR="0081013A" w:rsidRDefault="004A0AE2">
          <w:pPr>
            <w:pStyle w:val="TOC1"/>
            <w:tabs>
              <w:tab w:val="right" w:leader="dot" w:pos="9467"/>
            </w:tabs>
          </w:pPr>
          <w:hyperlink w:anchor="_TOC_250002" w:history="1">
            <w:r w:rsidR="004D3D43">
              <w:t>Non-Energy</w:t>
            </w:r>
            <w:r w:rsidR="004D3D43">
              <w:rPr>
                <w:spacing w:val="-2"/>
              </w:rPr>
              <w:t xml:space="preserve"> </w:t>
            </w:r>
            <w:r w:rsidR="004D3D43">
              <w:t>Impacts</w:t>
            </w:r>
            <w:r w:rsidR="004D3D43">
              <w:tab/>
              <w:t>17</w:t>
            </w:r>
          </w:hyperlink>
        </w:p>
        <w:p w14:paraId="528B3AFB" w14:textId="77777777" w:rsidR="0081013A" w:rsidRDefault="004A0AE2">
          <w:pPr>
            <w:pStyle w:val="TOC1"/>
            <w:tabs>
              <w:tab w:val="right" w:leader="dot" w:pos="9467"/>
            </w:tabs>
            <w:spacing w:before="1"/>
          </w:pPr>
          <w:hyperlink w:anchor="_TOC_250001" w:history="1">
            <w:r w:rsidR="004D3D43">
              <w:t>DEER</w:t>
            </w:r>
            <w:r w:rsidR="004D3D43">
              <w:rPr>
                <w:spacing w:val="-3"/>
              </w:rPr>
              <w:t xml:space="preserve"> </w:t>
            </w:r>
            <w:r w:rsidR="004D3D43">
              <w:t>Differences</w:t>
            </w:r>
            <w:r w:rsidR="004D3D43">
              <w:rPr>
                <w:spacing w:val="-1"/>
              </w:rPr>
              <w:t xml:space="preserve"> </w:t>
            </w:r>
            <w:r w:rsidR="004D3D43">
              <w:t>Analysis</w:t>
            </w:r>
            <w:r w:rsidR="004D3D43">
              <w:tab/>
              <w:t>17</w:t>
            </w:r>
          </w:hyperlink>
        </w:p>
        <w:p w14:paraId="528B3AFC" w14:textId="77777777" w:rsidR="0081013A" w:rsidRDefault="004A0AE2">
          <w:pPr>
            <w:pStyle w:val="TOC1"/>
            <w:tabs>
              <w:tab w:val="right" w:leader="dot" w:pos="9467"/>
            </w:tabs>
          </w:pPr>
          <w:hyperlink w:anchor="_TOC_250000" w:history="1">
            <w:r w:rsidR="004D3D43">
              <w:t>Revision History</w:t>
            </w:r>
            <w:r w:rsidR="004D3D43">
              <w:tab/>
              <w:t>18</w:t>
            </w:r>
          </w:hyperlink>
        </w:p>
      </w:sdtContent>
    </w:sdt>
    <w:p w14:paraId="528B3AFD" w14:textId="77777777" w:rsidR="0081013A" w:rsidRDefault="0081013A">
      <w:pPr>
        <w:sectPr w:rsidR="0081013A">
          <w:footerReference w:type="default" r:id="rId8"/>
          <w:type w:val="continuous"/>
          <w:pgSz w:w="12240" w:h="15840"/>
          <w:pgMar w:top="1220" w:right="1120" w:bottom="1320" w:left="1320" w:header="720" w:footer="1129" w:gutter="0"/>
          <w:pgNumType w:start="1"/>
          <w:cols w:space="720"/>
        </w:sectPr>
      </w:pPr>
    </w:p>
    <w:p w14:paraId="528B3AFE" w14:textId="77777777" w:rsidR="0081013A" w:rsidRDefault="0081013A">
      <w:pPr>
        <w:pStyle w:val="BodyText"/>
        <w:spacing w:before="10"/>
        <w:rPr>
          <w:sz w:val="25"/>
        </w:rPr>
      </w:pPr>
    </w:p>
    <w:p w14:paraId="528B3AFF" w14:textId="77777777" w:rsidR="0081013A" w:rsidRDefault="004D3D43">
      <w:pPr>
        <w:pStyle w:val="BodyText"/>
        <w:ind w:left="136"/>
      </w:pPr>
      <w:r>
        <w:rPr>
          <w:color w:val="CFAB79"/>
        </w:rPr>
        <w:t>MEASURE NAME</w:t>
      </w:r>
    </w:p>
    <w:p w14:paraId="528B3B00" w14:textId="77777777" w:rsidR="0081013A" w:rsidRDefault="004D3D43">
      <w:pPr>
        <w:pStyle w:val="BodyText"/>
        <w:spacing w:before="31"/>
        <w:ind w:left="136"/>
      </w:pPr>
      <w:r>
        <w:t>Low-Flow Showerhead or Flow Restriction Valves, Residential</w:t>
      </w:r>
    </w:p>
    <w:p w14:paraId="528B3B01" w14:textId="77777777" w:rsidR="0081013A" w:rsidRDefault="0081013A">
      <w:pPr>
        <w:pStyle w:val="BodyText"/>
      </w:pPr>
    </w:p>
    <w:p w14:paraId="528B3B02" w14:textId="77777777" w:rsidR="0081013A" w:rsidRDefault="0081013A">
      <w:pPr>
        <w:pStyle w:val="BodyText"/>
        <w:spacing w:before="8"/>
        <w:rPr>
          <w:sz w:val="20"/>
        </w:rPr>
      </w:pPr>
    </w:p>
    <w:p w14:paraId="528B3B03" w14:textId="77777777" w:rsidR="0081013A" w:rsidRDefault="004D3D43">
      <w:pPr>
        <w:pStyle w:val="BodyText"/>
        <w:spacing w:before="1" w:line="343" w:lineRule="auto"/>
        <w:ind w:left="120" w:right="7420" w:firstLine="16"/>
      </w:pPr>
      <w:r>
        <w:rPr>
          <w:color w:val="CFAB79"/>
        </w:rPr>
        <w:t xml:space="preserve">STATEWIDE MEASURE ID </w:t>
      </w:r>
      <w:r>
        <w:t>SWWH002-02</w:t>
      </w:r>
    </w:p>
    <w:p w14:paraId="528B3B04" w14:textId="77777777" w:rsidR="0081013A" w:rsidRDefault="0081013A">
      <w:pPr>
        <w:pStyle w:val="BodyText"/>
      </w:pPr>
    </w:p>
    <w:p w14:paraId="528B3B05" w14:textId="77777777" w:rsidR="0081013A" w:rsidRDefault="004D3D43">
      <w:pPr>
        <w:pStyle w:val="Heading1"/>
        <w:spacing w:before="134"/>
      </w:pPr>
      <w:bookmarkStart w:id="3" w:name="_TOC_250021"/>
      <w:bookmarkEnd w:id="3"/>
      <w:r>
        <w:rPr>
          <w:color w:val="CFAB79"/>
        </w:rPr>
        <w:t>TECHNOLOGY SUMMARY</w:t>
      </w:r>
    </w:p>
    <w:p w14:paraId="528B3B06" w14:textId="77777777" w:rsidR="0081013A" w:rsidRDefault="004D3D43">
      <w:pPr>
        <w:pStyle w:val="BodyText"/>
        <w:spacing w:before="115"/>
        <w:ind w:left="119" w:right="553"/>
      </w:pPr>
      <w:r>
        <w:t>This measure is defined as a low-flow showerhead or a flow control valve (FCV) installed in a residential household. There are two types of low-flow showerheads:</w:t>
      </w:r>
    </w:p>
    <w:p w14:paraId="528B3B07" w14:textId="77777777" w:rsidR="0081013A" w:rsidRDefault="004D3D43">
      <w:pPr>
        <w:pStyle w:val="BodyText"/>
        <w:spacing w:before="121"/>
        <w:ind w:left="839" w:right="696"/>
      </w:pPr>
      <w:r>
        <w:rPr>
          <w:i/>
        </w:rPr>
        <w:t xml:space="preserve">Aerating showerheads </w:t>
      </w:r>
      <w:r>
        <w:t>introduce air into the water flow, which produces an even, misty spray while maintaining sufficient water pressure.</w:t>
      </w:r>
    </w:p>
    <w:p w14:paraId="528B3B08" w14:textId="77777777" w:rsidR="0081013A" w:rsidRDefault="004D3D43">
      <w:pPr>
        <w:pStyle w:val="BodyText"/>
        <w:spacing w:before="19"/>
        <w:ind w:left="839" w:right="429"/>
      </w:pPr>
      <w:r>
        <w:rPr>
          <w:i/>
        </w:rPr>
        <w:t xml:space="preserve">Laminar- flow showerheads </w:t>
      </w:r>
      <w:r>
        <w:t>split the flow of water into multiple parallel streams; no air is added. They produce less steam than aerating showerheads.</w:t>
      </w:r>
    </w:p>
    <w:p w14:paraId="528B3B09" w14:textId="77777777" w:rsidR="0081013A" w:rsidRDefault="004D3D43">
      <w:pPr>
        <w:pStyle w:val="BodyText"/>
        <w:spacing w:before="121"/>
        <w:ind w:left="119" w:right="477"/>
        <w:jc w:val="both"/>
      </w:pPr>
      <w:r>
        <w:t>By reducing the flow rate, a low-flow showerhead will reduce the hot water use and result in both water and energy and savings.</w:t>
      </w:r>
    </w:p>
    <w:p w14:paraId="528B3B0A" w14:textId="77777777" w:rsidR="0081013A" w:rsidRDefault="004D3D43">
      <w:pPr>
        <w:pStyle w:val="BodyText"/>
        <w:spacing w:before="120"/>
        <w:ind w:left="118" w:right="422"/>
        <w:jc w:val="both"/>
      </w:pPr>
      <w:r>
        <w:t>Flow control valves act as a converging-diverging section with a throat in which the flow area is reduced to impede full flow while retaining pressure. The reduction in flow rate offsets the amount of hot water used, in effect the energy demand by the water heating source is reduced. A flow control valves operate and conserve energy in the same manner as a low-flow showerhead but is applied upstream from fixture point.</w:t>
      </w:r>
    </w:p>
    <w:p w14:paraId="528B3B0B" w14:textId="77777777" w:rsidR="0081013A" w:rsidRDefault="0081013A">
      <w:pPr>
        <w:pStyle w:val="BodyText"/>
      </w:pPr>
    </w:p>
    <w:p w14:paraId="528B3B0C" w14:textId="77777777" w:rsidR="0081013A" w:rsidRDefault="0081013A">
      <w:pPr>
        <w:pStyle w:val="BodyText"/>
        <w:spacing w:before="7"/>
        <w:rPr>
          <w:sz w:val="20"/>
        </w:rPr>
      </w:pPr>
    </w:p>
    <w:p w14:paraId="528B3B0D" w14:textId="77777777" w:rsidR="0081013A" w:rsidRDefault="004D3D43">
      <w:pPr>
        <w:pStyle w:val="Heading1"/>
        <w:spacing w:before="1"/>
      </w:pPr>
      <w:bookmarkStart w:id="4" w:name="_TOC_250020"/>
      <w:bookmarkEnd w:id="4"/>
      <w:r>
        <w:rPr>
          <w:color w:val="CFAB79"/>
        </w:rPr>
        <w:t>MEASURE CASE DESCRIPTION</w:t>
      </w:r>
    </w:p>
    <w:p w14:paraId="528B3B0E" w14:textId="77777777" w:rsidR="0081013A" w:rsidRDefault="004D3D43">
      <w:pPr>
        <w:pStyle w:val="BodyText"/>
        <w:spacing w:before="114"/>
        <w:ind w:left="119" w:right="324"/>
      </w:pPr>
      <w:r>
        <w:t>The measure case technology is defined as reducing the pre-existing flow rate of a showerhead using a flow control valve or an efficient showerhead that replaces a base case showerhead head installed in a single family, multifamily, or mobile home household. Measure case flow rates for either the installation of an efficient showerhead or flow control valves are specified below. The measure offerings for the low- flow showerhead and flow-control valve (and therefore energy savings) vary by flow rate (gpm), as well as household type (single family, multifamily, or mobile home), climate zone, and installation type. Measure offerings are listed below.</w:t>
      </w:r>
    </w:p>
    <w:p w14:paraId="528B3B0F" w14:textId="77777777" w:rsidR="0081013A" w:rsidRDefault="0081013A">
      <w:pPr>
        <w:pStyle w:val="BodyText"/>
        <w:spacing w:before="4"/>
        <w:rPr>
          <w:sz w:val="23"/>
        </w:rPr>
      </w:pPr>
    </w:p>
    <w:p w14:paraId="528B3B10" w14:textId="77777777" w:rsidR="0081013A" w:rsidRPr="00952BD8" w:rsidRDefault="004D3D43">
      <w:pPr>
        <w:ind w:left="120"/>
        <w:jc w:val="both"/>
        <w:rPr>
          <w:b/>
          <w:bCs/>
          <w:sz w:val="20"/>
        </w:rPr>
      </w:pPr>
      <w:r w:rsidRPr="00952BD8">
        <w:rPr>
          <w:b/>
          <w:bCs/>
          <w:sz w:val="20"/>
        </w:rPr>
        <w:t>Measure Offerings</w:t>
      </w:r>
    </w:p>
    <w:p w14:paraId="528B3B11" w14:textId="77777777" w:rsidR="0081013A" w:rsidRDefault="0081013A">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60"/>
        <w:gridCol w:w="4771"/>
      </w:tblGrid>
      <w:tr w:rsidR="0081013A" w14:paraId="528B3B15" w14:textId="77777777">
        <w:trPr>
          <w:trHeight w:val="489"/>
        </w:trPr>
        <w:tc>
          <w:tcPr>
            <w:tcW w:w="2160" w:type="dxa"/>
            <w:shd w:val="clear" w:color="auto" w:fill="F1F1F1"/>
          </w:tcPr>
          <w:p w14:paraId="528B3B12" w14:textId="77777777" w:rsidR="0081013A" w:rsidRPr="00535222" w:rsidRDefault="004D3D43">
            <w:pPr>
              <w:pStyle w:val="TableParagraph"/>
              <w:spacing w:before="1" w:line="240" w:lineRule="atLeast"/>
              <w:ind w:left="650" w:hanging="336"/>
              <w:rPr>
                <w:b/>
                <w:bCs/>
                <w:sz w:val="20"/>
              </w:rPr>
            </w:pPr>
            <w:r w:rsidRPr="00535222">
              <w:rPr>
                <w:b/>
                <w:bCs/>
                <w:sz w:val="20"/>
              </w:rPr>
              <w:t>Statewide Measure Offering ID</w:t>
            </w:r>
          </w:p>
        </w:tc>
        <w:tc>
          <w:tcPr>
            <w:tcW w:w="4771" w:type="dxa"/>
            <w:shd w:val="clear" w:color="auto" w:fill="F1F1F1"/>
          </w:tcPr>
          <w:p w14:paraId="528B3B13" w14:textId="77777777" w:rsidR="0081013A" w:rsidRPr="00535222" w:rsidRDefault="0081013A">
            <w:pPr>
              <w:pStyle w:val="TableParagraph"/>
              <w:spacing w:before="2"/>
              <w:rPr>
                <w:b/>
                <w:bCs/>
                <w:sz w:val="20"/>
              </w:rPr>
            </w:pPr>
          </w:p>
          <w:p w14:paraId="528B3B14" w14:textId="77777777" w:rsidR="0081013A" w:rsidRPr="00535222" w:rsidRDefault="004D3D43">
            <w:pPr>
              <w:pStyle w:val="TableParagraph"/>
              <w:spacing w:line="223" w:lineRule="exact"/>
              <w:ind w:left="1216"/>
              <w:rPr>
                <w:b/>
                <w:bCs/>
                <w:sz w:val="20"/>
              </w:rPr>
            </w:pPr>
            <w:r w:rsidRPr="00535222">
              <w:rPr>
                <w:b/>
                <w:bCs/>
                <w:sz w:val="20"/>
              </w:rPr>
              <w:t>Measure Offering Description</w:t>
            </w:r>
          </w:p>
        </w:tc>
      </w:tr>
      <w:tr w:rsidR="0081013A" w14:paraId="528B3B18" w14:textId="77777777">
        <w:trPr>
          <w:trHeight w:val="290"/>
        </w:trPr>
        <w:tc>
          <w:tcPr>
            <w:tcW w:w="2160" w:type="dxa"/>
          </w:tcPr>
          <w:p w14:paraId="528B3B16" w14:textId="77777777" w:rsidR="0081013A" w:rsidRDefault="004D3D43">
            <w:pPr>
              <w:pStyle w:val="TableParagraph"/>
              <w:spacing w:before="47" w:line="223" w:lineRule="exact"/>
              <w:ind w:left="107"/>
              <w:rPr>
                <w:sz w:val="20"/>
              </w:rPr>
            </w:pPr>
            <w:r>
              <w:rPr>
                <w:sz w:val="20"/>
              </w:rPr>
              <w:t>SWWH002A</w:t>
            </w:r>
          </w:p>
        </w:tc>
        <w:tc>
          <w:tcPr>
            <w:tcW w:w="4771" w:type="dxa"/>
          </w:tcPr>
          <w:p w14:paraId="528B3B17" w14:textId="77777777" w:rsidR="0081013A" w:rsidRDefault="004D3D43">
            <w:pPr>
              <w:pStyle w:val="TableParagraph"/>
              <w:spacing w:before="47" w:line="223" w:lineRule="exact"/>
              <w:ind w:left="107"/>
              <w:rPr>
                <w:sz w:val="20"/>
              </w:rPr>
            </w:pPr>
            <w:r>
              <w:rPr>
                <w:sz w:val="20"/>
              </w:rPr>
              <w:t>Efficient Showerhead, Gas, 1.0 gpm</w:t>
            </w:r>
          </w:p>
        </w:tc>
      </w:tr>
      <w:tr w:rsidR="0081013A" w14:paraId="528B3B1B" w14:textId="77777777">
        <w:trPr>
          <w:trHeight w:val="289"/>
        </w:trPr>
        <w:tc>
          <w:tcPr>
            <w:tcW w:w="2160" w:type="dxa"/>
          </w:tcPr>
          <w:p w14:paraId="528B3B19" w14:textId="77777777" w:rsidR="0081013A" w:rsidRDefault="004D3D43">
            <w:pPr>
              <w:pStyle w:val="TableParagraph"/>
              <w:spacing w:before="47" w:line="223" w:lineRule="exact"/>
              <w:ind w:left="107"/>
              <w:rPr>
                <w:sz w:val="20"/>
              </w:rPr>
            </w:pPr>
            <w:r>
              <w:rPr>
                <w:sz w:val="20"/>
              </w:rPr>
              <w:t>SWWH002B</w:t>
            </w:r>
          </w:p>
        </w:tc>
        <w:tc>
          <w:tcPr>
            <w:tcW w:w="4771" w:type="dxa"/>
          </w:tcPr>
          <w:p w14:paraId="528B3B1A" w14:textId="77777777" w:rsidR="0081013A" w:rsidRDefault="004D3D43">
            <w:pPr>
              <w:pStyle w:val="TableParagraph"/>
              <w:spacing w:before="47" w:line="223" w:lineRule="exact"/>
              <w:ind w:left="107"/>
              <w:rPr>
                <w:sz w:val="20"/>
              </w:rPr>
            </w:pPr>
            <w:r>
              <w:rPr>
                <w:sz w:val="20"/>
              </w:rPr>
              <w:t>Efficient Showerhead, Gas, 1.25 gpm</w:t>
            </w:r>
          </w:p>
        </w:tc>
      </w:tr>
      <w:tr w:rsidR="0081013A" w14:paraId="528B3B1E" w14:textId="77777777">
        <w:trPr>
          <w:trHeight w:val="290"/>
        </w:trPr>
        <w:tc>
          <w:tcPr>
            <w:tcW w:w="2160" w:type="dxa"/>
          </w:tcPr>
          <w:p w14:paraId="528B3B1C" w14:textId="77777777" w:rsidR="0081013A" w:rsidRDefault="004D3D43">
            <w:pPr>
              <w:pStyle w:val="TableParagraph"/>
              <w:spacing w:before="47" w:line="223" w:lineRule="exact"/>
              <w:ind w:left="107"/>
              <w:rPr>
                <w:sz w:val="20"/>
              </w:rPr>
            </w:pPr>
            <w:r>
              <w:rPr>
                <w:sz w:val="20"/>
              </w:rPr>
              <w:t>SWWH002C</w:t>
            </w:r>
          </w:p>
        </w:tc>
        <w:tc>
          <w:tcPr>
            <w:tcW w:w="4771" w:type="dxa"/>
          </w:tcPr>
          <w:p w14:paraId="528B3B1D" w14:textId="77777777" w:rsidR="0081013A" w:rsidRDefault="004D3D43">
            <w:pPr>
              <w:pStyle w:val="TableParagraph"/>
              <w:spacing w:before="47" w:line="223" w:lineRule="exact"/>
              <w:ind w:left="107"/>
              <w:rPr>
                <w:sz w:val="20"/>
              </w:rPr>
            </w:pPr>
            <w:r>
              <w:rPr>
                <w:sz w:val="20"/>
              </w:rPr>
              <w:t>Efficient Showerhead, Gas, 1.5 gpm</w:t>
            </w:r>
          </w:p>
        </w:tc>
      </w:tr>
      <w:tr w:rsidR="0081013A" w14:paraId="528B3B21" w14:textId="77777777">
        <w:trPr>
          <w:trHeight w:val="290"/>
        </w:trPr>
        <w:tc>
          <w:tcPr>
            <w:tcW w:w="2160" w:type="dxa"/>
          </w:tcPr>
          <w:p w14:paraId="528B3B1F" w14:textId="77777777" w:rsidR="0081013A" w:rsidRDefault="004D3D43">
            <w:pPr>
              <w:pStyle w:val="TableParagraph"/>
              <w:spacing w:before="47" w:line="223" w:lineRule="exact"/>
              <w:ind w:left="107"/>
              <w:rPr>
                <w:sz w:val="20"/>
              </w:rPr>
            </w:pPr>
            <w:r>
              <w:rPr>
                <w:sz w:val="20"/>
              </w:rPr>
              <w:t>SWWH002D</w:t>
            </w:r>
          </w:p>
        </w:tc>
        <w:tc>
          <w:tcPr>
            <w:tcW w:w="4771" w:type="dxa"/>
          </w:tcPr>
          <w:p w14:paraId="528B3B20" w14:textId="77777777" w:rsidR="0081013A" w:rsidRDefault="004D3D43">
            <w:pPr>
              <w:pStyle w:val="TableParagraph"/>
              <w:spacing w:before="47" w:line="223" w:lineRule="exact"/>
              <w:ind w:left="107"/>
              <w:rPr>
                <w:sz w:val="20"/>
              </w:rPr>
            </w:pPr>
            <w:r>
              <w:rPr>
                <w:sz w:val="20"/>
              </w:rPr>
              <w:t>Efficient Showerhead, Gas, 1.6 gpm</w:t>
            </w:r>
          </w:p>
        </w:tc>
      </w:tr>
      <w:tr w:rsidR="0081013A" w14:paraId="528B3B24" w14:textId="77777777">
        <w:trPr>
          <w:trHeight w:val="289"/>
        </w:trPr>
        <w:tc>
          <w:tcPr>
            <w:tcW w:w="2160" w:type="dxa"/>
          </w:tcPr>
          <w:p w14:paraId="528B3B22" w14:textId="77777777" w:rsidR="0081013A" w:rsidRDefault="004D3D43">
            <w:pPr>
              <w:pStyle w:val="TableParagraph"/>
              <w:spacing w:before="47" w:line="223" w:lineRule="exact"/>
              <w:ind w:left="107"/>
              <w:rPr>
                <w:sz w:val="20"/>
              </w:rPr>
            </w:pPr>
            <w:r>
              <w:rPr>
                <w:sz w:val="20"/>
              </w:rPr>
              <w:t>SWWH002E</w:t>
            </w:r>
          </w:p>
        </w:tc>
        <w:tc>
          <w:tcPr>
            <w:tcW w:w="4771" w:type="dxa"/>
          </w:tcPr>
          <w:p w14:paraId="528B3B23" w14:textId="77777777" w:rsidR="0081013A" w:rsidRDefault="004D3D43">
            <w:pPr>
              <w:pStyle w:val="TableParagraph"/>
              <w:spacing w:before="47" w:line="223" w:lineRule="exact"/>
              <w:ind w:left="107"/>
              <w:rPr>
                <w:sz w:val="20"/>
              </w:rPr>
            </w:pPr>
            <w:r>
              <w:rPr>
                <w:sz w:val="20"/>
              </w:rPr>
              <w:t>Efficient Showerhead, Gas, 1.7 gpm</w:t>
            </w:r>
          </w:p>
        </w:tc>
      </w:tr>
      <w:tr w:rsidR="0081013A" w14:paraId="528B3B27" w14:textId="77777777">
        <w:trPr>
          <w:trHeight w:val="290"/>
        </w:trPr>
        <w:tc>
          <w:tcPr>
            <w:tcW w:w="2160" w:type="dxa"/>
          </w:tcPr>
          <w:p w14:paraId="528B3B25" w14:textId="77777777" w:rsidR="0081013A" w:rsidRDefault="004D3D43">
            <w:pPr>
              <w:pStyle w:val="TableParagraph"/>
              <w:spacing w:before="47" w:line="223" w:lineRule="exact"/>
              <w:ind w:left="107"/>
              <w:rPr>
                <w:sz w:val="20"/>
              </w:rPr>
            </w:pPr>
            <w:r>
              <w:rPr>
                <w:sz w:val="20"/>
              </w:rPr>
              <w:t>SWWH002F</w:t>
            </w:r>
          </w:p>
        </w:tc>
        <w:tc>
          <w:tcPr>
            <w:tcW w:w="4771" w:type="dxa"/>
          </w:tcPr>
          <w:p w14:paraId="528B3B26" w14:textId="77777777" w:rsidR="0081013A" w:rsidRDefault="004D3D43">
            <w:pPr>
              <w:pStyle w:val="TableParagraph"/>
              <w:spacing w:before="47" w:line="223" w:lineRule="exact"/>
              <w:ind w:left="107"/>
              <w:rPr>
                <w:sz w:val="20"/>
              </w:rPr>
            </w:pPr>
            <w:r>
              <w:rPr>
                <w:sz w:val="20"/>
              </w:rPr>
              <w:t>Efficient Showerhead, Gas, 1.0 gpm</w:t>
            </w:r>
          </w:p>
        </w:tc>
      </w:tr>
      <w:tr w:rsidR="0081013A" w14:paraId="528B3B2A" w14:textId="77777777">
        <w:trPr>
          <w:trHeight w:val="290"/>
        </w:trPr>
        <w:tc>
          <w:tcPr>
            <w:tcW w:w="2160" w:type="dxa"/>
          </w:tcPr>
          <w:p w14:paraId="528B3B28" w14:textId="77777777" w:rsidR="0081013A" w:rsidRDefault="004D3D43">
            <w:pPr>
              <w:pStyle w:val="TableParagraph"/>
              <w:spacing w:before="47" w:line="223" w:lineRule="exact"/>
              <w:ind w:left="107"/>
              <w:rPr>
                <w:sz w:val="20"/>
              </w:rPr>
            </w:pPr>
            <w:r>
              <w:rPr>
                <w:sz w:val="20"/>
              </w:rPr>
              <w:t>SWWH002G</w:t>
            </w:r>
          </w:p>
        </w:tc>
        <w:tc>
          <w:tcPr>
            <w:tcW w:w="4771" w:type="dxa"/>
          </w:tcPr>
          <w:p w14:paraId="528B3B29" w14:textId="77777777" w:rsidR="0081013A" w:rsidRDefault="004D3D43">
            <w:pPr>
              <w:pStyle w:val="TableParagraph"/>
              <w:spacing w:before="47" w:line="223" w:lineRule="exact"/>
              <w:ind w:left="107"/>
              <w:rPr>
                <w:sz w:val="20"/>
              </w:rPr>
            </w:pPr>
            <w:r>
              <w:rPr>
                <w:sz w:val="20"/>
              </w:rPr>
              <w:t>Efficient Showerhead, Gas, 1.25 gpm</w:t>
            </w:r>
          </w:p>
        </w:tc>
      </w:tr>
      <w:tr w:rsidR="0081013A" w14:paraId="528B3B2D" w14:textId="77777777">
        <w:trPr>
          <w:trHeight w:val="289"/>
        </w:trPr>
        <w:tc>
          <w:tcPr>
            <w:tcW w:w="2160" w:type="dxa"/>
          </w:tcPr>
          <w:p w14:paraId="528B3B2B" w14:textId="77777777" w:rsidR="0081013A" w:rsidRDefault="004D3D43">
            <w:pPr>
              <w:pStyle w:val="TableParagraph"/>
              <w:spacing w:before="47" w:line="223" w:lineRule="exact"/>
              <w:ind w:left="107"/>
              <w:rPr>
                <w:sz w:val="20"/>
              </w:rPr>
            </w:pPr>
            <w:r>
              <w:rPr>
                <w:sz w:val="20"/>
              </w:rPr>
              <w:t>SWWH002H</w:t>
            </w:r>
          </w:p>
        </w:tc>
        <w:tc>
          <w:tcPr>
            <w:tcW w:w="4771" w:type="dxa"/>
          </w:tcPr>
          <w:p w14:paraId="528B3B2C" w14:textId="77777777" w:rsidR="0081013A" w:rsidRDefault="004D3D43">
            <w:pPr>
              <w:pStyle w:val="TableParagraph"/>
              <w:spacing w:before="47" w:line="223" w:lineRule="exact"/>
              <w:ind w:left="107"/>
              <w:rPr>
                <w:sz w:val="20"/>
              </w:rPr>
            </w:pPr>
            <w:r>
              <w:rPr>
                <w:sz w:val="20"/>
              </w:rPr>
              <w:t>Efficient Showerhead, Gas, 1.5 gpm</w:t>
            </w:r>
          </w:p>
        </w:tc>
      </w:tr>
    </w:tbl>
    <w:p w14:paraId="528B3B2E" w14:textId="77777777" w:rsidR="0081013A" w:rsidRDefault="0081013A">
      <w:pPr>
        <w:spacing w:line="223" w:lineRule="exact"/>
        <w:rPr>
          <w:sz w:val="20"/>
        </w:rPr>
        <w:sectPr w:rsidR="0081013A">
          <w:headerReference w:type="default" r:id="rId9"/>
          <w:footerReference w:type="default" r:id="rId10"/>
          <w:pgSz w:w="12240" w:h="15840"/>
          <w:pgMar w:top="1220" w:right="1120" w:bottom="1320" w:left="1320" w:header="858" w:footer="1129" w:gutter="0"/>
          <w:pgNumType w:start="2"/>
          <w:cols w:space="720"/>
        </w:sectPr>
      </w:pPr>
    </w:p>
    <w:p w14:paraId="528B3B2F" w14:textId="77777777" w:rsidR="0081013A" w:rsidRDefault="0081013A">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160"/>
        <w:gridCol w:w="4771"/>
      </w:tblGrid>
      <w:tr w:rsidR="0081013A" w14:paraId="528B3B33" w14:textId="77777777">
        <w:trPr>
          <w:trHeight w:val="489"/>
        </w:trPr>
        <w:tc>
          <w:tcPr>
            <w:tcW w:w="2160" w:type="dxa"/>
            <w:shd w:val="clear" w:color="auto" w:fill="F1F1F1"/>
          </w:tcPr>
          <w:p w14:paraId="528B3B30" w14:textId="77777777" w:rsidR="0081013A" w:rsidRPr="00535222" w:rsidRDefault="004D3D43">
            <w:pPr>
              <w:pStyle w:val="TableParagraph"/>
              <w:spacing w:before="1" w:line="240" w:lineRule="atLeast"/>
              <w:ind w:left="650" w:hanging="336"/>
              <w:rPr>
                <w:b/>
                <w:bCs/>
                <w:sz w:val="20"/>
              </w:rPr>
            </w:pPr>
            <w:r w:rsidRPr="00535222">
              <w:rPr>
                <w:b/>
                <w:bCs/>
                <w:sz w:val="20"/>
              </w:rPr>
              <w:t>Statewide Measure Offering ID</w:t>
            </w:r>
          </w:p>
        </w:tc>
        <w:tc>
          <w:tcPr>
            <w:tcW w:w="4771" w:type="dxa"/>
            <w:shd w:val="clear" w:color="auto" w:fill="F1F1F1"/>
          </w:tcPr>
          <w:p w14:paraId="528B3B31" w14:textId="77777777" w:rsidR="0081013A" w:rsidRPr="00535222" w:rsidRDefault="0081013A">
            <w:pPr>
              <w:pStyle w:val="TableParagraph"/>
              <w:spacing w:before="2"/>
              <w:rPr>
                <w:b/>
                <w:bCs/>
                <w:sz w:val="20"/>
              </w:rPr>
            </w:pPr>
          </w:p>
          <w:p w14:paraId="528B3B32" w14:textId="77777777" w:rsidR="0081013A" w:rsidRPr="00535222" w:rsidRDefault="004D3D43">
            <w:pPr>
              <w:pStyle w:val="TableParagraph"/>
              <w:spacing w:line="223" w:lineRule="exact"/>
              <w:ind w:left="1216"/>
              <w:rPr>
                <w:b/>
                <w:bCs/>
                <w:sz w:val="20"/>
              </w:rPr>
            </w:pPr>
            <w:r w:rsidRPr="00535222">
              <w:rPr>
                <w:b/>
                <w:bCs/>
                <w:sz w:val="20"/>
              </w:rPr>
              <w:t>Measure Offering Description</w:t>
            </w:r>
          </w:p>
        </w:tc>
      </w:tr>
      <w:tr w:rsidR="0081013A" w14:paraId="528B3B36" w14:textId="77777777">
        <w:trPr>
          <w:trHeight w:val="290"/>
        </w:trPr>
        <w:tc>
          <w:tcPr>
            <w:tcW w:w="2160" w:type="dxa"/>
          </w:tcPr>
          <w:p w14:paraId="528B3B34" w14:textId="77777777" w:rsidR="0081013A" w:rsidRDefault="004D3D43">
            <w:pPr>
              <w:pStyle w:val="TableParagraph"/>
              <w:spacing w:before="47" w:line="223" w:lineRule="exact"/>
              <w:ind w:left="107"/>
              <w:rPr>
                <w:sz w:val="20"/>
              </w:rPr>
            </w:pPr>
            <w:r>
              <w:rPr>
                <w:sz w:val="20"/>
              </w:rPr>
              <w:t>SWWH002I</w:t>
            </w:r>
          </w:p>
        </w:tc>
        <w:tc>
          <w:tcPr>
            <w:tcW w:w="4771" w:type="dxa"/>
          </w:tcPr>
          <w:p w14:paraId="528B3B35" w14:textId="77777777" w:rsidR="0081013A" w:rsidRDefault="004D3D43">
            <w:pPr>
              <w:pStyle w:val="TableParagraph"/>
              <w:spacing w:before="47" w:line="223" w:lineRule="exact"/>
              <w:ind w:left="107"/>
              <w:rPr>
                <w:sz w:val="20"/>
              </w:rPr>
            </w:pPr>
            <w:r>
              <w:rPr>
                <w:sz w:val="20"/>
              </w:rPr>
              <w:t>Efficient Showerhead, Gas, 1.6 gpm</w:t>
            </w:r>
          </w:p>
        </w:tc>
      </w:tr>
      <w:tr w:rsidR="0081013A" w14:paraId="528B3B39" w14:textId="77777777">
        <w:trPr>
          <w:trHeight w:val="290"/>
        </w:trPr>
        <w:tc>
          <w:tcPr>
            <w:tcW w:w="2160" w:type="dxa"/>
          </w:tcPr>
          <w:p w14:paraId="528B3B37" w14:textId="77777777" w:rsidR="0081013A" w:rsidRDefault="004D3D43">
            <w:pPr>
              <w:pStyle w:val="TableParagraph"/>
              <w:spacing w:before="47" w:line="223" w:lineRule="exact"/>
              <w:ind w:left="107"/>
              <w:rPr>
                <w:sz w:val="20"/>
              </w:rPr>
            </w:pPr>
            <w:r>
              <w:rPr>
                <w:sz w:val="20"/>
              </w:rPr>
              <w:t>SWWH002J</w:t>
            </w:r>
          </w:p>
        </w:tc>
        <w:tc>
          <w:tcPr>
            <w:tcW w:w="4771" w:type="dxa"/>
          </w:tcPr>
          <w:p w14:paraId="528B3B38" w14:textId="77777777" w:rsidR="0081013A" w:rsidRDefault="004D3D43">
            <w:pPr>
              <w:pStyle w:val="TableParagraph"/>
              <w:spacing w:before="47" w:line="223" w:lineRule="exact"/>
              <w:ind w:left="107"/>
              <w:rPr>
                <w:sz w:val="20"/>
              </w:rPr>
            </w:pPr>
            <w:r>
              <w:rPr>
                <w:sz w:val="20"/>
              </w:rPr>
              <w:t>Efficient Showerhead, Gas, 1.7 gpm</w:t>
            </w:r>
          </w:p>
        </w:tc>
      </w:tr>
      <w:tr w:rsidR="0081013A" w14:paraId="528B3B3C" w14:textId="77777777">
        <w:trPr>
          <w:trHeight w:val="289"/>
        </w:trPr>
        <w:tc>
          <w:tcPr>
            <w:tcW w:w="2160" w:type="dxa"/>
          </w:tcPr>
          <w:p w14:paraId="528B3B3A" w14:textId="77777777" w:rsidR="0081013A" w:rsidRDefault="004D3D43">
            <w:pPr>
              <w:pStyle w:val="TableParagraph"/>
              <w:spacing w:before="47" w:line="223" w:lineRule="exact"/>
              <w:ind w:left="107"/>
              <w:rPr>
                <w:sz w:val="20"/>
              </w:rPr>
            </w:pPr>
            <w:r>
              <w:rPr>
                <w:sz w:val="20"/>
              </w:rPr>
              <w:t>SWWH002K</w:t>
            </w:r>
          </w:p>
        </w:tc>
        <w:tc>
          <w:tcPr>
            <w:tcW w:w="4771" w:type="dxa"/>
          </w:tcPr>
          <w:p w14:paraId="528B3B3B" w14:textId="77777777" w:rsidR="0081013A" w:rsidRDefault="004D3D43">
            <w:pPr>
              <w:pStyle w:val="TableParagraph"/>
              <w:spacing w:before="47" w:line="223" w:lineRule="exact"/>
              <w:ind w:left="107"/>
              <w:rPr>
                <w:sz w:val="20"/>
              </w:rPr>
            </w:pPr>
            <w:r>
              <w:rPr>
                <w:sz w:val="20"/>
              </w:rPr>
              <w:t>Efficient Showerhead, Electric, 1.0 gpm</w:t>
            </w:r>
          </w:p>
        </w:tc>
      </w:tr>
      <w:tr w:rsidR="0081013A" w14:paraId="528B3B3F" w14:textId="77777777">
        <w:trPr>
          <w:trHeight w:val="290"/>
        </w:trPr>
        <w:tc>
          <w:tcPr>
            <w:tcW w:w="2160" w:type="dxa"/>
          </w:tcPr>
          <w:p w14:paraId="528B3B3D" w14:textId="77777777" w:rsidR="0081013A" w:rsidRDefault="004D3D43">
            <w:pPr>
              <w:pStyle w:val="TableParagraph"/>
              <w:spacing w:before="47" w:line="223" w:lineRule="exact"/>
              <w:ind w:left="107"/>
              <w:rPr>
                <w:sz w:val="20"/>
              </w:rPr>
            </w:pPr>
            <w:r>
              <w:rPr>
                <w:sz w:val="20"/>
              </w:rPr>
              <w:t>SWWH002L</w:t>
            </w:r>
          </w:p>
        </w:tc>
        <w:tc>
          <w:tcPr>
            <w:tcW w:w="4771" w:type="dxa"/>
          </w:tcPr>
          <w:p w14:paraId="528B3B3E" w14:textId="77777777" w:rsidR="0081013A" w:rsidRDefault="004D3D43">
            <w:pPr>
              <w:pStyle w:val="TableParagraph"/>
              <w:spacing w:before="47" w:line="223" w:lineRule="exact"/>
              <w:ind w:left="107"/>
              <w:rPr>
                <w:sz w:val="20"/>
              </w:rPr>
            </w:pPr>
            <w:r>
              <w:rPr>
                <w:sz w:val="20"/>
              </w:rPr>
              <w:t>Efficient Showerhead, Electric, 1.25 gpm</w:t>
            </w:r>
          </w:p>
        </w:tc>
      </w:tr>
      <w:tr w:rsidR="0081013A" w14:paraId="528B3B42" w14:textId="77777777">
        <w:trPr>
          <w:trHeight w:val="290"/>
        </w:trPr>
        <w:tc>
          <w:tcPr>
            <w:tcW w:w="2160" w:type="dxa"/>
          </w:tcPr>
          <w:p w14:paraId="528B3B40" w14:textId="77777777" w:rsidR="0081013A" w:rsidRDefault="004D3D43">
            <w:pPr>
              <w:pStyle w:val="TableParagraph"/>
              <w:spacing w:before="47" w:line="223" w:lineRule="exact"/>
              <w:ind w:left="107"/>
              <w:rPr>
                <w:sz w:val="20"/>
              </w:rPr>
            </w:pPr>
            <w:r>
              <w:rPr>
                <w:sz w:val="20"/>
              </w:rPr>
              <w:t>SWWH002M</w:t>
            </w:r>
          </w:p>
        </w:tc>
        <w:tc>
          <w:tcPr>
            <w:tcW w:w="4771" w:type="dxa"/>
          </w:tcPr>
          <w:p w14:paraId="528B3B41" w14:textId="77777777" w:rsidR="0081013A" w:rsidRDefault="004D3D43">
            <w:pPr>
              <w:pStyle w:val="TableParagraph"/>
              <w:spacing w:before="47" w:line="223" w:lineRule="exact"/>
              <w:ind w:left="107"/>
              <w:rPr>
                <w:sz w:val="20"/>
              </w:rPr>
            </w:pPr>
            <w:r>
              <w:rPr>
                <w:sz w:val="20"/>
              </w:rPr>
              <w:t>Efficient Showerhead, Electric, 1.5 gpm</w:t>
            </w:r>
          </w:p>
        </w:tc>
      </w:tr>
      <w:tr w:rsidR="0081013A" w14:paraId="528B3B45" w14:textId="77777777">
        <w:trPr>
          <w:trHeight w:val="289"/>
        </w:trPr>
        <w:tc>
          <w:tcPr>
            <w:tcW w:w="2160" w:type="dxa"/>
          </w:tcPr>
          <w:p w14:paraId="528B3B43" w14:textId="77777777" w:rsidR="0081013A" w:rsidRDefault="004D3D43">
            <w:pPr>
              <w:pStyle w:val="TableParagraph"/>
              <w:spacing w:before="47" w:line="223" w:lineRule="exact"/>
              <w:ind w:left="107"/>
              <w:rPr>
                <w:sz w:val="20"/>
              </w:rPr>
            </w:pPr>
            <w:r>
              <w:rPr>
                <w:sz w:val="20"/>
              </w:rPr>
              <w:t>SWWH002N</w:t>
            </w:r>
          </w:p>
        </w:tc>
        <w:tc>
          <w:tcPr>
            <w:tcW w:w="4771" w:type="dxa"/>
          </w:tcPr>
          <w:p w14:paraId="528B3B44" w14:textId="77777777" w:rsidR="0081013A" w:rsidRDefault="004D3D43">
            <w:pPr>
              <w:pStyle w:val="TableParagraph"/>
              <w:spacing w:before="47" w:line="223" w:lineRule="exact"/>
              <w:ind w:left="107"/>
              <w:rPr>
                <w:sz w:val="20"/>
              </w:rPr>
            </w:pPr>
            <w:r>
              <w:rPr>
                <w:sz w:val="20"/>
              </w:rPr>
              <w:t>Efficient Showerhead, Electric, 1.6 gpm</w:t>
            </w:r>
          </w:p>
        </w:tc>
      </w:tr>
      <w:tr w:rsidR="0081013A" w14:paraId="528B3B48" w14:textId="77777777">
        <w:trPr>
          <w:trHeight w:val="290"/>
        </w:trPr>
        <w:tc>
          <w:tcPr>
            <w:tcW w:w="2160" w:type="dxa"/>
          </w:tcPr>
          <w:p w14:paraId="528B3B46" w14:textId="77777777" w:rsidR="0081013A" w:rsidRDefault="004D3D43">
            <w:pPr>
              <w:pStyle w:val="TableParagraph"/>
              <w:spacing w:before="47" w:line="223" w:lineRule="exact"/>
              <w:ind w:left="107"/>
              <w:rPr>
                <w:sz w:val="20"/>
              </w:rPr>
            </w:pPr>
            <w:r>
              <w:rPr>
                <w:sz w:val="20"/>
              </w:rPr>
              <w:t>SWWH002O</w:t>
            </w:r>
          </w:p>
        </w:tc>
        <w:tc>
          <w:tcPr>
            <w:tcW w:w="4771" w:type="dxa"/>
          </w:tcPr>
          <w:p w14:paraId="528B3B47" w14:textId="77777777" w:rsidR="0081013A" w:rsidRDefault="004D3D43">
            <w:pPr>
              <w:pStyle w:val="TableParagraph"/>
              <w:spacing w:before="47" w:line="223" w:lineRule="exact"/>
              <w:ind w:left="107"/>
              <w:rPr>
                <w:sz w:val="20"/>
              </w:rPr>
            </w:pPr>
            <w:r>
              <w:rPr>
                <w:sz w:val="20"/>
              </w:rPr>
              <w:t>Efficient Showerhead, Electric, 1.7 gpm</w:t>
            </w:r>
          </w:p>
        </w:tc>
      </w:tr>
      <w:tr w:rsidR="0081013A" w14:paraId="528B3B4B" w14:textId="77777777">
        <w:trPr>
          <w:trHeight w:val="290"/>
        </w:trPr>
        <w:tc>
          <w:tcPr>
            <w:tcW w:w="2160" w:type="dxa"/>
          </w:tcPr>
          <w:p w14:paraId="528B3B49" w14:textId="77777777" w:rsidR="0081013A" w:rsidRDefault="004D3D43">
            <w:pPr>
              <w:pStyle w:val="TableParagraph"/>
              <w:spacing w:before="47" w:line="223" w:lineRule="exact"/>
              <w:ind w:left="107"/>
              <w:rPr>
                <w:sz w:val="20"/>
              </w:rPr>
            </w:pPr>
            <w:r>
              <w:rPr>
                <w:sz w:val="20"/>
              </w:rPr>
              <w:t>SWWH002P</w:t>
            </w:r>
          </w:p>
        </w:tc>
        <w:tc>
          <w:tcPr>
            <w:tcW w:w="4771" w:type="dxa"/>
          </w:tcPr>
          <w:p w14:paraId="528B3B4A" w14:textId="77777777" w:rsidR="0081013A" w:rsidRDefault="004D3D43">
            <w:pPr>
              <w:pStyle w:val="TableParagraph"/>
              <w:spacing w:before="47" w:line="223" w:lineRule="exact"/>
              <w:ind w:left="107"/>
              <w:rPr>
                <w:sz w:val="20"/>
              </w:rPr>
            </w:pPr>
            <w:r>
              <w:rPr>
                <w:sz w:val="20"/>
              </w:rPr>
              <w:t>Efficient Showerhead, Electric, 1.0 gpm</w:t>
            </w:r>
          </w:p>
        </w:tc>
      </w:tr>
      <w:tr w:rsidR="0081013A" w14:paraId="528B3B4E" w14:textId="77777777">
        <w:trPr>
          <w:trHeight w:val="289"/>
        </w:trPr>
        <w:tc>
          <w:tcPr>
            <w:tcW w:w="2160" w:type="dxa"/>
          </w:tcPr>
          <w:p w14:paraId="528B3B4C" w14:textId="77777777" w:rsidR="0081013A" w:rsidRDefault="004D3D43">
            <w:pPr>
              <w:pStyle w:val="TableParagraph"/>
              <w:spacing w:before="47" w:line="223" w:lineRule="exact"/>
              <w:ind w:left="107"/>
              <w:rPr>
                <w:sz w:val="20"/>
              </w:rPr>
            </w:pPr>
            <w:r>
              <w:rPr>
                <w:sz w:val="20"/>
              </w:rPr>
              <w:t>SWWH002Q</w:t>
            </w:r>
          </w:p>
        </w:tc>
        <w:tc>
          <w:tcPr>
            <w:tcW w:w="4771" w:type="dxa"/>
          </w:tcPr>
          <w:p w14:paraId="528B3B4D" w14:textId="77777777" w:rsidR="0081013A" w:rsidRDefault="004D3D43">
            <w:pPr>
              <w:pStyle w:val="TableParagraph"/>
              <w:spacing w:before="47" w:line="223" w:lineRule="exact"/>
              <w:ind w:left="107"/>
              <w:rPr>
                <w:sz w:val="20"/>
              </w:rPr>
            </w:pPr>
            <w:r>
              <w:rPr>
                <w:sz w:val="20"/>
              </w:rPr>
              <w:t>Efficient Showerhead, Electric, 1.25 gpm</w:t>
            </w:r>
          </w:p>
        </w:tc>
      </w:tr>
      <w:tr w:rsidR="0081013A" w14:paraId="528B3B51" w14:textId="77777777">
        <w:trPr>
          <w:trHeight w:val="290"/>
        </w:trPr>
        <w:tc>
          <w:tcPr>
            <w:tcW w:w="2160" w:type="dxa"/>
          </w:tcPr>
          <w:p w14:paraId="528B3B4F" w14:textId="77777777" w:rsidR="0081013A" w:rsidRDefault="004D3D43">
            <w:pPr>
              <w:pStyle w:val="TableParagraph"/>
              <w:spacing w:before="47" w:line="223" w:lineRule="exact"/>
              <w:ind w:left="107"/>
              <w:rPr>
                <w:sz w:val="20"/>
              </w:rPr>
            </w:pPr>
            <w:r>
              <w:rPr>
                <w:sz w:val="20"/>
              </w:rPr>
              <w:t>SWWH002R</w:t>
            </w:r>
          </w:p>
        </w:tc>
        <w:tc>
          <w:tcPr>
            <w:tcW w:w="4771" w:type="dxa"/>
          </w:tcPr>
          <w:p w14:paraId="528B3B50" w14:textId="77777777" w:rsidR="0081013A" w:rsidRDefault="004D3D43">
            <w:pPr>
              <w:pStyle w:val="TableParagraph"/>
              <w:spacing w:before="47" w:line="223" w:lineRule="exact"/>
              <w:ind w:left="107"/>
              <w:rPr>
                <w:sz w:val="20"/>
              </w:rPr>
            </w:pPr>
            <w:r>
              <w:rPr>
                <w:sz w:val="20"/>
              </w:rPr>
              <w:t>Efficient Showerhead, Electric, 1.5 gpm</w:t>
            </w:r>
          </w:p>
        </w:tc>
      </w:tr>
      <w:tr w:rsidR="0081013A" w14:paraId="528B3B54" w14:textId="77777777">
        <w:trPr>
          <w:trHeight w:val="290"/>
        </w:trPr>
        <w:tc>
          <w:tcPr>
            <w:tcW w:w="2160" w:type="dxa"/>
          </w:tcPr>
          <w:p w14:paraId="528B3B52" w14:textId="77777777" w:rsidR="0081013A" w:rsidRDefault="004D3D43">
            <w:pPr>
              <w:pStyle w:val="TableParagraph"/>
              <w:spacing w:before="47" w:line="223" w:lineRule="exact"/>
              <w:ind w:left="107"/>
              <w:rPr>
                <w:sz w:val="20"/>
              </w:rPr>
            </w:pPr>
            <w:r>
              <w:rPr>
                <w:sz w:val="20"/>
              </w:rPr>
              <w:t>SWWH002S</w:t>
            </w:r>
          </w:p>
        </w:tc>
        <w:tc>
          <w:tcPr>
            <w:tcW w:w="4771" w:type="dxa"/>
          </w:tcPr>
          <w:p w14:paraId="528B3B53" w14:textId="77777777" w:rsidR="0081013A" w:rsidRDefault="004D3D43">
            <w:pPr>
              <w:pStyle w:val="TableParagraph"/>
              <w:spacing w:before="47" w:line="223" w:lineRule="exact"/>
              <w:ind w:left="107"/>
              <w:rPr>
                <w:sz w:val="20"/>
              </w:rPr>
            </w:pPr>
            <w:r>
              <w:rPr>
                <w:sz w:val="20"/>
              </w:rPr>
              <w:t>Efficient Showerhead, Electric, 1.6 gpm</w:t>
            </w:r>
          </w:p>
        </w:tc>
      </w:tr>
      <w:tr w:rsidR="0081013A" w14:paraId="528B3B57" w14:textId="77777777">
        <w:trPr>
          <w:trHeight w:val="289"/>
        </w:trPr>
        <w:tc>
          <w:tcPr>
            <w:tcW w:w="2160" w:type="dxa"/>
          </w:tcPr>
          <w:p w14:paraId="528B3B55" w14:textId="77777777" w:rsidR="0081013A" w:rsidRDefault="004D3D43">
            <w:pPr>
              <w:pStyle w:val="TableParagraph"/>
              <w:spacing w:before="47" w:line="223" w:lineRule="exact"/>
              <w:ind w:left="107"/>
              <w:rPr>
                <w:sz w:val="20"/>
              </w:rPr>
            </w:pPr>
            <w:r>
              <w:rPr>
                <w:sz w:val="20"/>
              </w:rPr>
              <w:t>SWWH002T</w:t>
            </w:r>
          </w:p>
        </w:tc>
        <w:tc>
          <w:tcPr>
            <w:tcW w:w="4771" w:type="dxa"/>
          </w:tcPr>
          <w:p w14:paraId="528B3B56" w14:textId="77777777" w:rsidR="0081013A" w:rsidRDefault="004D3D43">
            <w:pPr>
              <w:pStyle w:val="TableParagraph"/>
              <w:spacing w:before="47" w:line="223" w:lineRule="exact"/>
              <w:ind w:left="107"/>
              <w:rPr>
                <w:sz w:val="20"/>
              </w:rPr>
            </w:pPr>
            <w:r>
              <w:rPr>
                <w:sz w:val="20"/>
              </w:rPr>
              <w:t>Efficient Showerhead, Electric, 1.7 gpm</w:t>
            </w:r>
          </w:p>
        </w:tc>
      </w:tr>
      <w:tr w:rsidR="0081013A" w14:paraId="528B3B5A" w14:textId="77777777">
        <w:trPr>
          <w:trHeight w:val="290"/>
        </w:trPr>
        <w:tc>
          <w:tcPr>
            <w:tcW w:w="2160" w:type="dxa"/>
          </w:tcPr>
          <w:p w14:paraId="528B3B58" w14:textId="77777777" w:rsidR="0081013A" w:rsidRDefault="004D3D43">
            <w:pPr>
              <w:pStyle w:val="TableParagraph"/>
              <w:spacing w:before="47" w:line="223" w:lineRule="exact"/>
              <w:ind w:left="107"/>
              <w:rPr>
                <w:sz w:val="20"/>
              </w:rPr>
            </w:pPr>
            <w:r>
              <w:rPr>
                <w:sz w:val="20"/>
              </w:rPr>
              <w:t>SWWH002U</w:t>
            </w:r>
          </w:p>
        </w:tc>
        <w:tc>
          <w:tcPr>
            <w:tcW w:w="4771" w:type="dxa"/>
          </w:tcPr>
          <w:p w14:paraId="528B3B59" w14:textId="77777777" w:rsidR="0081013A" w:rsidRDefault="004D3D43">
            <w:pPr>
              <w:pStyle w:val="TableParagraph"/>
              <w:spacing w:before="47" w:line="223" w:lineRule="exact"/>
              <w:ind w:left="107"/>
              <w:rPr>
                <w:sz w:val="20"/>
              </w:rPr>
            </w:pPr>
            <w:r>
              <w:rPr>
                <w:sz w:val="20"/>
              </w:rPr>
              <w:t>Efficient Flow Control Valves, Gas, 1.0 gpm</w:t>
            </w:r>
          </w:p>
        </w:tc>
      </w:tr>
      <w:tr w:rsidR="0081013A" w14:paraId="528B3B5D" w14:textId="77777777">
        <w:trPr>
          <w:trHeight w:val="290"/>
        </w:trPr>
        <w:tc>
          <w:tcPr>
            <w:tcW w:w="2160" w:type="dxa"/>
          </w:tcPr>
          <w:p w14:paraId="528B3B5B" w14:textId="77777777" w:rsidR="0081013A" w:rsidRDefault="004D3D43">
            <w:pPr>
              <w:pStyle w:val="TableParagraph"/>
              <w:spacing w:before="47" w:line="223" w:lineRule="exact"/>
              <w:ind w:left="107"/>
              <w:rPr>
                <w:sz w:val="20"/>
              </w:rPr>
            </w:pPr>
            <w:r>
              <w:rPr>
                <w:sz w:val="20"/>
              </w:rPr>
              <w:t>SWWH002V</w:t>
            </w:r>
          </w:p>
        </w:tc>
        <w:tc>
          <w:tcPr>
            <w:tcW w:w="4771" w:type="dxa"/>
          </w:tcPr>
          <w:p w14:paraId="528B3B5C" w14:textId="77777777" w:rsidR="0081013A" w:rsidRDefault="004D3D43">
            <w:pPr>
              <w:pStyle w:val="TableParagraph"/>
              <w:spacing w:before="47" w:line="223" w:lineRule="exact"/>
              <w:ind w:left="107"/>
              <w:rPr>
                <w:sz w:val="20"/>
              </w:rPr>
            </w:pPr>
            <w:r>
              <w:rPr>
                <w:sz w:val="20"/>
              </w:rPr>
              <w:t>Efficient Flow Control Valves, Gas, 1.25 gpm</w:t>
            </w:r>
          </w:p>
        </w:tc>
      </w:tr>
      <w:tr w:rsidR="0081013A" w14:paraId="528B3B60" w14:textId="77777777">
        <w:trPr>
          <w:trHeight w:val="289"/>
        </w:trPr>
        <w:tc>
          <w:tcPr>
            <w:tcW w:w="2160" w:type="dxa"/>
          </w:tcPr>
          <w:p w14:paraId="528B3B5E" w14:textId="77777777" w:rsidR="0081013A" w:rsidRDefault="004D3D43">
            <w:pPr>
              <w:pStyle w:val="TableParagraph"/>
              <w:spacing w:before="47" w:line="223" w:lineRule="exact"/>
              <w:ind w:left="107"/>
              <w:rPr>
                <w:sz w:val="20"/>
              </w:rPr>
            </w:pPr>
            <w:r>
              <w:rPr>
                <w:sz w:val="20"/>
              </w:rPr>
              <w:t>SWWH002W</w:t>
            </w:r>
          </w:p>
        </w:tc>
        <w:tc>
          <w:tcPr>
            <w:tcW w:w="4771" w:type="dxa"/>
          </w:tcPr>
          <w:p w14:paraId="528B3B5F" w14:textId="77777777" w:rsidR="0081013A" w:rsidRDefault="004D3D43">
            <w:pPr>
              <w:pStyle w:val="TableParagraph"/>
              <w:spacing w:before="47" w:line="223" w:lineRule="exact"/>
              <w:ind w:left="107"/>
              <w:rPr>
                <w:sz w:val="20"/>
              </w:rPr>
            </w:pPr>
            <w:r>
              <w:rPr>
                <w:sz w:val="20"/>
              </w:rPr>
              <w:t>Efficient Flow Control Valves, Gas, 1.5 gpm</w:t>
            </w:r>
          </w:p>
        </w:tc>
      </w:tr>
      <w:tr w:rsidR="0081013A" w14:paraId="528B3B63" w14:textId="77777777">
        <w:trPr>
          <w:trHeight w:val="290"/>
        </w:trPr>
        <w:tc>
          <w:tcPr>
            <w:tcW w:w="2160" w:type="dxa"/>
          </w:tcPr>
          <w:p w14:paraId="528B3B61" w14:textId="77777777" w:rsidR="0081013A" w:rsidRDefault="004D3D43">
            <w:pPr>
              <w:pStyle w:val="TableParagraph"/>
              <w:spacing w:before="47" w:line="223" w:lineRule="exact"/>
              <w:ind w:left="107"/>
              <w:rPr>
                <w:sz w:val="20"/>
              </w:rPr>
            </w:pPr>
            <w:r>
              <w:rPr>
                <w:sz w:val="20"/>
              </w:rPr>
              <w:t>SWWH002X</w:t>
            </w:r>
          </w:p>
        </w:tc>
        <w:tc>
          <w:tcPr>
            <w:tcW w:w="4771" w:type="dxa"/>
          </w:tcPr>
          <w:p w14:paraId="528B3B62" w14:textId="77777777" w:rsidR="0081013A" w:rsidRDefault="004D3D43">
            <w:pPr>
              <w:pStyle w:val="TableParagraph"/>
              <w:spacing w:before="47" w:line="223" w:lineRule="exact"/>
              <w:ind w:left="107"/>
              <w:rPr>
                <w:sz w:val="20"/>
              </w:rPr>
            </w:pPr>
            <w:r>
              <w:rPr>
                <w:sz w:val="20"/>
              </w:rPr>
              <w:t>Efficient Flow Control Valves, Gas, 1.6 gpm</w:t>
            </w:r>
          </w:p>
        </w:tc>
      </w:tr>
      <w:tr w:rsidR="0081013A" w14:paraId="528B3B66" w14:textId="77777777">
        <w:trPr>
          <w:trHeight w:val="290"/>
        </w:trPr>
        <w:tc>
          <w:tcPr>
            <w:tcW w:w="2160" w:type="dxa"/>
          </w:tcPr>
          <w:p w14:paraId="528B3B64" w14:textId="77777777" w:rsidR="0081013A" w:rsidRDefault="004D3D43">
            <w:pPr>
              <w:pStyle w:val="TableParagraph"/>
              <w:spacing w:before="47" w:line="223" w:lineRule="exact"/>
              <w:ind w:left="107"/>
              <w:rPr>
                <w:sz w:val="20"/>
              </w:rPr>
            </w:pPr>
            <w:r>
              <w:rPr>
                <w:sz w:val="20"/>
              </w:rPr>
              <w:t>SWWH002Y</w:t>
            </w:r>
          </w:p>
        </w:tc>
        <w:tc>
          <w:tcPr>
            <w:tcW w:w="4771" w:type="dxa"/>
          </w:tcPr>
          <w:p w14:paraId="528B3B65" w14:textId="77777777" w:rsidR="0081013A" w:rsidRDefault="004D3D43">
            <w:pPr>
              <w:pStyle w:val="TableParagraph"/>
              <w:spacing w:before="47" w:line="223" w:lineRule="exact"/>
              <w:ind w:left="107"/>
              <w:rPr>
                <w:sz w:val="20"/>
              </w:rPr>
            </w:pPr>
            <w:r>
              <w:rPr>
                <w:sz w:val="20"/>
              </w:rPr>
              <w:t>Efficient Flow Control Valves, Gas, 1.7 gpm</w:t>
            </w:r>
          </w:p>
        </w:tc>
      </w:tr>
      <w:tr w:rsidR="0081013A" w14:paraId="528B3B69" w14:textId="77777777">
        <w:trPr>
          <w:trHeight w:val="289"/>
        </w:trPr>
        <w:tc>
          <w:tcPr>
            <w:tcW w:w="2160" w:type="dxa"/>
          </w:tcPr>
          <w:p w14:paraId="528B3B67" w14:textId="77777777" w:rsidR="0081013A" w:rsidRDefault="004D3D43">
            <w:pPr>
              <w:pStyle w:val="TableParagraph"/>
              <w:spacing w:before="47" w:line="223" w:lineRule="exact"/>
              <w:ind w:left="107"/>
              <w:rPr>
                <w:sz w:val="20"/>
              </w:rPr>
            </w:pPr>
            <w:r>
              <w:rPr>
                <w:sz w:val="20"/>
              </w:rPr>
              <w:t>SWWH002Z</w:t>
            </w:r>
          </w:p>
        </w:tc>
        <w:tc>
          <w:tcPr>
            <w:tcW w:w="4771" w:type="dxa"/>
          </w:tcPr>
          <w:p w14:paraId="528B3B68" w14:textId="77777777" w:rsidR="0081013A" w:rsidRDefault="004D3D43">
            <w:pPr>
              <w:pStyle w:val="TableParagraph"/>
              <w:spacing w:before="47" w:line="223" w:lineRule="exact"/>
              <w:ind w:left="107"/>
              <w:rPr>
                <w:sz w:val="20"/>
              </w:rPr>
            </w:pPr>
            <w:r>
              <w:rPr>
                <w:sz w:val="20"/>
              </w:rPr>
              <w:t>Efficient Flow Control Valves, Electric, 1.0 gpm</w:t>
            </w:r>
          </w:p>
        </w:tc>
      </w:tr>
      <w:tr w:rsidR="0081013A" w14:paraId="528B3B6C" w14:textId="77777777">
        <w:trPr>
          <w:trHeight w:val="290"/>
        </w:trPr>
        <w:tc>
          <w:tcPr>
            <w:tcW w:w="2160" w:type="dxa"/>
          </w:tcPr>
          <w:p w14:paraId="528B3B6A" w14:textId="77777777" w:rsidR="0081013A" w:rsidRDefault="004D3D43">
            <w:pPr>
              <w:pStyle w:val="TableParagraph"/>
              <w:spacing w:before="47" w:line="223" w:lineRule="exact"/>
              <w:ind w:left="107"/>
              <w:rPr>
                <w:sz w:val="20"/>
              </w:rPr>
            </w:pPr>
            <w:r>
              <w:rPr>
                <w:sz w:val="20"/>
              </w:rPr>
              <w:t>SWWH002AA</w:t>
            </w:r>
          </w:p>
        </w:tc>
        <w:tc>
          <w:tcPr>
            <w:tcW w:w="4771" w:type="dxa"/>
          </w:tcPr>
          <w:p w14:paraId="528B3B6B" w14:textId="77777777" w:rsidR="0081013A" w:rsidRDefault="004D3D43">
            <w:pPr>
              <w:pStyle w:val="TableParagraph"/>
              <w:spacing w:before="47" w:line="223" w:lineRule="exact"/>
              <w:ind w:left="107"/>
              <w:rPr>
                <w:sz w:val="20"/>
              </w:rPr>
            </w:pPr>
            <w:r>
              <w:rPr>
                <w:sz w:val="20"/>
              </w:rPr>
              <w:t>Efficient Flow Control Valves, Electric, 1.25 gpm</w:t>
            </w:r>
          </w:p>
        </w:tc>
      </w:tr>
      <w:tr w:rsidR="0081013A" w14:paraId="528B3B6F" w14:textId="77777777">
        <w:trPr>
          <w:trHeight w:val="290"/>
        </w:trPr>
        <w:tc>
          <w:tcPr>
            <w:tcW w:w="2160" w:type="dxa"/>
          </w:tcPr>
          <w:p w14:paraId="528B3B6D" w14:textId="77777777" w:rsidR="0081013A" w:rsidRDefault="004D3D43">
            <w:pPr>
              <w:pStyle w:val="TableParagraph"/>
              <w:spacing w:before="47" w:line="223" w:lineRule="exact"/>
              <w:ind w:left="107"/>
              <w:rPr>
                <w:sz w:val="20"/>
              </w:rPr>
            </w:pPr>
            <w:r>
              <w:rPr>
                <w:sz w:val="20"/>
              </w:rPr>
              <w:t>SWWH002AB</w:t>
            </w:r>
          </w:p>
        </w:tc>
        <w:tc>
          <w:tcPr>
            <w:tcW w:w="4771" w:type="dxa"/>
          </w:tcPr>
          <w:p w14:paraId="528B3B6E" w14:textId="77777777" w:rsidR="0081013A" w:rsidRDefault="004D3D43">
            <w:pPr>
              <w:pStyle w:val="TableParagraph"/>
              <w:spacing w:before="47" w:line="223" w:lineRule="exact"/>
              <w:ind w:left="107"/>
              <w:rPr>
                <w:sz w:val="20"/>
              </w:rPr>
            </w:pPr>
            <w:r>
              <w:rPr>
                <w:sz w:val="20"/>
              </w:rPr>
              <w:t>Efficient Flow Control Valves, Electric, 1.5 gpm</w:t>
            </w:r>
          </w:p>
        </w:tc>
      </w:tr>
      <w:tr w:rsidR="0081013A" w14:paraId="528B3B72" w14:textId="77777777">
        <w:trPr>
          <w:trHeight w:val="289"/>
        </w:trPr>
        <w:tc>
          <w:tcPr>
            <w:tcW w:w="2160" w:type="dxa"/>
          </w:tcPr>
          <w:p w14:paraId="528B3B70" w14:textId="77777777" w:rsidR="0081013A" w:rsidRDefault="004D3D43">
            <w:pPr>
              <w:pStyle w:val="TableParagraph"/>
              <w:spacing w:before="47" w:line="223" w:lineRule="exact"/>
              <w:ind w:left="107"/>
              <w:rPr>
                <w:sz w:val="20"/>
              </w:rPr>
            </w:pPr>
            <w:r>
              <w:rPr>
                <w:sz w:val="20"/>
              </w:rPr>
              <w:t>SWWH002AC</w:t>
            </w:r>
          </w:p>
        </w:tc>
        <w:tc>
          <w:tcPr>
            <w:tcW w:w="4771" w:type="dxa"/>
          </w:tcPr>
          <w:p w14:paraId="528B3B71" w14:textId="77777777" w:rsidR="0081013A" w:rsidRDefault="004D3D43">
            <w:pPr>
              <w:pStyle w:val="TableParagraph"/>
              <w:spacing w:before="47" w:line="223" w:lineRule="exact"/>
              <w:ind w:left="107"/>
              <w:rPr>
                <w:sz w:val="20"/>
              </w:rPr>
            </w:pPr>
            <w:r>
              <w:rPr>
                <w:sz w:val="20"/>
              </w:rPr>
              <w:t>Efficient Flow Control Valves, Electric, 1.6 gpm</w:t>
            </w:r>
          </w:p>
        </w:tc>
      </w:tr>
      <w:tr w:rsidR="0081013A" w14:paraId="528B3B75" w14:textId="77777777">
        <w:trPr>
          <w:trHeight w:val="290"/>
        </w:trPr>
        <w:tc>
          <w:tcPr>
            <w:tcW w:w="2160" w:type="dxa"/>
          </w:tcPr>
          <w:p w14:paraId="528B3B73" w14:textId="77777777" w:rsidR="0081013A" w:rsidRDefault="004D3D43">
            <w:pPr>
              <w:pStyle w:val="TableParagraph"/>
              <w:spacing w:before="47" w:line="223" w:lineRule="exact"/>
              <w:ind w:left="107"/>
              <w:rPr>
                <w:sz w:val="20"/>
              </w:rPr>
            </w:pPr>
            <w:r>
              <w:rPr>
                <w:sz w:val="20"/>
              </w:rPr>
              <w:t>SWWH002AD</w:t>
            </w:r>
          </w:p>
        </w:tc>
        <w:tc>
          <w:tcPr>
            <w:tcW w:w="4771" w:type="dxa"/>
          </w:tcPr>
          <w:p w14:paraId="528B3B74" w14:textId="77777777" w:rsidR="0081013A" w:rsidRDefault="004D3D43">
            <w:pPr>
              <w:pStyle w:val="TableParagraph"/>
              <w:spacing w:before="47" w:line="223" w:lineRule="exact"/>
              <w:ind w:left="107"/>
              <w:rPr>
                <w:sz w:val="20"/>
              </w:rPr>
            </w:pPr>
            <w:r>
              <w:rPr>
                <w:sz w:val="20"/>
              </w:rPr>
              <w:t>Efficient Flow Control Valves, Electric, 1.7 gpm</w:t>
            </w:r>
          </w:p>
        </w:tc>
      </w:tr>
    </w:tbl>
    <w:p w14:paraId="528B3B76" w14:textId="77777777" w:rsidR="0081013A" w:rsidRDefault="0081013A">
      <w:pPr>
        <w:pStyle w:val="BodyText"/>
        <w:rPr>
          <w:sz w:val="20"/>
        </w:rPr>
      </w:pPr>
    </w:p>
    <w:p w14:paraId="528B3B77" w14:textId="77777777" w:rsidR="0081013A" w:rsidRDefault="0081013A">
      <w:pPr>
        <w:pStyle w:val="BodyText"/>
        <w:spacing w:before="4"/>
        <w:rPr>
          <w:sz w:val="18"/>
        </w:rPr>
      </w:pPr>
    </w:p>
    <w:p w14:paraId="528B3B78" w14:textId="77777777" w:rsidR="0081013A" w:rsidRDefault="004D3D43">
      <w:pPr>
        <w:pStyle w:val="Heading1"/>
        <w:spacing w:before="52"/>
      </w:pPr>
      <w:bookmarkStart w:id="5" w:name="_TOC_250019"/>
      <w:bookmarkEnd w:id="5"/>
      <w:r>
        <w:rPr>
          <w:color w:val="CFAB79"/>
        </w:rPr>
        <w:t>BASE CASE DESCRIPTION</w:t>
      </w:r>
    </w:p>
    <w:p w14:paraId="528B3B79" w14:textId="77777777" w:rsidR="0081013A" w:rsidRDefault="004D3D43">
      <w:pPr>
        <w:spacing w:before="115"/>
        <w:ind w:left="119" w:right="910"/>
      </w:pPr>
      <w:r>
        <w:t xml:space="preserve">The base case of a </w:t>
      </w:r>
      <w:r>
        <w:rPr>
          <w:i/>
        </w:rPr>
        <w:t xml:space="preserve">normal replacement or new construction installation </w:t>
      </w:r>
      <w:r>
        <w:t>is defined as a low-flow showerhead that meets the maximum flow rate requirements of the California Appliance Efficiency Regulations (Title 20), effective July 1, 2018.</w:t>
      </w:r>
      <w:hyperlink w:anchor="_bookmark0" w:history="1">
        <w:r>
          <w:rPr>
            <w:vertAlign w:val="superscript"/>
          </w:rPr>
          <w:t>1</w:t>
        </w:r>
      </w:hyperlink>
    </w:p>
    <w:p w14:paraId="528B3B7A" w14:textId="77777777" w:rsidR="0081013A" w:rsidRDefault="004D3D43">
      <w:pPr>
        <w:spacing w:before="121"/>
        <w:ind w:left="119" w:right="677"/>
      </w:pPr>
      <w:r>
        <w:t xml:space="preserve">The base case of an </w:t>
      </w:r>
      <w:r>
        <w:rPr>
          <w:i/>
        </w:rPr>
        <w:t xml:space="preserve">accelerated replacement installation </w:t>
      </w:r>
      <w:r>
        <w:t>was derived from a residential field survey in Southern California that measured existing showerhead flow rates.</w:t>
      </w:r>
    </w:p>
    <w:p w14:paraId="528B3B7B" w14:textId="77777777" w:rsidR="0081013A" w:rsidRDefault="0081013A">
      <w:pPr>
        <w:pStyle w:val="BodyText"/>
        <w:spacing w:before="2"/>
        <w:rPr>
          <w:sz w:val="23"/>
        </w:rPr>
      </w:pPr>
    </w:p>
    <w:p w14:paraId="528B3B7C" w14:textId="77777777" w:rsidR="0081013A" w:rsidRPr="00952BD8" w:rsidRDefault="004D3D43">
      <w:pPr>
        <w:ind w:left="120"/>
        <w:rPr>
          <w:b/>
          <w:bCs/>
          <w:sz w:val="20"/>
        </w:rPr>
      </w:pPr>
      <w:r w:rsidRPr="00952BD8">
        <w:rPr>
          <w:b/>
          <w:bCs/>
          <w:sz w:val="20"/>
        </w:rPr>
        <w:t>Base Case Specification</w:t>
      </w:r>
    </w:p>
    <w:p w14:paraId="528B3B7D" w14:textId="77777777" w:rsidR="0081013A" w:rsidRDefault="0081013A">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46"/>
        <w:gridCol w:w="1317"/>
        <w:gridCol w:w="4463"/>
      </w:tblGrid>
      <w:tr w:rsidR="0081013A" w14:paraId="528B3B83" w14:textId="77777777">
        <w:trPr>
          <w:trHeight w:val="489"/>
        </w:trPr>
        <w:tc>
          <w:tcPr>
            <w:tcW w:w="3146" w:type="dxa"/>
            <w:shd w:val="clear" w:color="auto" w:fill="F1F1F1"/>
          </w:tcPr>
          <w:p w14:paraId="528B3B7E" w14:textId="77777777" w:rsidR="0081013A" w:rsidRPr="00535222" w:rsidRDefault="0081013A">
            <w:pPr>
              <w:pStyle w:val="TableParagraph"/>
              <w:spacing w:before="2"/>
              <w:rPr>
                <w:b/>
                <w:bCs/>
                <w:sz w:val="20"/>
              </w:rPr>
            </w:pPr>
          </w:p>
          <w:p w14:paraId="528B3B7F" w14:textId="77777777" w:rsidR="0081013A" w:rsidRPr="00535222" w:rsidRDefault="004D3D43">
            <w:pPr>
              <w:pStyle w:val="TableParagraph"/>
              <w:spacing w:line="223" w:lineRule="exact"/>
              <w:ind w:left="115"/>
              <w:rPr>
                <w:b/>
                <w:bCs/>
                <w:sz w:val="20"/>
              </w:rPr>
            </w:pPr>
            <w:r w:rsidRPr="00535222">
              <w:rPr>
                <w:b/>
                <w:bCs/>
                <w:sz w:val="20"/>
              </w:rPr>
              <w:t>Installation Type</w:t>
            </w:r>
          </w:p>
        </w:tc>
        <w:tc>
          <w:tcPr>
            <w:tcW w:w="1317" w:type="dxa"/>
            <w:shd w:val="clear" w:color="auto" w:fill="F1F1F1"/>
          </w:tcPr>
          <w:p w14:paraId="528B3B80" w14:textId="77777777" w:rsidR="0081013A" w:rsidRPr="00535222" w:rsidRDefault="004D3D43">
            <w:pPr>
              <w:pStyle w:val="TableParagraph"/>
              <w:spacing w:before="1" w:line="240" w:lineRule="atLeast"/>
              <w:ind w:left="223" w:firstLine="31"/>
              <w:rPr>
                <w:b/>
                <w:bCs/>
                <w:sz w:val="20"/>
              </w:rPr>
            </w:pPr>
            <w:r w:rsidRPr="00535222">
              <w:rPr>
                <w:b/>
                <w:bCs/>
                <w:sz w:val="20"/>
              </w:rPr>
              <w:t>Max. Flow Rate (gpm)</w:t>
            </w:r>
          </w:p>
        </w:tc>
        <w:tc>
          <w:tcPr>
            <w:tcW w:w="4463" w:type="dxa"/>
            <w:shd w:val="clear" w:color="auto" w:fill="F1F1F1"/>
          </w:tcPr>
          <w:p w14:paraId="528B3B81" w14:textId="77777777" w:rsidR="0081013A" w:rsidRPr="00535222" w:rsidRDefault="0081013A">
            <w:pPr>
              <w:pStyle w:val="TableParagraph"/>
              <w:spacing w:before="2"/>
              <w:rPr>
                <w:b/>
                <w:bCs/>
                <w:sz w:val="20"/>
              </w:rPr>
            </w:pPr>
          </w:p>
          <w:p w14:paraId="528B3B82" w14:textId="77777777" w:rsidR="0081013A" w:rsidRPr="00535222" w:rsidRDefault="004D3D43">
            <w:pPr>
              <w:pStyle w:val="TableParagraph"/>
              <w:spacing w:line="223" w:lineRule="exact"/>
              <w:ind w:left="1938" w:right="1923"/>
              <w:jc w:val="center"/>
              <w:rPr>
                <w:b/>
                <w:bCs/>
                <w:sz w:val="20"/>
              </w:rPr>
            </w:pPr>
            <w:r w:rsidRPr="00535222">
              <w:rPr>
                <w:b/>
                <w:bCs/>
                <w:sz w:val="20"/>
              </w:rPr>
              <w:t>Source</w:t>
            </w:r>
          </w:p>
        </w:tc>
      </w:tr>
      <w:tr w:rsidR="0081013A" w14:paraId="528B3B88" w14:textId="77777777">
        <w:trPr>
          <w:trHeight w:val="438"/>
        </w:trPr>
        <w:tc>
          <w:tcPr>
            <w:tcW w:w="3146" w:type="dxa"/>
          </w:tcPr>
          <w:p w14:paraId="528B3B84" w14:textId="77777777" w:rsidR="0081013A" w:rsidRDefault="004D3D43">
            <w:pPr>
              <w:pStyle w:val="TableParagraph"/>
              <w:spacing w:before="97"/>
              <w:ind w:left="115"/>
              <w:rPr>
                <w:sz w:val="20"/>
              </w:rPr>
            </w:pPr>
            <w:r>
              <w:rPr>
                <w:sz w:val="20"/>
              </w:rPr>
              <w:t>Normal replacement (code)</w:t>
            </w:r>
          </w:p>
        </w:tc>
        <w:tc>
          <w:tcPr>
            <w:tcW w:w="1317" w:type="dxa"/>
          </w:tcPr>
          <w:p w14:paraId="528B3B85" w14:textId="77777777" w:rsidR="0081013A" w:rsidRDefault="004D3D43">
            <w:pPr>
              <w:pStyle w:val="TableParagraph"/>
              <w:spacing w:before="97"/>
              <w:ind w:left="458" w:right="455"/>
              <w:jc w:val="center"/>
              <w:rPr>
                <w:sz w:val="20"/>
              </w:rPr>
            </w:pPr>
            <w:r>
              <w:rPr>
                <w:sz w:val="20"/>
              </w:rPr>
              <w:t>1.80</w:t>
            </w:r>
          </w:p>
        </w:tc>
        <w:tc>
          <w:tcPr>
            <w:tcW w:w="4463" w:type="dxa"/>
          </w:tcPr>
          <w:p w14:paraId="528B3B86" w14:textId="77777777" w:rsidR="0081013A" w:rsidRDefault="004D3D43">
            <w:pPr>
              <w:pStyle w:val="TableParagraph"/>
              <w:spacing w:before="1" w:line="219" w:lineRule="exact"/>
              <w:ind w:left="116"/>
              <w:rPr>
                <w:i/>
                <w:sz w:val="18"/>
              </w:rPr>
            </w:pPr>
            <w:r>
              <w:rPr>
                <w:sz w:val="18"/>
              </w:rPr>
              <w:t xml:space="preserve">California Energy Commission (CEC). 2014. </w:t>
            </w:r>
            <w:r>
              <w:rPr>
                <w:i/>
                <w:sz w:val="18"/>
              </w:rPr>
              <w:t xml:space="preserve">2014 Appliance </w:t>
            </w:r>
          </w:p>
          <w:p w14:paraId="528B3B87" w14:textId="77777777" w:rsidR="0081013A" w:rsidRDefault="004D3D43">
            <w:pPr>
              <w:pStyle w:val="TableParagraph"/>
              <w:spacing w:line="199" w:lineRule="exact"/>
              <w:ind w:left="116"/>
              <w:rPr>
                <w:sz w:val="18"/>
              </w:rPr>
            </w:pPr>
            <w:r>
              <w:rPr>
                <w:i/>
                <w:sz w:val="18"/>
              </w:rPr>
              <w:t xml:space="preserve">Efficiency Regulations. </w:t>
            </w:r>
            <w:r>
              <w:rPr>
                <w:sz w:val="18"/>
              </w:rPr>
              <w:t>CEC-400-2014-009-CMF.</w:t>
            </w:r>
          </w:p>
        </w:tc>
      </w:tr>
    </w:tbl>
    <w:p w14:paraId="528B3B89" w14:textId="77777777" w:rsidR="0081013A" w:rsidRDefault="0081013A">
      <w:pPr>
        <w:pStyle w:val="BodyText"/>
        <w:rPr>
          <w:sz w:val="20"/>
        </w:rPr>
      </w:pPr>
    </w:p>
    <w:p w14:paraId="528B3B8A" w14:textId="77777777" w:rsidR="0081013A" w:rsidRDefault="0081013A">
      <w:pPr>
        <w:pStyle w:val="BodyText"/>
        <w:rPr>
          <w:sz w:val="20"/>
        </w:rPr>
      </w:pPr>
    </w:p>
    <w:p w14:paraId="528B3B8B" w14:textId="77777777" w:rsidR="0081013A" w:rsidRDefault="004A0AE2">
      <w:pPr>
        <w:pStyle w:val="BodyText"/>
        <w:spacing w:before="1"/>
        <w:rPr>
          <w:sz w:val="17"/>
        </w:rPr>
      </w:pPr>
      <w:r>
        <w:pict w14:anchorId="528B3FBB">
          <v:shape id="_x0000_s1042" style="position:absolute;margin-left:1in;margin-top:12.8pt;width:2in;height:.1pt;z-index:-251657216;mso-wrap-distance-left:0;mso-wrap-distance-right:0;mso-position-horizontal-relative:page" coordorigin="1440,256" coordsize="2880,0" path="m1440,256r2880,e" filled="f" strokeweight=".72pt">
            <v:path arrowok="t"/>
            <w10:wrap type="topAndBottom" anchorx="page"/>
          </v:shape>
        </w:pict>
      </w:r>
    </w:p>
    <w:p w14:paraId="528B3B8C" w14:textId="77777777" w:rsidR="0081013A" w:rsidRDefault="0081013A">
      <w:pPr>
        <w:pStyle w:val="BodyText"/>
        <w:rPr>
          <w:sz w:val="20"/>
        </w:rPr>
      </w:pPr>
    </w:p>
    <w:p w14:paraId="528B3B8D" w14:textId="77777777" w:rsidR="0081013A" w:rsidRDefault="0081013A">
      <w:pPr>
        <w:pStyle w:val="BodyText"/>
        <w:rPr>
          <w:sz w:val="20"/>
        </w:rPr>
      </w:pPr>
    </w:p>
    <w:p w14:paraId="528B3B8E" w14:textId="77777777" w:rsidR="0081013A" w:rsidRDefault="0081013A">
      <w:pPr>
        <w:pStyle w:val="BodyText"/>
        <w:spacing w:before="3"/>
        <w:rPr>
          <w:sz w:val="17"/>
        </w:rPr>
      </w:pPr>
    </w:p>
    <w:p w14:paraId="528B3B8F" w14:textId="77777777" w:rsidR="0081013A" w:rsidRDefault="004D3D43">
      <w:pPr>
        <w:ind w:left="120"/>
        <w:rPr>
          <w:sz w:val="18"/>
        </w:rPr>
      </w:pPr>
      <w:bookmarkStart w:id="6" w:name="_bookmark0"/>
      <w:bookmarkEnd w:id="6"/>
      <w:r>
        <w:rPr>
          <w:position w:val="5"/>
          <w:sz w:val="12"/>
        </w:rPr>
        <w:t xml:space="preserve">1 </w:t>
      </w:r>
      <w:r>
        <w:rPr>
          <w:sz w:val="18"/>
        </w:rPr>
        <w:t xml:space="preserve">California Energy Commission (CEC). 2017. </w:t>
      </w:r>
      <w:r>
        <w:rPr>
          <w:i/>
          <w:sz w:val="18"/>
        </w:rPr>
        <w:t xml:space="preserve">2016 Appliance Efficiency Regulations. </w:t>
      </w:r>
      <w:r>
        <w:rPr>
          <w:sz w:val="18"/>
        </w:rPr>
        <w:t>CEC-400-2017-002. Section 1605.3, Table H-5.</w:t>
      </w:r>
    </w:p>
    <w:p w14:paraId="528B3B90" w14:textId="77777777" w:rsidR="0081013A" w:rsidRDefault="0081013A">
      <w:pPr>
        <w:rPr>
          <w:sz w:val="18"/>
        </w:rPr>
        <w:sectPr w:rsidR="0081013A">
          <w:pgSz w:w="12240" w:h="15840"/>
          <w:pgMar w:top="1220" w:right="1120" w:bottom="1320" w:left="1320" w:header="858" w:footer="1129" w:gutter="0"/>
          <w:cols w:space="720"/>
        </w:sectPr>
      </w:pPr>
    </w:p>
    <w:p w14:paraId="528B3B91" w14:textId="77777777" w:rsidR="0081013A" w:rsidRDefault="0081013A">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46"/>
        <w:gridCol w:w="1317"/>
        <w:gridCol w:w="4463"/>
      </w:tblGrid>
      <w:tr w:rsidR="0081013A" w14:paraId="528B3B97" w14:textId="77777777">
        <w:trPr>
          <w:trHeight w:val="489"/>
        </w:trPr>
        <w:tc>
          <w:tcPr>
            <w:tcW w:w="3146" w:type="dxa"/>
            <w:shd w:val="clear" w:color="auto" w:fill="F1F1F1"/>
          </w:tcPr>
          <w:p w14:paraId="528B3B92" w14:textId="77777777" w:rsidR="0081013A" w:rsidRPr="00535222" w:rsidRDefault="0081013A">
            <w:pPr>
              <w:pStyle w:val="TableParagraph"/>
              <w:spacing w:before="2"/>
              <w:rPr>
                <w:b/>
                <w:bCs/>
                <w:sz w:val="20"/>
              </w:rPr>
            </w:pPr>
          </w:p>
          <w:p w14:paraId="528B3B93" w14:textId="77777777" w:rsidR="0081013A" w:rsidRPr="00535222" w:rsidRDefault="004D3D43">
            <w:pPr>
              <w:pStyle w:val="TableParagraph"/>
              <w:spacing w:line="223" w:lineRule="exact"/>
              <w:ind w:left="115"/>
              <w:rPr>
                <w:b/>
                <w:bCs/>
                <w:sz w:val="20"/>
              </w:rPr>
            </w:pPr>
            <w:r w:rsidRPr="00535222">
              <w:rPr>
                <w:b/>
                <w:bCs/>
                <w:sz w:val="20"/>
              </w:rPr>
              <w:t>Installation Type</w:t>
            </w:r>
          </w:p>
        </w:tc>
        <w:tc>
          <w:tcPr>
            <w:tcW w:w="1317" w:type="dxa"/>
            <w:shd w:val="clear" w:color="auto" w:fill="F1F1F1"/>
          </w:tcPr>
          <w:p w14:paraId="528B3B94" w14:textId="77777777" w:rsidR="0081013A" w:rsidRPr="00535222" w:rsidRDefault="004D3D43">
            <w:pPr>
              <w:pStyle w:val="TableParagraph"/>
              <w:spacing w:before="1" w:line="240" w:lineRule="atLeast"/>
              <w:ind w:left="223" w:firstLine="31"/>
              <w:rPr>
                <w:b/>
                <w:bCs/>
                <w:sz w:val="20"/>
              </w:rPr>
            </w:pPr>
            <w:r w:rsidRPr="00535222">
              <w:rPr>
                <w:b/>
                <w:bCs/>
                <w:sz w:val="20"/>
              </w:rPr>
              <w:t>Max. Flow Rate (gpm)</w:t>
            </w:r>
          </w:p>
        </w:tc>
        <w:tc>
          <w:tcPr>
            <w:tcW w:w="4463" w:type="dxa"/>
            <w:shd w:val="clear" w:color="auto" w:fill="F1F1F1"/>
          </w:tcPr>
          <w:p w14:paraId="528B3B95" w14:textId="77777777" w:rsidR="0081013A" w:rsidRPr="00535222" w:rsidRDefault="0081013A">
            <w:pPr>
              <w:pStyle w:val="TableParagraph"/>
              <w:spacing w:before="2"/>
              <w:rPr>
                <w:b/>
                <w:bCs/>
                <w:sz w:val="20"/>
              </w:rPr>
            </w:pPr>
          </w:p>
          <w:p w14:paraId="528B3B96" w14:textId="77777777" w:rsidR="0081013A" w:rsidRPr="00535222" w:rsidRDefault="004D3D43">
            <w:pPr>
              <w:pStyle w:val="TableParagraph"/>
              <w:spacing w:line="223" w:lineRule="exact"/>
              <w:ind w:left="1938" w:right="1923"/>
              <w:jc w:val="center"/>
              <w:rPr>
                <w:b/>
                <w:bCs/>
                <w:sz w:val="20"/>
              </w:rPr>
            </w:pPr>
            <w:r w:rsidRPr="00535222">
              <w:rPr>
                <w:b/>
                <w:bCs/>
                <w:sz w:val="20"/>
              </w:rPr>
              <w:t>Source</w:t>
            </w:r>
          </w:p>
        </w:tc>
      </w:tr>
      <w:tr w:rsidR="0081013A" w14:paraId="528B3B9B" w14:textId="77777777">
        <w:trPr>
          <w:trHeight w:val="489"/>
        </w:trPr>
        <w:tc>
          <w:tcPr>
            <w:tcW w:w="3146" w:type="dxa"/>
          </w:tcPr>
          <w:p w14:paraId="528B3B98" w14:textId="77777777" w:rsidR="0081013A" w:rsidRDefault="004D3D43">
            <w:pPr>
              <w:pStyle w:val="TableParagraph"/>
              <w:spacing w:before="1" w:line="240" w:lineRule="atLeast"/>
              <w:ind w:left="115" w:right="594"/>
              <w:rPr>
                <w:sz w:val="20"/>
              </w:rPr>
            </w:pPr>
            <w:r>
              <w:rPr>
                <w:sz w:val="20"/>
              </w:rPr>
              <w:t>Accelerated replacement – 1</w:t>
            </w:r>
            <w:r>
              <w:rPr>
                <w:sz w:val="20"/>
                <w:vertAlign w:val="superscript"/>
              </w:rPr>
              <w:t>st</w:t>
            </w:r>
            <w:r>
              <w:rPr>
                <w:sz w:val="20"/>
              </w:rPr>
              <w:t xml:space="preserve"> baseline (existing condition)</w:t>
            </w:r>
          </w:p>
        </w:tc>
        <w:tc>
          <w:tcPr>
            <w:tcW w:w="1317" w:type="dxa"/>
          </w:tcPr>
          <w:p w14:paraId="528B3B99" w14:textId="77777777" w:rsidR="0081013A" w:rsidRDefault="004D3D43">
            <w:pPr>
              <w:pStyle w:val="TableParagraph"/>
              <w:spacing w:before="123"/>
              <w:ind w:left="458" w:right="455"/>
              <w:jc w:val="center"/>
              <w:rPr>
                <w:sz w:val="20"/>
              </w:rPr>
            </w:pPr>
            <w:r>
              <w:rPr>
                <w:sz w:val="20"/>
              </w:rPr>
              <w:t>2.25</w:t>
            </w:r>
          </w:p>
        </w:tc>
        <w:tc>
          <w:tcPr>
            <w:tcW w:w="4463" w:type="dxa"/>
          </w:tcPr>
          <w:p w14:paraId="528B3B9A" w14:textId="77777777" w:rsidR="0081013A" w:rsidRDefault="004D3D43">
            <w:pPr>
              <w:pStyle w:val="TableParagraph"/>
              <w:spacing w:before="25"/>
              <w:ind w:left="116" w:right="146" w:hanging="1"/>
              <w:rPr>
                <w:sz w:val="18"/>
              </w:rPr>
            </w:pPr>
            <w:r>
              <w:rPr>
                <w:sz w:val="18"/>
              </w:rPr>
              <w:t>Sempra Energy Utilities (SEU). 2012. “SEU 2009 ASW Data REDACTED.xlsx”.</w:t>
            </w:r>
          </w:p>
        </w:tc>
      </w:tr>
      <w:tr w:rsidR="0081013A" w14:paraId="528B3BA0" w14:textId="77777777">
        <w:trPr>
          <w:trHeight w:val="486"/>
        </w:trPr>
        <w:tc>
          <w:tcPr>
            <w:tcW w:w="3146" w:type="dxa"/>
          </w:tcPr>
          <w:p w14:paraId="528B3B9C" w14:textId="77777777" w:rsidR="0081013A" w:rsidRDefault="004D3D43">
            <w:pPr>
              <w:pStyle w:val="TableParagraph"/>
              <w:spacing w:line="243" w:lineRule="exact"/>
              <w:ind w:left="115"/>
              <w:rPr>
                <w:sz w:val="20"/>
              </w:rPr>
            </w:pPr>
            <w:r>
              <w:rPr>
                <w:sz w:val="20"/>
              </w:rPr>
              <w:t>Accelerated replacement – 2</w:t>
            </w:r>
            <w:r>
              <w:rPr>
                <w:sz w:val="20"/>
                <w:vertAlign w:val="superscript"/>
              </w:rPr>
              <w:t>nd</w:t>
            </w:r>
          </w:p>
          <w:p w14:paraId="528B3B9D" w14:textId="77777777" w:rsidR="0081013A" w:rsidRDefault="004D3D43">
            <w:pPr>
              <w:pStyle w:val="TableParagraph"/>
              <w:spacing w:line="223" w:lineRule="exact"/>
              <w:ind w:left="115"/>
              <w:rPr>
                <w:sz w:val="20"/>
              </w:rPr>
            </w:pPr>
            <w:r>
              <w:rPr>
                <w:sz w:val="20"/>
              </w:rPr>
              <w:t>baseline (code)</w:t>
            </w:r>
          </w:p>
        </w:tc>
        <w:tc>
          <w:tcPr>
            <w:tcW w:w="1317" w:type="dxa"/>
          </w:tcPr>
          <w:p w14:paraId="528B3B9E" w14:textId="77777777" w:rsidR="0081013A" w:rsidRDefault="004D3D43">
            <w:pPr>
              <w:pStyle w:val="TableParagraph"/>
              <w:spacing w:before="121"/>
              <w:ind w:left="458" w:right="455"/>
              <w:jc w:val="center"/>
              <w:rPr>
                <w:sz w:val="20"/>
              </w:rPr>
            </w:pPr>
            <w:r>
              <w:rPr>
                <w:sz w:val="20"/>
              </w:rPr>
              <w:t>1.80</w:t>
            </w:r>
          </w:p>
        </w:tc>
        <w:tc>
          <w:tcPr>
            <w:tcW w:w="4463" w:type="dxa"/>
          </w:tcPr>
          <w:p w14:paraId="528B3B9F" w14:textId="77777777" w:rsidR="0081013A" w:rsidRDefault="004D3D43">
            <w:pPr>
              <w:pStyle w:val="TableParagraph"/>
              <w:spacing w:before="22"/>
              <w:ind w:left="116"/>
              <w:rPr>
                <w:sz w:val="18"/>
              </w:rPr>
            </w:pPr>
            <w:r>
              <w:rPr>
                <w:sz w:val="18"/>
              </w:rPr>
              <w:t xml:space="preserve">California Energy Commission (CEC). 2014. </w:t>
            </w:r>
            <w:r>
              <w:rPr>
                <w:i/>
                <w:sz w:val="18"/>
              </w:rPr>
              <w:t xml:space="preserve">2014 Appliance Efficiency Regulations. </w:t>
            </w:r>
            <w:r>
              <w:rPr>
                <w:sz w:val="18"/>
              </w:rPr>
              <w:t>CEC-400-2014-009-CMF.</w:t>
            </w:r>
          </w:p>
        </w:tc>
      </w:tr>
      <w:tr w:rsidR="0081013A" w14:paraId="528B3BA4" w14:textId="77777777">
        <w:trPr>
          <w:trHeight w:val="489"/>
        </w:trPr>
        <w:tc>
          <w:tcPr>
            <w:tcW w:w="3146" w:type="dxa"/>
          </w:tcPr>
          <w:p w14:paraId="528B3BA1" w14:textId="77777777" w:rsidR="0081013A" w:rsidRDefault="004D3D43">
            <w:pPr>
              <w:pStyle w:val="TableParagraph"/>
              <w:spacing w:before="1" w:line="240" w:lineRule="atLeast"/>
              <w:ind w:left="115" w:right="743"/>
              <w:rPr>
                <w:sz w:val="20"/>
              </w:rPr>
            </w:pPr>
            <w:r>
              <w:rPr>
                <w:sz w:val="20"/>
              </w:rPr>
              <w:t>Add-On Equipment (Existing Condition)</w:t>
            </w:r>
          </w:p>
        </w:tc>
        <w:tc>
          <w:tcPr>
            <w:tcW w:w="1317" w:type="dxa"/>
          </w:tcPr>
          <w:p w14:paraId="528B3BA2" w14:textId="77777777" w:rsidR="0081013A" w:rsidRDefault="004D3D43">
            <w:pPr>
              <w:pStyle w:val="TableParagraph"/>
              <w:spacing w:before="123"/>
              <w:ind w:left="458" w:right="455"/>
              <w:jc w:val="center"/>
              <w:rPr>
                <w:sz w:val="20"/>
              </w:rPr>
            </w:pPr>
            <w:r>
              <w:rPr>
                <w:sz w:val="20"/>
              </w:rPr>
              <w:t>2.25</w:t>
            </w:r>
          </w:p>
        </w:tc>
        <w:tc>
          <w:tcPr>
            <w:tcW w:w="4463" w:type="dxa"/>
          </w:tcPr>
          <w:p w14:paraId="528B3BA3" w14:textId="77777777" w:rsidR="0081013A" w:rsidRDefault="004D3D43">
            <w:pPr>
              <w:pStyle w:val="TableParagraph"/>
              <w:spacing w:before="25"/>
              <w:ind w:left="116" w:right="146" w:hanging="1"/>
              <w:rPr>
                <w:sz w:val="18"/>
              </w:rPr>
            </w:pPr>
            <w:r>
              <w:rPr>
                <w:sz w:val="18"/>
              </w:rPr>
              <w:t>Sempra Energy Utilities (SEU). 2012. “SEU 2009 ASW Data REDACTED.xlsx”.</w:t>
            </w:r>
          </w:p>
        </w:tc>
      </w:tr>
    </w:tbl>
    <w:p w14:paraId="528B3BA5" w14:textId="77777777" w:rsidR="0081013A" w:rsidRDefault="0081013A">
      <w:pPr>
        <w:pStyle w:val="BodyText"/>
        <w:rPr>
          <w:sz w:val="20"/>
        </w:rPr>
      </w:pPr>
    </w:p>
    <w:p w14:paraId="528B3BA6" w14:textId="77777777" w:rsidR="0081013A" w:rsidRDefault="0081013A">
      <w:pPr>
        <w:pStyle w:val="BodyText"/>
        <w:spacing w:before="4"/>
        <w:rPr>
          <w:sz w:val="18"/>
        </w:rPr>
      </w:pPr>
    </w:p>
    <w:p w14:paraId="528B3BA7" w14:textId="77777777" w:rsidR="0081013A" w:rsidRDefault="004D3D43">
      <w:pPr>
        <w:pStyle w:val="Heading1"/>
        <w:spacing w:before="52"/>
      </w:pPr>
      <w:bookmarkStart w:id="7" w:name="_TOC_250018"/>
      <w:bookmarkEnd w:id="7"/>
      <w:r>
        <w:rPr>
          <w:color w:val="CFAB79"/>
        </w:rPr>
        <w:t>CODE REQUIREMENTS</w:t>
      </w:r>
    </w:p>
    <w:p w14:paraId="528B3BA8" w14:textId="77777777" w:rsidR="0081013A" w:rsidRDefault="004D3D43">
      <w:pPr>
        <w:pStyle w:val="BodyText"/>
        <w:spacing w:before="115"/>
        <w:ind w:left="119" w:right="728"/>
      </w:pPr>
      <w:r>
        <w:t>Applicable state and federal codes and standards for showerheads are specified below. The low-flow showerhead maximum flow rate was originally mandated by the Energy Policy Act of 1992.</w:t>
      </w:r>
      <w:hyperlink w:anchor="_bookmark1" w:history="1">
        <w:r>
          <w:rPr>
            <w:vertAlign w:val="superscript"/>
          </w:rPr>
          <w:t>2</w:t>
        </w:r>
        <w:r>
          <w:t xml:space="preserve"> </w:t>
        </w:r>
      </w:hyperlink>
      <w:r>
        <w:t>The California Appliance Efficiency Regulations (Title 20)</w:t>
      </w:r>
      <w:hyperlink w:anchor="_bookmark2" w:history="1">
        <w:r>
          <w:rPr>
            <w:vertAlign w:val="superscript"/>
          </w:rPr>
          <w:t>3</w:t>
        </w:r>
        <w:r>
          <w:t xml:space="preserve"> </w:t>
        </w:r>
      </w:hyperlink>
      <w:r>
        <w:t>effective in 1994 met the federal code and have exceeded it in subsequent updates.</w:t>
      </w:r>
    </w:p>
    <w:p w14:paraId="528B3BA9" w14:textId="77777777" w:rsidR="0081013A" w:rsidRDefault="0081013A">
      <w:pPr>
        <w:pStyle w:val="BodyText"/>
        <w:spacing w:before="1"/>
        <w:rPr>
          <w:sz w:val="23"/>
        </w:rPr>
      </w:pPr>
    </w:p>
    <w:p w14:paraId="528B3BAA" w14:textId="77777777" w:rsidR="0081013A" w:rsidRPr="00E5210F" w:rsidRDefault="004D3D43">
      <w:pPr>
        <w:ind w:left="120"/>
        <w:rPr>
          <w:b/>
          <w:bCs/>
          <w:sz w:val="20"/>
        </w:rPr>
      </w:pPr>
      <w:r w:rsidRPr="00E5210F">
        <w:rPr>
          <w:b/>
          <w:bCs/>
          <w:sz w:val="20"/>
        </w:rPr>
        <w:t>Applicable State and Federal Codes and Standards</w:t>
      </w:r>
    </w:p>
    <w:p w14:paraId="528B3BAB" w14:textId="77777777" w:rsidR="0081013A" w:rsidRDefault="0081013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606"/>
        <w:gridCol w:w="4140"/>
        <w:gridCol w:w="2789"/>
      </w:tblGrid>
      <w:tr w:rsidR="0081013A" w14:paraId="528B3BAF" w14:textId="77777777">
        <w:trPr>
          <w:trHeight w:val="285"/>
        </w:trPr>
        <w:tc>
          <w:tcPr>
            <w:tcW w:w="2606" w:type="dxa"/>
            <w:shd w:val="clear" w:color="auto" w:fill="F1F1F1"/>
          </w:tcPr>
          <w:p w14:paraId="528B3BAC" w14:textId="77777777" w:rsidR="0081013A" w:rsidRPr="00535222" w:rsidRDefault="004D3D43">
            <w:pPr>
              <w:pStyle w:val="TableParagraph"/>
              <w:spacing w:before="20"/>
              <w:ind w:left="107"/>
              <w:rPr>
                <w:b/>
                <w:bCs/>
                <w:sz w:val="20"/>
              </w:rPr>
            </w:pPr>
            <w:r w:rsidRPr="00535222">
              <w:rPr>
                <w:b/>
                <w:bCs/>
                <w:sz w:val="20"/>
              </w:rPr>
              <w:t>Code</w:t>
            </w:r>
          </w:p>
        </w:tc>
        <w:tc>
          <w:tcPr>
            <w:tcW w:w="4140" w:type="dxa"/>
            <w:shd w:val="clear" w:color="auto" w:fill="F1F1F1"/>
          </w:tcPr>
          <w:p w14:paraId="528B3BAD" w14:textId="77777777" w:rsidR="0081013A" w:rsidRPr="00535222" w:rsidRDefault="004D3D43">
            <w:pPr>
              <w:pStyle w:val="TableParagraph"/>
              <w:spacing w:before="20"/>
              <w:ind w:left="1008"/>
              <w:rPr>
                <w:b/>
                <w:bCs/>
                <w:sz w:val="20"/>
              </w:rPr>
            </w:pPr>
            <w:r w:rsidRPr="00535222">
              <w:rPr>
                <w:b/>
                <w:bCs/>
                <w:sz w:val="20"/>
              </w:rPr>
              <w:t>Applicable Code Reference</w:t>
            </w:r>
          </w:p>
        </w:tc>
        <w:tc>
          <w:tcPr>
            <w:tcW w:w="2789" w:type="dxa"/>
            <w:shd w:val="clear" w:color="auto" w:fill="F1F1F1"/>
          </w:tcPr>
          <w:p w14:paraId="528B3BAE" w14:textId="77777777" w:rsidR="0081013A" w:rsidRPr="00535222" w:rsidRDefault="004D3D43">
            <w:pPr>
              <w:pStyle w:val="TableParagraph"/>
              <w:spacing w:before="20"/>
              <w:ind w:left="840"/>
              <w:rPr>
                <w:b/>
                <w:bCs/>
                <w:sz w:val="20"/>
              </w:rPr>
            </w:pPr>
            <w:r w:rsidRPr="00535222">
              <w:rPr>
                <w:b/>
                <w:bCs/>
                <w:sz w:val="20"/>
              </w:rPr>
              <w:t>Effective Date</w:t>
            </w:r>
          </w:p>
        </w:tc>
      </w:tr>
      <w:tr w:rsidR="0081013A" w14:paraId="528B3BB8" w14:textId="77777777">
        <w:trPr>
          <w:trHeight w:val="772"/>
        </w:trPr>
        <w:tc>
          <w:tcPr>
            <w:tcW w:w="2606" w:type="dxa"/>
            <w:vMerge w:val="restart"/>
          </w:tcPr>
          <w:p w14:paraId="528B3BB0" w14:textId="77777777" w:rsidR="0081013A" w:rsidRDefault="0081013A">
            <w:pPr>
              <w:pStyle w:val="TableParagraph"/>
              <w:rPr>
                <w:sz w:val="20"/>
              </w:rPr>
            </w:pPr>
          </w:p>
          <w:p w14:paraId="528B3BB1" w14:textId="77777777" w:rsidR="0081013A" w:rsidRDefault="0081013A">
            <w:pPr>
              <w:pStyle w:val="TableParagraph"/>
              <w:rPr>
                <w:sz w:val="20"/>
              </w:rPr>
            </w:pPr>
          </w:p>
          <w:p w14:paraId="528B3BB2" w14:textId="77777777" w:rsidR="0081013A" w:rsidRDefault="0081013A">
            <w:pPr>
              <w:pStyle w:val="TableParagraph"/>
              <w:rPr>
                <w:sz w:val="20"/>
              </w:rPr>
            </w:pPr>
          </w:p>
          <w:p w14:paraId="528B3BB3" w14:textId="77777777" w:rsidR="0081013A" w:rsidRDefault="0081013A">
            <w:pPr>
              <w:pStyle w:val="TableParagraph"/>
              <w:spacing w:before="7"/>
              <w:rPr>
                <w:sz w:val="16"/>
              </w:rPr>
            </w:pPr>
          </w:p>
          <w:p w14:paraId="528B3BB4" w14:textId="77777777" w:rsidR="0081013A" w:rsidRDefault="004D3D43">
            <w:pPr>
              <w:pStyle w:val="TableParagraph"/>
              <w:ind w:left="107" w:right="174"/>
              <w:rPr>
                <w:sz w:val="20"/>
              </w:rPr>
            </w:pPr>
            <w:r>
              <w:rPr>
                <w:sz w:val="20"/>
              </w:rPr>
              <w:t>CA Appliance Efficiency Regulations – Title 20 (2016)</w:t>
            </w:r>
          </w:p>
        </w:tc>
        <w:tc>
          <w:tcPr>
            <w:tcW w:w="4140" w:type="dxa"/>
          </w:tcPr>
          <w:p w14:paraId="528B3BB5" w14:textId="77777777" w:rsidR="0081013A" w:rsidRDefault="004D3D43">
            <w:pPr>
              <w:pStyle w:val="TableParagraph"/>
              <w:spacing w:before="20" w:line="240" w:lineRule="atLeast"/>
              <w:ind w:left="93" w:right="261"/>
              <w:rPr>
                <w:sz w:val="20"/>
              </w:rPr>
            </w:pPr>
            <w:r>
              <w:rPr>
                <w:sz w:val="20"/>
              </w:rPr>
              <w:t>Section 1605.3, Table H-5: The maximum flow rate of a showerhead shall not exceed 2.5 gpm at 80 psi.</w:t>
            </w:r>
          </w:p>
        </w:tc>
        <w:tc>
          <w:tcPr>
            <w:tcW w:w="2789" w:type="dxa"/>
          </w:tcPr>
          <w:p w14:paraId="528B3BB6" w14:textId="77777777" w:rsidR="0081013A" w:rsidRDefault="004D3D43">
            <w:pPr>
              <w:pStyle w:val="TableParagraph"/>
              <w:spacing w:before="20"/>
              <w:ind w:left="93" w:right="157"/>
              <w:rPr>
                <w:sz w:val="20"/>
              </w:rPr>
            </w:pPr>
            <w:r>
              <w:rPr>
                <w:sz w:val="20"/>
              </w:rPr>
              <w:t>Units manufactured on or after January 1, 1994 and prior to</w:t>
            </w:r>
          </w:p>
          <w:p w14:paraId="528B3BB7" w14:textId="77777777" w:rsidR="0081013A" w:rsidRDefault="004D3D43">
            <w:pPr>
              <w:pStyle w:val="TableParagraph"/>
              <w:spacing w:before="2" w:line="242" w:lineRule="exact"/>
              <w:ind w:left="93"/>
              <w:rPr>
                <w:sz w:val="20"/>
              </w:rPr>
            </w:pPr>
            <w:r>
              <w:rPr>
                <w:sz w:val="20"/>
              </w:rPr>
              <w:t>July 1, 2016.</w:t>
            </w:r>
          </w:p>
        </w:tc>
      </w:tr>
      <w:tr w:rsidR="0081013A" w14:paraId="528B3BBD" w14:textId="77777777">
        <w:trPr>
          <w:trHeight w:val="772"/>
        </w:trPr>
        <w:tc>
          <w:tcPr>
            <w:tcW w:w="2606" w:type="dxa"/>
            <w:vMerge/>
            <w:tcBorders>
              <w:top w:val="nil"/>
            </w:tcBorders>
          </w:tcPr>
          <w:p w14:paraId="528B3BB9" w14:textId="77777777" w:rsidR="0081013A" w:rsidRDefault="0081013A">
            <w:pPr>
              <w:rPr>
                <w:sz w:val="2"/>
                <w:szCs w:val="2"/>
              </w:rPr>
            </w:pPr>
          </w:p>
        </w:tc>
        <w:tc>
          <w:tcPr>
            <w:tcW w:w="4140" w:type="dxa"/>
          </w:tcPr>
          <w:p w14:paraId="528B3BBA" w14:textId="77777777" w:rsidR="0081013A" w:rsidRDefault="004D3D43">
            <w:pPr>
              <w:pStyle w:val="TableParagraph"/>
              <w:spacing w:before="20" w:line="240" w:lineRule="atLeast"/>
              <w:ind w:left="105" w:right="249"/>
              <w:rPr>
                <w:sz w:val="20"/>
              </w:rPr>
            </w:pPr>
            <w:r>
              <w:rPr>
                <w:sz w:val="20"/>
              </w:rPr>
              <w:t>Section 1605.3, Table H-5: The maximum flow rate of a showerhead shall not exceed 2.0 gpm at 80 psi.</w:t>
            </w:r>
          </w:p>
        </w:tc>
        <w:tc>
          <w:tcPr>
            <w:tcW w:w="2789" w:type="dxa"/>
          </w:tcPr>
          <w:p w14:paraId="528B3BBB" w14:textId="77777777" w:rsidR="0081013A" w:rsidRDefault="004D3D43">
            <w:pPr>
              <w:pStyle w:val="TableParagraph"/>
              <w:spacing w:before="20"/>
              <w:ind w:left="105" w:right="145"/>
              <w:rPr>
                <w:sz w:val="20"/>
              </w:rPr>
            </w:pPr>
            <w:r>
              <w:rPr>
                <w:sz w:val="20"/>
              </w:rPr>
              <w:t>Units manufactured on or after July 1, 2016 and prior to July 1,</w:t>
            </w:r>
          </w:p>
          <w:p w14:paraId="528B3BBC" w14:textId="77777777" w:rsidR="0081013A" w:rsidRDefault="004D3D43">
            <w:pPr>
              <w:pStyle w:val="TableParagraph"/>
              <w:spacing w:before="2" w:line="242" w:lineRule="exact"/>
              <w:ind w:left="105"/>
              <w:rPr>
                <w:sz w:val="20"/>
              </w:rPr>
            </w:pPr>
            <w:r>
              <w:rPr>
                <w:sz w:val="20"/>
              </w:rPr>
              <w:t>2018.</w:t>
            </w:r>
          </w:p>
        </w:tc>
      </w:tr>
      <w:tr w:rsidR="0081013A" w14:paraId="528B3BC2" w14:textId="77777777">
        <w:trPr>
          <w:trHeight w:val="791"/>
        </w:trPr>
        <w:tc>
          <w:tcPr>
            <w:tcW w:w="2606" w:type="dxa"/>
            <w:vMerge/>
            <w:tcBorders>
              <w:top w:val="nil"/>
            </w:tcBorders>
          </w:tcPr>
          <w:p w14:paraId="528B3BBE" w14:textId="77777777" w:rsidR="0081013A" w:rsidRDefault="0081013A">
            <w:pPr>
              <w:rPr>
                <w:sz w:val="2"/>
                <w:szCs w:val="2"/>
              </w:rPr>
            </w:pPr>
          </w:p>
        </w:tc>
        <w:tc>
          <w:tcPr>
            <w:tcW w:w="4140" w:type="dxa"/>
          </w:tcPr>
          <w:p w14:paraId="528B3BBF" w14:textId="77777777" w:rsidR="0081013A" w:rsidRDefault="004D3D43">
            <w:pPr>
              <w:pStyle w:val="TableParagraph"/>
              <w:spacing w:before="30"/>
              <w:ind w:left="105" w:right="249"/>
              <w:rPr>
                <w:sz w:val="20"/>
              </w:rPr>
            </w:pPr>
            <w:r>
              <w:rPr>
                <w:sz w:val="20"/>
              </w:rPr>
              <w:t>Section 1605.3, Table H-5: The maximum flow rate of a showerhead shall not exceed 1.8 gpm at 80 psi.</w:t>
            </w:r>
          </w:p>
        </w:tc>
        <w:tc>
          <w:tcPr>
            <w:tcW w:w="2789" w:type="dxa"/>
          </w:tcPr>
          <w:p w14:paraId="528B3BC0" w14:textId="77777777" w:rsidR="0081013A" w:rsidRDefault="004D3D43">
            <w:pPr>
              <w:pStyle w:val="TableParagraph"/>
              <w:spacing w:before="20"/>
              <w:ind w:left="105"/>
              <w:rPr>
                <w:sz w:val="20"/>
              </w:rPr>
            </w:pPr>
            <w:r>
              <w:rPr>
                <w:sz w:val="20"/>
              </w:rPr>
              <w:t>Effective January 1, 2016</w:t>
            </w:r>
          </w:p>
          <w:p w14:paraId="528B3BC1" w14:textId="77777777" w:rsidR="0081013A" w:rsidRDefault="004D3D43">
            <w:pPr>
              <w:pStyle w:val="TableParagraph"/>
              <w:spacing w:before="20" w:line="240" w:lineRule="atLeast"/>
              <w:ind w:left="105" w:right="145"/>
              <w:rPr>
                <w:sz w:val="20"/>
              </w:rPr>
            </w:pPr>
            <w:r>
              <w:rPr>
                <w:sz w:val="20"/>
              </w:rPr>
              <w:t>Units manufactured on or after July 1, 2018.</w:t>
            </w:r>
          </w:p>
        </w:tc>
      </w:tr>
      <w:tr w:rsidR="0081013A" w14:paraId="528B3BC6" w14:textId="77777777">
        <w:trPr>
          <w:trHeight w:val="556"/>
        </w:trPr>
        <w:tc>
          <w:tcPr>
            <w:tcW w:w="2606" w:type="dxa"/>
          </w:tcPr>
          <w:p w14:paraId="528B3BC3" w14:textId="77777777" w:rsidR="0081013A" w:rsidRDefault="004D3D43">
            <w:pPr>
              <w:pStyle w:val="TableParagraph"/>
              <w:spacing w:before="35"/>
              <w:ind w:left="107" w:right="150"/>
              <w:rPr>
                <w:sz w:val="20"/>
              </w:rPr>
            </w:pPr>
            <w:r>
              <w:rPr>
                <w:sz w:val="20"/>
              </w:rPr>
              <w:t>CA Building Energy Efficiency Standards – Title 24</w:t>
            </w:r>
          </w:p>
        </w:tc>
        <w:tc>
          <w:tcPr>
            <w:tcW w:w="4140" w:type="dxa"/>
          </w:tcPr>
          <w:p w14:paraId="528B3BC4" w14:textId="77777777" w:rsidR="0081013A" w:rsidRDefault="004D3D43">
            <w:pPr>
              <w:pStyle w:val="TableParagraph"/>
              <w:spacing w:before="157"/>
              <w:ind w:left="105"/>
              <w:rPr>
                <w:sz w:val="20"/>
              </w:rPr>
            </w:pPr>
            <w:r>
              <w:rPr>
                <w:sz w:val="20"/>
              </w:rPr>
              <w:t>None</w:t>
            </w:r>
          </w:p>
        </w:tc>
        <w:tc>
          <w:tcPr>
            <w:tcW w:w="2789" w:type="dxa"/>
          </w:tcPr>
          <w:p w14:paraId="528B3BC5" w14:textId="77777777" w:rsidR="0081013A" w:rsidRDefault="004D3D43">
            <w:pPr>
              <w:pStyle w:val="TableParagraph"/>
              <w:spacing w:before="157"/>
              <w:ind w:left="105"/>
              <w:rPr>
                <w:sz w:val="20"/>
              </w:rPr>
            </w:pPr>
            <w:r>
              <w:rPr>
                <w:sz w:val="20"/>
              </w:rPr>
              <w:t>n/a</w:t>
            </w:r>
          </w:p>
        </w:tc>
      </w:tr>
      <w:tr w:rsidR="0081013A" w14:paraId="528B3BCA" w14:textId="77777777">
        <w:trPr>
          <w:trHeight w:val="530"/>
        </w:trPr>
        <w:tc>
          <w:tcPr>
            <w:tcW w:w="2606" w:type="dxa"/>
          </w:tcPr>
          <w:p w14:paraId="528B3BC7" w14:textId="77777777" w:rsidR="0081013A" w:rsidRDefault="004D3D43">
            <w:pPr>
              <w:pStyle w:val="TableParagraph"/>
              <w:spacing w:before="23" w:line="240" w:lineRule="atLeast"/>
              <w:ind w:left="107" w:right="317"/>
              <w:rPr>
                <w:sz w:val="20"/>
              </w:rPr>
            </w:pPr>
            <w:r>
              <w:rPr>
                <w:sz w:val="20"/>
              </w:rPr>
              <w:t>Federal Standards - Energy Policy Act of 1992</w:t>
            </w:r>
          </w:p>
        </w:tc>
        <w:tc>
          <w:tcPr>
            <w:tcW w:w="4140" w:type="dxa"/>
          </w:tcPr>
          <w:p w14:paraId="528B3BC8" w14:textId="77777777" w:rsidR="0081013A" w:rsidRDefault="004D3D43">
            <w:pPr>
              <w:pStyle w:val="TableParagraph"/>
              <w:spacing w:before="23" w:line="240" w:lineRule="atLeast"/>
              <w:ind w:left="105" w:right="306"/>
              <w:rPr>
                <w:sz w:val="20"/>
              </w:rPr>
            </w:pPr>
            <w:r>
              <w:rPr>
                <w:sz w:val="20"/>
              </w:rPr>
              <w:t>Requires that showerheads must use no more than 2.5 gpm at 80 psi.</w:t>
            </w:r>
          </w:p>
        </w:tc>
        <w:tc>
          <w:tcPr>
            <w:tcW w:w="2789" w:type="dxa"/>
          </w:tcPr>
          <w:p w14:paraId="528B3BC9" w14:textId="77777777" w:rsidR="0081013A" w:rsidRDefault="004D3D43">
            <w:pPr>
              <w:pStyle w:val="TableParagraph"/>
              <w:spacing w:before="143"/>
              <w:ind w:left="105"/>
              <w:rPr>
                <w:sz w:val="20"/>
              </w:rPr>
            </w:pPr>
            <w:r>
              <w:rPr>
                <w:sz w:val="20"/>
              </w:rPr>
              <w:t>1992</w:t>
            </w:r>
          </w:p>
        </w:tc>
      </w:tr>
    </w:tbl>
    <w:p w14:paraId="528B3BCB" w14:textId="77777777" w:rsidR="0081013A" w:rsidRDefault="0081013A">
      <w:pPr>
        <w:pStyle w:val="BodyText"/>
        <w:rPr>
          <w:sz w:val="20"/>
        </w:rPr>
      </w:pPr>
    </w:p>
    <w:p w14:paraId="528B3BCC" w14:textId="77777777" w:rsidR="0081013A" w:rsidRDefault="0081013A">
      <w:pPr>
        <w:pStyle w:val="BodyText"/>
        <w:spacing w:before="9"/>
        <w:rPr>
          <w:sz w:val="21"/>
        </w:rPr>
      </w:pPr>
    </w:p>
    <w:p w14:paraId="528B3BCD" w14:textId="77777777" w:rsidR="0081013A" w:rsidRDefault="004D3D43">
      <w:pPr>
        <w:pStyle w:val="BodyText"/>
        <w:spacing w:before="1" w:line="237" w:lineRule="auto"/>
        <w:ind w:left="120" w:right="545"/>
      </w:pPr>
      <w:r>
        <w:t>A disposition issued by the Energy Division of the California Public Utilities Commission in 2013</w:t>
      </w:r>
      <w:hyperlink w:anchor="_bookmark3" w:history="1">
        <w:r>
          <w:rPr>
            <w:vertAlign w:val="superscript"/>
          </w:rPr>
          <w:t>4</w:t>
        </w:r>
      </w:hyperlink>
      <w:r>
        <w:t xml:space="preserve"> mandated the revision of daily hot water consumption to a baseline of 28.0 gallons per day for a single-</w:t>
      </w:r>
    </w:p>
    <w:p w14:paraId="528B3BCE" w14:textId="77777777" w:rsidR="0081013A" w:rsidRDefault="0081013A">
      <w:pPr>
        <w:pStyle w:val="BodyText"/>
        <w:rPr>
          <w:sz w:val="20"/>
        </w:rPr>
      </w:pPr>
    </w:p>
    <w:p w14:paraId="528B3BCF" w14:textId="77777777" w:rsidR="0081013A" w:rsidRDefault="0081013A">
      <w:pPr>
        <w:pStyle w:val="BodyText"/>
        <w:rPr>
          <w:sz w:val="20"/>
        </w:rPr>
      </w:pPr>
    </w:p>
    <w:p w14:paraId="528B3BD0" w14:textId="77777777" w:rsidR="0081013A" w:rsidRDefault="0081013A">
      <w:pPr>
        <w:pStyle w:val="BodyText"/>
        <w:rPr>
          <w:sz w:val="20"/>
        </w:rPr>
      </w:pPr>
    </w:p>
    <w:p w14:paraId="528B3BD1" w14:textId="77777777" w:rsidR="0081013A" w:rsidRDefault="0081013A">
      <w:pPr>
        <w:pStyle w:val="BodyText"/>
        <w:rPr>
          <w:sz w:val="20"/>
        </w:rPr>
      </w:pPr>
    </w:p>
    <w:p w14:paraId="528B3BD2" w14:textId="77777777" w:rsidR="0081013A" w:rsidRDefault="0081013A">
      <w:pPr>
        <w:pStyle w:val="BodyText"/>
        <w:rPr>
          <w:sz w:val="20"/>
        </w:rPr>
      </w:pPr>
    </w:p>
    <w:p w14:paraId="528B3BD3" w14:textId="77777777" w:rsidR="0081013A" w:rsidRDefault="0081013A">
      <w:pPr>
        <w:pStyle w:val="BodyText"/>
        <w:rPr>
          <w:sz w:val="20"/>
        </w:rPr>
      </w:pPr>
    </w:p>
    <w:p w14:paraId="528B3BD4" w14:textId="77777777" w:rsidR="0081013A" w:rsidRDefault="004A0AE2">
      <w:pPr>
        <w:pStyle w:val="BodyText"/>
        <w:spacing w:before="9"/>
        <w:rPr>
          <w:sz w:val="24"/>
        </w:rPr>
      </w:pPr>
      <w:r>
        <w:pict w14:anchorId="528B3FBC">
          <v:shape id="_x0000_s1041" style="position:absolute;margin-left:1in;margin-top:17.45pt;width:2in;height:.1pt;z-index:-251656192;mso-wrap-distance-left:0;mso-wrap-distance-right:0;mso-position-horizontal-relative:page" coordorigin="1440,349" coordsize="2880,0" path="m1440,349r2880,e" filled="f" strokeweight=".72pt">
            <v:path arrowok="t"/>
            <w10:wrap type="topAndBottom" anchorx="page"/>
          </v:shape>
        </w:pict>
      </w:r>
    </w:p>
    <w:p w14:paraId="528B3BD5" w14:textId="77777777" w:rsidR="0081013A" w:rsidRDefault="0081013A">
      <w:pPr>
        <w:pStyle w:val="BodyText"/>
        <w:rPr>
          <w:sz w:val="20"/>
        </w:rPr>
      </w:pPr>
    </w:p>
    <w:p w14:paraId="528B3BD6" w14:textId="77777777" w:rsidR="0081013A" w:rsidRDefault="0081013A">
      <w:pPr>
        <w:pStyle w:val="BodyText"/>
        <w:spacing w:before="11"/>
        <w:rPr>
          <w:sz w:val="21"/>
        </w:rPr>
      </w:pPr>
    </w:p>
    <w:p w14:paraId="528B3BD7" w14:textId="77777777" w:rsidR="0081013A" w:rsidRDefault="004D3D43">
      <w:pPr>
        <w:spacing w:before="69"/>
        <w:ind w:left="120"/>
        <w:rPr>
          <w:sz w:val="18"/>
        </w:rPr>
      </w:pPr>
      <w:bookmarkStart w:id="8" w:name="_bookmark1"/>
      <w:bookmarkEnd w:id="8"/>
      <w:r>
        <w:rPr>
          <w:position w:val="5"/>
          <w:sz w:val="12"/>
        </w:rPr>
        <w:t xml:space="preserve">2 </w:t>
      </w:r>
      <w:r>
        <w:rPr>
          <w:sz w:val="18"/>
        </w:rPr>
        <w:t>H.R.776 – 102</w:t>
      </w:r>
      <w:r>
        <w:rPr>
          <w:position w:val="5"/>
          <w:sz w:val="12"/>
        </w:rPr>
        <w:t xml:space="preserve">nd </w:t>
      </w:r>
      <w:r>
        <w:rPr>
          <w:sz w:val="18"/>
        </w:rPr>
        <w:t>Congress. Energy Policy Act of 1992. Pub. L. 102-486. Stat. 2776.</w:t>
      </w:r>
    </w:p>
    <w:p w14:paraId="528B3BD8" w14:textId="77777777" w:rsidR="0081013A" w:rsidRDefault="004D3D43">
      <w:pPr>
        <w:spacing w:before="121"/>
        <w:ind w:left="120"/>
        <w:rPr>
          <w:sz w:val="18"/>
        </w:rPr>
      </w:pPr>
      <w:bookmarkStart w:id="9" w:name="_bookmark2"/>
      <w:bookmarkEnd w:id="9"/>
      <w:r>
        <w:rPr>
          <w:position w:val="5"/>
          <w:sz w:val="12"/>
        </w:rPr>
        <w:t xml:space="preserve">3 </w:t>
      </w:r>
      <w:r>
        <w:rPr>
          <w:sz w:val="18"/>
        </w:rPr>
        <w:t xml:space="preserve">California Energy Commission (CEC). 2014. </w:t>
      </w:r>
      <w:r>
        <w:rPr>
          <w:i/>
          <w:sz w:val="18"/>
        </w:rPr>
        <w:t xml:space="preserve">2014 Appliance Efficiency Regulations. </w:t>
      </w:r>
      <w:r>
        <w:rPr>
          <w:sz w:val="18"/>
        </w:rPr>
        <w:t>CEC-400-2014-009-CMF. Section 1605.3.</w:t>
      </w:r>
    </w:p>
    <w:p w14:paraId="528B3BD9" w14:textId="77777777" w:rsidR="0081013A" w:rsidRDefault="004D3D43">
      <w:pPr>
        <w:spacing w:before="119"/>
        <w:ind w:left="120"/>
        <w:rPr>
          <w:sz w:val="18"/>
        </w:rPr>
      </w:pPr>
      <w:bookmarkStart w:id="10" w:name="_bookmark3"/>
      <w:bookmarkEnd w:id="10"/>
      <w:r>
        <w:rPr>
          <w:position w:val="5"/>
          <w:sz w:val="12"/>
        </w:rPr>
        <w:t xml:space="preserve">4 </w:t>
      </w:r>
      <w:r>
        <w:rPr>
          <w:sz w:val="18"/>
        </w:rPr>
        <w:t xml:space="preserve">California Public Utilities Commission (CPUC), Energy Division. 2013. </w:t>
      </w:r>
      <w:r>
        <w:rPr>
          <w:i/>
          <w:sz w:val="18"/>
        </w:rPr>
        <w:t>“</w:t>
      </w:r>
      <w:r>
        <w:rPr>
          <w:sz w:val="18"/>
        </w:rPr>
        <w:t>Workpaper Disposition for Water Fixtures.” February 22.</w:t>
      </w:r>
    </w:p>
    <w:p w14:paraId="528B3BDA" w14:textId="77777777" w:rsidR="0081013A" w:rsidRDefault="0081013A">
      <w:pPr>
        <w:rPr>
          <w:sz w:val="18"/>
        </w:rPr>
        <w:sectPr w:rsidR="0081013A">
          <w:pgSz w:w="12240" w:h="15840"/>
          <w:pgMar w:top="1220" w:right="1120" w:bottom="1320" w:left="1320" w:header="858" w:footer="1129" w:gutter="0"/>
          <w:cols w:space="720"/>
        </w:sectPr>
      </w:pPr>
    </w:p>
    <w:p w14:paraId="528B3BDB" w14:textId="77777777" w:rsidR="0081013A" w:rsidRDefault="0081013A">
      <w:pPr>
        <w:pStyle w:val="BodyText"/>
        <w:spacing w:before="10"/>
        <w:rPr>
          <w:sz w:val="19"/>
        </w:rPr>
      </w:pPr>
    </w:p>
    <w:p w14:paraId="528B3BDC" w14:textId="77777777" w:rsidR="0081013A" w:rsidRDefault="004D3D43">
      <w:pPr>
        <w:pStyle w:val="BodyText"/>
        <w:spacing w:before="56"/>
        <w:ind w:left="120" w:right="807"/>
      </w:pPr>
      <w:r>
        <w:t>family home and 23.3 gallons per day for a multifamily dwelling. These baselines are based upon the National Renewable Energy Laboratory (NREL) Building America House Simulation Protocols.</w:t>
      </w:r>
      <w:hyperlink w:anchor="_bookmark4" w:history="1">
        <w:r>
          <w:rPr>
            <w:vertAlign w:val="superscript"/>
          </w:rPr>
          <w:t>5</w:t>
        </w:r>
      </w:hyperlink>
    </w:p>
    <w:p w14:paraId="528B3BDD" w14:textId="77777777" w:rsidR="0081013A" w:rsidRDefault="0081013A">
      <w:pPr>
        <w:pStyle w:val="BodyText"/>
        <w:rPr>
          <w:sz w:val="24"/>
        </w:rPr>
      </w:pPr>
    </w:p>
    <w:p w14:paraId="528B3BDE" w14:textId="77777777" w:rsidR="0081013A" w:rsidRDefault="0081013A">
      <w:pPr>
        <w:pStyle w:val="BodyText"/>
        <w:spacing w:before="9"/>
        <w:rPr>
          <w:sz w:val="18"/>
        </w:rPr>
      </w:pPr>
    </w:p>
    <w:p w14:paraId="528B3BDF" w14:textId="77777777" w:rsidR="0081013A" w:rsidRDefault="004D3D43">
      <w:pPr>
        <w:pStyle w:val="Heading1"/>
      </w:pPr>
      <w:bookmarkStart w:id="11" w:name="_TOC_250017"/>
      <w:bookmarkEnd w:id="11"/>
      <w:r>
        <w:rPr>
          <w:color w:val="CFAB79"/>
        </w:rPr>
        <w:t>NORMALIZING UNIT</w:t>
      </w:r>
    </w:p>
    <w:p w14:paraId="528B3BE0" w14:textId="77777777" w:rsidR="0081013A" w:rsidRDefault="004D3D43">
      <w:pPr>
        <w:pStyle w:val="BodyText"/>
        <w:spacing w:before="115"/>
        <w:ind w:left="120"/>
      </w:pPr>
      <w:r>
        <w:t>Each.</w:t>
      </w:r>
    </w:p>
    <w:p w14:paraId="528B3BE1" w14:textId="77777777" w:rsidR="0081013A" w:rsidRDefault="0081013A">
      <w:pPr>
        <w:pStyle w:val="BodyText"/>
      </w:pPr>
    </w:p>
    <w:p w14:paraId="528B3BE2" w14:textId="77777777" w:rsidR="0081013A" w:rsidRDefault="0081013A">
      <w:pPr>
        <w:pStyle w:val="BodyText"/>
        <w:spacing w:before="8"/>
        <w:rPr>
          <w:sz w:val="20"/>
        </w:rPr>
      </w:pPr>
    </w:p>
    <w:p w14:paraId="528B3BE3" w14:textId="77777777" w:rsidR="0081013A" w:rsidRDefault="004D3D43">
      <w:pPr>
        <w:pStyle w:val="Heading1"/>
      </w:pPr>
      <w:bookmarkStart w:id="12" w:name="_TOC_250016"/>
      <w:bookmarkEnd w:id="12"/>
      <w:r>
        <w:rPr>
          <w:color w:val="CFAB79"/>
        </w:rPr>
        <w:t>PROGRAM REQUIREMENTS</w:t>
      </w:r>
    </w:p>
    <w:p w14:paraId="528B3BE4" w14:textId="77777777" w:rsidR="0081013A" w:rsidRDefault="004D3D43">
      <w:pPr>
        <w:spacing w:before="115"/>
        <w:ind w:left="120"/>
        <w:rPr>
          <w:i/>
        </w:rPr>
      </w:pPr>
      <w:r>
        <w:rPr>
          <w:i/>
          <w:color w:val="5F5F5F"/>
        </w:rPr>
        <w:t xml:space="preserve">Measure Implementation Eligibility </w:t>
      </w:r>
    </w:p>
    <w:p w14:paraId="528B3BE5" w14:textId="77777777" w:rsidR="0081013A" w:rsidRDefault="004D3D43">
      <w:pPr>
        <w:pStyle w:val="BodyText"/>
        <w:spacing w:before="121"/>
        <w:ind w:left="119" w:right="613"/>
      </w:pPr>
      <w:r>
        <w:t>All combinations of measure application type, delivery type, and sector that are established for this measure are specified below. Measure application type is a categorization based on the circumstances and timing of the measure installation; each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p>
    <w:p w14:paraId="528B3BE6" w14:textId="77777777" w:rsidR="0081013A" w:rsidRDefault="004D3D43">
      <w:pPr>
        <w:spacing w:before="119"/>
        <w:ind w:left="119" w:right="553"/>
        <w:rPr>
          <w:i/>
        </w:rPr>
      </w:pPr>
      <w:r>
        <w:rPr>
          <w:i/>
        </w:rPr>
        <w:t xml:space="preserve">Note that some of the implementation combinations below may not be allowed for some measure offerings by all program administrators. </w:t>
      </w:r>
    </w:p>
    <w:p w14:paraId="528B3BE7" w14:textId="77777777" w:rsidR="0081013A" w:rsidRDefault="0081013A">
      <w:pPr>
        <w:pStyle w:val="BodyText"/>
        <w:spacing w:before="2"/>
        <w:rPr>
          <w:i/>
          <w:sz w:val="23"/>
        </w:rPr>
      </w:pPr>
    </w:p>
    <w:p w14:paraId="528B3BE8" w14:textId="77777777" w:rsidR="0081013A" w:rsidRPr="00E5210F" w:rsidRDefault="004D3D43">
      <w:pPr>
        <w:spacing w:before="1"/>
        <w:ind w:left="120"/>
        <w:rPr>
          <w:b/>
          <w:bCs/>
          <w:sz w:val="20"/>
        </w:rPr>
      </w:pPr>
      <w:r w:rsidRPr="00E5210F">
        <w:rPr>
          <w:b/>
          <w:bCs/>
          <w:sz w:val="20"/>
        </w:rPr>
        <w:t>Implementation Eligibility</w:t>
      </w:r>
    </w:p>
    <w:p w14:paraId="528B3BE9" w14:textId="77777777" w:rsidR="0081013A" w:rsidRDefault="0081013A">
      <w:pPr>
        <w:pStyle w:val="BodyText"/>
        <w:spacing w:before="4"/>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024"/>
        <w:gridCol w:w="3024"/>
        <w:gridCol w:w="3024"/>
      </w:tblGrid>
      <w:tr w:rsidR="0081013A" w14:paraId="528B3BED" w14:textId="77777777">
        <w:trPr>
          <w:trHeight w:val="290"/>
        </w:trPr>
        <w:tc>
          <w:tcPr>
            <w:tcW w:w="3024" w:type="dxa"/>
            <w:shd w:val="clear" w:color="auto" w:fill="F1F1F1"/>
          </w:tcPr>
          <w:p w14:paraId="528B3BEA" w14:textId="77777777" w:rsidR="0081013A" w:rsidRPr="00535222" w:rsidRDefault="004D3D43">
            <w:pPr>
              <w:pStyle w:val="TableParagraph"/>
              <w:spacing w:before="47" w:line="223" w:lineRule="exact"/>
              <w:ind w:left="107"/>
              <w:rPr>
                <w:b/>
                <w:bCs/>
                <w:sz w:val="20"/>
              </w:rPr>
            </w:pPr>
            <w:r w:rsidRPr="00535222">
              <w:rPr>
                <w:b/>
                <w:bCs/>
                <w:sz w:val="20"/>
              </w:rPr>
              <w:t>Measure Application Type</w:t>
            </w:r>
          </w:p>
        </w:tc>
        <w:tc>
          <w:tcPr>
            <w:tcW w:w="3024" w:type="dxa"/>
            <w:shd w:val="clear" w:color="auto" w:fill="F1F1F1"/>
          </w:tcPr>
          <w:p w14:paraId="528B3BEB" w14:textId="77777777" w:rsidR="0081013A" w:rsidRPr="00535222" w:rsidRDefault="004D3D43">
            <w:pPr>
              <w:pStyle w:val="TableParagraph"/>
              <w:spacing w:before="47" w:line="223" w:lineRule="exact"/>
              <w:ind w:left="107"/>
              <w:rPr>
                <w:b/>
                <w:bCs/>
                <w:sz w:val="20"/>
              </w:rPr>
            </w:pPr>
            <w:r w:rsidRPr="00535222">
              <w:rPr>
                <w:b/>
                <w:bCs/>
                <w:sz w:val="20"/>
              </w:rPr>
              <w:t>Delivery Type</w:t>
            </w:r>
          </w:p>
        </w:tc>
        <w:tc>
          <w:tcPr>
            <w:tcW w:w="3024" w:type="dxa"/>
            <w:shd w:val="clear" w:color="auto" w:fill="F1F1F1"/>
          </w:tcPr>
          <w:p w14:paraId="528B3BEC" w14:textId="77777777" w:rsidR="0081013A" w:rsidRPr="00535222" w:rsidRDefault="004D3D43">
            <w:pPr>
              <w:pStyle w:val="TableParagraph"/>
              <w:spacing w:before="47" w:line="223" w:lineRule="exact"/>
              <w:ind w:left="107"/>
              <w:rPr>
                <w:b/>
                <w:bCs/>
                <w:sz w:val="20"/>
              </w:rPr>
            </w:pPr>
            <w:r w:rsidRPr="00535222">
              <w:rPr>
                <w:b/>
                <w:bCs/>
                <w:sz w:val="20"/>
              </w:rPr>
              <w:t>Sector</w:t>
            </w:r>
          </w:p>
        </w:tc>
      </w:tr>
      <w:tr w:rsidR="0081013A" w14:paraId="528B3BF1" w14:textId="77777777">
        <w:trPr>
          <w:trHeight w:val="290"/>
        </w:trPr>
        <w:tc>
          <w:tcPr>
            <w:tcW w:w="3024" w:type="dxa"/>
          </w:tcPr>
          <w:p w14:paraId="528B3BEE" w14:textId="77777777" w:rsidR="0081013A" w:rsidRDefault="004D3D43">
            <w:pPr>
              <w:pStyle w:val="TableParagraph"/>
              <w:spacing w:before="47" w:line="223" w:lineRule="exact"/>
              <w:ind w:left="107"/>
              <w:rPr>
                <w:sz w:val="20"/>
              </w:rPr>
            </w:pPr>
            <w:r>
              <w:rPr>
                <w:sz w:val="20"/>
              </w:rPr>
              <w:t>Accelerated replacement</w:t>
            </w:r>
          </w:p>
        </w:tc>
        <w:tc>
          <w:tcPr>
            <w:tcW w:w="3024" w:type="dxa"/>
          </w:tcPr>
          <w:p w14:paraId="528B3BEF" w14:textId="77777777" w:rsidR="0081013A" w:rsidRDefault="004D3D43">
            <w:pPr>
              <w:pStyle w:val="TableParagraph"/>
              <w:spacing w:before="47" w:line="223" w:lineRule="exact"/>
              <w:ind w:left="107"/>
              <w:rPr>
                <w:sz w:val="20"/>
              </w:rPr>
            </w:pPr>
            <w:r>
              <w:rPr>
                <w:sz w:val="20"/>
              </w:rPr>
              <w:t>DnDeemDI</w:t>
            </w:r>
          </w:p>
        </w:tc>
        <w:tc>
          <w:tcPr>
            <w:tcW w:w="3024" w:type="dxa"/>
          </w:tcPr>
          <w:p w14:paraId="528B3BF0" w14:textId="77777777" w:rsidR="0081013A" w:rsidRDefault="004D3D43">
            <w:pPr>
              <w:pStyle w:val="TableParagraph"/>
              <w:spacing w:before="47" w:line="223" w:lineRule="exact"/>
              <w:ind w:left="107"/>
              <w:rPr>
                <w:sz w:val="20"/>
              </w:rPr>
            </w:pPr>
            <w:r>
              <w:rPr>
                <w:sz w:val="20"/>
              </w:rPr>
              <w:t>Res</w:t>
            </w:r>
          </w:p>
        </w:tc>
      </w:tr>
      <w:tr w:rsidR="0081013A" w14:paraId="528B3BF5" w14:textId="77777777">
        <w:trPr>
          <w:trHeight w:val="289"/>
        </w:trPr>
        <w:tc>
          <w:tcPr>
            <w:tcW w:w="3024" w:type="dxa"/>
          </w:tcPr>
          <w:p w14:paraId="528B3BF2" w14:textId="77777777" w:rsidR="0081013A" w:rsidRDefault="004D3D43">
            <w:pPr>
              <w:pStyle w:val="TableParagraph"/>
              <w:spacing w:before="47" w:line="223" w:lineRule="exact"/>
              <w:ind w:left="107"/>
              <w:rPr>
                <w:sz w:val="20"/>
              </w:rPr>
            </w:pPr>
            <w:r>
              <w:rPr>
                <w:sz w:val="20"/>
              </w:rPr>
              <w:t>Normal replacement</w:t>
            </w:r>
          </w:p>
        </w:tc>
        <w:tc>
          <w:tcPr>
            <w:tcW w:w="3024" w:type="dxa"/>
          </w:tcPr>
          <w:p w14:paraId="528B3BF3" w14:textId="77777777" w:rsidR="0081013A" w:rsidRDefault="004D3D43">
            <w:pPr>
              <w:pStyle w:val="TableParagraph"/>
              <w:spacing w:before="47" w:line="223" w:lineRule="exact"/>
              <w:ind w:left="107"/>
              <w:rPr>
                <w:sz w:val="20"/>
              </w:rPr>
            </w:pPr>
            <w:r>
              <w:rPr>
                <w:sz w:val="20"/>
              </w:rPr>
              <w:t>DnDeemDI</w:t>
            </w:r>
          </w:p>
        </w:tc>
        <w:tc>
          <w:tcPr>
            <w:tcW w:w="3024" w:type="dxa"/>
          </w:tcPr>
          <w:p w14:paraId="528B3BF4" w14:textId="77777777" w:rsidR="0081013A" w:rsidRDefault="004D3D43">
            <w:pPr>
              <w:pStyle w:val="TableParagraph"/>
              <w:spacing w:before="47" w:line="223" w:lineRule="exact"/>
              <w:ind w:left="107"/>
              <w:rPr>
                <w:sz w:val="20"/>
              </w:rPr>
            </w:pPr>
            <w:r>
              <w:rPr>
                <w:sz w:val="20"/>
              </w:rPr>
              <w:t>Res</w:t>
            </w:r>
          </w:p>
        </w:tc>
      </w:tr>
      <w:tr w:rsidR="0081013A" w14:paraId="528B3BF9" w14:textId="77777777">
        <w:trPr>
          <w:trHeight w:val="290"/>
        </w:trPr>
        <w:tc>
          <w:tcPr>
            <w:tcW w:w="3024" w:type="dxa"/>
          </w:tcPr>
          <w:p w14:paraId="528B3BF6" w14:textId="77777777" w:rsidR="0081013A" w:rsidRDefault="004D3D43">
            <w:pPr>
              <w:pStyle w:val="TableParagraph"/>
              <w:spacing w:before="47" w:line="223" w:lineRule="exact"/>
              <w:ind w:left="107"/>
              <w:rPr>
                <w:sz w:val="20"/>
              </w:rPr>
            </w:pPr>
            <w:r>
              <w:rPr>
                <w:sz w:val="20"/>
              </w:rPr>
              <w:t>Normal replacement</w:t>
            </w:r>
          </w:p>
        </w:tc>
        <w:tc>
          <w:tcPr>
            <w:tcW w:w="3024" w:type="dxa"/>
          </w:tcPr>
          <w:p w14:paraId="528B3BF7" w14:textId="77777777" w:rsidR="0081013A" w:rsidRDefault="004D3D43">
            <w:pPr>
              <w:pStyle w:val="TableParagraph"/>
              <w:spacing w:before="47" w:line="223" w:lineRule="exact"/>
              <w:ind w:left="107"/>
              <w:rPr>
                <w:sz w:val="20"/>
              </w:rPr>
            </w:pPr>
            <w:r>
              <w:rPr>
                <w:sz w:val="20"/>
              </w:rPr>
              <w:t>UpDeemed</w:t>
            </w:r>
          </w:p>
        </w:tc>
        <w:tc>
          <w:tcPr>
            <w:tcW w:w="3024" w:type="dxa"/>
          </w:tcPr>
          <w:p w14:paraId="528B3BF8" w14:textId="77777777" w:rsidR="0081013A" w:rsidRDefault="004D3D43">
            <w:pPr>
              <w:pStyle w:val="TableParagraph"/>
              <w:spacing w:before="47" w:line="223" w:lineRule="exact"/>
              <w:ind w:left="107"/>
              <w:rPr>
                <w:sz w:val="20"/>
              </w:rPr>
            </w:pPr>
            <w:r>
              <w:rPr>
                <w:sz w:val="20"/>
              </w:rPr>
              <w:t>Res</w:t>
            </w:r>
          </w:p>
        </w:tc>
      </w:tr>
      <w:tr w:rsidR="0081013A" w14:paraId="528B3BFD" w14:textId="77777777">
        <w:trPr>
          <w:trHeight w:val="290"/>
        </w:trPr>
        <w:tc>
          <w:tcPr>
            <w:tcW w:w="3024" w:type="dxa"/>
          </w:tcPr>
          <w:p w14:paraId="528B3BFA" w14:textId="77777777" w:rsidR="0081013A" w:rsidRDefault="004D3D43">
            <w:pPr>
              <w:pStyle w:val="TableParagraph"/>
              <w:spacing w:before="47" w:line="223" w:lineRule="exact"/>
              <w:ind w:left="107"/>
              <w:rPr>
                <w:sz w:val="20"/>
              </w:rPr>
            </w:pPr>
            <w:r>
              <w:rPr>
                <w:sz w:val="20"/>
              </w:rPr>
              <w:t>Normal replacement</w:t>
            </w:r>
          </w:p>
        </w:tc>
        <w:tc>
          <w:tcPr>
            <w:tcW w:w="3024" w:type="dxa"/>
          </w:tcPr>
          <w:p w14:paraId="528B3BFB" w14:textId="77777777" w:rsidR="0081013A" w:rsidRDefault="004D3D43">
            <w:pPr>
              <w:pStyle w:val="TableParagraph"/>
              <w:spacing w:before="47" w:line="223" w:lineRule="exact"/>
              <w:ind w:left="107"/>
              <w:rPr>
                <w:sz w:val="20"/>
              </w:rPr>
            </w:pPr>
            <w:r>
              <w:rPr>
                <w:sz w:val="20"/>
              </w:rPr>
              <w:t>DnDeemed</w:t>
            </w:r>
          </w:p>
        </w:tc>
        <w:tc>
          <w:tcPr>
            <w:tcW w:w="3024" w:type="dxa"/>
          </w:tcPr>
          <w:p w14:paraId="528B3BFC" w14:textId="77777777" w:rsidR="0081013A" w:rsidRDefault="004D3D43">
            <w:pPr>
              <w:pStyle w:val="TableParagraph"/>
              <w:spacing w:before="47" w:line="223" w:lineRule="exact"/>
              <w:ind w:left="107"/>
              <w:rPr>
                <w:sz w:val="20"/>
              </w:rPr>
            </w:pPr>
            <w:r>
              <w:rPr>
                <w:sz w:val="20"/>
              </w:rPr>
              <w:t>Res</w:t>
            </w:r>
          </w:p>
        </w:tc>
      </w:tr>
      <w:tr w:rsidR="0081013A" w14:paraId="528B3C01" w14:textId="77777777">
        <w:trPr>
          <w:trHeight w:val="289"/>
        </w:trPr>
        <w:tc>
          <w:tcPr>
            <w:tcW w:w="3024" w:type="dxa"/>
          </w:tcPr>
          <w:p w14:paraId="528B3BFE" w14:textId="77777777" w:rsidR="0081013A" w:rsidRDefault="004D3D43">
            <w:pPr>
              <w:pStyle w:val="TableParagraph"/>
              <w:spacing w:before="47" w:line="223" w:lineRule="exact"/>
              <w:ind w:left="107"/>
              <w:rPr>
                <w:sz w:val="20"/>
              </w:rPr>
            </w:pPr>
            <w:r>
              <w:rPr>
                <w:sz w:val="20"/>
              </w:rPr>
              <w:t>New construction</w:t>
            </w:r>
          </w:p>
        </w:tc>
        <w:tc>
          <w:tcPr>
            <w:tcW w:w="3024" w:type="dxa"/>
          </w:tcPr>
          <w:p w14:paraId="528B3BFF" w14:textId="77777777" w:rsidR="0081013A" w:rsidRDefault="004D3D43">
            <w:pPr>
              <w:pStyle w:val="TableParagraph"/>
              <w:spacing w:before="47" w:line="223" w:lineRule="exact"/>
              <w:ind w:left="107"/>
              <w:rPr>
                <w:sz w:val="20"/>
              </w:rPr>
            </w:pPr>
            <w:r>
              <w:rPr>
                <w:sz w:val="20"/>
              </w:rPr>
              <w:t>DnDeemDI</w:t>
            </w:r>
          </w:p>
        </w:tc>
        <w:tc>
          <w:tcPr>
            <w:tcW w:w="3024" w:type="dxa"/>
          </w:tcPr>
          <w:p w14:paraId="528B3C00" w14:textId="77777777" w:rsidR="0081013A" w:rsidRDefault="004D3D43">
            <w:pPr>
              <w:pStyle w:val="TableParagraph"/>
              <w:spacing w:before="47" w:line="223" w:lineRule="exact"/>
              <w:ind w:left="107"/>
              <w:rPr>
                <w:sz w:val="20"/>
              </w:rPr>
            </w:pPr>
            <w:r>
              <w:rPr>
                <w:sz w:val="20"/>
              </w:rPr>
              <w:t>Res</w:t>
            </w:r>
          </w:p>
        </w:tc>
      </w:tr>
      <w:tr w:rsidR="0081013A" w14:paraId="528B3C05" w14:textId="77777777">
        <w:trPr>
          <w:trHeight w:val="290"/>
        </w:trPr>
        <w:tc>
          <w:tcPr>
            <w:tcW w:w="3024" w:type="dxa"/>
          </w:tcPr>
          <w:p w14:paraId="528B3C02" w14:textId="77777777" w:rsidR="0081013A" w:rsidRDefault="004D3D43">
            <w:pPr>
              <w:pStyle w:val="TableParagraph"/>
              <w:spacing w:before="47" w:line="223" w:lineRule="exact"/>
              <w:ind w:left="107"/>
              <w:rPr>
                <w:sz w:val="20"/>
              </w:rPr>
            </w:pPr>
            <w:r>
              <w:rPr>
                <w:sz w:val="20"/>
              </w:rPr>
              <w:t>New construction</w:t>
            </w:r>
          </w:p>
        </w:tc>
        <w:tc>
          <w:tcPr>
            <w:tcW w:w="3024" w:type="dxa"/>
          </w:tcPr>
          <w:p w14:paraId="528B3C03" w14:textId="77777777" w:rsidR="0081013A" w:rsidRDefault="004D3D43">
            <w:pPr>
              <w:pStyle w:val="TableParagraph"/>
              <w:spacing w:before="47" w:line="223" w:lineRule="exact"/>
              <w:ind w:left="107"/>
              <w:rPr>
                <w:sz w:val="20"/>
              </w:rPr>
            </w:pPr>
            <w:r>
              <w:rPr>
                <w:sz w:val="20"/>
              </w:rPr>
              <w:t>UpDeemed</w:t>
            </w:r>
          </w:p>
        </w:tc>
        <w:tc>
          <w:tcPr>
            <w:tcW w:w="3024" w:type="dxa"/>
          </w:tcPr>
          <w:p w14:paraId="528B3C04" w14:textId="77777777" w:rsidR="0081013A" w:rsidRDefault="004D3D43">
            <w:pPr>
              <w:pStyle w:val="TableParagraph"/>
              <w:spacing w:before="47" w:line="223" w:lineRule="exact"/>
              <w:ind w:left="107"/>
              <w:rPr>
                <w:sz w:val="20"/>
              </w:rPr>
            </w:pPr>
            <w:r>
              <w:rPr>
                <w:sz w:val="20"/>
              </w:rPr>
              <w:t>Res</w:t>
            </w:r>
          </w:p>
        </w:tc>
      </w:tr>
      <w:tr w:rsidR="0081013A" w14:paraId="528B3C09" w14:textId="77777777">
        <w:trPr>
          <w:trHeight w:val="290"/>
        </w:trPr>
        <w:tc>
          <w:tcPr>
            <w:tcW w:w="3024" w:type="dxa"/>
          </w:tcPr>
          <w:p w14:paraId="528B3C06" w14:textId="77777777" w:rsidR="0081013A" w:rsidRDefault="004D3D43">
            <w:pPr>
              <w:pStyle w:val="TableParagraph"/>
              <w:spacing w:before="47" w:line="223" w:lineRule="exact"/>
              <w:ind w:left="107"/>
              <w:rPr>
                <w:sz w:val="20"/>
              </w:rPr>
            </w:pPr>
            <w:r>
              <w:rPr>
                <w:sz w:val="20"/>
              </w:rPr>
              <w:t>New construction</w:t>
            </w:r>
          </w:p>
        </w:tc>
        <w:tc>
          <w:tcPr>
            <w:tcW w:w="3024" w:type="dxa"/>
          </w:tcPr>
          <w:p w14:paraId="528B3C07" w14:textId="77777777" w:rsidR="0081013A" w:rsidRDefault="004D3D43">
            <w:pPr>
              <w:pStyle w:val="TableParagraph"/>
              <w:spacing w:before="47" w:line="223" w:lineRule="exact"/>
              <w:ind w:left="107"/>
              <w:rPr>
                <w:sz w:val="20"/>
              </w:rPr>
            </w:pPr>
            <w:r>
              <w:rPr>
                <w:sz w:val="20"/>
              </w:rPr>
              <w:t>DnDeemed</w:t>
            </w:r>
          </w:p>
        </w:tc>
        <w:tc>
          <w:tcPr>
            <w:tcW w:w="3024" w:type="dxa"/>
          </w:tcPr>
          <w:p w14:paraId="528B3C08" w14:textId="77777777" w:rsidR="0081013A" w:rsidRDefault="004D3D43">
            <w:pPr>
              <w:pStyle w:val="TableParagraph"/>
              <w:spacing w:before="47" w:line="223" w:lineRule="exact"/>
              <w:ind w:left="107"/>
              <w:rPr>
                <w:sz w:val="20"/>
              </w:rPr>
            </w:pPr>
            <w:r>
              <w:rPr>
                <w:sz w:val="20"/>
              </w:rPr>
              <w:t>Res</w:t>
            </w:r>
          </w:p>
        </w:tc>
      </w:tr>
      <w:tr w:rsidR="0081013A" w14:paraId="528B3C0D" w14:textId="77777777">
        <w:trPr>
          <w:trHeight w:val="289"/>
        </w:trPr>
        <w:tc>
          <w:tcPr>
            <w:tcW w:w="3024" w:type="dxa"/>
          </w:tcPr>
          <w:p w14:paraId="528B3C0A" w14:textId="77777777" w:rsidR="0081013A" w:rsidRDefault="004D3D43">
            <w:pPr>
              <w:pStyle w:val="TableParagraph"/>
              <w:spacing w:before="47" w:line="223" w:lineRule="exact"/>
              <w:ind w:left="107"/>
              <w:rPr>
                <w:sz w:val="20"/>
              </w:rPr>
            </w:pPr>
            <w:r>
              <w:rPr>
                <w:sz w:val="20"/>
              </w:rPr>
              <w:t>Add-on equipment</w:t>
            </w:r>
          </w:p>
        </w:tc>
        <w:tc>
          <w:tcPr>
            <w:tcW w:w="3024" w:type="dxa"/>
          </w:tcPr>
          <w:p w14:paraId="528B3C0B" w14:textId="77777777" w:rsidR="0081013A" w:rsidRDefault="004D3D43">
            <w:pPr>
              <w:pStyle w:val="TableParagraph"/>
              <w:spacing w:before="47" w:line="223" w:lineRule="exact"/>
              <w:ind w:left="107"/>
              <w:rPr>
                <w:sz w:val="20"/>
              </w:rPr>
            </w:pPr>
            <w:r>
              <w:rPr>
                <w:sz w:val="20"/>
              </w:rPr>
              <w:t>DnDeemDI</w:t>
            </w:r>
          </w:p>
        </w:tc>
        <w:tc>
          <w:tcPr>
            <w:tcW w:w="3024" w:type="dxa"/>
          </w:tcPr>
          <w:p w14:paraId="528B3C0C" w14:textId="77777777" w:rsidR="0081013A" w:rsidRDefault="004D3D43">
            <w:pPr>
              <w:pStyle w:val="TableParagraph"/>
              <w:spacing w:before="47" w:line="223" w:lineRule="exact"/>
              <w:ind w:left="107"/>
              <w:rPr>
                <w:sz w:val="20"/>
              </w:rPr>
            </w:pPr>
            <w:r>
              <w:rPr>
                <w:sz w:val="20"/>
              </w:rPr>
              <w:t>Res</w:t>
            </w:r>
          </w:p>
        </w:tc>
      </w:tr>
      <w:tr w:rsidR="0081013A" w14:paraId="528B3C11" w14:textId="77777777">
        <w:trPr>
          <w:trHeight w:val="290"/>
        </w:trPr>
        <w:tc>
          <w:tcPr>
            <w:tcW w:w="3024" w:type="dxa"/>
          </w:tcPr>
          <w:p w14:paraId="528B3C0E" w14:textId="77777777" w:rsidR="0081013A" w:rsidRDefault="004D3D43">
            <w:pPr>
              <w:pStyle w:val="TableParagraph"/>
              <w:spacing w:before="47" w:line="223" w:lineRule="exact"/>
              <w:ind w:left="107"/>
              <w:rPr>
                <w:sz w:val="20"/>
              </w:rPr>
            </w:pPr>
            <w:r>
              <w:rPr>
                <w:sz w:val="20"/>
              </w:rPr>
              <w:t>Add-on equipment</w:t>
            </w:r>
          </w:p>
        </w:tc>
        <w:tc>
          <w:tcPr>
            <w:tcW w:w="3024" w:type="dxa"/>
          </w:tcPr>
          <w:p w14:paraId="528B3C0F" w14:textId="77777777" w:rsidR="0081013A" w:rsidRDefault="004D3D43">
            <w:pPr>
              <w:pStyle w:val="TableParagraph"/>
              <w:spacing w:before="47" w:line="223" w:lineRule="exact"/>
              <w:ind w:left="107"/>
              <w:rPr>
                <w:sz w:val="20"/>
              </w:rPr>
            </w:pPr>
            <w:r>
              <w:rPr>
                <w:sz w:val="20"/>
              </w:rPr>
              <w:t>DnDeemDI</w:t>
            </w:r>
          </w:p>
        </w:tc>
        <w:tc>
          <w:tcPr>
            <w:tcW w:w="3024" w:type="dxa"/>
          </w:tcPr>
          <w:p w14:paraId="528B3C10" w14:textId="77777777" w:rsidR="0081013A" w:rsidRDefault="004D3D43">
            <w:pPr>
              <w:pStyle w:val="TableParagraph"/>
              <w:spacing w:before="47" w:line="223" w:lineRule="exact"/>
              <w:ind w:left="107"/>
              <w:rPr>
                <w:sz w:val="20"/>
              </w:rPr>
            </w:pPr>
            <w:r>
              <w:rPr>
                <w:sz w:val="20"/>
              </w:rPr>
              <w:t>Res</w:t>
            </w:r>
          </w:p>
        </w:tc>
      </w:tr>
      <w:tr w:rsidR="0081013A" w14:paraId="528B3C15" w14:textId="77777777">
        <w:trPr>
          <w:trHeight w:val="290"/>
        </w:trPr>
        <w:tc>
          <w:tcPr>
            <w:tcW w:w="3024" w:type="dxa"/>
          </w:tcPr>
          <w:p w14:paraId="528B3C12" w14:textId="77777777" w:rsidR="0081013A" w:rsidRDefault="004D3D43">
            <w:pPr>
              <w:pStyle w:val="TableParagraph"/>
              <w:spacing w:before="47" w:line="223" w:lineRule="exact"/>
              <w:ind w:left="107"/>
              <w:rPr>
                <w:sz w:val="20"/>
              </w:rPr>
            </w:pPr>
            <w:r>
              <w:rPr>
                <w:sz w:val="20"/>
              </w:rPr>
              <w:t>Add-on equipment</w:t>
            </w:r>
          </w:p>
        </w:tc>
        <w:tc>
          <w:tcPr>
            <w:tcW w:w="3024" w:type="dxa"/>
          </w:tcPr>
          <w:p w14:paraId="528B3C13" w14:textId="77777777" w:rsidR="0081013A" w:rsidRDefault="004D3D43">
            <w:pPr>
              <w:pStyle w:val="TableParagraph"/>
              <w:spacing w:before="47" w:line="223" w:lineRule="exact"/>
              <w:ind w:left="107"/>
              <w:rPr>
                <w:sz w:val="20"/>
              </w:rPr>
            </w:pPr>
            <w:r>
              <w:rPr>
                <w:sz w:val="20"/>
              </w:rPr>
              <w:t>UpDeemed</w:t>
            </w:r>
          </w:p>
        </w:tc>
        <w:tc>
          <w:tcPr>
            <w:tcW w:w="3024" w:type="dxa"/>
          </w:tcPr>
          <w:p w14:paraId="528B3C14" w14:textId="77777777" w:rsidR="0081013A" w:rsidRDefault="004D3D43">
            <w:pPr>
              <w:pStyle w:val="TableParagraph"/>
              <w:spacing w:before="47" w:line="223" w:lineRule="exact"/>
              <w:ind w:left="107"/>
              <w:rPr>
                <w:sz w:val="20"/>
              </w:rPr>
            </w:pPr>
            <w:r>
              <w:rPr>
                <w:sz w:val="20"/>
              </w:rPr>
              <w:t>Res</w:t>
            </w:r>
          </w:p>
        </w:tc>
      </w:tr>
    </w:tbl>
    <w:p w14:paraId="528B3C16" w14:textId="77777777" w:rsidR="0081013A" w:rsidRDefault="0081013A">
      <w:pPr>
        <w:pStyle w:val="BodyText"/>
        <w:rPr>
          <w:sz w:val="20"/>
        </w:rPr>
      </w:pPr>
    </w:p>
    <w:p w14:paraId="528B3C17" w14:textId="77777777" w:rsidR="0081013A" w:rsidRDefault="0081013A">
      <w:pPr>
        <w:pStyle w:val="BodyText"/>
        <w:spacing w:before="6"/>
        <w:rPr>
          <w:sz w:val="21"/>
        </w:rPr>
      </w:pPr>
    </w:p>
    <w:p w14:paraId="528B3C18" w14:textId="77777777" w:rsidR="0081013A" w:rsidRDefault="004D3D43">
      <w:pPr>
        <w:pStyle w:val="BodyText"/>
        <w:ind w:left="119" w:right="327"/>
      </w:pPr>
      <w:r>
        <w:t xml:space="preserve">For </w:t>
      </w:r>
      <w:r>
        <w:rPr>
          <w:i/>
        </w:rPr>
        <w:t xml:space="preserve">accelerated replacement </w:t>
      </w:r>
      <w:r>
        <w:t>application types, this measure adopts the program-level “Preponderance of Evidence Assessment” described in Version 2.0 of the Accelerated Replacement Using Preponderance of Evidence report developed by the utilities and stakeholders to provide guidance for the California</w:t>
      </w:r>
    </w:p>
    <w:p w14:paraId="528B3C19" w14:textId="77777777" w:rsidR="0081013A" w:rsidRDefault="0081013A">
      <w:pPr>
        <w:pStyle w:val="BodyText"/>
        <w:rPr>
          <w:sz w:val="20"/>
        </w:rPr>
      </w:pPr>
    </w:p>
    <w:p w14:paraId="528B3C1A" w14:textId="77777777" w:rsidR="0081013A" w:rsidRDefault="0081013A">
      <w:pPr>
        <w:pStyle w:val="BodyText"/>
        <w:rPr>
          <w:sz w:val="20"/>
        </w:rPr>
      </w:pPr>
    </w:p>
    <w:p w14:paraId="528B3C1B" w14:textId="77777777" w:rsidR="0081013A" w:rsidRDefault="0081013A">
      <w:pPr>
        <w:pStyle w:val="BodyText"/>
        <w:rPr>
          <w:sz w:val="20"/>
        </w:rPr>
      </w:pPr>
    </w:p>
    <w:p w14:paraId="528B3C1C" w14:textId="77777777" w:rsidR="0081013A" w:rsidRDefault="0081013A">
      <w:pPr>
        <w:pStyle w:val="BodyText"/>
        <w:rPr>
          <w:sz w:val="20"/>
        </w:rPr>
      </w:pPr>
    </w:p>
    <w:p w14:paraId="528B3C1D" w14:textId="77777777" w:rsidR="0081013A" w:rsidRDefault="0081013A">
      <w:pPr>
        <w:pStyle w:val="BodyText"/>
        <w:spacing w:before="7"/>
        <w:rPr>
          <w:sz w:val="16"/>
        </w:rPr>
      </w:pPr>
    </w:p>
    <w:p w14:paraId="528B3C1E" w14:textId="77777777" w:rsidR="0081013A" w:rsidRDefault="004D3D43">
      <w:pPr>
        <w:spacing w:before="95" w:line="244" w:lineRule="auto"/>
        <w:ind w:left="120" w:right="362" w:hanging="1"/>
        <w:rPr>
          <w:sz w:val="18"/>
        </w:rPr>
      </w:pPr>
      <w:bookmarkStart w:id="13" w:name="_bookmark4"/>
      <w:bookmarkEnd w:id="13"/>
      <w:r>
        <w:rPr>
          <w:rFonts w:ascii="Times New Roman"/>
          <w:position w:val="9"/>
          <w:sz w:val="16"/>
        </w:rPr>
        <w:t xml:space="preserve">5 </w:t>
      </w:r>
      <w:r>
        <w:rPr>
          <w:sz w:val="18"/>
        </w:rPr>
        <w:t xml:space="preserve">Henron, H. and C. Engebrecht. 2010. </w:t>
      </w:r>
      <w:r>
        <w:rPr>
          <w:i/>
          <w:sz w:val="18"/>
        </w:rPr>
        <w:t xml:space="preserve">Building America House Simulation Protocols. </w:t>
      </w:r>
      <w:r>
        <w:rPr>
          <w:sz w:val="18"/>
        </w:rPr>
        <w:t>Prepared for the U.S. Department of Energy Building Technologies Program. Golden, CO: National Renewable Energy Laboratory (NREL). NREL Report Number TP-550-49426.</w:t>
      </w:r>
    </w:p>
    <w:p w14:paraId="528B3C1F" w14:textId="77777777" w:rsidR="0081013A" w:rsidRDefault="0081013A">
      <w:pPr>
        <w:spacing w:line="244" w:lineRule="auto"/>
        <w:rPr>
          <w:sz w:val="18"/>
        </w:rPr>
        <w:sectPr w:rsidR="0081013A">
          <w:headerReference w:type="default" r:id="rId11"/>
          <w:footerReference w:type="default" r:id="rId12"/>
          <w:pgSz w:w="12240" w:h="15840"/>
          <w:pgMar w:top="1220" w:right="1120" w:bottom="1640" w:left="1320" w:header="858" w:footer="1444" w:gutter="0"/>
          <w:cols w:space="720"/>
        </w:sectPr>
      </w:pPr>
    </w:p>
    <w:p w14:paraId="528B3C20" w14:textId="77777777" w:rsidR="0081013A" w:rsidRDefault="0081013A">
      <w:pPr>
        <w:pStyle w:val="BodyText"/>
        <w:spacing w:before="4"/>
        <w:rPr>
          <w:sz w:val="18"/>
        </w:rPr>
      </w:pPr>
    </w:p>
    <w:p w14:paraId="528B3C21" w14:textId="77777777" w:rsidR="0081013A" w:rsidRDefault="004D3D43">
      <w:pPr>
        <w:pStyle w:val="BodyText"/>
        <w:spacing w:before="75"/>
        <w:ind w:left="120" w:right="1307"/>
      </w:pPr>
      <w:r>
        <w:t>programs (“POEV 2.0”, see Section 7).</w:t>
      </w:r>
      <w:hyperlink w:anchor="_bookmark5" w:history="1">
        <w:r>
          <w:rPr>
            <w:vertAlign w:val="superscript"/>
          </w:rPr>
          <w:t>6</w:t>
        </w:r>
      </w:hyperlink>
      <w:r>
        <w:t>. “Continued viability” and “program influence” must be demonstrated as the evidence of accelerated replacement.</w:t>
      </w:r>
    </w:p>
    <w:p w14:paraId="528B3C22" w14:textId="77777777" w:rsidR="0081013A" w:rsidRDefault="004D3D43">
      <w:pPr>
        <w:pStyle w:val="BodyText"/>
        <w:spacing w:before="120"/>
        <w:ind w:left="120" w:right="687"/>
      </w:pPr>
      <w:r>
        <w:t xml:space="preserve">To demonstrate the </w:t>
      </w:r>
      <w:r>
        <w:rPr>
          <w:i/>
        </w:rPr>
        <w:t xml:space="preserve">viability </w:t>
      </w:r>
      <w:r>
        <w:t>of the pre-existing system or to show that the program is replacing equipment that is “installed and operating,” the customer must be approached by a direct install implementer. Additionally, the program must obtain and provide additional documentation, including (but not limited to) the following:</w:t>
      </w:r>
    </w:p>
    <w:p w14:paraId="528B3C23" w14:textId="77777777" w:rsidR="0081013A" w:rsidRDefault="004D3D43">
      <w:pPr>
        <w:pStyle w:val="ListParagraph"/>
        <w:numPr>
          <w:ilvl w:val="0"/>
          <w:numId w:val="1"/>
        </w:numPr>
        <w:tabs>
          <w:tab w:val="left" w:pos="840"/>
          <w:tab w:val="left" w:pos="841"/>
        </w:tabs>
        <w:spacing w:before="118"/>
      </w:pPr>
      <w:r>
        <w:t>Targeted segment of the market or</w:t>
      </w:r>
      <w:r>
        <w:rPr>
          <w:spacing w:val="-6"/>
        </w:rPr>
        <w:t xml:space="preserve"> </w:t>
      </w:r>
      <w:r>
        <w:t>customers</w:t>
      </w:r>
    </w:p>
    <w:p w14:paraId="528B3C24" w14:textId="77777777" w:rsidR="0081013A" w:rsidRDefault="004D3D43">
      <w:pPr>
        <w:pStyle w:val="ListParagraph"/>
        <w:numPr>
          <w:ilvl w:val="0"/>
          <w:numId w:val="1"/>
        </w:numPr>
        <w:tabs>
          <w:tab w:val="left" w:pos="840"/>
          <w:tab w:val="left" w:pos="841"/>
        </w:tabs>
      </w:pPr>
      <w:r>
        <w:t>Customer/site</w:t>
      </w:r>
      <w:r>
        <w:rPr>
          <w:spacing w:val="-2"/>
        </w:rPr>
        <w:t xml:space="preserve"> </w:t>
      </w:r>
      <w:r>
        <w:t>information</w:t>
      </w:r>
    </w:p>
    <w:p w14:paraId="528B3C25" w14:textId="77777777" w:rsidR="0081013A" w:rsidRDefault="004D3D43">
      <w:pPr>
        <w:pStyle w:val="ListParagraph"/>
        <w:numPr>
          <w:ilvl w:val="0"/>
          <w:numId w:val="1"/>
        </w:numPr>
        <w:tabs>
          <w:tab w:val="left" w:pos="840"/>
          <w:tab w:val="left" w:pos="841"/>
        </w:tabs>
      </w:pPr>
      <w:r>
        <w:t>Make/model of pre-existing equipment</w:t>
      </w:r>
      <w:r>
        <w:rPr>
          <w:spacing w:val="-9"/>
        </w:rPr>
        <w:t xml:space="preserve"> </w:t>
      </w:r>
      <w:r>
        <w:t>and/or</w:t>
      </w:r>
    </w:p>
    <w:p w14:paraId="528B3C26" w14:textId="77777777" w:rsidR="0081013A" w:rsidRDefault="004D3D43">
      <w:pPr>
        <w:pStyle w:val="ListParagraph"/>
        <w:numPr>
          <w:ilvl w:val="0"/>
          <w:numId w:val="1"/>
        </w:numPr>
        <w:tabs>
          <w:tab w:val="left" w:pos="840"/>
          <w:tab w:val="left" w:pos="841"/>
        </w:tabs>
        <w:spacing w:before="0"/>
      </w:pPr>
      <w:r>
        <w:t>Performance/flowrate measurements of pre-existing equipment,</w:t>
      </w:r>
      <w:r>
        <w:rPr>
          <w:spacing w:val="-6"/>
        </w:rPr>
        <w:t xml:space="preserve"> </w:t>
      </w:r>
      <w:r>
        <w:t>and/or</w:t>
      </w:r>
    </w:p>
    <w:p w14:paraId="528B3C27" w14:textId="77777777" w:rsidR="0081013A" w:rsidRDefault="004D3D43">
      <w:pPr>
        <w:pStyle w:val="ListParagraph"/>
        <w:numPr>
          <w:ilvl w:val="0"/>
          <w:numId w:val="1"/>
        </w:numPr>
        <w:tabs>
          <w:tab w:val="left" w:pos="840"/>
          <w:tab w:val="left" w:pos="841"/>
        </w:tabs>
      </w:pPr>
      <w:r>
        <w:t>Photograph of pre-existing equipment in place and</w:t>
      </w:r>
      <w:r>
        <w:rPr>
          <w:spacing w:val="-13"/>
        </w:rPr>
        <w:t xml:space="preserve"> </w:t>
      </w:r>
      <w:r>
        <w:t>operating</w:t>
      </w:r>
    </w:p>
    <w:p w14:paraId="528B3C28" w14:textId="77777777" w:rsidR="0081013A" w:rsidRDefault="004D3D43">
      <w:pPr>
        <w:pStyle w:val="BodyText"/>
        <w:spacing w:before="120"/>
        <w:ind w:left="120" w:right="942"/>
      </w:pPr>
      <w:r>
        <w:t>Specific documentation requirements will be determined by the program administrator and will be specified in the program implementation plan.</w:t>
      </w:r>
    </w:p>
    <w:p w14:paraId="528B3C29" w14:textId="77777777" w:rsidR="0081013A" w:rsidRDefault="004D3D43">
      <w:pPr>
        <w:pStyle w:val="BodyText"/>
        <w:spacing w:before="118"/>
        <w:ind w:left="120"/>
      </w:pPr>
      <w:r>
        <w:rPr>
          <w:i/>
        </w:rPr>
        <w:t xml:space="preserve">Program influence </w:t>
      </w:r>
      <w:r>
        <w:t>evidence can be demonstrated through one of the three alternatives listed in Section</w:t>
      </w:r>
    </w:p>
    <w:p w14:paraId="528B3C2A" w14:textId="77777777" w:rsidR="0081013A" w:rsidRDefault="004D3D43">
      <w:pPr>
        <w:pStyle w:val="BodyText"/>
        <w:ind w:left="120" w:right="429"/>
      </w:pPr>
      <w:r>
        <w:t>7.3 of POEV 2.0. This measure establishes the program-level evidence of program influence by adopting the net-to-gross (NTG) ratio from prior program evaluation results.</w:t>
      </w:r>
    </w:p>
    <w:p w14:paraId="528B3C2B" w14:textId="77777777" w:rsidR="0081013A" w:rsidRDefault="0081013A">
      <w:pPr>
        <w:pStyle w:val="BodyText"/>
      </w:pPr>
    </w:p>
    <w:p w14:paraId="528B3C2C" w14:textId="77777777" w:rsidR="0081013A" w:rsidRDefault="0081013A">
      <w:pPr>
        <w:pStyle w:val="BodyText"/>
        <w:spacing w:before="9"/>
        <w:rPr>
          <w:sz w:val="19"/>
        </w:rPr>
      </w:pPr>
    </w:p>
    <w:p w14:paraId="528B3C2D" w14:textId="77777777" w:rsidR="0081013A" w:rsidRDefault="004D3D43">
      <w:pPr>
        <w:ind w:left="120"/>
        <w:rPr>
          <w:i/>
        </w:rPr>
      </w:pPr>
      <w:r>
        <w:rPr>
          <w:i/>
          <w:color w:val="5F5F5F"/>
        </w:rPr>
        <w:t xml:space="preserve">Eligible Products </w:t>
      </w:r>
    </w:p>
    <w:p w14:paraId="528B3C2E" w14:textId="77777777" w:rsidR="0081013A" w:rsidRDefault="004D3D43">
      <w:pPr>
        <w:pStyle w:val="BodyText"/>
        <w:spacing w:before="120"/>
        <w:ind w:left="120" w:right="1140"/>
      </w:pPr>
      <w:r>
        <w:t>The low-flow showerhead or flow control valve must meet the specification in the Measure Case Description.</w:t>
      </w:r>
    </w:p>
    <w:p w14:paraId="528B3C2F" w14:textId="77777777" w:rsidR="0081013A" w:rsidRDefault="004D3D43">
      <w:pPr>
        <w:spacing w:before="121"/>
        <w:ind w:left="120"/>
        <w:rPr>
          <w:i/>
        </w:rPr>
      </w:pPr>
      <w:r>
        <w:rPr>
          <w:i/>
        </w:rPr>
        <w:t xml:space="preserve"> </w:t>
      </w:r>
    </w:p>
    <w:p w14:paraId="528B3C30" w14:textId="77777777" w:rsidR="0081013A" w:rsidRDefault="004D3D43">
      <w:pPr>
        <w:spacing w:before="120"/>
        <w:ind w:left="120"/>
        <w:rPr>
          <w:i/>
        </w:rPr>
      </w:pPr>
      <w:r>
        <w:rPr>
          <w:i/>
          <w:color w:val="5F5F5F"/>
        </w:rPr>
        <w:t xml:space="preserve">Eligible Building Types </w:t>
      </w:r>
    </w:p>
    <w:p w14:paraId="528B3C31" w14:textId="77777777" w:rsidR="0081013A" w:rsidRDefault="004D3D43">
      <w:pPr>
        <w:pStyle w:val="BodyText"/>
        <w:spacing w:before="118"/>
        <w:ind w:left="119" w:right="417"/>
      </w:pPr>
      <w:r>
        <w:t>This measure is applicable in all existing California residential households of any vintage, including single- family, multifamily, and mobile homes.</w:t>
      </w:r>
    </w:p>
    <w:p w14:paraId="528B3C32" w14:textId="77777777" w:rsidR="0081013A" w:rsidRDefault="0081013A">
      <w:pPr>
        <w:pStyle w:val="BodyText"/>
      </w:pPr>
    </w:p>
    <w:p w14:paraId="528B3C33" w14:textId="77777777" w:rsidR="0081013A" w:rsidRDefault="0081013A">
      <w:pPr>
        <w:pStyle w:val="BodyText"/>
        <w:spacing w:before="8"/>
        <w:rPr>
          <w:sz w:val="19"/>
        </w:rPr>
      </w:pPr>
    </w:p>
    <w:p w14:paraId="528B3C34" w14:textId="77777777" w:rsidR="0081013A" w:rsidRDefault="004D3D43">
      <w:pPr>
        <w:spacing w:before="1"/>
        <w:ind w:left="119"/>
        <w:rPr>
          <w:i/>
        </w:rPr>
      </w:pPr>
      <w:r>
        <w:rPr>
          <w:i/>
          <w:color w:val="5F5F5F"/>
        </w:rPr>
        <w:t xml:space="preserve">Eligible Climate Zones </w:t>
      </w:r>
    </w:p>
    <w:p w14:paraId="528B3C35" w14:textId="77777777" w:rsidR="0081013A" w:rsidRDefault="004D3D43">
      <w:pPr>
        <w:pStyle w:val="BodyText"/>
        <w:spacing w:before="120"/>
        <w:ind w:left="119"/>
      </w:pPr>
      <w:r>
        <w:t>The measure is applicable in all California climate zones.</w:t>
      </w:r>
    </w:p>
    <w:p w14:paraId="528B3C36" w14:textId="77777777" w:rsidR="0081013A" w:rsidRDefault="0081013A">
      <w:pPr>
        <w:pStyle w:val="BodyText"/>
      </w:pPr>
    </w:p>
    <w:p w14:paraId="528B3C37" w14:textId="77777777" w:rsidR="0081013A" w:rsidRDefault="0081013A">
      <w:pPr>
        <w:pStyle w:val="BodyText"/>
        <w:spacing w:before="9"/>
        <w:rPr>
          <w:sz w:val="20"/>
        </w:rPr>
      </w:pPr>
    </w:p>
    <w:p w14:paraId="528B3C38" w14:textId="77777777" w:rsidR="0081013A" w:rsidRDefault="004D3D43">
      <w:pPr>
        <w:pStyle w:val="Heading1"/>
      </w:pPr>
      <w:bookmarkStart w:id="14" w:name="_TOC_250015"/>
      <w:bookmarkEnd w:id="14"/>
      <w:r>
        <w:rPr>
          <w:color w:val="CFAB79"/>
        </w:rPr>
        <w:t>PROGRAM EXCLUSIONS</w:t>
      </w:r>
    </w:p>
    <w:p w14:paraId="528B3C39" w14:textId="77777777" w:rsidR="0081013A" w:rsidRDefault="004D3D43">
      <w:pPr>
        <w:pStyle w:val="BodyText"/>
        <w:spacing w:before="115"/>
        <w:ind w:left="120"/>
      </w:pPr>
      <w:r>
        <w:t>None.</w:t>
      </w:r>
    </w:p>
    <w:p w14:paraId="528B3C3A" w14:textId="77777777" w:rsidR="0081013A" w:rsidRDefault="0081013A">
      <w:pPr>
        <w:pStyle w:val="BodyText"/>
        <w:rPr>
          <w:sz w:val="20"/>
        </w:rPr>
      </w:pPr>
    </w:p>
    <w:p w14:paraId="528B3C3B" w14:textId="77777777" w:rsidR="0081013A" w:rsidRDefault="0081013A">
      <w:pPr>
        <w:pStyle w:val="BodyText"/>
        <w:rPr>
          <w:sz w:val="20"/>
        </w:rPr>
      </w:pPr>
    </w:p>
    <w:p w14:paraId="528B3C3C" w14:textId="77777777" w:rsidR="0081013A" w:rsidRDefault="0081013A">
      <w:pPr>
        <w:pStyle w:val="BodyText"/>
        <w:rPr>
          <w:sz w:val="20"/>
        </w:rPr>
      </w:pPr>
    </w:p>
    <w:p w14:paraId="528B3C3D" w14:textId="77777777" w:rsidR="0081013A" w:rsidRDefault="0081013A">
      <w:pPr>
        <w:pStyle w:val="BodyText"/>
        <w:rPr>
          <w:sz w:val="20"/>
        </w:rPr>
      </w:pPr>
    </w:p>
    <w:p w14:paraId="528B3C3E" w14:textId="77777777" w:rsidR="0081013A" w:rsidRDefault="0081013A">
      <w:pPr>
        <w:pStyle w:val="BodyText"/>
        <w:rPr>
          <w:sz w:val="20"/>
        </w:rPr>
      </w:pPr>
    </w:p>
    <w:p w14:paraId="528B3C3F" w14:textId="77777777" w:rsidR="0081013A" w:rsidRDefault="004A0AE2">
      <w:pPr>
        <w:pStyle w:val="BodyText"/>
        <w:spacing w:before="3"/>
      </w:pPr>
      <w:r>
        <w:pict w14:anchorId="528B3FBD">
          <v:shape id="_x0000_s1040" style="position:absolute;margin-left:1in;margin-top:15.95pt;width:2in;height:.1pt;z-index:-251655168;mso-wrap-distance-left:0;mso-wrap-distance-right:0;mso-position-horizontal-relative:page" coordorigin="1440,319" coordsize="2880,0" path="m1440,319r2880,e" filled="f" strokeweight=".72pt">
            <v:path arrowok="t"/>
            <w10:wrap type="topAndBottom" anchorx="page"/>
          </v:shape>
        </w:pict>
      </w:r>
    </w:p>
    <w:p w14:paraId="528B3C40" w14:textId="77777777" w:rsidR="0081013A" w:rsidRDefault="0081013A">
      <w:pPr>
        <w:pStyle w:val="BodyText"/>
        <w:rPr>
          <w:sz w:val="20"/>
        </w:rPr>
      </w:pPr>
    </w:p>
    <w:p w14:paraId="528B3C41" w14:textId="77777777" w:rsidR="0081013A" w:rsidRDefault="0081013A">
      <w:pPr>
        <w:pStyle w:val="BodyText"/>
        <w:spacing w:before="4"/>
        <w:rPr>
          <w:sz w:val="21"/>
        </w:rPr>
      </w:pPr>
    </w:p>
    <w:p w14:paraId="528B3C42" w14:textId="77777777" w:rsidR="0081013A" w:rsidRDefault="004D3D43">
      <w:pPr>
        <w:spacing w:before="71"/>
        <w:ind w:left="120"/>
        <w:rPr>
          <w:i/>
        </w:rPr>
      </w:pPr>
      <w:bookmarkStart w:id="15" w:name="_bookmark5"/>
      <w:bookmarkEnd w:id="15"/>
      <w:r>
        <w:rPr>
          <w:position w:val="8"/>
          <w:sz w:val="14"/>
        </w:rPr>
        <w:t xml:space="preserve">6 </w:t>
      </w:r>
      <w:r>
        <w:t xml:space="preserve">Track 1 Working Group. 2016. </w:t>
      </w:r>
      <w:r>
        <w:rPr>
          <w:i/>
        </w:rPr>
        <w:t>Accelerated Replacement Using Preponderance of Evidence. Version 2.0.</w:t>
      </w:r>
    </w:p>
    <w:p w14:paraId="528B3C43" w14:textId="77777777" w:rsidR="0081013A" w:rsidRDefault="004D3D43">
      <w:pPr>
        <w:pStyle w:val="BodyText"/>
        <w:ind w:left="119"/>
      </w:pPr>
      <w:r>
        <w:t>December 7.</w:t>
      </w:r>
    </w:p>
    <w:p w14:paraId="528B3C44" w14:textId="77777777" w:rsidR="0081013A" w:rsidRDefault="0081013A">
      <w:pPr>
        <w:sectPr w:rsidR="0081013A">
          <w:headerReference w:type="default" r:id="rId13"/>
          <w:footerReference w:type="default" r:id="rId14"/>
          <w:pgSz w:w="12240" w:h="15840"/>
          <w:pgMar w:top="1220" w:right="1120" w:bottom="1320" w:left="1320" w:header="858" w:footer="1129" w:gutter="0"/>
          <w:pgNumType w:start="6"/>
          <w:cols w:space="720"/>
        </w:sectPr>
      </w:pPr>
    </w:p>
    <w:p w14:paraId="528B3C45" w14:textId="77777777" w:rsidR="0081013A" w:rsidRDefault="0081013A">
      <w:pPr>
        <w:pStyle w:val="BodyText"/>
        <w:spacing w:before="2"/>
        <w:rPr>
          <w:sz w:val="21"/>
        </w:rPr>
      </w:pPr>
    </w:p>
    <w:p w14:paraId="528B3C46" w14:textId="77777777" w:rsidR="0081013A" w:rsidRDefault="004D3D43">
      <w:pPr>
        <w:pStyle w:val="Heading1"/>
        <w:spacing w:before="52"/>
      </w:pPr>
      <w:bookmarkStart w:id="16" w:name="_TOC_250014"/>
      <w:bookmarkEnd w:id="16"/>
      <w:r>
        <w:rPr>
          <w:color w:val="CFAB79"/>
        </w:rPr>
        <w:t>DATA COLLECTION REQUIREMENTS</w:t>
      </w:r>
    </w:p>
    <w:p w14:paraId="528B3C47" w14:textId="77777777" w:rsidR="0081013A" w:rsidRDefault="004D3D43">
      <w:pPr>
        <w:pStyle w:val="BodyText"/>
        <w:spacing w:before="115"/>
        <w:ind w:left="120"/>
      </w:pPr>
      <w:r>
        <w:t>Data collection requirements are to be determined.</w:t>
      </w:r>
    </w:p>
    <w:p w14:paraId="528B3C48" w14:textId="77777777" w:rsidR="0081013A" w:rsidRDefault="0081013A">
      <w:pPr>
        <w:pStyle w:val="BodyText"/>
      </w:pPr>
    </w:p>
    <w:p w14:paraId="528B3C49" w14:textId="77777777" w:rsidR="0081013A" w:rsidRDefault="0081013A">
      <w:pPr>
        <w:pStyle w:val="BodyText"/>
        <w:spacing w:before="8"/>
        <w:rPr>
          <w:sz w:val="20"/>
        </w:rPr>
      </w:pPr>
    </w:p>
    <w:p w14:paraId="528B3C4A" w14:textId="77777777" w:rsidR="0081013A" w:rsidRDefault="004D3D43">
      <w:pPr>
        <w:pStyle w:val="Heading1"/>
      </w:pPr>
      <w:bookmarkStart w:id="17" w:name="_TOC_250013"/>
      <w:bookmarkEnd w:id="17"/>
      <w:r>
        <w:rPr>
          <w:color w:val="CFAB79"/>
        </w:rPr>
        <w:t>USE CATEGORY</w:t>
      </w:r>
    </w:p>
    <w:p w14:paraId="528B3C4B" w14:textId="77777777" w:rsidR="0081013A" w:rsidRDefault="004D3D43">
      <w:pPr>
        <w:pStyle w:val="BodyText"/>
        <w:spacing w:before="115"/>
        <w:ind w:left="120"/>
      </w:pPr>
      <w:r>
        <w:t>Service &amp; Domestic Hot Water</w:t>
      </w:r>
    </w:p>
    <w:p w14:paraId="528B3C4C" w14:textId="77777777" w:rsidR="0081013A" w:rsidRDefault="0081013A">
      <w:pPr>
        <w:pStyle w:val="BodyText"/>
      </w:pPr>
    </w:p>
    <w:p w14:paraId="528B3C4D" w14:textId="77777777" w:rsidR="0081013A" w:rsidRDefault="0081013A">
      <w:pPr>
        <w:pStyle w:val="BodyText"/>
        <w:spacing w:before="9"/>
        <w:rPr>
          <w:sz w:val="20"/>
        </w:rPr>
      </w:pPr>
    </w:p>
    <w:p w14:paraId="528B3C4E" w14:textId="77777777" w:rsidR="0081013A" w:rsidRDefault="004D3D43">
      <w:pPr>
        <w:pStyle w:val="Heading1"/>
      </w:pPr>
      <w:bookmarkStart w:id="18" w:name="_TOC_250012"/>
      <w:bookmarkEnd w:id="18"/>
      <w:r>
        <w:rPr>
          <w:color w:val="CFAB79"/>
        </w:rPr>
        <w:t>ELECTRIC SAVINGS (kWh)</w:t>
      </w:r>
    </w:p>
    <w:p w14:paraId="528B3C4F" w14:textId="77777777" w:rsidR="0081013A" w:rsidRDefault="004D3D43">
      <w:pPr>
        <w:pStyle w:val="BodyText"/>
        <w:spacing w:before="115"/>
        <w:ind w:left="119" w:right="641"/>
      </w:pPr>
      <w:r>
        <w:t>The electric unit energy savings (UES) from the installation of a low-flow showerhead or a flow-control valve is determined by the reduction of hot water usage and the reduction in energy consumption required to heat water for showers.</w:t>
      </w:r>
    </w:p>
    <w:p w14:paraId="528B3C50" w14:textId="77777777" w:rsidR="0081013A" w:rsidRDefault="004D3D43">
      <w:pPr>
        <w:pStyle w:val="BodyText"/>
        <w:spacing w:before="120"/>
        <w:ind w:left="119" w:right="400"/>
      </w:pPr>
      <w:r>
        <w:t>The electric UES is derived from the gas UES, the ratio of the recovery efficiency of a gas water heater to that an electric water heater, and a therm-to-kWh conversion factor. Refer to the Gas Savings section for the derivation of the gas UES. All other inputs used for this calculation are presented in the following table.</w:t>
      </w:r>
    </w:p>
    <w:p w14:paraId="5B1A2BC9" w14:textId="77777777" w:rsidR="0081013A" w:rsidRDefault="0081013A"/>
    <w:p w14:paraId="528B3C51" w14:textId="547D9310" w:rsidR="007E6B7E" w:rsidRDefault="004A0AE2" w:rsidP="003543C2">
      <w:pPr>
        <w:ind w:left="900"/>
        <w:sectPr w:rsidR="007E6B7E">
          <w:pgSz w:w="12240" w:h="15840"/>
          <w:pgMar w:top="1220" w:right="1120" w:bottom="1320" w:left="1320" w:header="858" w:footer="1129" w:gutter="0"/>
          <w:cols w:space="720"/>
        </w:sectPr>
      </w:pPr>
      <m:oMath>
        <m:sSub>
          <m:sSubPr>
            <m:ctrlPr>
              <w:rPr>
                <w:rFonts w:ascii="Cambria Math" w:hAnsi="Cambria Math"/>
                <w:i/>
                <w:sz w:val="20"/>
                <w:szCs w:val="20"/>
              </w:rPr>
            </m:ctrlPr>
          </m:sSubPr>
          <m:e>
            <m:r>
              <w:rPr>
                <w:rFonts w:ascii="Cambria Math" w:hAnsi="Cambria Math"/>
                <w:sz w:val="20"/>
                <w:szCs w:val="20"/>
              </w:rPr>
              <m:t>UES</m:t>
            </m:r>
          </m:e>
          <m:sub>
            <m:r>
              <w:rPr>
                <w:rFonts w:ascii="Cambria Math" w:hAnsi="Cambria Math"/>
                <w:sz w:val="20"/>
                <w:szCs w:val="20"/>
              </w:rPr>
              <m:t>kWh</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UES</m:t>
            </m:r>
          </m:e>
          <m:sub>
            <m:r>
              <w:rPr>
                <w:rFonts w:ascii="Cambria Math" w:hAnsi="Cambria Math"/>
                <w:sz w:val="20"/>
                <w:szCs w:val="20"/>
              </w:rPr>
              <m:t>therms</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EFF</m:t>
                </m:r>
              </m:e>
              <m:sub>
                <m:r>
                  <w:rPr>
                    <w:rFonts w:ascii="Cambria Math" w:hAnsi="Cambria Math"/>
                    <w:sz w:val="20"/>
                    <w:szCs w:val="20"/>
                  </w:rPr>
                  <m:t>gas</m:t>
                </m:r>
              </m:sub>
            </m:sSub>
          </m:num>
          <m:den>
            <m:sSub>
              <m:sSubPr>
                <m:ctrlPr>
                  <w:rPr>
                    <w:rFonts w:ascii="Cambria Math" w:hAnsi="Cambria Math"/>
                    <w:i/>
                    <w:sz w:val="20"/>
                    <w:szCs w:val="20"/>
                  </w:rPr>
                </m:ctrlPr>
              </m:sSubPr>
              <m:e>
                <m:r>
                  <w:rPr>
                    <w:rFonts w:ascii="Cambria Math" w:hAnsi="Cambria Math"/>
                    <w:sz w:val="20"/>
                    <w:szCs w:val="20"/>
                  </w:rPr>
                  <m:t>EFF</m:t>
                </m:r>
              </m:e>
              <m:sub>
                <m:r>
                  <w:rPr>
                    <w:rFonts w:ascii="Cambria Math" w:hAnsi="Cambria Math"/>
                    <w:sz w:val="20"/>
                    <w:szCs w:val="20"/>
                  </w:rPr>
                  <m:t>elec</m:t>
                </m:r>
              </m:sub>
            </m:sSub>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100,000 BTU</m:t>
            </m:r>
          </m:num>
          <m:den>
            <m:r>
              <w:rPr>
                <w:rFonts w:ascii="Cambria Math" w:hAnsi="Cambria Math"/>
                <w:sz w:val="20"/>
                <w:szCs w:val="20"/>
              </w:rPr>
              <m:t>therm</m:t>
            </m:r>
          </m:den>
        </m:f>
        <m:r>
          <w:rPr>
            <w:rFonts w:ascii="Cambria Math" w:hAnsi="Cambria Math"/>
            <w:sz w:val="20"/>
            <w:szCs w:val="20"/>
          </w:rPr>
          <m:t>×</m:t>
        </m:r>
        <m:f>
          <m:fPr>
            <m:ctrlPr>
              <w:rPr>
                <w:rFonts w:ascii="Cambria Math" w:hAnsi="Cambria Math"/>
                <w:i/>
                <w:sz w:val="20"/>
                <w:szCs w:val="20"/>
              </w:rPr>
            </m:ctrlPr>
          </m:fPr>
          <m:num>
            <m:r>
              <w:rPr>
                <w:rFonts w:ascii="Cambria Math" w:hAnsi="Cambria Math"/>
                <w:sz w:val="20"/>
                <w:szCs w:val="20"/>
              </w:rPr>
              <m:t>kWh</m:t>
            </m:r>
          </m:num>
          <m:den>
            <m:r>
              <w:rPr>
                <w:rFonts w:ascii="Cambria Math" w:hAnsi="Cambria Math"/>
                <w:sz w:val="20"/>
                <w:szCs w:val="20"/>
              </w:rPr>
              <m:t>3,413 BTU</m:t>
            </m:r>
          </m:den>
        </m:f>
      </m:oMath>
      <w:r w:rsidR="00E47F0F">
        <w:t xml:space="preserve"> </w:t>
      </w:r>
    </w:p>
    <w:p w14:paraId="528B3C59" w14:textId="77777777" w:rsidR="0081013A" w:rsidRDefault="0081013A">
      <w:pPr>
        <w:spacing w:line="300" w:lineRule="exact"/>
        <w:rPr>
          <w:rFonts w:ascii="Cambria Math" w:eastAsia="Cambria Math" w:hAnsi="Cambria Math"/>
          <w:sz w:val="18"/>
        </w:rPr>
        <w:sectPr w:rsidR="0081013A">
          <w:type w:val="continuous"/>
          <w:pgSz w:w="12240" w:h="15840"/>
          <w:pgMar w:top="1220" w:right="1120" w:bottom="1320" w:left="1320" w:header="720" w:footer="720" w:gutter="0"/>
          <w:cols w:num="2" w:space="720" w:equalWidth="0">
            <w:col w:w="3515" w:space="40"/>
            <w:col w:w="6245"/>
          </w:cols>
        </w:sectPr>
      </w:pPr>
    </w:p>
    <w:p w14:paraId="528B3C5A" w14:textId="77777777" w:rsidR="0081013A" w:rsidRDefault="004D3D43">
      <w:pPr>
        <w:tabs>
          <w:tab w:val="left" w:pos="2999"/>
        </w:tabs>
        <w:spacing w:before="92" w:line="259" w:lineRule="auto"/>
        <w:ind w:left="1560" w:right="3305"/>
        <w:rPr>
          <w:rFonts w:ascii="Cambria Math"/>
          <w:i/>
          <w:sz w:val="19"/>
        </w:rPr>
      </w:pPr>
      <w:r>
        <w:rPr>
          <w:rFonts w:ascii="Cambria Math"/>
          <w:i/>
          <w:position w:val="1"/>
          <w:sz w:val="19"/>
        </w:rPr>
        <w:t>UES</w:t>
      </w:r>
      <w:r>
        <w:rPr>
          <w:rFonts w:ascii="Cambria Math"/>
          <w:i/>
          <w:sz w:val="12"/>
        </w:rPr>
        <w:t>kWh</w:t>
      </w:r>
      <w:r>
        <w:rPr>
          <w:rFonts w:ascii="Cambria Math"/>
          <w:i/>
          <w:spacing w:val="7"/>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Annual electric unit energy savings</w:t>
      </w:r>
      <w:r>
        <w:rPr>
          <w:rFonts w:ascii="Cambria Math"/>
          <w:i/>
          <w:spacing w:val="-25"/>
          <w:w w:val="95"/>
          <w:position w:val="1"/>
          <w:sz w:val="19"/>
        </w:rPr>
        <w:t xml:space="preserve"> </w:t>
      </w:r>
      <w:r>
        <w:rPr>
          <w:rFonts w:ascii="Cambria Math"/>
          <w:i/>
          <w:w w:val="95"/>
          <w:position w:val="1"/>
          <w:sz w:val="19"/>
        </w:rPr>
        <w:t xml:space="preserve">(kWh/yr) </w:t>
      </w:r>
      <w:r>
        <w:rPr>
          <w:rFonts w:ascii="Cambria Math"/>
          <w:i/>
          <w:position w:val="1"/>
          <w:sz w:val="19"/>
        </w:rPr>
        <w:t>UES</w:t>
      </w:r>
      <w:r>
        <w:rPr>
          <w:rFonts w:ascii="Cambria Math"/>
          <w:i/>
          <w:sz w:val="12"/>
        </w:rPr>
        <w:t>therms</w:t>
      </w:r>
      <w:r>
        <w:rPr>
          <w:rFonts w:ascii="Cambria Math"/>
          <w:i/>
          <w:spacing w:val="5"/>
          <w:sz w:val="12"/>
        </w:rPr>
        <w:t xml:space="preserve"> </w:t>
      </w:r>
      <w:r>
        <w:rPr>
          <w:rFonts w:ascii="Cambria Math"/>
          <w:i/>
          <w:position w:val="1"/>
          <w:sz w:val="19"/>
        </w:rPr>
        <w:t>=</w:t>
      </w:r>
      <w:r>
        <w:rPr>
          <w:rFonts w:ascii="Cambria Math"/>
          <w:i/>
          <w:position w:val="1"/>
          <w:sz w:val="19"/>
        </w:rPr>
        <w:tab/>
        <w:t>Annual</w:t>
      </w:r>
      <w:r>
        <w:rPr>
          <w:rFonts w:ascii="Cambria Math"/>
          <w:i/>
          <w:spacing w:val="-24"/>
          <w:position w:val="1"/>
          <w:sz w:val="19"/>
        </w:rPr>
        <w:t xml:space="preserve"> </w:t>
      </w:r>
      <w:r>
        <w:rPr>
          <w:rFonts w:ascii="Cambria Math"/>
          <w:i/>
          <w:position w:val="1"/>
          <w:sz w:val="19"/>
        </w:rPr>
        <w:t>gas</w:t>
      </w:r>
      <w:r>
        <w:rPr>
          <w:rFonts w:ascii="Cambria Math"/>
          <w:i/>
          <w:spacing w:val="-24"/>
          <w:position w:val="1"/>
          <w:sz w:val="19"/>
        </w:rPr>
        <w:t xml:space="preserve"> </w:t>
      </w:r>
      <w:r>
        <w:rPr>
          <w:rFonts w:ascii="Cambria Math"/>
          <w:i/>
          <w:position w:val="1"/>
          <w:sz w:val="19"/>
        </w:rPr>
        <w:t>unit</w:t>
      </w:r>
      <w:r>
        <w:rPr>
          <w:rFonts w:ascii="Cambria Math"/>
          <w:i/>
          <w:spacing w:val="-26"/>
          <w:position w:val="1"/>
          <w:sz w:val="19"/>
        </w:rPr>
        <w:t xml:space="preserve"> </w:t>
      </w:r>
      <w:r>
        <w:rPr>
          <w:rFonts w:ascii="Cambria Math"/>
          <w:i/>
          <w:position w:val="1"/>
          <w:sz w:val="19"/>
        </w:rPr>
        <w:t>energy</w:t>
      </w:r>
      <w:r>
        <w:rPr>
          <w:rFonts w:ascii="Cambria Math"/>
          <w:i/>
          <w:spacing w:val="-25"/>
          <w:position w:val="1"/>
          <w:sz w:val="19"/>
        </w:rPr>
        <w:t xml:space="preserve"> </w:t>
      </w:r>
      <w:r>
        <w:rPr>
          <w:rFonts w:ascii="Cambria Math"/>
          <w:i/>
          <w:position w:val="1"/>
          <w:sz w:val="19"/>
        </w:rPr>
        <w:t>savings</w:t>
      </w:r>
      <w:r>
        <w:rPr>
          <w:rFonts w:ascii="Cambria Math"/>
          <w:i/>
          <w:spacing w:val="-26"/>
          <w:position w:val="1"/>
          <w:sz w:val="19"/>
        </w:rPr>
        <w:t xml:space="preserve"> </w:t>
      </w:r>
      <w:r>
        <w:rPr>
          <w:rFonts w:ascii="Cambria Math"/>
          <w:i/>
          <w:position w:val="1"/>
          <w:sz w:val="19"/>
        </w:rPr>
        <w:t>(therms/yr)</w:t>
      </w:r>
    </w:p>
    <w:p w14:paraId="528B3C5B" w14:textId="77777777" w:rsidR="0081013A" w:rsidRDefault="004D3D43">
      <w:pPr>
        <w:tabs>
          <w:tab w:val="left" w:pos="2999"/>
        </w:tabs>
        <w:spacing w:line="259" w:lineRule="auto"/>
        <w:ind w:left="1560" w:right="2371"/>
        <w:rPr>
          <w:rFonts w:ascii="Cambria Math"/>
          <w:i/>
          <w:sz w:val="19"/>
        </w:rPr>
      </w:pPr>
      <w:r>
        <w:rPr>
          <w:rFonts w:ascii="Cambria Math"/>
          <w:i/>
          <w:position w:val="1"/>
          <w:sz w:val="19"/>
        </w:rPr>
        <w:t>EFF</w:t>
      </w:r>
      <w:r>
        <w:rPr>
          <w:rFonts w:ascii="Cambria Math"/>
          <w:i/>
          <w:sz w:val="12"/>
        </w:rPr>
        <w:t>gas</w:t>
      </w:r>
      <w:r>
        <w:rPr>
          <w:rFonts w:ascii="Cambria Math"/>
          <w:i/>
          <w:spacing w:val="5"/>
          <w:sz w:val="12"/>
        </w:rPr>
        <w:t xml:space="preserve"> </w:t>
      </w:r>
      <w:r>
        <w:rPr>
          <w:rFonts w:ascii="Cambria Math"/>
          <w:i/>
          <w:position w:val="1"/>
          <w:sz w:val="19"/>
        </w:rPr>
        <w:t>=</w:t>
      </w:r>
      <w:r>
        <w:rPr>
          <w:rFonts w:ascii="Cambria Math"/>
          <w:i/>
          <w:position w:val="1"/>
          <w:sz w:val="19"/>
        </w:rPr>
        <w:tab/>
        <w:t>Min. water heater efficiency (recovery efficiency), gas EFF</w:t>
      </w:r>
      <w:r>
        <w:rPr>
          <w:rFonts w:ascii="Cambria Math"/>
          <w:i/>
          <w:sz w:val="12"/>
        </w:rPr>
        <w:t>elec</w:t>
      </w:r>
      <w:r>
        <w:rPr>
          <w:rFonts w:ascii="Cambria Math"/>
          <w:i/>
          <w:spacing w:val="6"/>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Min.</w:t>
      </w:r>
      <w:r>
        <w:rPr>
          <w:rFonts w:ascii="Cambria Math"/>
          <w:i/>
          <w:spacing w:val="-5"/>
          <w:w w:val="95"/>
          <w:position w:val="1"/>
          <w:sz w:val="19"/>
        </w:rPr>
        <w:t xml:space="preserve"> </w:t>
      </w:r>
      <w:r>
        <w:rPr>
          <w:rFonts w:ascii="Cambria Math"/>
          <w:i/>
          <w:w w:val="95"/>
          <w:position w:val="1"/>
          <w:sz w:val="19"/>
        </w:rPr>
        <w:t>water</w:t>
      </w:r>
      <w:r>
        <w:rPr>
          <w:rFonts w:ascii="Cambria Math"/>
          <w:i/>
          <w:spacing w:val="-5"/>
          <w:w w:val="95"/>
          <w:position w:val="1"/>
          <w:sz w:val="19"/>
        </w:rPr>
        <w:t xml:space="preserve"> </w:t>
      </w:r>
      <w:r>
        <w:rPr>
          <w:rFonts w:ascii="Cambria Math"/>
          <w:i/>
          <w:w w:val="95"/>
          <w:position w:val="1"/>
          <w:sz w:val="19"/>
        </w:rPr>
        <w:t>heater</w:t>
      </w:r>
      <w:r>
        <w:rPr>
          <w:rFonts w:ascii="Cambria Math"/>
          <w:i/>
          <w:spacing w:val="-6"/>
          <w:w w:val="95"/>
          <w:position w:val="1"/>
          <w:sz w:val="19"/>
        </w:rPr>
        <w:t xml:space="preserve"> </w:t>
      </w:r>
      <w:r>
        <w:rPr>
          <w:rFonts w:ascii="Cambria Math"/>
          <w:i/>
          <w:w w:val="95"/>
          <w:position w:val="1"/>
          <w:sz w:val="19"/>
        </w:rPr>
        <w:t>efficiency</w:t>
      </w:r>
      <w:r>
        <w:rPr>
          <w:rFonts w:ascii="Cambria Math"/>
          <w:i/>
          <w:spacing w:val="-4"/>
          <w:w w:val="95"/>
          <w:position w:val="1"/>
          <w:sz w:val="19"/>
        </w:rPr>
        <w:t xml:space="preserve"> </w:t>
      </w:r>
      <w:r>
        <w:rPr>
          <w:rFonts w:ascii="Cambria Math"/>
          <w:i/>
          <w:w w:val="95"/>
          <w:position w:val="1"/>
          <w:sz w:val="19"/>
        </w:rPr>
        <w:t>(recovery</w:t>
      </w:r>
      <w:r>
        <w:rPr>
          <w:rFonts w:ascii="Cambria Math"/>
          <w:i/>
          <w:spacing w:val="-5"/>
          <w:w w:val="95"/>
          <w:position w:val="1"/>
          <w:sz w:val="19"/>
        </w:rPr>
        <w:t xml:space="preserve"> </w:t>
      </w:r>
      <w:r>
        <w:rPr>
          <w:rFonts w:ascii="Cambria Math"/>
          <w:i/>
          <w:w w:val="95"/>
          <w:position w:val="1"/>
          <w:sz w:val="19"/>
        </w:rPr>
        <w:t>efficiency),</w:t>
      </w:r>
      <w:r>
        <w:rPr>
          <w:rFonts w:ascii="Cambria Math"/>
          <w:i/>
          <w:spacing w:val="-7"/>
          <w:w w:val="95"/>
          <w:position w:val="1"/>
          <w:sz w:val="19"/>
        </w:rPr>
        <w:t xml:space="preserve"> </w:t>
      </w:r>
      <w:r>
        <w:rPr>
          <w:rFonts w:ascii="Cambria Math"/>
          <w:i/>
          <w:w w:val="95"/>
          <w:position w:val="1"/>
          <w:sz w:val="19"/>
        </w:rPr>
        <w:t>electric</w:t>
      </w:r>
    </w:p>
    <w:p w14:paraId="528B3C5C" w14:textId="77777777" w:rsidR="0081013A" w:rsidRDefault="0081013A">
      <w:pPr>
        <w:pStyle w:val="BodyText"/>
        <w:spacing w:before="2"/>
        <w:rPr>
          <w:rFonts w:ascii="Cambria Math"/>
          <w:i/>
        </w:rPr>
      </w:pPr>
    </w:p>
    <w:p w14:paraId="528B3C5D" w14:textId="77777777" w:rsidR="0081013A" w:rsidRPr="00E45C18" w:rsidRDefault="004D3D43">
      <w:pPr>
        <w:ind w:left="120"/>
        <w:rPr>
          <w:b/>
          <w:bCs/>
          <w:sz w:val="20"/>
        </w:rPr>
      </w:pPr>
      <w:r w:rsidRPr="00E45C18">
        <w:rPr>
          <w:b/>
          <w:bCs/>
          <w:sz w:val="20"/>
        </w:rPr>
        <w:t>Electric UES Inputs</w:t>
      </w:r>
    </w:p>
    <w:p w14:paraId="528B3C5E" w14:textId="77777777" w:rsidR="0081013A" w:rsidRDefault="0081013A">
      <w:pPr>
        <w:pStyle w:val="BodyText"/>
        <w:spacing w:before="7"/>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355"/>
        <w:gridCol w:w="1296"/>
        <w:gridCol w:w="4884"/>
      </w:tblGrid>
      <w:tr w:rsidR="0081013A" w14:paraId="528B3C62" w14:textId="77777777">
        <w:trPr>
          <w:trHeight w:val="258"/>
        </w:trPr>
        <w:tc>
          <w:tcPr>
            <w:tcW w:w="3355" w:type="dxa"/>
            <w:shd w:val="clear" w:color="auto" w:fill="F1F1F1"/>
          </w:tcPr>
          <w:p w14:paraId="528B3C5F" w14:textId="77777777" w:rsidR="0081013A" w:rsidRPr="00535222" w:rsidRDefault="004D3D43">
            <w:pPr>
              <w:pStyle w:val="TableParagraph"/>
              <w:spacing w:before="15" w:line="223" w:lineRule="exact"/>
              <w:ind w:left="115"/>
              <w:rPr>
                <w:b/>
                <w:bCs/>
                <w:sz w:val="20"/>
              </w:rPr>
            </w:pPr>
            <w:r w:rsidRPr="00535222">
              <w:rPr>
                <w:b/>
                <w:bCs/>
                <w:sz w:val="20"/>
              </w:rPr>
              <w:t>Energy Savings Inputs / Constants</w:t>
            </w:r>
          </w:p>
        </w:tc>
        <w:tc>
          <w:tcPr>
            <w:tcW w:w="1296" w:type="dxa"/>
            <w:shd w:val="clear" w:color="auto" w:fill="F1F1F1"/>
          </w:tcPr>
          <w:p w14:paraId="528B3C60" w14:textId="77777777" w:rsidR="0081013A" w:rsidRPr="00535222" w:rsidRDefault="004D3D43">
            <w:pPr>
              <w:pStyle w:val="TableParagraph"/>
              <w:spacing w:before="15" w:line="223" w:lineRule="exact"/>
              <w:ind w:left="115"/>
              <w:rPr>
                <w:b/>
                <w:bCs/>
                <w:sz w:val="20"/>
              </w:rPr>
            </w:pPr>
            <w:r w:rsidRPr="00535222">
              <w:rPr>
                <w:b/>
                <w:bCs/>
                <w:sz w:val="20"/>
              </w:rPr>
              <w:t>Value</w:t>
            </w:r>
          </w:p>
        </w:tc>
        <w:tc>
          <w:tcPr>
            <w:tcW w:w="4884" w:type="dxa"/>
            <w:shd w:val="clear" w:color="auto" w:fill="F1F1F1"/>
          </w:tcPr>
          <w:p w14:paraId="528B3C61" w14:textId="77777777" w:rsidR="0081013A" w:rsidRPr="00535222" w:rsidRDefault="004D3D43">
            <w:pPr>
              <w:pStyle w:val="TableParagraph"/>
              <w:spacing w:before="15" w:line="223" w:lineRule="exact"/>
              <w:ind w:left="115"/>
              <w:rPr>
                <w:b/>
                <w:bCs/>
                <w:sz w:val="20"/>
              </w:rPr>
            </w:pPr>
            <w:r w:rsidRPr="00535222">
              <w:rPr>
                <w:b/>
                <w:bCs/>
                <w:sz w:val="20"/>
              </w:rPr>
              <w:t>Source</w:t>
            </w:r>
          </w:p>
        </w:tc>
      </w:tr>
      <w:tr w:rsidR="0081013A" w14:paraId="528B3C66" w14:textId="77777777">
        <w:trPr>
          <w:trHeight w:val="261"/>
        </w:trPr>
        <w:tc>
          <w:tcPr>
            <w:tcW w:w="3355" w:type="dxa"/>
          </w:tcPr>
          <w:p w14:paraId="528B3C63" w14:textId="77777777" w:rsidR="0081013A" w:rsidRDefault="004D3D43">
            <w:pPr>
              <w:pStyle w:val="TableParagraph"/>
              <w:spacing w:before="18" w:line="223" w:lineRule="exact"/>
              <w:ind w:left="115"/>
              <w:rPr>
                <w:sz w:val="20"/>
              </w:rPr>
            </w:pPr>
            <w:r>
              <w:rPr>
                <w:sz w:val="20"/>
              </w:rPr>
              <w:t>Gas Unit Energy Savings (therms/yr)</w:t>
            </w:r>
          </w:p>
        </w:tc>
        <w:tc>
          <w:tcPr>
            <w:tcW w:w="1296" w:type="dxa"/>
          </w:tcPr>
          <w:p w14:paraId="528B3C64" w14:textId="77777777" w:rsidR="0081013A" w:rsidRDefault="004D3D43">
            <w:pPr>
              <w:pStyle w:val="TableParagraph"/>
              <w:spacing w:before="18" w:line="223" w:lineRule="exact"/>
              <w:ind w:left="115"/>
              <w:rPr>
                <w:sz w:val="20"/>
              </w:rPr>
            </w:pPr>
            <w:r>
              <w:rPr>
                <w:sz w:val="20"/>
              </w:rPr>
              <w:t>Varies by CZ</w:t>
            </w:r>
          </w:p>
        </w:tc>
        <w:tc>
          <w:tcPr>
            <w:tcW w:w="4884" w:type="dxa"/>
          </w:tcPr>
          <w:p w14:paraId="528B3C65" w14:textId="77777777" w:rsidR="0081013A" w:rsidRDefault="004D3D43">
            <w:pPr>
              <w:pStyle w:val="TableParagraph"/>
              <w:spacing w:before="42" w:line="199" w:lineRule="exact"/>
              <w:ind w:left="115"/>
              <w:rPr>
                <w:sz w:val="18"/>
              </w:rPr>
            </w:pPr>
            <w:r>
              <w:rPr>
                <w:sz w:val="18"/>
              </w:rPr>
              <w:t>See Gas Savings section.</w:t>
            </w:r>
          </w:p>
        </w:tc>
      </w:tr>
      <w:tr w:rsidR="0081013A" w14:paraId="528B3C72" w14:textId="77777777">
        <w:trPr>
          <w:trHeight w:val="1756"/>
        </w:trPr>
        <w:tc>
          <w:tcPr>
            <w:tcW w:w="3355" w:type="dxa"/>
          </w:tcPr>
          <w:p w14:paraId="528B3C67" w14:textId="77777777" w:rsidR="0081013A" w:rsidRDefault="0081013A">
            <w:pPr>
              <w:pStyle w:val="TableParagraph"/>
              <w:rPr>
                <w:sz w:val="20"/>
              </w:rPr>
            </w:pPr>
          </w:p>
          <w:p w14:paraId="528B3C68" w14:textId="77777777" w:rsidR="0081013A" w:rsidRDefault="0081013A">
            <w:pPr>
              <w:pStyle w:val="TableParagraph"/>
              <w:rPr>
                <w:sz w:val="20"/>
              </w:rPr>
            </w:pPr>
          </w:p>
          <w:p w14:paraId="528B3C69" w14:textId="77777777" w:rsidR="0081013A" w:rsidRDefault="004D3D43">
            <w:pPr>
              <w:pStyle w:val="TableParagraph"/>
              <w:spacing w:before="146"/>
              <w:ind w:left="115" w:right="545"/>
              <w:rPr>
                <w:sz w:val="20"/>
              </w:rPr>
            </w:pPr>
            <w:r>
              <w:rPr>
                <w:sz w:val="20"/>
              </w:rPr>
              <w:t>Gas Water Heater Min. Efficiency (recovery efficiency)</w:t>
            </w:r>
          </w:p>
        </w:tc>
        <w:tc>
          <w:tcPr>
            <w:tcW w:w="1296" w:type="dxa"/>
          </w:tcPr>
          <w:p w14:paraId="528B3C6A" w14:textId="77777777" w:rsidR="0081013A" w:rsidRDefault="0081013A">
            <w:pPr>
              <w:pStyle w:val="TableParagraph"/>
              <w:rPr>
                <w:sz w:val="20"/>
              </w:rPr>
            </w:pPr>
          </w:p>
          <w:p w14:paraId="528B3C6B" w14:textId="77777777" w:rsidR="0081013A" w:rsidRDefault="0081013A">
            <w:pPr>
              <w:pStyle w:val="TableParagraph"/>
              <w:rPr>
                <w:sz w:val="20"/>
              </w:rPr>
            </w:pPr>
          </w:p>
          <w:p w14:paraId="528B3C6C" w14:textId="77777777" w:rsidR="0081013A" w:rsidRDefault="0081013A">
            <w:pPr>
              <w:pStyle w:val="TableParagraph"/>
            </w:pPr>
          </w:p>
          <w:p w14:paraId="528B3C6D" w14:textId="77777777" w:rsidR="0081013A" w:rsidRDefault="004D3D43">
            <w:pPr>
              <w:pStyle w:val="TableParagraph"/>
              <w:ind w:right="105"/>
              <w:jc w:val="right"/>
              <w:rPr>
                <w:sz w:val="20"/>
              </w:rPr>
            </w:pPr>
            <w:r>
              <w:rPr>
                <w:w w:val="95"/>
                <w:sz w:val="20"/>
              </w:rPr>
              <w:t>0.77</w:t>
            </w:r>
          </w:p>
        </w:tc>
        <w:tc>
          <w:tcPr>
            <w:tcW w:w="4884" w:type="dxa"/>
          </w:tcPr>
          <w:p w14:paraId="528B3C6E" w14:textId="77777777" w:rsidR="0081013A" w:rsidRDefault="004D3D43">
            <w:pPr>
              <w:pStyle w:val="TableParagraph"/>
              <w:spacing w:before="1"/>
              <w:ind w:left="115" w:right="589"/>
              <w:rPr>
                <w:sz w:val="18"/>
              </w:rPr>
            </w:pPr>
            <w:r>
              <w:rPr>
                <w:sz w:val="18"/>
              </w:rPr>
              <w:t>Southern California Gas Company (SCG). 2010. “Gas Fired Storage Water Heater Extract from CEC Appliance Data 07.07.2010.xlsx.”</w:t>
            </w:r>
          </w:p>
          <w:p w14:paraId="528B3C6F" w14:textId="77777777" w:rsidR="0081013A" w:rsidRDefault="0081013A">
            <w:pPr>
              <w:pStyle w:val="TableParagraph"/>
              <w:spacing w:before="11"/>
              <w:rPr>
                <w:sz w:val="17"/>
              </w:rPr>
            </w:pPr>
          </w:p>
          <w:p w14:paraId="528B3C70" w14:textId="77777777" w:rsidR="0081013A" w:rsidRDefault="004D3D43">
            <w:pPr>
              <w:pStyle w:val="TableParagraph"/>
              <w:spacing w:before="1"/>
              <w:ind w:left="115"/>
              <w:rPr>
                <w:i/>
                <w:sz w:val="18"/>
              </w:rPr>
            </w:pPr>
            <w:r>
              <w:rPr>
                <w:sz w:val="18"/>
              </w:rPr>
              <w:t xml:space="preserve">California Public Utilities Commission (CPUC), Energy Division. 2010. </w:t>
            </w:r>
            <w:r>
              <w:rPr>
                <w:i/>
                <w:sz w:val="18"/>
              </w:rPr>
              <w:t xml:space="preserve">Non-DEER Measure Review Template: PGECODHW113 – Low Flow Showerhead and Thermostatic Shower Restriction </w:t>
            </w:r>
          </w:p>
          <w:p w14:paraId="528B3C71" w14:textId="77777777" w:rsidR="0081013A" w:rsidRDefault="004D3D43">
            <w:pPr>
              <w:pStyle w:val="TableParagraph"/>
              <w:spacing w:line="198" w:lineRule="exact"/>
              <w:ind w:left="115"/>
              <w:rPr>
                <w:sz w:val="18"/>
              </w:rPr>
            </w:pPr>
            <w:r>
              <w:rPr>
                <w:i/>
                <w:sz w:val="18"/>
              </w:rPr>
              <w:t xml:space="preserve">Valve. </w:t>
            </w:r>
            <w:r>
              <w:rPr>
                <w:sz w:val="18"/>
              </w:rPr>
              <w:t>April 27.</w:t>
            </w:r>
          </w:p>
        </w:tc>
      </w:tr>
      <w:tr w:rsidR="0081013A" w14:paraId="528B3C76" w14:textId="77777777">
        <w:trPr>
          <w:trHeight w:val="489"/>
        </w:trPr>
        <w:tc>
          <w:tcPr>
            <w:tcW w:w="3355" w:type="dxa"/>
          </w:tcPr>
          <w:p w14:paraId="528B3C73" w14:textId="77777777" w:rsidR="0081013A" w:rsidRDefault="004D3D43">
            <w:pPr>
              <w:pStyle w:val="TableParagraph"/>
              <w:spacing w:before="1" w:line="240" w:lineRule="atLeast"/>
              <w:ind w:left="115" w:right="252"/>
              <w:rPr>
                <w:sz w:val="20"/>
              </w:rPr>
            </w:pPr>
            <w:r>
              <w:rPr>
                <w:sz w:val="20"/>
              </w:rPr>
              <w:t>Electric Water Heater Min. Efficiency (recovery efficiency, RE)</w:t>
            </w:r>
          </w:p>
        </w:tc>
        <w:tc>
          <w:tcPr>
            <w:tcW w:w="1296" w:type="dxa"/>
          </w:tcPr>
          <w:p w14:paraId="528B3C74" w14:textId="77777777" w:rsidR="0081013A" w:rsidRDefault="004D3D43">
            <w:pPr>
              <w:pStyle w:val="TableParagraph"/>
              <w:spacing w:before="123"/>
              <w:ind w:right="105"/>
              <w:jc w:val="right"/>
              <w:rPr>
                <w:sz w:val="20"/>
              </w:rPr>
            </w:pPr>
            <w:r>
              <w:rPr>
                <w:w w:val="95"/>
                <w:sz w:val="20"/>
              </w:rPr>
              <w:t>0.98</w:t>
            </w:r>
          </w:p>
        </w:tc>
        <w:tc>
          <w:tcPr>
            <w:tcW w:w="4884" w:type="dxa"/>
          </w:tcPr>
          <w:p w14:paraId="528B3C75" w14:textId="77777777" w:rsidR="0081013A" w:rsidRDefault="004D3D43">
            <w:pPr>
              <w:pStyle w:val="TableParagraph"/>
              <w:spacing w:before="25"/>
              <w:ind w:left="115" w:right="277"/>
              <w:rPr>
                <w:sz w:val="18"/>
              </w:rPr>
            </w:pPr>
            <w:r>
              <w:rPr>
                <w:sz w:val="18"/>
              </w:rPr>
              <w:t xml:space="preserve">California Energy Commission (CEC). 2014. </w:t>
            </w:r>
            <w:r>
              <w:rPr>
                <w:i/>
                <w:sz w:val="18"/>
              </w:rPr>
              <w:t xml:space="preserve">2014 Appliance Efficiency Regulations. </w:t>
            </w:r>
            <w:r>
              <w:rPr>
                <w:sz w:val="18"/>
              </w:rPr>
              <w:t>CEC-400-2014-009-CMF. Section 1604.</w:t>
            </w:r>
          </w:p>
        </w:tc>
      </w:tr>
    </w:tbl>
    <w:p w14:paraId="528B3C77" w14:textId="77777777" w:rsidR="0081013A" w:rsidRDefault="0081013A">
      <w:pPr>
        <w:pStyle w:val="BodyText"/>
        <w:rPr>
          <w:sz w:val="20"/>
        </w:rPr>
      </w:pPr>
    </w:p>
    <w:p w14:paraId="528B3C78" w14:textId="77777777" w:rsidR="0081013A" w:rsidRDefault="0081013A">
      <w:pPr>
        <w:pStyle w:val="BodyText"/>
        <w:spacing w:before="8"/>
        <w:rPr>
          <w:sz w:val="21"/>
        </w:rPr>
      </w:pPr>
    </w:p>
    <w:p w14:paraId="528B3C79" w14:textId="77777777" w:rsidR="0081013A" w:rsidRDefault="004D3D43">
      <w:pPr>
        <w:pStyle w:val="BodyText"/>
        <w:ind w:left="119" w:right="594"/>
      </w:pPr>
      <w:r w:rsidRPr="00E5210F">
        <w:rPr>
          <w:b/>
          <w:bCs/>
        </w:rPr>
        <w:t>Recovery Efficiency</w:t>
      </w:r>
      <w:r>
        <w:t>: To convert the water heating load to electric energy use at the water heater, the recovery efficiency (RE) is used. Recovery efficiency is a measure of how efficiently the heat from the energy source is transferred to the water (the ratio of energy output used to heat the water divided by energy input).</w:t>
      </w:r>
    </w:p>
    <w:p w14:paraId="528B3C7A" w14:textId="77777777" w:rsidR="0081013A" w:rsidRDefault="0081013A">
      <w:pPr>
        <w:pStyle w:val="BodyText"/>
      </w:pPr>
    </w:p>
    <w:p w14:paraId="528B3C7C" w14:textId="77777777" w:rsidR="0081013A" w:rsidRDefault="0081013A">
      <w:pPr>
        <w:pStyle w:val="BodyText"/>
        <w:spacing w:before="7"/>
        <w:rPr>
          <w:sz w:val="30"/>
        </w:rPr>
      </w:pPr>
    </w:p>
    <w:p w14:paraId="528B3C7D" w14:textId="77777777" w:rsidR="0081013A" w:rsidRDefault="004D3D43">
      <w:pPr>
        <w:pStyle w:val="Heading1"/>
      </w:pPr>
      <w:bookmarkStart w:id="19" w:name="_TOC_250011"/>
      <w:bookmarkEnd w:id="19"/>
      <w:r>
        <w:rPr>
          <w:color w:val="CFAB79"/>
        </w:rPr>
        <w:t>PEAK ELECTRIC DEMAND REDUCTION (kW)</w:t>
      </w:r>
    </w:p>
    <w:p w14:paraId="528B3C7E" w14:textId="77777777" w:rsidR="0081013A" w:rsidRDefault="0081013A">
      <w:pPr>
        <w:sectPr w:rsidR="0081013A">
          <w:type w:val="continuous"/>
          <w:pgSz w:w="12240" w:h="15840"/>
          <w:pgMar w:top="1220" w:right="1120" w:bottom="1320" w:left="1320" w:header="720" w:footer="720" w:gutter="0"/>
          <w:cols w:space="720"/>
        </w:sectPr>
      </w:pPr>
    </w:p>
    <w:p w14:paraId="528B3C7F" w14:textId="77777777" w:rsidR="0081013A" w:rsidRDefault="0081013A">
      <w:pPr>
        <w:pStyle w:val="BodyText"/>
        <w:spacing w:before="10"/>
        <w:rPr>
          <w:sz w:val="19"/>
        </w:rPr>
      </w:pPr>
    </w:p>
    <w:p w14:paraId="528B3C80" w14:textId="5AD8ADA0" w:rsidR="0081013A" w:rsidRDefault="004D3D43">
      <w:pPr>
        <w:pStyle w:val="BodyText"/>
        <w:spacing w:before="56"/>
        <w:ind w:left="119" w:right="347"/>
      </w:pPr>
      <w:r>
        <w:t>Peak electrical demand reduction calculation is a function of the electric unit energy savings (UES), a peak period usage factor, and the operating hours per year. The peak period usage factor (PPUF) – similar in concept to a coincident demand factor (CDF) – reflects the percent of hot water usage during the designated peak demand period.</w:t>
      </w:r>
    </w:p>
    <w:p w14:paraId="4589ACAA" w14:textId="77777777" w:rsidR="001C4C2B" w:rsidRDefault="001C4C2B">
      <w:pPr>
        <w:pStyle w:val="BodyText"/>
        <w:spacing w:before="56"/>
        <w:ind w:left="119" w:right="347"/>
      </w:pPr>
    </w:p>
    <w:p w14:paraId="528B3C83" w14:textId="4C72CA83" w:rsidR="0081013A" w:rsidRDefault="004A0AE2" w:rsidP="001C4C2B">
      <w:pPr>
        <w:pStyle w:val="BodyText"/>
        <w:ind w:left="1440" w:hanging="540"/>
        <w:rPr>
          <w:rFonts w:ascii="Cambria Math"/>
          <w:sz w:val="20"/>
        </w:rPr>
      </w:pPr>
      <m:oMath>
        <m:sSub>
          <m:sSubPr>
            <m:ctrlPr>
              <w:rPr>
                <w:rFonts w:ascii="Cambria Math" w:hAnsi="Cambria Math"/>
                <w:i/>
                <w:sz w:val="20"/>
                <w:szCs w:val="20"/>
              </w:rPr>
            </m:ctrlPr>
          </m:sSubPr>
          <m:e>
            <m:r>
              <w:rPr>
                <w:rFonts w:ascii="Cambria Math" w:hAnsi="Cambria Math"/>
                <w:sz w:val="20"/>
                <w:szCs w:val="20"/>
              </w:rPr>
              <m:t>kW</m:t>
            </m:r>
          </m:e>
          <m:sub>
            <m:r>
              <w:rPr>
                <w:rFonts w:ascii="Cambria Math" w:hAnsi="Cambria Math"/>
                <w:sz w:val="20"/>
                <w:szCs w:val="20"/>
              </w:rPr>
              <m:t>reduction</m:t>
            </m:r>
          </m:sub>
        </m:sSub>
        <m:r>
          <w:rPr>
            <w:rFonts w:ascii="Cambria Math" w:hAnsi="Cambria Math"/>
            <w:sz w:val="20"/>
            <w:szCs w:val="20"/>
          </w:rPr>
          <m:t>=</m:t>
        </m:r>
        <m:f>
          <m:fPr>
            <m:ctrlPr>
              <w:rPr>
                <w:rFonts w:ascii="Cambria Math" w:hAnsi="Cambria Math"/>
                <w:i/>
                <w:sz w:val="20"/>
                <w:szCs w:val="20"/>
              </w:rPr>
            </m:ctrlPr>
          </m:fPr>
          <m:num>
            <m:sSub>
              <m:sSubPr>
                <m:ctrlPr>
                  <w:rPr>
                    <w:rFonts w:ascii="Cambria Math" w:hAnsi="Cambria Math"/>
                    <w:i/>
                    <w:sz w:val="20"/>
                    <w:szCs w:val="20"/>
                  </w:rPr>
                </m:ctrlPr>
              </m:sSubPr>
              <m:e>
                <m:r>
                  <w:rPr>
                    <w:rFonts w:ascii="Cambria Math" w:hAnsi="Cambria Math"/>
                    <w:sz w:val="20"/>
                    <w:szCs w:val="20"/>
                  </w:rPr>
                  <m:t>UES</m:t>
                </m:r>
              </m:e>
              <m:sub>
                <m:r>
                  <w:rPr>
                    <w:rFonts w:ascii="Cambria Math" w:hAnsi="Cambria Math"/>
                    <w:sz w:val="20"/>
                    <w:szCs w:val="20"/>
                  </w:rPr>
                  <m:t>kWh</m:t>
                </m:r>
              </m:sub>
            </m:sSub>
            <m:r>
              <w:rPr>
                <w:rFonts w:ascii="Cambria Math" w:hAnsi="Cambria Math"/>
                <w:sz w:val="20"/>
                <w:szCs w:val="20"/>
              </w:rPr>
              <m:t>×PPUF</m:t>
            </m:r>
          </m:num>
          <m:den>
            <m:r>
              <w:rPr>
                <w:rFonts w:ascii="Cambria Math" w:hAnsi="Cambria Math"/>
                <w:sz w:val="20"/>
                <w:szCs w:val="20"/>
              </w:rPr>
              <m:t>(DAYS×PEAKHRS)</m:t>
            </m:r>
          </m:den>
        </m:f>
      </m:oMath>
      <w:r w:rsidR="001C4C2B">
        <w:rPr>
          <w:rFonts w:ascii="Cambria Math"/>
          <w:sz w:val="20"/>
        </w:rPr>
        <w:t xml:space="preserve"> </w:t>
      </w:r>
    </w:p>
    <w:p w14:paraId="528B3C84" w14:textId="77777777" w:rsidR="0081013A" w:rsidRDefault="0081013A">
      <w:pPr>
        <w:pStyle w:val="BodyText"/>
        <w:spacing w:before="4"/>
        <w:rPr>
          <w:rFonts w:ascii="Cambria Math"/>
          <w:sz w:val="19"/>
        </w:rPr>
      </w:pPr>
    </w:p>
    <w:p w14:paraId="528B3C85" w14:textId="77777777" w:rsidR="0081013A" w:rsidRDefault="004D3D43">
      <w:pPr>
        <w:tabs>
          <w:tab w:val="left" w:pos="2999"/>
        </w:tabs>
        <w:spacing w:line="259" w:lineRule="auto"/>
        <w:ind w:left="1560" w:right="3305"/>
        <w:rPr>
          <w:rFonts w:ascii="Cambria Math"/>
          <w:i/>
          <w:sz w:val="19"/>
        </w:rPr>
      </w:pPr>
      <w:r>
        <w:rPr>
          <w:rFonts w:ascii="Cambria Math"/>
          <w:i/>
          <w:position w:val="1"/>
          <w:sz w:val="19"/>
        </w:rPr>
        <w:t>UES</w:t>
      </w:r>
      <w:r>
        <w:rPr>
          <w:rFonts w:ascii="Cambria Math"/>
          <w:i/>
          <w:sz w:val="12"/>
        </w:rPr>
        <w:t>kWh</w:t>
      </w:r>
      <w:r>
        <w:rPr>
          <w:rFonts w:ascii="Cambria Math"/>
          <w:i/>
          <w:spacing w:val="7"/>
          <w:sz w:val="12"/>
        </w:rPr>
        <w:t xml:space="preserve"> </w:t>
      </w:r>
      <w:r>
        <w:rPr>
          <w:rFonts w:ascii="Cambria Math"/>
          <w:i/>
          <w:position w:val="1"/>
          <w:sz w:val="19"/>
        </w:rPr>
        <w:t>=</w:t>
      </w:r>
      <w:r>
        <w:rPr>
          <w:rFonts w:ascii="Cambria Math"/>
          <w:i/>
          <w:position w:val="1"/>
          <w:sz w:val="19"/>
        </w:rPr>
        <w:tab/>
      </w:r>
      <w:r>
        <w:rPr>
          <w:rFonts w:ascii="Cambria Math"/>
          <w:i/>
          <w:w w:val="95"/>
          <w:position w:val="1"/>
          <w:sz w:val="19"/>
        </w:rPr>
        <w:t>Annual electric unit energy savings</w:t>
      </w:r>
      <w:r>
        <w:rPr>
          <w:rFonts w:ascii="Cambria Math"/>
          <w:i/>
          <w:spacing w:val="-25"/>
          <w:w w:val="95"/>
          <w:position w:val="1"/>
          <w:sz w:val="19"/>
        </w:rPr>
        <w:t xml:space="preserve"> </w:t>
      </w:r>
      <w:r>
        <w:rPr>
          <w:rFonts w:ascii="Cambria Math"/>
          <w:i/>
          <w:w w:val="95"/>
          <w:position w:val="1"/>
          <w:sz w:val="19"/>
        </w:rPr>
        <w:t xml:space="preserve">(kWh/yr) </w:t>
      </w:r>
      <w:r>
        <w:rPr>
          <w:rFonts w:ascii="Cambria Math"/>
          <w:i/>
          <w:sz w:val="19"/>
        </w:rPr>
        <w:t>PPUF</w:t>
      </w:r>
      <w:r>
        <w:rPr>
          <w:rFonts w:ascii="Cambria Math"/>
          <w:i/>
          <w:spacing w:val="-10"/>
          <w:sz w:val="19"/>
        </w:rPr>
        <w:t xml:space="preserve"> </w:t>
      </w:r>
      <w:r>
        <w:rPr>
          <w:rFonts w:ascii="Cambria Math"/>
          <w:i/>
          <w:sz w:val="19"/>
        </w:rPr>
        <w:t>=</w:t>
      </w:r>
      <w:r>
        <w:rPr>
          <w:rFonts w:ascii="Cambria Math"/>
          <w:i/>
          <w:sz w:val="19"/>
        </w:rPr>
        <w:tab/>
        <w:t>Peak period usage</w:t>
      </w:r>
      <w:r>
        <w:rPr>
          <w:rFonts w:ascii="Cambria Math"/>
          <w:i/>
          <w:spacing w:val="-16"/>
          <w:sz w:val="19"/>
        </w:rPr>
        <w:t xml:space="preserve"> </w:t>
      </w:r>
      <w:r>
        <w:rPr>
          <w:rFonts w:ascii="Cambria Math"/>
          <w:i/>
          <w:sz w:val="19"/>
        </w:rPr>
        <w:t>factor</w:t>
      </w:r>
    </w:p>
    <w:p w14:paraId="528B3C86" w14:textId="77777777" w:rsidR="0081013A" w:rsidRDefault="004D3D43">
      <w:pPr>
        <w:tabs>
          <w:tab w:val="left" w:pos="2999"/>
        </w:tabs>
        <w:spacing w:line="259" w:lineRule="auto"/>
        <w:ind w:left="1559" w:right="4405"/>
        <w:rPr>
          <w:rFonts w:ascii="Cambria Math"/>
          <w:i/>
          <w:sz w:val="19"/>
        </w:rPr>
      </w:pPr>
      <w:r>
        <w:rPr>
          <w:rFonts w:ascii="Cambria Math"/>
          <w:i/>
          <w:sz w:val="19"/>
        </w:rPr>
        <w:t>DAYS</w:t>
      </w:r>
      <w:r>
        <w:rPr>
          <w:rFonts w:ascii="Cambria Math"/>
          <w:i/>
          <w:spacing w:val="-11"/>
          <w:sz w:val="19"/>
        </w:rPr>
        <w:t xml:space="preserve"> </w:t>
      </w:r>
      <w:r>
        <w:rPr>
          <w:rFonts w:ascii="Cambria Math"/>
          <w:i/>
          <w:sz w:val="19"/>
        </w:rPr>
        <w:t>=</w:t>
      </w:r>
      <w:r>
        <w:rPr>
          <w:rFonts w:ascii="Cambria Math"/>
          <w:i/>
          <w:sz w:val="19"/>
        </w:rPr>
        <w:tab/>
      </w:r>
      <w:r>
        <w:rPr>
          <w:rFonts w:ascii="Cambria Math"/>
          <w:i/>
          <w:w w:val="95"/>
          <w:sz w:val="19"/>
        </w:rPr>
        <w:t>Operating days per year</w:t>
      </w:r>
      <w:r>
        <w:rPr>
          <w:rFonts w:ascii="Cambria Math"/>
          <w:i/>
          <w:spacing w:val="-18"/>
          <w:w w:val="95"/>
          <w:sz w:val="19"/>
        </w:rPr>
        <w:t xml:space="preserve"> </w:t>
      </w:r>
      <w:r>
        <w:rPr>
          <w:rFonts w:ascii="Cambria Math"/>
          <w:i/>
          <w:w w:val="95"/>
          <w:sz w:val="19"/>
        </w:rPr>
        <w:t xml:space="preserve">(days) </w:t>
      </w:r>
      <w:r>
        <w:rPr>
          <w:rFonts w:ascii="Cambria Math"/>
          <w:i/>
          <w:sz w:val="19"/>
        </w:rPr>
        <w:t>PEAKHRS</w:t>
      </w:r>
      <w:r>
        <w:rPr>
          <w:rFonts w:ascii="Cambria Math"/>
          <w:i/>
          <w:spacing w:val="-16"/>
          <w:sz w:val="19"/>
        </w:rPr>
        <w:t xml:space="preserve"> </w:t>
      </w:r>
      <w:r>
        <w:rPr>
          <w:rFonts w:ascii="Cambria Math"/>
          <w:i/>
          <w:sz w:val="19"/>
        </w:rPr>
        <w:t>=</w:t>
      </w:r>
      <w:r>
        <w:rPr>
          <w:rFonts w:ascii="Cambria Math"/>
          <w:i/>
          <w:sz w:val="19"/>
        </w:rPr>
        <w:tab/>
        <w:t>Peak hours per</w:t>
      </w:r>
      <w:r>
        <w:rPr>
          <w:rFonts w:ascii="Cambria Math"/>
          <w:i/>
          <w:spacing w:val="-17"/>
          <w:sz w:val="19"/>
        </w:rPr>
        <w:t xml:space="preserve"> </w:t>
      </w:r>
      <w:r>
        <w:rPr>
          <w:rFonts w:ascii="Cambria Math"/>
          <w:i/>
          <w:sz w:val="19"/>
        </w:rPr>
        <w:t>day</w:t>
      </w:r>
    </w:p>
    <w:p w14:paraId="528B3C87" w14:textId="77777777" w:rsidR="0081013A" w:rsidRDefault="0081013A">
      <w:pPr>
        <w:pStyle w:val="BodyText"/>
        <w:rPr>
          <w:rFonts w:ascii="Cambria Math"/>
          <w:i/>
          <w:sz w:val="18"/>
        </w:rPr>
      </w:pPr>
    </w:p>
    <w:p w14:paraId="528B3C88" w14:textId="77777777" w:rsidR="0081013A" w:rsidRDefault="0081013A">
      <w:pPr>
        <w:pStyle w:val="BodyText"/>
        <w:rPr>
          <w:rFonts w:ascii="Cambria Math"/>
          <w:i/>
          <w:sz w:val="18"/>
        </w:rPr>
      </w:pPr>
    </w:p>
    <w:p w14:paraId="528B3C89" w14:textId="77777777" w:rsidR="0081013A" w:rsidRDefault="0081013A">
      <w:pPr>
        <w:pStyle w:val="BodyText"/>
        <w:spacing w:before="2"/>
        <w:rPr>
          <w:rFonts w:ascii="Cambria Math"/>
          <w:i/>
          <w:sz w:val="15"/>
        </w:rPr>
      </w:pPr>
    </w:p>
    <w:p w14:paraId="528B3C8A" w14:textId="77777777" w:rsidR="0081013A" w:rsidRPr="00E45C18" w:rsidRDefault="004D3D43">
      <w:pPr>
        <w:ind w:left="120"/>
        <w:jc w:val="both"/>
        <w:rPr>
          <w:b/>
          <w:bCs/>
          <w:sz w:val="20"/>
        </w:rPr>
      </w:pPr>
      <w:r w:rsidRPr="00E45C18">
        <w:rPr>
          <w:b/>
          <w:bCs/>
          <w:sz w:val="20"/>
        </w:rPr>
        <w:t>Peak Demand Reduction Parameters</w:t>
      </w:r>
    </w:p>
    <w:p w14:paraId="528B3C8B" w14:textId="77777777" w:rsidR="0081013A" w:rsidRDefault="0081013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786"/>
        <w:gridCol w:w="1528"/>
        <w:gridCol w:w="5219"/>
      </w:tblGrid>
      <w:tr w:rsidR="0081013A" w14:paraId="528B3C8F" w14:textId="77777777">
        <w:trPr>
          <w:trHeight w:val="282"/>
        </w:trPr>
        <w:tc>
          <w:tcPr>
            <w:tcW w:w="2786" w:type="dxa"/>
            <w:shd w:val="clear" w:color="auto" w:fill="F1F1F1"/>
          </w:tcPr>
          <w:p w14:paraId="528B3C8C" w14:textId="77777777" w:rsidR="0081013A" w:rsidRPr="00535222" w:rsidRDefault="004D3D43">
            <w:pPr>
              <w:pStyle w:val="TableParagraph"/>
              <w:spacing w:before="20" w:line="242" w:lineRule="exact"/>
              <w:ind w:left="107"/>
              <w:rPr>
                <w:b/>
                <w:bCs/>
                <w:sz w:val="20"/>
              </w:rPr>
            </w:pPr>
            <w:r w:rsidRPr="00535222">
              <w:rPr>
                <w:b/>
                <w:bCs/>
                <w:sz w:val="20"/>
              </w:rPr>
              <w:t>Parameter</w:t>
            </w:r>
          </w:p>
        </w:tc>
        <w:tc>
          <w:tcPr>
            <w:tcW w:w="1528" w:type="dxa"/>
            <w:shd w:val="clear" w:color="auto" w:fill="F1F1F1"/>
          </w:tcPr>
          <w:p w14:paraId="528B3C8D" w14:textId="77777777" w:rsidR="0081013A" w:rsidRPr="00535222" w:rsidRDefault="004D3D43">
            <w:pPr>
              <w:pStyle w:val="TableParagraph"/>
              <w:spacing w:before="20" w:line="242" w:lineRule="exact"/>
              <w:ind w:left="517" w:right="509"/>
              <w:jc w:val="center"/>
              <w:rPr>
                <w:b/>
                <w:bCs/>
                <w:sz w:val="20"/>
              </w:rPr>
            </w:pPr>
            <w:r w:rsidRPr="00535222">
              <w:rPr>
                <w:b/>
                <w:bCs/>
                <w:sz w:val="20"/>
              </w:rPr>
              <w:t>Value</w:t>
            </w:r>
          </w:p>
        </w:tc>
        <w:tc>
          <w:tcPr>
            <w:tcW w:w="5219" w:type="dxa"/>
            <w:shd w:val="clear" w:color="auto" w:fill="F1F1F1"/>
          </w:tcPr>
          <w:p w14:paraId="528B3C8E" w14:textId="77777777" w:rsidR="0081013A" w:rsidRPr="00535222" w:rsidRDefault="004D3D43">
            <w:pPr>
              <w:pStyle w:val="TableParagraph"/>
              <w:spacing w:before="20" w:line="242" w:lineRule="exact"/>
              <w:ind w:left="108"/>
              <w:rPr>
                <w:b/>
                <w:bCs/>
                <w:sz w:val="20"/>
              </w:rPr>
            </w:pPr>
            <w:r w:rsidRPr="00535222">
              <w:rPr>
                <w:b/>
                <w:bCs/>
                <w:sz w:val="20"/>
              </w:rPr>
              <w:t>Source</w:t>
            </w:r>
          </w:p>
        </w:tc>
      </w:tr>
      <w:tr w:rsidR="0081013A" w14:paraId="528B3C93" w14:textId="77777777">
        <w:trPr>
          <w:trHeight w:val="530"/>
        </w:trPr>
        <w:tc>
          <w:tcPr>
            <w:tcW w:w="2786" w:type="dxa"/>
          </w:tcPr>
          <w:p w14:paraId="528B3C90" w14:textId="77777777" w:rsidR="0081013A" w:rsidRDefault="004D3D43">
            <w:pPr>
              <w:pStyle w:val="TableParagraph"/>
              <w:spacing w:before="20"/>
              <w:ind w:left="107" w:right="607"/>
              <w:rPr>
                <w:sz w:val="20"/>
              </w:rPr>
            </w:pPr>
            <w:r>
              <w:rPr>
                <w:sz w:val="20"/>
              </w:rPr>
              <w:t>Peak Period Usage Factor (PPUF)</w:t>
            </w:r>
          </w:p>
        </w:tc>
        <w:tc>
          <w:tcPr>
            <w:tcW w:w="1528" w:type="dxa"/>
          </w:tcPr>
          <w:p w14:paraId="528B3C91" w14:textId="77777777" w:rsidR="0081013A" w:rsidRDefault="004D3D43">
            <w:pPr>
              <w:pStyle w:val="TableParagraph"/>
              <w:spacing w:before="143"/>
              <w:ind w:left="512" w:right="509"/>
              <w:jc w:val="center"/>
              <w:rPr>
                <w:sz w:val="20"/>
              </w:rPr>
            </w:pPr>
            <w:r>
              <w:rPr>
                <w:sz w:val="20"/>
              </w:rPr>
              <w:t>0.37</w:t>
            </w:r>
          </w:p>
        </w:tc>
        <w:tc>
          <w:tcPr>
            <w:tcW w:w="5219" w:type="dxa"/>
          </w:tcPr>
          <w:p w14:paraId="528B3C92" w14:textId="77777777" w:rsidR="0081013A" w:rsidRDefault="004D3D43">
            <w:pPr>
              <w:pStyle w:val="TableParagraph"/>
              <w:spacing w:before="20"/>
              <w:ind w:left="109" w:right="103" w:hanging="1"/>
              <w:rPr>
                <w:sz w:val="18"/>
              </w:rPr>
            </w:pPr>
            <w:r>
              <w:rPr>
                <w:sz w:val="18"/>
              </w:rPr>
              <w:t>Southern California Edison (SCE). 2019. “Water Heater - Electric Peak Usage Factor adjustment to new TOU.xlsx”</w:t>
            </w:r>
          </w:p>
        </w:tc>
      </w:tr>
      <w:tr w:rsidR="0081013A" w14:paraId="528B3C97" w14:textId="77777777">
        <w:trPr>
          <w:trHeight w:val="282"/>
        </w:trPr>
        <w:tc>
          <w:tcPr>
            <w:tcW w:w="2786" w:type="dxa"/>
          </w:tcPr>
          <w:p w14:paraId="528B3C94" w14:textId="77777777" w:rsidR="0081013A" w:rsidRDefault="004D3D43">
            <w:pPr>
              <w:pStyle w:val="TableParagraph"/>
              <w:spacing w:before="20" w:line="242" w:lineRule="exact"/>
              <w:ind w:left="107"/>
              <w:rPr>
                <w:sz w:val="20"/>
              </w:rPr>
            </w:pPr>
            <w:r>
              <w:rPr>
                <w:sz w:val="20"/>
              </w:rPr>
              <w:t>Operating days per year (days)</w:t>
            </w:r>
          </w:p>
        </w:tc>
        <w:tc>
          <w:tcPr>
            <w:tcW w:w="1528" w:type="dxa"/>
          </w:tcPr>
          <w:p w14:paraId="528B3C95" w14:textId="77777777" w:rsidR="0081013A" w:rsidRDefault="004D3D43">
            <w:pPr>
              <w:pStyle w:val="TableParagraph"/>
              <w:spacing w:before="20" w:line="242" w:lineRule="exact"/>
              <w:ind w:left="512" w:right="509"/>
              <w:jc w:val="center"/>
              <w:rPr>
                <w:sz w:val="20"/>
              </w:rPr>
            </w:pPr>
            <w:r>
              <w:rPr>
                <w:sz w:val="20"/>
              </w:rPr>
              <w:t>365</w:t>
            </w:r>
          </w:p>
        </w:tc>
        <w:tc>
          <w:tcPr>
            <w:tcW w:w="5219" w:type="dxa"/>
          </w:tcPr>
          <w:p w14:paraId="528B3C96" w14:textId="77777777" w:rsidR="0081013A" w:rsidRDefault="004D3D43">
            <w:pPr>
              <w:pStyle w:val="TableParagraph"/>
              <w:spacing w:before="20"/>
              <w:ind w:left="108"/>
              <w:rPr>
                <w:sz w:val="18"/>
              </w:rPr>
            </w:pPr>
            <w:r>
              <w:rPr>
                <w:sz w:val="18"/>
              </w:rPr>
              <w:t>Professional judgement</w:t>
            </w:r>
          </w:p>
        </w:tc>
      </w:tr>
      <w:tr w:rsidR="0081013A" w14:paraId="528B3C9B" w14:textId="77777777">
        <w:trPr>
          <w:trHeight w:val="479"/>
        </w:trPr>
        <w:tc>
          <w:tcPr>
            <w:tcW w:w="2786" w:type="dxa"/>
          </w:tcPr>
          <w:p w14:paraId="528B3C98" w14:textId="77777777" w:rsidR="0081013A" w:rsidRDefault="004D3D43">
            <w:pPr>
              <w:pStyle w:val="TableParagraph"/>
              <w:spacing w:before="119"/>
              <w:ind w:left="107"/>
              <w:rPr>
                <w:sz w:val="20"/>
              </w:rPr>
            </w:pPr>
            <w:r>
              <w:rPr>
                <w:sz w:val="20"/>
              </w:rPr>
              <w:t>Peak hours per day (hours)</w:t>
            </w:r>
          </w:p>
        </w:tc>
        <w:tc>
          <w:tcPr>
            <w:tcW w:w="1528" w:type="dxa"/>
          </w:tcPr>
          <w:p w14:paraId="528B3C99" w14:textId="77777777" w:rsidR="0081013A" w:rsidRDefault="004D3D43">
            <w:pPr>
              <w:pStyle w:val="TableParagraph"/>
              <w:spacing w:before="119"/>
              <w:ind w:left="4"/>
              <w:jc w:val="center"/>
              <w:rPr>
                <w:sz w:val="20"/>
              </w:rPr>
            </w:pPr>
            <w:r>
              <w:rPr>
                <w:w w:val="99"/>
                <w:sz w:val="20"/>
              </w:rPr>
              <w:t>5</w:t>
            </w:r>
          </w:p>
        </w:tc>
        <w:tc>
          <w:tcPr>
            <w:tcW w:w="5219" w:type="dxa"/>
          </w:tcPr>
          <w:p w14:paraId="528B3C9A" w14:textId="77777777" w:rsidR="0081013A" w:rsidRDefault="004D3D43">
            <w:pPr>
              <w:pStyle w:val="TableParagraph"/>
              <w:spacing w:before="20" w:line="220" w:lineRule="atLeast"/>
              <w:ind w:left="108" w:right="387"/>
              <w:rPr>
                <w:sz w:val="18"/>
              </w:rPr>
            </w:pPr>
            <w:r>
              <w:rPr>
                <w:sz w:val="18"/>
              </w:rPr>
              <w:t xml:space="preserve">California Public Utilities Commission (CPUC). 2018. </w:t>
            </w:r>
            <w:r>
              <w:rPr>
                <w:i/>
                <w:sz w:val="18"/>
              </w:rPr>
              <w:t xml:space="preserve">Resolution E- 4952. </w:t>
            </w:r>
            <w:r>
              <w:rPr>
                <w:sz w:val="18"/>
              </w:rPr>
              <w:t>October 11. Op 1.</w:t>
            </w:r>
          </w:p>
        </w:tc>
      </w:tr>
    </w:tbl>
    <w:p w14:paraId="528B3C9C" w14:textId="77777777" w:rsidR="0081013A" w:rsidRDefault="0081013A">
      <w:pPr>
        <w:pStyle w:val="BodyText"/>
        <w:rPr>
          <w:sz w:val="20"/>
        </w:rPr>
      </w:pPr>
    </w:p>
    <w:p w14:paraId="528B3C9D" w14:textId="77777777" w:rsidR="0081013A" w:rsidRDefault="0081013A">
      <w:pPr>
        <w:pStyle w:val="BodyText"/>
        <w:spacing w:before="7"/>
      </w:pPr>
    </w:p>
    <w:p w14:paraId="528B3C9E" w14:textId="77777777" w:rsidR="0081013A" w:rsidRDefault="004D3D43">
      <w:pPr>
        <w:pStyle w:val="Heading1"/>
        <w:spacing w:before="1"/>
        <w:jc w:val="both"/>
      </w:pPr>
      <w:bookmarkStart w:id="20" w:name="_TOC_250010"/>
      <w:bookmarkEnd w:id="20"/>
      <w:r>
        <w:rPr>
          <w:color w:val="CFAB79"/>
        </w:rPr>
        <w:t>GAS SAVINGS (THERMS)</w:t>
      </w:r>
    </w:p>
    <w:p w14:paraId="528B3C9F" w14:textId="77777777" w:rsidR="0081013A" w:rsidRDefault="004D3D43">
      <w:pPr>
        <w:pStyle w:val="BodyText"/>
        <w:spacing w:before="115"/>
        <w:ind w:left="119" w:right="741"/>
        <w:jc w:val="both"/>
      </w:pPr>
      <w:r>
        <w:t>The gas unit energy savings (UES) of this measure is based upon the estimated decrease in hot water usage as a result of the installation of a low-flow showerhead or flow control valve. The calculation of water savings and gas energy savings are explained below.</w:t>
      </w:r>
    </w:p>
    <w:p w14:paraId="528B3CA0" w14:textId="77777777" w:rsidR="0081013A" w:rsidRDefault="004D3D43">
      <w:pPr>
        <w:spacing w:before="132"/>
        <w:ind w:left="120"/>
        <w:jc w:val="both"/>
        <w:rPr>
          <w:sz w:val="24"/>
        </w:rPr>
      </w:pPr>
      <w:bookmarkStart w:id="21" w:name="Calculation_of_Water_Usage_and_Water_Sav"/>
      <w:bookmarkEnd w:id="21"/>
      <w:r>
        <w:rPr>
          <w:color w:val="CFAB79"/>
          <w:sz w:val="24"/>
        </w:rPr>
        <w:t>Calculation of Water Usage and Water Savings</w:t>
      </w:r>
    </w:p>
    <w:p w14:paraId="528B3CA1" w14:textId="77777777" w:rsidR="0081013A" w:rsidRDefault="004D3D43">
      <w:pPr>
        <w:pStyle w:val="BodyText"/>
        <w:spacing w:before="115"/>
        <w:ind w:left="119" w:right="325"/>
      </w:pPr>
      <w:r>
        <w:t>The calculation of water savings due to the installation of a low-flow showerhead or flow control valve is represented below. Annual water savings is calculated as the difference between the estimated base case and measure case annual water usage.</w:t>
      </w:r>
    </w:p>
    <w:p w14:paraId="528B3CA2" w14:textId="77777777" w:rsidR="0081013A" w:rsidRDefault="004D3D43">
      <w:pPr>
        <w:pStyle w:val="BodyText"/>
        <w:spacing w:before="118"/>
        <w:ind w:left="119" w:right="326"/>
      </w:pPr>
      <w:r>
        <w:t>Annual water usage is a function of flow rate (gpm), the average duration of each shower, the average number of showers taken per day per household, and the average number of showerheads per household. This calculation also includes a throttling factor which is a constant that represents the assumed actual water pressure as a portion of full pressure (80 psi). The annual water use calculation also includes a normalization factor, which adjusts the estimated water consumption to account for a change in the baseline hot water consumption as per a Water Fixture Disposition issued by the Energy Division of the California Public Utilities Commission (CPUC) in 2013.</w:t>
      </w:r>
      <w:hyperlink w:anchor="_bookmark6" w:history="1">
        <w:r>
          <w:rPr>
            <w:vertAlign w:val="superscript"/>
          </w:rPr>
          <w:t>7</w:t>
        </w:r>
      </w:hyperlink>
    </w:p>
    <w:p w14:paraId="528B3CA3" w14:textId="77777777" w:rsidR="0081013A" w:rsidRDefault="004D3D43">
      <w:pPr>
        <w:pStyle w:val="BodyText"/>
        <w:spacing w:before="122"/>
        <w:ind w:left="119" w:right="343"/>
      </w:pPr>
      <w:r>
        <w:t>The inputs to calculate base case and measure case water usage are provided in following tables. Note that this measure is applicable for single family, multifamily, and mobile home installations. Due to lack of</w:t>
      </w:r>
    </w:p>
    <w:p w14:paraId="528B3CA4" w14:textId="77777777" w:rsidR="0081013A" w:rsidRDefault="0081013A">
      <w:pPr>
        <w:pStyle w:val="BodyText"/>
        <w:rPr>
          <w:sz w:val="20"/>
        </w:rPr>
      </w:pPr>
    </w:p>
    <w:p w14:paraId="528B3CA5" w14:textId="77777777" w:rsidR="0081013A" w:rsidRDefault="004A0AE2">
      <w:pPr>
        <w:pStyle w:val="BodyText"/>
        <w:spacing w:before="8"/>
        <w:rPr>
          <w:sz w:val="23"/>
        </w:rPr>
      </w:pPr>
      <w:r>
        <w:pict w14:anchorId="528B3FC3">
          <v:shape id="_x0000_s1034" style="position:absolute;margin-left:1in;margin-top:16.8pt;width:2in;height:.1pt;z-index:-251650048;mso-wrap-distance-left:0;mso-wrap-distance-right:0;mso-position-horizontal-relative:page" coordorigin="1440,336" coordsize="2880,0" path="m1440,336r2880,e" filled="f" strokeweight=".72pt">
            <v:path arrowok="t"/>
            <w10:wrap type="topAndBottom" anchorx="page"/>
          </v:shape>
        </w:pict>
      </w:r>
    </w:p>
    <w:p w14:paraId="528B3CA6" w14:textId="77777777" w:rsidR="0081013A" w:rsidRDefault="0081013A">
      <w:pPr>
        <w:pStyle w:val="BodyText"/>
        <w:rPr>
          <w:sz w:val="20"/>
        </w:rPr>
      </w:pPr>
    </w:p>
    <w:p w14:paraId="528B3CA7" w14:textId="77777777" w:rsidR="0081013A" w:rsidRDefault="0081013A">
      <w:pPr>
        <w:pStyle w:val="BodyText"/>
        <w:spacing w:before="9"/>
        <w:rPr>
          <w:sz w:val="21"/>
        </w:rPr>
      </w:pPr>
    </w:p>
    <w:p w14:paraId="528B3CA8" w14:textId="77777777" w:rsidR="0081013A" w:rsidRDefault="004D3D43">
      <w:pPr>
        <w:spacing w:before="69"/>
        <w:ind w:left="120"/>
        <w:rPr>
          <w:sz w:val="18"/>
        </w:rPr>
      </w:pPr>
      <w:bookmarkStart w:id="22" w:name="_bookmark6"/>
      <w:bookmarkEnd w:id="22"/>
      <w:r>
        <w:rPr>
          <w:position w:val="5"/>
          <w:sz w:val="12"/>
        </w:rPr>
        <w:t xml:space="preserve">7 </w:t>
      </w:r>
      <w:r>
        <w:rPr>
          <w:sz w:val="18"/>
        </w:rPr>
        <w:t>California Public Utilities Commission (CPUC), Energy Division. 2013. “Workpaper Disposition for Water Fixtures.” February 22.</w:t>
      </w:r>
    </w:p>
    <w:p w14:paraId="528B3CA9" w14:textId="77777777" w:rsidR="0081013A" w:rsidRDefault="0081013A">
      <w:pPr>
        <w:rPr>
          <w:sz w:val="18"/>
        </w:rPr>
        <w:sectPr w:rsidR="0081013A">
          <w:pgSz w:w="12240" w:h="15840"/>
          <w:pgMar w:top="1220" w:right="1120" w:bottom="1320" w:left="1320" w:header="858" w:footer="1129" w:gutter="0"/>
          <w:cols w:space="720"/>
        </w:sectPr>
      </w:pPr>
    </w:p>
    <w:p w14:paraId="528B3CAA" w14:textId="77777777" w:rsidR="0081013A" w:rsidRDefault="0081013A">
      <w:pPr>
        <w:pStyle w:val="BodyText"/>
        <w:spacing w:before="10"/>
        <w:rPr>
          <w:sz w:val="19"/>
        </w:rPr>
      </w:pPr>
    </w:p>
    <w:p w14:paraId="528B3CAB" w14:textId="5CD6021C" w:rsidR="0081013A" w:rsidRDefault="004D3D43">
      <w:pPr>
        <w:pStyle w:val="BodyText"/>
        <w:spacing w:before="56"/>
        <w:ind w:left="119" w:right="446"/>
      </w:pPr>
      <w:r>
        <w:t>data on mobile home water usage, particularly at the fixture type level (showerhead, faucet), the mobile home water usage and savings calculations adopt the more conservative multifamily values.</w:t>
      </w:r>
    </w:p>
    <w:p w14:paraId="191BE27D" w14:textId="77777777" w:rsidR="00D62E91" w:rsidRDefault="00D62E91">
      <w:pPr>
        <w:pStyle w:val="BodyText"/>
        <w:spacing w:before="56"/>
        <w:ind w:left="119" w:right="446"/>
      </w:pPr>
    </w:p>
    <w:p w14:paraId="151F79A5" w14:textId="2BE85B75" w:rsidR="0081013A" w:rsidRDefault="00353682" w:rsidP="00F75F3A">
      <w:pPr>
        <w:pStyle w:val="BodyText"/>
        <w:spacing w:before="6"/>
        <w:ind w:firstLine="900"/>
        <w:rPr>
          <w:rFonts w:ascii="Cambria Math"/>
          <w:sz w:val="29"/>
        </w:rPr>
      </w:pPr>
      <m:oMath>
        <m:r>
          <w:rPr>
            <w:rFonts w:ascii="Cambria Math"/>
            <w:sz w:val="20"/>
            <w:szCs w:val="20"/>
          </w:rPr>
          <m:t>WS</m:t>
        </m:r>
        <m:r>
          <w:rPr>
            <w:rFonts w:ascii="Cambria Math"/>
            <w:spacing w:val="-8"/>
            <w:sz w:val="20"/>
            <w:szCs w:val="20"/>
          </w:rPr>
          <m:t xml:space="preserve"> </m:t>
        </m:r>
        <m:r>
          <w:rPr>
            <w:rFonts w:ascii="Cambria Math"/>
            <w:sz w:val="20"/>
            <w:szCs w:val="20"/>
          </w:rPr>
          <m:t>=</m:t>
        </m:r>
        <m:sSub>
          <m:sSubPr>
            <m:ctrlPr>
              <w:rPr>
                <w:rFonts w:ascii="Cambria Math" w:hAnsi="Cambria Math"/>
                <w:i/>
                <w:sz w:val="20"/>
                <w:szCs w:val="20"/>
              </w:rPr>
            </m:ctrlPr>
          </m:sSubPr>
          <m:e>
            <m:r>
              <w:rPr>
                <w:rFonts w:ascii="Cambria Math"/>
                <w:sz w:val="20"/>
                <w:szCs w:val="20"/>
              </w:rPr>
              <m:t>WU</m:t>
            </m:r>
          </m:e>
          <m:sub>
            <m:r>
              <w:rPr>
                <w:rFonts w:ascii="Cambria Math"/>
                <w:sz w:val="20"/>
                <w:szCs w:val="20"/>
              </w:rPr>
              <m:t>base</m:t>
            </m:r>
          </m:sub>
        </m:sSub>
        <m:r>
          <w:rPr>
            <w:rFonts w:ascii="Cambria Math" w:hAnsi="Cambria Math"/>
            <w:sz w:val="20"/>
            <w:szCs w:val="20"/>
          </w:rPr>
          <m:t>-</m:t>
        </m:r>
        <m:sSub>
          <m:sSubPr>
            <m:ctrlPr>
              <w:rPr>
                <w:rFonts w:ascii="Cambria Math" w:hAnsi="Cambria Math"/>
                <w:i/>
                <w:sz w:val="20"/>
                <w:szCs w:val="20"/>
              </w:rPr>
            </m:ctrlPr>
          </m:sSubPr>
          <m:e>
            <m:r>
              <w:rPr>
                <w:rFonts w:ascii="Cambria Math"/>
                <w:sz w:val="20"/>
                <w:szCs w:val="20"/>
              </w:rPr>
              <m:t>WU</m:t>
            </m:r>
          </m:e>
          <m:sub>
            <m:r>
              <w:rPr>
                <w:rFonts w:ascii="Cambria Math"/>
                <w:sz w:val="20"/>
                <w:szCs w:val="20"/>
              </w:rPr>
              <m:t>measure</m:t>
            </m:r>
          </m:sub>
        </m:sSub>
      </m:oMath>
      <w:r>
        <w:rPr>
          <w:rFonts w:ascii="Cambria Math"/>
          <w:sz w:val="29"/>
        </w:rPr>
        <w:t xml:space="preserve"> </w:t>
      </w:r>
    </w:p>
    <w:p w14:paraId="0C095386" w14:textId="77777777" w:rsidR="00D62E91" w:rsidRDefault="00D62E91" w:rsidP="00F75F3A">
      <w:pPr>
        <w:pStyle w:val="BodyText"/>
        <w:spacing w:before="6"/>
        <w:ind w:firstLine="900"/>
        <w:rPr>
          <w:rFonts w:ascii="Cambria Math"/>
          <w:sz w:val="29"/>
        </w:rPr>
      </w:pPr>
    </w:p>
    <w:p w14:paraId="2135FA4B" w14:textId="6A58C6A5" w:rsidR="004F2F7A" w:rsidRPr="00F273BB" w:rsidRDefault="00281573" w:rsidP="00F75F3A">
      <w:pPr>
        <w:pStyle w:val="NoSpacing"/>
        <w:ind w:firstLine="900"/>
        <w:rPr>
          <w:sz w:val="29"/>
        </w:rPr>
      </w:pPr>
      <m:oMath>
        <m:r>
          <w:rPr>
            <w:rFonts w:ascii="Cambria Math" w:hAnsi="Cambria Math"/>
            <w:sz w:val="20"/>
            <w:szCs w:val="20"/>
          </w:rPr>
          <m:t>WU</m:t>
        </m:r>
        <m:r>
          <m:rPr>
            <m:sty m:val="p"/>
          </m:rPr>
          <w:rPr>
            <w:rFonts w:ascii="Cambria Math" w:hAnsi="Cambria Math"/>
            <w:spacing w:val="-8"/>
            <w:sz w:val="20"/>
            <w:szCs w:val="20"/>
          </w:rPr>
          <m:t xml:space="preserve"> </m:t>
        </m:r>
        <m:r>
          <m:rPr>
            <m:sty m:val="p"/>
          </m:rPr>
          <w:rPr>
            <w:rFonts w:ascii="Cambria Math" w:hAnsi="Cambria Math"/>
            <w:sz w:val="20"/>
            <w:szCs w:val="20"/>
          </w:rPr>
          <m:t>=</m:t>
        </m:r>
        <m:f>
          <m:fPr>
            <m:ctrlPr>
              <w:rPr>
                <w:rFonts w:ascii="Cambria Math" w:hAnsi="Cambria Math"/>
                <w:i/>
                <w:spacing w:val="28"/>
                <w:sz w:val="20"/>
                <w:szCs w:val="20"/>
              </w:rPr>
            </m:ctrlPr>
          </m:fPr>
          <m:num>
            <m:r>
              <w:rPr>
                <w:rFonts w:ascii="Cambria Math" w:hAnsi="Cambria Math"/>
                <w:spacing w:val="28"/>
                <w:sz w:val="20"/>
                <w:szCs w:val="20"/>
              </w:rPr>
              <m:t>FlowRate × F × Min × Days × QShwr</m:t>
            </m:r>
          </m:num>
          <m:den>
            <m:r>
              <w:rPr>
                <w:rFonts w:ascii="Cambria Math" w:hAnsi="Cambria Math"/>
                <w:spacing w:val="28"/>
                <w:sz w:val="20"/>
                <w:szCs w:val="20"/>
              </w:rPr>
              <m:t>N</m:t>
            </m:r>
          </m:den>
        </m:f>
        <m:r>
          <m:rPr>
            <m:sty m:val="p"/>
          </m:rPr>
          <w:rPr>
            <w:rFonts w:ascii="Cambria Math" w:hAnsi="Cambria Math"/>
            <w:sz w:val="20"/>
            <w:szCs w:val="20"/>
          </w:rPr>
          <m:t>×</m:t>
        </m:r>
        <m:r>
          <w:rPr>
            <w:rFonts w:ascii="Cambria Math" w:hAnsi="Cambria Math"/>
            <w:sz w:val="20"/>
            <w:szCs w:val="20"/>
          </w:rPr>
          <m:t>G</m:t>
        </m:r>
      </m:oMath>
      <w:r w:rsidR="005E022E" w:rsidRPr="00F273BB">
        <w:rPr>
          <w:sz w:val="29"/>
        </w:rPr>
        <w:t xml:space="preserve"> </w:t>
      </w:r>
    </w:p>
    <w:p w14:paraId="528B3CAE" w14:textId="738A71A0" w:rsidR="004F2F7A" w:rsidRDefault="004F2F7A" w:rsidP="004F2F7A">
      <w:pPr>
        <w:pStyle w:val="BodyText"/>
        <w:spacing w:before="6"/>
        <w:rPr>
          <w:rFonts w:ascii="Cambria Math"/>
          <w:sz w:val="29"/>
        </w:rPr>
        <w:sectPr w:rsidR="004F2F7A">
          <w:pgSz w:w="12240" w:h="15840"/>
          <w:pgMar w:top="1220" w:right="1120" w:bottom="1320" w:left="1320" w:header="858" w:footer="1129" w:gutter="0"/>
          <w:cols w:space="720"/>
        </w:sectPr>
      </w:pPr>
    </w:p>
    <w:p w14:paraId="528B3CB0" w14:textId="381FB549" w:rsidR="0081013A" w:rsidRDefault="0081013A" w:rsidP="00792A3F">
      <w:pPr>
        <w:rPr>
          <w:rFonts w:ascii="Cambria Math" w:eastAsia="Cambria Math"/>
          <w:sz w:val="18"/>
        </w:rPr>
      </w:pPr>
    </w:p>
    <w:p w14:paraId="4C9658C5" w14:textId="6A234AEB" w:rsidR="003A2392" w:rsidRPr="004F2F7A" w:rsidRDefault="004D3D43" w:rsidP="004F2F7A">
      <w:pPr>
        <w:spacing w:before="69" w:line="174" w:lineRule="exact"/>
        <w:rPr>
          <w:rFonts w:ascii="Cambria Math" w:eastAsia="Cambria Math" w:hAnsi="Cambria Math"/>
          <w:sz w:val="18"/>
        </w:rPr>
      </w:pPr>
      <w:r>
        <w:br w:type="column"/>
      </w:r>
    </w:p>
    <w:p w14:paraId="528B3CB4" w14:textId="0F18FC5E" w:rsidR="0081013A" w:rsidRDefault="004D3D43">
      <w:pPr>
        <w:tabs>
          <w:tab w:val="left" w:pos="1457"/>
        </w:tabs>
        <w:spacing w:before="1"/>
        <w:ind w:left="197"/>
        <w:rPr>
          <w:rFonts w:ascii="Cambria Math"/>
          <w:i/>
          <w:sz w:val="19"/>
        </w:rPr>
      </w:pPr>
      <w:r>
        <w:rPr>
          <w:rFonts w:ascii="Cambria Math"/>
          <w:i/>
          <w:sz w:val="19"/>
        </w:rPr>
        <w:t>WS</w:t>
      </w:r>
      <w:r>
        <w:rPr>
          <w:rFonts w:ascii="Cambria Math"/>
          <w:i/>
          <w:spacing w:val="-8"/>
          <w:sz w:val="19"/>
        </w:rPr>
        <w:t xml:space="preserve"> </w:t>
      </w:r>
      <w:r>
        <w:rPr>
          <w:rFonts w:ascii="Cambria Math"/>
          <w:i/>
          <w:sz w:val="19"/>
        </w:rPr>
        <w:t>=</w:t>
      </w:r>
      <w:r>
        <w:rPr>
          <w:rFonts w:ascii="Cambria Math"/>
          <w:i/>
          <w:sz w:val="19"/>
        </w:rPr>
        <w:tab/>
        <w:t>Annual water savings</w:t>
      </w:r>
      <w:r>
        <w:rPr>
          <w:rFonts w:ascii="Cambria Math"/>
          <w:i/>
          <w:spacing w:val="-10"/>
          <w:sz w:val="19"/>
        </w:rPr>
        <w:t xml:space="preserve"> </w:t>
      </w:r>
      <w:r>
        <w:rPr>
          <w:rFonts w:ascii="Cambria Math"/>
          <w:i/>
          <w:sz w:val="19"/>
        </w:rPr>
        <w:t>(gal/year)</w:t>
      </w:r>
    </w:p>
    <w:p w14:paraId="528B3CB5" w14:textId="0AB423CD" w:rsidR="0081013A" w:rsidRDefault="000C12C5">
      <w:pPr>
        <w:tabs>
          <w:tab w:val="left" w:pos="1457"/>
        </w:tabs>
        <w:spacing w:before="10"/>
        <w:ind w:left="197"/>
        <w:rPr>
          <w:rFonts w:ascii="Cambria Math" w:eastAsia="Cambria Math"/>
          <w:i/>
          <w:sz w:val="19"/>
        </w:rPr>
      </w:pPr>
      <w:r w:rsidRPr="000C12C5">
        <w:rPr>
          <w:rFonts w:ascii="Cambria Math" w:eastAsia="Cambria Math"/>
          <w:i/>
          <w:iCs/>
          <w:w w:val="90"/>
          <w:sz w:val="18"/>
        </w:rPr>
        <w:t>WU</w:t>
      </w:r>
      <w:r w:rsidR="004D3D43">
        <w:rPr>
          <w:rFonts w:ascii="Cambria Math" w:eastAsia="Cambria Math"/>
          <w:spacing w:val="-22"/>
          <w:w w:val="90"/>
          <w:sz w:val="18"/>
        </w:rPr>
        <w:t xml:space="preserve"> </w:t>
      </w:r>
      <w:r w:rsidR="004D3D43">
        <w:rPr>
          <w:rFonts w:ascii="Cambria Math" w:eastAsia="Cambria Math"/>
          <w:i/>
          <w:w w:val="90"/>
          <w:sz w:val="19"/>
        </w:rPr>
        <w:t>=</w:t>
      </w:r>
      <w:r w:rsidR="004D3D43">
        <w:rPr>
          <w:rFonts w:ascii="Cambria Math" w:eastAsia="Cambria Math"/>
          <w:i/>
          <w:w w:val="90"/>
          <w:sz w:val="19"/>
        </w:rPr>
        <w:tab/>
      </w:r>
      <w:r w:rsidR="004D3D43">
        <w:rPr>
          <w:rFonts w:ascii="Cambria Math" w:eastAsia="Cambria Math"/>
          <w:i/>
          <w:sz w:val="19"/>
        </w:rPr>
        <w:t>Annual</w:t>
      </w:r>
      <w:r w:rsidR="004D3D43">
        <w:rPr>
          <w:rFonts w:ascii="Cambria Math" w:eastAsia="Cambria Math"/>
          <w:i/>
          <w:spacing w:val="-5"/>
          <w:sz w:val="19"/>
        </w:rPr>
        <w:t xml:space="preserve"> </w:t>
      </w:r>
      <w:r w:rsidR="004D3D43">
        <w:rPr>
          <w:rFonts w:ascii="Cambria Math" w:eastAsia="Cambria Math"/>
          <w:i/>
          <w:sz w:val="19"/>
        </w:rPr>
        <w:t>water</w:t>
      </w:r>
      <w:r w:rsidR="004D3D43">
        <w:rPr>
          <w:rFonts w:ascii="Cambria Math" w:eastAsia="Cambria Math"/>
          <w:i/>
          <w:spacing w:val="-5"/>
          <w:sz w:val="19"/>
        </w:rPr>
        <w:t xml:space="preserve"> </w:t>
      </w:r>
      <w:r w:rsidR="004D3D43">
        <w:rPr>
          <w:rFonts w:ascii="Cambria Math" w:eastAsia="Cambria Math"/>
          <w:i/>
          <w:sz w:val="19"/>
        </w:rPr>
        <w:t>use</w:t>
      </w:r>
      <w:r w:rsidR="004D3D43">
        <w:rPr>
          <w:rFonts w:ascii="Cambria Math" w:eastAsia="Cambria Math"/>
          <w:i/>
          <w:spacing w:val="-6"/>
          <w:sz w:val="19"/>
        </w:rPr>
        <w:t xml:space="preserve"> </w:t>
      </w:r>
      <w:r w:rsidR="004D3D43">
        <w:rPr>
          <w:rFonts w:ascii="Cambria Math" w:eastAsia="Cambria Math"/>
          <w:i/>
          <w:sz w:val="19"/>
        </w:rPr>
        <w:t>(gal/year),</w:t>
      </w:r>
      <w:r w:rsidR="004D3D43">
        <w:rPr>
          <w:rFonts w:ascii="Cambria Math" w:eastAsia="Cambria Math"/>
          <w:i/>
          <w:spacing w:val="-5"/>
          <w:sz w:val="19"/>
        </w:rPr>
        <w:t xml:space="preserve"> </w:t>
      </w:r>
      <w:r w:rsidR="004D3D43">
        <w:rPr>
          <w:rFonts w:ascii="Cambria Math" w:eastAsia="Cambria Math"/>
          <w:i/>
          <w:sz w:val="19"/>
        </w:rPr>
        <w:t>for</w:t>
      </w:r>
      <w:r w:rsidR="004D3D43">
        <w:rPr>
          <w:rFonts w:ascii="Cambria Math" w:eastAsia="Cambria Math"/>
          <w:i/>
          <w:spacing w:val="-5"/>
          <w:sz w:val="19"/>
        </w:rPr>
        <w:t xml:space="preserve"> </w:t>
      </w:r>
      <w:r w:rsidR="004D3D43">
        <w:rPr>
          <w:rFonts w:ascii="Cambria Math" w:eastAsia="Cambria Math"/>
          <w:i/>
          <w:sz w:val="19"/>
        </w:rPr>
        <w:t>base</w:t>
      </w:r>
      <w:r w:rsidR="004D3D43">
        <w:rPr>
          <w:rFonts w:ascii="Cambria Math" w:eastAsia="Cambria Math"/>
          <w:i/>
          <w:spacing w:val="-5"/>
          <w:sz w:val="19"/>
        </w:rPr>
        <w:t xml:space="preserve"> </w:t>
      </w:r>
      <w:r w:rsidR="004D3D43">
        <w:rPr>
          <w:rFonts w:ascii="Cambria Math" w:eastAsia="Cambria Math"/>
          <w:i/>
          <w:sz w:val="19"/>
        </w:rPr>
        <w:t>or</w:t>
      </w:r>
      <w:r w:rsidR="004D3D43">
        <w:rPr>
          <w:rFonts w:ascii="Cambria Math" w:eastAsia="Cambria Math"/>
          <w:i/>
          <w:spacing w:val="-5"/>
          <w:sz w:val="19"/>
        </w:rPr>
        <w:t xml:space="preserve"> </w:t>
      </w:r>
      <w:r w:rsidR="004D3D43">
        <w:rPr>
          <w:rFonts w:ascii="Cambria Math" w:eastAsia="Cambria Math"/>
          <w:i/>
          <w:sz w:val="19"/>
        </w:rPr>
        <w:t>measure</w:t>
      </w:r>
      <w:r w:rsidR="004D3D43">
        <w:rPr>
          <w:rFonts w:ascii="Cambria Math" w:eastAsia="Cambria Math"/>
          <w:i/>
          <w:spacing w:val="-6"/>
          <w:sz w:val="19"/>
        </w:rPr>
        <w:t xml:space="preserve"> </w:t>
      </w:r>
      <w:r w:rsidR="004D3D43">
        <w:rPr>
          <w:rFonts w:ascii="Cambria Math" w:eastAsia="Cambria Math"/>
          <w:i/>
          <w:sz w:val="19"/>
        </w:rPr>
        <w:t>case</w:t>
      </w:r>
    </w:p>
    <w:p w14:paraId="528B3CB6" w14:textId="77777777" w:rsidR="0081013A" w:rsidRDefault="004D3D43">
      <w:pPr>
        <w:tabs>
          <w:tab w:val="left" w:pos="1457"/>
        </w:tabs>
        <w:spacing w:before="7" w:line="247" w:lineRule="auto"/>
        <w:ind w:left="197" w:right="1699"/>
        <w:rPr>
          <w:rFonts w:ascii="Cambria Math"/>
          <w:i/>
          <w:sz w:val="19"/>
        </w:rPr>
      </w:pPr>
      <w:r>
        <w:rPr>
          <w:rFonts w:ascii="Cambria Math"/>
          <w:i/>
          <w:sz w:val="19"/>
        </w:rPr>
        <w:t>FlowRate</w:t>
      </w:r>
      <w:r>
        <w:rPr>
          <w:rFonts w:ascii="Cambria Math"/>
          <w:i/>
          <w:spacing w:val="-15"/>
          <w:sz w:val="19"/>
        </w:rPr>
        <w:t xml:space="preserve"> </w:t>
      </w:r>
      <w:r>
        <w:rPr>
          <w:rFonts w:ascii="Cambria Math"/>
          <w:i/>
          <w:sz w:val="19"/>
        </w:rPr>
        <w:t>=</w:t>
      </w:r>
      <w:r>
        <w:rPr>
          <w:rFonts w:ascii="Cambria Math"/>
          <w:i/>
          <w:sz w:val="19"/>
        </w:rPr>
        <w:tab/>
      </w:r>
      <w:r>
        <w:rPr>
          <w:rFonts w:ascii="Cambria Math"/>
          <w:i/>
          <w:w w:val="95"/>
          <w:sz w:val="19"/>
        </w:rPr>
        <w:t>Showerhead</w:t>
      </w:r>
      <w:r>
        <w:rPr>
          <w:rFonts w:ascii="Cambria Math"/>
          <w:i/>
          <w:spacing w:val="-3"/>
          <w:w w:val="95"/>
          <w:sz w:val="19"/>
        </w:rPr>
        <w:t xml:space="preserve"> </w:t>
      </w:r>
      <w:r>
        <w:rPr>
          <w:rFonts w:ascii="Cambria Math"/>
          <w:i/>
          <w:w w:val="95"/>
          <w:sz w:val="19"/>
        </w:rPr>
        <w:t>water</w:t>
      </w:r>
      <w:r>
        <w:rPr>
          <w:rFonts w:ascii="Cambria Math"/>
          <w:i/>
          <w:spacing w:val="-5"/>
          <w:w w:val="95"/>
          <w:sz w:val="19"/>
        </w:rPr>
        <w:t xml:space="preserve"> </w:t>
      </w:r>
      <w:r>
        <w:rPr>
          <w:rFonts w:ascii="Cambria Math"/>
          <w:i/>
          <w:w w:val="95"/>
          <w:sz w:val="19"/>
        </w:rPr>
        <w:t>flow</w:t>
      </w:r>
      <w:r>
        <w:rPr>
          <w:rFonts w:ascii="Cambria Math"/>
          <w:i/>
          <w:spacing w:val="-4"/>
          <w:w w:val="95"/>
          <w:sz w:val="19"/>
        </w:rPr>
        <w:t xml:space="preserve"> </w:t>
      </w:r>
      <w:r>
        <w:rPr>
          <w:rFonts w:ascii="Cambria Math"/>
          <w:i/>
          <w:w w:val="95"/>
          <w:sz w:val="19"/>
        </w:rPr>
        <w:t>rate</w:t>
      </w:r>
      <w:r>
        <w:rPr>
          <w:rFonts w:ascii="Cambria Math"/>
          <w:i/>
          <w:spacing w:val="-2"/>
          <w:w w:val="95"/>
          <w:sz w:val="19"/>
        </w:rPr>
        <w:t xml:space="preserve"> </w:t>
      </w:r>
      <w:r>
        <w:rPr>
          <w:rFonts w:ascii="Cambria Math"/>
          <w:i/>
          <w:w w:val="95"/>
          <w:sz w:val="19"/>
        </w:rPr>
        <w:t>(gpm)</w:t>
      </w:r>
      <w:r>
        <w:rPr>
          <w:rFonts w:ascii="Cambria Math"/>
          <w:i/>
          <w:spacing w:val="-5"/>
          <w:w w:val="95"/>
          <w:sz w:val="19"/>
        </w:rPr>
        <w:t xml:space="preserve"> </w:t>
      </w:r>
      <w:r>
        <w:rPr>
          <w:rFonts w:ascii="Cambria Math"/>
          <w:i/>
          <w:w w:val="95"/>
          <w:sz w:val="19"/>
        </w:rPr>
        <w:t>for</w:t>
      </w:r>
      <w:r>
        <w:rPr>
          <w:rFonts w:ascii="Cambria Math"/>
          <w:i/>
          <w:spacing w:val="-4"/>
          <w:w w:val="95"/>
          <w:sz w:val="19"/>
        </w:rPr>
        <w:t xml:space="preserve"> </w:t>
      </w:r>
      <w:r>
        <w:rPr>
          <w:rFonts w:ascii="Cambria Math"/>
          <w:i/>
          <w:w w:val="95"/>
          <w:sz w:val="19"/>
        </w:rPr>
        <w:t>base</w:t>
      </w:r>
      <w:r>
        <w:rPr>
          <w:rFonts w:ascii="Cambria Math"/>
          <w:i/>
          <w:spacing w:val="-2"/>
          <w:w w:val="95"/>
          <w:sz w:val="19"/>
        </w:rPr>
        <w:t xml:space="preserve"> </w:t>
      </w:r>
      <w:r>
        <w:rPr>
          <w:rFonts w:ascii="Cambria Math"/>
          <w:i/>
          <w:w w:val="95"/>
          <w:sz w:val="19"/>
        </w:rPr>
        <w:t>or</w:t>
      </w:r>
      <w:r>
        <w:rPr>
          <w:rFonts w:ascii="Cambria Math"/>
          <w:i/>
          <w:spacing w:val="-6"/>
          <w:w w:val="95"/>
          <w:sz w:val="19"/>
        </w:rPr>
        <w:t xml:space="preserve"> </w:t>
      </w:r>
      <w:r>
        <w:rPr>
          <w:rFonts w:ascii="Cambria Math"/>
          <w:i/>
          <w:w w:val="95"/>
          <w:sz w:val="19"/>
        </w:rPr>
        <w:t>measure</w:t>
      </w:r>
      <w:r>
        <w:rPr>
          <w:rFonts w:ascii="Cambria Math"/>
          <w:i/>
          <w:spacing w:val="-3"/>
          <w:w w:val="95"/>
          <w:sz w:val="19"/>
        </w:rPr>
        <w:t xml:space="preserve"> </w:t>
      </w:r>
      <w:r>
        <w:rPr>
          <w:rFonts w:ascii="Cambria Math"/>
          <w:i/>
          <w:w w:val="95"/>
          <w:sz w:val="19"/>
        </w:rPr>
        <w:t>case</w:t>
      </w:r>
      <w:r>
        <w:rPr>
          <w:rFonts w:ascii="Cambria Math"/>
          <w:i/>
          <w:spacing w:val="-5"/>
          <w:w w:val="95"/>
          <w:sz w:val="19"/>
        </w:rPr>
        <w:t xml:space="preserve"> </w:t>
      </w:r>
      <w:r>
        <w:rPr>
          <w:rFonts w:ascii="Cambria Math"/>
          <w:i/>
          <w:w w:val="95"/>
          <w:sz w:val="19"/>
        </w:rPr>
        <w:t xml:space="preserve">fixtures </w:t>
      </w:r>
      <w:r>
        <w:rPr>
          <w:rFonts w:ascii="Cambria Math"/>
          <w:i/>
          <w:sz w:val="19"/>
        </w:rPr>
        <w:t>F</w:t>
      </w:r>
      <w:r>
        <w:rPr>
          <w:rFonts w:ascii="Cambria Math"/>
          <w:i/>
          <w:spacing w:val="-6"/>
          <w:sz w:val="19"/>
        </w:rPr>
        <w:t xml:space="preserve"> </w:t>
      </w:r>
      <w:r>
        <w:rPr>
          <w:rFonts w:ascii="Cambria Math"/>
          <w:i/>
          <w:sz w:val="19"/>
        </w:rPr>
        <w:t>=</w:t>
      </w:r>
      <w:r>
        <w:rPr>
          <w:rFonts w:ascii="Cambria Math"/>
          <w:i/>
          <w:sz w:val="19"/>
        </w:rPr>
        <w:tab/>
        <w:t>Throttling factor</w:t>
      </w:r>
      <w:r>
        <w:rPr>
          <w:rFonts w:ascii="Cambria Math"/>
          <w:i/>
          <w:spacing w:val="-5"/>
          <w:sz w:val="19"/>
        </w:rPr>
        <w:t xml:space="preserve"> </w:t>
      </w:r>
      <w:r>
        <w:rPr>
          <w:rFonts w:ascii="Cambria Math"/>
          <w:i/>
          <w:sz w:val="19"/>
        </w:rPr>
        <w:t>(%)</w:t>
      </w:r>
    </w:p>
    <w:p w14:paraId="528B3CB7" w14:textId="77777777" w:rsidR="0081013A" w:rsidRDefault="004D3D43">
      <w:pPr>
        <w:tabs>
          <w:tab w:val="left" w:pos="1457"/>
        </w:tabs>
        <w:spacing w:before="2"/>
        <w:ind w:left="197"/>
        <w:rPr>
          <w:rFonts w:ascii="Cambria Math"/>
          <w:i/>
          <w:sz w:val="19"/>
        </w:rPr>
      </w:pPr>
      <w:r>
        <w:rPr>
          <w:rFonts w:ascii="Cambria Math"/>
          <w:i/>
          <w:sz w:val="19"/>
        </w:rPr>
        <w:t>Min</w:t>
      </w:r>
      <w:r>
        <w:rPr>
          <w:rFonts w:ascii="Cambria Math"/>
          <w:i/>
          <w:spacing w:val="-8"/>
          <w:sz w:val="19"/>
        </w:rPr>
        <w:t xml:space="preserve"> </w:t>
      </w:r>
      <w:r>
        <w:rPr>
          <w:rFonts w:ascii="Cambria Math"/>
          <w:i/>
          <w:sz w:val="19"/>
        </w:rPr>
        <w:t>=</w:t>
      </w:r>
      <w:r>
        <w:rPr>
          <w:rFonts w:ascii="Cambria Math"/>
          <w:i/>
          <w:sz w:val="19"/>
        </w:rPr>
        <w:tab/>
        <w:t>Average shower time</w:t>
      </w:r>
      <w:r>
        <w:rPr>
          <w:rFonts w:ascii="Cambria Math"/>
          <w:i/>
          <w:spacing w:val="-9"/>
          <w:sz w:val="19"/>
        </w:rPr>
        <w:t xml:space="preserve"> </w:t>
      </w:r>
      <w:r>
        <w:rPr>
          <w:rFonts w:ascii="Cambria Math"/>
          <w:i/>
          <w:sz w:val="19"/>
        </w:rPr>
        <w:t>(min/day)</w:t>
      </w:r>
    </w:p>
    <w:p w14:paraId="528B3CB8" w14:textId="77777777" w:rsidR="0081013A" w:rsidRDefault="004D3D43">
      <w:pPr>
        <w:tabs>
          <w:tab w:val="left" w:pos="1457"/>
        </w:tabs>
        <w:spacing w:before="10" w:line="247" w:lineRule="auto"/>
        <w:ind w:left="197" w:right="3697"/>
        <w:rPr>
          <w:rFonts w:ascii="Cambria Math"/>
          <w:i/>
          <w:sz w:val="19"/>
        </w:rPr>
      </w:pPr>
      <w:r>
        <w:rPr>
          <w:rFonts w:ascii="Cambria Math"/>
          <w:i/>
          <w:sz w:val="19"/>
        </w:rPr>
        <w:t>QShwr</w:t>
      </w:r>
      <w:r>
        <w:rPr>
          <w:rFonts w:ascii="Cambria Math"/>
          <w:i/>
          <w:spacing w:val="-13"/>
          <w:sz w:val="19"/>
        </w:rPr>
        <w:t xml:space="preserve"> </w:t>
      </w:r>
      <w:r>
        <w:rPr>
          <w:rFonts w:ascii="Cambria Math"/>
          <w:i/>
          <w:sz w:val="19"/>
        </w:rPr>
        <w:t>=</w:t>
      </w:r>
      <w:r>
        <w:rPr>
          <w:rFonts w:ascii="Cambria Math"/>
          <w:i/>
          <w:sz w:val="19"/>
        </w:rPr>
        <w:tab/>
      </w:r>
      <w:r>
        <w:rPr>
          <w:rFonts w:ascii="Cambria Math"/>
          <w:i/>
          <w:w w:val="95"/>
          <w:sz w:val="19"/>
        </w:rPr>
        <w:t>Number of showers per household per</w:t>
      </w:r>
      <w:r>
        <w:rPr>
          <w:rFonts w:ascii="Cambria Math"/>
          <w:i/>
          <w:spacing w:val="-19"/>
          <w:w w:val="95"/>
          <w:sz w:val="19"/>
        </w:rPr>
        <w:t xml:space="preserve"> </w:t>
      </w:r>
      <w:r>
        <w:rPr>
          <w:rFonts w:ascii="Cambria Math"/>
          <w:i/>
          <w:w w:val="95"/>
          <w:sz w:val="19"/>
        </w:rPr>
        <w:t xml:space="preserve">day </w:t>
      </w:r>
      <w:r>
        <w:rPr>
          <w:rFonts w:ascii="Cambria Math"/>
          <w:i/>
          <w:sz w:val="19"/>
        </w:rPr>
        <w:t>Days</w:t>
      </w:r>
      <w:r>
        <w:rPr>
          <w:rFonts w:ascii="Cambria Math"/>
          <w:i/>
          <w:spacing w:val="-10"/>
          <w:sz w:val="19"/>
        </w:rPr>
        <w:t xml:space="preserve"> </w:t>
      </w:r>
      <w:r>
        <w:rPr>
          <w:rFonts w:ascii="Cambria Math"/>
          <w:i/>
          <w:sz w:val="19"/>
        </w:rPr>
        <w:t>=</w:t>
      </w:r>
      <w:r>
        <w:rPr>
          <w:rFonts w:ascii="Cambria Math"/>
          <w:i/>
          <w:sz w:val="19"/>
        </w:rPr>
        <w:tab/>
        <w:t>Shower</w:t>
      </w:r>
      <w:r>
        <w:rPr>
          <w:rFonts w:ascii="Cambria Math"/>
          <w:i/>
          <w:spacing w:val="-15"/>
          <w:sz w:val="19"/>
        </w:rPr>
        <w:t xml:space="preserve"> </w:t>
      </w:r>
      <w:r>
        <w:rPr>
          <w:rFonts w:ascii="Cambria Math"/>
          <w:i/>
          <w:sz w:val="19"/>
        </w:rPr>
        <w:t>days</w:t>
      </w:r>
      <w:r>
        <w:rPr>
          <w:rFonts w:ascii="Cambria Math"/>
          <w:i/>
          <w:spacing w:val="-16"/>
          <w:sz w:val="19"/>
        </w:rPr>
        <w:t xml:space="preserve"> </w:t>
      </w:r>
      <w:r>
        <w:rPr>
          <w:rFonts w:ascii="Cambria Math"/>
          <w:i/>
          <w:sz w:val="19"/>
        </w:rPr>
        <w:t>of</w:t>
      </w:r>
      <w:r>
        <w:rPr>
          <w:rFonts w:ascii="Cambria Math"/>
          <w:i/>
          <w:spacing w:val="-15"/>
          <w:sz w:val="19"/>
        </w:rPr>
        <w:t xml:space="preserve"> </w:t>
      </w:r>
      <w:r>
        <w:rPr>
          <w:rFonts w:ascii="Cambria Math"/>
          <w:i/>
          <w:sz w:val="19"/>
        </w:rPr>
        <w:t>operation</w:t>
      </w:r>
      <w:r>
        <w:rPr>
          <w:rFonts w:ascii="Cambria Math"/>
          <w:i/>
          <w:spacing w:val="-15"/>
          <w:sz w:val="19"/>
        </w:rPr>
        <w:t xml:space="preserve"> </w:t>
      </w:r>
      <w:r>
        <w:rPr>
          <w:rFonts w:ascii="Cambria Math"/>
          <w:i/>
          <w:sz w:val="19"/>
        </w:rPr>
        <w:t>(days/year)</w:t>
      </w:r>
    </w:p>
    <w:p w14:paraId="528B3CB9" w14:textId="77777777" w:rsidR="0081013A" w:rsidRDefault="004D3D43">
      <w:pPr>
        <w:tabs>
          <w:tab w:val="left" w:pos="1457"/>
        </w:tabs>
        <w:spacing w:before="2" w:line="249" w:lineRule="auto"/>
        <w:ind w:left="197" w:right="3189"/>
        <w:rPr>
          <w:rFonts w:ascii="Cambria Math"/>
          <w:i/>
          <w:sz w:val="19"/>
        </w:rPr>
      </w:pPr>
      <w:r>
        <w:rPr>
          <w:rFonts w:ascii="Cambria Math"/>
          <w:i/>
          <w:sz w:val="19"/>
        </w:rPr>
        <w:t>N</w:t>
      </w:r>
      <w:r>
        <w:rPr>
          <w:rFonts w:ascii="Cambria Math"/>
          <w:i/>
          <w:spacing w:val="-6"/>
          <w:sz w:val="19"/>
        </w:rPr>
        <w:t xml:space="preserve"> </w:t>
      </w:r>
      <w:r>
        <w:rPr>
          <w:rFonts w:ascii="Cambria Math"/>
          <w:i/>
          <w:sz w:val="19"/>
        </w:rPr>
        <w:t>=</w:t>
      </w:r>
      <w:r>
        <w:rPr>
          <w:rFonts w:ascii="Cambria Math"/>
          <w:i/>
          <w:sz w:val="19"/>
        </w:rPr>
        <w:tab/>
      </w:r>
      <w:r>
        <w:rPr>
          <w:rFonts w:ascii="Cambria Math"/>
          <w:i/>
          <w:w w:val="95"/>
          <w:sz w:val="19"/>
        </w:rPr>
        <w:t>Number of showerheads per household, SF or</w:t>
      </w:r>
      <w:r>
        <w:rPr>
          <w:rFonts w:ascii="Cambria Math"/>
          <w:i/>
          <w:spacing w:val="-24"/>
          <w:w w:val="95"/>
          <w:sz w:val="19"/>
        </w:rPr>
        <w:t xml:space="preserve"> </w:t>
      </w:r>
      <w:r>
        <w:rPr>
          <w:rFonts w:ascii="Cambria Math"/>
          <w:i/>
          <w:w w:val="95"/>
          <w:sz w:val="19"/>
        </w:rPr>
        <w:t xml:space="preserve">MF </w:t>
      </w:r>
      <w:r>
        <w:rPr>
          <w:rFonts w:ascii="Cambria Math"/>
          <w:i/>
          <w:sz w:val="19"/>
        </w:rPr>
        <w:t>G</w:t>
      </w:r>
      <w:r>
        <w:rPr>
          <w:rFonts w:ascii="Cambria Math"/>
          <w:i/>
          <w:spacing w:val="-5"/>
          <w:sz w:val="19"/>
        </w:rPr>
        <w:t xml:space="preserve"> </w:t>
      </w:r>
      <w:r>
        <w:rPr>
          <w:rFonts w:ascii="Cambria Math"/>
          <w:i/>
          <w:sz w:val="19"/>
        </w:rPr>
        <w:t>=</w:t>
      </w:r>
      <w:r>
        <w:rPr>
          <w:rFonts w:ascii="Cambria Math"/>
          <w:i/>
          <w:sz w:val="19"/>
        </w:rPr>
        <w:tab/>
        <w:t>Normalizing</w:t>
      </w:r>
      <w:r>
        <w:rPr>
          <w:rFonts w:ascii="Cambria Math"/>
          <w:i/>
          <w:spacing w:val="-4"/>
          <w:sz w:val="19"/>
        </w:rPr>
        <w:t xml:space="preserve"> </w:t>
      </w:r>
      <w:r>
        <w:rPr>
          <w:rFonts w:ascii="Cambria Math"/>
          <w:i/>
          <w:sz w:val="19"/>
        </w:rPr>
        <w:t>factor</w:t>
      </w:r>
    </w:p>
    <w:p w14:paraId="528B3CBA" w14:textId="77777777" w:rsidR="0081013A" w:rsidRDefault="0081013A">
      <w:pPr>
        <w:spacing w:line="249" w:lineRule="auto"/>
        <w:rPr>
          <w:rFonts w:ascii="Cambria Math"/>
          <w:sz w:val="19"/>
        </w:rPr>
        <w:sectPr w:rsidR="0081013A" w:rsidSect="00606D59">
          <w:type w:val="continuous"/>
          <w:pgSz w:w="12240" w:h="15840"/>
          <w:pgMar w:top="1220" w:right="1120" w:bottom="1320" w:left="1320" w:header="720" w:footer="720" w:gutter="0"/>
          <w:cols w:num="2" w:space="720" w:equalWidth="0">
            <w:col w:w="1323" w:space="40"/>
            <w:col w:w="8437"/>
          </w:cols>
        </w:sectPr>
      </w:pPr>
    </w:p>
    <w:p w14:paraId="528B3CBB" w14:textId="77777777" w:rsidR="0081013A" w:rsidRDefault="0081013A">
      <w:pPr>
        <w:pStyle w:val="BodyText"/>
        <w:spacing w:before="1"/>
        <w:rPr>
          <w:rFonts w:ascii="Cambria Math"/>
          <w:i/>
          <w:sz w:val="18"/>
        </w:rPr>
      </w:pPr>
    </w:p>
    <w:p w14:paraId="528B3CBC" w14:textId="77777777" w:rsidR="0081013A" w:rsidRPr="00E45C18" w:rsidRDefault="004D3D43">
      <w:pPr>
        <w:spacing w:before="59"/>
        <w:ind w:left="120"/>
        <w:rPr>
          <w:b/>
          <w:bCs/>
          <w:sz w:val="20"/>
        </w:rPr>
      </w:pPr>
      <w:r w:rsidRPr="00E45C18">
        <w:rPr>
          <w:b/>
          <w:bCs/>
          <w:sz w:val="20"/>
        </w:rPr>
        <w:t>Base Case Water Usage Inputs</w:t>
      </w:r>
    </w:p>
    <w:p w14:paraId="528B3CBD" w14:textId="77777777" w:rsidR="0081013A" w:rsidRDefault="0081013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592"/>
        <w:gridCol w:w="1440"/>
        <w:gridCol w:w="1440"/>
        <w:gridCol w:w="4032"/>
      </w:tblGrid>
      <w:tr w:rsidR="0081013A" w14:paraId="528B3CC5" w14:textId="77777777">
        <w:trPr>
          <w:trHeight w:val="489"/>
        </w:trPr>
        <w:tc>
          <w:tcPr>
            <w:tcW w:w="2592" w:type="dxa"/>
            <w:shd w:val="clear" w:color="auto" w:fill="F1F1F1"/>
          </w:tcPr>
          <w:p w14:paraId="528B3CBE" w14:textId="77777777" w:rsidR="0081013A" w:rsidRPr="00535222" w:rsidRDefault="0081013A">
            <w:pPr>
              <w:pStyle w:val="TableParagraph"/>
              <w:spacing w:before="2"/>
              <w:rPr>
                <w:b/>
                <w:bCs/>
                <w:sz w:val="20"/>
              </w:rPr>
            </w:pPr>
          </w:p>
          <w:p w14:paraId="528B3CBF" w14:textId="77777777" w:rsidR="0081013A" w:rsidRPr="00535222" w:rsidRDefault="004D3D43">
            <w:pPr>
              <w:pStyle w:val="TableParagraph"/>
              <w:spacing w:line="223" w:lineRule="exact"/>
              <w:ind w:left="851" w:right="841"/>
              <w:jc w:val="center"/>
              <w:rPr>
                <w:b/>
                <w:bCs/>
                <w:sz w:val="20"/>
              </w:rPr>
            </w:pPr>
            <w:r w:rsidRPr="00535222">
              <w:rPr>
                <w:b/>
                <w:bCs/>
                <w:sz w:val="20"/>
              </w:rPr>
              <w:t>Parameter</w:t>
            </w:r>
          </w:p>
        </w:tc>
        <w:tc>
          <w:tcPr>
            <w:tcW w:w="1440" w:type="dxa"/>
            <w:shd w:val="clear" w:color="auto" w:fill="F1F1F1"/>
          </w:tcPr>
          <w:p w14:paraId="528B3CC0" w14:textId="77777777" w:rsidR="0081013A" w:rsidRPr="00535222" w:rsidRDefault="0081013A">
            <w:pPr>
              <w:pStyle w:val="TableParagraph"/>
              <w:spacing w:before="2"/>
              <w:rPr>
                <w:b/>
                <w:bCs/>
                <w:sz w:val="20"/>
              </w:rPr>
            </w:pPr>
          </w:p>
          <w:p w14:paraId="528B3CC1" w14:textId="77777777" w:rsidR="0081013A" w:rsidRPr="00535222" w:rsidRDefault="004D3D43">
            <w:pPr>
              <w:pStyle w:val="TableParagraph"/>
              <w:spacing w:line="223" w:lineRule="exact"/>
              <w:ind w:left="208"/>
              <w:rPr>
                <w:b/>
                <w:bCs/>
                <w:sz w:val="20"/>
              </w:rPr>
            </w:pPr>
            <w:r w:rsidRPr="00535222">
              <w:rPr>
                <w:b/>
                <w:bCs/>
                <w:sz w:val="20"/>
              </w:rPr>
              <w:t>Single Family</w:t>
            </w:r>
          </w:p>
        </w:tc>
        <w:tc>
          <w:tcPr>
            <w:tcW w:w="1440" w:type="dxa"/>
            <w:shd w:val="clear" w:color="auto" w:fill="F1F1F1"/>
          </w:tcPr>
          <w:p w14:paraId="528B3CC2" w14:textId="77777777" w:rsidR="0081013A" w:rsidRPr="00535222" w:rsidRDefault="004D3D43">
            <w:pPr>
              <w:pStyle w:val="TableParagraph"/>
              <w:spacing w:before="1" w:line="240" w:lineRule="atLeast"/>
              <w:ind w:left="182"/>
              <w:rPr>
                <w:b/>
                <w:bCs/>
                <w:sz w:val="20"/>
              </w:rPr>
            </w:pPr>
            <w:r w:rsidRPr="00535222">
              <w:rPr>
                <w:b/>
                <w:bCs/>
                <w:sz w:val="20"/>
              </w:rPr>
              <w:t>Multi-family / Mobile Home</w:t>
            </w:r>
          </w:p>
        </w:tc>
        <w:tc>
          <w:tcPr>
            <w:tcW w:w="4032" w:type="dxa"/>
            <w:shd w:val="clear" w:color="auto" w:fill="F1F1F1"/>
          </w:tcPr>
          <w:p w14:paraId="528B3CC3" w14:textId="77777777" w:rsidR="0081013A" w:rsidRPr="00535222" w:rsidRDefault="0081013A">
            <w:pPr>
              <w:pStyle w:val="TableParagraph"/>
              <w:spacing w:before="2"/>
              <w:rPr>
                <w:b/>
                <w:bCs/>
                <w:sz w:val="20"/>
              </w:rPr>
            </w:pPr>
          </w:p>
          <w:p w14:paraId="528B3CC4" w14:textId="77777777" w:rsidR="0081013A" w:rsidRPr="00535222" w:rsidRDefault="004D3D43">
            <w:pPr>
              <w:pStyle w:val="TableParagraph"/>
              <w:spacing w:line="223" w:lineRule="exact"/>
              <w:ind w:left="1721" w:right="1709"/>
              <w:jc w:val="center"/>
              <w:rPr>
                <w:b/>
                <w:bCs/>
                <w:sz w:val="20"/>
              </w:rPr>
            </w:pPr>
            <w:r w:rsidRPr="00535222">
              <w:rPr>
                <w:b/>
                <w:bCs/>
                <w:sz w:val="20"/>
              </w:rPr>
              <w:t>Source</w:t>
            </w:r>
          </w:p>
        </w:tc>
      </w:tr>
      <w:tr w:rsidR="0081013A" w14:paraId="528B3CCD" w14:textId="77777777">
        <w:trPr>
          <w:trHeight w:val="731"/>
        </w:trPr>
        <w:tc>
          <w:tcPr>
            <w:tcW w:w="2592" w:type="dxa"/>
          </w:tcPr>
          <w:p w14:paraId="528B3CC6" w14:textId="77777777" w:rsidR="0081013A" w:rsidRDefault="004D3D43">
            <w:pPr>
              <w:pStyle w:val="TableParagraph"/>
              <w:spacing w:before="1"/>
              <w:ind w:left="115" w:right="145"/>
              <w:rPr>
                <w:sz w:val="20"/>
              </w:rPr>
            </w:pPr>
            <w:r>
              <w:rPr>
                <w:sz w:val="20"/>
              </w:rPr>
              <w:t>Base Case Flow Rate (gpm) – normal replacement, new</w:t>
            </w:r>
          </w:p>
          <w:p w14:paraId="528B3CC7" w14:textId="77777777" w:rsidR="0081013A" w:rsidRDefault="004D3D43">
            <w:pPr>
              <w:pStyle w:val="TableParagraph"/>
              <w:spacing w:line="222" w:lineRule="exact"/>
              <w:ind w:left="115"/>
              <w:rPr>
                <w:sz w:val="20"/>
              </w:rPr>
            </w:pPr>
            <w:r>
              <w:rPr>
                <w:sz w:val="20"/>
              </w:rPr>
              <w:t>construction</w:t>
            </w:r>
          </w:p>
        </w:tc>
        <w:tc>
          <w:tcPr>
            <w:tcW w:w="1440" w:type="dxa"/>
          </w:tcPr>
          <w:p w14:paraId="528B3CC8" w14:textId="77777777" w:rsidR="0081013A" w:rsidRDefault="0081013A">
            <w:pPr>
              <w:pStyle w:val="TableParagraph"/>
              <w:spacing w:before="11"/>
              <w:rPr>
                <w:sz w:val="19"/>
              </w:rPr>
            </w:pPr>
          </w:p>
          <w:p w14:paraId="528B3CC9" w14:textId="77777777" w:rsidR="0081013A" w:rsidRDefault="004D3D43">
            <w:pPr>
              <w:pStyle w:val="TableParagraph"/>
              <w:ind w:right="105"/>
              <w:jc w:val="right"/>
              <w:rPr>
                <w:sz w:val="20"/>
              </w:rPr>
            </w:pPr>
            <w:r>
              <w:rPr>
                <w:w w:val="95"/>
                <w:sz w:val="20"/>
              </w:rPr>
              <w:t>1.80</w:t>
            </w:r>
          </w:p>
        </w:tc>
        <w:tc>
          <w:tcPr>
            <w:tcW w:w="1440" w:type="dxa"/>
          </w:tcPr>
          <w:p w14:paraId="528B3CCA" w14:textId="77777777" w:rsidR="0081013A" w:rsidRDefault="0081013A">
            <w:pPr>
              <w:pStyle w:val="TableParagraph"/>
              <w:spacing w:before="11"/>
              <w:rPr>
                <w:sz w:val="19"/>
              </w:rPr>
            </w:pPr>
          </w:p>
          <w:p w14:paraId="528B3CCB" w14:textId="77777777" w:rsidR="0081013A" w:rsidRDefault="004D3D43">
            <w:pPr>
              <w:pStyle w:val="TableParagraph"/>
              <w:ind w:right="105"/>
              <w:jc w:val="right"/>
              <w:rPr>
                <w:sz w:val="20"/>
              </w:rPr>
            </w:pPr>
            <w:r>
              <w:rPr>
                <w:w w:val="95"/>
                <w:sz w:val="20"/>
              </w:rPr>
              <w:t>1.80</w:t>
            </w:r>
          </w:p>
        </w:tc>
        <w:tc>
          <w:tcPr>
            <w:tcW w:w="4032" w:type="dxa"/>
          </w:tcPr>
          <w:p w14:paraId="528B3CCC" w14:textId="77777777" w:rsidR="0081013A" w:rsidRDefault="004D3D43">
            <w:pPr>
              <w:pStyle w:val="TableParagraph"/>
              <w:spacing w:before="37"/>
              <w:ind w:left="115" w:right="390"/>
              <w:jc w:val="both"/>
              <w:rPr>
                <w:sz w:val="18"/>
              </w:rPr>
            </w:pPr>
            <w:r>
              <w:rPr>
                <w:sz w:val="18"/>
              </w:rPr>
              <w:t xml:space="preserve">California Energy Commission (CEC). 2014. </w:t>
            </w:r>
            <w:r>
              <w:rPr>
                <w:i/>
                <w:sz w:val="18"/>
              </w:rPr>
              <w:t xml:space="preserve">2014 Appliance Efficiency Regulations. </w:t>
            </w:r>
            <w:r>
              <w:rPr>
                <w:sz w:val="18"/>
              </w:rPr>
              <w:t>CEC-400-2014- 009-CMF.</w:t>
            </w:r>
          </w:p>
        </w:tc>
      </w:tr>
      <w:tr w:rsidR="0081013A" w14:paraId="528B3CD5" w14:textId="77777777">
        <w:trPr>
          <w:trHeight w:val="731"/>
        </w:trPr>
        <w:tc>
          <w:tcPr>
            <w:tcW w:w="2592" w:type="dxa"/>
          </w:tcPr>
          <w:p w14:paraId="528B3CCE" w14:textId="77777777" w:rsidR="0081013A" w:rsidRDefault="004D3D43">
            <w:pPr>
              <w:pStyle w:val="TableParagraph"/>
              <w:spacing w:before="1"/>
              <w:ind w:left="115" w:right="145"/>
              <w:rPr>
                <w:sz w:val="20"/>
              </w:rPr>
            </w:pPr>
            <w:r>
              <w:rPr>
                <w:sz w:val="20"/>
              </w:rPr>
              <w:t>Base Case Flow Rate (gpm) – accelerated replacement,</w:t>
            </w:r>
          </w:p>
          <w:p w14:paraId="528B3CCF" w14:textId="77777777" w:rsidR="0081013A" w:rsidRDefault="004D3D43">
            <w:pPr>
              <w:pStyle w:val="TableParagraph"/>
              <w:spacing w:line="222" w:lineRule="exact"/>
              <w:ind w:left="115"/>
              <w:rPr>
                <w:sz w:val="20"/>
              </w:rPr>
            </w:pPr>
            <w:r>
              <w:rPr>
                <w:sz w:val="20"/>
              </w:rPr>
              <w:t>add-on equipment</w:t>
            </w:r>
          </w:p>
        </w:tc>
        <w:tc>
          <w:tcPr>
            <w:tcW w:w="1440" w:type="dxa"/>
          </w:tcPr>
          <w:p w14:paraId="528B3CD0" w14:textId="77777777" w:rsidR="0081013A" w:rsidRDefault="0081013A">
            <w:pPr>
              <w:pStyle w:val="TableParagraph"/>
              <w:spacing w:before="2"/>
              <w:rPr>
                <w:sz w:val="20"/>
              </w:rPr>
            </w:pPr>
          </w:p>
          <w:p w14:paraId="528B3CD1" w14:textId="77777777" w:rsidR="0081013A" w:rsidRDefault="004D3D43">
            <w:pPr>
              <w:pStyle w:val="TableParagraph"/>
              <w:ind w:right="105"/>
              <w:jc w:val="right"/>
              <w:rPr>
                <w:sz w:val="20"/>
              </w:rPr>
            </w:pPr>
            <w:r>
              <w:rPr>
                <w:w w:val="95"/>
                <w:sz w:val="20"/>
              </w:rPr>
              <w:t>2.25</w:t>
            </w:r>
          </w:p>
        </w:tc>
        <w:tc>
          <w:tcPr>
            <w:tcW w:w="1440" w:type="dxa"/>
          </w:tcPr>
          <w:p w14:paraId="528B3CD2" w14:textId="77777777" w:rsidR="0081013A" w:rsidRDefault="0081013A">
            <w:pPr>
              <w:pStyle w:val="TableParagraph"/>
              <w:spacing w:before="2"/>
              <w:rPr>
                <w:sz w:val="20"/>
              </w:rPr>
            </w:pPr>
          </w:p>
          <w:p w14:paraId="528B3CD3" w14:textId="77777777" w:rsidR="0081013A" w:rsidRDefault="004D3D43">
            <w:pPr>
              <w:pStyle w:val="TableParagraph"/>
              <w:ind w:right="105"/>
              <w:jc w:val="right"/>
              <w:rPr>
                <w:sz w:val="20"/>
              </w:rPr>
            </w:pPr>
            <w:r>
              <w:rPr>
                <w:w w:val="95"/>
                <w:sz w:val="20"/>
              </w:rPr>
              <w:t>2.25</w:t>
            </w:r>
          </w:p>
        </w:tc>
        <w:tc>
          <w:tcPr>
            <w:tcW w:w="4032" w:type="dxa"/>
          </w:tcPr>
          <w:p w14:paraId="528B3CD4" w14:textId="77777777" w:rsidR="0081013A" w:rsidRDefault="004D3D43">
            <w:pPr>
              <w:pStyle w:val="TableParagraph"/>
              <w:spacing w:before="147"/>
              <w:ind w:left="115" w:right="95" w:hanging="1"/>
              <w:rPr>
                <w:sz w:val="18"/>
              </w:rPr>
            </w:pPr>
            <w:r>
              <w:rPr>
                <w:sz w:val="18"/>
              </w:rPr>
              <w:t>Sempra Energy Utilities (SEU). 2012. “SEU 2009 ASW Data REDACTED.xlsx”.</w:t>
            </w:r>
          </w:p>
        </w:tc>
      </w:tr>
      <w:tr w:rsidR="0081013A" w14:paraId="528B3CE1" w14:textId="77777777">
        <w:trPr>
          <w:trHeight w:val="1537"/>
        </w:trPr>
        <w:tc>
          <w:tcPr>
            <w:tcW w:w="2592" w:type="dxa"/>
          </w:tcPr>
          <w:p w14:paraId="528B3CD6" w14:textId="77777777" w:rsidR="0081013A" w:rsidRDefault="0081013A">
            <w:pPr>
              <w:pStyle w:val="TableParagraph"/>
              <w:rPr>
                <w:sz w:val="20"/>
              </w:rPr>
            </w:pPr>
          </w:p>
          <w:p w14:paraId="528B3CD7" w14:textId="77777777" w:rsidR="0081013A" w:rsidRDefault="0081013A">
            <w:pPr>
              <w:pStyle w:val="TableParagraph"/>
              <w:spacing w:before="2"/>
              <w:rPr>
                <w:sz w:val="23"/>
              </w:rPr>
            </w:pPr>
          </w:p>
          <w:p w14:paraId="528B3CD8" w14:textId="77777777" w:rsidR="0081013A" w:rsidRDefault="004D3D43">
            <w:pPr>
              <w:pStyle w:val="TableParagraph"/>
              <w:ind w:left="115" w:right="697"/>
              <w:rPr>
                <w:sz w:val="20"/>
              </w:rPr>
            </w:pPr>
            <w:r>
              <w:rPr>
                <w:sz w:val="20"/>
              </w:rPr>
              <w:t>Average Shower Time (min/shower)</w:t>
            </w:r>
          </w:p>
        </w:tc>
        <w:tc>
          <w:tcPr>
            <w:tcW w:w="1440" w:type="dxa"/>
          </w:tcPr>
          <w:p w14:paraId="528B3CD9" w14:textId="77777777" w:rsidR="0081013A" w:rsidRDefault="0081013A">
            <w:pPr>
              <w:pStyle w:val="TableParagraph"/>
              <w:rPr>
                <w:sz w:val="20"/>
              </w:rPr>
            </w:pPr>
          </w:p>
          <w:p w14:paraId="528B3CDA" w14:textId="77777777" w:rsidR="0081013A" w:rsidRDefault="0081013A">
            <w:pPr>
              <w:pStyle w:val="TableParagraph"/>
              <w:rPr>
                <w:sz w:val="20"/>
              </w:rPr>
            </w:pPr>
          </w:p>
          <w:p w14:paraId="528B3CDB" w14:textId="77777777" w:rsidR="0081013A" w:rsidRDefault="004D3D43">
            <w:pPr>
              <w:pStyle w:val="TableParagraph"/>
              <w:spacing w:before="161"/>
              <w:ind w:right="106"/>
              <w:jc w:val="right"/>
              <w:rPr>
                <w:sz w:val="20"/>
              </w:rPr>
            </w:pPr>
            <w:r>
              <w:rPr>
                <w:w w:val="95"/>
                <w:sz w:val="20"/>
              </w:rPr>
              <w:t>7.4</w:t>
            </w:r>
          </w:p>
        </w:tc>
        <w:tc>
          <w:tcPr>
            <w:tcW w:w="1440" w:type="dxa"/>
          </w:tcPr>
          <w:p w14:paraId="528B3CDC" w14:textId="77777777" w:rsidR="0081013A" w:rsidRDefault="0081013A">
            <w:pPr>
              <w:pStyle w:val="TableParagraph"/>
              <w:rPr>
                <w:sz w:val="20"/>
              </w:rPr>
            </w:pPr>
          </w:p>
          <w:p w14:paraId="528B3CDD" w14:textId="77777777" w:rsidR="0081013A" w:rsidRDefault="0081013A">
            <w:pPr>
              <w:pStyle w:val="TableParagraph"/>
              <w:rPr>
                <w:sz w:val="20"/>
              </w:rPr>
            </w:pPr>
          </w:p>
          <w:p w14:paraId="528B3CDE" w14:textId="77777777" w:rsidR="0081013A" w:rsidRDefault="004D3D43">
            <w:pPr>
              <w:pStyle w:val="TableParagraph"/>
              <w:spacing w:before="161"/>
              <w:ind w:right="106"/>
              <w:jc w:val="right"/>
              <w:rPr>
                <w:sz w:val="20"/>
              </w:rPr>
            </w:pPr>
            <w:r>
              <w:rPr>
                <w:w w:val="95"/>
                <w:sz w:val="20"/>
              </w:rPr>
              <w:t>7.4</w:t>
            </w:r>
          </w:p>
        </w:tc>
        <w:tc>
          <w:tcPr>
            <w:tcW w:w="4032" w:type="dxa"/>
          </w:tcPr>
          <w:p w14:paraId="528B3CDF" w14:textId="77777777" w:rsidR="0081013A" w:rsidRDefault="004D3D43">
            <w:pPr>
              <w:pStyle w:val="TableParagraph"/>
              <w:spacing w:before="1"/>
              <w:ind w:left="115" w:right="228"/>
              <w:rPr>
                <w:sz w:val="18"/>
              </w:rPr>
            </w:pPr>
            <w:r>
              <w:rPr>
                <w:sz w:val="18"/>
              </w:rPr>
              <w:t xml:space="preserve">DeOreo, W., P. Mayer, and D. Lewis. 2000. </w:t>
            </w:r>
            <w:r>
              <w:rPr>
                <w:i/>
                <w:sz w:val="18"/>
              </w:rPr>
              <w:t xml:space="preserve">Seattle Home Water Conservation Study: The Impacts Of High Efficiency Plumbing Fixture Retrofits In Single- Family Homes. </w:t>
            </w:r>
            <w:r>
              <w:rPr>
                <w:sz w:val="18"/>
              </w:rPr>
              <w:t>Prepared for the Seattle Public Utilities and the U.S. Environmental Protection Agency. Boulder, CO: Aquacraft, Inc. Water</w:t>
            </w:r>
          </w:p>
          <w:p w14:paraId="528B3CE0" w14:textId="77777777" w:rsidR="0081013A" w:rsidRDefault="004D3D43">
            <w:pPr>
              <w:pStyle w:val="TableParagraph"/>
              <w:spacing w:line="198" w:lineRule="exact"/>
              <w:ind w:left="115"/>
              <w:rPr>
                <w:i/>
                <w:sz w:val="18"/>
              </w:rPr>
            </w:pPr>
            <w:r>
              <w:rPr>
                <w:sz w:val="18"/>
              </w:rPr>
              <w:t>Engineering and Management.</w:t>
            </w:r>
            <w:r>
              <w:rPr>
                <w:i/>
                <w:sz w:val="18"/>
              </w:rPr>
              <w:t xml:space="preserve"> </w:t>
            </w:r>
          </w:p>
        </w:tc>
      </w:tr>
      <w:tr w:rsidR="0081013A" w14:paraId="528B3CF6" w14:textId="77777777">
        <w:trPr>
          <w:trHeight w:val="2197"/>
        </w:trPr>
        <w:tc>
          <w:tcPr>
            <w:tcW w:w="2592" w:type="dxa"/>
          </w:tcPr>
          <w:p w14:paraId="528B3CE2" w14:textId="77777777" w:rsidR="0081013A" w:rsidRDefault="0081013A">
            <w:pPr>
              <w:pStyle w:val="TableParagraph"/>
              <w:rPr>
                <w:sz w:val="20"/>
              </w:rPr>
            </w:pPr>
          </w:p>
          <w:p w14:paraId="528B3CE3" w14:textId="77777777" w:rsidR="0081013A" w:rsidRDefault="0081013A">
            <w:pPr>
              <w:pStyle w:val="TableParagraph"/>
              <w:rPr>
                <w:sz w:val="20"/>
              </w:rPr>
            </w:pPr>
          </w:p>
          <w:p w14:paraId="528B3CE4" w14:textId="77777777" w:rsidR="0081013A" w:rsidRDefault="0081013A">
            <w:pPr>
              <w:pStyle w:val="TableParagraph"/>
              <w:spacing w:before="3"/>
              <w:rPr>
                <w:sz w:val="20"/>
              </w:rPr>
            </w:pPr>
          </w:p>
          <w:p w14:paraId="528B3CE5" w14:textId="77777777" w:rsidR="0081013A" w:rsidRDefault="004D3D43">
            <w:pPr>
              <w:pStyle w:val="TableParagraph"/>
              <w:ind w:left="114" w:right="177"/>
              <w:rPr>
                <w:sz w:val="20"/>
              </w:rPr>
            </w:pPr>
            <w:r>
              <w:rPr>
                <w:sz w:val="20"/>
              </w:rPr>
              <w:t>Avg. # of Showers Taken per Day Per Household (showers/day/hh)</w:t>
            </w:r>
          </w:p>
        </w:tc>
        <w:tc>
          <w:tcPr>
            <w:tcW w:w="1440" w:type="dxa"/>
          </w:tcPr>
          <w:p w14:paraId="528B3CE6" w14:textId="77777777" w:rsidR="0081013A" w:rsidRDefault="0081013A">
            <w:pPr>
              <w:pStyle w:val="TableParagraph"/>
              <w:rPr>
                <w:sz w:val="20"/>
              </w:rPr>
            </w:pPr>
          </w:p>
          <w:p w14:paraId="528B3CE7" w14:textId="77777777" w:rsidR="0081013A" w:rsidRDefault="0081013A">
            <w:pPr>
              <w:pStyle w:val="TableParagraph"/>
              <w:rPr>
                <w:sz w:val="20"/>
              </w:rPr>
            </w:pPr>
          </w:p>
          <w:p w14:paraId="528B3CE8" w14:textId="77777777" w:rsidR="0081013A" w:rsidRDefault="0081013A">
            <w:pPr>
              <w:pStyle w:val="TableParagraph"/>
              <w:rPr>
                <w:sz w:val="20"/>
              </w:rPr>
            </w:pPr>
          </w:p>
          <w:p w14:paraId="528B3CE9" w14:textId="77777777" w:rsidR="0081013A" w:rsidRDefault="0081013A">
            <w:pPr>
              <w:pStyle w:val="TableParagraph"/>
              <w:spacing w:before="1"/>
              <w:rPr>
                <w:sz w:val="20"/>
              </w:rPr>
            </w:pPr>
          </w:p>
          <w:p w14:paraId="528B3CEA" w14:textId="77777777" w:rsidR="0081013A" w:rsidRDefault="004D3D43">
            <w:pPr>
              <w:pStyle w:val="TableParagraph"/>
              <w:ind w:right="105"/>
              <w:jc w:val="right"/>
              <w:rPr>
                <w:sz w:val="20"/>
              </w:rPr>
            </w:pPr>
            <w:r>
              <w:rPr>
                <w:w w:val="95"/>
                <w:sz w:val="20"/>
              </w:rPr>
              <w:t>2.79</w:t>
            </w:r>
          </w:p>
        </w:tc>
        <w:tc>
          <w:tcPr>
            <w:tcW w:w="1440" w:type="dxa"/>
          </w:tcPr>
          <w:p w14:paraId="528B3CEB" w14:textId="77777777" w:rsidR="0081013A" w:rsidRDefault="0081013A">
            <w:pPr>
              <w:pStyle w:val="TableParagraph"/>
              <w:rPr>
                <w:sz w:val="20"/>
              </w:rPr>
            </w:pPr>
          </w:p>
          <w:p w14:paraId="528B3CEC" w14:textId="77777777" w:rsidR="0081013A" w:rsidRDefault="0081013A">
            <w:pPr>
              <w:pStyle w:val="TableParagraph"/>
              <w:rPr>
                <w:sz w:val="20"/>
              </w:rPr>
            </w:pPr>
          </w:p>
          <w:p w14:paraId="528B3CED" w14:textId="77777777" w:rsidR="0081013A" w:rsidRDefault="0081013A">
            <w:pPr>
              <w:pStyle w:val="TableParagraph"/>
              <w:rPr>
                <w:sz w:val="20"/>
              </w:rPr>
            </w:pPr>
          </w:p>
          <w:p w14:paraId="528B3CEE" w14:textId="77777777" w:rsidR="0081013A" w:rsidRDefault="0081013A">
            <w:pPr>
              <w:pStyle w:val="TableParagraph"/>
              <w:spacing w:before="1"/>
              <w:rPr>
                <w:sz w:val="20"/>
              </w:rPr>
            </w:pPr>
          </w:p>
          <w:p w14:paraId="528B3CEF" w14:textId="77777777" w:rsidR="0081013A" w:rsidRDefault="004D3D43">
            <w:pPr>
              <w:pStyle w:val="TableParagraph"/>
              <w:ind w:right="105"/>
              <w:jc w:val="right"/>
              <w:rPr>
                <w:sz w:val="20"/>
              </w:rPr>
            </w:pPr>
            <w:r>
              <w:rPr>
                <w:w w:val="95"/>
                <w:sz w:val="20"/>
              </w:rPr>
              <w:t>2.22</w:t>
            </w:r>
          </w:p>
        </w:tc>
        <w:tc>
          <w:tcPr>
            <w:tcW w:w="4032" w:type="dxa"/>
          </w:tcPr>
          <w:p w14:paraId="528B3CF0" w14:textId="77777777" w:rsidR="0081013A" w:rsidRDefault="004D3D43">
            <w:pPr>
              <w:pStyle w:val="TableParagraph"/>
              <w:spacing w:before="1"/>
              <w:ind w:left="115"/>
              <w:rPr>
                <w:sz w:val="18"/>
              </w:rPr>
            </w:pPr>
            <w:r>
              <w:rPr>
                <w:sz w:val="18"/>
              </w:rPr>
              <w:t>Single Family:</w:t>
            </w:r>
          </w:p>
          <w:p w14:paraId="528B3CF1" w14:textId="77777777" w:rsidR="0081013A" w:rsidRDefault="004D3D43">
            <w:pPr>
              <w:pStyle w:val="TableParagraph"/>
              <w:spacing w:before="1"/>
              <w:ind w:left="115" w:right="94"/>
              <w:rPr>
                <w:sz w:val="18"/>
              </w:rPr>
            </w:pPr>
            <w:r>
              <w:rPr>
                <w:sz w:val="18"/>
              </w:rPr>
              <w:t>Sempra Energy Utilities (SEU). 2012. “SEU 2009 ASW Data REDACTED.xlsx”.</w:t>
            </w:r>
          </w:p>
          <w:p w14:paraId="528B3CF2" w14:textId="77777777" w:rsidR="0081013A" w:rsidRDefault="0081013A">
            <w:pPr>
              <w:pStyle w:val="TableParagraph"/>
              <w:spacing w:before="10"/>
              <w:rPr>
                <w:sz w:val="17"/>
              </w:rPr>
            </w:pPr>
          </w:p>
          <w:p w14:paraId="528B3CF3" w14:textId="77777777" w:rsidR="0081013A" w:rsidRDefault="004D3D43">
            <w:pPr>
              <w:pStyle w:val="TableParagraph"/>
              <w:spacing w:before="1"/>
              <w:ind w:left="115"/>
              <w:rPr>
                <w:sz w:val="18"/>
              </w:rPr>
            </w:pPr>
            <w:r>
              <w:rPr>
                <w:sz w:val="18"/>
              </w:rPr>
              <w:t>Multifamily:</w:t>
            </w:r>
          </w:p>
          <w:p w14:paraId="528B3CF4" w14:textId="77777777" w:rsidR="0081013A" w:rsidRDefault="004D3D43">
            <w:pPr>
              <w:pStyle w:val="TableParagraph"/>
              <w:spacing w:before="1"/>
              <w:ind w:left="115" w:right="142"/>
              <w:rPr>
                <w:sz w:val="18"/>
              </w:rPr>
            </w:pPr>
            <w:r>
              <w:rPr>
                <w:sz w:val="18"/>
              </w:rPr>
              <w:t xml:space="preserve">KEMA-XENERGY, Itron, and RoperASW. 2004. </w:t>
            </w:r>
            <w:r>
              <w:rPr>
                <w:i/>
                <w:sz w:val="18"/>
              </w:rPr>
              <w:t>California Statewide Residential Appliance Saturation Study</w:t>
            </w:r>
            <w:r>
              <w:rPr>
                <w:sz w:val="18"/>
              </w:rPr>
              <w:t>. Prepared for the California Energy Commission. Contract No. 400-04-009. PG&amp;E</w:t>
            </w:r>
          </w:p>
          <w:p w14:paraId="528B3CF5" w14:textId="77777777" w:rsidR="0081013A" w:rsidRDefault="004D3D43">
            <w:pPr>
              <w:pStyle w:val="TableParagraph"/>
              <w:spacing w:line="199" w:lineRule="exact"/>
              <w:ind w:left="115"/>
              <w:rPr>
                <w:sz w:val="18"/>
              </w:rPr>
            </w:pPr>
            <w:r>
              <w:rPr>
                <w:sz w:val="18"/>
              </w:rPr>
              <w:t>Banner Subset, Pages 100 and 102.</w:t>
            </w:r>
          </w:p>
        </w:tc>
      </w:tr>
      <w:tr w:rsidR="0081013A" w14:paraId="528B3D05" w14:textId="77777777">
        <w:trPr>
          <w:trHeight w:val="1537"/>
        </w:trPr>
        <w:tc>
          <w:tcPr>
            <w:tcW w:w="2592" w:type="dxa"/>
          </w:tcPr>
          <w:p w14:paraId="528B3CF7" w14:textId="77777777" w:rsidR="0081013A" w:rsidRDefault="0081013A">
            <w:pPr>
              <w:pStyle w:val="TableParagraph"/>
              <w:rPr>
                <w:sz w:val="20"/>
              </w:rPr>
            </w:pPr>
          </w:p>
          <w:p w14:paraId="528B3CF8" w14:textId="77777777" w:rsidR="0081013A" w:rsidRDefault="004D3D43">
            <w:pPr>
              <w:pStyle w:val="TableParagraph"/>
              <w:spacing w:before="160"/>
              <w:ind w:left="115" w:right="303"/>
              <w:rPr>
                <w:sz w:val="20"/>
              </w:rPr>
            </w:pPr>
            <w:r>
              <w:rPr>
                <w:sz w:val="20"/>
              </w:rPr>
              <w:t>Avg. # of Showerheads per Household (showerheads/hh)</w:t>
            </w:r>
          </w:p>
        </w:tc>
        <w:tc>
          <w:tcPr>
            <w:tcW w:w="1440" w:type="dxa"/>
          </w:tcPr>
          <w:p w14:paraId="528B3CF9" w14:textId="77777777" w:rsidR="0081013A" w:rsidRDefault="0081013A">
            <w:pPr>
              <w:pStyle w:val="TableParagraph"/>
              <w:rPr>
                <w:sz w:val="20"/>
              </w:rPr>
            </w:pPr>
          </w:p>
          <w:p w14:paraId="528B3CFA" w14:textId="77777777" w:rsidR="0081013A" w:rsidRDefault="0081013A">
            <w:pPr>
              <w:pStyle w:val="TableParagraph"/>
              <w:rPr>
                <w:sz w:val="20"/>
              </w:rPr>
            </w:pPr>
          </w:p>
          <w:p w14:paraId="528B3CFB" w14:textId="77777777" w:rsidR="0081013A" w:rsidRDefault="004D3D43">
            <w:pPr>
              <w:pStyle w:val="TableParagraph"/>
              <w:spacing w:before="161"/>
              <w:ind w:right="105"/>
              <w:jc w:val="right"/>
              <w:rPr>
                <w:sz w:val="20"/>
              </w:rPr>
            </w:pPr>
            <w:r>
              <w:rPr>
                <w:w w:val="95"/>
                <w:sz w:val="20"/>
              </w:rPr>
              <w:t>2.01</w:t>
            </w:r>
          </w:p>
        </w:tc>
        <w:tc>
          <w:tcPr>
            <w:tcW w:w="1440" w:type="dxa"/>
          </w:tcPr>
          <w:p w14:paraId="528B3CFC" w14:textId="77777777" w:rsidR="0081013A" w:rsidRDefault="0081013A">
            <w:pPr>
              <w:pStyle w:val="TableParagraph"/>
              <w:rPr>
                <w:sz w:val="20"/>
              </w:rPr>
            </w:pPr>
          </w:p>
          <w:p w14:paraId="528B3CFD" w14:textId="77777777" w:rsidR="0081013A" w:rsidRDefault="0081013A">
            <w:pPr>
              <w:pStyle w:val="TableParagraph"/>
              <w:rPr>
                <w:sz w:val="20"/>
              </w:rPr>
            </w:pPr>
          </w:p>
          <w:p w14:paraId="528B3CFE" w14:textId="77777777" w:rsidR="0081013A" w:rsidRDefault="004D3D43">
            <w:pPr>
              <w:pStyle w:val="TableParagraph"/>
              <w:spacing w:before="161"/>
              <w:ind w:right="105"/>
              <w:jc w:val="right"/>
              <w:rPr>
                <w:sz w:val="20"/>
              </w:rPr>
            </w:pPr>
            <w:r>
              <w:rPr>
                <w:w w:val="95"/>
                <w:sz w:val="20"/>
              </w:rPr>
              <w:t>1.50</w:t>
            </w:r>
          </w:p>
        </w:tc>
        <w:tc>
          <w:tcPr>
            <w:tcW w:w="4032" w:type="dxa"/>
          </w:tcPr>
          <w:p w14:paraId="528B3CFF" w14:textId="77777777" w:rsidR="0081013A" w:rsidRDefault="004D3D43">
            <w:pPr>
              <w:pStyle w:val="TableParagraph"/>
              <w:spacing w:before="1" w:line="219" w:lineRule="exact"/>
              <w:ind w:left="115"/>
              <w:rPr>
                <w:sz w:val="18"/>
              </w:rPr>
            </w:pPr>
            <w:r>
              <w:rPr>
                <w:sz w:val="18"/>
              </w:rPr>
              <w:t>Single Family:</w:t>
            </w:r>
          </w:p>
          <w:p w14:paraId="528B3D00" w14:textId="77777777" w:rsidR="0081013A" w:rsidRDefault="004D3D43">
            <w:pPr>
              <w:pStyle w:val="TableParagraph"/>
              <w:ind w:left="115" w:right="94"/>
              <w:rPr>
                <w:sz w:val="18"/>
              </w:rPr>
            </w:pPr>
            <w:r>
              <w:rPr>
                <w:sz w:val="18"/>
              </w:rPr>
              <w:t>Sempra Energy Utilities (SEU). 2012. “SEU 2009 ASW Data REDACTED.xlsx”.</w:t>
            </w:r>
          </w:p>
          <w:p w14:paraId="528B3D01" w14:textId="77777777" w:rsidR="0081013A" w:rsidRDefault="0081013A">
            <w:pPr>
              <w:pStyle w:val="TableParagraph"/>
              <w:rPr>
                <w:sz w:val="18"/>
              </w:rPr>
            </w:pPr>
          </w:p>
          <w:p w14:paraId="528B3D02" w14:textId="77777777" w:rsidR="0081013A" w:rsidRDefault="004D3D43">
            <w:pPr>
              <w:pStyle w:val="TableParagraph"/>
              <w:ind w:left="115"/>
              <w:rPr>
                <w:sz w:val="18"/>
              </w:rPr>
            </w:pPr>
            <w:r>
              <w:rPr>
                <w:sz w:val="18"/>
              </w:rPr>
              <w:t>Multifamily:</w:t>
            </w:r>
          </w:p>
          <w:p w14:paraId="528B3D03" w14:textId="77777777" w:rsidR="0081013A" w:rsidRDefault="004D3D43">
            <w:pPr>
              <w:pStyle w:val="TableParagraph"/>
              <w:spacing w:before="1" w:line="219" w:lineRule="exact"/>
              <w:ind w:left="115"/>
              <w:rPr>
                <w:sz w:val="18"/>
              </w:rPr>
            </w:pPr>
            <w:r>
              <w:rPr>
                <w:sz w:val="18"/>
              </w:rPr>
              <w:t>U.S. Census Bureau. (n.d.). "U.S. 2000 Census</w:t>
            </w:r>
          </w:p>
          <w:p w14:paraId="528B3D04" w14:textId="77777777" w:rsidR="0081013A" w:rsidRDefault="004D3D43">
            <w:pPr>
              <w:pStyle w:val="TableParagraph"/>
              <w:spacing w:line="199" w:lineRule="exact"/>
              <w:ind w:left="115"/>
              <w:rPr>
                <w:sz w:val="18"/>
              </w:rPr>
            </w:pPr>
            <w:r>
              <w:rPr>
                <w:sz w:val="18"/>
              </w:rPr>
              <w:t>Bathrooms in NC MF Units.xls."</w:t>
            </w:r>
          </w:p>
        </w:tc>
      </w:tr>
      <w:tr w:rsidR="0081013A" w14:paraId="528B3D0E" w14:textId="77777777">
        <w:trPr>
          <w:trHeight w:val="659"/>
        </w:trPr>
        <w:tc>
          <w:tcPr>
            <w:tcW w:w="2592" w:type="dxa"/>
          </w:tcPr>
          <w:p w14:paraId="528B3D06" w14:textId="77777777" w:rsidR="0081013A" w:rsidRDefault="0081013A">
            <w:pPr>
              <w:pStyle w:val="TableParagraph"/>
              <w:spacing w:before="2"/>
              <w:rPr>
                <w:sz w:val="17"/>
              </w:rPr>
            </w:pPr>
          </w:p>
          <w:p w14:paraId="528B3D07" w14:textId="77777777" w:rsidR="0081013A" w:rsidRDefault="004D3D43">
            <w:pPr>
              <w:pStyle w:val="TableParagraph"/>
              <w:ind w:left="115"/>
              <w:rPr>
                <w:sz w:val="20"/>
              </w:rPr>
            </w:pPr>
            <w:r>
              <w:rPr>
                <w:sz w:val="20"/>
              </w:rPr>
              <w:t>Throttling Factor (%)</w:t>
            </w:r>
          </w:p>
        </w:tc>
        <w:tc>
          <w:tcPr>
            <w:tcW w:w="1440" w:type="dxa"/>
          </w:tcPr>
          <w:p w14:paraId="528B3D08" w14:textId="77777777" w:rsidR="0081013A" w:rsidRDefault="0081013A">
            <w:pPr>
              <w:pStyle w:val="TableParagraph"/>
              <w:spacing w:before="2"/>
              <w:rPr>
                <w:sz w:val="17"/>
              </w:rPr>
            </w:pPr>
          </w:p>
          <w:p w14:paraId="528B3D09" w14:textId="77777777" w:rsidR="0081013A" w:rsidRDefault="004D3D43">
            <w:pPr>
              <w:pStyle w:val="TableParagraph"/>
              <w:ind w:right="104"/>
              <w:jc w:val="right"/>
              <w:rPr>
                <w:sz w:val="20"/>
              </w:rPr>
            </w:pPr>
            <w:r>
              <w:rPr>
                <w:w w:val="95"/>
                <w:sz w:val="20"/>
              </w:rPr>
              <w:t>90%</w:t>
            </w:r>
          </w:p>
        </w:tc>
        <w:tc>
          <w:tcPr>
            <w:tcW w:w="1440" w:type="dxa"/>
          </w:tcPr>
          <w:p w14:paraId="528B3D0A" w14:textId="77777777" w:rsidR="0081013A" w:rsidRDefault="0081013A">
            <w:pPr>
              <w:pStyle w:val="TableParagraph"/>
              <w:spacing w:before="2"/>
              <w:rPr>
                <w:sz w:val="17"/>
              </w:rPr>
            </w:pPr>
          </w:p>
          <w:p w14:paraId="528B3D0B" w14:textId="77777777" w:rsidR="0081013A" w:rsidRDefault="004D3D43">
            <w:pPr>
              <w:pStyle w:val="TableParagraph"/>
              <w:ind w:right="104"/>
              <w:jc w:val="right"/>
              <w:rPr>
                <w:sz w:val="20"/>
              </w:rPr>
            </w:pPr>
            <w:r>
              <w:rPr>
                <w:w w:val="95"/>
                <w:sz w:val="20"/>
              </w:rPr>
              <w:t>90%</w:t>
            </w:r>
          </w:p>
        </w:tc>
        <w:tc>
          <w:tcPr>
            <w:tcW w:w="4032" w:type="dxa"/>
          </w:tcPr>
          <w:p w14:paraId="528B3D0C" w14:textId="77777777" w:rsidR="0081013A" w:rsidRDefault="004D3D43">
            <w:pPr>
              <w:pStyle w:val="TableParagraph"/>
              <w:spacing w:before="1"/>
              <w:ind w:left="115" w:right="95"/>
              <w:rPr>
                <w:sz w:val="18"/>
              </w:rPr>
            </w:pPr>
            <w:r>
              <w:rPr>
                <w:sz w:val="18"/>
              </w:rPr>
              <w:t xml:space="preserve">Biermayer, P. 2006. </w:t>
            </w:r>
            <w:r>
              <w:rPr>
                <w:i/>
                <w:sz w:val="18"/>
              </w:rPr>
              <w:t xml:space="preserve">Potential Water and Energy Savings from Showerheads. </w:t>
            </w:r>
            <w:r>
              <w:rPr>
                <w:sz w:val="18"/>
              </w:rPr>
              <w:t>Ernest Orlando</w:t>
            </w:r>
          </w:p>
          <w:p w14:paraId="528B3D0D" w14:textId="77777777" w:rsidR="0081013A" w:rsidRDefault="004D3D43">
            <w:pPr>
              <w:pStyle w:val="TableParagraph"/>
              <w:spacing w:line="199" w:lineRule="exact"/>
              <w:ind w:left="115"/>
              <w:rPr>
                <w:sz w:val="18"/>
              </w:rPr>
            </w:pPr>
            <w:r>
              <w:rPr>
                <w:sz w:val="18"/>
              </w:rPr>
              <w:t>Lawrence Berkeley National Laboratory,</w:t>
            </w:r>
          </w:p>
        </w:tc>
      </w:tr>
    </w:tbl>
    <w:p w14:paraId="528B3D0F" w14:textId="77777777" w:rsidR="0081013A" w:rsidRDefault="0081013A">
      <w:pPr>
        <w:spacing w:line="199" w:lineRule="exact"/>
        <w:rPr>
          <w:sz w:val="18"/>
        </w:rPr>
        <w:sectPr w:rsidR="0081013A">
          <w:type w:val="continuous"/>
          <w:pgSz w:w="12240" w:h="15840"/>
          <w:pgMar w:top="1220" w:right="1120" w:bottom="1320" w:left="1320" w:header="720" w:footer="720" w:gutter="0"/>
          <w:cols w:space="720"/>
        </w:sectPr>
      </w:pPr>
    </w:p>
    <w:p w14:paraId="528B3D10" w14:textId="77777777" w:rsidR="0081013A" w:rsidRDefault="0081013A">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592"/>
        <w:gridCol w:w="1440"/>
        <w:gridCol w:w="1440"/>
        <w:gridCol w:w="4032"/>
      </w:tblGrid>
      <w:tr w:rsidR="0081013A" w14:paraId="528B3D18" w14:textId="77777777">
        <w:trPr>
          <w:trHeight w:val="489"/>
        </w:trPr>
        <w:tc>
          <w:tcPr>
            <w:tcW w:w="2592" w:type="dxa"/>
            <w:shd w:val="clear" w:color="auto" w:fill="F1F1F1"/>
          </w:tcPr>
          <w:p w14:paraId="528B3D11" w14:textId="77777777" w:rsidR="0081013A" w:rsidRPr="00535222" w:rsidRDefault="0081013A">
            <w:pPr>
              <w:pStyle w:val="TableParagraph"/>
              <w:spacing w:before="2"/>
              <w:rPr>
                <w:b/>
                <w:bCs/>
                <w:sz w:val="20"/>
              </w:rPr>
            </w:pPr>
          </w:p>
          <w:p w14:paraId="528B3D12" w14:textId="77777777" w:rsidR="0081013A" w:rsidRPr="00535222" w:rsidRDefault="004D3D43">
            <w:pPr>
              <w:pStyle w:val="TableParagraph"/>
              <w:spacing w:line="223" w:lineRule="exact"/>
              <w:ind w:left="851" w:right="841"/>
              <w:jc w:val="center"/>
              <w:rPr>
                <w:b/>
                <w:bCs/>
                <w:sz w:val="20"/>
              </w:rPr>
            </w:pPr>
            <w:r w:rsidRPr="00535222">
              <w:rPr>
                <w:b/>
                <w:bCs/>
                <w:sz w:val="20"/>
              </w:rPr>
              <w:t>Parameter</w:t>
            </w:r>
          </w:p>
        </w:tc>
        <w:tc>
          <w:tcPr>
            <w:tcW w:w="1440" w:type="dxa"/>
            <w:shd w:val="clear" w:color="auto" w:fill="F1F1F1"/>
          </w:tcPr>
          <w:p w14:paraId="528B3D13" w14:textId="77777777" w:rsidR="0081013A" w:rsidRPr="00535222" w:rsidRDefault="0081013A">
            <w:pPr>
              <w:pStyle w:val="TableParagraph"/>
              <w:spacing w:before="2"/>
              <w:rPr>
                <w:b/>
                <w:bCs/>
                <w:sz w:val="20"/>
              </w:rPr>
            </w:pPr>
          </w:p>
          <w:p w14:paraId="528B3D14" w14:textId="77777777" w:rsidR="0081013A" w:rsidRPr="00535222" w:rsidRDefault="004D3D43">
            <w:pPr>
              <w:pStyle w:val="TableParagraph"/>
              <w:spacing w:line="223" w:lineRule="exact"/>
              <w:ind w:left="208"/>
              <w:rPr>
                <w:b/>
                <w:bCs/>
                <w:sz w:val="20"/>
              </w:rPr>
            </w:pPr>
            <w:r w:rsidRPr="00535222">
              <w:rPr>
                <w:b/>
                <w:bCs/>
                <w:sz w:val="20"/>
              </w:rPr>
              <w:t>Single Family</w:t>
            </w:r>
          </w:p>
        </w:tc>
        <w:tc>
          <w:tcPr>
            <w:tcW w:w="1440" w:type="dxa"/>
            <w:shd w:val="clear" w:color="auto" w:fill="F1F1F1"/>
          </w:tcPr>
          <w:p w14:paraId="528B3D15" w14:textId="77777777" w:rsidR="0081013A" w:rsidRPr="00535222" w:rsidRDefault="004D3D43">
            <w:pPr>
              <w:pStyle w:val="TableParagraph"/>
              <w:spacing w:before="1" w:line="240" w:lineRule="atLeast"/>
              <w:ind w:left="182"/>
              <w:rPr>
                <w:b/>
                <w:bCs/>
                <w:sz w:val="20"/>
              </w:rPr>
            </w:pPr>
            <w:r w:rsidRPr="00535222">
              <w:rPr>
                <w:b/>
                <w:bCs/>
                <w:sz w:val="20"/>
              </w:rPr>
              <w:t>Multi-family / Mobile Home</w:t>
            </w:r>
          </w:p>
        </w:tc>
        <w:tc>
          <w:tcPr>
            <w:tcW w:w="4032" w:type="dxa"/>
            <w:shd w:val="clear" w:color="auto" w:fill="F1F1F1"/>
          </w:tcPr>
          <w:p w14:paraId="528B3D16" w14:textId="77777777" w:rsidR="0081013A" w:rsidRPr="00535222" w:rsidRDefault="0081013A">
            <w:pPr>
              <w:pStyle w:val="TableParagraph"/>
              <w:spacing w:before="2"/>
              <w:rPr>
                <w:b/>
                <w:bCs/>
                <w:sz w:val="20"/>
              </w:rPr>
            </w:pPr>
          </w:p>
          <w:p w14:paraId="528B3D17" w14:textId="77777777" w:rsidR="0081013A" w:rsidRPr="00535222" w:rsidRDefault="004D3D43">
            <w:pPr>
              <w:pStyle w:val="TableParagraph"/>
              <w:spacing w:line="223" w:lineRule="exact"/>
              <w:ind w:left="1721" w:right="1709"/>
              <w:jc w:val="center"/>
              <w:rPr>
                <w:b/>
                <w:bCs/>
                <w:sz w:val="20"/>
              </w:rPr>
            </w:pPr>
            <w:r w:rsidRPr="00535222">
              <w:rPr>
                <w:b/>
                <w:bCs/>
                <w:sz w:val="20"/>
              </w:rPr>
              <w:t>Source</w:t>
            </w:r>
          </w:p>
        </w:tc>
      </w:tr>
      <w:tr w:rsidR="0081013A" w14:paraId="528B3D1E" w14:textId="77777777">
        <w:trPr>
          <w:trHeight w:val="438"/>
        </w:trPr>
        <w:tc>
          <w:tcPr>
            <w:tcW w:w="2592" w:type="dxa"/>
          </w:tcPr>
          <w:p w14:paraId="528B3D19" w14:textId="77777777" w:rsidR="0081013A" w:rsidRDefault="0081013A">
            <w:pPr>
              <w:pStyle w:val="TableParagraph"/>
              <w:rPr>
                <w:rFonts w:ascii="Times New Roman"/>
                <w:sz w:val="20"/>
              </w:rPr>
            </w:pPr>
          </w:p>
        </w:tc>
        <w:tc>
          <w:tcPr>
            <w:tcW w:w="1440" w:type="dxa"/>
          </w:tcPr>
          <w:p w14:paraId="528B3D1A" w14:textId="77777777" w:rsidR="0081013A" w:rsidRDefault="0081013A">
            <w:pPr>
              <w:pStyle w:val="TableParagraph"/>
              <w:rPr>
                <w:rFonts w:ascii="Times New Roman"/>
                <w:sz w:val="20"/>
              </w:rPr>
            </w:pPr>
          </w:p>
        </w:tc>
        <w:tc>
          <w:tcPr>
            <w:tcW w:w="1440" w:type="dxa"/>
          </w:tcPr>
          <w:p w14:paraId="528B3D1B" w14:textId="77777777" w:rsidR="0081013A" w:rsidRDefault="0081013A">
            <w:pPr>
              <w:pStyle w:val="TableParagraph"/>
              <w:rPr>
                <w:rFonts w:ascii="Times New Roman"/>
                <w:sz w:val="20"/>
              </w:rPr>
            </w:pPr>
          </w:p>
        </w:tc>
        <w:tc>
          <w:tcPr>
            <w:tcW w:w="4032" w:type="dxa"/>
          </w:tcPr>
          <w:p w14:paraId="528B3D1C" w14:textId="77777777" w:rsidR="0081013A" w:rsidRDefault="004D3D43">
            <w:pPr>
              <w:pStyle w:val="TableParagraph"/>
              <w:spacing w:before="1" w:line="219" w:lineRule="exact"/>
              <w:ind w:left="115"/>
              <w:rPr>
                <w:sz w:val="18"/>
              </w:rPr>
            </w:pPr>
            <w:r>
              <w:rPr>
                <w:sz w:val="18"/>
              </w:rPr>
              <w:t>Environmental Energy Technologies Division.</w:t>
            </w:r>
          </w:p>
          <w:p w14:paraId="528B3D1D" w14:textId="77777777" w:rsidR="0081013A" w:rsidRDefault="004D3D43">
            <w:pPr>
              <w:pStyle w:val="TableParagraph"/>
              <w:spacing w:line="199" w:lineRule="exact"/>
              <w:ind w:left="115"/>
              <w:rPr>
                <w:sz w:val="18"/>
              </w:rPr>
            </w:pPr>
            <w:r>
              <w:rPr>
                <w:sz w:val="18"/>
              </w:rPr>
              <w:t>Contract No. DE-AC02-05CH11231. P. 6.</w:t>
            </w:r>
          </w:p>
        </w:tc>
      </w:tr>
      <w:tr w:rsidR="0081013A" w14:paraId="528B3D23" w14:textId="77777777">
        <w:trPr>
          <w:trHeight w:val="261"/>
        </w:trPr>
        <w:tc>
          <w:tcPr>
            <w:tcW w:w="2592" w:type="dxa"/>
          </w:tcPr>
          <w:p w14:paraId="528B3D1F" w14:textId="77777777" w:rsidR="0081013A" w:rsidRDefault="004D3D43">
            <w:pPr>
              <w:pStyle w:val="TableParagraph"/>
              <w:spacing w:before="8" w:line="233" w:lineRule="exact"/>
              <w:ind w:left="115"/>
              <w:rPr>
                <w:sz w:val="20"/>
              </w:rPr>
            </w:pPr>
            <w:r>
              <w:rPr>
                <w:sz w:val="20"/>
              </w:rPr>
              <w:t>Operating Days (days/year)</w:t>
            </w:r>
          </w:p>
        </w:tc>
        <w:tc>
          <w:tcPr>
            <w:tcW w:w="1440" w:type="dxa"/>
          </w:tcPr>
          <w:p w14:paraId="528B3D20" w14:textId="77777777" w:rsidR="0081013A" w:rsidRDefault="004D3D43">
            <w:pPr>
              <w:pStyle w:val="TableParagraph"/>
              <w:spacing w:before="8" w:line="233" w:lineRule="exact"/>
              <w:ind w:right="105"/>
              <w:jc w:val="right"/>
              <w:rPr>
                <w:sz w:val="20"/>
              </w:rPr>
            </w:pPr>
            <w:r>
              <w:rPr>
                <w:w w:val="95"/>
                <w:sz w:val="20"/>
              </w:rPr>
              <w:t>365</w:t>
            </w:r>
          </w:p>
        </w:tc>
        <w:tc>
          <w:tcPr>
            <w:tcW w:w="1440" w:type="dxa"/>
          </w:tcPr>
          <w:p w14:paraId="528B3D21" w14:textId="77777777" w:rsidR="0081013A" w:rsidRDefault="004D3D43">
            <w:pPr>
              <w:pStyle w:val="TableParagraph"/>
              <w:spacing w:before="8" w:line="233" w:lineRule="exact"/>
              <w:ind w:right="105"/>
              <w:jc w:val="right"/>
              <w:rPr>
                <w:sz w:val="20"/>
              </w:rPr>
            </w:pPr>
            <w:r>
              <w:rPr>
                <w:w w:val="95"/>
                <w:sz w:val="20"/>
              </w:rPr>
              <w:t>365</w:t>
            </w:r>
          </w:p>
        </w:tc>
        <w:tc>
          <w:tcPr>
            <w:tcW w:w="4032" w:type="dxa"/>
          </w:tcPr>
          <w:p w14:paraId="528B3D22" w14:textId="77777777" w:rsidR="0081013A" w:rsidRDefault="004D3D43">
            <w:pPr>
              <w:pStyle w:val="TableParagraph"/>
              <w:spacing w:before="20"/>
              <w:ind w:left="115"/>
              <w:rPr>
                <w:sz w:val="18"/>
              </w:rPr>
            </w:pPr>
            <w:r>
              <w:rPr>
                <w:sz w:val="18"/>
              </w:rPr>
              <w:t>Professional judgement.</w:t>
            </w:r>
          </w:p>
        </w:tc>
      </w:tr>
      <w:tr w:rsidR="0081013A" w14:paraId="528B3D28" w14:textId="77777777">
        <w:trPr>
          <w:trHeight w:val="258"/>
        </w:trPr>
        <w:tc>
          <w:tcPr>
            <w:tcW w:w="2592" w:type="dxa"/>
          </w:tcPr>
          <w:p w14:paraId="528B3D24" w14:textId="77777777" w:rsidR="0081013A" w:rsidRDefault="004D3D43">
            <w:pPr>
              <w:pStyle w:val="TableParagraph"/>
              <w:spacing w:before="8" w:line="230" w:lineRule="exact"/>
              <w:ind w:left="115"/>
              <w:rPr>
                <w:sz w:val="20"/>
              </w:rPr>
            </w:pPr>
            <w:r>
              <w:rPr>
                <w:sz w:val="20"/>
              </w:rPr>
              <w:t>Normalization Factor</w:t>
            </w:r>
          </w:p>
        </w:tc>
        <w:tc>
          <w:tcPr>
            <w:tcW w:w="1440" w:type="dxa"/>
          </w:tcPr>
          <w:p w14:paraId="528B3D25" w14:textId="77777777" w:rsidR="0081013A" w:rsidRDefault="004D3D43">
            <w:pPr>
              <w:pStyle w:val="TableParagraph"/>
              <w:spacing w:before="8" w:line="230" w:lineRule="exact"/>
              <w:ind w:right="105"/>
              <w:jc w:val="right"/>
              <w:rPr>
                <w:sz w:val="20"/>
              </w:rPr>
            </w:pPr>
            <w:r>
              <w:rPr>
                <w:w w:val="95"/>
                <w:sz w:val="20"/>
              </w:rPr>
              <w:t>0.670</w:t>
            </w:r>
          </w:p>
        </w:tc>
        <w:tc>
          <w:tcPr>
            <w:tcW w:w="1440" w:type="dxa"/>
          </w:tcPr>
          <w:p w14:paraId="528B3D26" w14:textId="77777777" w:rsidR="0081013A" w:rsidRDefault="004D3D43">
            <w:pPr>
              <w:pStyle w:val="TableParagraph"/>
              <w:spacing w:before="8" w:line="230" w:lineRule="exact"/>
              <w:ind w:right="105"/>
              <w:jc w:val="right"/>
              <w:rPr>
                <w:sz w:val="20"/>
              </w:rPr>
            </w:pPr>
            <w:r>
              <w:rPr>
                <w:w w:val="95"/>
                <w:sz w:val="20"/>
              </w:rPr>
              <w:t>0.702</w:t>
            </w:r>
          </w:p>
        </w:tc>
        <w:tc>
          <w:tcPr>
            <w:tcW w:w="4032" w:type="dxa"/>
          </w:tcPr>
          <w:p w14:paraId="528B3D27" w14:textId="77777777" w:rsidR="0081013A" w:rsidRDefault="004D3D43">
            <w:pPr>
              <w:pStyle w:val="TableParagraph"/>
              <w:spacing w:before="20" w:line="218" w:lineRule="exact"/>
              <w:ind w:left="115"/>
              <w:rPr>
                <w:sz w:val="18"/>
              </w:rPr>
            </w:pPr>
            <w:r>
              <w:rPr>
                <w:sz w:val="18"/>
              </w:rPr>
              <w:t>See below.</w:t>
            </w:r>
          </w:p>
        </w:tc>
      </w:tr>
    </w:tbl>
    <w:p w14:paraId="528B3D29" w14:textId="77777777" w:rsidR="0081013A" w:rsidRDefault="0081013A">
      <w:pPr>
        <w:pStyle w:val="BodyText"/>
        <w:spacing w:before="3"/>
        <w:rPr>
          <w:sz w:val="18"/>
        </w:rPr>
      </w:pPr>
    </w:p>
    <w:p w14:paraId="528B3D2A" w14:textId="77777777" w:rsidR="0081013A" w:rsidRPr="00E45C18" w:rsidRDefault="004D3D43">
      <w:pPr>
        <w:spacing w:before="59"/>
        <w:ind w:left="120"/>
        <w:rPr>
          <w:b/>
          <w:bCs/>
          <w:sz w:val="20"/>
        </w:rPr>
      </w:pPr>
      <w:r w:rsidRPr="00E45C18">
        <w:rPr>
          <w:b/>
          <w:bCs/>
          <w:sz w:val="20"/>
        </w:rPr>
        <w:t>Measure Case Water Usage Inputs – Single Family</w:t>
      </w:r>
    </w:p>
    <w:p w14:paraId="528B3D2B" w14:textId="77777777" w:rsidR="0081013A" w:rsidRDefault="0081013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68"/>
        <w:gridCol w:w="864"/>
        <w:gridCol w:w="864"/>
        <w:gridCol w:w="864"/>
        <w:gridCol w:w="864"/>
        <w:gridCol w:w="864"/>
        <w:gridCol w:w="2071"/>
      </w:tblGrid>
      <w:tr w:rsidR="0081013A" w14:paraId="528B3D2F" w14:textId="77777777">
        <w:trPr>
          <w:trHeight w:val="261"/>
        </w:trPr>
        <w:tc>
          <w:tcPr>
            <w:tcW w:w="3168" w:type="dxa"/>
            <w:shd w:val="clear" w:color="auto" w:fill="F1F1F1"/>
          </w:tcPr>
          <w:p w14:paraId="528B3D2C" w14:textId="77777777" w:rsidR="0081013A" w:rsidRPr="00535222" w:rsidRDefault="004D3D43">
            <w:pPr>
              <w:pStyle w:val="TableParagraph"/>
              <w:spacing w:before="18" w:line="223" w:lineRule="exact"/>
              <w:ind w:left="1139" w:right="1129"/>
              <w:jc w:val="center"/>
              <w:rPr>
                <w:b/>
                <w:bCs/>
                <w:sz w:val="20"/>
              </w:rPr>
            </w:pPr>
            <w:r w:rsidRPr="00535222">
              <w:rPr>
                <w:b/>
                <w:bCs/>
                <w:sz w:val="20"/>
              </w:rPr>
              <w:t>Parameter</w:t>
            </w:r>
          </w:p>
        </w:tc>
        <w:tc>
          <w:tcPr>
            <w:tcW w:w="4320" w:type="dxa"/>
            <w:gridSpan w:val="5"/>
            <w:shd w:val="clear" w:color="auto" w:fill="F1F1F1"/>
          </w:tcPr>
          <w:p w14:paraId="528B3D2D" w14:textId="77777777" w:rsidR="0081013A" w:rsidRPr="00535222" w:rsidRDefault="004D3D43">
            <w:pPr>
              <w:pStyle w:val="TableParagraph"/>
              <w:spacing w:before="18" w:line="223" w:lineRule="exact"/>
              <w:ind w:left="1620" w:right="1608"/>
              <w:jc w:val="center"/>
              <w:rPr>
                <w:b/>
                <w:bCs/>
                <w:sz w:val="20"/>
              </w:rPr>
            </w:pPr>
            <w:r w:rsidRPr="00535222">
              <w:rPr>
                <w:b/>
                <w:bCs/>
                <w:sz w:val="20"/>
              </w:rPr>
              <w:t>Single Family</w:t>
            </w:r>
          </w:p>
        </w:tc>
        <w:tc>
          <w:tcPr>
            <w:tcW w:w="2071" w:type="dxa"/>
            <w:shd w:val="clear" w:color="auto" w:fill="F1F1F1"/>
          </w:tcPr>
          <w:p w14:paraId="528B3D2E" w14:textId="77777777" w:rsidR="0081013A" w:rsidRPr="00535222" w:rsidRDefault="004D3D43">
            <w:pPr>
              <w:pStyle w:val="TableParagraph"/>
              <w:spacing w:before="18" w:line="223" w:lineRule="exact"/>
              <w:ind w:left="739" w:right="729"/>
              <w:jc w:val="center"/>
              <w:rPr>
                <w:b/>
                <w:bCs/>
                <w:sz w:val="20"/>
              </w:rPr>
            </w:pPr>
            <w:r w:rsidRPr="00535222">
              <w:rPr>
                <w:b/>
                <w:bCs/>
                <w:sz w:val="20"/>
              </w:rPr>
              <w:t>Source</w:t>
            </w:r>
          </w:p>
        </w:tc>
      </w:tr>
      <w:tr w:rsidR="0081013A" w14:paraId="528B3D37" w14:textId="77777777">
        <w:trPr>
          <w:trHeight w:val="258"/>
        </w:trPr>
        <w:tc>
          <w:tcPr>
            <w:tcW w:w="3168" w:type="dxa"/>
          </w:tcPr>
          <w:p w14:paraId="528B3D30" w14:textId="77777777" w:rsidR="0081013A" w:rsidRDefault="004D3D43">
            <w:pPr>
              <w:pStyle w:val="TableParagraph"/>
              <w:spacing w:before="8" w:line="230" w:lineRule="exact"/>
              <w:ind w:left="115"/>
              <w:rPr>
                <w:sz w:val="20"/>
              </w:rPr>
            </w:pPr>
            <w:r>
              <w:rPr>
                <w:sz w:val="20"/>
              </w:rPr>
              <w:t>Measure Case Flow Rate (gpm)</w:t>
            </w:r>
          </w:p>
        </w:tc>
        <w:tc>
          <w:tcPr>
            <w:tcW w:w="864" w:type="dxa"/>
          </w:tcPr>
          <w:p w14:paraId="528B3D31" w14:textId="77777777" w:rsidR="0081013A" w:rsidRDefault="004D3D43">
            <w:pPr>
              <w:pStyle w:val="TableParagraph"/>
              <w:spacing w:before="8" w:line="230" w:lineRule="exact"/>
              <w:ind w:right="105"/>
              <w:jc w:val="right"/>
              <w:rPr>
                <w:sz w:val="20"/>
              </w:rPr>
            </w:pPr>
            <w:r>
              <w:rPr>
                <w:w w:val="95"/>
                <w:sz w:val="20"/>
              </w:rPr>
              <w:t>1.00</w:t>
            </w:r>
          </w:p>
        </w:tc>
        <w:tc>
          <w:tcPr>
            <w:tcW w:w="864" w:type="dxa"/>
          </w:tcPr>
          <w:p w14:paraId="528B3D32" w14:textId="77777777" w:rsidR="0081013A" w:rsidRDefault="004D3D43">
            <w:pPr>
              <w:pStyle w:val="TableParagraph"/>
              <w:spacing w:before="8" w:line="230" w:lineRule="exact"/>
              <w:ind w:right="105"/>
              <w:jc w:val="right"/>
              <w:rPr>
                <w:sz w:val="20"/>
              </w:rPr>
            </w:pPr>
            <w:r>
              <w:rPr>
                <w:w w:val="95"/>
                <w:sz w:val="20"/>
              </w:rPr>
              <w:t>1.25</w:t>
            </w:r>
          </w:p>
        </w:tc>
        <w:tc>
          <w:tcPr>
            <w:tcW w:w="864" w:type="dxa"/>
          </w:tcPr>
          <w:p w14:paraId="528B3D33" w14:textId="77777777" w:rsidR="0081013A" w:rsidRDefault="004D3D43">
            <w:pPr>
              <w:pStyle w:val="TableParagraph"/>
              <w:spacing w:before="8" w:line="230" w:lineRule="exact"/>
              <w:ind w:right="105"/>
              <w:jc w:val="right"/>
              <w:rPr>
                <w:sz w:val="20"/>
              </w:rPr>
            </w:pPr>
            <w:r>
              <w:rPr>
                <w:w w:val="95"/>
                <w:sz w:val="20"/>
              </w:rPr>
              <w:t>1.50</w:t>
            </w:r>
          </w:p>
        </w:tc>
        <w:tc>
          <w:tcPr>
            <w:tcW w:w="864" w:type="dxa"/>
          </w:tcPr>
          <w:p w14:paraId="528B3D34" w14:textId="77777777" w:rsidR="0081013A" w:rsidRDefault="004D3D43">
            <w:pPr>
              <w:pStyle w:val="TableParagraph"/>
              <w:spacing w:before="8" w:line="230" w:lineRule="exact"/>
              <w:ind w:right="105"/>
              <w:jc w:val="right"/>
              <w:rPr>
                <w:sz w:val="20"/>
              </w:rPr>
            </w:pPr>
            <w:r>
              <w:rPr>
                <w:w w:val="95"/>
                <w:sz w:val="20"/>
              </w:rPr>
              <w:t>1.60</w:t>
            </w:r>
          </w:p>
        </w:tc>
        <w:tc>
          <w:tcPr>
            <w:tcW w:w="864" w:type="dxa"/>
          </w:tcPr>
          <w:p w14:paraId="528B3D35" w14:textId="77777777" w:rsidR="0081013A" w:rsidRDefault="004D3D43">
            <w:pPr>
              <w:pStyle w:val="TableParagraph"/>
              <w:spacing w:before="8" w:line="230" w:lineRule="exact"/>
              <w:ind w:right="105"/>
              <w:jc w:val="right"/>
              <w:rPr>
                <w:sz w:val="20"/>
              </w:rPr>
            </w:pPr>
            <w:r>
              <w:rPr>
                <w:w w:val="95"/>
                <w:sz w:val="20"/>
              </w:rPr>
              <w:t>1.70</w:t>
            </w:r>
          </w:p>
        </w:tc>
        <w:tc>
          <w:tcPr>
            <w:tcW w:w="2071" w:type="dxa"/>
          </w:tcPr>
          <w:p w14:paraId="528B3D36" w14:textId="77777777" w:rsidR="0081013A" w:rsidRDefault="004D3D43">
            <w:pPr>
              <w:pStyle w:val="TableParagraph"/>
              <w:spacing w:before="20" w:line="218" w:lineRule="exact"/>
              <w:ind w:left="115"/>
              <w:rPr>
                <w:sz w:val="18"/>
              </w:rPr>
            </w:pPr>
            <w:r>
              <w:rPr>
                <w:sz w:val="18"/>
              </w:rPr>
              <w:t>-</w:t>
            </w:r>
          </w:p>
        </w:tc>
      </w:tr>
      <w:tr w:rsidR="0081013A" w14:paraId="528B3D3F" w14:textId="77777777">
        <w:trPr>
          <w:trHeight w:val="261"/>
        </w:trPr>
        <w:tc>
          <w:tcPr>
            <w:tcW w:w="3168" w:type="dxa"/>
          </w:tcPr>
          <w:p w14:paraId="528B3D38" w14:textId="77777777" w:rsidR="0081013A" w:rsidRDefault="004D3D43">
            <w:pPr>
              <w:pStyle w:val="TableParagraph"/>
              <w:spacing w:before="8" w:line="233" w:lineRule="exact"/>
              <w:ind w:left="115"/>
              <w:rPr>
                <w:sz w:val="20"/>
              </w:rPr>
            </w:pPr>
            <w:r>
              <w:rPr>
                <w:sz w:val="20"/>
              </w:rPr>
              <w:t>Average Shower Time (min/shower)</w:t>
            </w:r>
          </w:p>
        </w:tc>
        <w:tc>
          <w:tcPr>
            <w:tcW w:w="864" w:type="dxa"/>
          </w:tcPr>
          <w:p w14:paraId="528B3D39" w14:textId="77777777" w:rsidR="0081013A" w:rsidRDefault="004D3D43">
            <w:pPr>
              <w:pStyle w:val="TableParagraph"/>
              <w:spacing w:before="8" w:line="233" w:lineRule="exact"/>
              <w:ind w:right="106"/>
              <w:jc w:val="right"/>
              <w:rPr>
                <w:sz w:val="20"/>
              </w:rPr>
            </w:pPr>
            <w:r>
              <w:rPr>
                <w:w w:val="95"/>
                <w:sz w:val="20"/>
              </w:rPr>
              <w:t>7.4</w:t>
            </w:r>
          </w:p>
        </w:tc>
        <w:tc>
          <w:tcPr>
            <w:tcW w:w="864" w:type="dxa"/>
          </w:tcPr>
          <w:p w14:paraId="528B3D3A" w14:textId="77777777" w:rsidR="0081013A" w:rsidRDefault="004D3D43">
            <w:pPr>
              <w:pStyle w:val="TableParagraph"/>
              <w:spacing w:before="8" w:line="233" w:lineRule="exact"/>
              <w:ind w:right="106"/>
              <w:jc w:val="right"/>
              <w:rPr>
                <w:sz w:val="20"/>
              </w:rPr>
            </w:pPr>
            <w:r>
              <w:rPr>
                <w:w w:val="95"/>
                <w:sz w:val="20"/>
              </w:rPr>
              <w:t>7.4</w:t>
            </w:r>
          </w:p>
        </w:tc>
        <w:tc>
          <w:tcPr>
            <w:tcW w:w="864" w:type="dxa"/>
          </w:tcPr>
          <w:p w14:paraId="528B3D3B" w14:textId="77777777" w:rsidR="0081013A" w:rsidRDefault="004D3D43">
            <w:pPr>
              <w:pStyle w:val="TableParagraph"/>
              <w:spacing w:before="8" w:line="233" w:lineRule="exact"/>
              <w:ind w:right="106"/>
              <w:jc w:val="right"/>
              <w:rPr>
                <w:sz w:val="20"/>
              </w:rPr>
            </w:pPr>
            <w:r>
              <w:rPr>
                <w:w w:val="95"/>
                <w:sz w:val="20"/>
              </w:rPr>
              <w:t>7.4</w:t>
            </w:r>
          </w:p>
        </w:tc>
        <w:tc>
          <w:tcPr>
            <w:tcW w:w="864" w:type="dxa"/>
          </w:tcPr>
          <w:p w14:paraId="528B3D3C" w14:textId="77777777" w:rsidR="0081013A" w:rsidRDefault="004D3D43">
            <w:pPr>
              <w:pStyle w:val="TableParagraph"/>
              <w:spacing w:before="8" w:line="233" w:lineRule="exact"/>
              <w:ind w:right="106"/>
              <w:jc w:val="right"/>
              <w:rPr>
                <w:sz w:val="20"/>
              </w:rPr>
            </w:pPr>
            <w:r>
              <w:rPr>
                <w:w w:val="95"/>
                <w:sz w:val="20"/>
              </w:rPr>
              <w:t>7.4</w:t>
            </w:r>
          </w:p>
        </w:tc>
        <w:tc>
          <w:tcPr>
            <w:tcW w:w="864" w:type="dxa"/>
          </w:tcPr>
          <w:p w14:paraId="528B3D3D" w14:textId="77777777" w:rsidR="0081013A" w:rsidRDefault="004D3D43">
            <w:pPr>
              <w:pStyle w:val="TableParagraph"/>
              <w:spacing w:before="8" w:line="233" w:lineRule="exact"/>
              <w:ind w:right="106"/>
              <w:jc w:val="right"/>
              <w:rPr>
                <w:sz w:val="20"/>
              </w:rPr>
            </w:pPr>
            <w:r>
              <w:rPr>
                <w:w w:val="95"/>
                <w:sz w:val="20"/>
              </w:rPr>
              <w:t>7.4</w:t>
            </w:r>
          </w:p>
        </w:tc>
        <w:tc>
          <w:tcPr>
            <w:tcW w:w="2071" w:type="dxa"/>
          </w:tcPr>
          <w:p w14:paraId="528B3D3E" w14:textId="77777777" w:rsidR="0081013A" w:rsidRDefault="004D3D43">
            <w:pPr>
              <w:pStyle w:val="TableParagraph"/>
              <w:spacing w:before="1"/>
              <w:ind w:left="115"/>
              <w:rPr>
                <w:sz w:val="18"/>
              </w:rPr>
            </w:pPr>
            <w:r>
              <w:rPr>
                <w:sz w:val="18"/>
              </w:rPr>
              <w:t>See below.</w:t>
            </w:r>
          </w:p>
        </w:tc>
      </w:tr>
      <w:tr w:rsidR="0081013A" w14:paraId="528B3D48" w14:textId="77777777">
        <w:trPr>
          <w:trHeight w:val="486"/>
        </w:trPr>
        <w:tc>
          <w:tcPr>
            <w:tcW w:w="3168" w:type="dxa"/>
          </w:tcPr>
          <w:p w14:paraId="528B3D40" w14:textId="77777777" w:rsidR="0081013A" w:rsidRDefault="004D3D43">
            <w:pPr>
              <w:pStyle w:val="TableParagraph"/>
              <w:spacing w:before="1" w:line="243" w:lineRule="exact"/>
              <w:ind w:left="115"/>
              <w:rPr>
                <w:sz w:val="20"/>
              </w:rPr>
            </w:pPr>
            <w:r>
              <w:rPr>
                <w:sz w:val="20"/>
              </w:rPr>
              <w:t>Avg. # of Showers Taken per Day Per</w:t>
            </w:r>
          </w:p>
          <w:p w14:paraId="528B3D41" w14:textId="77777777" w:rsidR="0081013A" w:rsidRDefault="004D3D43">
            <w:pPr>
              <w:pStyle w:val="TableParagraph"/>
              <w:spacing w:line="222" w:lineRule="exact"/>
              <w:ind w:left="115"/>
              <w:rPr>
                <w:sz w:val="20"/>
              </w:rPr>
            </w:pPr>
            <w:r>
              <w:rPr>
                <w:sz w:val="20"/>
              </w:rPr>
              <w:t>Household (showers/day/hh)</w:t>
            </w:r>
          </w:p>
        </w:tc>
        <w:tc>
          <w:tcPr>
            <w:tcW w:w="864" w:type="dxa"/>
          </w:tcPr>
          <w:p w14:paraId="528B3D42" w14:textId="77777777" w:rsidR="0081013A" w:rsidRDefault="004D3D43">
            <w:pPr>
              <w:pStyle w:val="TableParagraph"/>
              <w:spacing w:before="121"/>
              <w:ind w:right="105"/>
              <w:jc w:val="right"/>
              <w:rPr>
                <w:sz w:val="20"/>
              </w:rPr>
            </w:pPr>
            <w:r>
              <w:rPr>
                <w:w w:val="95"/>
                <w:sz w:val="20"/>
              </w:rPr>
              <w:t>2.79</w:t>
            </w:r>
          </w:p>
        </w:tc>
        <w:tc>
          <w:tcPr>
            <w:tcW w:w="864" w:type="dxa"/>
          </w:tcPr>
          <w:p w14:paraId="528B3D43" w14:textId="77777777" w:rsidR="0081013A" w:rsidRDefault="004D3D43">
            <w:pPr>
              <w:pStyle w:val="TableParagraph"/>
              <w:spacing w:before="121"/>
              <w:ind w:right="105"/>
              <w:jc w:val="right"/>
              <w:rPr>
                <w:sz w:val="20"/>
              </w:rPr>
            </w:pPr>
            <w:r>
              <w:rPr>
                <w:w w:val="95"/>
                <w:sz w:val="20"/>
              </w:rPr>
              <w:t>2.79</w:t>
            </w:r>
          </w:p>
        </w:tc>
        <w:tc>
          <w:tcPr>
            <w:tcW w:w="864" w:type="dxa"/>
          </w:tcPr>
          <w:p w14:paraId="528B3D44" w14:textId="77777777" w:rsidR="0081013A" w:rsidRDefault="004D3D43">
            <w:pPr>
              <w:pStyle w:val="TableParagraph"/>
              <w:spacing w:before="121"/>
              <w:ind w:right="105"/>
              <w:jc w:val="right"/>
              <w:rPr>
                <w:sz w:val="20"/>
              </w:rPr>
            </w:pPr>
            <w:r>
              <w:rPr>
                <w:w w:val="95"/>
                <w:sz w:val="20"/>
              </w:rPr>
              <w:t>2.79</w:t>
            </w:r>
          </w:p>
        </w:tc>
        <w:tc>
          <w:tcPr>
            <w:tcW w:w="864" w:type="dxa"/>
          </w:tcPr>
          <w:p w14:paraId="528B3D45" w14:textId="77777777" w:rsidR="0081013A" w:rsidRDefault="004D3D43">
            <w:pPr>
              <w:pStyle w:val="TableParagraph"/>
              <w:spacing w:before="121"/>
              <w:ind w:right="105"/>
              <w:jc w:val="right"/>
              <w:rPr>
                <w:sz w:val="20"/>
              </w:rPr>
            </w:pPr>
            <w:r>
              <w:rPr>
                <w:w w:val="95"/>
                <w:sz w:val="20"/>
              </w:rPr>
              <w:t>2.79</w:t>
            </w:r>
          </w:p>
        </w:tc>
        <w:tc>
          <w:tcPr>
            <w:tcW w:w="864" w:type="dxa"/>
          </w:tcPr>
          <w:p w14:paraId="528B3D46" w14:textId="77777777" w:rsidR="0081013A" w:rsidRDefault="004D3D43">
            <w:pPr>
              <w:pStyle w:val="TableParagraph"/>
              <w:spacing w:before="121"/>
              <w:ind w:right="105"/>
              <w:jc w:val="right"/>
              <w:rPr>
                <w:sz w:val="20"/>
              </w:rPr>
            </w:pPr>
            <w:r>
              <w:rPr>
                <w:w w:val="95"/>
                <w:sz w:val="20"/>
              </w:rPr>
              <w:t>2.79</w:t>
            </w:r>
          </w:p>
        </w:tc>
        <w:tc>
          <w:tcPr>
            <w:tcW w:w="2071" w:type="dxa"/>
          </w:tcPr>
          <w:p w14:paraId="528B3D47" w14:textId="77777777" w:rsidR="0081013A" w:rsidRDefault="004D3D43">
            <w:pPr>
              <w:pStyle w:val="TableParagraph"/>
              <w:spacing w:line="219" w:lineRule="exact"/>
              <w:ind w:left="115"/>
              <w:rPr>
                <w:sz w:val="18"/>
              </w:rPr>
            </w:pPr>
            <w:r>
              <w:rPr>
                <w:sz w:val="18"/>
              </w:rPr>
              <w:t>See below.</w:t>
            </w:r>
          </w:p>
        </w:tc>
      </w:tr>
      <w:tr w:rsidR="0081013A" w14:paraId="528B3D50" w14:textId="77777777">
        <w:trPr>
          <w:trHeight w:val="489"/>
        </w:trPr>
        <w:tc>
          <w:tcPr>
            <w:tcW w:w="3168" w:type="dxa"/>
          </w:tcPr>
          <w:p w14:paraId="528B3D49" w14:textId="77777777" w:rsidR="0081013A" w:rsidRDefault="004D3D43">
            <w:pPr>
              <w:pStyle w:val="TableParagraph"/>
              <w:spacing w:before="1" w:line="240" w:lineRule="atLeast"/>
              <w:ind w:left="115"/>
              <w:rPr>
                <w:sz w:val="20"/>
              </w:rPr>
            </w:pPr>
            <w:r>
              <w:rPr>
                <w:sz w:val="20"/>
              </w:rPr>
              <w:t xml:space="preserve">Avg. # of Showerheads per </w:t>
            </w:r>
            <w:r>
              <w:rPr>
                <w:w w:val="95"/>
                <w:sz w:val="20"/>
              </w:rPr>
              <w:t>Household(showerheads/hh)</w:t>
            </w:r>
          </w:p>
        </w:tc>
        <w:tc>
          <w:tcPr>
            <w:tcW w:w="864" w:type="dxa"/>
          </w:tcPr>
          <w:p w14:paraId="528B3D4A" w14:textId="77777777" w:rsidR="0081013A" w:rsidRDefault="004D3D43">
            <w:pPr>
              <w:pStyle w:val="TableParagraph"/>
              <w:spacing w:before="123"/>
              <w:ind w:right="105"/>
              <w:jc w:val="right"/>
              <w:rPr>
                <w:sz w:val="20"/>
              </w:rPr>
            </w:pPr>
            <w:r>
              <w:rPr>
                <w:w w:val="95"/>
                <w:sz w:val="20"/>
              </w:rPr>
              <w:t>2.01</w:t>
            </w:r>
          </w:p>
        </w:tc>
        <w:tc>
          <w:tcPr>
            <w:tcW w:w="864" w:type="dxa"/>
          </w:tcPr>
          <w:p w14:paraId="528B3D4B" w14:textId="77777777" w:rsidR="0081013A" w:rsidRDefault="004D3D43">
            <w:pPr>
              <w:pStyle w:val="TableParagraph"/>
              <w:spacing w:before="123"/>
              <w:ind w:right="105"/>
              <w:jc w:val="right"/>
              <w:rPr>
                <w:sz w:val="20"/>
              </w:rPr>
            </w:pPr>
            <w:r>
              <w:rPr>
                <w:w w:val="95"/>
                <w:sz w:val="20"/>
              </w:rPr>
              <w:t>2.01</w:t>
            </w:r>
          </w:p>
        </w:tc>
        <w:tc>
          <w:tcPr>
            <w:tcW w:w="864" w:type="dxa"/>
          </w:tcPr>
          <w:p w14:paraId="528B3D4C" w14:textId="77777777" w:rsidR="0081013A" w:rsidRDefault="004D3D43">
            <w:pPr>
              <w:pStyle w:val="TableParagraph"/>
              <w:spacing w:before="123"/>
              <w:ind w:right="105"/>
              <w:jc w:val="right"/>
              <w:rPr>
                <w:sz w:val="20"/>
              </w:rPr>
            </w:pPr>
            <w:r>
              <w:rPr>
                <w:w w:val="95"/>
                <w:sz w:val="20"/>
              </w:rPr>
              <w:t>2.01</w:t>
            </w:r>
          </w:p>
        </w:tc>
        <w:tc>
          <w:tcPr>
            <w:tcW w:w="864" w:type="dxa"/>
          </w:tcPr>
          <w:p w14:paraId="528B3D4D" w14:textId="77777777" w:rsidR="0081013A" w:rsidRDefault="004D3D43">
            <w:pPr>
              <w:pStyle w:val="TableParagraph"/>
              <w:spacing w:before="123"/>
              <w:ind w:right="105"/>
              <w:jc w:val="right"/>
              <w:rPr>
                <w:sz w:val="20"/>
              </w:rPr>
            </w:pPr>
            <w:r>
              <w:rPr>
                <w:w w:val="95"/>
                <w:sz w:val="20"/>
              </w:rPr>
              <w:t>2.01</w:t>
            </w:r>
          </w:p>
        </w:tc>
        <w:tc>
          <w:tcPr>
            <w:tcW w:w="864" w:type="dxa"/>
          </w:tcPr>
          <w:p w14:paraId="528B3D4E" w14:textId="77777777" w:rsidR="0081013A" w:rsidRDefault="004D3D43">
            <w:pPr>
              <w:pStyle w:val="TableParagraph"/>
              <w:spacing w:before="123"/>
              <w:ind w:right="105"/>
              <w:jc w:val="right"/>
              <w:rPr>
                <w:sz w:val="20"/>
              </w:rPr>
            </w:pPr>
            <w:r>
              <w:rPr>
                <w:w w:val="95"/>
                <w:sz w:val="20"/>
              </w:rPr>
              <w:t>2.01</w:t>
            </w:r>
          </w:p>
        </w:tc>
        <w:tc>
          <w:tcPr>
            <w:tcW w:w="2071" w:type="dxa"/>
          </w:tcPr>
          <w:p w14:paraId="528B3D4F" w14:textId="77777777" w:rsidR="0081013A" w:rsidRDefault="004D3D43">
            <w:pPr>
              <w:pStyle w:val="TableParagraph"/>
              <w:spacing w:before="1"/>
              <w:ind w:left="115"/>
              <w:rPr>
                <w:sz w:val="18"/>
              </w:rPr>
            </w:pPr>
            <w:r>
              <w:rPr>
                <w:sz w:val="18"/>
              </w:rPr>
              <w:t>See below.</w:t>
            </w:r>
          </w:p>
        </w:tc>
      </w:tr>
      <w:tr w:rsidR="0081013A" w14:paraId="528B3D58" w14:textId="77777777">
        <w:trPr>
          <w:trHeight w:val="258"/>
        </w:trPr>
        <w:tc>
          <w:tcPr>
            <w:tcW w:w="3168" w:type="dxa"/>
          </w:tcPr>
          <w:p w14:paraId="528B3D51" w14:textId="77777777" w:rsidR="0081013A" w:rsidRDefault="004D3D43">
            <w:pPr>
              <w:pStyle w:val="TableParagraph"/>
              <w:spacing w:before="8" w:line="230" w:lineRule="exact"/>
              <w:ind w:left="115"/>
              <w:rPr>
                <w:sz w:val="20"/>
              </w:rPr>
            </w:pPr>
            <w:r>
              <w:rPr>
                <w:sz w:val="20"/>
              </w:rPr>
              <w:t>Throttling Factor (%)</w:t>
            </w:r>
          </w:p>
        </w:tc>
        <w:tc>
          <w:tcPr>
            <w:tcW w:w="864" w:type="dxa"/>
          </w:tcPr>
          <w:p w14:paraId="528B3D52" w14:textId="77777777" w:rsidR="0081013A" w:rsidRDefault="004D3D43">
            <w:pPr>
              <w:pStyle w:val="TableParagraph"/>
              <w:spacing w:before="8" w:line="230" w:lineRule="exact"/>
              <w:ind w:right="104"/>
              <w:jc w:val="right"/>
              <w:rPr>
                <w:sz w:val="20"/>
              </w:rPr>
            </w:pPr>
            <w:r>
              <w:rPr>
                <w:w w:val="95"/>
                <w:sz w:val="20"/>
              </w:rPr>
              <w:t>90%</w:t>
            </w:r>
          </w:p>
        </w:tc>
        <w:tc>
          <w:tcPr>
            <w:tcW w:w="864" w:type="dxa"/>
          </w:tcPr>
          <w:p w14:paraId="528B3D53" w14:textId="77777777" w:rsidR="0081013A" w:rsidRDefault="004D3D43">
            <w:pPr>
              <w:pStyle w:val="TableParagraph"/>
              <w:spacing w:before="8" w:line="230" w:lineRule="exact"/>
              <w:ind w:right="104"/>
              <w:jc w:val="right"/>
              <w:rPr>
                <w:sz w:val="20"/>
              </w:rPr>
            </w:pPr>
            <w:r>
              <w:rPr>
                <w:w w:val="95"/>
                <w:sz w:val="20"/>
              </w:rPr>
              <w:t>90%</w:t>
            </w:r>
          </w:p>
        </w:tc>
        <w:tc>
          <w:tcPr>
            <w:tcW w:w="864" w:type="dxa"/>
          </w:tcPr>
          <w:p w14:paraId="528B3D54" w14:textId="77777777" w:rsidR="0081013A" w:rsidRDefault="004D3D43">
            <w:pPr>
              <w:pStyle w:val="TableParagraph"/>
              <w:spacing w:before="8" w:line="230" w:lineRule="exact"/>
              <w:ind w:right="104"/>
              <w:jc w:val="right"/>
              <w:rPr>
                <w:sz w:val="20"/>
              </w:rPr>
            </w:pPr>
            <w:r>
              <w:rPr>
                <w:w w:val="95"/>
                <w:sz w:val="20"/>
              </w:rPr>
              <w:t>90%</w:t>
            </w:r>
          </w:p>
        </w:tc>
        <w:tc>
          <w:tcPr>
            <w:tcW w:w="864" w:type="dxa"/>
          </w:tcPr>
          <w:p w14:paraId="528B3D55" w14:textId="77777777" w:rsidR="0081013A" w:rsidRDefault="004D3D43">
            <w:pPr>
              <w:pStyle w:val="TableParagraph"/>
              <w:spacing w:before="8" w:line="230" w:lineRule="exact"/>
              <w:ind w:right="104"/>
              <w:jc w:val="right"/>
              <w:rPr>
                <w:sz w:val="20"/>
              </w:rPr>
            </w:pPr>
            <w:r>
              <w:rPr>
                <w:w w:val="95"/>
                <w:sz w:val="20"/>
              </w:rPr>
              <w:t>90%</w:t>
            </w:r>
          </w:p>
        </w:tc>
        <w:tc>
          <w:tcPr>
            <w:tcW w:w="864" w:type="dxa"/>
          </w:tcPr>
          <w:p w14:paraId="528B3D56" w14:textId="77777777" w:rsidR="0081013A" w:rsidRDefault="004D3D43">
            <w:pPr>
              <w:pStyle w:val="TableParagraph"/>
              <w:spacing w:before="8" w:line="230" w:lineRule="exact"/>
              <w:ind w:right="104"/>
              <w:jc w:val="right"/>
              <w:rPr>
                <w:sz w:val="20"/>
              </w:rPr>
            </w:pPr>
            <w:r>
              <w:rPr>
                <w:w w:val="95"/>
                <w:sz w:val="20"/>
              </w:rPr>
              <w:t>90%</w:t>
            </w:r>
          </w:p>
        </w:tc>
        <w:tc>
          <w:tcPr>
            <w:tcW w:w="2071" w:type="dxa"/>
          </w:tcPr>
          <w:p w14:paraId="528B3D57" w14:textId="77777777" w:rsidR="0081013A" w:rsidRDefault="004D3D43">
            <w:pPr>
              <w:pStyle w:val="TableParagraph"/>
              <w:spacing w:before="1"/>
              <w:ind w:left="115"/>
              <w:rPr>
                <w:sz w:val="18"/>
              </w:rPr>
            </w:pPr>
            <w:r>
              <w:rPr>
                <w:sz w:val="18"/>
              </w:rPr>
              <w:t>See below.</w:t>
            </w:r>
          </w:p>
        </w:tc>
      </w:tr>
      <w:tr w:rsidR="0081013A" w14:paraId="528B3D60" w14:textId="77777777">
        <w:trPr>
          <w:trHeight w:val="261"/>
        </w:trPr>
        <w:tc>
          <w:tcPr>
            <w:tcW w:w="3168" w:type="dxa"/>
          </w:tcPr>
          <w:p w14:paraId="528B3D59" w14:textId="77777777" w:rsidR="0081013A" w:rsidRDefault="004D3D43">
            <w:pPr>
              <w:pStyle w:val="TableParagraph"/>
              <w:spacing w:before="11" w:line="230" w:lineRule="exact"/>
              <w:ind w:left="115"/>
              <w:rPr>
                <w:sz w:val="20"/>
              </w:rPr>
            </w:pPr>
            <w:r>
              <w:rPr>
                <w:sz w:val="20"/>
              </w:rPr>
              <w:t>Operating Days (days/year)</w:t>
            </w:r>
          </w:p>
        </w:tc>
        <w:tc>
          <w:tcPr>
            <w:tcW w:w="864" w:type="dxa"/>
          </w:tcPr>
          <w:p w14:paraId="528B3D5A" w14:textId="77777777" w:rsidR="0081013A" w:rsidRDefault="004D3D43">
            <w:pPr>
              <w:pStyle w:val="TableParagraph"/>
              <w:spacing w:before="11" w:line="230" w:lineRule="exact"/>
              <w:ind w:right="105"/>
              <w:jc w:val="right"/>
              <w:rPr>
                <w:sz w:val="20"/>
              </w:rPr>
            </w:pPr>
            <w:r>
              <w:rPr>
                <w:w w:val="95"/>
                <w:sz w:val="20"/>
              </w:rPr>
              <w:t>365</w:t>
            </w:r>
          </w:p>
        </w:tc>
        <w:tc>
          <w:tcPr>
            <w:tcW w:w="864" w:type="dxa"/>
          </w:tcPr>
          <w:p w14:paraId="528B3D5B" w14:textId="77777777" w:rsidR="0081013A" w:rsidRDefault="004D3D43">
            <w:pPr>
              <w:pStyle w:val="TableParagraph"/>
              <w:spacing w:before="11" w:line="230" w:lineRule="exact"/>
              <w:ind w:right="105"/>
              <w:jc w:val="right"/>
              <w:rPr>
                <w:sz w:val="20"/>
              </w:rPr>
            </w:pPr>
            <w:r>
              <w:rPr>
                <w:w w:val="95"/>
                <w:sz w:val="20"/>
              </w:rPr>
              <w:t>365</w:t>
            </w:r>
          </w:p>
        </w:tc>
        <w:tc>
          <w:tcPr>
            <w:tcW w:w="864" w:type="dxa"/>
          </w:tcPr>
          <w:p w14:paraId="528B3D5C" w14:textId="77777777" w:rsidR="0081013A" w:rsidRDefault="004D3D43">
            <w:pPr>
              <w:pStyle w:val="TableParagraph"/>
              <w:spacing w:before="11" w:line="230" w:lineRule="exact"/>
              <w:ind w:right="105"/>
              <w:jc w:val="right"/>
              <w:rPr>
                <w:sz w:val="20"/>
              </w:rPr>
            </w:pPr>
            <w:r>
              <w:rPr>
                <w:w w:val="95"/>
                <w:sz w:val="20"/>
              </w:rPr>
              <w:t>365</w:t>
            </w:r>
          </w:p>
        </w:tc>
        <w:tc>
          <w:tcPr>
            <w:tcW w:w="864" w:type="dxa"/>
          </w:tcPr>
          <w:p w14:paraId="528B3D5D" w14:textId="77777777" w:rsidR="0081013A" w:rsidRDefault="004D3D43">
            <w:pPr>
              <w:pStyle w:val="TableParagraph"/>
              <w:spacing w:before="11" w:line="230" w:lineRule="exact"/>
              <w:ind w:right="105"/>
              <w:jc w:val="right"/>
              <w:rPr>
                <w:sz w:val="20"/>
              </w:rPr>
            </w:pPr>
            <w:r>
              <w:rPr>
                <w:w w:val="95"/>
                <w:sz w:val="20"/>
              </w:rPr>
              <w:t>365</w:t>
            </w:r>
          </w:p>
        </w:tc>
        <w:tc>
          <w:tcPr>
            <w:tcW w:w="864" w:type="dxa"/>
          </w:tcPr>
          <w:p w14:paraId="528B3D5E" w14:textId="77777777" w:rsidR="0081013A" w:rsidRDefault="004D3D43">
            <w:pPr>
              <w:pStyle w:val="TableParagraph"/>
              <w:spacing w:before="11" w:line="230" w:lineRule="exact"/>
              <w:ind w:right="105"/>
              <w:jc w:val="right"/>
              <w:rPr>
                <w:sz w:val="20"/>
              </w:rPr>
            </w:pPr>
            <w:r>
              <w:rPr>
                <w:w w:val="95"/>
                <w:sz w:val="20"/>
              </w:rPr>
              <w:t>365</w:t>
            </w:r>
          </w:p>
        </w:tc>
        <w:tc>
          <w:tcPr>
            <w:tcW w:w="2071" w:type="dxa"/>
          </w:tcPr>
          <w:p w14:paraId="528B3D5F" w14:textId="77777777" w:rsidR="0081013A" w:rsidRDefault="004D3D43">
            <w:pPr>
              <w:pStyle w:val="TableParagraph"/>
              <w:spacing w:before="20"/>
              <w:ind w:left="115"/>
              <w:rPr>
                <w:sz w:val="18"/>
              </w:rPr>
            </w:pPr>
            <w:r>
              <w:rPr>
                <w:sz w:val="18"/>
              </w:rPr>
              <w:t>Professional judgement.</w:t>
            </w:r>
          </w:p>
        </w:tc>
      </w:tr>
      <w:tr w:rsidR="0081013A" w14:paraId="528B3D68" w14:textId="77777777">
        <w:trPr>
          <w:trHeight w:val="261"/>
        </w:trPr>
        <w:tc>
          <w:tcPr>
            <w:tcW w:w="3168" w:type="dxa"/>
          </w:tcPr>
          <w:p w14:paraId="528B3D61" w14:textId="77777777" w:rsidR="0081013A" w:rsidRDefault="004D3D43">
            <w:pPr>
              <w:pStyle w:val="TableParagraph"/>
              <w:spacing w:before="8" w:line="233" w:lineRule="exact"/>
              <w:ind w:left="115"/>
              <w:rPr>
                <w:sz w:val="20"/>
              </w:rPr>
            </w:pPr>
            <w:r>
              <w:rPr>
                <w:sz w:val="20"/>
              </w:rPr>
              <w:t>Normalization Factor</w:t>
            </w:r>
          </w:p>
        </w:tc>
        <w:tc>
          <w:tcPr>
            <w:tcW w:w="864" w:type="dxa"/>
          </w:tcPr>
          <w:p w14:paraId="528B3D62" w14:textId="77777777" w:rsidR="0081013A" w:rsidRDefault="004D3D43">
            <w:pPr>
              <w:pStyle w:val="TableParagraph"/>
              <w:spacing w:before="8" w:line="233" w:lineRule="exact"/>
              <w:ind w:right="105"/>
              <w:jc w:val="right"/>
              <w:rPr>
                <w:sz w:val="20"/>
              </w:rPr>
            </w:pPr>
            <w:r>
              <w:rPr>
                <w:w w:val="95"/>
                <w:sz w:val="20"/>
              </w:rPr>
              <w:t>0.670</w:t>
            </w:r>
          </w:p>
        </w:tc>
        <w:tc>
          <w:tcPr>
            <w:tcW w:w="864" w:type="dxa"/>
          </w:tcPr>
          <w:p w14:paraId="528B3D63" w14:textId="77777777" w:rsidR="0081013A" w:rsidRDefault="004D3D43">
            <w:pPr>
              <w:pStyle w:val="TableParagraph"/>
              <w:spacing w:before="8" w:line="233" w:lineRule="exact"/>
              <w:ind w:right="105"/>
              <w:jc w:val="right"/>
              <w:rPr>
                <w:sz w:val="20"/>
              </w:rPr>
            </w:pPr>
            <w:r>
              <w:rPr>
                <w:w w:val="95"/>
                <w:sz w:val="20"/>
              </w:rPr>
              <w:t>0.670</w:t>
            </w:r>
          </w:p>
        </w:tc>
        <w:tc>
          <w:tcPr>
            <w:tcW w:w="864" w:type="dxa"/>
          </w:tcPr>
          <w:p w14:paraId="528B3D64" w14:textId="77777777" w:rsidR="0081013A" w:rsidRDefault="004D3D43">
            <w:pPr>
              <w:pStyle w:val="TableParagraph"/>
              <w:spacing w:before="8" w:line="233" w:lineRule="exact"/>
              <w:ind w:right="105"/>
              <w:jc w:val="right"/>
              <w:rPr>
                <w:sz w:val="20"/>
              </w:rPr>
            </w:pPr>
            <w:r>
              <w:rPr>
                <w:w w:val="95"/>
                <w:sz w:val="20"/>
              </w:rPr>
              <w:t>0.670</w:t>
            </w:r>
          </w:p>
        </w:tc>
        <w:tc>
          <w:tcPr>
            <w:tcW w:w="864" w:type="dxa"/>
          </w:tcPr>
          <w:p w14:paraId="528B3D65" w14:textId="77777777" w:rsidR="0081013A" w:rsidRDefault="004D3D43">
            <w:pPr>
              <w:pStyle w:val="TableParagraph"/>
              <w:spacing w:before="8" w:line="233" w:lineRule="exact"/>
              <w:ind w:right="105"/>
              <w:jc w:val="right"/>
              <w:rPr>
                <w:sz w:val="20"/>
              </w:rPr>
            </w:pPr>
            <w:r>
              <w:rPr>
                <w:w w:val="95"/>
                <w:sz w:val="20"/>
              </w:rPr>
              <w:t>0.670</w:t>
            </w:r>
          </w:p>
        </w:tc>
        <w:tc>
          <w:tcPr>
            <w:tcW w:w="864" w:type="dxa"/>
          </w:tcPr>
          <w:p w14:paraId="528B3D66" w14:textId="77777777" w:rsidR="0081013A" w:rsidRDefault="004D3D43">
            <w:pPr>
              <w:pStyle w:val="TableParagraph"/>
              <w:spacing w:before="8" w:line="233" w:lineRule="exact"/>
              <w:ind w:right="105"/>
              <w:jc w:val="right"/>
              <w:rPr>
                <w:sz w:val="20"/>
              </w:rPr>
            </w:pPr>
            <w:r>
              <w:rPr>
                <w:w w:val="95"/>
                <w:sz w:val="20"/>
              </w:rPr>
              <w:t>0.670</w:t>
            </w:r>
          </w:p>
        </w:tc>
        <w:tc>
          <w:tcPr>
            <w:tcW w:w="2071" w:type="dxa"/>
          </w:tcPr>
          <w:p w14:paraId="528B3D67" w14:textId="77777777" w:rsidR="0081013A" w:rsidRDefault="004D3D43">
            <w:pPr>
              <w:pStyle w:val="TableParagraph"/>
              <w:spacing w:before="1"/>
              <w:ind w:left="115"/>
              <w:rPr>
                <w:sz w:val="18"/>
              </w:rPr>
            </w:pPr>
            <w:r>
              <w:rPr>
                <w:sz w:val="18"/>
              </w:rPr>
              <w:t>See below.</w:t>
            </w:r>
          </w:p>
        </w:tc>
      </w:tr>
    </w:tbl>
    <w:p w14:paraId="528B3D69" w14:textId="77777777" w:rsidR="0081013A" w:rsidRDefault="0081013A">
      <w:pPr>
        <w:pStyle w:val="BodyText"/>
        <w:spacing w:before="2"/>
        <w:rPr>
          <w:sz w:val="23"/>
        </w:rPr>
      </w:pPr>
    </w:p>
    <w:p w14:paraId="528B3D6A" w14:textId="77777777" w:rsidR="0081013A" w:rsidRPr="00E45C18" w:rsidRDefault="004D3D43">
      <w:pPr>
        <w:ind w:left="120"/>
        <w:rPr>
          <w:b/>
          <w:bCs/>
          <w:sz w:val="20"/>
        </w:rPr>
      </w:pPr>
      <w:r w:rsidRPr="00E45C18">
        <w:rPr>
          <w:b/>
          <w:bCs/>
          <w:sz w:val="20"/>
        </w:rPr>
        <w:t>Measure Case Water Usage Parameters – Multifamily / Mobile Home</w:t>
      </w:r>
    </w:p>
    <w:p w14:paraId="528B3D6B" w14:textId="77777777" w:rsidR="0081013A" w:rsidRDefault="0081013A">
      <w:pPr>
        <w:pStyle w:val="BodyText"/>
        <w:spacing w:before="2"/>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168"/>
        <w:gridCol w:w="864"/>
        <w:gridCol w:w="864"/>
        <w:gridCol w:w="864"/>
        <w:gridCol w:w="864"/>
        <w:gridCol w:w="842"/>
        <w:gridCol w:w="2068"/>
      </w:tblGrid>
      <w:tr w:rsidR="0081013A" w14:paraId="528B3D6F" w14:textId="77777777">
        <w:trPr>
          <w:trHeight w:val="261"/>
        </w:trPr>
        <w:tc>
          <w:tcPr>
            <w:tcW w:w="3168" w:type="dxa"/>
            <w:shd w:val="clear" w:color="auto" w:fill="F1F1F1"/>
          </w:tcPr>
          <w:p w14:paraId="528B3D6C" w14:textId="77777777" w:rsidR="0081013A" w:rsidRPr="00535222" w:rsidRDefault="004D3D43">
            <w:pPr>
              <w:pStyle w:val="TableParagraph"/>
              <w:spacing w:before="18" w:line="223" w:lineRule="exact"/>
              <w:ind w:left="115"/>
              <w:rPr>
                <w:b/>
                <w:bCs/>
                <w:sz w:val="20"/>
              </w:rPr>
            </w:pPr>
            <w:r w:rsidRPr="00535222">
              <w:rPr>
                <w:b/>
                <w:bCs/>
                <w:sz w:val="20"/>
              </w:rPr>
              <w:t>Parameter</w:t>
            </w:r>
          </w:p>
        </w:tc>
        <w:tc>
          <w:tcPr>
            <w:tcW w:w="4298" w:type="dxa"/>
            <w:gridSpan w:val="5"/>
            <w:shd w:val="clear" w:color="auto" w:fill="F1F1F1"/>
          </w:tcPr>
          <w:p w14:paraId="528B3D6D" w14:textId="77777777" w:rsidR="0081013A" w:rsidRPr="00535222" w:rsidRDefault="004D3D43">
            <w:pPr>
              <w:pStyle w:val="TableParagraph"/>
              <w:spacing w:before="18" w:line="223" w:lineRule="exact"/>
              <w:ind w:left="1082"/>
              <w:rPr>
                <w:b/>
                <w:bCs/>
                <w:sz w:val="20"/>
              </w:rPr>
            </w:pPr>
            <w:r w:rsidRPr="00535222">
              <w:rPr>
                <w:b/>
                <w:bCs/>
                <w:sz w:val="20"/>
              </w:rPr>
              <w:t>Multifamily / Mobile Home</w:t>
            </w:r>
          </w:p>
        </w:tc>
        <w:tc>
          <w:tcPr>
            <w:tcW w:w="2068" w:type="dxa"/>
            <w:shd w:val="clear" w:color="auto" w:fill="F1F1F1"/>
          </w:tcPr>
          <w:p w14:paraId="528B3D6E" w14:textId="77777777" w:rsidR="0081013A" w:rsidRPr="00535222" w:rsidRDefault="004D3D43">
            <w:pPr>
              <w:pStyle w:val="TableParagraph"/>
              <w:spacing w:before="1" w:line="240" w:lineRule="exact"/>
              <w:ind w:left="737" w:right="728"/>
              <w:jc w:val="center"/>
              <w:rPr>
                <w:b/>
                <w:bCs/>
                <w:sz w:val="20"/>
              </w:rPr>
            </w:pPr>
            <w:r w:rsidRPr="00535222">
              <w:rPr>
                <w:b/>
                <w:bCs/>
                <w:sz w:val="20"/>
              </w:rPr>
              <w:t>Source</w:t>
            </w:r>
          </w:p>
        </w:tc>
      </w:tr>
      <w:tr w:rsidR="0081013A" w14:paraId="528B3D77" w14:textId="77777777">
        <w:trPr>
          <w:trHeight w:val="258"/>
        </w:trPr>
        <w:tc>
          <w:tcPr>
            <w:tcW w:w="3168" w:type="dxa"/>
          </w:tcPr>
          <w:p w14:paraId="528B3D70" w14:textId="77777777" w:rsidR="0081013A" w:rsidRDefault="004D3D43">
            <w:pPr>
              <w:pStyle w:val="TableParagraph"/>
              <w:spacing w:before="8" w:line="230" w:lineRule="exact"/>
              <w:ind w:left="115"/>
              <w:rPr>
                <w:sz w:val="20"/>
              </w:rPr>
            </w:pPr>
            <w:r>
              <w:rPr>
                <w:sz w:val="20"/>
              </w:rPr>
              <w:t>Measure Case Flow Rate (gpm)</w:t>
            </w:r>
          </w:p>
        </w:tc>
        <w:tc>
          <w:tcPr>
            <w:tcW w:w="864" w:type="dxa"/>
          </w:tcPr>
          <w:p w14:paraId="528B3D71" w14:textId="77777777" w:rsidR="0081013A" w:rsidRDefault="004D3D43">
            <w:pPr>
              <w:pStyle w:val="TableParagraph"/>
              <w:spacing w:before="8" w:line="230" w:lineRule="exact"/>
              <w:ind w:right="105"/>
              <w:jc w:val="right"/>
              <w:rPr>
                <w:sz w:val="20"/>
              </w:rPr>
            </w:pPr>
            <w:r>
              <w:rPr>
                <w:w w:val="95"/>
                <w:sz w:val="20"/>
              </w:rPr>
              <w:t>1.00</w:t>
            </w:r>
          </w:p>
        </w:tc>
        <w:tc>
          <w:tcPr>
            <w:tcW w:w="864" w:type="dxa"/>
          </w:tcPr>
          <w:p w14:paraId="528B3D72" w14:textId="77777777" w:rsidR="0081013A" w:rsidRDefault="004D3D43">
            <w:pPr>
              <w:pStyle w:val="TableParagraph"/>
              <w:spacing w:before="8" w:line="230" w:lineRule="exact"/>
              <w:ind w:right="105"/>
              <w:jc w:val="right"/>
              <w:rPr>
                <w:sz w:val="20"/>
              </w:rPr>
            </w:pPr>
            <w:r>
              <w:rPr>
                <w:w w:val="95"/>
                <w:sz w:val="20"/>
              </w:rPr>
              <w:t>1.25</w:t>
            </w:r>
          </w:p>
        </w:tc>
        <w:tc>
          <w:tcPr>
            <w:tcW w:w="864" w:type="dxa"/>
          </w:tcPr>
          <w:p w14:paraId="528B3D73" w14:textId="77777777" w:rsidR="0081013A" w:rsidRDefault="004D3D43">
            <w:pPr>
              <w:pStyle w:val="TableParagraph"/>
              <w:spacing w:before="8" w:line="230" w:lineRule="exact"/>
              <w:ind w:right="105"/>
              <w:jc w:val="right"/>
              <w:rPr>
                <w:sz w:val="20"/>
              </w:rPr>
            </w:pPr>
            <w:r>
              <w:rPr>
                <w:w w:val="95"/>
                <w:sz w:val="20"/>
              </w:rPr>
              <w:t>1.50</w:t>
            </w:r>
          </w:p>
        </w:tc>
        <w:tc>
          <w:tcPr>
            <w:tcW w:w="864" w:type="dxa"/>
          </w:tcPr>
          <w:p w14:paraId="528B3D74" w14:textId="77777777" w:rsidR="0081013A" w:rsidRDefault="004D3D43">
            <w:pPr>
              <w:pStyle w:val="TableParagraph"/>
              <w:spacing w:before="8" w:line="230" w:lineRule="exact"/>
              <w:ind w:right="105"/>
              <w:jc w:val="right"/>
              <w:rPr>
                <w:sz w:val="20"/>
              </w:rPr>
            </w:pPr>
            <w:r>
              <w:rPr>
                <w:w w:val="95"/>
                <w:sz w:val="20"/>
              </w:rPr>
              <w:t>1.60</w:t>
            </w:r>
          </w:p>
        </w:tc>
        <w:tc>
          <w:tcPr>
            <w:tcW w:w="842" w:type="dxa"/>
          </w:tcPr>
          <w:p w14:paraId="528B3D75" w14:textId="77777777" w:rsidR="0081013A" w:rsidRDefault="004D3D43">
            <w:pPr>
              <w:pStyle w:val="TableParagraph"/>
              <w:spacing w:before="8" w:line="230" w:lineRule="exact"/>
              <w:ind w:right="105"/>
              <w:jc w:val="right"/>
              <w:rPr>
                <w:sz w:val="20"/>
              </w:rPr>
            </w:pPr>
            <w:r>
              <w:rPr>
                <w:w w:val="95"/>
                <w:sz w:val="20"/>
              </w:rPr>
              <w:t>1.70</w:t>
            </w:r>
          </w:p>
        </w:tc>
        <w:tc>
          <w:tcPr>
            <w:tcW w:w="2068" w:type="dxa"/>
          </w:tcPr>
          <w:p w14:paraId="528B3D76" w14:textId="77777777" w:rsidR="0081013A" w:rsidRDefault="004D3D43">
            <w:pPr>
              <w:pStyle w:val="TableParagraph"/>
              <w:spacing w:before="20" w:line="218" w:lineRule="exact"/>
              <w:ind w:left="112"/>
              <w:rPr>
                <w:sz w:val="18"/>
              </w:rPr>
            </w:pPr>
            <w:r>
              <w:rPr>
                <w:sz w:val="18"/>
              </w:rPr>
              <w:t>-</w:t>
            </w:r>
          </w:p>
        </w:tc>
      </w:tr>
      <w:tr w:rsidR="0081013A" w14:paraId="528B3D7F" w14:textId="77777777">
        <w:trPr>
          <w:trHeight w:val="261"/>
        </w:trPr>
        <w:tc>
          <w:tcPr>
            <w:tcW w:w="3168" w:type="dxa"/>
          </w:tcPr>
          <w:p w14:paraId="528B3D78" w14:textId="77777777" w:rsidR="0081013A" w:rsidRDefault="004D3D43">
            <w:pPr>
              <w:pStyle w:val="TableParagraph"/>
              <w:spacing w:before="8" w:line="233" w:lineRule="exact"/>
              <w:ind w:left="115"/>
              <w:rPr>
                <w:sz w:val="20"/>
              </w:rPr>
            </w:pPr>
            <w:r>
              <w:rPr>
                <w:sz w:val="20"/>
              </w:rPr>
              <w:t>Average Shower Time (min/shower)</w:t>
            </w:r>
          </w:p>
        </w:tc>
        <w:tc>
          <w:tcPr>
            <w:tcW w:w="864" w:type="dxa"/>
          </w:tcPr>
          <w:p w14:paraId="528B3D79" w14:textId="77777777" w:rsidR="0081013A" w:rsidRDefault="004D3D43">
            <w:pPr>
              <w:pStyle w:val="TableParagraph"/>
              <w:spacing w:before="8" w:line="233" w:lineRule="exact"/>
              <w:ind w:right="106"/>
              <w:jc w:val="right"/>
              <w:rPr>
                <w:sz w:val="20"/>
              </w:rPr>
            </w:pPr>
            <w:r>
              <w:rPr>
                <w:w w:val="95"/>
                <w:sz w:val="20"/>
              </w:rPr>
              <w:t>7.4</w:t>
            </w:r>
          </w:p>
        </w:tc>
        <w:tc>
          <w:tcPr>
            <w:tcW w:w="864" w:type="dxa"/>
          </w:tcPr>
          <w:p w14:paraId="528B3D7A" w14:textId="77777777" w:rsidR="0081013A" w:rsidRDefault="004D3D43">
            <w:pPr>
              <w:pStyle w:val="TableParagraph"/>
              <w:spacing w:before="1" w:line="240" w:lineRule="exact"/>
              <w:ind w:right="106"/>
              <w:jc w:val="right"/>
              <w:rPr>
                <w:sz w:val="20"/>
              </w:rPr>
            </w:pPr>
            <w:r>
              <w:rPr>
                <w:w w:val="95"/>
                <w:sz w:val="20"/>
              </w:rPr>
              <w:t>7.4</w:t>
            </w:r>
          </w:p>
        </w:tc>
        <w:tc>
          <w:tcPr>
            <w:tcW w:w="864" w:type="dxa"/>
          </w:tcPr>
          <w:p w14:paraId="528B3D7B" w14:textId="77777777" w:rsidR="0081013A" w:rsidRDefault="004D3D43">
            <w:pPr>
              <w:pStyle w:val="TableParagraph"/>
              <w:spacing w:before="1" w:line="240" w:lineRule="exact"/>
              <w:ind w:right="106"/>
              <w:jc w:val="right"/>
              <w:rPr>
                <w:sz w:val="20"/>
              </w:rPr>
            </w:pPr>
            <w:r>
              <w:rPr>
                <w:w w:val="95"/>
                <w:sz w:val="20"/>
              </w:rPr>
              <w:t>7.4</w:t>
            </w:r>
          </w:p>
        </w:tc>
        <w:tc>
          <w:tcPr>
            <w:tcW w:w="864" w:type="dxa"/>
          </w:tcPr>
          <w:p w14:paraId="528B3D7C" w14:textId="77777777" w:rsidR="0081013A" w:rsidRDefault="004D3D43">
            <w:pPr>
              <w:pStyle w:val="TableParagraph"/>
              <w:spacing w:before="1" w:line="240" w:lineRule="exact"/>
              <w:ind w:right="106"/>
              <w:jc w:val="right"/>
              <w:rPr>
                <w:sz w:val="20"/>
              </w:rPr>
            </w:pPr>
            <w:r>
              <w:rPr>
                <w:w w:val="95"/>
                <w:sz w:val="20"/>
              </w:rPr>
              <w:t>7.4</w:t>
            </w:r>
          </w:p>
        </w:tc>
        <w:tc>
          <w:tcPr>
            <w:tcW w:w="842" w:type="dxa"/>
          </w:tcPr>
          <w:p w14:paraId="528B3D7D" w14:textId="77777777" w:rsidR="0081013A" w:rsidRDefault="004D3D43">
            <w:pPr>
              <w:pStyle w:val="TableParagraph"/>
              <w:spacing w:before="1" w:line="240" w:lineRule="exact"/>
              <w:ind w:right="105"/>
              <w:jc w:val="right"/>
              <w:rPr>
                <w:sz w:val="20"/>
              </w:rPr>
            </w:pPr>
            <w:r>
              <w:rPr>
                <w:w w:val="95"/>
                <w:sz w:val="20"/>
              </w:rPr>
              <w:t>7.4</w:t>
            </w:r>
          </w:p>
        </w:tc>
        <w:tc>
          <w:tcPr>
            <w:tcW w:w="2068" w:type="dxa"/>
          </w:tcPr>
          <w:p w14:paraId="528B3D7E" w14:textId="77777777" w:rsidR="0081013A" w:rsidRDefault="004D3D43">
            <w:pPr>
              <w:pStyle w:val="TableParagraph"/>
              <w:spacing w:before="1"/>
              <w:ind w:left="112"/>
              <w:rPr>
                <w:sz w:val="18"/>
              </w:rPr>
            </w:pPr>
            <w:r>
              <w:rPr>
                <w:sz w:val="18"/>
              </w:rPr>
              <w:t>See below.</w:t>
            </w:r>
          </w:p>
        </w:tc>
      </w:tr>
      <w:tr w:rsidR="0081013A" w14:paraId="528B3D8D" w14:textId="77777777">
        <w:trPr>
          <w:trHeight w:val="731"/>
        </w:trPr>
        <w:tc>
          <w:tcPr>
            <w:tcW w:w="3168" w:type="dxa"/>
          </w:tcPr>
          <w:p w14:paraId="528B3D80" w14:textId="77777777" w:rsidR="0081013A" w:rsidRDefault="004D3D43">
            <w:pPr>
              <w:pStyle w:val="TableParagraph"/>
              <w:spacing w:before="1"/>
              <w:ind w:left="115" w:right="89"/>
              <w:rPr>
                <w:sz w:val="20"/>
              </w:rPr>
            </w:pPr>
            <w:r>
              <w:rPr>
                <w:sz w:val="20"/>
              </w:rPr>
              <w:t>Avg. # of Showers Taken per Day Per Household</w:t>
            </w:r>
          </w:p>
          <w:p w14:paraId="528B3D81" w14:textId="77777777" w:rsidR="0081013A" w:rsidRDefault="004D3D43">
            <w:pPr>
              <w:pStyle w:val="TableParagraph"/>
              <w:spacing w:line="222" w:lineRule="exact"/>
              <w:ind w:left="115"/>
              <w:rPr>
                <w:sz w:val="20"/>
              </w:rPr>
            </w:pPr>
            <w:r>
              <w:rPr>
                <w:sz w:val="20"/>
              </w:rPr>
              <w:t>(showers/day/hh)</w:t>
            </w:r>
          </w:p>
        </w:tc>
        <w:tc>
          <w:tcPr>
            <w:tcW w:w="864" w:type="dxa"/>
          </w:tcPr>
          <w:p w14:paraId="528B3D82" w14:textId="77777777" w:rsidR="0081013A" w:rsidRDefault="0081013A">
            <w:pPr>
              <w:pStyle w:val="TableParagraph"/>
              <w:spacing w:before="11"/>
              <w:rPr>
                <w:sz w:val="19"/>
              </w:rPr>
            </w:pPr>
          </w:p>
          <w:p w14:paraId="528B3D83" w14:textId="77777777" w:rsidR="0081013A" w:rsidRDefault="004D3D43">
            <w:pPr>
              <w:pStyle w:val="TableParagraph"/>
              <w:spacing w:before="1"/>
              <w:ind w:right="105"/>
              <w:jc w:val="right"/>
              <w:rPr>
                <w:sz w:val="20"/>
              </w:rPr>
            </w:pPr>
            <w:r>
              <w:rPr>
                <w:w w:val="95"/>
                <w:sz w:val="20"/>
              </w:rPr>
              <w:t>2.22</w:t>
            </w:r>
          </w:p>
        </w:tc>
        <w:tc>
          <w:tcPr>
            <w:tcW w:w="864" w:type="dxa"/>
          </w:tcPr>
          <w:p w14:paraId="528B3D84" w14:textId="77777777" w:rsidR="0081013A" w:rsidRDefault="0081013A">
            <w:pPr>
              <w:pStyle w:val="TableParagraph"/>
              <w:spacing w:before="11"/>
              <w:rPr>
                <w:sz w:val="19"/>
              </w:rPr>
            </w:pPr>
          </w:p>
          <w:p w14:paraId="528B3D85" w14:textId="77777777" w:rsidR="0081013A" w:rsidRDefault="004D3D43">
            <w:pPr>
              <w:pStyle w:val="TableParagraph"/>
              <w:spacing w:before="1"/>
              <w:ind w:right="105"/>
              <w:jc w:val="right"/>
              <w:rPr>
                <w:sz w:val="20"/>
              </w:rPr>
            </w:pPr>
            <w:r>
              <w:rPr>
                <w:w w:val="95"/>
                <w:sz w:val="20"/>
              </w:rPr>
              <w:t>2.22</w:t>
            </w:r>
          </w:p>
        </w:tc>
        <w:tc>
          <w:tcPr>
            <w:tcW w:w="864" w:type="dxa"/>
          </w:tcPr>
          <w:p w14:paraId="528B3D86" w14:textId="77777777" w:rsidR="0081013A" w:rsidRDefault="0081013A">
            <w:pPr>
              <w:pStyle w:val="TableParagraph"/>
              <w:spacing w:before="11"/>
              <w:rPr>
                <w:sz w:val="19"/>
              </w:rPr>
            </w:pPr>
          </w:p>
          <w:p w14:paraId="528B3D87" w14:textId="77777777" w:rsidR="0081013A" w:rsidRDefault="004D3D43">
            <w:pPr>
              <w:pStyle w:val="TableParagraph"/>
              <w:spacing w:before="1"/>
              <w:ind w:right="105"/>
              <w:jc w:val="right"/>
              <w:rPr>
                <w:sz w:val="20"/>
              </w:rPr>
            </w:pPr>
            <w:r>
              <w:rPr>
                <w:w w:val="95"/>
                <w:sz w:val="20"/>
              </w:rPr>
              <w:t>2.22</w:t>
            </w:r>
          </w:p>
        </w:tc>
        <w:tc>
          <w:tcPr>
            <w:tcW w:w="864" w:type="dxa"/>
          </w:tcPr>
          <w:p w14:paraId="528B3D88" w14:textId="77777777" w:rsidR="0081013A" w:rsidRDefault="0081013A">
            <w:pPr>
              <w:pStyle w:val="TableParagraph"/>
              <w:spacing w:before="11"/>
              <w:rPr>
                <w:sz w:val="19"/>
              </w:rPr>
            </w:pPr>
          </w:p>
          <w:p w14:paraId="528B3D89" w14:textId="77777777" w:rsidR="0081013A" w:rsidRDefault="004D3D43">
            <w:pPr>
              <w:pStyle w:val="TableParagraph"/>
              <w:spacing w:before="1"/>
              <w:ind w:right="105"/>
              <w:jc w:val="right"/>
              <w:rPr>
                <w:sz w:val="20"/>
              </w:rPr>
            </w:pPr>
            <w:r>
              <w:rPr>
                <w:w w:val="95"/>
                <w:sz w:val="20"/>
              </w:rPr>
              <w:t>2.22</w:t>
            </w:r>
          </w:p>
        </w:tc>
        <w:tc>
          <w:tcPr>
            <w:tcW w:w="842" w:type="dxa"/>
          </w:tcPr>
          <w:p w14:paraId="528B3D8A" w14:textId="77777777" w:rsidR="0081013A" w:rsidRDefault="0081013A">
            <w:pPr>
              <w:pStyle w:val="TableParagraph"/>
              <w:spacing w:before="11"/>
              <w:rPr>
                <w:sz w:val="19"/>
              </w:rPr>
            </w:pPr>
          </w:p>
          <w:p w14:paraId="528B3D8B" w14:textId="77777777" w:rsidR="0081013A" w:rsidRDefault="004D3D43">
            <w:pPr>
              <w:pStyle w:val="TableParagraph"/>
              <w:spacing w:before="1"/>
              <w:ind w:right="105"/>
              <w:jc w:val="right"/>
              <w:rPr>
                <w:sz w:val="20"/>
              </w:rPr>
            </w:pPr>
            <w:r>
              <w:rPr>
                <w:w w:val="95"/>
                <w:sz w:val="20"/>
              </w:rPr>
              <w:t>2.22</w:t>
            </w:r>
          </w:p>
        </w:tc>
        <w:tc>
          <w:tcPr>
            <w:tcW w:w="2068" w:type="dxa"/>
          </w:tcPr>
          <w:p w14:paraId="528B3D8C" w14:textId="77777777" w:rsidR="0081013A" w:rsidRDefault="004D3D43">
            <w:pPr>
              <w:pStyle w:val="TableParagraph"/>
              <w:spacing w:line="219" w:lineRule="exact"/>
              <w:ind w:left="112"/>
              <w:rPr>
                <w:sz w:val="18"/>
              </w:rPr>
            </w:pPr>
            <w:r>
              <w:rPr>
                <w:sz w:val="18"/>
              </w:rPr>
              <w:t>See below.</w:t>
            </w:r>
          </w:p>
        </w:tc>
      </w:tr>
      <w:tr w:rsidR="0081013A" w14:paraId="528B3D9B" w14:textId="77777777">
        <w:trPr>
          <w:trHeight w:val="731"/>
        </w:trPr>
        <w:tc>
          <w:tcPr>
            <w:tcW w:w="3168" w:type="dxa"/>
          </w:tcPr>
          <w:p w14:paraId="528B3D8E" w14:textId="77777777" w:rsidR="0081013A" w:rsidRDefault="004D3D43">
            <w:pPr>
              <w:pStyle w:val="TableParagraph"/>
              <w:spacing w:before="1"/>
              <w:ind w:left="115" w:right="879"/>
              <w:rPr>
                <w:sz w:val="20"/>
              </w:rPr>
            </w:pPr>
            <w:r>
              <w:rPr>
                <w:sz w:val="20"/>
              </w:rPr>
              <w:t>Avg. # of Showerheads per Household</w:t>
            </w:r>
          </w:p>
          <w:p w14:paraId="528B3D8F" w14:textId="77777777" w:rsidR="0081013A" w:rsidRDefault="004D3D43">
            <w:pPr>
              <w:pStyle w:val="TableParagraph"/>
              <w:spacing w:line="222" w:lineRule="exact"/>
              <w:ind w:left="115"/>
              <w:rPr>
                <w:sz w:val="20"/>
              </w:rPr>
            </w:pPr>
            <w:r>
              <w:rPr>
                <w:sz w:val="20"/>
              </w:rPr>
              <w:t>(showerheads/hh)</w:t>
            </w:r>
          </w:p>
        </w:tc>
        <w:tc>
          <w:tcPr>
            <w:tcW w:w="864" w:type="dxa"/>
          </w:tcPr>
          <w:p w14:paraId="528B3D90" w14:textId="77777777" w:rsidR="0081013A" w:rsidRDefault="0081013A">
            <w:pPr>
              <w:pStyle w:val="TableParagraph"/>
              <w:spacing w:before="2"/>
              <w:rPr>
                <w:sz w:val="20"/>
              </w:rPr>
            </w:pPr>
          </w:p>
          <w:p w14:paraId="528B3D91" w14:textId="77777777" w:rsidR="0081013A" w:rsidRDefault="004D3D43">
            <w:pPr>
              <w:pStyle w:val="TableParagraph"/>
              <w:ind w:right="105"/>
              <w:jc w:val="right"/>
              <w:rPr>
                <w:sz w:val="20"/>
              </w:rPr>
            </w:pPr>
            <w:r>
              <w:rPr>
                <w:w w:val="95"/>
                <w:sz w:val="20"/>
              </w:rPr>
              <w:t>1.50</w:t>
            </w:r>
          </w:p>
        </w:tc>
        <w:tc>
          <w:tcPr>
            <w:tcW w:w="864" w:type="dxa"/>
          </w:tcPr>
          <w:p w14:paraId="528B3D92" w14:textId="77777777" w:rsidR="0081013A" w:rsidRDefault="0081013A">
            <w:pPr>
              <w:pStyle w:val="TableParagraph"/>
              <w:spacing w:before="2"/>
              <w:rPr>
                <w:sz w:val="20"/>
              </w:rPr>
            </w:pPr>
          </w:p>
          <w:p w14:paraId="528B3D93" w14:textId="77777777" w:rsidR="0081013A" w:rsidRDefault="004D3D43">
            <w:pPr>
              <w:pStyle w:val="TableParagraph"/>
              <w:ind w:right="105"/>
              <w:jc w:val="right"/>
              <w:rPr>
                <w:sz w:val="20"/>
              </w:rPr>
            </w:pPr>
            <w:r>
              <w:rPr>
                <w:w w:val="95"/>
                <w:sz w:val="20"/>
              </w:rPr>
              <w:t>1.50</w:t>
            </w:r>
          </w:p>
        </w:tc>
        <w:tc>
          <w:tcPr>
            <w:tcW w:w="864" w:type="dxa"/>
          </w:tcPr>
          <w:p w14:paraId="528B3D94" w14:textId="77777777" w:rsidR="0081013A" w:rsidRDefault="0081013A">
            <w:pPr>
              <w:pStyle w:val="TableParagraph"/>
              <w:spacing w:before="2"/>
              <w:rPr>
                <w:sz w:val="20"/>
              </w:rPr>
            </w:pPr>
          </w:p>
          <w:p w14:paraId="528B3D95" w14:textId="77777777" w:rsidR="0081013A" w:rsidRDefault="004D3D43">
            <w:pPr>
              <w:pStyle w:val="TableParagraph"/>
              <w:ind w:right="105"/>
              <w:jc w:val="right"/>
              <w:rPr>
                <w:sz w:val="20"/>
              </w:rPr>
            </w:pPr>
            <w:r>
              <w:rPr>
                <w:w w:val="95"/>
                <w:sz w:val="20"/>
              </w:rPr>
              <w:t>1.50</w:t>
            </w:r>
          </w:p>
        </w:tc>
        <w:tc>
          <w:tcPr>
            <w:tcW w:w="864" w:type="dxa"/>
          </w:tcPr>
          <w:p w14:paraId="528B3D96" w14:textId="77777777" w:rsidR="0081013A" w:rsidRDefault="0081013A">
            <w:pPr>
              <w:pStyle w:val="TableParagraph"/>
              <w:spacing w:before="2"/>
              <w:rPr>
                <w:sz w:val="20"/>
              </w:rPr>
            </w:pPr>
          </w:p>
          <w:p w14:paraId="528B3D97" w14:textId="77777777" w:rsidR="0081013A" w:rsidRDefault="004D3D43">
            <w:pPr>
              <w:pStyle w:val="TableParagraph"/>
              <w:ind w:right="105"/>
              <w:jc w:val="right"/>
              <w:rPr>
                <w:sz w:val="20"/>
              </w:rPr>
            </w:pPr>
            <w:r>
              <w:rPr>
                <w:w w:val="95"/>
                <w:sz w:val="20"/>
              </w:rPr>
              <w:t>1.50</w:t>
            </w:r>
          </w:p>
        </w:tc>
        <w:tc>
          <w:tcPr>
            <w:tcW w:w="842" w:type="dxa"/>
          </w:tcPr>
          <w:p w14:paraId="528B3D98" w14:textId="77777777" w:rsidR="0081013A" w:rsidRDefault="0081013A">
            <w:pPr>
              <w:pStyle w:val="TableParagraph"/>
              <w:spacing w:before="2"/>
              <w:rPr>
                <w:sz w:val="20"/>
              </w:rPr>
            </w:pPr>
          </w:p>
          <w:p w14:paraId="528B3D99" w14:textId="77777777" w:rsidR="0081013A" w:rsidRDefault="004D3D43">
            <w:pPr>
              <w:pStyle w:val="TableParagraph"/>
              <w:ind w:right="105"/>
              <w:jc w:val="right"/>
              <w:rPr>
                <w:sz w:val="20"/>
              </w:rPr>
            </w:pPr>
            <w:r>
              <w:rPr>
                <w:w w:val="95"/>
                <w:sz w:val="20"/>
              </w:rPr>
              <w:t>1.50</w:t>
            </w:r>
          </w:p>
        </w:tc>
        <w:tc>
          <w:tcPr>
            <w:tcW w:w="2068" w:type="dxa"/>
          </w:tcPr>
          <w:p w14:paraId="528B3D9A" w14:textId="77777777" w:rsidR="0081013A" w:rsidRDefault="004D3D43">
            <w:pPr>
              <w:pStyle w:val="TableParagraph"/>
              <w:spacing w:before="1"/>
              <w:ind w:left="112"/>
              <w:rPr>
                <w:sz w:val="18"/>
              </w:rPr>
            </w:pPr>
            <w:r>
              <w:rPr>
                <w:sz w:val="18"/>
              </w:rPr>
              <w:t>See below.</w:t>
            </w:r>
          </w:p>
        </w:tc>
      </w:tr>
      <w:tr w:rsidR="0081013A" w14:paraId="528B3DA3" w14:textId="77777777">
        <w:trPr>
          <w:trHeight w:val="261"/>
        </w:trPr>
        <w:tc>
          <w:tcPr>
            <w:tcW w:w="3168" w:type="dxa"/>
          </w:tcPr>
          <w:p w14:paraId="528B3D9C" w14:textId="77777777" w:rsidR="0081013A" w:rsidRDefault="004D3D43">
            <w:pPr>
              <w:pStyle w:val="TableParagraph"/>
              <w:spacing w:before="11" w:line="230" w:lineRule="exact"/>
              <w:ind w:left="115"/>
              <w:rPr>
                <w:sz w:val="20"/>
              </w:rPr>
            </w:pPr>
            <w:r>
              <w:rPr>
                <w:sz w:val="20"/>
              </w:rPr>
              <w:t>Throttling Factor (%)</w:t>
            </w:r>
          </w:p>
        </w:tc>
        <w:tc>
          <w:tcPr>
            <w:tcW w:w="864" w:type="dxa"/>
          </w:tcPr>
          <w:p w14:paraId="528B3D9D" w14:textId="77777777" w:rsidR="0081013A" w:rsidRDefault="004D3D43">
            <w:pPr>
              <w:pStyle w:val="TableParagraph"/>
              <w:spacing w:before="11" w:line="230" w:lineRule="exact"/>
              <w:ind w:right="104"/>
              <w:jc w:val="right"/>
              <w:rPr>
                <w:sz w:val="20"/>
              </w:rPr>
            </w:pPr>
            <w:r>
              <w:rPr>
                <w:w w:val="95"/>
                <w:sz w:val="20"/>
              </w:rPr>
              <w:t>90%</w:t>
            </w:r>
          </w:p>
        </w:tc>
        <w:tc>
          <w:tcPr>
            <w:tcW w:w="864" w:type="dxa"/>
          </w:tcPr>
          <w:p w14:paraId="528B3D9E" w14:textId="77777777" w:rsidR="0081013A" w:rsidRDefault="004D3D43">
            <w:pPr>
              <w:pStyle w:val="TableParagraph"/>
              <w:spacing w:before="11" w:line="230" w:lineRule="exact"/>
              <w:ind w:right="104"/>
              <w:jc w:val="right"/>
              <w:rPr>
                <w:sz w:val="20"/>
              </w:rPr>
            </w:pPr>
            <w:r>
              <w:rPr>
                <w:w w:val="95"/>
                <w:sz w:val="20"/>
              </w:rPr>
              <w:t>90%</w:t>
            </w:r>
          </w:p>
        </w:tc>
        <w:tc>
          <w:tcPr>
            <w:tcW w:w="864" w:type="dxa"/>
          </w:tcPr>
          <w:p w14:paraId="528B3D9F" w14:textId="77777777" w:rsidR="0081013A" w:rsidRDefault="004D3D43">
            <w:pPr>
              <w:pStyle w:val="TableParagraph"/>
              <w:spacing w:before="11" w:line="230" w:lineRule="exact"/>
              <w:ind w:right="104"/>
              <w:jc w:val="right"/>
              <w:rPr>
                <w:sz w:val="20"/>
              </w:rPr>
            </w:pPr>
            <w:r>
              <w:rPr>
                <w:w w:val="95"/>
                <w:sz w:val="20"/>
              </w:rPr>
              <w:t>90%</w:t>
            </w:r>
          </w:p>
        </w:tc>
        <w:tc>
          <w:tcPr>
            <w:tcW w:w="864" w:type="dxa"/>
          </w:tcPr>
          <w:p w14:paraId="528B3DA0" w14:textId="77777777" w:rsidR="0081013A" w:rsidRDefault="004D3D43">
            <w:pPr>
              <w:pStyle w:val="TableParagraph"/>
              <w:spacing w:before="11" w:line="230" w:lineRule="exact"/>
              <w:ind w:right="104"/>
              <w:jc w:val="right"/>
              <w:rPr>
                <w:sz w:val="20"/>
              </w:rPr>
            </w:pPr>
            <w:r>
              <w:rPr>
                <w:w w:val="95"/>
                <w:sz w:val="20"/>
              </w:rPr>
              <w:t>90%</w:t>
            </w:r>
          </w:p>
        </w:tc>
        <w:tc>
          <w:tcPr>
            <w:tcW w:w="842" w:type="dxa"/>
          </w:tcPr>
          <w:p w14:paraId="528B3DA1" w14:textId="77777777" w:rsidR="0081013A" w:rsidRDefault="004D3D43">
            <w:pPr>
              <w:pStyle w:val="TableParagraph"/>
              <w:spacing w:before="11" w:line="230" w:lineRule="exact"/>
              <w:ind w:right="103"/>
              <w:jc w:val="right"/>
              <w:rPr>
                <w:sz w:val="20"/>
              </w:rPr>
            </w:pPr>
            <w:r>
              <w:rPr>
                <w:w w:val="95"/>
                <w:sz w:val="20"/>
              </w:rPr>
              <w:t>90%</w:t>
            </w:r>
          </w:p>
        </w:tc>
        <w:tc>
          <w:tcPr>
            <w:tcW w:w="2068" w:type="dxa"/>
          </w:tcPr>
          <w:p w14:paraId="528B3DA2" w14:textId="77777777" w:rsidR="0081013A" w:rsidRDefault="004D3D43">
            <w:pPr>
              <w:pStyle w:val="TableParagraph"/>
              <w:spacing w:before="1"/>
              <w:ind w:left="112"/>
              <w:rPr>
                <w:sz w:val="18"/>
              </w:rPr>
            </w:pPr>
            <w:r>
              <w:rPr>
                <w:sz w:val="18"/>
              </w:rPr>
              <w:t>See below.</w:t>
            </w:r>
          </w:p>
        </w:tc>
      </w:tr>
      <w:tr w:rsidR="0081013A" w14:paraId="528B3DAB" w14:textId="77777777">
        <w:trPr>
          <w:trHeight w:val="258"/>
        </w:trPr>
        <w:tc>
          <w:tcPr>
            <w:tcW w:w="3168" w:type="dxa"/>
          </w:tcPr>
          <w:p w14:paraId="528B3DA4" w14:textId="77777777" w:rsidR="0081013A" w:rsidRDefault="004D3D43">
            <w:pPr>
              <w:pStyle w:val="TableParagraph"/>
              <w:spacing w:before="8" w:line="230" w:lineRule="exact"/>
              <w:ind w:left="115"/>
              <w:rPr>
                <w:sz w:val="20"/>
              </w:rPr>
            </w:pPr>
            <w:r>
              <w:rPr>
                <w:sz w:val="20"/>
              </w:rPr>
              <w:t>Operating Days (days/year)</w:t>
            </w:r>
          </w:p>
        </w:tc>
        <w:tc>
          <w:tcPr>
            <w:tcW w:w="864" w:type="dxa"/>
          </w:tcPr>
          <w:p w14:paraId="528B3DA5" w14:textId="77777777" w:rsidR="0081013A" w:rsidRDefault="004D3D43">
            <w:pPr>
              <w:pStyle w:val="TableParagraph"/>
              <w:spacing w:before="8" w:line="230" w:lineRule="exact"/>
              <w:ind w:right="105"/>
              <w:jc w:val="right"/>
              <w:rPr>
                <w:sz w:val="20"/>
              </w:rPr>
            </w:pPr>
            <w:r>
              <w:rPr>
                <w:w w:val="95"/>
                <w:sz w:val="20"/>
              </w:rPr>
              <w:t>365</w:t>
            </w:r>
          </w:p>
        </w:tc>
        <w:tc>
          <w:tcPr>
            <w:tcW w:w="864" w:type="dxa"/>
          </w:tcPr>
          <w:p w14:paraId="528B3DA6" w14:textId="77777777" w:rsidR="0081013A" w:rsidRDefault="004D3D43">
            <w:pPr>
              <w:pStyle w:val="TableParagraph"/>
              <w:spacing w:before="8" w:line="230" w:lineRule="exact"/>
              <w:ind w:right="105"/>
              <w:jc w:val="right"/>
              <w:rPr>
                <w:sz w:val="20"/>
              </w:rPr>
            </w:pPr>
            <w:r>
              <w:rPr>
                <w:w w:val="95"/>
                <w:sz w:val="20"/>
              </w:rPr>
              <w:t>365</w:t>
            </w:r>
          </w:p>
        </w:tc>
        <w:tc>
          <w:tcPr>
            <w:tcW w:w="864" w:type="dxa"/>
          </w:tcPr>
          <w:p w14:paraId="528B3DA7" w14:textId="77777777" w:rsidR="0081013A" w:rsidRDefault="004D3D43">
            <w:pPr>
              <w:pStyle w:val="TableParagraph"/>
              <w:spacing w:before="8" w:line="230" w:lineRule="exact"/>
              <w:ind w:right="105"/>
              <w:jc w:val="right"/>
              <w:rPr>
                <w:sz w:val="20"/>
              </w:rPr>
            </w:pPr>
            <w:r>
              <w:rPr>
                <w:w w:val="95"/>
                <w:sz w:val="20"/>
              </w:rPr>
              <w:t>365</w:t>
            </w:r>
          </w:p>
        </w:tc>
        <w:tc>
          <w:tcPr>
            <w:tcW w:w="864" w:type="dxa"/>
          </w:tcPr>
          <w:p w14:paraId="528B3DA8" w14:textId="77777777" w:rsidR="0081013A" w:rsidRDefault="004D3D43">
            <w:pPr>
              <w:pStyle w:val="TableParagraph"/>
              <w:spacing w:before="8" w:line="230" w:lineRule="exact"/>
              <w:ind w:right="105"/>
              <w:jc w:val="right"/>
              <w:rPr>
                <w:sz w:val="20"/>
              </w:rPr>
            </w:pPr>
            <w:r>
              <w:rPr>
                <w:w w:val="95"/>
                <w:sz w:val="20"/>
              </w:rPr>
              <w:t>365</w:t>
            </w:r>
          </w:p>
        </w:tc>
        <w:tc>
          <w:tcPr>
            <w:tcW w:w="842" w:type="dxa"/>
          </w:tcPr>
          <w:p w14:paraId="528B3DA9" w14:textId="77777777" w:rsidR="0081013A" w:rsidRDefault="004D3D43">
            <w:pPr>
              <w:pStyle w:val="TableParagraph"/>
              <w:spacing w:before="8" w:line="230" w:lineRule="exact"/>
              <w:ind w:right="105"/>
              <w:jc w:val="right"/>
              <w:rPr>
                <w:sz w:val="20"/>
              </w:rPr>
            </w:pPr>
            <w:r>
              <w:rPr>
                <w:w w:val="95"/>
                <w:sz w:val="20"/>
              </w:rPr>
              <w:t>365</w:t>
            </w:r>
          </w:p>
        </w:tc>
        <w:tc>
          <w:tcPr>
            <w:tcW w:w="2068" w:type="dxa"/>
          </w:tcPr>
          <w:p w14:paraId="528B3DAA" w14:textId="77777777" w:rsidR="0081013A" w:rsidRDefault="004D3D43">
            <w:pPr>
              <w:pStyle w:val="TableParagraph"/>
              <w:spacing w:before="20" w:line="218" w:lineRule="exact"/>
              <w:ind w:left="112"/>
              <w:rPr>
                <w:sz w:val="18"/>
              </w:rPr>
            </w:pPr>
            <w:r>
              <w:rPr>
                <w:sz w:val="18"/>
              </w:rPr>
              <w:t>Professional judgement.</w:t>
            </w:r>
          </w:p>
        </w:tc>
      </w:tr>
      <w:tr w:rsidR="0081013A" w14:paraId="528B3DB3" w14:textId="77777777">
        <w:trPr>
          <w:trHeight w:val="261"/>
        </w:trPr>
        <w:tc>
          <w:tcPr>
            <w:tcW w:w="3168" w:type="dxa"/>
          </w:tcPr>
          <w:p w14:paraId="528B3DAC" w14:textId="77777777" w:rsidR="0081013A" w:rsidRDefault="004D3D43">
            <w:pPr>
              <w:pStyle w:val="TableParagraph"/>
              <w:spacing w:before="11" w:line="230" w:lineRule="exact"/>
              <w:ind w:left="115"/>
              <w:rPr>
                <w:sz w:val="20"/>
              </w:rPr>
            </w:pPr>
            <w:r>
              <w:rPr>
                <w:sz w:val="20"/>
              </w:rPr>
              <w:t>Normalization Factor</w:t>
            </w:r>
          </w:p>
        </w:tc>
        <w:tc>
          <w:tcPr>
            <w:tcW w:w="864" w:type="dxa"/>
          </w:tcPr>
          <w:p w14:paraId="528B3DAD" w14:textId="77777777" w:rsidR="0081013A" w:rsidRDefault="004D3D43">
            <w:pPr>
              <w:pStyle w:val="TableParagraph"/>
              <w:spacing w:before="1" w:line="240" w:lineRule="exact"/>
              <w:ind w:right="105"/>
              <w:jc w:val="right"/>
              <w:rPr>
                <w:sz w:val="20"/>
              </w:rPr>
            </w:pPr>
            <w:r>
              <w:rPr>
                <w:w w:val="95"/>
                <w:sz w:val="20"/>
              </w:rPr>
              <w:t>0.702</w:t>
            </w:r>
          </w:p>
        </w:tc>
        <w:tc>
          <w:tcPr>
            <w:tcW w:w="864" w:type="dxa"/>
          </w:tcPr>
          <w:p w14:paraId="528B3DAE" w14:textId="77777777" w:rsidR="0081013A" w:rsidRDefault="004D3D43">
            <w:pPr>
              <w:pStyle w:val="TableParagraph"/>
              <w:spacing w:before="1" w:line="240" w:lineRule="exact"/>
              <w:ind w:right="105"/>
              <w:jc w:val="right"/>
              <w:rPr>
                <w:sz w:val="20"/>
              </w:rPr>
            </w:pPr>
            <w:r>
              <w:rPr>
                <w:w w:val="95"/>
                <w:sz w:val="20"/>
              </w:rPr>
              <w:t>0.702</w:t>
            </w:r>
          </w:p>
        </w:tc>
        <w:tc>
          <w:tcPr>
            <w:tcW w:w="864" w:type="dxa"/>
          </w:tcPr>
          <w:p w14:paraId="528B3DAF" w14:textId="77777777" w:rsidR="0081013A" w:rsidRDefault="004D3D43">
            <w:pPr>
              <w:pStyle w:val="TableParagraph"/>
              <w:spacing w:before="1" w:line="240" w:lineRule="exact"/>
              <w:ind w:right="105"/>
              <w:jc w:val="right"/>
              <w:rPr>
                <w:sz w:val="20"/>
              </w:rPr>
            </w:pPr>
            <w:r>
              <w:rPr>
                <w:w w:val="95"/>
                <w:sz w:val="20"/>
              </w:rPr>
              <w:t>0.702</w:t>
            </w:r>
          </w:p>
        </w:tc>
        <w:tc>
          <w:tcPr>
            <w:tcW w:w="864" w:type="dxa"/>
          </w:tcPr>
          <w:p w14:paraId="528B3DB0" w14:textId="77777777" w:rsidR="0081013A" w:rsidRDefault="004D3D43">
            <w:pPr>
              <w:pStyle w:val="TableParagraph"/>
              <w:spacing w:before="1" w:line="240" w:lineRule="exact"/>
              <w:ind w:right="105"/>
              <w:jc w:val="right"/>
              <w:rPr>
                <w:sz w:val="20"/>
              </w:rPr>
            </w:pPr>
            <w:r>
              <w:rPr>
                <w:w w:val="95"/>
                <w:sz w:val="20"/>
              </w:rPr>
              <w:t>0.702</w:t>
            </w:r>
          </w:p>
        </w:tc>
        <w:tc>
          <w:tcPr>
            <w:tcW w:w="842" w:type="dxa"/>
          </w:tcPr>
          <w:p w14:paraId="528B3DB1" w14:textId="77777777" w:rsidR="0081013A" w:rsidRDefault="004D3D43">
            <w:pPr>
              <w:pStyle w:val="TableParagraph"/>
              <w:spacing w:before="1" w:line="240" w:lineRule="exact"/>
              <w:ind w:right="105"/>
              <w:jc w:val="right"/>
              <w:rPr>
                <w:sz w:val="20"/>
              </w:rPr>
            </w:pPr>
            <w:r>
              <w:rPr>
                <w:w w:val="95"/>
                <w:sz w:val="20"/>
              </w:rPr>
              <w:t>0.702</w:t>
            </w:r>
          </w:p>
        </w:tc>
        <w:tc>
          <w:tcPr>
            <w:tcW w:w="2068" w:type="dxa"/>
          </w:tcPr>
          <w:p w14:paraId="528B3DB2" w14:textId="77777777" w:rsidR="0081013A" w:rsidRDefault="004D3D43">
            <w:pPr>
              <w:pStyle w:val="TableParagraph"/>
              <w:spacing w:before="1"/>
              <w:ind w:left="112"/>
              <w:rPr>
                <w:sz w:val="18"/>
              </w:rPr>
            </w:pPr>
            <w:r>
              <w:rPr>
                <w:sz w:val="18"/>
              </w:rPr>
              <w:t>See below.</w:t>
            </w:r>
          </w:p>
        </w:tc>
      </w:tr>
    </w:tbl>
    <w:p w14:paraId="528B3DB4" w14:textId="77777777" w:rsidR="0081013A" w:rsidRDefault="0081013A">
      <w:pPr>
        <w:pStyle w:val="BodyText"/>
        <w:rPr>
          <w:sz w:val="20"/>
        </w:rPr>
      </w:pPr>
    </w:p>
    <w:p w14:paraId="528B3DB5" w14:textId="77777777" w:rsidR="0081013A" w:rsidRDefault="0081013A">
      <w:pPr>
        <w:pStyle w:val="BodyText"/>
        <w:spacing w:before="8"/>
        <w:rPr>
          <w:sz w:val="21"/>
        </w:rPr>
      </w:pPr>
    </w:p>
    <w:p w14:paraId="528B3DB6" w14:textId="77777777" w:rsidR="0081013A" w:rsidRDefault="004D3D43">
      <w:pPr>
        <w:pStyle w:val="BodyText"/>
        <w:ind w:left="119" w:right="501"/>
      </w:pPr>
      <w:r w:rsidRPr="00285F24">
        <w:rPr>
          <w:b/>
          <w:bCs/>
        </w:rPr>
        <w:t xml:space="preserve">Base Case </w:t>
      </w:r>
      <w:r w:rsidRPr="00285F24">
        <w:rPr>
          <w:b/>
          <w:bCs/>
          <w:spacing w:val="-3"/>
        </w:rPr>
        <w:t xml:space="preserve">Showerhead </w:t>
      </w:r>
      <w:r w:rsidRPr="00285F24">
        <w:rPr>
          <w:b/>
          <w:bCs/>
        </w:rPr>
        <w:t>Flow Rate</w:t>
      </w:r>
      <w:r>
        <w:t xml:space="preserve">: The baseline for normal replacement (NR) showerhead installations have a single baseline flow rate that complies with the Title 20 code effective on July 1, 2016. For accelerated replacement and add-on equipment installations, the first baseline flow rate was derived as the average of measured existing showerhead flow rates from a residential field survey in Southern California. The second baseline for </w:t>
      </w:r>
      <w:r>
        <w:rPr>
          <w:i/>
        </w:rPr>
        <w:t xml:space="preserve">accelerated replacement </w:t>
      </w:r>
      <w:r>
        <w:t>installations complies with the Title 20 flow regulations effective on July 1, 2018.</w:t>
      </w:r>
    </w:p>
    <w:p w14:paraId="528B3DB7" w14:textId="77777777" w:rsidR="0081013A" w:rsidRDefault="004D3D43">
      <w:pPr>
        <w:pStyle w:val="BodyText"/>
        <w:spacing w:before="119"/>
        <w:ind w:left="119" w:right="553"/>
      </w:pPr>
      <w:r w:rsidRPr="00D072A5">
        <w:rPr>
          <w:b/>
          <w:bCs/>
          <w:spacing w:val="-3"/>
        </w:rPr>
        <w:t xml:space="preserve">Measure </w:t>
      </w:r>
      <w:r w:rsidRPr="00D072A5">
        <w:rPr>
          <w:b/>
          <w:bCs/>
        </w:rPr>
        <w:t xml:space="preserve">Case </w:t>
      </w:r>
      <w:r w:rsidRPr="00D072A5">
        <w:rPr>
          <w:b/>
          <w:bCs/>
          <w:spacing w:val="-3"/>
        </w:rPr>
        <w:t xml:space="preserve">Showerhead </w:t>
      </w:r>
      <w:r w:rsidRPr="00D072A5">
        <w:rPr>
          <w:b/>
          <w:bCs/>
        </w:rPr>
        <w:t xml:space="preserve">Flow </w:t>
      </w:r>
      <w:r w:rsidRPr="00D072A5">
        <w:rPr>
          <w:b/>
          <w:bCs/>
          <w:spacing w:val="-3"/>
        </w:rPr>
        <w:t>Rate:</w:t>
      </w:r>
      <w:r>
        <w:rPr>
          <w:spacing w:val="-3"/>
        </w:rPr>
        <w:t xml:space="preserve"> </w:t>
      </w:r>
      <w:r>
        <w:t>The mixed water flow rate for each measure case showerhead used in the water saving</w:t>
      </w:r>
      <w:r>
        <w:rPr>
          <w:spacing w:val="-2"/>
        </w:rPr>
        <w:t xml:space="preserve"> </w:t>
      </w:r>
      <w:r>
        <w:t>calculation.</w:t>
      </w:r>
    </w:p>
    <w:p w14:paraId="528B3DB8" w14:textId="77777777" w:rsidR="0081013A" w:rsidRDefault="004D3D43">
      <w:pPr>
        <w:pStyle w:val="BodyText"/>
        <w:spacing w:before="121"/>
        <w:ind w:left="119" w:right="351"/>
      </w:pPr>
      <w:r w:rsidRPr="00D072A5">
        <w:rPr>
          <w:b/>
          <w:bCs/>
        </w:rPr>
        <w:t>Average Shower Time per Day:</w:t>
      </w:r>
      <w:r>
        <w:t xml:space="preserve"> Shower duration was derived from water trace data from ten single family homes in Seattle in 1999. A study of residential end use of water conducted for the AWWA Research</w:t>
      </w:r>
    </w:p>
    <w:p w14:paraId="528B3DB9" w14:textId="77777777" w:rsidR="0081013A" w:rsidRDefault="0081013A">
      <w:pPr>
        <w:sectPr w:rsidR="0081013A">
          <w:pgSz w:w="12240" w:h="15840"/>
          <w:pgMar w:top="1220" w:right="1120" w:bottom="1320" w:left="1320" w:header="858" w:footer="1129" w:gutter="0"/>
          <w:cols w:space="720"/>
        </w:sectPr>
      </w:pPr>
    </w:p>
    <w:p w14:paraId="528B3DBA" w14:textId="77777777" w:rsidR="0081013A" w:rsidRDefault="0081013A">
      <w:pPr>
        <w:pStyle w:val="BodyText"/>
        <w:spacing w:before="4"/>
        <w:rPr>
          <w:sz w:val="18"/>
        </w:rPr>
      </w:pPr>
    </w:p>
    <w:p w14:paraId="528B3DBB" w14:textId="77777777" w:rsidR="0081013A" w:rsidRDefault="004D3D43">
      <w:pPr>
        <w:pStyle w:val="BodyText"/>
        <w:spacing w:before="75"/>
        <w:ind w:left="119" w:right="616"/>
      </w:pPr>
      <w:r>
        <w:t>Foundation found a similar result.</w:t>
      </w:r>
      <w:hyperlink w:anchor="_bookmark7" w:history="1">
        <w:r>
          <w:rPr>
            <w:vertAlign w:val="superscript"/>
          </w:rPr>
          <w:t>8</w:t>
        </w:r>
        <w:r>
          <w:t xml:space="preserve"> </w:t>
        </w:r>
      </w:hyperlink>
      <w:r>
        <w:t>Note that the average shower time in minutes per day is fixed and varies only by housing type. The assumption that the minutes per day a showerhead is used does not change between the base case and measure case scenarios means that a reduction in the showerhead flow rate will reduce water usage.</w:t>
      </w:r>
    </w:p>
    <w:p w14:paraId="528B3DBC" w14:textId="77777777" w:rsidR="0081013A" w:rsidRDefault="004D3D43">
      <w:pPr>
        <w:pStyle w:val="BodyText"/>
        <w:spacing w:before="120"/>
        <w:ind w:left="119" w:right="239"/>
      </w:pPr>
      <w:r w:rsidRPr="00ED74B0">
        <w:rPr>
          <w:b/>
          <w:bCs/>
        </w:rPr>
        <w:t>Average Number of Showers per Day:</w:t>
      </w:r>
      <w:r>
        <w:t xml:space="preserve"> The average number of showers per day per single-family household was derived from the 2009 residential water fixture field study conducted in Southern California. The average number of showers per day per multifamily household was derived from the 2004 California Residential Appliance Saturation Study survey data.</w:t>
      </w:r>
    </w:p>
    <w:p w14:paraId="528B3DBD" w14:textId="604BE8C0" w:rsidR="0081013A" w:rsidRDefault="004D3D43">
      <w:pPr>
        <w:pStyle w:val="BodyText"/>
        <w:spacing w:before="119"/>
        <w:ind w:left="119" w:right="406"/>
      </w:pPr>
      <w:r w:rsidRPr="00ED74B0">
        <w:rPr>
          <w:b/>
          <w:bCs/>
        </w:rPr>
        <w:t>Number of Showerheads per Household</w:t>
      </w:r>
      <w:r w:rsidR="00ED74B0" w:rsidRPr="00ED74B0">
        <w:rPr>
          <w:b/>
          <w:bCs/>
        </w:rPr>
        <w:t>:</w:t>
      </w:r>
      <w:r>
        <w:t xml:space="preserve"> The average number of showerheads per single-family household was derived from the 2009 residential water fixture field study conducted in Southern California. The average number of showerheads per multifamily household was calculated from U.S. Census 2000 data as the weighted average of the number of bathrooms in new construction homes the West Region from 1978 to 2006. This calculation assumes that each bathroom contains a shower or bath with one showerhead.</w:t>
      </w:r>
    </w:p>
    <w:p w14:paraId="528B3DBE" w14:textId="77777777" w:rsidR="0081013A" w:rsidRDefault="004D3D43">
      <w:pPr>
        <w:pStyle w:val="BodyText"/>
        <w:spacing w:before="122"/>
        <w:ind w:left="119" w:right="324"/>
      </w:pPr>
      <w:r w:rsidRPr="00ED74B0">
        <w:rPr>
          <w:b/>
          <w:bCs/>
        </w:rPr>
        <w:t>Throttling Factor:</w:t>
      </w:r>
      <w:r>
        <w:t xml:space="preserve"> This factor adjusts the showerhead flow rate to account for pressures less than 80 psig, for limiting flow by throttling back (closing) the control valve to the shower, and to account for partial clogging due to debris in the pipe or from calcium deposits in areas with hard water contributes to this factor.</w:t>
      </w:r>
    </w:p>
    <w:p w14:paraId="528B3DBF" w14:textId="77777777" w:rsidR="0081013A" w:rsidRDefault="004D3D43">
      <w:pPr>
        <w:pStyle w:val="BodyText"/>
        <w:spacing w:before="118"/>
        <w:ind w:left="119" w:right="401"/>
      </w:pPr>
      <w:r w:rsidRPr="00ED74B0">
        <w:rPr>
          <w:b/>
          <w:bCs/>
        </w:rPr>
        <w:t>Normalization Factor:</w:t>
      </w:r>
      <w:r>
        <w:t xml:space="preserve"> The 2013 “Water Fixture Disposition” adopted the assumptions for baseline daily hot water (DHW) usage in the Database for Energy Efficient Resources (DEER). As per the 2013 Water Fixture Disposition, the "DEER values for daily hot water use by end use are developed by NREL for the Building America House Simulation Protocols” (p.3). The NREL baselines standardize the daily shower hot water usage for replace-on-burnout (ROB) and early retirement (ER) measure installations to 28.01 and</w:t>
      </w:r>
    </w:p>
    <w:p w14:paraId="528B3DC0" w14:textId="77777777" w:rsidR="0081013A" w:rsidRDefault="004D3D43">
      <w:pPr>
        <w:pStyle w:val="BodyText"/>
        <w:spacing w:before="1"/>
        <w:ind w:left="119"/>
      </w:pPr>
      <w:r>
        <w:t>23.3 gallons per day for single and multifamily, respectively.</w:t>
      </w:r>
    </w:p>
    <w:p w14:paraId="528B3DC1" w14:textId="05A39B98" w:rsidR="0081013A" w:rsidRDefault="004D3D43">
      <w:pPr>
        <w:pStyle w:val="BodyText"/>
        <w:spacing w:before="121"/>
        <w:ind w:left="119" w:right="349"/>
      </w:pPr>
      <w:r>
        <w:t>The purpose of the normalization factor is to account for this change in assumed daily hot water baseline water usage from the daily usage derived from the residential field study to the usage adopted for DEER from the NREL study. The normalization factor shown below was calculated as the ratio of daily hot water consumption derived from the NREL study to the daily hot water consumption calculated from the 2009 field study. The inputs for this calculation are provided in the following table.</w:t>
      </w:r>
    </w:p>
    <w:p w14:paraId="7094C665" w14:textId="77777777" w:rsidR="00200EB6" w:rsidRDefault="00200EB6">
      <w:pPr>
        <w:pStyle w:val="BodyText"/>
        <w:spacing w:before="121"/>
        <w:ind w:left="119" w:right="349"/>
      </w:pPr>
    </w:p>
    <w:p w14:paraId="528B3DC5" w14:textId="6721CE3E" w:rsidR="0081013A" w:rsidRDefault="00AF0D9C" w:rsidP="007476F7">
      <w:pPr>
        <w:pStyle w:val="BodyText"/>
        <w:ind w:firstLine="810"/>
        <w:rPr>
          <w:rFonts w:ascii="Cambria Math"/>
          <w:sz w:val="20"/>
        </w:rPr>
      </w:pPr>
      <m:oMath>
        <m:r>
          <w:rPr>
            <w:rFonts w:ascii="Cambria Math" w:hAnsi="Cambria Math"/>
            <w:sz w:val="20"/>
          </w:rPr>
          <m:t>G=</m:t>
        </m:r>
        <m:f>
          <m:fPr>
            <m:ctrlPr>
              <w:rPr>
                <w:rFonts w:ascii="Cambria Math" w:hAnsi="Cambria Math"/>
                <w:i/>
                <w:sz w:val="20"/>
              </w:rPr>
            </m:ctrlPr>
          </m:fPr>
          <m:num>
            <m:sSub>
              <m:sSubPr>
                <m:ctrlPr>
                  <w:rPr>
                    <w:rFonts w:ascii="Cambria Math" w:hAnsi="Cambria Math"/>
                    <w:i/>
                    <w:sz w:val="20"/>
                  </w:rPr>
                </m:ctrlPr>
              </m:sSubPr>
              <m:e>
                <m:r>
                  <w:rPr>
                    <w:rFonts w:ascii="Cambria Math" w:hAnsi="Cambria Math"/>
                    <w:sz w:val="20"/>
                  </w:rPr>
                  <m:t>WU</m:t>
                </m:r>
              </m:e>
              <m:sub>
                <m:r>
                  <w:rPr>
                    <w:rFonts w:ascii="Cambria Math" w:hAnsi="Cambria Math"/>
                    <w:sz w:val="20"/>
                  </w:rPr>
                  <m:t>day DEER/NREL</m:t>
                </m:r>
              </m:sub>
            </m:sSub>
          </m:num>
          <m:den>
            <m:sSub>
              <m:sSubPr>
                <m:ctrlPr>
                  <w:rPr>
                    <w:rFonts w:ascii="Cambria Math" w:hAnsi="Cambria Math"/>
                    <w:i/>
                    <w:sz w:val="20"/>
                  </w:rPr>
                </m:ctrlPr>
              </m:sSubPr>
              <m:e>
                <m:r>
                  <w:rPr>
                    <w:rFonts w:ascii="Cambria Math" w:hAnsi="Cambria Math"/>
                    <w:sz w:val="20"/>
                  </w:rPr>
                  <m:t>WU</m:t>
                </m:r>
              </m:e>
              <m:sub>
                <m:r>
                  <w:rPr>
                    <w:rFonts w:ascii="Cambria Math" w:hAnsi="Cambria Math"/>
                    <w:sz w:val="20"/>
                  </w:rPr>
                  <m:t>day field study</m:t>
                </m:r>
              </m:sub>
            </m:sSub>
          </m:den>
        </m:f>
      </m:oMath>
      <w:r w:rsidR="00200EB6">
        <w:rPr>
          <w:rFonts w:ascii="Cambria Math"/>
          <w:sz w:val="20"/>
        </w:rPr>
        <w:t xml:space="preserve"> </w:t>
      </w:r>
    </w:p>
    <w:p w14:paraId="528B3DC6" w14:textId="77777777" w:rsidR="0081013A" w:rsidRDefault="0081013A">
      <w:pPr>
        <w:pStyle w:val="BodyText"/>
        <w:rPr>
          <w:rFonts w:ascii="Cambria Math"/>
          <w:sz w:val="20"/>
        </w:rPr>
      </w:pPr>
    </w:p>
    <w:p w14:paraId="528B3DC7" w14:textId="77777777" w:rsidR="0081013A" w:rsidRDefault="0081013A">
      <w:pPr>
        <w:pStyle w:val="BodyText"/>
        <w:rPr>
          <w:rFonts w:ascii="Cambria Math"/>
          <w:sz w:val="20"/>
        </w:rPr>
      </w:pPr>
    </w:p>
    <w:p w14:paraId="528B3DC8" w14:textId="77777777" w:rsidR="0081013A" w:rsidRDefault="0081013A">
      <w:pPr>
        <w:pStyle w:val="BodyText"/>
        <w:rPr>
          <w:rFonts w:ascii="Cambria Math"/>
          <w:sz w:val="20"/>
        </w:rPr>
      </w:pPr>
    </w:p>
    <w:p w14:paraId="528B3DC9" w14:textId="77777777" w:rsidR="0081013A" w:rsidRDefault="0081013A">
      <w:pPr>
        <w:pStyle w:val="BodyText"/>
        <w:rPr>
          <w:rFonts w:ascii="Cambria Math"/>
          <w:sz w:val="20"/>
        </w:rPr>
      </w:pPr>
    </w:p>
    <w:p w14:paraId="528B3DCA" w14:textId="77777777" w:rsidR="0081013A" w:rsidRDefault="0081013A">
      <w:pPr>
        <w:pStyle w:val="BodyText"/>
        <w:rPr>
          <w:rFonts w:ascii="Cambria Math"/>
          <w:sz w:val="20"/>
        </w:rPr>
      </w:pPr>
    </w:p>
    <w:p w14:paraId="528B3DCB" w14:textId="77777777" w:rsidR="0081013A" w:rsidRDefault="0081013A">
      <w:pPr>
        <w:pStyle w:val="BodyText"/>
        <w:rPr>
          <w:rFonts w:ascii="Cambria Math"/>
          <w:sz w:val="20"/>
        </w:rPr>
      </w:pPr>
    </w:p>
    <w:p w14:paraId="528B3DCC" w14:textId="77777777" w:rsidR="0081013A" w:rsidRDefault="0081013A">
      <w:pPr>
        <w:pStyle w:val="BodyText"/>
        <w:rPr>
          <w:rFonts w:ascii="Cambria Math"/>
          <w:sz w:val="20"/>
        </w:rPr>
      </w:pPr>
    </w:p>
    <w:p w14:paraId="528B3DCD" w14:textId="77777777" w:rsidR="0081013A" w:rsidRDefault="0081013A">
      <w:pPr>
        <w:pStyle w:val="BodyText"/>
        <w:rPr>
          <w:rFonts w:ascii="Cambria Math"/>
          <w:sz w:val="20"/>
        </w:rPr>
      </w:pPr>
    </w:p>
    <w:p w14:paraId="528B3DCE" w14:textId="77777777" w:rsidR="0081013A" w:rsidRDefault="0081013A">
      <w:pPr>
        <w:pStyle w:val="BodyText"/>
        <w:rPr>
          <w:rFonts w:ascii="Cambria Math"/>
          <w:sz w:val="20"/>
        </w:rPr>
      </w:pPr>
    </w:p>
    <w:p w14:paraId="528B3DCF" w14:textId="77777777" w:rsidR="0081013A" w:rsidRDefault="0081013A">
      <w:pPr>
        <w:pStyle w:val="BodyText"/>
        <w:rPr>
          <w:rFonts w:ascii="Cambria Math"/>
          <w:sz w:val="20"/>
        </w:rPr>
      </w:pPr>
    </w:p>
    <w:p w14:paraId="528B3DD0" w14:textId="77777777" w:rsidR="0081013A" w:rsidRDefault="004A0AE2">
      <w:pPr>
        <w:pStyle w:val="BodyText"/>
        <w:spacing w:before="8"/>
        <w:rPr>
          <w:rFonts w:ascii="Cambria Math"/>
          <w:sz w:val="16"/>
        </w:rPr>
      </w:pPr>
      <w:r>
        <w:pict w14:anchorId="528B3FC7">
          <v:shape id="_x0000_s1030" style="position:absolute;margin-left:1in;margin-top:12.15pt;width:2in;height:.1pt;z-index:-251646976;mso-wrap-distance-left:0;mso-wrap-distance-right:0;mso-position-horizontal-relative:page" coordorigin="1440,243" coordsize="2880,0" path="m1440,243r2880,e" filled="f" strokeweight=".72pt">
            <v:path arrowok="t"/>
            <w10:wrap type="topAndBottom" anchorx="page"/>
          </v:shape>
        </w:pict>
      </w:r>
    </w:p>
    <w:p w14:paraId="528B3DD1" w14:textId="77777777" w:rsidR="0081013A" w:rsidRDefault="0081013A">
      <w:pPr>
        <w:pStyle w:val="BodyText"/>
        <w:rPr>
          <w:rFonts w:ascii="Cambria Math"/>
          <w:sz w:val="20"/>
        </w:rPr>
      </w:pPr>
    </w:p>
    <w:p w14:paraId="528B3DD2" w14:textId="77777777" w:rsidR="0081013A" w:rsidRDefault="0081013A">
      <w:pPr>
        <w:pStyle w:val="BodyText"/>
        <w:spacing w:before="5"/>
        <w:rPr>
          <w:rFonts w:ascii="Cambria Math"/>
          <w:sz w:val="23"/>
        </w:rPr>
      </w:pPr>
    </w:p>
    <w:p w14:paraId="528B3DD3" w14:textId="77777777" w:rsidR="0081013A" w:rsidRDefault="004D3D43">
      <w:pPr>
        <w:spacing w:before="69"/>
        <w:ind w:left="120" w:right="656" w:hanging="1"/>
        <w:rPr>
          <w:sz w:val="18"/>
        </w:rPr>
      </w:pPr>
      <w:bookmarkStart w:id="23" w:name="_bookmark7"/>
      <w:bookmarkEnd w:id="23"/>
      <w:r>
        <w:rPr>
          <w:position w:val="5"/>
          <w:sz w:val="12"/>
        </w:rPr>
        <w:t xml:space="preserve">8 </w:t>
      </w:r>
      <w:r>
        <w:rPr>
          <w:sz w:val="18"/>
        </w:rPr>
        <w:t xml:space="preserve">Mayer, P. and W. DeOreo. 1999. </w:t>
      </w:r>
      <w:r>
        <w:rPr>
          <w:i/>
          <w:sz w:val="18"/>
        </w:rPr>
        <w:t xml:space="preserve">Residential End Uses of Water 1999, Subject Area: Water Resources. </w:t>
      </w:r>
      <w:r>
        <w:rPr>
          <w:sz w:val="18"/>
        </w:rPr>
        <w:t>Denver, CO: American Water Works Association (AWWA) Research Foundation. Page 99.</w:t>
      </w:r>
    </w:p>
    <w:p w14:paraId="528B3DD4" w14:textId="77777777" w:rsidR="0081013A" w:rsidRDefault="0081013A">
      <w:pPr>
        <w:rPr>
          <w:sz w:val="18"/>
        </w:rPr>
        <w:sectPr w:rsidR="0081013A">
          <w:pgSz w:w="12240" w:h="15840"/>
          <w:pgMar w:top="1220" w:right="1120" w:bottom="1320" w:left="1320" w:header="858" w:footer="1129" w:gutter="0"/>
          <w:cols w:space="720"/>
        </w:sectPr>
      </w:pPr>
    </w:p>
    <w:p w14:paraId="528B3DD5" w14:textId="77777777" w:rsidR="0081013A" w:rsidRDefault="0081013A">
      <w:pPr>
        <w:pStyle w:val="BodyText"/>
        <w:rPr>
          <w:sz w:val="20"/>
        </w:rPr>
      </w:pPr>
    </w:p>
    <w:p w14:paraId="528B3DD6" w14:textId="77777777" w:rsidR="0081013A" w:rsidRPr="00E45C18" w:rsidRDefault="004D3D43">
      <w:pPr>
        <w:spacing w:before="59"/>
        <w:ind w:left="120"/>
        <w:rPr>
          <w:b/>
          <w:bCs/>
          <w:sz w:val="20"/>
        </w:rPr>
      </w:pPr>
      <w:r w:rsidRPr="00E45C18">
        <w:rPr>
          <w:b/>
          <w:bCs/>
          <w:sz w:val="20"/>
        </w:rPr>
        <w:t>Normalization Factor Inputs</w:t>
      </w:r>
    </w:p>
    <w:p w14:paraId="528B3DD7" w14:textId="77777777" w:rsidR="0081013A" w:rsidRDefault="0081013A">
      <w:pPr>
        <w:pStyle w:val="BodyText"/>
        <w:spacing w:before="2"/>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426"/>
        <w:gridCol w:w="1440"/>
        <w:gridCol w:w="1440"/>
        <w:gridCol w:w="4176"/>
      </w:tblGrid>
      <w:tr w:rsidR="0081013A" w14:paraId="528B3DDF" w14:textId="77777777">
        <w:trPr>
          <w:trHeight w:val="489"/>
        </w:trPr>
        <w:tc>
          <w:tcPr>
            <w:tcW w:w="2426" w:type="dxa"/>
            <w:shd w:val="clear" w:color="auto" w:fill="F1F1F1"/>
          </w:tcPr>
          <w:p w14:paraId="528B3DD8" w14:textId="77777777" w:rsidR="0081013A" w:rsidRPr="00535222" w:rsidRDefault="0081013A">
            <w:pPr>
              <w:pStyle w:val="TableParagraph"/>
              <w:spacing w:before="2"/>
              <w:rPr>
                <w:b/>
                <w:bCs/>
                <w:sz w:val="20"/>
              </w:rPr>
            </w:pPr>
          </w:p>
          <w:p w14:paraId="528B3DD9" w14:textId="77777777" w:rsidR="0081013A" w:rsidRPr="00535222" w:rsidRDefault="004D3D43">
            <w:pPr>
              <w:pStyle w:val="TableParagraph"/>
              <w:spacing w:line="223" w:lineRule="exact"/>
              <w:ind w:left="796"/>
              <w:rPr>
                <w:b/>
                <w:bCs/>
                <w:sz w:val="20"/>
              </w:rPr>
            </w:pPr>
            <w:r w:rsidRPr="00535222">
              <w:rPr>
                <w:b/>
                <w:bCs/>
                <w:sz w:val="20"/>
              </w:rPr>
              <w:t>Parameter</w:t>
            </w:r>
          </w:p>
        </w:tc>
        <w:tc>
          <w:tcPr>
            <w:tcW w:w="1440" w:type="dxa"/>
            <w:shd w:val="clear" w:color="auto" w:fill="F1F1F1"/>
          </w:tcPr>
          <w:p w14:paraId="528B3DDA" w14:textId="77777777" w:rsidR="0081013A" w:rsidRPr="00535222" w:rsidRDefault="0081013A">
            <w:pPr>
              <w:pStyle w:val="TableParagraph"/>
              <w:spacing w:before="2"/>
              <w:rPr>
                <w:b/>
                <w:bCs/>
                <w:sz w:val="20"/>
              </w:rPr>
            </w:pPr>
          </w:p>
          <w:p w14:paraId="528B3DDB" w14:textId="77777777" w:rsidR="0081013A" w:rsidRPr="00535222" w:rsidRDefault="004D3D43">
            <w:pPr>
              <w:pStyle w:val="TableParagraph"/>
              <w:spacing w:line="223" w:lineRule="exact"/>
              <w:ind w:left="206"/>
              <w:rPr>
                <w:b/>
                <w:bCs/>
                <w:sz w:val="20"/>
              </w:rPr>
            </w:pPr>
            <w:r w:rsidRPr="00535222">
              <w:rPr>
                <w:b/>
                <w:bCs/>
                <w:sz w:val="20"/>
              </w:rPr>
              <w:t>Single Family</w:t>
            </w:r>
          </w:p>
        </w:tc>
        <w:tc>
          <w:tcPr>
            <w:tcW w:w="1440" w:type="dxa"/>
            <w:shd w:val="clear" w:color="auto" w:fill="F1F1F1"/>
          </w:tcPr>
          <w:p w14:paraId="528B3DDC" w14:textId="77777777" w:rsidR="0081013A" w:rsidRPr="00535222" w:rsidRDefault="004D3D43">
            <w:pPr>
              <w:pStyle w:val="TableParagraph"/>
              <w:spacing w:before="1" w:line="240" w:lineRule="atLeast"/>
              <w:ind w:left="180" w:firstLine="28"/>
              <w:rPr>
                <w:b/>
                <w:bCs/>
                <w:sz w:val="20"/>
              </w:rPr>
            </w:pPr>
            <w:r w:rsidRPr="00535222">
              <w:rPr>
                <w:b/>
                <w:bCs/>
                <w:sz w:val="20"/>
              </w:rPr>
              <w:t>Multifamily / Mobile Home</w:t>
            </w:r>
          </w:p>
        </w:tc>
        <w:tc>
          <w:tcPr>
            <w:tcW w:w="4176" w:type="dxa"/>
            <w:shd w:val="clear" w:color="auto" w:fill="F1F1F1"/>
          </w:tcPr>
          <w:p w14:paraId="528B3DDD" w14:textId="77777777" w:rsidR="0081013A" w:rsidRPr="00535222" w:rsidRDefault="0081013A">
            <w:pPr>
              <w:pStyle w:val="TableParagraph"/>
              <w:spacing w:before="1"/>
              <w:rPr>
                <w:b/>
                <w:bCs/>
              </w:rPr>
            </w:pPr>
          </w:p>
          <w:p w14:paraId="528B3DDE" w14:textId="77777777" w:rsidR="0081013A" w:rsidRPr="00535222" w:rsidRDefault="004D3D43">
            <w:pPr>
              <w:pStyle w:val="TableParagraph"/>
              <w:spacing w:line="199" w:lineRule="exact"/>
              <w:ind w:left="1817" w:right="1812"/>
              <w:jc w:val="center"/>
              <w:rPr>
                <w:b/>
                <w:bCs/>
                <w:sz w:val="18"/>
              </w:rPr>
            </w:pPr>
            <w:r w:rsidRPr="00535222">
              <w:rPr>
                <w:b/>
                <w:bCs/>
                <w:sz w:val="18"/>
              </w:rPr>
              <w:t>Source</w:t>
            </w:r>
          </w:p>
        </w:tc>
      </w:tr>
      <w:tr w:rsidR="0081013A" w14:paraId="528B3DF0" w14:textId="77777777">
        <w:trPr>
          <w:trHeight w:val="1977"/>
        </w:trPr>
        <w:tc>
          <w:tcPr>
            <w:tcW w:w="2426" w:type="dxa"/>
          </w:tcPr>
          <w:p w14:paraId="528B3DE0" w14:textId="77777777" w:rsidR="0081013A" w:rsidRDefault="0081013A">
            <w:pPr>
              <w:pStyle w:val="TableParagraph"/>
              <w:rPr>
                <w:sz w:val="20"/>
              </w:rPr>
            </w:pPr>
          </w:p>
          <w:p w14:paraId="528B3DE1" w14:textId="77777777" w:rsidR="0081013A" w:rsidRDefault="0081013A">
            <w:pPr>
              <w:pStyle w:val="TableParagraph"/>
              <w:rPr>
                <w:sz w:val="20"/>
              </w:rPr>
            </w:pPr>
          </w:p>
          <w:p w14:paraId="528B3DE2" w14:textId="77777777" w:rsidR="0081013A" w:rsidRDefault="0081013A">
            <w:pPr>
              <w:pStyle w:val="TableParagraph"/>
              <w:rPr>
                <w:sz w:val="21"/>
              </w:rPr>
            </w:pPr>
          </w:p>
          <w:p w14:paraId="528B3DE3" w14:textId="77777777" w:rsidR="0081013A" w:rsidRDefault="004D3D43">
            <w:pPr>
              <w:pStyle w:val="TableParagraph"/>
              <w:ind w:left="115" w:right="271"/>
              <w:rPr>
                <w:sz w:val="20"/>
              </w:rPr>
            </w:pPr>
            <w:r>
              <w:rPr>
                <w:sz w:val="20"/>
              </w:rPr>
              <w:t>Shower gpd/household (DEER assumption/NREL)</w:t>
            </w:r>
          </w:p>
        </w:tc>
        <w:tc>
          <w:tcPr>
            <w:tcW w:w="1440" w:type="dxa"/>
          </w:tcPr>
          <w:p w14:paraId="528B3DE4" w14:textId="77777777" w:rsidR="0081013A" w:rsidRDefault="0081013A">
            <w:pPr>
              <w:pStyle w:val="TableParagraph"/>
              <w:rPr>
                <w:sz w:val="20"/>
              </w:rPr>
            </w:pPr>
          </w:p>
          <w:p w14:paraId="528B3DE5" w14:textId="77777777" w:rsidR="0081013A" w:rsidRDefault="0081013A">
            <w:pPr>
              <w:pStyle w:val="TableParagraph"/>
              <w:rPr>
                <w:sz w:val="20"/>
              </w:rPr>
            </w:pPr>
          </w:p>
          <w:p w14:paraId="528B3DE6" w14:textId="77777777" w:rsidR="0081013A" w:rsidRDefault="0081013A">
            <w:pPr>
              <w:pStyle w:val="TableParagraph"/>
              <w:rPr>
                <w:sz w:val="20"/>
              </w:rPr>
            </w:pPr>
          </w:p>
          <w:p w14:paraId="528B3DE7" w14:textId="77777777" w:rsidR="0081013A" w:rsidRDefault="004D3D43">
            <w:pPr>
              <w:pStyle w:val="TableParagraph"/>
              <w:spacing w:before="135"/>
              <w:ind w:right="107"/>
              <w:jc w:val="right"/>
              <w:rPr>
                <w:sz w:val="20"/>
              </w:rPr>
            </w:pPr>
            <w:r>
              <w:rPr>
                <w:w w:val="95"/>
                <w:sz w:val="20"/>
              </w:rPr>
              <w:t>28.01</w:t>
            </w:r>
          </w:p>
        </w:tc>
        <w:tc>
          <w:tcPr>
            <w:tcW w:w="1440" w:type="dxa"/>
          </w:tcPr>
          <w:p w14:paraId="528B3DE8" w14:textId="77777777" w:rsidR="0081013A" w:rsidRDefault="0081013A">
            <w:pPr>
              <w:pStyle w:val="TableParagraph"/>
              <w:rPr>
                <w:sz w:val="20"/>
              </w:rPr>
            </w:pPr>
          </w:p>
          <w:p w14:paraId="528B3DE9" w14:textId="77777777" w:rsidR="0081013A" w:rsidRDefault="0081013A">
            <w:pPr>
              <w:pStyle w:val="TableParagraph"/>
              <w:rPr>
                <w:sz w:val="20"/>
              </w:rPr>
            </w:pPr>
          </w:p>
          <w:p w14:paraId="528B3DEA" w14:textId="77777777" w:rsidR="0081013A" w:rsidRDefault="0081013A">
            <w:pPr>
              <w:pStyle w:val="TableParagraph"/>
              <w:rPr>
                <w:sz w:val="20"/>
              </w:rPr>
            </w:pPr>
          </w:p>
          <w:p w14:paraId="528B3DEB" w14:textId="77777777" w:rsidR="0081013A" w:rsidRDefault="004D3D43">
            <w:pPr>
              <w:pStyle w:val="TableParagraph"/>
              <w:spacing w:before="135"/>
              <w:ind w:right="107"/>
              <w:jc w:val="right"/>
              <w:rPr>
                <w:sz w:val="20"/>
              </w:rPr>
            </w:pPr>
            <w:r>
              <w:rPr>
                <w:w w:val="95"/>
                <w:sz w:val="20"/>
              </w:rPr>
              <w:t>23.34</w:t>
            </w:r>
          </w:p>
        </w:tc>
        <w:tc>
          <w:tcPr>
            <w:tcW w:w="4176" w:type="dxa"/>
          </w:tcPr>
          <w:p w14:paraId="528B3DEC" w14:textId="77777777" w:rsidR="0081013A" w:rsidRDefault="004D3D43">
            <w:pPr>
              <w:pStyle w:val="TableParagraph"/>
              <w:spacing w:before="1"/>
              <w:ind w:left="112" w:right="110"/>
              <w:rPr>
                <w:sz w:val="18"/>
              </w:rPr>
            </w:pPr>
            <w:r>
              <w:rPr>
                <w:sz w:val="18"/>
              </w:rPr>
              <w:t xml:space="preserve">Henron, H. and C. Engebrecht. 2010. </w:t>
            </w:r>
            <w:r>
              <w:rPr>
                <w:i/>
                <w:sz w:val="18"/>
              </w:rPr>
              <w:t xml:space="preserve">Building America House Simulation Protocols. </w:t>
            </w:r>
            <w:r>
              <w:rPr>
                <w:sz w:val="18"/>
              </w:rPr>
              <w:t>Prepared for the U.S. Department of Energy Building Technologies Program. Golden, CO: National Renewable Energy Laboratory (NREL). NREL Report Number TP-550-49426.</w:t>
            </w:r>
          </w:p>
          <w:p w14:paraId="528B3DED" w14:textId="77777777" w:rsidR="0081013A" w:rsidRDefault="0081013A">
            <w:pPr>
              <w:pStyle w:val="TableParagraph"/>
              <w:spacing w:before="11"/>
              <w:rPr>
                <w:sz w:val="17"/>
              </w:rPr>
            </w:pPr>
          </w:p>
          <w:p w14:paraId="528B3DEE" w14:textId="77777777" w:rsidR="0081013A" w:rsidRDefault="004D3D43">
            <w:pPr>
              <w:pStyle w:val="TableParagraph"/>
              <w:ind w:left="112" w:right="230"/>
              <w:rPr>
                <w:sz w:val="18"/>
              </w:rPr>
            </w:pPr>
            <w:r>
              <w:rPr>
                <w:sz w:val="18"/>
              </w:rPr>
              <w:t>California Public Utilities Commission (CPUC), Energy Division. 2013. “Workpaper Disposition for Water</w:t>
            </w:r>
          </w:p>
          <w:p w14:paraId="528B3DEF" w14:textId="77777777" w:rsidR="0081013A" w:rsidRDefault="004D3D43">
            <w:pPr>
              <w:pStyle w:val="TableParagraph"/>
              <w:spacing w:line="199" w:lineRule="exact"/>
              <w:ind w:left="112"/>
              <w:rPr>
                <w:sz w:val="18"/>
              </w:rPr>
            </w:pPr>
            <w:r>
              <w:rPr>
                <w:sz w:val="18"/>
              </w:rPr>
              <w:t>Fixtures.” February 22.</w:t>
            </w:r>
          </w:p>
        </w:tc>
      </w:tr>
      <w:tr w:rsidR="0081013A" w14:paraId="528B3DF6" w14:textId="77777777">
        <w:trPr>
          <w:trHeight w:val="441"/>
        </w:trPr>
        <w:tc>
          <w:tcPr>
            <w:tcW w:w="2426" w:type="dxa"/>
          </w:tcPr>
          <w:p w14:paraId="528B3DF1" w14:textId="77777777" w:rsidR="0081013A" w:rsidRDefault="004D3D43">
            <w:pPr>
              <w:pStyle w:val="TableParagraph"/>
              <w:spacing w:before="99"/>
              <w:ind w:left="115"/>
              <w:rPr>
                <w:sz w:val="20"/>
              </w:rPr>
            </w:pPr>
            <w:r>
              <w:rPr>
                <w:sz w:val="20"/>
              </w:rPr>
              <w:t>Shower gpd/household</w:t>
            </w:r>
          </w:p>
        </w:tc>
        <w:tc>
          <w:tcPr>
            <w:tcW w:w="1440" w:type="dxa"/>
          </w:tcPr>
          <w:p w14:paraId="528B3DF2" w14:textId="77777777" w:rsidR="0081013A" w:rsidRDefault="004D3D43">
            <w:pPr>
              <w:pStyle w:val="TableParagraph"/>
              <w:spacing w:before="99"/>
              <w:ind w:right="107"/>
              <w:jc w:val="right"/>
              <w:rPr>
                <w:sz w:val="20"/>
              </w:rPr>
            </w:pPr>
            <w:r>
              <w:rPr>
                <w:w w:val="95"/>
                <w:sz w:val="20"/>
              </w:rPr>
              <w:t>48.81</w:t>
            </w:r>
          </w:p>
        </w:tc>
        <w:tc>
          <w:tcPr>
            <w:tcW w:w="1440" w:type="dxa"/>
          </w:tcPr>
          <w:p w14:paraId="528B3DF3" w14:textId="77777777" w:rsidR="0081013A" w:rsidRDefault="004D3D43">
            <w:pPr>
              <w:pStyle w:val="TableParagraph"/>
              <w:spacing w:before="99"/>
              <w:ind w:right="107"/>
              <w:jc w:val="right"/>
              <w:rPr>
                <w:sz w:val="20"/>
              </w:rPr>
            </w:pPr>
            <w:r>
              <w:rPr>
                <w:w w:val="95"/>
                <w:sz w:val="20"/>
              </w:rPr>
              <w:t>33.27</w:t>
            </w:r>
          </w:p>
        </w:tc>
        <w:tc>
          <w:tcPr>
            <w:tcW w:w="4176" w:type="dxa"/>
          </w:tcPr>
          <w:p w14:paraId="528B3DF4" w14:textId="77777777" w:rsidR="0081013A" w:rsidRDefault="004D3D43">
            <w:pPr>
              <w:pStyle w:val="TableParagraph"/>
              <w:spacing w:before="1" w:line="219" w:lineRule="exact"/>
              <w:ind w:left="112"/>
              <w:rPr>
                <w:sz w:val="18"/>
              </w:rPr>
            </w:pPr>
            <w:r>
              <w:rPr>
                <w:sz w:val="18"/>
              </w:rPr>
              <w:t>Sempra Energy Utilities (SEU). 2012. “SEU 2009 ASW</w:t>
            </w:r>
          </w:p>
          <w:p w14:paraId="528B3DF5" w14:textId="77777777" w:rsidR="0081013A" w:rsidRDefault="004D3D43">
            <w:pPr>
              <w:pStyle w:val="TableParagraph"/>
              <w:spacing w:line="201" w:lineRule="exact"/>
              <w:ind w:left="112"/>
              <w:rPr>
                <w:sz w:val="18"/>
              </w:rPr>
            </w:pPr>
            <w:r>
              <w:rPr>
                <w:sz w:val="18"/>
              </w:rPr>
              <w:t>Data REDACTED.xlsx”.</w:t>
            </w:r>
          </w:p>
        </w:tc>
      </w:tr>
    </w:tbl>
    <w:p w14:paraId="528B3DF7" w14:textId="77777777" w:rsidR="0081013A" w:rsidRDefault="0081013A">
      <w:pPr>
        <w:pStyle w:val="BodyText"/>
        <w:rPr>
          <w:sz w:val="20"/>
        </w:rPr>
      </w:pPr>
    </w:p>
    <w:p w14:paraId="528B3DF8" w14:textId="77777777" w:rsidR="0081013A" w:rsidRDefault="0081013A">
      <w:pPr>
        <w:pStyle w:val="BodyText"/>
        <w:spacing w:before="5"/>
      </w:pPr>
    </w:p>
    <w:p w14:paraId="528B3DF9" w14:textId="77777777" w:rsidR="0081013A" w:rsidRDefault="004D3D43">
      <w:pPr>
        <w:spacing w:before="1"/>
        <w:ind w:left="120"/>
        <w:rPr>
          <w:sz w:val="24"/>
        </w:rPr>
      </w:pPr>
      <w:bookmarkStart w:id="24" w:name="Calculation_of_Gas_Unit_Energy_Savings"/>
      <w:bookmarkEnd w:id="24"/>
      <w:r>
        <w:rPr>
          <w:color w:val="CFAB79"/>
          <w:sz w:val="24"/>
        </w:rPr>
        <w:t>Calculation of Gas Unit Energy Savings</w:t>
      </w:r>
    </w:p>
    <w:p w14:paraId="528B3DFA" w14:textId="77777777" w:rsidR="0081013A" w:rsidRDefault="004D3D43">
      <w:pPr>
        <w:pStyle w:val="BodyText"/>
        <w:spacing w:before="114"/>
        <w:ind w:left="120" w:right="588"/>
      </w:pPr>
      <w:r>
        <w:t>The gas UES is based upon the estimated decrease in hot water usage as a result of the installation of a low-flow showerhead or flow control valve.</w:t>
      </w:r>
    </w:p>
    <w:p w14:paraId="528B3DFB" w14:textId="77777777" w:rsidR="0081013A" w:rsidRDefault="0081013A">
      <w:pPr>
        <w:sectPr w:rsidR="0081013A">
          <w:pgSz w:w="12240" w:h="15840"/>
          <w:pgMar w:top="1220" w:right="1120" w:bottom="1320" w:left="1320" w:header="858" w:footer="1129" w:gutter="0"/>
          <w:cols w:space="720"/>
        </w:sectPr>
      </w:pPr>
    </w:p>
    <w:p w14:paraId="528B3E07" w14:textId="77777777" w:rsidR="0081013A" w:rsidRDefault="0081013A">
      <w:pPr>
        <w:pStyle w:val="BodyText"/>
        <w:rPr>
          <w:rFonts w:ascii="Cambria Math"/>
          <w:sz w:val="20"/>
        </w:rPr>
      </w:pPr>
    </w:p>
    <w:p w14:paraId="528B3E08" w14:textId="08ED30AA" w:rsidR="0081013A" w:rsidRDefault="004A0AE2" w:rsidP="002C1AF7">
      <w:pPr>
        <w:pStyle w:val="BodyText"/>
        <w:spacing w:before="10"/>
        <w:ind w:firstLine="540"/>
        <w:rPr>
          <w:rFonts w:ascii="Cambria Math"/>
          <w:sz w:val="25"/>
        </w:rPr>
      </w:pPr>
      <m:oMath>
        <m:sSub>
          <m:sSubPr>
            <m:ctrlPr>
              <w:rPr>
                <w:rFonts w:ascii="Cambria Math" w:hAnsi="Cambria Math"/>
                <w:i/>
                <w:sz w:val="20"/>
                <w:szCs w:val="20"/>
              </w:rPr>
            </m:ctrlPr>
          </m:sSubPr>
          <m:e>
            <m:r>
              <w:rPr>
                <w:rFonts w:ascii="Cambria Math" w:hAnsi="Cambria Math"/>
                <w:sz w:val="20"/>
                <w:szCs w:val="20"/>
              </w:rPr>
              <m:t>UES</m:t>
            </m:r>
          </m:e>
          <m:sub>
            <m:r>
              <w:rPr>
                <w:rFonts w:ascii="Cambria Math" w:hAnsi="Cambria Math"/>
                <w:sz w:val="20"/>
                <w:szCs w:val="20"/>
              </w:rPr>
              <m:t>therms</m:t>
            </m:r>
          </m:sub>
        </m:sSub>
        <m:r>
          <w:rPr>
            <w:rFonts w:ascii="Cambria Math" w:hAnsi="Cambria Math"/>
            <w:sz w:val="20"/>
            <w:szCs w:val="20"/>
          </w:rPr>
          <m:t>=</m:t>
        </m:r>
        <m:d>
          <m:dPr>
            <m:begChr m:val="["/>
            <m:endChr m:val="]"/>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 xml:space="preserve">WS ×Cp ×WaterWeight × </m:t>
                </m:r>
                <m:d>
                  <m:dPr>
                    <m:ctrlPr>
                      <w:rPr>
                        <w:rFonts w:ascii="Cambria Math" w:hAnsi="Cambria Math"/>
                        <w:i/>
                        <w:sz w:val="20"/>
                        <w:szCs w:val="20"/>
                      </w:rPr>
                    </m:ctrlPr>
                  </m:dPr>
                  <m:e>
                    <m:f>
                      <m:fPr>
                        <m:ctrlPr>
                          <w:rPr>
                            <w:rFonts w:ascii="Cambria Math" w:hAnsi="Cambria Math"/>
                            <w:i/>
                            <w:sz w:val="20"/>
                            <w:szCs w:val="20"/>
                          </w:rPr>
                        </m:ctrlPr>
                      </m:fPr>
                      <m:num>
                        <m:r>
                          <w:rPr>
                            <w:rFonts w:ascii="Cambria Math" w:hAnsi="Cambria Math"/>
                            <w:sz w:val="20"/>
                            <w:szCs w:val="20"/>
                          </w:rPr>
                          <m:t>1 therm</m:t>
                        </m:r>
                      </m:num>
                      <m:den>
                        <m:r>
                          <w:rPr>
                            <w:rFonts w:ascii="Cambria Math" w:hAnsi="Cambria Math"/>
                            <w:sz w:val="20"/>
                            <w:szCs w:val="20"/>
                          </w:rPr>
                          <m:t>100,000 Btu</m:t>
                        </m:r>
                      </m:den>
                    </m:f>
                  </m:e>
                </m:d>
                <m:d>
                  <m:dPr>
                    <m:ctrlPr>
                      <w:rPr>
                        <w:rFonts w:ascii="Cambria Math" w:hAnsi="Cambria Math"/>
                        <w:i/>
                        <w:sz w:val="20"/>
                        <w:szCs w:val="20"/>
                      </w:rPr>
                    </m:ctrlPr>
                  </m:dPr>
                  <m:e>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mixed</m:t>
                        </m:r>
                      </m:sub>
                    </m:sSub>
                    <m:r>
                      <w:rPr>
                        <w:rFonts w:ascii="Cambria Math" w:hAnsi="Cambria Math"/>
                        <w:sz w:val="20"/>
                        <w:szCs w:val="20"/>
                      </w:rPr>
                      <m:t>-</m:t>
                    </m:r>
                    <m:sSub>
                      <m:sSubPr>
                        <m:ctrlPr>
                          <w:rPr>
                            <w:rFonts w:ascii="Cambria Math" w:hAnsi="Cambria Math"/>
                            <w:i/>
                            <w:sz w:val="20"/>
                            <w:szCs w:val="20"/>
                          </w:rPr>
                        </m:ctrlPr>
                      </m:sSubPr>
                      <m:e>
                        <m:r>
                          <w:rPr>
                            <w:rFonts w:ascii="Cambria Math" w:hAnsi="Cambria Math"/>
                            <w:sz w:val="20"/>
                            <w:szCs w:val="20"/>
                          </w:rPr>
                          <m:t>T</m:t>
                        </m:r>
                      </m:e>
                      <m:sub>
                        <m:r>
                          <w:rPr>
                            <w:rFonts w:ascii="Cambria Math" w:hAnsi="Cambria Math"/>
                            <w:sz w:val="20"/>
                            <w:szCs w:val="20"/>
                          </w:rPr>
                          <m:t>ground</m:t>
                        </m:r>
                      </m:sub>
                    </m:sSub>
                  </m:e>
                </m:d>
              </m:num>
              <m:den>
                <m:sSub>
                  <m:sSubPr>
                    <m:ctrlPr>
                      <w:rPr>
                        <w:rFonts w:ascii="Cambria Math" w:hAnsi="Cambria Math"/>
                        <w:i/>
                        <w:sz w:val="20"/>
                        <w:szCs w:val="20"/>
                      </w:rPr>
                    </m:ctrlPr>
                  </m:sSubPr>
                  <m:e>
                    <m:r>
                      <w:rPr>
                        <w:rFonts w:ascii="Cambria Math" w:hAnsi="Cambria Math"/>
                        <w:sz w:val="20"/>
                        <w:szCs w:val="20"/>
                      </w:rPr>
                      <m:t>EFF</m:t>
                    </m:r>
                  </m:e>
                  <m:sub>
                    <m:r>
                      <w:rPr>
                        <w:rFonts w:ascii="Cambria Math" w:hAnsi="Cambria Math"/>
                        <w:sz w:val="20"/>
                        <w:szCs w:val="20"/>
                      </w:rPr>
                      <m:t>gas</m:t>
                    </m:r>
                  </m:sub>
                </m:sSub>
              </m:den>
            </m:f>
          </m:e>
        </m:d>
      </m:oMath>
      <w:r w:rsidR="0047133D">
        <w:rPr>
          <w:rFonts w:ascii="Cambria Math"/>
          <w:sz w:val="25"/>
        </w:rPr>
        <w:t xml:space="preserve"> </w:t>
      </w:r>
    </w:p>
    <w:p w14:paraId="0E7090B9" w14:textId="77777777" w:rsidR="002C1AF7" w:rsidRDefault="002C1AF7" w:rsidP="002C1AF7">
      <w:pPr>
        <w:pStyle w:val="BodyText"/>
        <w:spacing w:before="10"/>
        <w:ind w:firstLine="540"/>
        <w:rPr>
          <w:rFonts w:ascii="Cambria Math"/>
          <w:sz w:val="25"/>
        </w:rPr>
      </w:pPr>
    </w:p>
    <w:p w14:paraId="528B3E09" w14:textId="77777777" w:rsidR="0081013A" w:rsidRDefault="004D3D43">
      <w:pPr>
        <w:tabs>
          <w:tab w:val="left" w:pos="3539"/>
        </w:tabs>
        <w:spacing w:before="67"/>
        <w:ind w:left="1560"/>
        <w:rPr>
          <w:rFonts w:ascii="Cambria Math"/>
          <w:i/>
          <w:sz w:val="19"/>
        </w:rPr>
      </w:pPr>
      <w:r>
        <w:rPr>
          <w:rFonts w:ascii="Cambria Math"/>
          <w:i/>
          <w:position w:val="1"/>
          <w:sz w:val="19"/>
        </w:rPr>
        <w:t>UES</w:t>
      </w:r>
      <w:r>
        <w:rPr>
          <w:rFonts w:ascii="Cambria Math"/>
          <w:i/>
          <w:sz w:val="12"/>
        </w:rPr>
        <w:t>therms</w:t>
      </w:r>
      <w:r>
        <w:rPr>
          <w:rFonts w:ascii="Cambria Math"/>
          <w:i/>
          <w:spacing w:val="5"/>
          <w:sz w:val="12"/>
        </w:rPr>
        <w:t xml:space="preserve"> </w:t>
      </w:r>
      <w:r>
        <w:rPr>
          <w:rFonts w:ascii="Cambria Math"/>
          <w:i/>
          <w:position w:val="1"/>
          <w:sz w:val="19"/>
        </w:rPr>
        <w:t>=</w:t>
      </w:r>
      <w:r>
        <w:rPr>
          <w:rFonts w:ascii="Cambria Math"/>
          <w:i/>
          <w:position w:val="1"/>
          <w:sz w:val="19"/>
        </w:rPr>
        <w:tab/>
        <w:t>Annual gas unit energy savings</w:t>
      </w:r>
      <w:r>
        <w:rPr>
          <w:rFonts w:ascii="Cambria Math"/>
          <w:i/>
          <w:spacing w:val="-32"/>
          <w:position w:val="1"/>
          <w:sz w:val="19"/>
        </w:rPr>
        <w:t xml:space="preserve"> </w:t>
      </w:r>
      <w:r>
        <w:rPr>
          <w:rFonts w:ascii="Cambria Math"/>
          <w:i/>
          <w:position w:val="1"/>
          <w:sz w:val="19"/>
        </w:rPr>
        <w:t>(therms/year)</w:t>
      </w:r>
    </w:p>
    <w:p w14:paraId="528B3E0A" w14:textId="77777777" w:rsidR="0081013A" w:rsidRDefault="004D3D43">
      <w:pPr>
        <w:tabs>
          <w:tab w:val="left" w:pos="3539"/>
        </w:tabs>
        <w:spacing w:before="18"/>
        <w:ind w:left="1559"/>
        <w:rPr>
          <w:rFonts w:ascii="Cambria Math"/>
          <w:i/>
          <w:sz w:val="19"/>
        </w:rPr>
      </w:pPr>
      <w:r>
        <w:rPr>
          <w:rFonts w:ascii="Cambria Math"/>
          <w:i/>
          <w:sz w:val="19"/>
        </w:rPr>
        <w:t>WS</w:t>
      </w:r>
      <w:r>
        <w:rPr>
          <w:rFonts w:ascii="Cambria Math"/>
          <w:i/>
          <w:spacing w:val="-8"/>
          <w:sz w:val="19"/>
        </w:rPr>
        <w:t xml:space="preserve"> </w:t>
      </w:r>
      <w:r>
        <w:rPr>
          <w:rFonts w:ascii="Cambria Math"/>
          <w:i/>
          <w:sz w:val="19"/>
        </w:rPr>
        <w:t>=</w:t>
      </w:r>
      <w:r>
        <w:rPr>
          <w:rFonts w:ascii="Cambria Math"/>
          <w:i/>
          <w:sz w:val="19"/>
        </w:rPr>
        <w:tab/>
        <w:t>Water</w:t>
      </w:r>
      <w:r>
        <w:rPr>
          <w:rFonts w:ascii="Cambria Math"/>
          <w:i/>
          <w:spacing w:val="-2"/>
          <w:sz w:val="19"/>
        </w:rPr>
        <w:t xml:space="preserve"> </w:t>
      </w:r>
      <w:r>
        <w:rPr>
          <w:rFonts w:ascii="Cambria Math"/>
          <w:i/>
          <w:sz w:val="19"/>
        </w:rPr>
        <w:t>savings</w:t>
      </w:r>
    </w:p>
    <w:p w14:paraId="528B3E0B" w14:textId="77777777" w:rsidR="0081013A" w:rsidRDefault="004D3D43">
      <w:pPr>
        <w:tabs>
          <w:tab w:val="left" w:pos="3539"/>
        </w:tabs>
        <w:spacing w:before="17" w:line="259" w:lineRule="auto"/>
        <w:ind w:left="1559" w:right="1829"/>
        <w:rPr>
          <w:rFonts w:ascii="Cambria Math" w:hAnsi="Cambria Math"/>
          <w:i/>
          <w:sz w:val="19"/>
        </w:rPr>
      </w:pPr>
      <w:r>
        <w:rPr>
          <w:rFonts w:ascii="Cambria Math" w:hAnsi="Cambria Math"/>
          <w:i/>
          <w:sz w:val="19"/>
        </w:rPr>
        <w:t>Cp</w:t>
      </w:r>
      <w:r>
        <w:rPr>
          <w:rFonts w:ascii="Cambria Math" w:hAnsi="Cambria Math"/>
          <w:i/>
          <w:spacing w:val="-7"/>
          <w:sz w:val="19"/>
        </w:rPr>
        <w:t xml:space="preserve"> </w:t>
      </w:r>
      <w:r>
        <w:rPr>
          <w:rFonts w:ascii="Cambria Math" w:hAnsi="Cambria Math"/>
          <w:i/>
          <w:sz w:val="19"/>
        </w:rPr>
        <w:t>=</w:t>
      </w:r>
      <w:r>
        <w:rPr>
          <w:rFonts w:ascii="Cambria Math" w:hAnsi="Cambria Math"/>
          <w:i/>
          <w:sz w:val="19"/>
        </w:rPr>
        <w:tab/>
      </w:r>
      <w:r>
        <w:rPr>
          <w:rFonts w:ascii="Cambria Math" w:hAnsi="Cambria Math"/>
          <w:i/>
          <w:w w:val="95"/>
          <w:sz w:val="19"/>
        </w:rPr>
        <w:t>Specific</w:t>
      </w:r>
      <w:r>
        <w:rPr>
          <w:rFonts w:ascii="Cambria Math" w:hAnsi="Cambria Math"/>
          <w:i/>
          <w:spacing w:val="-4"/>
          <w:w w:val="95"/>
          <w:sz w:val="19"/>
        </w:rPr>
        <w:t xml:space="preserve"> </w:t>
      </w:r>
      <w:r>
        <w:rPr>
          <w:rFonts w:ascii="Cambria Math" w:hAnsi="Cambria Math"/>
          <w:i/>
          <w:w w:val="95"/>
          <w:sz w:val="19"/>
        </w:rPr>
        <w:t>heat</w:t>
      </w:r>
      <w:r>
        <w:rPr>
          <w:rFonts w:ascii="Cambria Math" w:hAnsi="Cambria Math"/>
          <w:i/>
          <w:spacing w:val="-6"/>
          <w:w w:val="95"/>
          <w:sz w:val="19"/>
        </w:rPr>
        <w:t xml:space="preserve"> </w:t>
      </w:r>
      <w:r>
        <w:rPr>
          <w:rFonts w:ascii="Cambria Math" w:hAnsi="Cambria Math"/>
          <w:i/>
          <w:w w:val="95"/>
          <w:sz w:val="19"/>
        </w:rPr>
        <w:t>capacity</w:t>
      </w:r>
      <w:r>
        <w:rPr>
          <w:rFonts w:ascii="Cambria Math" w:hAnsi="Cambria Math"/>
          <w:i/>
          <w:spacing w:val="-6"/>
          <w:w w:val="95"/>
          <w:sz w:val="19"/>
        </w:rPr>
        <w:t xml:space="preserve"> </w:t>
      </w:r>
      <w:r>
        <w:rPr>
          <w:rFonts w:ascii="Cambria Math" w:hAnsi="Cambria Math"/>
          <w:i/>
          <w:w w:val="95"/>
          <w:sz w:val="19"/>
        </w:rPr>
        <w:t>of</w:t>
      </w:r>
      <w:r>
        <w:rPr>
          <w:rFonts w:ascii="Cambria Math" w:hAnsi="Cambria Math"/>
          <w:i/>
          <w:spacing w:val="-4"/>
          <w:w w:val="95"/>
          <w:sz w:val="19"/>
        </w:rPr>
        <w:t xml:space="preserve"> </w:t>
      </w:r>
      <w:r>
        <w:rPr>
          <w:rFonts w:ascii="Cambria Math" w:hAnsi="Cambria Math"/>
          <w:i/>
          <w:w w:val="95"/>
          <w:sz w:val="19"/>
        </w:rPr>
        <w:t>water</w:t>
      </w:r>
      <w:r>
        <w:rPr>
          <w:rFonts w:ascii="Cambria Math" w:hAnsi="Cambria Math"/>
          <w:i/>
          <w:spacing w:val="-5"/>
          <w:w w:val="95"/>
          <w:sz w:val="19"/>
        </w:rPr>
        <w:t xml:space="preserve"> </w:t>
      </w:r>
      <w:r>
        <w:rPr>
          <w:rFonts w:ascii="Cambria Math" w:hAnsi="Cambria Math"/>
          <w:i/>
          <w:w w:val="95"/>
          <w:sz w:val="19"/>
        </w:rPr>
        <w:t>(Btu/lb/°F),</w:t>
      </w:r>
      <w:r>
        <w:rPr>
          <w:rFonts w:ascii="Cambria Math" w:hAnsi="Cambria Math"/>
          <w:i/>
          <w:spacing w:val="-4"/>
          <w:w w:val="95"/>
          <w:sz w:val="19"/>
        </w:rPr>
        <w:t xml:space="preserve"> </w:t>
      </w:r>
      <w:r>
        <w:rPr>
          <w:rFonts w:ascii="Cambria Math" w:hAnsi="Cambria Math"/>
          <w:i/>
          <w:w w:val="95"/>
          <w:sz w:val="19"/>
        </w:rPr>
        <w:t>fixed</w:t>
      </w:r>
      <w:r>
        <w:rPr>
          <w:rFonts w:ascii="Cambria Math" w:hAnsi="Cambria Math"/>
          <w:i/>
          <w:spacing w:val="-4"/>
          <w:w w:val="95"/>
          <w:sz w:val="19"/>
        </w:rPr>
        <w:t xml:space="preserve"> </w:t>
      </w:r>
      <w:r>
        <w:rPr>
          <w:rFonts w:ascii="Cambria Math" w:hAnsi="Cambria Math"/>
          <w:i/>
          <w:w w:val="95"/>
          <w:sz w:val="19"/>
        </w:rPr>
        <w:t xml:space="preserve">constant </w:t>
      </w:r>
      <w:r>
        <w:rPr>
          <w:rFonts w:ascii="Cambria Math" w:hAnsi="Cambria Math"/>
          <w:i/>
          <w:sz w:val="19"/>
        </w:rPr>
        <w:t>WaterWeight</w:t>
      </w:r>
      <w:r>
        <w:rPr>
          <w:rFonts w:ascii="Cambria Math" w:hAnsi="Cambria Math"/>
          <w:i/>
          <w:spacing w:val="-21"/>
          <w:sz w:val="19"/>
        </w:rPr>
        <w:t xml:space="preserve"> </w:t>
      </w:r>
      <w:r>
        <w:rPr>
          <w:rFonts w:ascii="Cambria Math" w:hAnsi="Cambria Math"/>
          <w:i/>
          <w:sz w:val="19"/>
        </w:rPr>
        <w:t>=</w:t>
      </w:r>
      <w:r>
        <w:rPr>
          <w:rFonts w:ascii="Cambria Math" w:hAnsi="Cambria Math"/>
          <w:i/>
          <w:sz w:val="19"/>
        </w:rPr>
        <w:tab/>
        <w:t>Weight</w:t>
      </w:r>
      <w:r>
        <w:rPr>
          <w:rFonts w:ascii="Cambria Math" w:hAnsi="Cambria Math"/>
          <w:i/>
          <w:spacing w:val="-6"/>
          <w:sz w:val="19"/>
        </w:rPr>
        <w:t xml:space="preserve"> </w:t>
      </w:r>
      <w:r>
        <w:rPr>
          <w:rFonts w:ascii="Cambria Math" w:hAnsi="Cambria Math"/>
          <w:i/>
          <w:sz w:val="19"/>
        </w:rPr>
        <w:t>of</w:t>
      </w:r>
      <w:r>
        <w:rPr>
          <w:rFonts w:ascii="Cambria Math" w:hAnsi="Cambria Math"/>
          <w:i/>
          <w:spacing w:val="-5"/>
          <w:sz w:val="19"/>
        </w:rPr>
        <w:t xml:space="preserve"> </w:t>
      </w:r>
      <w:r>
        <w:rPr>
          <w:rFonts w:ascii="Cambria Math" w:hAnsi="Cambria Math"/>
          <w:i/>
          <w:sz w:val="19"/>
        </w:rPr>
        <w:t>water</w:t>
      </w:r>
      <w:r>
        <w:rPr>
          <w:rFonts w:ascii="Cambria Math" w:hAnsi="Cambria Math"/>
          <w:i/>
          <w:spacing w:val="-8"/>
          <w:sz w:val="19"/>
        </w:rPr>
        <w:t xml:space="preserve"> </w:t>
      </w:r>
      <w:r>
        <w:rPr>
          <w:rFonts w:ascii="Cambria Math" w:hAnsi="Cambria Math"/>
          <w:i/>
          <w:sz w:val="19"/>
        </w:rPr>
        <w:t>(lb/gal),</w:t>
      </w:r>
      <w:r>
        <w:rPr>
          <w:rFonts w:ascii="Cambria Math" w:hAnsi="Cambria Math"/>
          <w:i/>
          <w:spacing w:val="-7"/>
          <w:sz w:val="19"/>
        </w:rPr>
        <w:t xml:space="preserve"> </w:t>
      </w:r>
      <w:r>
        <w:rPr>
          <w:rFonts w:ascii="Cambria Math" w:hAnsi="Cambria Math"/>
          <w:i/>
          <w:sz w:val="19"/>
        </w:rPr>
        <w:t>fixed</w:t>
      </w:r>
      <w:r>
        <w:rPr>
          <w:rFonts w:ascii="Cambria Math" w:hAnsi="Cambria Math"/>
          <w:i/>
          <w:spacing w:val="-9"/>
          <w:sz w:val="19"/>
        </w:rPr>
        <w:t xml:space="preserve"> </w:t>
      </w:r>
      <w:r>
        <w:rPr>
          <w:rFonts w:ascii="Cambria Math" w:hAnsi="Cambria Math"/>
          <w:i/>
          <w:sz w:val="19"/>
        </w:rPr>
        <w:t>constant</w:t>
      </w:r>
    </w:p>
    <w:p w14:paraId="528B3E0C" w14:textId="77777777" w:rsidR="0081013A" w:rsidRDefault="004D3D43">
      <w:pPr>
        <w:tabs>
          <w:tab w:val="left" w:pos="3540"/>
        </w:tabs>
        <w:spacing w:line="221" w:lineRule="exact"/>
        <w:ind w:left="1559"/>
        <w:rPr>
          <w:rFonts w:ascii="Cambria Math" w:hAnsi="Cambria Math"/>
          <w:i/>
          <w:sz w:val="19"/>
        </w:rPr>
      </w:pPr>
      <w:r>
        <w:rPr>
          <w:rFonts w:ascii="Cambria Math" w:hAnsi="Cambria Math"/>
          <w:i/>
          <w:position w:val="1"/>
          <w:sz w:val="19"/>
        </w:rPr>
        <w:t>T</w:t>
      </w:r>
      <w:r>
        <w:rPr>
          <w:rFonts w:ascii="Cambria Math" w:hAnsi="Cambria Math"/>
          <w:i/>
          <w:sz w:val="12"/>
        </w:rPr>
        <w:t>mixed</w:t>
      </w:r>
      <w:r>
        <w:rPr>
          <w:rFonts w:ascii="Cambria Math" w:hAnsi="Cambria Math"/>
          <w:i/>
          <w:spacing w:val="9"/>
          <w:sz w:val="12"/>
        </w:rPr>
        <w:t xml:space="preserve"> </w:t>
      </w:r>
      <w:r>
        <w:rPr>
          <w:rFonts w:ascii="Cambria Math" w:hAnsi="Cambria Math"/>
          <w:i/>
          <w:position w:val="1"/>
          <w:sz w:val="19"/>
        </w:rPr>
        <w:t>=</w:t>
      </w:r>
      <w:r>
        <w:rPr>
          <w:rFonts w:ascii="Cambria Math" w:hAnsi="Cambria Math"/>
          <w:i/>
          <w:position w:val="1"/>
          <w:sz w:val="19"/>
        </w:rPr>
        <w:tab/>
      </w:r>
      <w:r>
        <w:rPr>
          <w:rFonts w:ascii="Cambria Math" w:hAnsi="Cambria Math"/>
          <w:i/>
          <w:w w:val="95"/>
          <w:position w:val="1"/>
          <w:sz w:val="19"/>
        </w:rPr>
        <w:t>Mixed water temperature, at faucet</w:t>
      </w:r>
      <w:r>
        <w:rPr>
          <w:rFonts w:ascii="Cambria Math" w:hAnsi="Cambria Math"/>
          <w:i/>
          <w:spacing w:val="-26"/>
          <w:w w:val="95"/>
          <w:position w:val="1"/>
          <w:sz w:val="19"/>
        </w:rPr>
        <w:t xml:space="preserve"> </w:t>
      </w:r>
      <w:r>
        <w:rPr>
          <w:rFonts w:ascii="Cambria Math" w:hAnsi="Cambria Math"/>
          <w:i/>
          <w:w w:val="95"/>
          <w:position w:val="1"/>
          <w:sz w:val="19"/>
        </w:rPr>
        <w:t>(°F)</w:t>
      </w:r>
    </w:p>
    <w:p w14:paraId="528B3E0D" w14:textId="77777777" w:rsidR="0081013A" w:rsidRDefault="004D3D43">
      <w:pPr>
        <w:tabs>
          <w:tab w:val="left" w:pos="3540"/>
        </w:tabs>
        <w:spacing w:before="17"/>
        <w:ind w:left="1560"/>
        <w:rPr>
          <w:rFonts w:ascii="Cambria Math" w:hAnsi="Cambria Math"/>
          <w:i/>
          <w:sz w:val="19"/>
        </w:rPr>
      </w:pPr>
      <w:r>
        <w:rPr>
          <w:rFonts w:ascii="Cambria Math" w:hAnsi="Cambria Math"/>
          <w:i/>
          <w:position w:val="1"/>
          <w:sz w:val="19"/>
        </w:rPr>
        <w:t>T</w:t>
      </w:r>
      <w:r>
        <w:rPr>
          <w:rFonts w:ascii="Cambria Math" w:hAnsi="Cambria Math"/>
          <w:i/>
          <w:sz w:val="12"/>
        </w:rPr>
        <w:t>ground</w:t>
      </w:r>
      <w:r>
        <w:rPr>
          <w:rFonts w:ascii="Cambria Math" w:hAnsi="Cambria Math"/>
          <w:i/>
          <w:spacing w:val="8"/>
          <w:sz w:val="12"/>
        </w:rPr>
        <w:t xml:space="preserve"> </w:t>
      </w:r>
      <w:r>
        <w:rPr>
          <w:rFonts w:ascii="Cambria Math" w:hAnsi="Cambria Math"/>
          <w:i/>
          <w:position w:val="1"/>
          <w:sz w:val="19"/>
        </w:rPr>
        <w:t>=</w:t>
      </w:r>
      <w:r>
        <w:rPr>
          <w:rFonts w:ascii="Cambria Math" w:hAnsi="Cambria Math"/>
          <w:i/>
          <w:position w:val="1"/>
          <w:sz w:val="19"/>
        </w:rPr>
        <w:tab/>
        <w:t>Make-up groundwater temperature,</w:t>
      </w:r>
      <w:r>
        <w:rPr>
          <w:rFonts w:ascii="Cambria Math" w:hAnsi="Cambria Math"/>
          <w:i/>
          <w:spacing w:val="-14"/>
          <w:position w:val="1"/>
          <w:sz w:val="19"/>
        </w:rPr>
        <w:t xml:space="preserve"> </w:t>
      </w:r>
      <w:r>
        <w:rPr>
          <w:rFonts w:ascii="Cambria Math" w:hAnsi="Cambria Math"/>
          <w:i/>
          <w:position w:val="1"/>
          <w:sz w:val="19"/>
        </w:rPr>
        <w:t>(°F)</w:t>
      </w:r>
    </w:p>
    <w:p w14:paraId="528B3E0E" w14:textId="77777777" w:rsidR="0081013A" w:rsidRDefault="004D3D43">
      <w:pPr>
        <w:tabs>
          <w:tab w:val="left" w:pos="3539"/>
        </w:tabs>
        <w:spacing w:before="18"/>
        <w:ind w:left="1560"/>
        <w:rPr>
          <w:rFonts w:ascii="Cambria Math"/>
          <w:i/>
          <w:sz w:val="19"/>
        </w:rPr>
      </w:pPr>
      <w:r>
        <w:rPr>
          <w:rFonts w:ascii="Cambria Math"/>
          <w:i/>
          <w:position w:val="1"/>
          <w:sz w:val="19"/>
        </w:rPr>
        <w:t>EFF</w:t>
      </w:r>
      <w:r>
        <w:rPr>
          <w:rFonts w:ascii="Cambria Math"/>
          <w:i/>
          <w:sz w:val="12"/>
        </w:rPr>
        <w:t>gas</w:t>
      </w:r>
      <w:r>
        <w:rPr>
          <w:rFonts w:ascii="Cambria Math"/>
          <w:i/>
          <w:spacing w:val="5"/>
          <w:sz w:val="12"/>
        </w:rPr>
        <w:t xml:space="preserve"> </w:t>
      </w:r>
      <w:r>
        <w:rPr>
          <w:rFonts w:ascii="Cambria Math"/>
          <w:i/>
          <w:position w:val="1"/>
          <w:sz w:val="19"/>
        </w:rPr>
        <w:t>=</w:t>
      </w:r>
      <w:r>
        <w:rPr>
          <w:rFonts w:ascii="Cambria Math"/>
          <w:i/>
          <w:position w:val="1"/>
          <w:sz w:val="19"/>
        </w:rPr>
        <w:tab/>
        <w:t>Water heater efficiency, gas (recovery</w:t>
      </w:r>
      <w:r>
        <w:rPr>
          <w:rFonts w:ascii="Cambria Math"/>
          <w:i/>
          <w:spacing w:val="-29"/>
          <w:position w:val="1"/>
          <w:sz w:val="19"/>
        </w:rPr>
        <w:t xml:space="preserve"> </w:t>
      </w:r>
      <w:r>
        <w:rPr>
          <w:rFonts w:ascii="Cambria Math"/>
          <w:i/>
          <w:position w:val="1"/>
          <w:sz w:val="19"/>
        </w:rPr>
        <w:t>efficiency)</w:t>
      </w:r>
    </w:p>
    <w:p w14:paraId="528B3E0F" w14:textId="77777777" w:rsidR="0081013A" w:rsidRDefault="0081013A">
      <w:pPr>
        <w:pStyle w:val="BodyText"/>
        <w:rPr>
          <w:rFonts w:ascii="Cambria Math"/>
          <w:i/>
          <w:sz w:val="18"/>
        </w:rPr>
      </w:pPr>
    </w:p>
    <w:p w14:paraId="528B3E10" w14:textId="77777777" w:rsidR="0081013A" w:rsidRDefault="0081013A">
      <w:pPr>
        <w:pStyle w:val="BodyText"/>
        <w:rPr>
          <w:rFonts w:ascii="Cambria Math"/>
          <w:i/>
          <w:sz w:val="25"/>
        </w:rPr>
      </w:pPr>
    </w:p>
    <w:p w14:paraId="528B3E11" w14:textId="77777777" w:rsidR="0081013A" w:rsidRDefault="004D3D43">
      <w:pPr>
        <w:pStyle w:val="BodyText"/>
        <w:ind w:left="119" w:right="644"/>
      </w:pPr>
      <w:r>
        <w:t>The inputs and assumptions used in these equations are specified below. Refer to the Electric Savings section for explanation of the fuel-neutral inputs. Additional explanation of the inputs that are specific only to natural gas follows.</w:t>
      </w:r>
    </w:p>
    <w:p w14:paraId="528B3E12" w14:textId="77777777" w:rsidR="0081013A" w:rsidRDefault="0081013A">
      <w:pPr>
        <w:pStyle w:val="BodyText"/>
        <w:spacing w:before="3"/>
        <w:rPr>
          <w:sz w:val="23"/>
        </w:rPr>
      </w:pPr>
    </w:p>
    <w:p w14:paraId="528B3E13" w14:textId="77777777" w:rsidR="0081013A" w:rsidRPr="00C076E8" w:rsidRDefault="004D3D43">
      <w:pPr>
        <w:ind w:left="120"/>
        <w:rPr>
          <w:b/>
          <w:bCs/>
          <w:sz w:val="20"/>
        </w:rPr>
      </w:pPr>
      <w:r w:rsidRPr="00C076E8">
        <w:rPr>
          <w:b/>
          <w:bCs/>
          <w:sz w:val="20"/>
        </w:rPr>
        <w:t>Gas UES Inputs</w:t>
      </w:r>
    </w:p>
    <w:p w14:paraId="528B3E14" w14:textId="77777777" w:rsidR="0081013A" w:rsidRDefault="0081013A">
      <w:pPr>
        <w:pStyle w:val="BodyText"/>
        <w:spacing w:before="3"/>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355"/>
        <w:gridCol w:w="1231"/>
        <w:gridCol w:w="3629"/>
      </w:tblGrid>
      <w:tr w:rsidR="0081013A" w14:paraId="528B3E18" w14:textId="77777777">
        <w:trPr>
          <w:trHeight w:val="261"/>
        </w:trPr>
        <w:tc>
          <w:tcPr>
            <w:tcW w:w="3355" w:type="dxa"/>
            <w:shd w:val="clear" w:color="auto" w:fill="F1F1F1"/>
          </w:tcPr>
          <w:p w14:paraId="528B3E15" w14:textId="77777777" w:rsidR="0081013A" w:rsidRPr="00535222" w:rsidRDefault="004D3D43">
            <w:pPr>
              <w:pStyle w:val="TableParagraph"/>
              <w:spacing w:before="18" w:line="223" w:lineRule="exact"/>
              <w:ind w:left="115"/>
              <w:rPr>
                <w:b/>
                <w:bCs/>
                <w:sz w:val="20"/>
              </w:rPr>
            </w:pPr>
            <w:r w:rsidRPr="00535222">
              <w:rPr>
                <w:b/>
                <w:bCs/>
                <w:sz w:val="20"/>
              </w:rPr>
              <w:t>Parameter</w:t>
            </w:r>
          </w:p>
        </w:tc>
        <w:tc>
          <w:tcPr>
            <w:tcW w:w="1231" w:type="dxa"/>
            <w:shd w:val="clear" w:color="auto" w:fill="F1F1F1"/>
          </w:tcPr>
          <w:p w14:paraId="528B3E16" w14:textId="77777777" w:rsidR="0081013A" w:rsidRPr="00535222" w:rsidRDefault="004D3D43">
            <w:pPr>
              <w:pStyle w:val="TableParagraph"/>
              <w:spacing w:before="18" w:line="223" w:lineRule="exact"/>
              <w:ind w:left="115"/>
              <w:rPr>
                <w:b/>
                <w:bCs/>
                <w:sz w:val="20"/>
              </w:rPr>
            </w:pPr>
            <w:r w:rsidRPr="00535222">
              <w:rPr>
                <w:b/>
                <w:bCs/>
                <w:sz w:val="20"/>
              </w:rPr>
              <w:t>Value</w:t>
            </w:r>
          </w:p>
        </w:tc>
        <w:tc>
          <w:tcPr>
            <w:tcW w:w="3629" w:type="dxa"/>
            <w:shd w:val="clear" w:color="auto" w:fill="F1F1F1"/>
          </w:tcPr>
          <w:p w14:paraId="528B3E17" w14:textId="77777777" w:rsidR="0081013A" w:rsidRPr="00535222" w:rsidRDefault="004D3D43">
            <w:pPr>
              <w:pStyle w:val="TableParagraph"/>
              <w:spacing w:before="18" w:line="223" w:lineRule="exact"/>
              <w:ind w:left="112"/>
              <w:rPr>
                <w:b/>
                <w:bCs/>
                <w:sz w:val="20"/>
              </w:rPr>
            </w:pPr>
            <w:r w:rsidRPr="00535222">
              <w:rPr>
                <w:b/>
                <w:bCs/>
                <w:sz w:val="20"/>
              </w:rPr>
              <w:t>Source</w:t>
            </w:r>
          </w:p>
        </w:tc>
      </w:tr>
      <w:tr w:rsidR="0081013A" w14:paraId="528B3E1C" w14:textId="77777777">
        <w:trPr>
          <w:trHeight w:val="489"/>
        </w:trPr>
        <w:tc>
          <w:tcPr>
            <w:tcW w:w="3355" w:type="dxa"/>
          </w:tcPr>
          <w:p w14:paraId="528B3E19" w14:textId="77777777" w:rsidR="0081013A" w:rsidRDefault="004D3D43">
            <w:pPr>
              <w:pStyle w:val="TableParagraph"/>
              <w:spacing w:before="1" w:line="240" w:lineRule="atLeast"/>
              <w:ind w:left="115" w:right="685"/>
              <w:rPr>
                <w:sz w:val="20"/>
              </w:rPr>
            </w:pPr>
            <w:r>
              <w:rPr>
                <w:sz w:val="20"/>
              </w:rPr>
              <w:t>Specific Heat Capacity of Water (Btu/lb/°F)</w:t>
            </w:r>
          </w:p>
        </w:tc>
        <w:tc>
          <w:tcPr>
            <w:tcW w:w="1231" w:type="dxa"/>
          </w:tcPr>
          <w:p w14:paraId="528B3E1A" w14:textId="77777777" w:rsidR="0081013A" w:rsidRDefault="004D3D43">
            <w:pPr>
              <w:pStyle w:val="TableParagraph"/>
              <w:spacing w:before="123"/>
              <w:ind w:right="105"/>
              <w:jc w:val="right"/>
              <w:rPr>
                <w:sz w:val="20"/>
              </w:rPr>
            </w:pPr>
            <w:r>
              <w:rPr>
                <w:w w:val="99"/>
                <w:sz w:val="20"/>
              </w:rPr>
              <w:t>1</w:t>
            </w:r>
          </w:p>
        </w:tc>
        <w:tc>
          <w:tcPr>
            <w:tcW w:w="3629" w:type="dxa"/>
          </w:tcPr>
          <w:p w14:paraId="528B3E1B" w14:textId="77777777" w:rsidR="0081013A" w:rsidRDefault="004D3D43">
            <w:pPr>
              <w:pStyle w:val="TableParagraph"/>
              <w:spacing w:before="135"/>
              <w:ind w:left="112"/>
              <w:rPr>
                <w:sz w:val="18"/>
              </w:rPr>
            </w:pPr>
            <w:r>
              <w:rPr>
                <w:sz w:val="18"/>
              </w:rPr>
              <w:t>Fixed constant</w:t>
            </w:r>
          </w:p>
        </w:tc>
      </w:tr>
      <w:tr w:rsidR="0081013A" w14:paraId="528B3E20" w14:textId="77777777">
        <w:trPr>
          <w:trHeight w:val="258"/>
        </w:trPr>
        <w:tc>
          <w:tcPr>
            <w:tcW w:w="3355" w:type="dxa"/>
          </w:tcPr>
          <w:p w14:paraId="528B3E1D" w14:textId="77777777" w:rsidR="0081013A" w:rsidRDefault="004D3D43">
            <w:pPr>
              <w:pStyle w:val="TableParagraph"/>
              <w:spacing w:before="8" w:line="230" w:lineRule="exact"/>
              <w:ind w:left="115"/>
              <w:rPr>
                <w:sz w:val="20"/>
              </w:rPr>
            </w:pPr>
            <w:r>
              <w:rPr>
                <w:sz w:val="20"/>
              </w:rPr>
              <w:t>Water Weight (lb/gal)</w:t>
            </w:r>
          </w:p>
        </w:tc>
        <w:tc>
          <w:tcPr>
            <w:tcW w:w="1231" w:type="dxa"/>
          </w:tcPr>
          <w:p w14:paraId="528B3E1E" w14:textId="77777777" w:rsidR="0081013A" w:rsidRDefault="004D3D43">
            <w:pPr>
              <w:pStyle w:val="TableParagraph"/>
              <w:spacing w:before="8" w:line="230" w:lineRule="exact"/>
              <w:ind w:right="107"/>
              <w:jc w:val="right"/>
              <w:rPr>
                <w:sz w:val="20"/>
              </w:rPr>
            </w:pPr>
            <w:r>
              <w:rPr>
                <w:w w:val="95"/>
                <w:sz w:val="20"/>
              </w:rPr>
              <w:t>8.34</w:t>
            </w:r>
          </w:p>
        </w:tc>
        <w:tc>
          <w:tcPr>
            <w:tcW w:w="3629" w:type="dxa"/>
          </w:tcPr>
          <w:p w14:paraId="528B3E1F" w14:textId="77777777" w:rsidR="0081013A" w:rsidRDefault="004D3D43">
            <w:pPr>
              <w:pStyle w:val="TableParagraph"/>
              <w:spacing w:before="20" w:line="218" w:lineRule="exact"/>
              <w:ind w:left="112"/>
              <w:rPr>
                <w:sz w:val="18"/>
              </w:rPr>
            </w:pPr>
            <w:r>
              <w:rPr>
                <w:sz w:val="18"/>
              </w:rPr>
              <w:t>Fixed constant</w:t>
            </w:r>
          </w:p>
        </w:tc>
      </w:tr>
      <w:tr w:rsidR="0081013A" w14:paraId="528B3E24" w14:textId="77777777">
        <w:trPr>
          <w:trHeight w:val="489"/>
        </w:trPr>
        <w:tc>
          <w:tcPr>
            <w:tcW w:w="3355" w:type="dxa"/>
          </w:tcPr>
          <w:p w14:paraId="528B3E21" w14:textId="77777777" w:rsidR="0081013A" w:rsidRDefault="004D3D43">
            <w:pPr>
              <w:pStyle w:val="TableParagraph"/>
              <w:spacing w:before="1" w:line="240" w:lineRule="atLeast"/>
              <w:ind w:left="115" w:right="547"/>
              <w:rPr>
                <w:sz w:val="20"/>
              </w:rPr>
            </w:pPr>
            <w:r>
              <w:rPr>
                <w:sz w:val="20"/>
              </w:rPr>
              <w:t>Average Make-up (Groundwater) Water Temperature (°F)</w:t>
            </w:r>
          </w:p>
        </w:tc>
        <w:tc>
          <w:tcPr>
            <w:tcW w:w="1231" w:type="dxa"/>
          </w:tcPr>
          <w:p w14:paraId="528B3E22" w14:textId="77777777" w:rsidR="0081013A" w:rsidRDefault="004D3D43">
            <w:pPr>
              <w:pStyle w:val="TableParagraph"/>
              <w:spacing w:before="25"/>
              <w:ind w:left="115" w:right="122"/>
              <w:rPr>
                <w:sz w:val="18"/>
              </w:rPr>
            </w:pPr>
            <w:r>
              <w:rPr>
                <w:sz w:val="18"/>
              </w:rPr>
              <w:t>Varies by climate zone.</w:t>
            </w:r>
          </w:p>
        </w:tc>
        <w:tc>
          <w:tcPr>
            <w:tcW w:w="3629" w:type="dxa"/>
          </w:tcPr>
          <w:p w14:paraId="528B3E23" w14:textId="77777777" w:rsidR="0081013A" w:rsidRDefault="004D3D43">
            <w:pPr>
              <w:pStyle w:val="TableParagraph"/>
              <w:spacing w:before="135"/>
              <w:ind w:left="112"/>
              <w:rPr>
                <w:sz w:val="18"/>
              </w:rPr>
            </w:pPr>
            <w:r>
              <w:rPr>
                <w:sz w:val="18"/>
              </w:rPr>
              <w:t>See below.</w:t>
            </w:r>
          </w:p>
        </w:tc>
      </w:tr>
      <w:tr w:rsidR="0081013A" w14:paraId="528B3E29" w14:textId="77777777">
        <w:trPr>
          <w:trHeight w:val="489"/>
        </w:trPr>
        <w:tc>
          <w:tcPr>
            <w:tcW w:w="3355" w:type="dxa"/>
          </w:tcPr>
          <w:p w14:paraId="528B3E25" w14:textId="77777777" w:rsidR="0081013A" w:rsidRDefault="004D3D43">
            <w:pPr>
              <w:pStyle w:val="TableParagraph"/>
              <w:spacing w:before="1" w:line="243" w:lineRule="exact"/>
              <w:ind w:left="115"/>
              <w:rPr>
                <w:sz w:val="20"/>
              </w:rPr>
            </w:pPr>
            <w:r>
              <w:rPr>
                <w:sz w:val="20"/>
              </w:rPr>
              <w:t>Mixed Water Temperature @ Faucet</w:t>
            </w:r>
          </w:p>
          <w:p w14:paraId="528B3E26" w14:textId="77777777" w:rsidR="0081013A" w:rsidRDefault="004D3D43">
            <w:pPr>
              <w:pStyle w:val="TableParagraph"/>
              <w:spacing w:line="225" w:lineRule="exact"/>
              <w:ind w:left="115"/>
              <w:rPr>
                <w:sz w:val="20"/>
              </w:rPr>
            </w:pPr>
            <w:r>
              <w:rPr>
                <w:sz w:val="20"/>
              </w:rPr>
              <w:t>(°F)</w:t>
            </w:r>
          </w:p>
        </w:tc>
        <w:tc>
          <w:tcPr>
            <w:tcW w:w="1231" w:type="dxa"/>
          </w:tcPr>
          <w:p w14:paraId="528B3E27" w14:textId="77777777" w:rsidR="0081013A" w:rsidRDefault="004D3D43">
            <w:pPr>
              <w:pStyle w:val="TableParagraph"/>
              <w:spacing w:before="121"/>
              <w:ind w:right="107"/>
              <w:jc w:val="right"/>
              <w:rPr>
                <w:sz w:val="20"/>
              </w:rPr>
            </w:pPr>
            <w:r>
              <w:rPr>
                <w:w w:val="95"/>
                <w:sz w:val="20"/>
              </w:rPr>
              <w:t>106</w:t>
            </w:r>
          </w:p>
        </w:tc>
        <w:tc>
          <w:tcPr>
            <w:tcW w:w="3629" w:type="dxa"/>
          </w:tcPr>
          <w:p w14:paraId="528B3E28" w14:textId="77777777" w:rsidR="0081013A" w:rsidRDefault="004D3D43">
            <w:pPr>
              <w:pStyle w:val="TableParagraph"/>
              <w:spacing w:before="25"/>
              <w:ind w:left="112" w:right="482"/>
              <w:rPr>
                <w:sz w:val="18"/>
              </w:rPr>
            </w:pPr>
            <w:r>
              <w:rPr>
                <w:sz w:val="18"/>
              </w:rPr>
              <w:t>Sempra Energy Utilities (SEU). 2012. “SEU 2009 ASW Data REDACTED.xlsx”.</w:t>
            </w:r>
          </w:p>
        </w:tc>
      </w:tr>
    </w:tbl>
    <w:p w14:paraId="528B3E2A" w14:textId="77777777" w:rsidR="0081013A" w:rsidRDefault="0081013A">
      <w:pPr>
        <w:rPr>
          <w:sz w:val="18"/>
        </w:rPr>
        <w:sectPr w:rsidR="0081013A">
          <w:type w:val="continuous"/>
          <w:pgSz w:w="12240" w:h="15840"/>
          <w:pgMar w:top="1220" w:right="1120" w:bottom="1320" w:left="1320" w:header="720" w:footer="720" w:gutter="0"/>
          <w:cols w:space="720"/>
        </w:sectPr>
      </w:pPr>
    </w:p>
    <w:p w14:paraId="528B3E2B" w14:textId="77777777" w:rsidR="0081013A" w:rsidRDefault="0081013A">
      <w:pPr>
        <w:pStyle w:val="BodyText"/>
        <w:spacing w:before="6"/>
        <w:rPr>
          <w:sz w:val="24"/>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3355"/>
        <w:gridCol w:w="1231"/>
        <w:gridCol w:w="3629"/>
      </w:tblGrid>
      <w:tr w:rsidR="0081013A" w14:paraId="528B3E2F" w14:textId="77777777">
        <w:trPr>
          <w:trHeight w:val="261"/>
        </w:trPr>
        <w:tc>
          <w:tcPr>
            <w:tcW w:w="3355" w:type="dxa"/>
            <w:shd w:val="clear" w:color="auto" w:fill="F1F1F1"/>
          </w:tcPr>
          <w:p w14:paraId="528B3E2C" w14:textId="77777777" w:rsidR="0081013A" w:rsidRPr="00535222" w:rsidRDefault="004D3D43">
            <w:pPr>
              <w:pStyle w:val="TableParagraph"/>
              <w:spacing w:before="18" w:line="223" w:lineRule="exact"/>
              <w:ind w:left="115"/>
              <w:rPr>
                <w:b/>
                <w:bCs/>
                <w:sz w:val="20"/>
              </w:rPr>
            </w:pPr>
            <w:r w:rsidRPr="00535222">
              <w:rPr>
                <w:b/>
                <w:bCs/>
                <w:sz w:val="20"/>
              </w:rPr>
              <w:t>Parameter</w:t>
            </w:r>
          </w:p>
        </w:tc>
        <w:tc>
          <w:tcPr>
            <w:tcW w:w="1231" w:type="dxa"/>
            <w:shd w:val="clear" w:color="auto" w:fill="F1F1F1"/>
          </w:tcPr>
          <w:p w14:paraId="528B3E2D" w14:textId="77777777" w:rsidR="0081013A" w:rsidRPr="00535222" w:rsidRDefault="004D3D43">
            <w:pPr>
              <w:pStyle w:val="TableParagraph"/>
              <w:spacing w:before="18" w:line="223" w:lineRule="exact"/>
              <w:ind w:left="115"/>
              <w:rPr>
                <w:b/>
                <w:bCs/>
                <w:sz w:val="20"/>
              </w:rPr>
            </w:pPr>
            <w:r w:rsidRPr="00535222">
              <w:rPr>
                <w:b/>
                <w:bCs/>
                <w:sz w:val="20"/>
              </w:rPr>
              <w:t>Value</w:t>
            </w:r>
          </w:p>
        </w:tc>
        <w:tc>
          <w:tcPr>
            <w:tcW w:w="3629" w:type="dxa"/>
            <w:shd w:val="clear" w:color="auto" w:fill="F1F1F1"/>
          </w:tcPr>
          <w:p w14:paraId="528B3E2E" w14:textId="77777777" w:rsidR="0081013A" w:rsidRPr="00535222" w:rsidRDefault="004D3D43">
            <w:pPr>
              <w:pStyle w:val="TableParagraph"/>
              <w:spacing w:before="18" w:line="223" w:lineRule="exact"/>
              <w:ind w:left="112"/>
              <w:rPr>
                <w:b/>
                <w:bCs/>
                <w:sz w:val="20"/>
              </w:rPr>
            </w:pPr>
            <w:r w:rsidRPr="00535222">
              <w:rPr>
                <w:b/>
                <w:bCs/>
                <w:sz w:val="20"/>
              </w:rPr>
              <w:t>Source</w:t>
            </w:r>
          </w:p>
        </w:tc>
      </w:tr>
      <w:tr w:rsidR="0081013A" w14:paraId="528B3E3C" w14:textId="77777777">
        <w:trPr>
          <w:trHeight w:val="2001"/>
        </w:trPr>
        <w:tc>
          <w:tcPr>
            <w:tcW w:w="3355" w:type="dxa"/>
          </w:tcPr>
          <w:p w14:paraId="528B3E30" w14:textId="77777777" w:rsidR="0081013A" w:rsidRDefault="0081013A">
            <w:pPr>
              <w:pStyle w:val="TableParagraph"/>
              <w:rPr>
                <w:sz w:val="20"/>
              </w:rPr>
            </w:pPr>
          </w:p>
          <w:p w14:paraId="528B3E31" w14:textId="77777777" w:rsidR="0081013A" w:rsidRDefault="0081013A">
            <w:pPr>
              <w:pStyle w:val="TableParagraph"/>
              <w:rPr>
                <w:sz w:val="20"/>
              </w:rPr>
            </w:pPr>
          </w:p>
          <w:p w14:paraId="528B3E32" w14:textId="77777777" w:rsidR="0081013A" w:rsidRDefault="0081013A">
            <w:pPr>
              <w:pStyle w:val="TableParagraph"/>
            </w:pPr>
          </w:p>
          <w:p w14:paraId="528B3E33" w14:textId="77777777" w:rsidR="0081013A" w:rsidRDefault="004D3D43">
            <w:pPr>
              <w:pStyle w:val="TableParagraph"/>
              <w:ind w:left="115" w:right="545"/>
              <w:rPr>
                <w:sz w:val="20"/>
              </w:rPr>
            </w:pPr>
            <w:r>
              <w:rPr>
                <w:sz w:val="20"/>
              </w:rPr>
              <w:t>Gas Water Heater Min. Efficiency (recovery efficiency)</w:t>
            </w:r>
          </w:p>
        </w:tc>
        <w:tc>
          <w:tcPr>
            <w:tcW w:w="1231" w:type="dxa"/>
          </w:tcPr>
          <w:p w14:paraId="528B3E34" w14:textId="77777777" w:rsidR="0081013A" w:rsidRDefault="0081013A">
            <w:pPr>
              <w:pStyle w:val="TableParagraph"/>
              <w:rPr>
                <w:sz w:val="20"/>
              </w:rPr>
            </w:pPr>
          </w:p>
          <w:p w14:paraId="528B3E35" w14:textId="77777777" w:rsidR="0081013A" w:rsidRDefault="0081013A">
            <w:pPr>
              <w:pStyle w:val="TableParagraph"/>
              <w:rPr>
                <w:sz w:val="20"/>
              </w:rPr>
            </w:pPr>
          </w:p>
          <w:p w14:paraId="528B3E36" w14:textId="77777777" w:rsidR="0081013A" w:rsidRDefault="0081013A">
            <w:pPr>
              <w:pStyle w:val="TableParagraph"/>
              <w:rPr>
                <w:sz w:val="20"/>
              </w:rPr>
            </w:pPr>
          </w:p>
          <w:p w14:paraId="528B3E37" w14:textId="77777777" w:rsidR="0081013A" w:rsidRDefault="004D3D43">
            <w:pPr>
              <w:pStyle w:val="TableParagraph"/>
              <w:spacing w:before="147"/>
              <w:ind w:left="760"/>
              <w:rPr>
                <w:sz w:val="20"/>
              </w:rPr>
            </w:pPr>
            <w:r>
              <w:rPr>
                <w:sz w:val="20"/>
              </w:rPr>
              <w:t>0.77</w:t>
            </w:r>
          </w:p>
        </w:tc>
        <w:tc>
          <w:tcPr>
            <w:tcW w:w="3629" w:type="dxa"/>
          </w:tcPr>
          <w:p w14:paraId="528B3E38" w14:textId="77777777" w:rsidR="0081013A" w:rsidRDefault="004D3D43">
            <w:pPr>
              <w:pStyle w:val="TableParagraph"/>
              <w:spacing w:before="1"/>
              <w:ind w:left="112" w:right="145"/>
              <w:jc w:val="both"/>
              <w:rPr>
                <w:sz w:val="18"/>
              </w:rPr>
            </w:pPr>
            <w:r>
              <w:rPr>
                <w:sz w:val="18"/>
              </w:rPr>
              <w:t>Southern California Gas Company (SCG). 2010. “Gas Fired Storage Water Heater Extract from CEC Appliance Data 07.07.2010.xlsx.”</w:t>
            </w:r>
          </w:p>
          <w:p w14:paraId="528B3E39" w14:textId="77777777" w:rsidR="0081013A" w:rsidRDefault="0081013A">
            <w:pPr>
              <w:pStyle w:val="TableParagraph"/>
              <w:spacing w:before="11"/>
              <w:rPr>
                <w:sz w:val="19"/>
              </w:rPr>
            </w:pPr>
          </w:p>
          <w:p w14:paraId="528B3E3A" w14:textId="77777777" w:rsidR="0081013A" w:rsidRDefault="004D3D43">
            <w:pPr>
              <w:pStyle w:val="TableParagraph"/>
              <w:ind w:left="112"/>
              <w:rPr>
                <w:i/>
                <w:sz w:val="18"/>
              </w:rPr>
            </w:pPr>
            <w:r>
              <w:rPr>
                <w:sz w:val="18"/>
              </w:rPr>
              <w:t xml:space="preserve">California Public Utilities Commission (CPUC), Energy Division. 2010. </w:t>
            </w:r>
            <w:r>
              <w:rPr>
                <w:i/>
                <w:sz w:val="18"/>
              </w:rPr>
              <w:t xml:space="preserve">Non-DEER Measure Review Template: PGECODHW113 – Low Flow Showerhead and Thermostatic Shower </w:t>
            </w:r>
          </w:p>
          <w:p w14:paraId="528B3E3B" w14:textId="77777777" w:rsidR="0081013A" w:rsidRDefault="004D3D43">
            <w:pPr>
              <w:pStyle w:val="TableParagraph"/>
              <w:spacing w:line="199" w:lineRule="exact"/>
              <w:ind w:left="112"/>
              <w:rPr>
                <w:sz w:val="18"/>
              </w:rPr>
            </w:pPr>
            <w:r>
              <w:rPr>
                <w:i/>
                <w:sz w:val="18"/>
              </w:rPr>
              <w:t xml:space="preserve">Restriction Valve. </w:t>
            </w:r>
            <w:r>
              <w:rPr>
                <w:sz w:val="18"/>
              </w:rPr>
              <w:t>April 27.</w:t>
            </w:r>
          </w:p>
        </w:tc>
      </w:tr>
    </w:tbl>
    <w:p w14:paraId="528B3E3D" w14:textId="77777777" w:rsidR="0081013A" w:rsidRDefault="0081013A">
      <w:pPr>
        <w:pStyle w:val="BodyText"/>
        <w:rPr>
          <w:sz w:val="20"/>
        </w:rPr>
      </w:pPr>
    </w:p>
    <w:p w14:paraId="528B3E3E" w14:textId="77777777" w:rsidR="0081013A" w:rsidRDefault="0081013A">
      <w:pPr>
        <w:pStyle w:val="BodyText"/>
        <w:rPr>
          <w:sz w:val="17"/>
        </w:rPr>
      </w:pPr>
    </w:p>
    <w:p w14:paraId="528B3E3F" w14:textId="130ED51A" w:rsidR="0081013A" w:rsidRDefault="004D3D43">
      <w:pPr>
        <w:pStyle w:val="BodyText"/>
        <w:spacing w:before="56"/>
        <w:ind w:left="119" w:right="437"/>
      </w:pPr>
      <w:r w:rsidRPr="00C076E8">
        <w:rPr>
          <w:b/>
          <w:bCs/>
        </w:rPr>
        <w:t>Groundwater Temperature</w:t>
      </w:r>
      <w:r w:rsidR="00C076E8" w:rsidRPr="00C076E8">
        <w:rPr>
          <w:b/>
          <w:bCs/>
        </w:rPr>
        <w:t>:</w:t>
      </w:r>
      <w:r>
        <w:t xml:space="preserve"> The ground water temperature is a key factor in determining the amount of hot water that is needed to achieve a mixed water temperature of 106 °F, which is a typical mixed-water temperature exiting the showerhead. To reflect differences across climate zones, this analysis includes the average groundwater temperature for each California climate zone, developed from California climate zone weather data. Specifically, the groundwater temperatures used for this analysis are based upon the weather files adopted for the 2013 update of the California Building Efficiency Standards. The average ground water temperatures utilized in this analysis are provided below.</w:t>
      </w:r>
    </w:p>
    <w:p w14:paraId="528B3E40" w14:textId="77777777" w:rsidR="0081013A" w:rsidRDefault="0081013A">
      <w:pPr>
        <w:pStyle w:val="BodyText"/>
        <w:spacing w:before="2"/>
        <w:rPr>
          <w:sz w:val="23"/>
        </w:rPr>
      </w:pPr>
    </w:p>
    <w:p w14:paraId="528B3E41" w14:textId="77777777" w:rsidR="0081013A" w:rsidRPr="00C076E8" w:rsidRDefault="004D3D43">
      <w:pPr>
        <w:ind w:left="120"/>
        <w:rPr>
          <w:b/>
          <w:bCs/>
          <w:sz w:val="20"/>
        </w:rPr>
      </w:pPr>
      <w:r w:rsidRPr="00C076E8">
        <w:rPr>
          <w:b/>
          <w:bCs/>
          <w:sz w:val="20"/>
        </w:rPr>
        <w:t>Make-up (Groundwater) Water Temperatures by Climate Zone</w:t>
      </w:r>
    </w:p>
    <w:p w14:paraId="528B3E42" w14:textId="77777777" w:rsidR="0081013A" w:rsidRDefault="0081013A">
      <w:pPr>
        <w:pStyle w:val="BodyText"/>
        <w:spacing w:before="5"/>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008"/>
        <w:gridCol w:w="2496"/>
        <w:gridCol w:w="3871"/>
      </w:tblGrid>
      <w:tr w:rsidR="0081013A" w14:paraId="528B3E47" w14:textId="77777777">
        <w:trPr>
          <w:trHeight w:val="489"/>
        </w:trPr>
        <w:tc>
          <w:tcPr>
            <w:tcW w:w="1008" w:type="dxa"/>
            <w:tcBorders>
              <w:right w:val="dashSmallGap" w:sz="4" w:space="0" w:color="A6A6A6"/>
            </w:tcBorders>
            <w:shd w:val="clear" w:color="auto" w:fill="F1F1F1"/>
          </w:tcPr>
          <w:p w14:paraId="528B3E43" w14:textId="77777777" w:rsidR="0081013A" w:rsidRPr="004E692F" w:rsidRDefault="004D3D43">
            <w:pPr>
              <w:pStyle w:val="TableParagraph"/>
              <w:spacing w:before="1" w:line="240" w:lineRule="atLeast"/>
              <w:ind w:left="306" w:hanging="106"/>
              <w:rPr>
                <w:b/>
                <w:bCs/>
                <w:sz w:val="20"/>
              </w:rPr>
            </w:pPr>
            <w:r w:rsidRPr="004E692F">
              <w:rPr>
                <w:b/>
                <w:bCs/>
                <w:w w:val="95"/>
                <w:sz w:val="20"/>
              </w:rPr>
              <w:t xml:space="preserve">Climate </w:t>
            </w:r>
            <w:r w:rsidRPr="004E692F">
              <w:rPr>
                <w:b/>
                <w:bCs/>
                <w:sz w:val="20"/>
              </w:rPr>
              <w:t>Zone</w:t>
            </w:r>
          </w:p>
        </w:tc>
        <w:tc>
          <w:tcPr>
            <w:tcW w:w="2496" w:type="dxa"/>
            <w:tcBorders>
              <w:left w:val="dashSmallGap" w:sz="4" w:space="0" w:color="A6A6A6"/>
            </w:tcBorders>
            <w:shd w:val="clear" w:color="auto" w:fill="F1F1F1"/>
          </w:tcPr>
          <w:p w14:paraId="528B3E44" w14:textId="77777777" w:rsidR="0081013A" w:rsidRPr="004E692F" w:rsidRDefault="004D3D43">
            <w:pPr>
              <w:pStyle w:val="TableParagraph"/>
              <w:spacing w:before="1" w:line="240" w:lineRule="atLeast"/>
              <w:ind w:left="568" w:hanging="286"/>
              <w:rPr>
                <w:b/>
                <w:bCs/>
                <w:sz w:val="20"/>
              </w:rPr>
            </w:pPr>
            <w:r w:rsidRPr="004E692F">
              <w:rPr>
                <w:b/>
                <w:bCs/>
                <w:w w:val="95"/>
                <w:sz w:val="20"/>
              </w:rPr>
              <w:t xml:space="preserve">Make-up (Groundwater) </w:t>
            </w:r>
            <w:r w:rsidRPr="004E692F">
              <w:rPr>
                <w:b/>
                <w:bCs/>
                <w:sz w:val="20"/>
              </w:rPr>
              <w:t>Temperature (°F)</w:t>
            </w:r>
          </w:p>
        </w:tc>
        <w:tc>
          <w:tcPr>
            <w:tcW w:w="3871" w:type="dxa"/>
            <w:shd w:val="clear" w:color="auto" w:fill="F1F1F1"/>
          </w:tcPr>
          <w:p w14:paraId="528B3E45" w14:textId="77777777" w:rsidR="0081013A" w:rsidRPr="004E692F" w:rsidRDefault="0081013A">
            <w:pPr>
              <w:pStyle w:val="TableParagraph"/>
              <w:spacing w:before="2"/>
              <w:rPr>
                <w:b/>
                <w:bCs/>
                <w:sz w:val="20"/>
              </w:rPr>
            </w:pPr>
          </w:p>
          <w:p w14:paraId="528B3E46" w14:textId="77777777" w:rsidR="0081013A" w:rsidRPr="004E692F" w:rsidRDefault="004D3D43">
            <w:pPr>
              <w:pStyle w:val="TableParagraph"/>
              <w:spacing w:line="223" w:lineRule="exact"/>
              <w:ind w:left="1639" w:right="1629"/>
              <w:jc w:val="center"/>
              <w:rPr>
                <w:b/>
                <w:bCs/>
                <w:sz w:val="20"/>
              </w:rPr>
            </w:pPr>
            <w:r w:rsidRPr="004E692F">
              <w:rPr>
                <w:b/>
                <w:bCs/>
                <w:sz w:val="20"/>
              </w:rPr>
              <w:t>Source</w:t>
            </w:r>
          </w:p>
        </w:tc>
      </w:tr>
      <w:tr w:rsidR="0081013A" w14:paraId="528B3E53" w14:textId="77777777">
        <w:trPr>
          <w:trHeight w:val="244"/>
        </w:trPr>
        <w:tc>
          <w:tcPr>
            <w:tcW w:w="1008" w:type="dxa"/>
            <w:tcBorders>
              <w:right w:val="dashSmallGap" w:sz="4" w:space="0" w:color="A6A6A6"/>
            </w:tcBorders>
          </w:tcPr>
          <w:p w14:paraId="528B3E48" w14:textId="77777777" w:rsidR="0081013A" w:rsidRDefault="004D3D43">
            <w:pPr>
              <w:pStyle w:val="TableParagraph"/>
              <w:spacing w:before="1" w:line="223" w:lineRule="exact"/>
              <w:ind w:left="107"/>
              <w:rPr>
                <w:sz w:val="20"/>
              </w:rPr>
            </w:pPr>
            <w:r>
              <w:rPr>
                <w:sz w:val="20"/>
              </w:rPr>
              <w:t>CZ 1</w:t>
            </w:r>
          </w:p>
        </w:tc>
        <w:tc>
          <w:tcPr>
            <w:tcW w:w="2496" w:type="dxa"/>
            <w:tcBorders>
              <w:left w:val="dashSmallGap" w:sz="4" w:space="0" w:color="A6A6A6"/>
            </w:tcBorders>
          </w:tcPr>
          <w:p w14:paraId="528B3E49" w14:textId="77777777" w:rsidR="0081013A" w:rsidRDefault="004D3D43">
            <w:pPr>
              <w:pStyle w:val="TableParagraph"/>
              <w:spacing w:before="1" w:line="223" w:lineRule="exact"/>
              <w:ind w:left="1070"/>
              <w:rPr>
                <w:sz w:val="20"/>
              </w:rPr>
            </w:pPr>
            <w:r>
              <w:rPr>
                <w:sz w:val="20"/>
              </w:rPr>
              <w:t>51.4</w:t>
            </w:r>
          </w:p>
        </w:tc>
        <w:tc>
          <w:tcPr>
            <w:tcW w:w="3871" w:type="dxa"/>
            <w:vMerge w:val="restart"/>
          </w:tcPr>
          <w:p w14:paraId="528B3E4A" w14:textId="77777777" w:rsidR="0081013A" w:rsidRDefault="0081013A">
            <w:pPr>
              <w:pStyle w:val="TableParagraph"/>
              <w:rPr>
                <w:sz w:val="18"/>
              </w:rPr>
            </w:pPr>
          </w:p>
          <w:p w14:paraId="528B3E4B" w14:textId="77777777" w:rsidR="0081013A" w:rsidRDefault="0081013A">
            <w:pPr>
              <w:pStyle w:val="TableParagraph"/>
              <w:rPr>
                <w:sz w:val="18"/>
              </w:rPr>
            </w:pPr>
          </w:p>
          <w:p w14:paraId="528B3E4C" w14:textId="77777777" w:rsidR="0081013A" w:rsidRDefault="0081013A">
            <w:pPr>
              <w:pStyle w:val="TableParagraph"/>
              <w:rPr>
                <w:sz w:val="18"/>
              </w:rPr>
            </w:pPr>
          </w:p>
          <w:p w14:paraId="528B3E4D" w14:textId="77777777" w:rsidR="0081013A" w:rsidRDefault="0081013A">
            <w:pPr>
              <w:pStyle w:val="TableParagraph"/>
              <w:rPr>
                <w:sz w:val="18"/>
              </w:rPr>
            </w:pPr>
          </w:p>
          <w:p w14:paraId="528B3E4E" w14:textId="77777777" w:rsidR="0081013A" w:rsidRDefault="0081013A">
            <w:pPr>
              <w:pStyle w:val="TableParagraph"/>
              <w:rPr>
                <w:sz w:val="18"/>
              </w:rPr>
            </w:pPr>
          </w:p>
          <w:p w14:paraId="528B3E4F" w14:textId="77777777" w:rsidR="0081013A" w:rsidRDefault="0081013A">
            <w:pPr>
              <w:pStyle w:val="TableParagraph"/>
              <w:rPr>
                <w:sz w:val="18"/>
              </w:rPr>
            </w:pPr>
          </w:p>
          <w:p w14:paraId="528B3E50" w14:textId="77777777" w:rsidR="0081013A" w:rsidRDefault="0081013A">
            <w:pPr>
              <w:pStyle w:val="TableParagraph"/>
              <w:rPr>
                <w:sz w:val="18"/>
              </w:rPr>
            </w:pPr>
          </w:p>
          <w:p w14:paraId="528B3E51" w14:textId="77777777" w:rsidR="0081013A" w:rsidRDefault="0081013A">
            <w:pPr>
              <w:pStyle w:val="TableParagraph"/>
              <w:spacing w:before="3"/>
              <w:rPr>
                <w:sz w:val="14"/>
              </w:rPr>
            </w:pPr>
          </w:p>
          <w:p w14:paraId="528B3E52" w14:textId="77777777" w:rsidR="0081013A" w:rsidRDefault="004D3D43">
            <w:pPr>
              <w:pStyle w:val="TableParagraph"/>
              <w:ind w:left="107" w:right="103"/>
              <w:jc w:val="both"/>
              <w:rPr>
                <w:sz w:val="18"/>
              </w:rPr>
            </w:pPr>
            <w:r>
              <w:rPr>
                <w:sz w:val="18"/>
              </w:rPr>
              <w:t>Reeves, P. (Consultant to California Public Utilities Commission, Energy Division). 2013. "Comparison- of-Ground-Temperatures-v2_byPaulReeves.xlsx."</w:t>
            </w:r>
          </w:p>
        </w:tc>
      </w:tr>
      <w:tr w:rsidR="0081013A" w14:paraId="528B3E57" w14:textId="77777777">
        <w:trPr>
          <w:trHeight w:val="244"/>
        </w:trPr>
        <w:tc>
          <w:tcPr>
            <w:tcW w:w="1008" w:type="dxa"/>
            <w:tcBorders>
              <w:right w:val="dashSmallGap" w:sz="4" w:space="0" w:color="A6A6A6"/>
            </w:tcBorders>
          </w:tcPr>
          <w:p w14:paraId="528B3E54" w14:textId="77777777" w:rsidR="0081013A" w:rsidRDefault="004D3D43">
            <w:pPr>
              <w:pStyle w:val="TableParagraph"/>
              <w:spacing w:before="1" w:line="223" w:lineRule="exact"/>
              <w:ind w:left="107"/>
              <w:rPr>
                <w:sz w:val="20"/>
              </w:rPr>
            </w:pPr>
            <w:r>
              <w:rPr>
                <w:sz w:val="20"/>
              </w:rPr>
              <w:t>CZ 2</w:t>
            </w:r>
          </w:p>
        </w:tc>
        <w:tc>
          <w:tcPr>
            <w:tcW w:w="2496" w:type="dxa"/>
            <w:tcBorders>
              <w:left w:val="dashSmallGap" w:sz="4" w:space="0" w:color="A6A6A6"/>
            </w:tcBorders>
          </w:tcPr>
          <w:p w14:paraId="528B3E55" w14:textId="77777777" w:rsidR="0081013A" w:rsidRDefault="004D3D43">
            <w:pPr>
              <w:pStyle w:val="TableParagraph"/>
              <w:spacing w:before="1" w:line="223" w:lineRule="exact"/>
              <w:ind w:left="1070"/>
              <w:rPr>
                <w:sz w:val="20"/>
              </w:rPr>
            </w:pPr>
            <w:r>
              <w:rPr>
                <w:sz w:val="20"/>
              </w:rPr>
              <w:t>57.3</w:t>
            </w:r>
          </w:p>
        </w:tc>
        <w:tc>
          <w:tcPr>
            <w:tcW w:w="3871" w:type="dxa"/>
            <w:vMerge/>
            <w:tcBorders>
              <w:top w:val="nil"/>
            </w:tcBorders>
          </w:tcPr>
          <w:p w14:paraId="528B3E56" w14:textId="77777777" w:rsidR="0081013A" w:rsidRDefault="0081013A">
            <w:pPr>
              <w:rPr>
                <w:sz w:val="2"/>
                <w:szCs w:val="2"/>
              </w:rPr>
            </w:pPr>
          </w:p>
        </w:tc>
      </w:tr>
      <w:tr w:rsidR="0081013A" w14:paraId="528B3E5B" w14:textId="77777777">
        <w:trPr>
          <w:trHeight w:val="244"/>
        </w:trPr>
        <w:tc>
          <w:tcPr>
            <w:tcW w:w="1008" w:type="dxa"/>
            <w:tcBorders>
              <w:right w:val="dashSmallGap" w:sz="4" w:space="0" w:color="A6A6A6"/>
            </w:tcBorders>
          </w:tcPr>
          <w:p w14:paraId="528B3E58" w14:textId="77777777" w:rsidR="0081013A" w:rsidRDefault="004D3D43">
            <w:pPr>
              <w:pStyle w:val="TableParagraph"/>
              <w:spacing w:before="1" w:line="223" w:lineRule="exact"/>
              <w:ind w:left="107"/>
              <w:rPr>
                <w:sz w:val="20"/>
              </w:rPr>
            </w:pPr>
            <w:r>
              <w:rPr>
                <w:sz w:val="20"/>
              </w:rPr>
              <w:t>CZ 3</w:t>
            </w:r>
          </w:p>
        </w:tc>
        <w:tc>
          <w:tcPr>
            <w:tcW w:w="2496" w:type="dxa"/>
            <w:tcBorders>
              <w:left w:val="dashSmallGap" w:sz="4" w:space="0" w:color="A6A6A6"/>
            </w:tcBorders>
          </w:tcPr>
          <w:p w14:paraId="528B3E59" w14:textId="77777777" w:rsidR="0081013A" w:rsidRDefault="004D3D43">
            <w:pPr>
              <w:pStyle w:val="TableParagraph"/>
              <w:spacing w:before="1" w:line="223" w:lineRule="exact"/>
              <w:ind w:left="1070"/>
              <w:rPr>
                <w:sz w:val="20"/>
              </w:rPr>
            </w:pPr>
            <w:r>
              <w:rPr>
                <w:sz w:val="20"/>
              </w:rPr>
              <w:t>57.1</w:t>
            </w:r>
          </w:p>
        </w:tc>
        <w:tc>
          <w:tcPr>
            <w:tcW w:w="3871" w:type="dxa"/>
            <w:vMerge/>
            <w:tcBorders>
              <w:top w:val="nil"/>
            </w:tcBorders>
          </w:tcPr>
          <w:p w14:paraId="528B3E5A" w14:textId="77777777" w:rsidR="0081013A" w:rsidRDefault="0081013A">
            <w:pPr>
              <w:rPr>
                <w:sz w:val="2"/>
                <w:szCs w:val="2"/>
              </w:rPr>
            </w:pPr>
          </w:p>
        </w:tc>
      </w:tr>
      <w:tr w:rsidR="0081013A" w14:paraId="528B3E5F" w14:textId="77777777">
        <w:trPr>
          <w:trHeight w:val="241"/>
        </w:trPr>
        <w:tc>
          <w:tcPr>
            <w:tcW w:w="1008" w:type="dxa"/>
            <w:tcBorders>
              <w:right w:val="dashSmallGap" w:sz="4" w:space="0" w:color="A6A6A6"/>
            </w:tcBorders>
          </w:tcPr>
          <w:p w14:paraId="528B3E5C" w14:textId="77777777" w:rsidR="0081013A" w:rsidRDefault="004D3D43">
            <w:pPr>
              <w:pStyle w:val="TableParagraph"/>
              <w:spacing w:line="222" w:lineRule="exact"/>
              <w:ind w:left="107"/>
              <w:rPr>
                <w:sz w:val="20"/>
              </w:rPr>
            </w:pPr>
            <w:r>
              <w:rPr>
                <w:sz w:val="20"/>
              </w:rPr>
              <w:t>CZ 4</w:t>
            </w:r>
          </w:p>
        </w:tc>
        <w:tc>
          <w:tcPr>
            <w:tcW w:w="2496" w:type="dxa"/>
            <w:tcBorders>
              <w:left w:val="dashSmallGap" w:sz="4" w:space="0" w:color="A6A6A6"/>
            </w:tcBorders>
          </w:tcPr>
          <w:p w14:paraId="528B3E5D" w14:textId="77777777" w:rsidR="0081013A" w:rsidRDefault="004D3D43">
            <w:pPr>
              <w:pStyle w:val="TableParagraph"/>
              <w:spacing w:line="222" w:lineRule="exact"/>
              <w:ind w:left="1070"/>
              <w:rPr>
                <w:sz w:val="20"/>
              </w:rPr>
            </w:pPr>
            <w:r>
              <w:rPr>
                <w:sz w:val="20"/>
              </w:rPr>
              <w:t>59.5</w:t>
            </w:r>
          </w:p>
        </w:tc>
        <w:tc>
          <w:tcPr>
            <w:tcW w:w="3871" w:type="dxa"/>
            <w:vMerge/>
            <w:tcBorders>
              <w:top w:val="nil"/>
            </w:tcBorders>
          </w:tcPr>
          <w:p w14:paraId="528B3E5E" w14:textId="77777777" w:rsidR="0081013A" w:rsidRDefault="0081013A">
            <w:pPr>
              <w:rPr>
                <w:sz w:val="2"/>
                <w:szCs w:val="2"/>
              </w:rPr>
            </w:pPr>
          </w:p>
        </w:tc>
      </w:tr>
      <w:tr w:rsidR="0081013A" w14:paraId="528B3E63" w14:textId="77777777">
        <w:trPr>
          <w:trHeight w:val="244"/>
        </w:trPr>
        <w:tc>
          <w:tcPr>
            <w:tcW w:w="1008" w:type="dxa"/>
            <w:tcBorders>
              <w:right w:val="dashSmallGap" w:sz="4" w:space="0" w:color="A6A6A6"/>
            </w:tcBorders>
          </w:tcPr>
          <w:p w14:paraId="528B3E60" w14:textId="77777777" w:rsidR="0081013A" w:rsidRDefault="004D3D43">
            <w:pPr>
              <w:pStyle w:val="TableParagraph"/>
              <w:spacing w:before="1" w:line="223" w:lineRule="exact"/>
              <w:ind w:left="107"/>
              <w:rPr>
                <w:sz w:val="20"/>
              </w:rPr>
            </w:pPr>
            <w:r>
              <w:rPr>
                <w:sz w:val="20"/>
              </w:rPr>
              <w:t>CZ 5</w:t>
            </w:r>
          </w:p>
        </w:tc>
        <w:tc>
          <w:tcPr>
            <w:tcW w:w="2496" w:type="dxa"/>
            <w:tcBorders>
              <w:left w:val="dashSmallGap" w:sz="4" w:space="0" w:color="A6A6A6"/>
            </w:tcBorders>
          </w:tcPr>
          <w:p w14:paraId="528B3E61" w14:textId="77777777" w:rsidR="0081013A" w:rsidRDefault="004D3D43">
            <w:pPr>
              <w:pStyle w:val="TableParagraph"/>
              <w:spacing w:before="1" w:line="223" w:lineRule="exact"/>
              <w:ind w:left="1070"/>
              <w:rPr>
                <w:sz w:val="20"/>
              </w:rPr>
            </w:pPr>
            <w:r>
              <w:rPr>
                <w:sz w:val="20"/>
              </w:rPr>
              <w:t>55.8</w:t>
            </w:r>
          </w:p>
        </w:tc>
        <w:tc>
          <w:tcPr>
            <w:tcW w:w="3871" w:type="dxa"/>
            <w:vMerge/>
            <w:tcBorders>
              <w:top w:val="nil"/>
            </w:tcBorders>
          </w:tcPr>
          <w:p w14:paraId="528B3E62" w14:textId="77777777" w:rsidR="0081013A" w:rsidRDefault="0081013A">
            <w:pPr>
              <w:rPr>
                <w:sz w:val="2"/>
                <w:szCs w:val="2"/>
              </w:rPr>
            </w:pPr>
          </w:p>
        </w:tc>
      </w:tr>
      <w:tr w:rsidR="0081013A" w14:paraId="528B3E67" w14:textId="77777777">
        <w:trPr>
          <w:trHeight w:val="244"/>
        </w:trPr>
        <w:tc>
          <w:tcPr>
            <w:tcW w:w="1008" w:type="dxa"/>
            <w:tcBorders>
              <w:right w:val="dashSmallGap" w:sz="4" w:space="0" w:color="A6A6A6"/>
            </w:tcBorders>
          </w:tcPr>
          <w:p w14:paraId="528B3E64" w14:textId="77777777" w:rsidR="0081013A" w:rsidRDefault="004D3D43">
            <w:pPr>
              <w:pStyle w:val="TableParagraph"/>
              <w:spacing w:before="1" w:line="223" w:lineRule="exact"/>
              <w:ind w:left="107"/>
              <w:rPr>
                <w:sz w:val="20"/>
              </w:rPr>
            </w:pPr>
            <w:r>
              <w:rPr>
                <w:sz w:val="20"/>
              </w:rPr>
              <w:t>CZ 6</w:t>
            </w:r>
          </w:p>
        </w:tc>
        <w:tc>
          <w:tcPr>
            <w:tcW w:w="2496" w:type="dxa"/>
            <w:tcBorders>
              <w:left w:val="dashSmallGap" w:sz="4" w:space="0" w:color="A6A6A6"/>
            </w:tcBorders>
          </w:tcPr>
          <w:p w14:paraId="528B3E65" w14:textId="77777777" w:rsidR="0081013A" w:rsidRDefault="004D3D43">
            <w:pPr>
              <w:pStyle w:val="TableParagraph"/>
              <w:spacing w:before="1" w:line="223" w:lineRule="exact"/>
              <w:ind w:left="1070"/>
              <w:rPr>
                <w:sz w:val="20"/>
              </w:rPr>
            </w:pPr>
            <w:r>
              <w:rPr>
                <w:sz w:val="20"/>
              </w:rPr>
              <w:t>61.8</w:t>
            </w:r>
          </w:p>
        </w:tc>
        <w:tc>
          <w:tcPr>
            <w:tcW w:w="3871" w:type="dxa"/>
            <w:vMerge/>
            <w:tcBorders>
              <w:top w:val="nil"/>
            </w:tcBorders>
          </w:tcPr>
          <w:p w14:paraId="528B3E66" w14:textId="77777777" w:rsidR="0081013A" w:rsidRDefault="0081013A">
            <w:pPr>
              <w:rPr>
                <w:sz w:val="2"/>
                <w:szCs w:val="2"/>
              </w:rPr>
            </w:pPr>
          </w:p>
        </w:tc>
      </w:tr>
      <w:tr w:rsidR="0081013A" w14:paraId="528B3E6B" w14:textId="77777777">
        <w:trPr>
          <w:trHeight w:val="270"/>
        </w:trPr>
        <w:tc>
          <w:tcPr>
            <w:tcW w:w="1008" w:type="dxa"/>
            <w:tcBorders>
              <w:right w:val="dashSmallGap" w:sz="4" w:space="0" w:color="A6A6A6"/>
            </w:tcBorders>
          </w:tcPr>
          <w:p w14:paraId="528B3E68" w14:textId="77777777" w:rsidR="0081013A" w:rsidRDefault="004D3D43">
            <w:pPr>
              <w:pStyle w:val="TableParagraph"/>
              <w:spacing w:before="1"/>
              <w:ind w:left="107"/>
              <w:rPr>
                <w:sz w:val="20"/>
              </w:rPr>
            </w:pPr>
            <w:r>
              <w:rPr>
                <w:sz w:val="20"/>
              </w:rPr>
              <w:t>CZ 7</w:t>
            </w:r>
          </w:p>
        </w:tc>
        <w:tc>
          <w:tcPr>
            <w:tcW w:w="2496" w:type="dxa"/>
            <w:tcBorders>
              <w:left w:val="dashSmallGap" w:sz="4" w:space="0" w:color="A6A6A6"/>
            </w:tcBorders>
          </w:tcPr>
          <w:p w14:paraId="528B3E69" w14:textId="77777777" w:rsidR="0081013A" w:rsidRDefault="004D3D43">
            <w:pPr>
              <w:pStyle w:val="TableParagraph"/>
              <w:spacing w:before="1"/>
              <w:ind w:left="1070"/>
              <w:rPr>
                <w:sz w:val="20"/>
              </w:rPr>
            </w:pPr>
            <w:r>
              <w:rPr>
                <w:sz w:val="20"/>
              </w:rPr>
              <w:t>62.6</w:t>
            </w:r>
          </w:p>
        </w:tc>
        <w:tc>
          <w:tcPr>
            <w:tcW w:w="3871" w:type="dxa"/>
            <w:vMerge/>
            <w:tcBorders>
              <w:top w:val="nil"/>
            </w:tcBorders>
          </w:tcPr>
          <w:p w14:paraId="528B3E6A" w14:textId="77777777" w:rsidR="0081013A" w:rsidRDefault="0081013A">
            <w:pPr>
              <w:rPr>
                <w:sz w:val="2"/>
                <w:szCs w:val="2"/>
              </w:rPr>
            </w:pPr>
          </w:p>
        </w:tc>
      </w:tr>
      <w:tr w:rsidR="0081013A" w14:paraId="528B3E6F" w14:textId="77777777">
        <w:trPr>
          <w:trHeight w:val="244"/>
        </w:trPr>
        <w:tc>
          <w:tcPr>
            <w:tcW w:w="1008" w:type="dxa"/>
            <w:tcBorders>
              <w:right w:val="dashSmallGap" w:sz="4" w:space="0" w:color="A6A6A6"/>
            </w:tcBorders>
          </w:tcPr>
          <w:p w14:paraId="528B3E6C" w14:textId="77777777" w:rsidR="0081013A" w:rsidRDefault="004D3D43">
            <w:pPr>
              <w:pStyle w:val="TableParagraph"/>
              <w:spacing w:before="1" w:line="223" w:lineRule="exact"/>
              <w:ind w:left="107"/>
              <w:rPr>
                <w:sz w:val="20"/>
              </w:rPr>
            </w:pPr>
            <w:r>
              <w:rPr>
                <w:sz w:val="20"/>
              </w:rPr>
              <w:t>CZ 8</w:t>
            </w:r>
          </w:p>
        </w:tc>
        <w:tc>
          <w:tcPr>
            <w:tcW w:w="2496" w:type="dxa"/>
            <w:tcBorders>
              <w:left w:val="dashSmallGap" w:sz="4" w:space="0" w:color="A6A6A6"/>
            </w:tcBorders>
          </w:tcPr>
          <w:p w14:paraId="528B3E6D" w14:textId="77777777" w:rsidR="0081013A" w:rsidRDefault="004D3D43">
            <w:pPr>
              <w:pStyle w:val="TableParagraph"/>
              <w:spacing w:before="1" w:line="223" w:lineRule="exact"/>
              <w:ind w:left="1070"/>
              <w:rPr>
                <w:sz w:val="20"/>
              </w:rPr>
            </w:pPr>
            <w:r>
              <w:rPr>
                <w:sz w:val="20"/>
              </w:rPr>
              <w:t>63.7</w:t>
            </w:r>
          </w:p>
        </w:tc>
        <w:tc>
          <w:tcPr>
            <w:tcW w:w="3871" w:type="dxa"/>
            <w:vMerge/>
            <w:tcBorders>
              <w:top w:val="nil"/>
            </w:tcBorders>
          </w:tcPr>
          <w:p w14:paraId="528B3E6E" w14:textId="77777777" w:rsidR="0081013A" w:rsidRDefault="0081013A">
            <w:pPr>
              <w:rPr>
                <w:sz w:val="2"/>
                <w:szCs w:val="2"/>
              </w:rPr>
            </w:pPr>
          </w:p>
        </w:tc>
      </w:tr>
      <w:tr w:rsidR="0081013A" w14:paraId="528B3E73" w14:textId="77777777">
        <w:trPr>
          <w:trHeight w:val="244"/>
        </w:trPr>
        <w:tc>
          <w:tcPr>
            <w:tcW w:w="1008" w:type="dxa"/>
            <w:tcBorders>
              <w:right w:val="dashSmallGap" w:sz="4" w:space="0" w:color="A6A6A6"/>
            </w:tcBorders>
          </w:tcPr>
          <w:p w14:paraId="528B3E70" w14:textId="77777777" w:rsidR="0081013A" w:rsidRDefault="004D3D43">
            <w:pPr>
              <w:pStyle w:val="TableParagraph"/>
              <w:spacing w:before="1" w:line="223" w:lineRule="exact"/>
              <w:ind w:left="107"/>
              <w:rPr>
                <w:sz w:val="20"/>
              </w:rPr>
            </w:pPr>
            <w:r>
              <w:rPr>
                <w:sz w:val="20"/>
              </w:rPr>
              <w:t>CZ 9</w:t>
            </w:r>
          </w:p>
        </w:tc>
        <w:tc>
          <w:tcPr>
            <w:tcW w:w="2496" w:type="dxa"/>
            <w:tcBorders>
              <w:left w:val="dashSmallGap" w:sz="4" w:space="0" w:color="A6A6A6"/>
            </w:tcBorders>
          </w:tcPr>
          <w:p w14:paraId="528B3E71" w14:textId="77777777" w:rsidR="0081013A" w:rsidRDefault="004D3D43">
            <w:pPr>
              <w:pStyle w:val="TableParagraph"/>
              <w:spacing w:before="1" w:line="223" w:lineRule="exact"/>
              <w:ind w:left="1070"/>
              <w:rPr>
                <w:sz w:val="20"/>
              </w:rPr>
            </w:pPr>
            <w:r>
              <w:rPr>
                <w:sz w:val="20"/>
              </w:rPr>
              <w:t>63.8</w:t>
            </w:r>
          </w:p>
        </w:tc>
        <w:tc>
          <w:tcPr>
            <w:tcW w:w="3871" w:type="dxa"/>
            <w:vMerge/>
            <w:tcBorders>
              <w:top w:val="nil"/>
            </w:tcBorders>
          </w:tcPr>
          <w:p w14:paraId="528B3E72" w14:textId="77777777" w:rsidR="0081013A" w:rsidRDefault="0081013A">
            <w:pPr>
              <w:rPr>
                <w:sz w:val="2"/>
                <w:szCs w:val="2"/>
              </w:rPr>
            </w:pPr>
          </w:p>
        </w:tc>
      </w:tr>
      <w:tr w:rsidR="0081013A" w14:paraId="528B3E77" w14:textId="77777777">
        <w:trPr>
          <w:trHeight w:val="244"/>
        </w:trPr>
        <w:tc>
          <w:tcPr>
            <w:tcW w:w="1008" w:type="dxa"/>
            <w:tcBorders>
              <w:right w:val="dashSmallGap" w:sz="4" w:space="0" w:color="A6A6A6"/>
            </w:tcBorders>
          </w:tcPr>
          <w:p w14:paraId="528B3E74" w14:textId="77777777" w:rsidR="0081013A" w:rsidRDefault="004D3D43">
            <w:pPr>
              <w:pStyle w:val="TableParagraph"/>
              <w:spacing w:before="1" w:line="223" w:lineRule="exact"/>
              <w:ind w:left="107"/>
              <w:rPr>
                <w:sz w:val="20"/>
              </w:rPr>
            </w:pPr>
            <w:r>
              <w:rPr>
                <w:sz w:val="20"/>
              </w:rPr>
              <w:t>CZ 10</w:t>
            </w:r>
          </w:p>
        </w:tc>
        <w:tc>
          <w:tcPr>
            <w:tcW w:w="2496" w:type="dxa"/>
            <w:tcBorders>
              <w:left w:val="dashSmallGap" w:sz="4" w:space="0" w:color="A6A6A6"/>
            </w:tcBorders>
          </w:tcPr>
          <w:p w14:paraId="528B3E75" w14:textId="77777777" w:rsidR="0081013A" w:rsidRDefault="004D3D43">
            <w:pPr>
              <w:pStyle w:val="TableParagraph"/>
              <w:spacing w:before="1" w:line="223" w:lineRule="exact"/>
              <w:ind w:left="1070"/>
              <w:rPr>
                <w:sz w:val="20"/>
              </w:rPr>
            </w:pPr>
            <w:r>
              <w:rPr>
                <w:sz w:val="20"/>
              </w:rPr>
              <w:t>64.2</w:t>
            </w:r>
          </w:p>
        </w:tc>
        <w:tc>
          <w:tcPr>
            <w:tcW w:w="3871" w:type="dxa"/>
            <w:vMerge/>
            <w:tcBorders>
              <w:top w:val="nil"/>
            </w:tcBorders>
          </w:tcPr>
          <w:p w14:paraId="528B3E76" w14:textId="77777777" w:rsidR="0081013A" w:rsidRDefault="0081013A">
            <w:pPr>
              <w:rPr>
                <w:sz w:val="2"/>
                <w:szCs w:val="2"/>
              </w:rPr>
            </w:pPr>
          </w:p>
        </w:tc>
      </w:tr>
      <w:tr w:rsidR="0081013A" w14:paraId="528B3E7B" w14:textId="77777777">
        <w:trPr>
          <w:trHeight w:val="241"/>
        </w:trPr>
        <w:tc>
          <w:tcPr>
            <w:tcW w:w="1008" w:type="dxa"/>
            <w:tcBorders>
              <w:right w:val="dashSmallGap" w:sz="4" w:space="0" w:color="A6A6A6"/>
            </w:tcBorders>
          </w:tcPr>
          <w:p w14:paraId="528B3E78" w14:textId="77777777" w:rsidR="0081013A" w:rsidRDefault="004D3D43">
            <w:pPr>
              <w:pStyle w:val="TableParagraph"/>
              <w:spacing w:line="222" w:lineRule="exact"/>
              <w:ind w:left="107"/>
              <w:rPr>
                <w:sz w:val="20"/>
              </w:rPr>
            </w:pPr>
            <w:r>
              <w:rPr>
                <w:sz w:val="20"/>
              </w:rPr>
              <w:t>CZ 11</w:t>
            </w:r>
          </w:p>
        </w:tc>
        <w:tc>
          <w:tcPr>
            <w:tcW w:w="2496" w:type="dxa"/>
            <w:tcBorders>
              <w:left w:val="dashSmallGap" w:sz="4" w:space="0" w:color="A6A6A6"/>
            </w:tcBorders>
          </w:tcPr>
          <w:p w14:paraId="528B3E79" w14:textId="77777777" w:rsidR="0081013A" w:rsidRDefault="004D3D43">
            <w:pPr>
              <w:pStyle w:val="TableParagraph"/>
              <w:spacing w:line="222" w:lineRule="exact"/>
              <w:ind w:left="1070"/>
              <w:rPr>
                <w:sz w:val="20"/>
              </w:rPr>
            </w:pPr>
            <w:r>
              <w:rPr>
                <w:sz w:val="20"/>
              </w:rPr>
              <w:t>63.2</w:t>
            </w:r>
          </w:p>
        </w:tc>
        <w:tc>
          <w:tcPr>
            <w:tcW w:w="3871" w:type="dxa"/>
            <w:vMerge/>
            <w:tcBorders>
              <w:top w:val="nil"/>
            </w:tcBorders>
          </w:tcPr>
          <w:p w14:paraId="528B3E7A" w14:textId="77777777" w:rsidR="0081013A" w:rsidRDefault="0081013A">
            <w:pPr>
              <w:rPr>
                <w:sz w:val="2"/>
                <w:szCs w:val="2"/>
              </w:rPr>
            </w:pPr>
          </w:p>
        </w:tc>
      </w:tr>
      <w:tr w:rsidR="0081013A" w14:paraId="528B3E7F" w14:textId="77777777">
        <w:trPr>
          <w:trHeight w:val="244"/>
        </w:trPr>
        <w:tc>
          <w:tcPr>
            <w:tcW w:w="1008" w:type="dxa"/>
            <w:tcBorders>
              <w:right w:val="dashSmallGap" w:sz="4" w:space="0" w:color="A6A6A6"/>
            </w:tcBorders>
          </w:tcPr>
          <w:p w14:paraId="528B3E7C" w14:textId="77777777" w:rsidR="0081013A" w:rsidRDefault="004D3D43">
            <w:pPr>
              <w:pStyle w:val="TableParagraph"/>
              <w:spacing w:before="1" w:line="223" w:lineRule="exact"/>
              <w:ind w:left="107"/>
              <w:rPr>
                <w:sz w:val="20"/>
              </w:rPr>
            </w:pPr>
            <w:r>
              <w:rPr>
                <w:sz w:val="20"/>
              </w:rPr>
              <w:t>CZ 12</w:t>
            </w:r>
          </w:p>
        </w:tc>
        <w:tc>
          <w:tcPr>
            <w:tcW w:w="2496" w:type="dxa"/>
            <w:tcBorders>
              <w:left w:val="dashSmallGap" w:sz="4" w:space="0" w:color="A6A6A6"/>
            </w:tcBorders>
          </w:tcPr>
          <w:p w14:paraId="528B3E7D" w14:textId="77777777" w:rsidR="0081013A" w:rsidRDefault="004D3D43">
            <w:pPr>
              <w:pStyle w:val="TableParagraph"/>
              <w:spacing w:before="1" w:line="223" w:lineRule="exact"/>
              <w:ind w:left="1070"/>
              <w:rPr>
                <w:sz w:val="20"/>
              </w:rPr>
            </w:pPr>
            <w:r>
              <w:rPr>
                <w:sz w:val="20"/>
              </w:rPr>
              <w:t>60.9</w:t>
            </w:r>
          </w:p>
        </w:tc>
        <w:tc>
          <w:tcPr>
            <w:tcW w:w="3871" w:type="dxa"/>
            <w:vMerge/>
            <w:tcBorders>
              <w:top w:val="nil"/>
            </w:tcBorders>
          </w:tcPr>
          <w:p w14:paraId="528B3E7E" w14:textId="77777777" w:rsidR="0081013A" w:rsidRDefault="0081013A">
            <w:pPr>
              <w:rPr>
                <w:sz w:val="2"/>
                <w:szCs w:val="2"/>
              </w:rPr>
            </w:pPr>
          </w:p>
        </w:tc>
      </w:tr>
      <w:tr w:rsidR="0081013A" w14:paraId="528B3E83" w14:textId="77777777">
        <w:trPr>
          <w:trHeight w:val="244"/>
        </w:trPr>
        <w:tc>
          <w:tcPr>
            <w:tcW w:w="1008" w:type="dxa"/>
            <w:tcBorders>
              <w:right w:val="dashSmallGap" w:sz="4" w:space="0" w:color="A6A6A6"/>
            </w:tcBorders>
          </w:tcPr>
          <w:p w14:paraId="528B3E80" w14:textId="77777777" w:rsidR="0081013A" w:rsidRDefault="004D3D43">
            <w:pPr>
              <w:pStyle w:val="TableParagraph"/>
              <w:spacing w:before="1" w:line="223" w:lineRule="exact"/>
              <w:ind w:left="107"/>
              <w:rPr>
                <w:sz w:val="20"/>
              </w:rPr>
            </w:pPr>
            <w:r>
              <w:rPr>
                <w:sz w:val="20"/>
              </w:rPr>
              <w:t>CZ 13</w:t>
            </w:r>
          </w:p>
        </w:tc>
        <w:tc>
          <w:tcPr>
            <w:tcW w:w="2496" w:type="dxa"/>
            <w:tcBorders>
              <w:left w:val="dashSmallGap" w:sz="4" w:space="0" w:color="A6A6A6"/>
            </w:tcBorders>
          </w:tcPr>
          <w:p w14:paraId="528B3E81" w14:textId="77777777" w:rsidR="0081013A" w:rsidRDefault="004D3D43">
            <w:pPr>
              <w:pStyle w:val="TableParagraph"/>
              <w:spacing w:before="1" w:line="223" w:lineRule="exact"/>
              <w:ind w:left="1070"/>
              <w:rPr>
                <w:sz w:val="20"/>
              </w:rPr>
            </w:pPr>
            <w:r>
              <w:rPr>
                <w:sz w:val="20"/>
              </w:rPr>
              <w:t>64.1</w:t>
            </w:r>
          </w:p>
        </w:tc>
        <w:tc>
          <w:tcPr>
            <w:tcW w:w="3871" w:type="dxa"/>
            <w:vMerge/>
            <w:tcBorders>
              <w:top w:val="nil"/>
            </w:tcBorders>
          </w:tcPr>
          <w:p w14:paraId="528B3E82" w14:textId="77777777" w:rsidR="0081013A" w:rsidRDefault="0081013A">
            <w:pPr>
              <w:rPr>
                <w:sz w:val="2"/>
                <w:szCs w:val="2"/>
              </w:rPr>
            </w:pPr>
          </w:p>
        </w:tc>
      </w:tr>
      <w:tr w:rsidR="0081013A" w14:paraId="528B3E87" w14:textId="77777777">
        <w:trPr>
          <w:trHeight w:val="244"/>
        </w:trPr>
        <w:tc>
          <w:tcPr>
            <w:tcW w:w="1008" w:type="dxa"/>
            <w:tcBorders>
              <w:right w:val="dashSmallGap" w:sz="4" w:space="0" w:color="A6A6A6"/>
            </w:tcBorders>
          </w:tcPr>
          <w:p w14:paraId="528B3E84" w14:textId="77777777" w:rsidR="0081013A" w:rsidRDefault="004D3D43">
            <w:pPr>
              <w:pStyle w:val="TableParagraph"/>
              <w:spacing w:before="1" w:line="223" w:lineRule="exact"/>
              <w:ind w:left="107"/>
              <w:rPr>
                <w:sz w:val="20"/>
              </w:rPr>
            </w:pPr>
            <w:r>
              <w:rPr>
                <w:sz w:val="20"/>
              </w:rPr>
              <w:t>CZ 14</w:t>
            </w:r>
          </w:p>
        </w:tc>
        <w:tc>
          <w:tcPr>
            <w:tcW w:w="2496" w:type="dxa"/>
            <w:tcBorders>
              <w:left w:val="dashSmallGap" w:sz="4" w:space="0" w:color="A6A6A6"/>
            </w:tcBorders>
          </w:tcPr>
          <w:p w14:paraId="528B3E85" w14:textId="77777777" w:rsidR="0081013A" w:rsidRDefault="004D3D43">
            <w:pPr>
              <w:pStyle w:val="TableParagraph"/>
              <w:spacing w:before="1" w:line="223" w:lineRule="exact"/>
              <w:ind w:left="1070"/>
              <w:rPr>
                <w:sz w:val="20"/>
              </w:rPr>
            </w:pPr>
            <w:r>
              <w:rPr>
                <w:sz w:val="20"/>
              </w:rPr>
              <w:t>62.7</w:t>
            </w:r>
          </w:p>
        </w:tc>
        <w:tc>
          <w:tcPr>
            <w:tcW w:w="3871" w:type="dxa"/>
            <w:vMerge/>
            <w:tcBorders>
              <w:top w:val="nil"/>
            </w:tcBorders>
          </w:tcPr>
          <w:p w14:paraId="528B3E86" w14:textId="77777777" w:rsidR="0081013A" w:rsidRDefault="0081013A">
            <w:pPr>
              <w:rPr>
                <w:sz w:val="2"/>
                <w:szCs w:val="2"/>
              </w:rPr>
            </w:pPr>
          </w:p>
        </w:tc>
      </w:tr>
      <w:tr w:rsidR="0081013A" w14:paraId="528B3E8B" w14:textId="77777777">
        <w:trPr>
          <w:trHeight w:val="244"/>
        </w:trPr>
        <w:tc>
          <w:tcPr>
            <w:tcW w:w="1008" w:type="dxa"/>
            <w:tcBorders>
              <w:right w:val="dashSmallGap" w:sz="4" w:space="0" w:color="A6A6A6"/>
            </w:tcBorders>
          </w:tcPr>
          <w:p w14:paraId="528B3E88" w14:textId="77777777" w:rsidR="0081013A" w:rsidRDefault="004D3D43">
            <w:pPr>
              <w:pStyle w:val="TableParagraph"/>
              <w:spacing w:before="1" w:line="223" w:lineRule="exact"/>
              <w:ind w:left="107"/>
              <w:rPr>
                <w:sz w:val="20"/>
              </w:rPr>
            </w:pPr>
            <w:r>
              <w:rPr>
                <w:sz w:val="20"/>
              </w:rPr>
              <w:t>CZ 15</w:t>
            </w:r>
          </w:p>
        </w:tc>
        <w:tc>
          <w:tcPr>
            <w:tcW w:w="2496" w:type="dxa"/>
            <w:tcBorders>
              <w:left w:val="dashSmallGap" w:sz="4" w:space="0" w:color="A6A6A6"/>
            </w:tcBorders>
          </w:tcPr>
          <w:p w14:paraId="528B3E89" w14:textId="77777777" w:rsidR="0081013A" w:rsidRDefault="004D3D43">
            <w:pPr>
              <w:pStyle w:val="TableParagraph"/>
              <w:spacing w:before="1" w:line="223" w:lineRule="exact"/>
              <w:ind w:left="1070"/>
              <w:rPr>
                <w:sz w:val="20"/>
              </w:rPr>
            </w:pPr>
            <w:r>
              <w:rPr>
                <w:sz w:val="20"/>
              </w:rPr>
              <w:t>75.5</w:t>
            </w:r>
          </w:p>
        </w:tc>
        <w:tc>
          <w:tcPr>
            <w:tcW w:w="3871" w:type="dxa"/>
            <w:vMerge/>
            <w:tcBorders>
              <w:top w:val="nil"/>
            </w:tcBorders>
          </w:tcPr>
          <w:p w14:paraId="528B3E8A" w14:textId="77777777" w:rsidR="0081013A" w:rsidRDefault="0081013A">
            <w:pPr>
              <w:rPr>
                <w:sz w:val="2"/>
                <w:szCs w:val="2"/>
              </w:rPr>
            </w:pPr>
          </w:p>
        </w:tc>
      </w:tr>
      <w:tr w:rsidR="0081013A" w14:paraId="528B3E8F" w14:textId="77777777">
        <w:trPr>
          <w:trHeight w:val="244"/>
        </w:trPr>
        <w:tc>
          <w:tcPr>
            <w:tcW w:w="1008" w:type="dxa"/>
            <w:tcBorders>
              <w:right w:val="dashSmallGap" w:sz="4" w:space="0" w:color="A6A6A6"/>
            </w:tcBorders>
          </w:tcPr>
          <w:p w14:paraId="528B3E8C" w14:textId="77777777" w:rsidR="0081013A" w:rsidRDefault="004D3D43">
            <w:pPr>
              <w:pStyle w:val="TableParagraph"/>
              <w:spacing w:before="1" w:line="223" w:lineRule="exact"/>
              <w:ind w:left="107"/>
              <w:rPr>
                <w:sz w:val="20"/>
              </w:rPr>
            </w:pPr>
            <w:r>
              <w:rPr>
                <w:sz w:val="20"/>
              </w:rPr>
              <w:t>CZ 16</w:t>
            </w:r>
          </w:p>
        </w:tc>
        <w:tc>
          <w:tcPr>
            <w:tcW w:w="2496" w:type="dxa"/>
            <w:tcBorders>
              <w:left w:val="dashSmallGap" w:sz="4" w:space="0" w:color="A6A6A6"/>
            </w:tcBorders>
          </w:tcPr>
          <w:p w14:paraId="528B3E8D" w14:textId="77777777" w:rsidR="0081013A" w:rsidRDefault="004D3D43">
            <w:pPr>
              <w:pStyle w:val="TableParagraph"/>
              <w:spacing w:before="1" w:line="223" w:lineRule="exact"/>
              <w:ind w:left="1070"/>
              <w:rPr>
                <w:sz w:val="20"/>
              </w:rPr>
            </w:pPr>
            <w:r>
              <w:rPr>
                <w:sz w:val="20"/>
              </w:rPr>
              <w:t>51.8</w:t>
            </w:r>
          </w:p>
        </w:tc>
        <w:tc>
          <w:tcPr>
            <w:tcW w:w="3871" w:type="dxa"/>
            <w:vMerge/>
            <w:tcBorders>
              <w:top w:val="nil"/>
            </w:tcBorders>
          </w:tcPr>
          <w:p w14:paraId="528B3E8E" w14:textId="77777777" w:rsidR="0081013A" w:rsidRDefault="0081013A">
            <w:pPr>
              <w:rPr>
                <w:sz w:val="2"/>
                <w:szCs w:val="2"/>
              </w:rPr>
            </w:pPr>
          </w:p>
        </w:tc>
      </w:tr>
    </w:tbl>
    <w:p w14:paraId="528B3E90" w14:textId="77777777" w:rsidR="0081013A" w:rsidRDefault="0081013A">
      <w:pPr>
        <w:pStyle w:val="BodyText"/>
        <w:rPr>
          <w:sz w:val="20"/>
        </w:rPr>
      </w:pPr>
    </w:p>
    <w:p w14:paraId="528B3E91" w14:textId="77777777" w:rsidR="0081013A" w:rsidRDefault="0081013A">
      <w:pPr>
        <w:pStyle w:val="BodyText"/>
        <w:spacing w:before="7"/>
        <w:rPr>
          <w:sz w:val="21"/>
        </w:rPr>
      </w:pPr>
    </w:p>
    <w:p w14:paraId="528B3E92" w14:textId="3D5FBC61" w:rsidR="0081013A" w:rsidRDefault="004D3D43">
      <w:pPr>
        <w:pStyle w:val="BodyText"/>
        <w:ind w:left="119" w:right="455"/>
      </w:pPr>
      <w:r w:rsidRPr="00C076E8">
        <w:rPr>
          <w:b/>
          <w:bCs/>
        </w:rPr>
        <w:t>Mixed Water Temperature at Showerhead Outlet</w:t>
      </w:r>
      <w:r w:rsidR="00C076E8" w:rsidRPr="00C076E8">
        <w:rPr>
          <w:b/>
          <w:bCs/>
        </w:rPr>
        <w:t>:</w:t>
      </w:r>
      <w:r>
        <w:t xml:space="preserve"> For low-flow showerheads, the outlet water heater temperature was derived from the Sempra Energy Utilities (San Diego Gas and Electric and the Southern California Gas Company) 2009 field survey data. The mixed water temperature reflects that hot water does not comprise the entire shower flow and the tempering of the hot water with cold water to establish full shower flow.</w:t>
      </w:r>
    </w:p>
    <w:p w14:paraId="528B3E93" w14:textId="77777777" w:rsidR="0081013A" w:rsidRDefault="004D3D43">
      <w:pPr>
        <w:pStyle w:val="BodyText"/>
        <w:spacing w:before="119"/>
        <w:ind w:left="120" w:right="593" w:hanging="1"/>
      </w:pPr>
      <w:r w:rsidRPr="00C076E8">
        <w:rPr>
          <w:b/>
          <w:bCs/>
        </w:rPr>
        <w:t>Recovery Efficiency:</w:t>
      </w:r>
      <w:r>
        <w:t xml:space="preserve"> To convert the water heating load to gas energy use at the water heater, the recovery efficiency (RE) is used. Recovery efficiency is a measure of how efficiently the heat from the energy source is transferred to the water (the ratio of energy output used to heat the water divided by</w:t>
      </w:r>
    </w:p>
    <w:p w14:paraId="528B3E94" w14:textId="77777777" w:rsidR="0081013A" w:rsidRDefault="0081013A">
      <w:pPr>
        <w:sectPr w:rsidR="0081013A">
          <w:pgSz w:w="12240" w:h="15840"/>
          <w:pgMar w:top="1220" w:right="1120" w:bottom="1320" w:left="1320" w:header="858" w:footer="1129" w:gutter="0"/>
          <w:cols w:space="720"/>
        </w:sectPr>
      </w:pPr>
    </w:p>
    <w:p w14:paraId="528B3E95" w14:textId="77777777" w:rsidR="0081013A" w:rsidRDefault="0081013A">
      <w:pPr>
        <w:pStyle w:val="BodyText"/>
        <w:spacing w:before="10"/>
        <w:rPr>
          <w:sz w:val="19"/>
        </w:rPr>
      </w:pPr>
    </w:p>
    <w:p w14:paraId="528B3E96" w14:textId="77777777" w:rsidR="0081013A" w:rsidRDefault="004D3D43">
      <w:pPr>
        <w:pStyle w:val="BodyText"/>
        <w:spacing w:before="56"/>
        <w:ind w:left="119" w:right="434"/>
      </w:pPr>
      <w:r>
        <w:t>energy input). A weighted RE value was derived from the natural-gas fired, storage-type water heaters extracted from the California Energy Commission database of certified equipment (without limit to the listed equipment energy factor, EF). RE was subsequently stipulated by the Energy Division of the CPUC.</w:t>
      </w:r>
      <w:hyperlink w:anchor="_bookmark8" w:history="1">
        <w:r>
          <w:rPr>
            <w:vertAlign w:val="superscript"/>
          </w:rPr>
          <w:t>9</w:t>
        </w:r>
      </w:hyperlink>
    </w:p>
    <w:p w14:paraId="528B3E97" w14:textId="77777777" w:rsidR="0081013A" w:rsidRDefault="0081013A">
      <w:pPr>
        <w:pStyle w:val="BodyText"/>
        <w:rPr>
          <w:sz w:val="24"/>
        </w:rPr>
      </w:pPr>
    </w:p>
    <w:p w14:paraId="528B3E98" w14:textId="77777777" w:rsidR="0081013A" w:rsidRDefault="0081013A">
      <w:pPr>
        <w:pStyle w:val="BodyText"/>
        <w:spacing w:before="9"/>
        <w:rPr>
          <w:sz w:val="18"/>
        </w:rPr>
      </w:pPr>
    </w:p>
    <w:p w14:paraId="528B3E99" w14:textId="77777777" w:rsidR="0081013A" w:rsidRDefault="004D3D43">
      <w:pPr>
        <w:pStyle w:val="Heading1"/>
      </w:pPr>
      <w:bookmarkStart w:id="25" w:name="_TOC_250009"/>
      <w:bookmarkEnd w:id="25"/>
      <w:r>
        <w:rPr>
          <w:color w:val="CFAB79"/>
        </w:rPr>
        <w:t>LIFE CYCLE</w:t>
      </w:r>
    </w:p>
    <w:p w14:paraId="528B3E9A" w14:textId="77777777" w:rsidR="0081013A" w:rsidRDefault="004D3D43">
      <w:pPr>
        <w:pStyle w:val="BodyText"/>
        <w:spacing w:before="115"/>
        <w:ind w:left="119" w:right="394"/>
      </w:pPr>
      <w:r>
        <w:t>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w:t>
      </w:r>
    </w:p>
    <w:p w14:paraId="528B3E9B" w14:textId="77777777" w:rsidR="0081013A" w:rsidRDefault="004D3D43">
      <w:pPr>
        <w:pStyle w:val="BodyText"/>
        <w:spacing w:before="119"/>
        <w:ind w:left="119" w:right="367"/>
      </w:pPr>
      <w:r>
        <w:t>The methodology to calculate the RUL conforms with Version 5 of the Energy Efficiency Policy Manual, which recommends “one-third of the effective useful life in DEER as the remaining useful life until further study results are available to establish more accurate values.”</w:t>
      </w:r>
      <w:hyperlink w:anchor="_bookmark9" w:history="1">
        <w:r>
          <w:rPr>
            <w:vertAlign w:val="superscript"/>
          </w:rPr>
          <w:t>10</w:t>
        </w:r>
        <w:r>
          <w:t xml:space="preserve"> </w:t>
        </w:r>
      </w:hyperlink>
      <w:r>
        <w:t>This approach provides a reasonable RUL estimate without the requiring any a priori knowledge about the age of the equipment being</w:t>
      </w:r>
    </w:p>
    <w:p w14:paraId="528B3E9C" w14:textId="77777777" w:rsidR="0081013A" w:rsidRDefault="004D3D43">
      <w:pPr>
        <w:pStyle w:val="BodyText"/>
        <w:spacing w:before="1"/>
        <w:ind w:left="119" w:right="618"/>
      </w:pPr>
      <w:r>
        <w:t>replaced.</w:t>
      </w:r>
      <w:hyperlink w:anchor="_bookmark10" w:history="1">
        <w:r>
          <w:rPr>
            <w:vertAlign w:val="superscript"/>
          </w:rPr>
          <w:t>11</w:t>
        </w:r>
        <w:r>
          <w:t xml:space="preserve"> </w:t>
        </w:r>
      </w:hyperlink>
      <w:r>
        <w:t xml:space="preserve">Further, as per Resolution E-4807, the California Public Utilities Commission (CPUC) revised add-on equipment measures so that the EUL of the measure is equal to the lower of the RUL of the modified system or equipment or the EUL of the add-on component.” </w:t>
      </w:r>
      <w:hyperlink w:anchor="_bookmark11" w:history="1">
        <w:r>
          <w:rPr>
            <w:vertAlign w:val="superscript"/>
          </w:rPr>
          <w:t>12</w:t>
        </w:r>
      </w:hyperlink>
    </w:p>
    <w:p w14:paraId="528B3E9D" w14:textId="77777777" w:rsidR="0081013A" w:rsidRDefault="004D3D43">
      <w:pPr>
        <w:pStyle w:val="BodyText"/>
        <w:spacing w:before="121"/>
        <w:ind w:left="119" w:right="478"/>
      </w:pPr>
      <w:r>
        <w:t xml:space="preserve">The EUL and RUL adopted for this measure are specified below. For a </w:t>
      </w:r>
      <w:r>
        <w:rPr>
          <w:i/>
        </w:rPr>
        <w:t xml:space="preserve">normal replacement </w:t>
      </w:r>
      <w:r>
        <w:t xml:space="preserve">installation, only the EUL is applicable. For </w:t>
      </w:r>
      <w:r>
        <w:rPr>
          <w:i/>
        </w:rPr>
        <w:t xml:space="preserve">accelerated replacement and add-on equipment </w:t>
      </w:r>
      <w:r>
        <w:t>installations, the first period savings utilizes the RUL period of one-third of the EUL. The second period savings for accelerated replacement utilizes the (EUL minus RUL) value.</w:t>
      </w:r>
    </w:p>
    <w:p w14:paraId="528B3E9E" w14:textId="77777777" w:rsidR="0081013A" w:rsidRDefault="0081013A">
      <w:pPr>
        <w:pStyle w:val="BodyText"/>
        <w:rPr>
          <w:sz w:val="23"/>
        </w:rPr>
      </w:pPr>
    </w:p>
    <w:p w14:paraId="528B3E9F" w14:textId="77777777" w:rsidR="0081013A" w:rsidRPr="00EC5822" w:rsidRDefault="004D3D43">
      <w:pPr>
        <w:spacing w:before="1"/>
        <w:ind w:left="120"/>
        <w:rPr>
          <w:b/>
          <w:bCs/>
          <w:sz w:val="20"/>
        </w:rPr>
      </w:pPr>
      <w:r w:rsidRPr="00EC5822">
        <w:rPr>
          <w:b/>
          <w:bCs/>
          <w:sz w:val="20"/>
        </w:rPr>
        <w:t>Effective Useful Life and Remaining Useful Life</w:t>
      </w:r>
    </w:p>
    <w:p w14:paraId="528B3EA0" w14:textId="77777777" w:rsidR="0081013A" w:rsidRDefault="0081013A">
      <w:pPr>
        <w:pStyle w:val="BodyText"/>
        <w:spacing w:before="4"/>
        <w:rPr>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970"/>
        <w:gridCol w:w="1567"/>
        <w:gridCol w:w="1567"/>
        <w:gridCol w:w="4250"/>
      </w:tblGrid>
      <w:tr w:rsidR="0081013A" w14:paraId="528B3EA5" w14:textId="77777777">
        <w:trPr>
          <w:trHeight w:val="285"/>
        </w:trPr>
        <w:tc>
          <w:tcPr>
            <w:tcW w:w="1970" w:type="dxa"/>
            <w:shd w:val="clear" w:color="auto" w:fill="F1F1F1"/>
          </w:tcPr>
          <w:p w14:paraId="528B3EA1" w14:textId="77777777" w:rsidR="0081013A" w:rsidRPr="004E692F" w:rsidRDefault="004D3D43">
            <w:pPr>
              <w:pStyle w:val="TableParagraph"/>
              <w:spacing w:before="20"/>
              <w:ind w:left="772" w:right="760"/>
              <w:jc w:val="center"/>
              <w:rPr>
                <w:b/>
                <w:bCs/>
                <w:sz w:val="20"/>
              </w:rPr>
            </w:pPr>
            <w:r w:rsidRPr="004E692F">
              <w:rPr>
                <w:b/>
                <w:bCs/>
                <w:sz w:val="20"/>
              </w:rPr>
              <w:t>Type</w:t>
            </w:r>
          </w:p>
        </w:tc>
        <w:tc>
          <w:tcPr>
            <w:tcW w:w="1567" w:type="dxa"/>
            <w:shd w:val="clear" w:color="auto" w:fill="F1F1F1"/>
          </w:tcPr>
          <w:p w14:paraId="528B3EA2" w14:textId="77777777" w:rsidR="0081013A" w:rsidRPr="004E692F" w:rsidRDefault="004D3D43">
            <w:pPr>
              <w:pStyle w:val="TableParagraph"/>
              <w:spacing w:before="20"/>
              <w:ind w:left="616" w:right="604"/>
              <w:jc w:val="center"/>
              <w:rPr>
                <w:b/>
                <w:bCs/>
                <w:sz w:val="20"/>
              </w:rPr>
            </w:pPr>
            <w:r w:rsidRPr="004E692F">
              <w:rPr>
                <w:b/>
                <w:bCs/>
                <w:sz w:val="20"/>
              </w:rPr>
              <w:t>Gas</w:t>
            </w:r>
          </w:p>
        </w:tc>
        <w:tc>
          <w:tcPr>
            <w:tcW w:w="1567" w:type="dxa"/>
            <w:shd w:val="clear" w:color="auto" w:fill="F1F1F1"/>
          </w:tcPr>
          <w:p w14:paraId="528B3EA3" w14:textId="77777777" w:rsidR="0081013A" w:rsidRPr="004E692F" w:rsidRDefault="004D3D43">
            <w:pPr>
              <w:pStyle w:val="TableParagraph"/>
              <w:spacing w:before="20"/>
              <w:ind w:left="494"/>
              <w:rPr>
                <w:b/>
                <w:bCs/>
                <w:sz w:val="20"/>
              </w:rPr>
            </w:pPr>
            <w:r w:rsidRPr="004E692F">
              <w:rPr>
                <w:b/>
                <w:bCs/>
                <w:sz w:val="20"/>
              </w:rPr>
              <w:t>Electric</w:t>
            </w:r>
          </w:p>
        </w:tc>
        <w:tc>
          <w:tcPr>
            <w:tcW w:w="4250" w:type="dxa"/>
            <w:shd w:val="clear" w:color="auto" w:fill="F1F1F1"/>
          </w:tcPr>
          <w:p w14:paraId="528B3EA4" w14:textId="77777777" w:rsidR="0081013A" w:rsidRPr="004E692F" w:rsidRDefault="004D3D43">
            <w:pPr>
              <w:pStyle w:val="TableParagraph"/>
              <w:spacing w:before="20"/>
              <w:ind w:left="1829" w:right="1818"/>
              <w:jc w:val="center"/>
              <w:rPr>
                <w:b/>
                <w:bCs/>
                <w:sz w:val="20"/>
              </w:rPr>
            </w:pPr>
            <w:r w:rsidRPr="004E692F">
              <w:rPr>
                <w:b/>
                <w:bCs/>
                <w:sz w:val="20"/>
              </w:rPr>
              <w:t>Source</w:t>
            </w:r>
          </w:p>
        </w:tc>
      </w:tr>
      <w:tr w:rsidR="0081013A" w14:paraId="528B3EA9" w14:textId="77777777">
        <w:trPr>
          <w:trHeight w:val="282"/>
        </w:trPr>
        <w:tc>
          <w:tcPr>
            <w:tcW w:w="5104" w:type="dxa"/>
            <w:gridSpan w:val="3"/>
          </w:tcPr>
          <w:p w14:paraId="528B3EA6" w14:textId="77777777" w:rsidR="0081013A" w:rsidRPr="00EC5822" w:rsidRDefault="004D3D43">
            <w:pPr>
              <w:pStyle w:val="TableParagraph"/>
              <w:spacing w:before="20" w:line="242" w:lineRule="exact"/>
              <w:ind w:left="107"/>
              <w:rPr>
                <w:b/>
                <w:bCs/>
                <w:sz w:val="20"/>
              </w:rPr>
            </w:pPr>
            <w:r w:rsidRPr="00EC5822">
              <w:rPr>
                <w:b/>
                <w:bCs/>
                <w:sz w:val="20"/>
              </w:rPr>
              <w:t>Single Baseline for Normal Replacement / New Construction</w:t>
            </w:r>
          </w:p>
        </w:tc>
        <w:tc>
          <w:tcPr>
            <w:tcW w:w="4250" w:type="dxa"/>
            <w:vMerge w:val="restart"/>
          </w:tcPr>
          <w:p w14:paraId="528B3EA7" w14:textId="77777777" w:rsidR="0081013A" w:rsidRDefault="0081013A">
            <w:pPr>
              <w:pStyle w:val="TableParagraph"/>
              <w:spacing w:before="7"/>
              <w:rPr>
                <w:sz w:val="17"/>
              </w:rPr>
            </w:pPr>
          </w:p>
          <w:p w14:paraId="528B3EA8" w14:textId="77777777" w:rsidR="0081013A" w:rsidRDefault="004D3D43">
            <w:pPr>
              <w:pStyle w:val="TableParagraph"/>
              <w:ind w:left="108" w:right="364" w:firstLine="50"/>
              <w:rPr>
                <w:sz w:val="18"/>
              </w:rPr>
            </w:pPr>
            <w:r>
              <w:rPr>
                <w:sz w:val="18"/>
              </w:rPr>
              <w:t>California Public Utilities Commission (CPUC). 2014. “DEER2014-EUL-table-update_2014-02-05.xlsx.”</w:t>
            </w:r>
          </w:p>
        </w:tc>
      </w:tr>
      <w:tr w:rsidR="0081013A" w14:paraId="528B3EAE" w14:textId="77777777">
        <w:trPr>
          <w:trHeight w:val="285"/>
        </w:trPr>
        <w:tc>
          <w:tcPr>
            <w:tcW w:w="1970" w:type="dxa"/>
          </w:tcPr>
          <w:p w14:paraId="528B3EAA" w14:textId="77777777" w:rsidR="0081013A" w:rsidRDefault="004D3D43">
            <w:pPr>
              <w:pStyle w:val="TableParagraph"/>
              <w:spacing w:before="20"/>
              <w:ind w:left="261"/>
              <w:rPr>
                <w:sz w:val="20"/>
              </w:rPr>
            </w:pPr>
            <w:r>
              <w:rPr>
                <w:sz w:val="20"/>
              </w:rPr>
              <w:t>EUL</w:t>
            </w:r>
          </w:p>
        </w:tc>
        <w:tc>
          <w:tcPr>
            <w:tcW w:w="1567" w:type="dxa"/>
          </w:tcPr>
          <w:p w14:paraId="528B3EAB" w14:textId="77777777" w:rsidR="0081013A" w:rsidRDefault="004D3D43">
            <w:pPr>
              <w:pStyle w:val="TableParagraph"/>
              <w:spacing w:before="20"/>
              <w:ind w:right="97"/>
              <w:jc w:val="right"/>
              <w:rPr>
                <w:sz w:val="20"/>
              </w:rPr>
            </w:pPr>
            <w:r>
              <w:rPr>
                <w:w w:val="95"/>
                <w:sz w:val="20"/>
              </w:rPr>
              <w:t>10.00</w:t>
            </w:r>
          </w:p>
        </w:tc>
        <w:tc>
          <w:tcPr>
            <w:tcW w:w="1567" w:type="dxa"/>
          </w:tcPr>
          <w:p w14:paraId="528B3EAC" w14:textId="77777777" w:rsidR="0081013A" w:rsidRDefault="004D3D43">
            <w:pPr>
              <w:pStyle w:val="TableParagraph"/>
              <w:spacing w:before="20"/>
              <w:ind w:right="95"/>
              <w:jc w:val="right"/>
              <w:rPr>
                <w:sz w:val="20"/>
              </w:rPr>
            </w:pPr>
            <w:r>
              <w:rPr>
                <w:w w:val="95"/>
                <w:sz w:val="20"/>
              </w:rPr>
              <w:t>10.00</w:t>
            </w:r>
          </w:p>
        </w:tc>
        <w:tc>
          <w:tcPr>
            <w:tcW w:w="4250" w:type="dxa"/>
            <w:vMerge/>
            <w:tcBorders>
              <w:top w:val="nil"/>
            </w:tcBorders>
          </w:tcPr>
          <w:p w14:paraId="528B3EAD" w14:textId="77777777" w:rsidR="0081013A" w:rsidRDefault="0081013A">
            <w:pPr>
              <w:rPr>
                <w:sz w:val="2"/>
                <w:szCs w:val="2"/>
              </w:rPr>
            </w:pPr>
          </w:p>
        </w:tc>
      </w:tr>
      <w:tr w:rsidR="0081013A" w14:paraId="528B3EB3" w14:textId="77777777">
        <w:trPr>
          <w:trHeight w:val="282"/>
        </w:trPr>
        <w:tc>
          <w:tcPr>
            <w:tcW w:w="1970" w:type="dxa"/>
          </w:tcPr>
          <w:p w14:paraId="528B3EAF" w14:textId="77777777" w:rsidR="0081013A" w:rsidRDefault="004D3D43">
            <w:pPr>
              <w:pStyle w:val="TableParagraph"/>
              <w:spacing w:before="20" w:line="242" w:lineRule="exact"/>
              <w:ind w:left="261"/>
              <w:rPr>
                <w:sz w:val="20"/>
              </w:rPr>
            </w:pPr>
            <w:r>
              <w:rPr>
                <w:sz w:val="20"/>
              </w:rPr>
              <w:t>RUL</w:t>
            </w:r>
          </w:p>
        </w:tc>
        <w:tc>
          <w:tcPr>
            <w:tcW w:w="1567" w:type="dxa"/>
          </w:tcPr>
          <w:p w14:paraId="528B3EB0" w14:textId="77777777" w:rsidR="0081013A" w:rsidRDefault="004D3D43">
            <w:pPr>
              <w:pStyle w:val="TableParagraph"/>
              <w:spacing w:before="20" w:line="242" w:lineRule="exact"/>
              <w:ind w:right="98"/>
              <w:jc w:val="right"/>
              <w:rPr>
                <w:sz w:val="20"/>
              </w:rPr>
            </w:pPr>
            <w:r>
              <w:rPr>
                <w:w w:val="95"/>
                <w:sz w:val="20"/>
              </w:rPr>
              <w:t>n/a</w:t>
            </w:r>
          </w:p>
        </w:tc>
        <w:tc>
          <w:tcPr>
            <w:tcW w:w="1567" w:type="dxa"/>
          </w:tcPr>
          <w:p w14:paraId="528B3EB1" w14:textId="77777777" w:rsidR="0081013A" w:rsidRDefault="004D3D43">
            <w:pPr>
              <w:pStyle w:val="TableParagraph"/>
              <w:spacing w:before="20" w:line="242" w:lineRule="exact"/>
              <w:ind w:right="98"/>
              <w:jc w:val="right"/>
              <w:rPr>
                <w:sz w:val="20"/>
              </w:rPr>
            </w:pPr>
            <w:r>
              <w:rPr>
                <w:w w:val="95"/>
                <w:sz w:val="20"/>
              </w:rPr>
              <w:t>n/a</w:t>
            </w:r>
          </w:p>
        </w:tc>
        <w:tc>
          <w:tcPr>
            <w:tcW w:w="4250" w:type="dxa"/>
            <w:vMerge/>
            <w:tcBorders>
              <w:top w:val="nil"/>
            </w:tcBorders>
          </w:tcPr>
          <w:p w14:paraId="528B3EB2" w14:textId="77777777" w:rsidR="0081013A" w:rsidRDefault="0081013A">
            <w:pPr>
              <w:rPr>
                <w:sz w:val="2"/>
                <w:szCs w:val="2"/>
              </w:rPr>
            </w:pPr>
          </w:p>
        </w:tc>
      </w:tr>
      <w:tr w:rsidR="0081013A" w14:paraId="528B3EB7" w14:textId="77777777">
        <w:trPr>
          <w:trHeight w:val="285"/>
        </w:trPr>
        <w:tc>
          <w:tcPr>
            <w:tcW w:w="5104" w:type="dxa"/>
            <w:gridSpan w:val="3"/>
          </w:tcPr>
          <w:p w14:paraId="528B3EB4" w14:textId="77777777" w:rsidR="0081013A" w:rsidRPr="00EC5822" w:rsidRDefault="004D3D43">
            <w:pPr>
              <w:pStyle w:val="TableParagraph"/>
              <w:spacing w:before="20"/>
              <w:ind w:left="107"/>
              <w:rPr>
                <w:b/>
                <w:bCs/>
                <w:sz w:val="20"/>
              </w:rPr>
            </w:pPr>
            <w:r w:rsidRPr="00EC5822">
              <w:rPr>
                <w:b/>
                <w:bCs/>
                <w:sz w:val="20"/>
              </w:rPr>
              <w:t>Dual Baseline for Accelerated Replacement</w:t>
            </w:r>
          </w:p>
        </w:tc>
        <w:tc>
          <w:tcPr>
            <w:tcW w:w="4250" w:type="dxa"/>
            <w:vMerge w:val="restart"/>
          </w:tcPr>
          <w:p w14:paraId="528B3EB5" w14:textId="77777777" w:rsidR="0081013A" w:rsidRDefault="004D3D43">
            <w:pPr>
              <w:pStyle w:val="TableParagraph"/>
              <w:spacing w:before="107"/>
              <w:ind w:left="108"/>
              <w:rPr>
                <w:i/>
                <w:sz w:val="18"/>
              </w:rPr>
            </w:pPr>
            <w:r>
              <w:rPr>
                <w:sz w:val="18"/>
              </w:rPr>
              <w:t xml:space="preserve">California Public Utilities Commission (CPUC), Energy Division. 2013. </w:t>
            </w:r>
            <w:r>
              <w:rPr>
                <w:i/>
                <w:sz w:val="18"/>
              </w:rPr>
              <w:t xml:space="preserve">Energy Efficiency Policy Manual Version </w:t>
            </w:r>
          </w:p>
          <w:p w14:paraId="528B3EB6" w14:textId="77777777" w:rsidR="0081013A" w:rsidRDefault="004D3D43">
            <w:pPr>
              <w:pStyle w:val="TableParagraph"/>
              <w:spacing w:before="2"/>
              <w:ind w:left="108"/>
              <w:rPr>
                <w:sz w:val="18"/>
              </w:rPr>
            </w:pPr>
            <w:r>
              <w:rPr>
                <w:i/>
                <w:sz w:val="18"/>
              </w:rPr>
              <w:t>5</w:t>
            </w:r>
            <w:r>
              <w:rPr>
                <w:sz w:val="18"/>
              </w:rPr>
              <w:t>. Page 32.</w:t>
            </w:r>
          </w:p>
        </w:tc>
      </w:tr>
      <w:tr w:rsidR="0081013A" w14:paraId="528B3EBC" w14:textId="77777777">
        <w:trPr>
          <w:trHeight w:val="282"/>
        </w:trPr>
        <w:tc>
          <w:tcPr>
            <w:tcW w:w="1970" w:type="dxa"/>
          </w:tcPr>
          <w:p w14:paraId="528B3EB8" w14:textId="77777777" w:rsidR="0081013A" w:rsidRDefault="004D3D43">
            <w:pPr>
              <w:pStyle w:val="TableParagraph"/>
              <w:spacing w:before="20" w:line="242" w:lineRule="exact"/>
              <w:ind w:left="261"/>
              <w:rPr>
                <w:sz w:val="20"/>
              </w:rPr>
            </w:pPr>
            <w:r>
              <w:rPr>
                <w:sz w:val="20"/>
              </w:rPr>
              <w:t>RUL =1/3 EUL</w:t>
            </w:r>
          </w:p>
        </w:tc>
        <w:tc>
          <w:tcPr>
            <w:tcW w:w="1567" w:type="dxa"/>
          </w:tcPr>
          <w:p w14:paraId="528B3EB9" w14:textId="77777777" w:rsidR="0081013A" w:rsidRDefault="004D3D43">
            <w:pPr>
              <w:pStyle w:val="TableParagraph"/>
              <w:spacing w:before="20" w:line="242" w:lineRule="exact"/>
              <w:ind w:right="98"/>
              <w:jc w:val="right"/>
              <w:rPr>
                <w:sz w:val="20"/>
              </w:rPr>
            </w:pPr>
            <w:r>
              <w:rPr>
                <w:w w:val="95"/>
                <w:sz w:val="20"/>
              </w:rPr>
              <w:t>3.33</w:t>
            </w:r>
          </w:p>
        </w:tc>
        <w:tc>
          <w:tcPr>
            <w:tcW w:w="1567" w:type="dxa"/>
          </w:tcPr>
          <w:p w14:paraId="528B3EBA" w14:textId="77777777" w:rsidR="0081013A" w:rsidRDefault="004D3D43">
            <w:pPr>
              <w:pStyle w:val="TableParagraph"/>
              <w:spacing w:before="20" w:line="242" w:lineRule="exact"/>
              <w:ind w:right="97"/>
              <w:jc w:val="right"/>
              <w:rPr>
                <w:sz w:val="20"/>
              </w:rPr>
            </w:pPr>
            <w:r>
              <w:rPr>
                <w:w w:val="95"/>
                <w:sz w:val="20"/>
              </w:rPr>
              <w:t>3.33</w:t>
            </w:r>
          </w:p>
        </w:tc>
        <w:tc>
          <w:tcPr>
            <w:tcW w:w="4250" w:type="dxa"/>
            <w:vMerge/>
            <w:tcBorders>
              <w:top w:val="nil"/>
            </w:tcBorders>
          </w:tcPr>
          <w:p w14:paraId="528B3EBB" w14:textId="77777777" w:rsidR="0081013A" w:rsidRDefault="0081013A">
            <w:pPr>
              <w:rPr>
                <w:sz w:val="2"/>
                <w:szCs w:val="2"/>
              </w:rPr>
            </w:pPr>
          </w:p>
        </w:tc>
      </w:tr>
      <w:tr w:rsidR="0081013A" w14:paraId="528B3EC1" w14:textId="77777777">
        <w:trPr>
          <w:trHeight w:val="285"/>
        </w:trPr>
        <w:tc>
          <w:tcPr>
            <w:tcW w:w="1970" w:type="dxa"/>
          </w:tcPr>
          <w:p w14:paraId="528B3EBD" w14:textId="77777777" w:rsidR="0081013A" w:rsidRDefault="004D3D43">
            <w:pPr>
              <w:pStyle w:val="TableParagraph"/>
              <w:spacing w:before="23" w:line="242" w:lineRule="exact"/>
              <w:ind w:left="261"/>
              <w:rPr>
                <w:sz w:val="20"/>
              </w:rPr>
            </w:pPr>
            <w:r>
              <w:rPr>
                <w:sz w:val="20"/>
              </w:rPr>
              <w:t>EUL minus RUL</w:t>
            </w:r>
          </w:p>
        </w:tc>
        <w:tc>
          <w:tcPr>
            <w:tcW w:w="1567" w:type="dxa"/>
          </w:tcPr>
          <w:p w14:paraId="528B3EBE" w14:textId="77777777" w:rsidR="0081013A" w:rsidRDefault="004D3D43">
            <w:pPr>
              <w:pStyle w:val="TableParagraph"/>
              <w:spacing w:before="23" w:line="242" w:lineRule="exact"/>
              <w:ind w:right="95"/>
              <w:jc w:val="right"/>
              <w:rPr>
                <w:sz w:val="20"/>
              </w:rPr>
            </w:pPr>
            <w:r>
              <w:rPr>
                <w:w w:val="95"/>
                <w:sz w:val="20"/>
              </w:rPr>
              <w:t>6.67</w:t>
            </w:r>
          </w:p>
        </w:tc>
        <w:tc>
          <w:tcPr>
            <w:tcW w:w="1567" w:type="dxa"/>
          </w:tcPr>
          <w:p w14:paraId="528B3EBF" w14:textId="77777777" w:rsidR="0081013A" w:rsidRDefault="004D3D43">
            <w:pPr>
              <w:pStyle w:val="TableParagraph"/>
              <w:spacing w:before="23" w:line="242" w:lineRule="exact"/>
              <w:ind w:right="95"/>
              <w:jc w:val="right"/>
              <w:rPr>
                <w:sz w:val="20"/>
              </w:rPr>
            </w:pPr>
            <w:r>
              <w:rPr>
                <w:w w:val="95"/>
                <w:sz w:val="20"/>
              </w:rPr>
              <w:t>6.67</w:t>
            </w:r>
          </w:p>
        </w:tc>
        <w:tc>
          <w:tcPr>
            <w:tcW w:w="4250" w:type="dxa"/>
            <w:vMerge/>
            <w:tcBorders>
              <w:top w:val="nil"/>
            </w:tcBorders>
          </w:tcPr>
          <w:p w14:paraId="528B3EC0" w14:textId="77777777" w:rsidR="0081013A" w:rsidRDefault="0081013A">
            <w:pPr>
              <w:rPr>
                <w:sz w:val="2"/>
                <w:szCs w:val="2"/>
              </w:rPr>
            </w:pPr>
          </w:p>
        </w:tc>
      </w:tr>
    </w:tbl>
    <w:p w14:paraId="528B3EC2" w14:textId="77777777" w:rsidR="0081013A" w:rsidRDefault="0081013A">
      <w:pPr>
        <w:pStyle w:val="BodyText"/>
        <w:rPr>
          <w:sz w:val="20"/>
        </w:rPr>
      </w:pPr>
    </w:p>
    <w:p w14:paraId="528B3EC3" w14:textId="77777777" w:rsidR="0081013A" w:rsidRDefault="0081013A">
      <w:pPr>
        <w:pStyle w:val="BodyText"/>
        <w:rPr>
          <w:sz w:val="20"/>
        </w:rPr>
      </w:pPr>
    </w:p>
    <w:p w14:paraId="528B3EC4" w14:textId="77777777" w:rsidR="0081013A" w:rsidRDefault="0081013A">
      <w:pPr>
        <w:pStyle w:val="BodyText"/>
        <w:rPr>
          <w:sz w:val="20"/>
        </w:rPr>
      </w:pPr>
    </w:p>
    <w:p w14:paraId="528B3EC5" w14:textId="77777777" w:rsidR="0081013A" w:rsidRDefault="0081013A">
      <w:pPr>
        <w:pStyle w:val="BodyText"/>
        <w:rPr>
          <w:sz w:val="20"/>
        </w:rPr>
      </w:pPr>
    </w:p>
    <w:p w14:paraId="528B3EC6" w14:textId="77777777" w:rsidR="0081013A" w:rsidRDefault="0081013A">
      <w:pPr>
        <w:pStyle w:val="BodyText"/>
        <w:rPr>
          <w:sz w:val="20"/>
        </w:rPr>
      </w:pPr>
    </w:p>
    <w:p w14:paraId="528B3EC7" w14:textId="77777777" w:rsidR="0081013A" w:rsidRDefault="0081013A">
      <w:pPr>
        <w:pStyle w:val="BodyText"/>
        <w:rPr>
          <w:sz w:val="20"/>
        </w:rPr>
      </w:pPr>
    </w:p>
    <w:p w14:paraId="528B3EC8" w14:textId="77777777" w:rsidR="0081013A" w:rsidRDefault="004A0AE2">
      <w:pPr>
        <w:pStyle w:val="BodyText"/>
        <w:spacing w:before="7"/>
        <w:rPr>
          <w:sz w:val="28"/>
        </w:rPr>
      </w:pPr>
      <w:r>
        <w:pict w14:anchorId="528B3FC9">
          <v:shape id="_x0000_s1028" style="position:absolute;margin-left:1in;margin-top:19.8pt;width:2in;height:.1pt;z-index:-251642880;mso-wrap-distance-left:0;mso-wrap-distance-right:0;mso-position-horizontal-relative:page" coordorigin="1440,396" coordsize="2880,0" path="m1440,396r2880,e" filled="f" strokeweight=".72pt">
            <v:path arrowok="t"/>
            <w10:wrap type="topAndBottom" anchorx="page"/>
          </v:shape>
        </w:pict>
      </w:r>
    </w:p>
    <w:p w14:paraId="528B3EC9" w14:textId="77777777" w:rsidR="0081013A" w:rsidRDefault="0081013A">
      <w:pPr>
        <w:pStyle w:val="BodyText"/>
        <w:rPr>
          <w:sz w:val="20"/>
        </w:rPr>
      </w:pPr>
    </w:p>
    <w:p w14:paraId="528B3ECA" w14:textId="77777777" w:rsidR="0081013A" w:rsidRDefault="0081013A">
      <w:pPr>
        <w:pStyle w:val="BodyText"/>
        <w:rPr>
          <w:sz w:val="20"/>
        </w:rPr>
      </w:pPr>
    </w:p>
    <w:p w14:paraId="528B3ECB" w14:textId="77777777" w:rsidR="0081013A" w:rsidRDefault="0081013A">
      <w:pPr>
        <w:pStyle w:val="BodyText"/>
        <w:spacing w:before="8"/>
        <w:rPr>
          <w:sz w:val="15"/>
        </w:rPr>
      </w:pPr>
    </w:p>
    <w:p w14:paraId="528B3ECC" w14:textId="77777777" w:rsidR="0081013A" w:rsidRDefault="004D3D43">
      <w:pPr>
        <w:ind w:left="120"/>
        <w:rPr>
          <w:sz w:val="18"/>
        </w:rPr>
      </w:pPr>
      <w:bookmarkStart w:id="26" w:name="_bookmark8"/>
      <w:bookmarkEnd w:id="26"/>
      <w:r>
        <w:rPr>
          <w:position w:val="5"/>
          <w:sz w:val="12"/>
        </w:rPr>
        <w:t xml:space="preserve">9 </w:t>
      </w:r>
      <w:r>
        <w:rPr>
          <w:sz w:val="18"/>
        </w:rPr>
        <w:t>California Public Utilities Commission (CPUC), Energy Division. 2013. “Workpaper Disposition for Water Fixtures</w:t>
      </w:r>
      <w:r>
        <w:rPr>
          <w:i/>
          <w:sz w:val="18"/>
        </w:rPr>
        <w:t xml:space="preserve">.” </w:t>
      </w:r>
      <w:r>
        <w:rPr>
          <w:sz w:val="18"/>
        </w:rPr>
        <w:t>February 22.</w:t>
      </w:r>
    </w:p>
    <w:p w14:paraId="528B3ECD" w14:textId="77777777" w:rsidR="0081013A" w:rsidRDefault="004D3D43">
      <w:pPr>
        <w:spacing w:before="121"/>
        <w:ind w:left="120"/>
        <w:rPr>
          <w:sz w:val="18"/>
        </w:rPr>
      </w:pPr>
      <w:bookmarkStart w:id="27" w:name="_bookmark9"/>
      <w:bookmarkEnd w:id="27"/>
      <w:r>
        <w:rPr>
          <w:position w:val="5"/>
          <w:sz w:val="12"/>
        </w:rPr>
        <w:t xml:space="preserve">10 </w:t>
      </w:r>
      <w:r>
        <w:rPr>
          <w:sz w:val="18"/>
        </w:rPr>
        <w:t xml:space="preserve">California Public Utilities Commission (CPUC), Energy Division. 2013. </w:t>
      </w:r>
      <w:r>
        <w:rPr>
          <w:i/>
          <w:sz w:val="18"/>
        </w:rPr>
        <w:t>Energy Efficiency Policy Manual Version 5</w:t>
      </w:r>
      <w:r>
        <w:rPr>
          <w:sz w:val="18"/>
        </w:rPr>
        <w:t>. Page 32.</w:t>
      </w:r>
    </w:p>
    <w:p w14:paraId="528B3ECE" w14:textId="77777777" w:rsidR="0081013A" w:rsidRDefault="004D3D43">
      <w:pPr>
        <w:spacing w:before="121"/>
        <w:ind w:left="120"/>
        <w:rPr>
          <w:sz w:val="18"/>
        </w:rPr>
      </w:pPr>
      <w:bookmarkStart w:id="28" w:name="_bookmark10"/>
      <w:bookmarkEnd w:id="28"/>
      <w:r>
        <w:rPr>
          <w:position w:val="5"/>
          <w:sz w:val="12"/>
        </w:rPr>
        <w:t xml:space="preserve">11 </w:t>
      </w:r>
      <w:r>
        <w:rPr>
          <w:sz w:val="18"/>
        </w:rPr>
        <w:t>KEMA, Inc. 2008. "Summary of EUL-RUL Analysis for the April 2008 Update to DEER." Memorandum submitted to Itron, Inc.</w:t>
      </w:r>
    </w:p>
    <w:p w14:paraId="528B3ECF" w14:textId="77777777" w:rsidR="0081013A" w:rsidRDefault="004D3D43">
      <w:pPr>
        <w:spacing w:before="119"/>
        <w:ind w:left="120"/>
        <w:rPr>
          <w:sz w:val="18"/>
        </w:rPr>
      </w:pPr>
      <w:bookmarkStart w:id="29" w:name="_bookmark11"/>
      <w:bookmarkEnd w:id="29"/>
      <w:r>
        <w:rPr>
          <w:position w:val="5"/>
          <w:sz w:val="12"/>
        </w:rPr>
        <w:t xml:space="preserve">12 </w:t>
      </w:r>
      <w:r>
        <w:rPr>
          <w:sz w:val="18"/>
        </w:rPr>
        <w:t xml:space="preserve">California Public Utilities Commission (CPUC). 2016. </w:t>
      </w:r>
      <w:r>
        <w:rPr>
          <w:i/>
          <w:sz w:val="18"/>
        </w:rPr>
        <w:t xml:space="preserve">Resolution E-4807. </w:t>
      </w:r>
      <w:r>
        <w:rPr>
          <w:sz w:val="18"/>
        </w:rPr>
        <w:t>December 16. Page 13.</w:t>
      </w:r>
    </w:p>
    <w:p w14:paraId="528B3ED0" w14:textId="77777777" w:rsidR="0081013A" w:rsidRDefault="0081013A">
      <w:pPr>
        <w:rPr>
          <w:sz w:val="18"/>
        </w:rPr>
        <w:sectPr w:rsidR="0081013A">
          <w:pgSz w:w="12240" w:h="15840"/>
          <w:pgMar w:top="1220" w:right="1120" w:bottom="1320" w:left="1320" w:header="858" w:footer="1129" w:gutter="0"/>
          <w:cols w:space="720"/>
        </w:sectPr>
      </w:pPr>
    </w:p>
    <w:p w14:paraId="528B3ED1" w14:textId="77777777" w:rsidR="0081013A" w:rsidRDefault="0081013A">
      <w:pPr>
        <w:pStyle w:val="BodyText"/>
        <w:spacing w:before="2"/>
        <w:rPr>
          <w:sz w:val="21"/>
        </w:rPr>
      </w:pPr>
    </w:p>
    <w:p w14:paraId="528B3ED2" w14:textId="77777777" w:rsidR="0081013A" w:rsidRDefault="004D3D43">
      <w:pPr>
        <w:pStyle w:val="Heading1"/>
        <w:spacing w:before="52"/>
      </w:pPr>
      <w:bookmarkStart w:id="30" w:name="_TOC_250008"/>
      <w:bookmarkEnd w:id="30"/>
      <w:r>
        <w:rPr>
          <w:color w:val="CFAB79"/>
        </w:rPr>
        <w:t>BASE CASE MATERIAL COST ($/UNIT)</w:t>
      </w:r>
    </w:p>
    <w:p w14:paraId="528B3ED3" w14:textId="77777777" w:rsidR="0081013A" w:rsidRDefault="004D3D43">
      <w:pPr>
        <w:spacing w:before="115"/>
        <w:ind w:left="119" w:right="365"/>
      </w:pPr>
      <w:r>
        <w:t xml:space="preserve">Base case material costs for </w:t>
      </w:r>
      <w:r>
        <w:rPr>
          <w:i/>
        </w:rPr>
        <w:t xml:space="preserve">normal replacement </w:t>
      </w:r>
      <w:r>
        <w:t xml:space="preserve">and </w:t>
      </w:r>
      <w:r>
        <w:rPr>
          <w:i/>
        </w:rPr>
        <w:t xml:space="preserve">new construction installations </w:t>
      </w:r>
      <w:r>
        <w:t>were developed from the revised measure costs summary for the Database of Energy Efficient Resources (DEER).</w:t>
      </w:r>
      <w:hyperlink w:anchor="_bookmark12" w:history="1">
        <w:r>
          <w:rPr>
            <w:vertAlign w:val="superscript"/>
          </w:rPr>
          <w:t>13</w:t>
        </w:r>
      </w:hyperlink>
    </w:p>
    <w:p w14:paraId="528B3ED4" w14:textId="77777777" w:rsidR="0081013A" w:rsidRDefault="004D3D43">
      <w:pPr>
        <w:spacing w:before="120"/>
        <w:ind w:left="119" w:right="312"/>
      </w:pPr>
      <w:r>
        <w:t xml:space="preserve">Base case material costs for </w:t>
      </w:r>
      <w:r>
        <w:rPr>
          <w:i/>
        </w:rPr>
        <w:t xml:space="preserve">accelerated replacement and add-on equipment installations </w:t>
      </w:r>
      <w:r>
        <w:t xml:space="preserve">are equal to $0 in the first baseline period. Material cost for the second baseline period for </w:t>
      </w:r>
      <w:r>
        <w:rPr>
          <w:i/>
        </w:rPr>
        <w:t xml:space="preserve">accelerated replacement </w:t>
      </w:r>
      <w:r>
        <w:t>were drawn from the 2010-2012 Ex Ante Measure Cost Study conducted by Itron, Inc.</w:t>
      </w:r>
      <w:hyperlink w:anchor="_bookmark13" w:history="1">
        <w:r>
          <w:rPr>
            <w:vertAlign w:val="superscript"/>
          </w:rPr>
          <w:t>14</w:t>
        </w:r>
      </w:hyperlink>
    </w:p>
    <w:p w14:paraId="528B3ED5" w14:textId="77777777" w:rsidR="0081013A" w:rsidRDefault="0081013A">
      <w:pPr>
        <w:pStyle w:val="BodyText"/>
        <w:rPr>
          <w:sz w:val="24"/>
        </w:rPr>
      </w:pPr>
    </w:p>
    <w:p w14:paraId="528B3ED6" w14:textId="77777777" w:rsidR="0081013A" w:rsidRDefault="0081013A">
      <w:pPr>
        <w:pStyle w:val="BodyText"/>
        <w:spacing w:before="9"/>
        <w:rPr>
          <w:sz w:val="18"/>
        </w:rPr>
      </w:pPr>
    </w:p>
    <w:p w14:paraId="528B3ED7" w14:textId="77777777" w:rsidR="0081013A" w:rsidRDefault="004D3D43">
      <w:pPr>
        <w:pStyle w:val="Heading1"/>
      </w:pPr>
      <w:bookmarkStart w:id="31" w:name="_TOC_250007"/>
      <w:bookmarkEnd w:id="31"/>
      <w:r>
        <w:rPr>
          <w:color w:val="CFAB79"/>
        </w:rPr>
        <w:t>MEASURE CASE MATERIAL COST ($/UNIT)</w:t>
      </w:r>
    </w:p>
    <w:p w14:paraId="528B3ED8" w14:textId="77777777" w:rsidR="0081013A" w:rsidRDefault="004D3D43">
      <w:pPr>
        <w:pStyle w:val="BodyText"/>
        <w:spacing w:before="115"/>
        <w:ind w:left="119" w:right="348"/>
      </w:pPr>
      <w:r>
        <w:t xml:space="preserve">The measure case material cost of a low-flow showerhead for </w:t>
      </w:r>
      <w:r>
        <w:rPr>
          <w:i/>
        </w:rPr>
        <w:t xml:space="preserve">all installation types </w:t>
      </w:r>
      <w:r>
        <w:t>was drawn from the 2010-2012 Ex Ante Measure Cost Study conducted by Itron, Inc.</w:t>
      </w:r>
      <w:hyperlink w:anchor="_bookmark14" w:history="1">
        <w:r>
          <w:rPr>
            <w:vertAlign w:val="superscript"/>
          </w:rPr>
          <w:t>15</w:t>
        </w:r>
        <w:r>
          <w:t xml:space="preserve"> </w:t>
        </w:r>
      </w:hyperlink>
      <w:r>
        <w:t>The resultant cost was derived from unit price data from contractors that provided direct installation services to the California IOUs during the 2010-2012 and 2013-2014 program cycles. The study validated the direct installation program prices against data obtained from RSMeans, Grainger, and Home Depot.</w:t>
      </w:r>
    </w:p>
    <w:p w14:paraId="528B3ED9" w14:textId="77777777" w:rsidR="0081013A" w:rsidRDefault="0081013A">
      <w:pPr>
        <w:pStyle w:val="BodyText"/>
        <w:spacing w:before="11"/>
        <w:rPr>
          <w:sz w:val="21"/>
        </w:rPr>
      </w:pPr>
    </w:p>
    <w:p w14:paraId="528B3EDA" w14:textId="77777777" w:rsidR="0081013A" w:rsidRDefault="004D3D43">
      <w:pPr>
        <w:pStyle w:val="BodyText"/>
        <w:ind w:left="119" w:right="550"/>
      </w:pPr>
      <w:r>
        <w:t>The measure case material cost of all flow control valve flow rates and all installation types were drawn from their original workpapers from SoCalGas, WPSCGCCWH180504A-R0. The cost from these workpapers stem from research done through existing distributors and manufacturers.</w:t>
      </w:r>
    </w:p>
    <w:p w14:paraId="528B3EDB" w14:textId="77777777" w:rsidR="0081013A" w:rsidRDefault="0081013A">
      <w:pPr>
        <w:pStyle w:val="BodyText"/>
        <w:spacing w:before="11"/>
        <w:rPr>
          <w:sz w:val="32"/>
        </w:rPr>
      </w:pPr>
    </w:p>
    <w:p w14:paraId="528B3EDC" w14:textId="77777777" w:rsidR="0081013A" w:rsidRDefault="004D3D43">
      <w:pPr>
        <w:pStyle w:val="Heading1"/>
        <w:spacing w:before="1"/>
      </w:pPr>
      <w:bookmarkStart w:id="32" w:name="_TOC_250006"/>
      <w:bookmarkEnd w:id="32"/>
      <w:r>
        <w:rPr>
          <w:color w:val="CFAB79"/>
        </w:rPr>
        <w:t>BASE CASE LABOR COST ($/UNIT)</w:t>
      </w:r>
    </w:p>
    <w:p w14:paraId="528B3EDD" w14:textId="77777777" w:rsidR="0081013A" w:rsidRDefault="004D3D43">
      <w:pPr>
        <w:spacing w:before="114"/>
        <w:ind w:left="119" w:right="643"/>
      </w:pPr>
      <w:r>
        <w:t xml:space="preserve">Base case labor costs for </w:t>
      </w:r>
      <w:r>
        <w:rPr>
          <w:i/>
        </w:rPr>
        <w:t xml:space="preserve">normal replacement </w:t>
      </w:r>
      <w:r>
        <w:t xml:space="preserve">and </w:t>
      </w:r>
      <w:r>
        <w:rPr>
          <w:i/>
        </w:rPr>
        <w:t xml:space="preserve">new construction installations </w:t>
      </w:r>
      <w:r>
        <w:t>were developed from the revised measure costs summary for the Database of Energy Efficient Resources (DEER).</w:t>
      </w:r>
      <w:hyperlink w:anchor="_bookmark15" w:history="1">
        <w:r>
          <w:rPr>
            <w:vertAlign w:val="superscript"/>
          </w:rPr>
          <w:t>16</w:t>
        </w:r>
      </w:hyperlink>
    </w:p>
    <w:p w14:paraId="528B3EDE" w14:textId="77777777" w:rsidR="0081013A" w:rsidRDefault="004D3D43">
      <w:pPr>
        <w:spacing w:before="119"/>
        <w:ind w:left="120" w:right="409"/>
      </w:pPr>
      <w:r>
        <w:t xml:space="preserve">Base case labor costs for </w:t>
      </w:r>
      <w:r>
        <w:rPr>
          <w:i/>
        </w:rPr>
        <w:t xml:space="preserve">accelerated replacement and add-on equipment installations </w:t>
      </w:r>
      <w:r>
        <w:t>are equal to $0 in the first baseline period. The labor cost for the second baseline period for accelerated replacement were drawn from the 2010-2012 Ex Ante Measure Cost Study conducted by Itron, Inc.</w:t>
      </w:r>
      <w:hyperlink w:anchor="_bookmark16" w:history="1">
        <w:r>
          <w:rPr>
            <w:vertAlign w:val="superscript"/>
          </w:rPr>
          <w:t>17</w:t>
        </w:r>
      </w:hyperlink>
    </w:p>
    <w:p w14:paraId="528B3EDF" w14:textId="77777777" w:rsidR="0081013A" w:rsidRDefault="0081013A">
      <w:pPr>
        <w:pStyle w:val="BodyText"/>
        <w:rPr>
          <w:sz w:val="20"/>
        </w:rPr>
      </w:pPr>
    </w:p>
    <w:p w14:paraId="528B3EE0" w14:textId="77777777" w:rsidR="0081013A" w:rsidRDefault="0081013A">
      <w:pPr>
        <w:pStyle w:val="BodyText"/>
        <w:rPr>
          <w:sz w:val="20"/>
        </w:rPr>
      </w:pPr>
    </w:p>
    <w:p w14:paraId="528B3EE1" w14:textId="77777777" w:rsidR="0081013A" w:rsidRDefault="0081013A">
      <w:pPr>
        <w:pStyle w:val="BodyText"/>
        <w:rPr>
          <w:sz w:val="20"/>
        </w:rPr>
      </w:pPr>
    </w:p>
    <w:p w14:paraId="528B3EE2" w14:textId="77777777" w:rsidR="0081013A" w:rsidRDefault="0081013A">
      <w:pPr>
        <w:pStyle w:val="BodyText"/>
        <w:rPr>
          <w:sz w:val="20"/>
        </w:rPr>
      </w:pPr>
    </w:p>
    <w:p w14:paraId="528B3EE3" w14:textId="77777777" w:rsidR="0081013A" w:rsidRDefault="0081013A">
      <w:pPr>
        <w:pStyle w:val="BodyText"/>
        <w:rPr>
          <w:sz w:val="20"/>
        </w:rPr>
      </w:pPr>
    </w:p>
    <w:p w14:paraId="528B3EE4" w14:textId="77777777" w:rsidR="0081013A" w:rsidRDefault="0081013A">
      <w:pPr>
        <w:pStyle w:val="BodyText"/>
        <w:rPr>
          <w:sz w:val="20"/>
        </w:rPr>
      </w:pPr>
    </w:p>
    <w:p w14:paraId="528B3EE5" w14:textId="77777777" w:rsidR="0081013A" w:rsidRDefault="0081013A">
      <w:pPr>
        <w:pStyle w:val="BodyText"/>
        <w:rPr>
          <w:sz w:val="20"/>
        </w:rPr>
      </w:pPr>
    </w:p>
    <w:p w14:paraId="528B3EE6" w14:textId="77777777" w:rsidR="0081013A" w:rsidRDefault="004A0AE2">
      <w:pPr>
        <w:pStyle w:val="BodyText"/>
        <w:spacing w:before="3"/>
        <w:rPr>
          <w:sz w:val="17"/>
        </w:rPr>
      </w:pPr>
      <w:r>
        <w:pict w14:anchorId="528B3FCA">
          <v:shape id="_x0000_s1027" style="position:absolute;margin-left:1in;margin-top:12.9pt;width:2in;height:.1pt;z-index:-251641856;mso-wrap-distance-left:0;mso-wrap-distance-right:0;mso-position-horizontal-relative:page" coordorigin="1440,258" coordsize="2880,0" path="m1440,258r2880,e" filled="f" strokeweight=".72pt">
            <v:path arrowok="t"/>
            <w10:wrap type="topAndBottom" anchorx="page"/>
          </v:shape>
        </w:pict>
      </w:r>
    </w:p>
    <w:p w14:paraId="528B3EE7" w14:textId="77777777" w:rsidR="0081013A" w:rsidRDefault="0081013A">
      <w:pPr>
        <w:pStyle w:val="BodyText"/>
        <w:rPr>
          <w:sz w:val="20"/>
        </w:rPr>
      </w:pPr>
    </w:p>
    <w:p w14:paraId="528B3EE8" w14:textId="77777777" w:rsidR="0081013A" w:rsidRDefault="0081013A">
      <w:pPr>
        <w:pStyle w:val="BodyText"/>
        <w:spacing w:before="9"/>
        <w:rPr>
          <w:sz w:val="21"/>
        </w:rPr>
      </w:pPr>
    </w:p>
    <w:p w14:paraId="528B3EE9" w14:textId="77777777" w:rsidR="0081013A" w:rsidRDefault="004D3D43">
      <w:pPr>
        <w:spacing w:before="69"/>
        <w:ind w:left="120" w:right="693" w:hanging="1"/>
        <w:rPr>
          <w:sz w:val="18"/>
        </w:rPr>
      </w:pPr>
      <w:bookmarkStart w:id="33" w:name="_bookmark12"/>
      <w:bookmarkEnd w:id="33"/>
      <w:r>
        <w:rPr>
          <w:position w:val="5"/>
          <w:sz w:val="12"/>
        </w:rPr>
        <w:t xml:space="preserve">13 </w:t>
      </w:r>
      <w:r>
        <w:rPr>
          <w:sz w:val="18"/>
        </w:rPr>
        <w:t>California Public Utilities Commission (CPUC), Energy Division. 2008. “Revised DEER Measure Cost Summary (05_30_2008) Revised (06_02_2008).xlsx.” See Res - Shwrhd &amp; Aerators tab.</w:t>
      </w:r>
    </w:p>
    <w:p w14:paraId="528B3EEA" w14:textId="77777777" w:rsidR="0081013A" w:rsidRDefault="004D3D43">
      <w:pPr>
        <w:spacing w:before="120"/>
        <w:ind w:left="120" w:right="553" w:hanging="1"/>
        <w:rPr>
          <w:sz w:val="18"/>
        </w:rPr>
      </w:pPr>
      <w:bookmarkStart w:id="34" w:name="_bookmark13"/>
      <w:bookmarkEnd w:id="34"/>
      <w:r>
        <w:rPr>
          <w:position w:val="5"/>
          <w:sz w:val="12"/>
        </w:rPr>
        <w:t xml:space="preserve">14 </w:t>
      </w:r>
      <w:r>
        <w:rPr>
          <w:sz w:val="18"/>
        </w:rPr>
        <w:t xml:space="preserve">Itron, Inc. 2014. </w:t>
      </w:r>
      <w:r>
        <w:rPr>
          <w:i/>
          <w:sz w:val="18"/>
        </w:rPr>
        <w:t xml:space="preserve">2010-2012 WO017 Ex Ante Measure Cost Study Final Report. </w:t>
      </w:r>
      <w:r>
        <w:rPr>
          <w:sz w:val="18"/>
        </w:rPr>
        <w:t>Prepared for the California Public Utilities Commission. Table</w:t>
      </w:r>
      <w:r>
        <w:rPr>
          <w:spacing w:val="-2"/>
          <w:sz w:val="18"/>
        </w:rPr>
        <w:t xml:space="preserve"> </w:t>
      </w:r>
      <w:r>
        <w:rPr>
          <w:sz w:val="18"/>
        </w:rPr>
        <w:t>3-23.</w:t>
      </w:r>
    </w:p>
    <w:p w14:paraId="528B3EEB" w14:textId="77777777" w:rsidR="0081013A" w:rsidRDefault="004D3D43">
      <w:pPr>
        <w:spacing w:before="122"/>
        <w:ind w:left="120" w:right="553" w:hanging="1"/>
        <w:rPr>
          <w:sz w:val="18"/>
        </w:rPr>
      </w:pPr>
      <w:bookmarkStart w:id="35" w:name="_bookmark14"/>
      <w:bookmarkEnd w:id="35"/>
      <w:r>
        <w:rPr>
          <w:position w:val="5"/>
          <w:sz w:val="12"/>
        </w:rPr>
        <w:t xml:space="preserve">15 </w:t>
      </w:r>
      <w:r>
        <w:rPr>
          <w:sz w:val="18"/>
        </w:rPr>
        <w:t xml:space="preserve">Itron, Inc. 2014. </w:t>
      </w:r>
      <w:r>
        <w:rPr>
          <w:i/>
          <w:sz w:val="18"/>
        </w:rPr>
        <w:t xml:space="preserve">2010-2012 WO017 Ex Ante Measure Cost Study Final Report. </w:t>
      </w:r>
      <w:r>
        <w:rPr>
          <w:sz w:val="18"/>
        </w:rPr>
        <w:t>Prepared for the California Public Utilities Commission. Table</w:t>
      </w:r>
      <w:r>
        <w:rPr>
          <w:spacing w:val="-2"/>
          <w:sz w:val="18"/>
        </w:rPr>
        <w:t xml:space="preserve"> </w:t>
      </w:r>
      <w:r>
        <w:rPr>
          <w:sz w:val="18"/>
        </w:rPr>
        <w:t>3-23.</w:t>
      </w:r>
    </w:p>
    <w:p w14:paraId="528B3EEC" w14:textId="77777777" w:rsidR="0081013A" w:rsidRDefault="004D3D43">
      <w:pPr>
        <w:spacing w:before="120"/>
        <w:ind w:left="120" w:right="693" w:hanging="1"/>
        <w:rPr>
          <w:sz w:val="18"/>
        </w:rPr>
      </w:pPr>
      <w:bookmarkStart w:id="36" w:name="_bookmark15"/>
      <w:bookmarkEnd w:id="36"/>
      <w:r>
        <w:rPr>
          <w:position w:val="5"/>
          <w:sz w:val="12"/>
        </w:rPr>
        <w:t xml:space="preserve">16 </w:t>
      </w:r>
      <w:r>
        <w:rPr>
          <w:sz w:val="18"/>
        </w:rPr>
        <w:t>California Public Utilities Commission (CPUC), Energy Division. 2008. “Revised DEER Measure Cost Summary (05_30_2008) Revised (06_02_2008).xlsx.” See Res - Shwrhd &amp; Aerators tab.</w:t>
      </w:r>
    </w:p>
    <w:p w14:paraId="528B3EED" w14:textId="77777777" w:rsidR="0081013A" w:rsidRDefault="004D3D43">
      <w:pPr>
        <w:spacing w:before="119"/>
        <w:ind w:left="120" w:right="553" w:hanging="1"/>
        <w:rPr>
          <w:sz w:val="18"/>
        </w:rPr>
      </w:pPr>
      <w:bookmarkStart w:id="37" w:name="_bookmark16"/>
      <w:bookmarkEnd w:id="37"/>
      <w:r>
        <w:rPr>
          <w:position w:val="5"/>
          <w:sz w:val="12"/>
        </w:rPr>
        <w:t xml:space="preserve">17 </w:t>
      </w:r>
      <w:r>
        <w:rPr>
          <w:sz w:val="18"/>
        </w:rPr>
        <w:t xml:space="preserve">Itron, Inc. 2014. </w:t>
      </w:r>
      <w:r>
        <w:rPr>
          <w:i/>
          <w:sz w:val="18"/>
        </w:rPr>
        <w:t xml:space="preserve">2010-2012 WO017 Ex Ante Measure Cost Study Final Report. </w:t>
      </w:r>
      <w:r>
        <w:rPr>
          <w:sz w:val="18"/>
        </w:rPr>
        <w:t>Prepared for the California Public Utilities Commission. Table 3-23.</w:t>
      </w:r>
    </w:p>
    <w:p w14:paraId="528B3EEE" w14:textId="77777777" w:rsidR="0081013A" w:rsidRDefault="0081013A">
      <w:pPr>
        <w:rPr>
          <w:sz w:val="18"/>
        </w:rPr>
        <w:sectPr w:rsidR="0081013A">
          <w:pgSz w:w="12240" w:h="15840"/>
          <w:pgMar w:top="1220" w:right="1120" w:bottom="1320" w:left="1320" w:header="858" w:footer="1129" w:gutter="0"/>
          <w:cols w:space="720"/>
        </w:sectPr>
      </w:pPr>
    </w:p>
    <w:p w14:paraId="528B3EEF" w14:textId="77777777" w:rsidR="0081013A" w:rsidRDefault="0081013A">
      <w:pPr>
        <w:pStyle w:val="BodyText"/>
        <w:spacing w:before="2"/>
        <w:rPr>
          <w:sz w:val="21"/>
        </w:rPr>
      </w:pPr>
    </w:p>
    <w:p w14:paraId="528B3EF0" w14:textId="77777777" w:rsidR="0081013A" w:rsidRDefault="004D3D43">
      <w:pPr>
        <w:pStyle w:val="Heading1"/>
        <w:spacing w:before="52"/>
      </w:pPr>
      <w:bookmarkStart w:id="38" w:name="_TOC_250005"/>
      <w:bookmarkEnd w:id="38"/>
      <w:r>
        <w:rPr>
          <w:color w:val="CFAB79"/>
        </w:rPr>
        <w:t>MEASURE CASE LABOR COST ($/UNIT)</w:t>
      </w:r>
    </w:p>
    <w:p w14:paraId="528B3EF1" w14:textId="77777777" w:rsidR="0081013A" w:rsidRDefault="004D3D43">
      <w:pPr>
        <w:pStyle w:val="BodyText"/>
        <w:spacing w:before="115"/>
        <w:ind w:left="119" w:right="435"/>
      </w:pPr>
      <w:r>
        <w:t xml:space="preserve">The labor cost for the installation of a low-flow showerhead and flow control valves for </w:t>
      </w:r>
      <w:r>
        <w:rPr>
          <w:i/>
        </w:rPr>
        <w:t xml:space="preserve">all installation types </w:t>
      </w:r>
      <w:r>
        <w:t>was drawn from the 2010-2012 Ex Ante Measure Cost Study conducted by Itron, Inc.</w:t>
      </w:r>
      <w:hyperlink w:anchor="_bookmark17" w:history="1">
        <w:r>
          <w:rPr>
            <w:vertAlign w:val="superscript"/>
          </w:rPr>
          <w:t>18</w:t>
        </w:r>
        <w:r>
          <w:t xml:space="preserve"> </w:t>
        </w:r>
      </w:hyperlink>
      <w:r>
        <w:t>The resultant cost was derived from labor costs obtained from contractors that provided direct installation services to the California IOUs during the 2010-2012 and 2013-2014 program cycles. The study validated the direct installation program prices against data obtained from RSMeans, Grainger, and Home Depot.</w:t>
      </w:r>
    </w:p>
    <w:p w14:paraId="528B3EF2" w14:textId="77777777" w:rsidR="0081013A" w:rsidRDefault="0081013A">
      <w:pPr>
        <w:pStyle w:val="BodyText"/>
      </w:pPr>
    </w:p>
    <w:p w14:paraId="528B3EF3" w14:textId="77777777" w:rsidR="0081013A" w:rsidRDefault="0081013A">
      <w:pPr>
        <w:pStyle w:val="BodyText"/>
        <w:spacing w:before="9"/>
        <w:rPr>
          <w:sz w:val="20"/>
        </w:rPr>
      </w:pPr>
    </w:p>
    <w:p w14:paraId="528B3EF4" w14:textId="77777777" w:rsidR="0081013A" w:rsidRDefault="004D3D43">
      <w:pPr>
        <w:pStyle w:val="Heading1"/>
      </w:pPr>
      <w:bookmarkStart w:id="39" w:name="_TOC_250004"/>
      <w:bookmarkEnd w:id="39"/>
      <w:r>
        <w:rPr>
          <w:color w:val="CFAB79"/>
        </w:rPr>
        <w:t>NET-TO-GROSS (NTG)</w:t>
      </w:r>
    </w:p>
    <w:p w14:paraId="528B3EF5" w14:textId="77777777" w:rsidR="0081013A" w:rsidRDefault="004D3D43">
      <w:pPr>
        <w:pStyle w:val="BodyText"/>
        <w:spacing w:before="115"/>
        <w:ind w:left="119" w:right="328"/>
      </w:pPr>
      <w:r>
        <w:t>The net-to-gross (NTG) ratio represents the portion of gross impacts that are determined to be directly attributed to a specific program intervention The NTG ratio for direct installations was specified in the Workpaper Disposition for Water Fixtures disposition issued by the Energy Division of the California Public Utilities Commission (CPUC) in 2013. The NTG ratio for all other delivery channels is based upon the average of all NTG ratios for all evaluated 2006 – 2008 residential programs, as documented in the 2011 DEER Update Study conducted by Itron, Inc. This sector average NTG (“default NTG”) is applicable to all energy efficiency measures that have been offered through residential sector programs for more than two years and for which impact evaluation results are not</w:t>
      </w:r>
      <w:r>
        <w:rPr>
          <w:spacing w:val="-10"/>
        </w:rPr>
        <w:t xml:space="preserve"> </w:t>
      </w:r>
      <w:r>
        <w:t>available.</w:t>
      </w:r>
    </w:p>
    <w:p w14:paraId="528B3EF6" w14:textId="77777777" w:rsidR="0081013A" w:rsidRDefault="0081013A">
      <w:pPr>
        <w:pStyle w:val="BodyText"/>
        <w:spacing w:before="2"/>
        <w:rPr>
          <w:sz w:val="23"/>
        </w:rPr>
      </w:pPr>
    </w:p>
    <w:p w14:paraId="528B3EF7" w14:textId="77777777" w:rsidR="0081013A" w:rsidRPr="00EC5822" w:rsidRDefault="004D3D43">
      <w:pPr>
        <w:ind w:left="120"/>
        <w:rPr>
          <w:b/>
          <w:bCs/>
          <w:sz w:val="20"/>
        </w:rPr>
      </w:pPr>
      <w:r w:rsidRPr="00EC5822">
        <w:rPr>
          <w:b/>
          <w:bCs/>
          <w:sz w:val="20"/>
        </w:rPr>
        <w:t>Net-to-Gross Ratios</w:t>
      </w:r>
    </w:p>
    <w:p w14:paraId="528B3EF8" w14:textId="77777777" w:rsidR="0081013A" w:rsidRDefault="0081013A">
      <w:pPr>
        <w:pStyle w:val="BodyText"/>
        <w:spacing w:before="5"/>
        <w:rPr>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872"/>
        <w:gridCol w:w="1152"/>
        <w:gridCol w:w="1152"/>
        <w:gridCol w:w="5275"/>
      </w:tblGrid>
      <w:tr w:rsidR="0081013A" w14:paraId="528B3EFD" w14:textId="77777777">
        <w:trPr>
          <w:trHeight w:val="244"/>
        </w:trPr>
        <w:tc>
          <w:tcPr>
            <w:tcW w:w="1872" w:type="dxa"/>
            <w:shd w:val="clear" w:color="auto" w:fill="F1F1F1"/>
          </w:tcPr>
          <w:p w14:paraId="528B3EF9" w14:textId="77777777" w:rsidR="0081013A" w:rsidRPr="00EC5822" w:rsidRDefault="004D3D43">
            <w:pPr>
              <w:pStyle w:val="TableParagraph"/>
              <w:spacing w:before="1" w:line="223" w:lineRule="exact"/>
              <w:ind w:left="518"/>
              <w:rPr>
                <w:b/>
                <w:bCs/>
                <w:sz w:val="20"/>
              </w:rPr>
            </w:pPr>
            <w:r w:rsidRPr="00EC5822">
              <w:rPr>
                <w:b/>
                <w:bCs/>
                <w:sz w:val="20"/>
              </w:rPr>
              <w:t>Parameter</w:t>
            </w:r>
          </w:p>
        </w:tc>
        <w:tc>
          <w:tcPr>
            <w:tcW w:w="1152" w:type="dxa"/>
            <w:shd w:val="clear" w:color="auto" w:fill="F1F1F1"/>
          </w:tcPr>
          <w:p w14:paraId="528B3EFA" w14:textId="77777777" w:rsidR="0081013A" w:rsidRPr="00EC5822" w:rsidRDefault="004D3D43">
            <w:pPr>
              <w:pStyle w:val="TableParagraph"/>
              <w:spacing w:before="1" w:line="223" w:lineRule="exact"/>
              <w:ind w:left="284" w:right="227"/>
              <w:jc w:val="center"/>
              <w:rPr>
                <w:b/>
                <w:bCs/>
                <w:sz w:val="20"/>
              </w:rPr>
            </w:pPr>
            <w:r w:rsidRPr="00EC5822">
              <w:rPr>
                <w:b/>
                <w:bCs/>
                <w:sz w:val="20"/>
              </w:rPr>
              <w:t>Electric</w:t>
            </w:r>
          </w:p>
        </w:tc>
        <w:tc>
          <w:tcPr>
            <w:tcW w:w="1152" w:type="dxa"/>
            <w:shd w:val="clear" w:color="auto" w:fill="F1F1F1"/>
          </w:tcPr>
          <w:p w14:paraId="528B3EFB" w14:textId="77777777" w:rsidR="0081013A" w:rsidRPr="00EC5822" w:rsidRDefault="004D3D43">
            <w:pPr>
              <w:pStyle w:val="TableParagraph"/>
              <w:spacing w:before="1" w:line="223" w:lineRule="exact"/>
              <w:ind w:left="236" w:right="227"/>
              <w:jc w:val="center"/>
              <w:rPr>
                <w:b/>
                <w:bCs/>
                <w:sz w:val="20"/>
              </w:rPr>
            </w:pPr>
            <w:r w:rsidRPr="00EC5822">
              <w:rPr>
                <w:b/>
                <w:bCs/>
                <w:sz w:val="20"/>
              </w:rPr>
              <w:t>Gas</w:t>
            </w:r>
          </w:p>
        </w:tc>
        <w:tc>
          <w:tcPr>
            <w:tcW w:w="5275" w:type="dxa"/>
            <w:shd w:val="clear" w:color="auto" w:fill="F1F1F1"/>
          </w:tcPr>
          <w:p w14:paraId="528B3EFC" w14:textId="77777777" w:rsidR="0081013A" w:rsidRPr="00EC5822" w:rsidRDefault="004D3D43">
            <w:pPr>
              <w:pStyle w:val="TableParagraph"/>
              <w:spacing w:before="1" w:line="223" w:lineRule="exact"/>
              <w:ind w:left="2342" w:right="2330"/>
              <w:jc w:val="center"/>
              <w:rPr>
                <w:b/>
                <w:bCs/>
                <w:sz w:val="20"/>
              </w:rPr>
            </w:pPr>
            <w:r w:rsidRPr="00EC5822">
              <w:rPr>
                <w:b/>
                <w:bCs/>
                <w:sz w:val="20"/>
              </w:rPr>
              <w:t>Source</w:t>
            </w:r>
          </w:p>
        </w:tc>
      </w:tr>
      <w:tr w:rsidR="0081013A" w14:paraId="528B3F0A" w14:textId="77777777">
        <w:trPr>
          <w:trHeight w:val="1317"/>
        </w:trPr>
        <w:tc>
          <w:tcPr>
            <w:tcW w:w="1872" w:type="dxa"/>
          </w:tcPr>
          <w:p w14:paraId="528B3EFE" w14:textId="77777777" w:rsidR="0081013A" w:rsidRDefault="0081013A">
            <w:pPr>
              <w:pStyle w:val="TableParagraph"/>
              <w:rPr>
                <w:sz w:val="20"/>
              </w:rPr>
            </w:pPr>
          </w:p>
          <w:p w14:paraId="528B3EFF" w14:textId="77777777" w:rsidR="0081013A" w:rsidRDefault="004D3D43">
            <w:pPr>
              <w:pStyle w:val="TableParagraph"/>
              <w:spacing w:before="170"/>
              <w:ind w:left="115" w:right="257" w:hanging="1"/>
              <w:rPr>
                <w:sz w:val="20"/>
              </w:rPr>
            </w:pPr>
            <w:r>
              <w:rPr>
                <w:sz w:val="20"/>
              </w:rPr>
              <w:t>NTG – Residential, direct install</w:t>
            </w:r>
          </w:p>
        </w:tc>
        <w:tc>
          <w:tcPr>
            <w:tcW w:w="1152" w:type="dxa"/>
          </w:tcPr>
          <w:p w14:paraId="528B3F00" w14:textId="77777777" w:rsidR="0081013A" w:rsidRDefault="0081013A">
            <w:pPr>
              <w:pStyle w:val="TableParagraph"/>
              <w:rPr>
                <w:sz w:val="20"/>
              </w:rPr>
            </w:pPr>
          </w:p>
          <w:p w14:paraId="528B3F01" w14:textId="77777777" w:rsidR="0081013A" w:rsidRDefault="0081013A">
            <w:pPr>
              <w:pStyle w:val="TableParagraph"/>
              <w:spacing w:before="11"/>
              <w:rPr>
                <w:sz w:val="23"/>
              </w:rPr>
            </w:pPr>
          </w:p>
          <w:p w14:paraId="528B3F02" w14:textId="77777777" w:rsidR="0081013A" w:rsidRDefault="004D3D43">
            <w:pPr>
              <w:pStyle w:val="TableParagraph"/>
              <w:ind w:left="232" w:right="227"/>
              <w:jc w:val="center"/>
              <w:rPr>
                <w:sz w:val="20"/>
              </w:rPr>
            </w:pPr>
            <w:r>
              <w:rPr>
                <w:sz w:val="20"/>
              </w:rPr>
              <w:t>0.70</w:t>
            </w:r>
          </w:p>
        </w:tc>
        <w:tc>
          <w:tcPr>
            <w:tcW w:w="1152" w:type="dxa"/>
          </w:tcPr>
          <w:p w14:paraId="528B3F03" w14:textId="77777777" w:rsidR="0081013A" w:rsidRDefault="0081013A">
            <w:pPr>
              <w:pStyle w:val="TableParagraph"/>
              <w:rPr>
                <w:sz w:val="20"/>
              </w:rPr>
            </w:pPr>
          </w:p>
          <w:p w14:paraId="528B3F04" w14:textId="77777777" w:rsidR="0081013A" w:rsidRDefault="0081013A">
            <w:pPr>
              <w:pStyle w:val="TableParagraph"/>
              <w:spacing w:before="11"/>
              <w:rPr>
                <w:sz w:val="23"/>
              </w:rPr>
            </w:pPr>
          </w:p>
          <w:p w14:paraId="528B3F05" w14:textId="77777777" w:rsidR="0081013A" w:rsidRDefault="004D3D43">
            <w:pPr>
              <w:pStyle w:val="TableParagraph"/>
              <w:ind w:left="232" w:right="227"/>
              <w:jc w:val="center"/>
              <w:rPr>
                <w:sz w:val="20"/>
              </w:rPr>
            </w:pPr>
            <w:r>
              <w:rPr>
                <w:sz w:val="20"/>
              </w:rPr>
              <w:t>0.70</w:t>
            </w:r>
          </w:p>
        </w:tc>
        <w:tc>
          <w:tcPr>
            <w:tcW w:w="5275" w:type="dxa"/>
          </w:tcPr>
          <w:p w14:paraId="528B3F06" w14:textId="77777777" w:rsidR="0081013A" w:rsidRDefault="004D3D43">
            <w:pPr>
              <w:pStyle w:val="TableParagraph"/>
              <w:ind w:left="115" w:right="227"/>
              <w:rPr>
                <w:sz w:val="18"/>
              </w:rPr>
            </w:pPr>
            <w:r>
              <w:rPr>
                <w:sz w:val="18"/>
              </w:rPr>
              <w:t>California Public Utilities Commission (CPUC), Energy Division. 2013. “Workpaper Disposition for Water Fixtures.” February 22. Page 6.</w:t>
            </w:r>
          </w:p>
          <w:p w14:paraId="528B3F07" w14:textId="77777777" w:rsidR="0081013A" w:rsidRDefault="0081013A">
            <w:pPr>
              <w:pStyle w:val="TableParagraph"/>
              <w:spacing w:before="11"/>
              <w:rPr>
                <w:sz w:val="17"/>
              </w:rPr>
            </w:pPr>
          </w:p>
          <w:p w14:paraId="528B3F08" w14:textId="77777777" w:rsidR="0081013A" w:rsidRDefault="004D3D43">
            <w:pPr>
              <w:pStyle w:val="TableParagraph"/>
              <w:spacing w:before="1"/>
              <w:ind w:left="115" w:right="242"/>
              <w:rPr>
                <w:sz w:val="18"/>
              </w:rPr>
            </w:pPr>
            <w:r>
              <w:rPr>
                <w:sz w:val="18"/>
              </w:rPr>
              <w:t>California Public Utilities Commission (CPUC), Energy Division. 2013. “2013-2014_DHWFixtureMeasures_Disposition-1March2013.xls.”</w:t>
            </w:r>
          </w:p>
          <w:p w14:paraId="528B3F09" w14:textId="77777777" w:rsidR="0081013A" w:rsidRDefault="004D3D43">
            <w:pPr>
              <w:pStyle w:val="TableParagraph"/>
              <w:spacing w:line="199" w:lineRule="exact"/>
              <w:ind w:left="115"/>
              <w:rPr>
                <w:sz w:val="18"/>
              </w:rPr>
            </w:pPr>
            <w:r>
              <w:rPr>
                <w:sz w:val="18"/>
              </w:rPr>
              <w:t>February 22. See ED_NTG tab.</w:t>
            </w:r>
          </w:p>
        </w:tc>
      </w:tr>
      <w:tr w:rsidR="0081013A" w14:paraId="528B3F18" w14:textId="77777777">
        <w:trPr>
          <w:trHeight w:val="1319"/>
        </w:trPr>
        <w:tc>
          <w:tcPr>
            <w:tcW w:w="1872" w:type="dxa"/>
          </w:tcPr>
          <w:p w14:paraId="528B3F0B" w14:textId="77777777" w:rsidR="0081013A" w:rsidRDefault="0081013A">
            <w:pPr>
              <w:pStyle w:val="TableParagraph"/>
              <w:spacing w:before="1"/>
              <w:rPr>
                <w:sz w:val="24"/>
              </w:rPr>
            </w:pPr>
          </w:p>
          <w:p w14:paraId="528B3F0C" w14:textId="77777777" w:rsidR="0081013A" w:rsidRDefault="004D3D43">
            <w:pPr>
              <w:pStyle w:val="TableParagraph"/>
              <w:ind w:left="115" w:right="222"/>
              <w:rPr>
                <w:sz w:val="20"/>
              </w:rPr>
            </w:pPr>
            <w:r>
              <w:rPr>
                <w:sz w:val="20"/>
              </w:rPr>
              <w:t>NTG – Residential default, non-direct install</w:t>
            </w:r>
          </w:p>
        </w:tc>
        <w:tc>
          <w:tcPr>
            <w:tcW w:w="1152" w:type="dxa"/>
          </w:tcPr>
          <w:p w14:paraId="528B3F0D" w14:textId="77777777" w:rsidR="0081013A" w:rsidRDefault="0081013A">
            <w:pPr>
              <w:pStyle w:val="TableParagraph"/>
              <w:rPr>
                <w:sz w:val="20"/>
              </w:rPr>
            </w:pPr>
          </w:p>
          <w:p w14:paraId="528B3F0E" w14:textId="77777777" w:rsidR="0081013A" w:rsidRDefault="0081013A">
            <w:pPr>
              <w:pStyle w:val="TableParagraph"/>
              <w:spacing w:before="1"/>
              <w:rPr>
                <w:sz w:val="24"/>
              </w:rPr>
            </w:pPr>
          </w:p>
          <w:p w14:paraId="528B3F0F" w14:textId="77777777" w:rsidR="0081013A" w:rsidRDefault="004D3D43">
            <w:pPr>
              <w:pStyle w:val="TableParagraph"/>
              <w:spacing w:before="1"/>
              <w:ind w:left="231" w:right="227"/>
              <w:jc w:val="center"/>
              <w:rPr>
                <w:sz w:val="20"/>
              </w:rPr>
            </w:pPr>
            <w:r>
              <w:rPr>
                <w:sz w:val="20"/>
              </w:rPr>
              <w:t>0.55</w:t>
            </w:r>
          </w:p>
        </w:tc>
        <w:tc>
          <w:tcPr>
            <w:tcW w:w="1152" w:type="dxa"/>
          </w:tcPr>
          <w:p w14:paraId="528B3F10" w14:textId="77777777" w:rsidR="0081013A" w:rsidRDefault="0081013A">
            <w:pPr>
              <w:pStyle w:val="TableParagraph"/>
              <w:rPr>
                <w:sz w:val="20"/>
              </w:rPr>
            </w:pPr>
          </w:p>
          <w:p w14:paraId="528B3F11" w14:textId="77777777" w:rsidR="0081013A" w:rsidRDefault="0081013A">
            <w:pPr>
              <w:pStyle w:val="TableParagraph"/>
              <w:spacing w:before="1"/>
              <w:rPr>
                <w:sz w:val="24"/>
              </w:rPr>
            </w:pPr>
          </w:p>
          <w:p w14:paraId="528B3F12" w14:textId="77777777" w:rsidR="0081013A" w:rsidRDefault="004D3D43">
            <w:pPr>
              <w:pStyle w:val="TableParagraph"/>
              <w:spacing w:before="1"/>
              <w:ind w:left="231" w:right="227"/>
              <w:jc w:val="center"/>
              <w:rPr>
                <w:sz w:val="20"/>
              </w:rPr>
            </w:pPr>
            <w:r>
              <w:rPr>
                <w:sz w:val="20"/>
              </w:rPr>
              <w:t>0.55</w:t>
            </w:r>
          </w:p>
        </w:tc>
        <w:tc>
          <w:tcPr>
            <w:tcW w:w="5275" w:type="dxa"/>
          </w:tcPr>
          <w:p w14:paraId="528B3F13" w14:textId="77777777" w:rsidR="0081013A" w:rsidRDefault="004D3D43">
            <w:pPr>
              <w:pStyle w:val="TableParagraph"/>
              <w:spacing w:before="1"/>
              <w:ind w:left="115" w:right="227"/>
              <w:rPr>
                <w:sz w:val="18"/>
              </w:rPr>
            </w:pPr>
            <w:r>
              <w:rPr>
                <w:sz w:val="18"/>
              </w:rPr>
              <w:t>California Public Utilities Commission (CPUC), Energy Division. 2013. “Workpaper Disposition for Water Fixtures.” February 22. Page 6.</w:t>
            </w:r>
          </w:p>
          <w:p w14:paraId="528B3F14" w14:textId="77777777" w:rsidR="0081013A" w:rsidRDefault="0081013A">
            <w:pPr>
              <w:pStyle w:val="TableParagraph"/>
              <w:spacing w:before="10"/>
              <w:rPr>
                <w:sz w:val="17"/>
              </w:rPr>
            </w:pPr>
          </w:p>
          <w:p w14:paraId="528B3F15" w14:textId="77777777" w:rsidR="0081013A" w:rsidRDefault="004D3D43">
            <w:pPr>
              <w:pStyle w:val="TableParagraph"/>
              <w:spacing w:before="1"/>
              <w:ind w:left="115"/>
              <w:rPr>
                <w:i/>
                <w:sz w:val="18"/>
              </w:rPr>
            </w:pPr>
            <w:r>
              <w:rPr>
                <w:sz w:val="18"/>
              </w:rPr>
              <w:t xml:space="preserve">Itron, Inc. 2011. </w:t>
            </w:r>
            <w:r>
              <w:rPr>
                <w:i/>
                <w:sz w:val="18"/>
              </w:rPr>
              <w:t>DEER Database 2011 Update Documentation.</w:t>
            </w:r>
          </w:p>
          <w:p w14:paraId="528B3F16" w14:textId="77777777" w:rsidR="0081013A" w:rsidRDefault="004D3D43">
            <w:pPr>
              <w:pStyle w:val="TableParagraph"/>
              <w:spacing w:before="1" w:line="219" w:lineRule="exact"/>
              <w:ind w:left="115"/>
              <w:rPr>
                <w:sz w:val="18"/>
              </w:rPr>
            </w:pPr>
            <w:r>
              <w:rPr>
                <w:sz w:val="18"/>
              </w:rPr>
              <w:t>Prepared for the California Public Utilities Commission. Page 15-4</w:t>
            </w:r>
          </w:p>
          <w:p w14:paraId="528B3F17" w14:textId="77777777" w:rsidR="0081013A" w:rsidRDefault="004D3D43">
            <w:pPr>
              <w:pStyle w:val="TableParagraph"/>
              <w:spacing w:line="201" w:lineRule="exact"/>
              <w:ind w:left="115"/>
              <w:rPr>
                <w:sz w:val="18"/>
              </w:rPr>
            </w:pPr>
            <w:r>
              <w:rPr>
                <w:sz w:val="18"/>
              </w:rPr>
              <w:t>Table 15-3.</w:t>
            </w:r>
          </w:p>
        </w:tc>
      </w:tr>
    </w:tbl>
    <w:p w14:paraId="528B3F27" w14:textId="2D84111A" w:rsidR="0081013A" w:rsidRPr="00905A0D" w:rsidRDefault="0081013A" w:rsidP="00905A0D">
      <w:pPr>
        <w:pStyle w:val="BodyText"/>
        <w:ind w:right="583"/>
      </w:pPr>
    </w:p>
    <w:p w14:paraId="091D076C" w14:textId="77777777" w:rsidR="008B18E3" w:rsidRDefault="008B18E3">
      <w:pPr>
        <w:pStyle w:val="BodyText"/>
        <w:spacing w:before="6"/>
        <w:rPr>
          <w:sz w:val="29"/>
        </w:rPr>
      </w:pPr>
    </w:p>
    <w:p w14:paraId="528B3F29" w14:textId="35D3602A" w:rsidR="0081013A" w:rsidRDefault="004A0AE2">
      <w:pPr>
        <w:pStyle w:val="BodyText"/>
        <w:spacing w:before="6"/>
        <w:rPr>
          <w:sz w:val="29"/>
        </w:rPr>
      </w:pPr>
      <w:r>
        <w:pict w14:anchorId="528B3FCB">
          <v:shape id="_x0000_s1026" style="position:absolute;margin-left:1in;margin-top:20.35pt;width:2in;height:.1pt;z-index:-251640832;mso-wrap-distance-left:0;mso-wrap-distance-right:0;mso-position-horizontal-relative:page" coordorigin="1440,407" coordsize="2880,0" path="m1440,407r2880,e" filled="f" strokeweight=".72pt">
            <v:path arrowok="t"/>
            <w10:wrap type="topAndBottom" anchorx="page"/>
          </v:shape>
        </w:pict>
      </w:r>
    </w:p>
    <w:p w14:paraId="528B3F2A" w14:textId="77777777" w:rsidR="0081013A" w:rsidRDefault="0081013A">
      <w:pPr>
        <w:pStyle w:val="BodyText"/>
        <w:rPr>
          <w:sz w:val="20"/>
        </w:rPr>
      </w:pPr>
    </w:p>
    <w:p w14:paraId="528B3F2B" w14:textId="77777777" w:rsidR="0081013A" w:rsidRDefault="0081013A">
      <w:pPr>
        <w:pStyle w:val="BodyText"/>
        <w:spacing w:before="5"/>
        <w:rPr>
          <w:sz w:val="27"/>
        </w:rPr>
      </w:pPr>
    </w:p>
    <w:p w14:paraId="528B3F2C" w14:textId="77777777" w:rsidR="0081013A" w:rsidRDefault="004D3D43">
      <w:pPr>
        <w:ind w:left="120" w:right="914" w:hanging="1"/>
        <w:rPr>
          <w:sz w:val="18"/>
        </w:rPr>
      </w:pPr>
      <w:bookmarkStart w:id="40" w:name="_bookmark17"/>
      <w:bookmarkEnd w:id="40"/>
      <w:r>
        <w:rPr>
          <w:position w:val="5"/>
          <w:sz w:val="12"/>
        </w:rPr>
        <w:t xml:space="preserve">18 </w:t>
      </w:r>
      <w:r>
        <w:rPr>
          <w:sz w:val="18"/>
        </w:rPr>
        <w:t xml:space="preserve">Itron, Inc. 2014. </w:t>
      </w:r>
      <w:r>
        <w:rPr>
          <w:i/>
          <w:sz w:val="18"/>
        </w:rPr>
        <w:t xml:space="preserve">2010-2012 WO017 Ex Ante Measure Cost Study Final Report. </w:t>
      </w:r>
      <w:r>
        <w:rPr>
          <w:sz w:val="18"/>
        </w:rPr>
        <w:t>Prepared for the California Public Utilities Commission. Table 4-15.</w:t>
      </w:r>
    </w:p>
    <w:p w14:paraId="528B3F2D" w14:textId="77777777" w:rsidR="0081013A" w:rsidRDefault="0081013A">
      <w:pPr>
        <w:rPr>
          <w:sz w:val="18"/>
        </w:rPr>
        <w:sectPr w:rsidR="0081013A">
          <w:pgSz w:w="12240" w:h="15840"/>
          <w:pgMar w:top="1220" w:right="1120" w:bottom="1320" w:left="1320" w:header="858" w:footer="1129" w:gutter="0"/>
          <w:cols w:space="720"/>
        </w:sectPr>
      </w:pPr>
    </w:p>
    <w:p w14:paraId="528B3F2E" w14:textId="77777777" w:rsidR="0081013A" w:rsidRDefault="0081013A">
      <w:pPr>
        <w:pStyle w:val="BodyText"/>
        <w:spacing w:before="2"/>
        <w:rPr>
          <w:sz w:val="21"/>
        </w:rPr>
      </w:pPr>
    </w:p>
    <w:p w14:paraId="528B3F2F" w14:textId="77777777" w:rsidR="0081013A" w:rsidRDefault="004D3D43">
      <w:pPr>
        <w:pStyle w:val="Heading1"/>
        <w:spacing w:before="52"/>
      </w:pPr>
      <w:bookmarkStart w:id="41" w:name="_TOC_250003"/>
      <w:bookmarkEnd w:id="41"/>
      <w:r>
        <w:rPr>
          <w:color w:val="CFAB79"/>
        </w:rPr>
        <w:t>GROSS SAVINGS INSTALLATION ADJUSTMENT (GSIA)</w:t>
      </w:r>
    </w:p>
    <w:p w14:paraId="528B3F30" w14:textId="77777777" w:rsidR="0081013A" w:rsidRDefault="004D3D43">
      <w:pPr>
        <w:pStyle w:val="BodyText"/>
        <w:spacing w:before="115"/>
        <w:ind w:left="119" w:right="310"/>
      </w:pPr>
      <w:r>
        <w:t>The gross savings installation adjustment (GSIA) rate represents the ratio of the number of verified installations of the measure to the number of claimed installations reported by the utility. This factor varies by end use, sector, technology, application, and delivery method. This GSIA value complies with the Workpaper Disposition for Water Fixtures disposition issued by the Energy Division of the California Public Utilities Commission (CPUC) in 2013 and was derived as the gross savings weighted installation rate reported in the 2006-2008 Residential Retrofit impact evaluation report.</w:t>
      </w:r>
    </w:p>
    <w:p w14:paraId="528B3F31" w14:textId="77777777" w:rsidR="0081013A" w:rsidRDefault="0081013A">
      <w:pPr>
        <w:pStyle w:val="BodyText"/>
        <w:spacing w:before="3"/>
        <w:rPr>
          <w:sz w:val="23"/>
        </w:rPr>
      </w:pPr>
    </w:p>
    <w:p w14:paraId="528B3F32" w14:textId="77777777" w:rsidR="0081013A" w:rsidRPr="004E692F" w:rsidRDefault="004D3D43">
      <w:pPr>
        <w:spacing w:before="1"/>
        <w:ind w:left="120"/>
        <w:rPr>
          <w:b/>
          <w:bCs/>
          <w:sz w:val="20"/>
        </w:rPr>
      </w:pPr>
      <w:r w:rsidRPr="004E692F">
        <w:rPr>
          <w:b/>
          <w:bCs/>
          <w:sz w:val="20"/>
        </w:rPr>
        <w:t>Gross Savings Installation Adjustment Rates</w:t>
      </w:r>
    </w:p>
    <w:p w14:paraId="528B3F33" w14:textId="77777777" w:rsidR="0081013A" w:rsidRPr="004E692F" w:rsidRDefault="0081013A">
      <w:pPr>
        <w:pStyle w:val="BodyText"/>
        <w:spacing w:before="2"/>
        <w:rPr>
          <w:b/>
          <w:bCs/>
          <w:sz w:val="6"/>
        </w:rPr>
      </w:pPr>
    </w:p>
    <w:tbl>
      <w:tblPr>
        <w:tblW w:w="0" w:type="auto"/>
        <w:tblInd w:w="125"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1440"/>
        <w:gridCol w:w="1008"/>
        <w:gridCol w:w="1008"/>
        <w:gridCol w:w="5995"/>
      </w:tblGrid>
      <w:tr w:rsidR="0081013A" w:rsidRPr="004E692F" w14:paraId="528B3F38" w14:textId="77777777">
        <w:trPr>
          <w:trHeight w:val="244"/>
        </w:trPr>
        <w:tc>
          <w:tcPr>
            <w:tcW w:w="1440" w:type="dxa"/>
            <w:shd w:val="clear" w:color="auto" w:fill="F1F1F1"/>
          </w:tcPr>
          <w:p w14:paraId="528B3F34" w14:textId="77777777" w:rsidR="0081013A" w:rsidRPr="004E692F" w:rsidRDefault="004D3D43">
            <w:pPr>
              <w:pStyle w:val="TableParagraph"/>
              <w:spacing w:before="1" w:line="223" w:lineRule="exact"/>
              <w:ind w:left="302"/>
              <w:rPr>
                <w:b/>
                <w:bCs/>
                <w:sz w:val="20"/>
              </w:rPr>
            </w:pPr>
            <w:r w:rsidRPr="004E692F">
              <w:rPr>
                <w:b/>
                <w:bCs/>
                <w:sz w:val="20"/>
              </w:rPr>
              <w:t>Parameter</w:t>
            </w:r>
          </w:p>
        </w:tc>
        <w:tc>
          <w:tcPr>
            <w:tcW w:w="1008" w:type="dxa"/>
            <w:shd w:val="clear" w:color="auto" w:fill="F1F1F1"/>
          </w:tcPr>
          <w:p w14:paraId="528B3F35" w14:textId="77777777" w:rsidR="0081013A" w:rsidRPr="004E692F" w:rsidRDefault="004D3D43">
            <w:pPr>
              <w:pStyle w:val="TableParagraph"/>
              <w:spacing w:before="1" w:line="223" w:lineRule="exact"/>
              <w:ind w:left="213"/>
              <w:rPr>
                <w:b/>
                <w:bCs/>
                <w:sz w:val="20"/>
              </w:rPr>
            </w:pPr>
            <w:r w:rsidRPr="004E692F">
              <w:rPr>
                <w:b/>
                <w:bCs/>
                <w:sz w:val="20"/>
              </w:rPr>
              <w:t>Electric</w:t>
            </w:r>
          </w:p>
        </w:tc>
        <w:tc>
          <w:tcPr>
            <w:tcW w:w="1008" w:type="dxa"/>
            <w:shd w:val="clear" w:color="auto" w:fill="F1F1F1"/>
          </w:tcPr>
          <w:p w14:paraId="528B3F36" w14:textId="77777777" w:rsidR="0081013A" w:rsidRPr="004E692F" w:rsidRDefault="004D3D43">
            <w:pPr>
              <w:pStyle w:val="TableParagraph"/>
              <w:spacing w:before="1" w:line="223" w:lineRule="exact"/>
              <w:ind w:left="253" w:right="244"/>
              <w:jc w:val="center"/>
              <w:rPr>
                <w:b/>
                <w:bCs/>
                <w:sz w:val="20"/>
              </w:rPr>
            </w:pPr>
            <w:r w:rsidRPr="004E692F">
              <w:rPr>
                <w:b/>
                <w:bCs/>
                <w:sz w:val="20"/>
              </w:rPr>
              <w:t>Gas</w:t>
            </w:r>
          </w:p>
        </w:tc>
        <w:tc>
          <w:tcPr>
            <w:tcW w:w="5995" w:type="dxa"/>
            <w:shd w:val="clear" w:color="auto" w:fill="F1F1F1"/>
          </w:tcPr>
          <w:p w14:paraId="528B3F37" w14:textId="77777777" w:rsidR="0081013A" w:rsidRPr="004E692F" w:rsidRDefault="004D3D43">
            <w:pPr>
              <w:pStyle w:val="TableParagraph"/>
              <w:spacing w:before="1" w:line="223" w:lineRule="exact"/>
              <w:ind w:left="2702" w:right="2690"/>
              <w:jc w:val="center"/>
              <w:rPr>
                <w:b/>
                <w:bCs/>
                <w:sz w:val="20"/>
              </w:rPr>
            </w:pPr>
            <w:r w:rsidRPr="004E692F">
              <w:rPr>
                <w:b/>
                <w:bCs/>
                <w:sz w:val="20"/>
              </w:rPr>
              <w:t>Source</w:t>
            </w:r>
          </w:p>
        </w:tc>
      </w:tr>
      <w:tr w:rsidR="0081013A" w14:paraId="528B3F46" w14:textId="77777777">
        <w:trPr>
          <w:trHeight w:val="1540"/>
        </w:trPr>
        <w:tc>
          <w:tcPr>
            <w:tcW w:w="1440" w:type="dxa"/>
          </w:tcPr>
          <w:p w14:paraId="528B3F39" w14:textId="77777777" w:rsidR="0081013A" w:rsidRDefault="0081013A">
            <w:pPr>
              <w:pStyle w:val="TableParagraph"/>
              <w:rPr>
                <w:sz w:val="20"/>
              </w:rPr>
            </w:pPr>
          </w:p>
          <w:p w14:paraId="528B3F3A" w14:textId="77777777" w:rsidR="0081013A" w:rsidRDefault="0081013A">
            <w:pPr>
              <w:pStyle w:val="TableParagraph"/>
              <w:rPr>
                <w:sz w:val="20"/>
              </w:rPr>
            </w:pPr>
          </w:p>
          <w:p w14:paraId="528B3F3B" w14:textId="77777777" w:rsidR="0081013A" w:rsidRDefault="004D3D43">
            <w:pPr>
              <w:pStyle w:val="TableParagraph"/>
              <w:spacing w:before="161"/>
              <w:ind w:left="115"/>
              <w:rPr>
                <w:sz w:val="20"/>
              </w:rPr>
            </w:pPr>
            <w:r>
              <w:rPr>
                <w:sz w:val="20"/>
              </w:rPr>
              <w:t>GSIA</w:t>
            </w:r>
          </w:p>
        </w:tc>
        <w:tc>
          <w:tcPr>
            <w:tcW w:w="1008" w:type="dxa"/>
          </w:tcPr>
          <w:p w14:paraId="528B3F3C" w14:textId="77777777" w:rsidR="0081013A" w:rsidRDefault="0081013A">
            <w:pPr>
              <w:pStyle w:val="TableParagraph"/>
              <w:rPr>
                <w:sz w:val="20"/>
              </w:rPr>
            </w:pPr>
          </w:p>
          <w:p w14:paraId="528B3F3D" w14:textId="77777777" w:rsidR="0081013A" w:rsidRDefault="0081013A">
            <w:pPr>
              <w:pStyle w:val="TableParagraph"/>
              <w:rPr>
                <w:sz w:val="20"/>
              </w:rPr>
            </w:pPr>
          </w:p>
          <w:p w14:paraId="528B3F3E" w14:textId="77777777" w:rsidR="0081013A" w:rsidRDefault="004D3D43">
            <w:pPr>
              <w:pStyle w:val="TableParagraph"/>
              <w:spacing w:before="161"/>
              <w:ind w:left="275"/>
              <w:rPr>
                <w:sz w:val="20"/>
              </w:rPr>
            </w:pPr>
            <w:r>
              <w:rPr>
                <w:sz w:val="20"/>
              </w:rPr>
              <w:t>0.737</w:t>
            </w:r>
          </w:p>
        </w:tc>
        <w:tc>
          <w:tcPr>
            <w:tcW w:w="1008" w:type="dxa"/>
          </w:tcPr>
          <w:p w14:paraId="528B3F3F" w14:textId="77777777" w:rsidR="0081013A" w:rsidRDefault="0081013A">
            <w:pPr>
              <w:pStyle w:val="TableParagraph"/>
              <w:rPr>
                <w:sz w:val="20"/>
              </w:rPr>
            </w:pPr>
          </w:p>
          <w:p w14:paraId="528B3F40" w14:textId="77777777" w:rsidR="0081013A" w:rsidRDefault="0081013A">
            <w:pPr>
              <w:pStyle w:val="TableParagraph"/>
              <w:rPr>
                <w:sz w:val="20"/>
              </w:rPr>
            </w:pPr>
          </w:p>
          <w:p w14:paraId="528B3F41" w14:textId="77777777" w:rsidR="0081013A" w:rsidRDefault="004D3D43">
            <w:pPr>
              <w:pStyle w:val="TableParagraph"/>
              <w:spacing w:before="161"/>
              <w:ind w:left="253" w:right="249"/>
              <w:jc w:val="center"/>
              <w:rPr>
                <w:sz w:val="20"/>
              </w:rPr>
            </w:pPr>
            <w:r>
              <w:rPr>
                <w:sz w:val="20"/>
              </w:rPr>
              <w:t>0.737</w:t>
            </w:r>
          </w:p>
        </w:tc>
        <w:tc>
          <w:tcPr>
            <w:tcW w:w="5995" w:type="dxa"/>
          </w:tcPr>
          <w:p w14:paraId="528B3F42" w14:textId="77777777" w:rsidR="0081013A" w:rsidRDefault="004D3D43">
            <w:pPr>
              <w:pStyle w:val="TableParagraph"/>
              <w:spacing w:before="1"/>
              <w:ind w:left="114" w:right="351"/>
              <w:rPr>
                <w:sz w:val="18"/>
              </w:rPr>
            </w:pPr>
            <w:r>
              <w:rPr>
                <w:sz w:val="18"/>
              </w:rPr>
              <w:t>California Public Utilities Commission (CPUC), Energy Division. 2013. “2013- 2014_DHWFixtureMeasures_Disposition-1March2013.xls.” February 22. See ED_IR tab.</w:t>
            </w:r>
          </w:p>
          <w:p w14:paraId="528B3F43" w14:textId="77777777" w:rsidR="0081013A" w:rsidRDefault="0081013A">
            <w:pPr>
              <w:pStyle w:val="TableParagraph"/>
              <w:spacing w:before="11"/>
              <w:rPr>
                <w:sz w:val="17"/>
              </w:rPr>
            </w:pPr>
          </w:p>
          <w:p w14:paraId="528B3F44" w14:textId="77777777" w:rsidR="0081013A" w:rsidRDefault="004D3D43">
            <w:pPr>
              <w:pStyle w:val="TableParagraph"/>
              <w:spacing w:before="1"/>
              <w:ind w:left="115" w:right="567"/>
              <w:rPr>
                <w:sz w:val="18"/>
              </w:rPr>
            </w:pPr>
            <w:r>
              <w:rPr>
                <w:sz w:val="18"/>
              </w:rPr>
              <w:t xml:space="preserve">The Cadmus Group, Inc. 2010. </w:t>
            </w:r>
            <w:r>
              <w:rPr>
                <w:i/>
                <w:sz w:val="18"/>
              </w:rPr>
              <w:t xml:space="preserve">Residential Retrofit High Impact Measure Evaluation Report. </w:t>
            </w:r>
            <w:r>
              <w:rPr>
                <w:sz w:val="18"/>
              </w:rPr>
              <w:t>Prepared for the California Public Utilities Commission</w:t>
            </w:r>
          </w:p>
          <w:p w14:paraId="528B3F45" w14:textId="77777777" w:rsidR="0081013A" w:rsidRDefault="004D3D43">
            <w:pPr>
              <w:pStyle w:val="TableParagraph"/>
              <w:spacing w:line="201" w:lineRule="exact"/>
              <w:ind w:left="115"/>
              <w:rPr>
                <w:sz w:val="18"/>
              </w:rPr>
            </w:pPr>
            <w:r>
              <w:rPr>
                <w:sz w:val="18"/>
              </w:rPr>
              <w:t>Energy Division.</w:t>
            </w:r>
          </w:p>
        </w:tc>
      </w:tr>
    </w:tbl>
    <w:p w14:paraId="528B3F47" w14:textId="77777777" w:rsidR="0081013A" w:rsidRDefault="0081013A">
      <w:pPr>
        <w:pStyle w:val="BodyText"/>
        <w:rPr>
          <w:sz w:val="20"/>
        </w:rPr>
      </w:pPr>
    </w:p>
    <w:p w14:paraId="528B3F48" w14:textId="77777777" w:rsidR="0081013A" w:rsidRDefault="0081013A">
      <w:pPr>
        <w:pStyle w:val="BodyText"/>
        <w:spacing w:before="6"/>
        <w:rPr>
          <w:sz w:val="20"/>
        </w:rPr>
      </w:pPr>
    </w:p>
    <w:p w14:paraId="528B3F49" w14:textId="77777777" w:rsidR="0081013A" w:rsidRDefault="004D3D43">
      <w:pPr>
        <w:pStyle w:val="Heading1"/>
      </w:pPr>
      <w:bookmarkStart w:id="42" w:name="_TOC_250002"/>
      <w:bookmarkEnd w:id="42"/>
      <w:r>
        <w:rPr>
          <w:color w:val="CFAB79"/>
        </w:rPr>
        <w:t>NON-ENERGY IMPACTS</w:t>
      </w:r>
    </w:p>
    <w:p w14:paraId="528B3F4A" w14:textId="77777777" w:rsidR="0081013A" w:rsidRDefault="004D3D43">
      <w:pPr>
        <w:pStyle w:val="BodyText"/>
        <w:spacing w:before="115"/>
        <w:ind w:left="119" w:right="324"/>
        <w:jc w:val="both"/>
      </w:pPr>
      <w:r>
        <w:t>Non-energy impacts that result from the installation of a low-flow showerhead or flow-control valve is the reduction of water usage. Insofar as energy savings is a function of water savings, the calculation of water savings is explained in the Gas Savings section.</w:t>
      </w:r>
    </w:p>
    <w:p w14:paraId="528B3F4B" w14:textId="77777777" w:rsidR="0081013A" w:rsidRDefault="0081013A">
      <w:pPr>
        <w:pStyle w:val="BodyText"/>
      </w:pPr>
    </w:p>
    <w:p w14:paraId="528B3F4C" w14:textId="77777777" w:rsidR="0081013A" w:rsidRDefault="0081013A">
      <w:pPr>
        <w:pStyle w:val="BodyText"/>
        <w:spacing w:before="9"/>
        <w:rPr>
          <w:sz w:val="20"/>
        </w:rPr>
      </w:pPr>
    </w:p>
    <w:p w14:paraId="528B3F4D" w14:textId="77777777" w:rsidR="0081013A" w:rsidRDefault="004D3D43">
      <w:pPr>
        <w:pStyle w:val="Heading1"/>
      </w:pPr>
      <w:bookmarkStart w:id="43" w:name="_TOC_250001"/>
      <w:bookmarkEnd w:id="43"/>
      <w:r>
        <w:rPr>
          <w:color w:val="CFAB79"/>
        </w:rPr>
        <w:t>DEER DIFFERENCES ANALYSIS</w:t>
      </w:r>
    </w:p>
    <w:p w14:paraId="528B3F4E" w14:textId="77777777" w:rsidR="0081013A" w:rsidRDefault="004D3D43">
      <w:pPr>
        <w:pStyle w:val="BodyText"/>
        <w:spacing w:before="115"/>
        <w:ind w:left="120" w:right="724"/>
      </w:pPr>
      <w:r>
        <w:t>This section provides a summary of DEER-based inputs and methods, and the rationale for inputs and methods that are not DEER-based.</w:t>
      </w:r>
    </w:p>
    <w:p w14:paraId="528B3F4F" w14:textId="77777777" w:rsidR="0081013A" w:rsidRDefault="0081013A">
      <w:pPr>
        <w:pStyle w:val="BodyText"/>
        <w:spacing w:before="2"/>
        <w:rPr>
          <w:sz w:val="23"/>
        </w:rPr>
      </w:pPr>
    </w:p>
    <w:p w14:paraId="528B3F50" w14:textId="77777777" w:rsidR="0081013A" w:rsidRPr="004E692F" w:rsidRDefault="004D3D43">
      <w:pPr>
        <w:ind w:left="120"/>
        <w:jc w:val="both"/>
        <w:rPr>
          <w:b/>
          <w:bCs/>
          <w:sz w:val="20"/>
        </w:rPr>
      </w:pPr>
      <w:r w:rsidRPr="004E692F">
        <w:rPr>
          <w:b/>
          <w:bCs/>
          <w:sz w:val="20"/>
        </w:rPr>
        <w:t>DEER Difference Summary</w:t>
      </w:r>
    </w:p>
    <w:p w14:paraId="528B3F51" w14:textId="77777777" w:rsidR="0081013A" w:rsidRPr="004E692F" w:rsidRDefault="0081013A">
      <w:pPr>
        <w:pStyle w:val="BodyText"/>
        <w:spacing w:before="3"/>
        <w:rPr>
          <w:b/>
          <w:bCs/>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2875"/>
        <w:gridCol w:w="6475"/>
      </w:tblGrid>
      <w:tr w:rsidR="0081013A" w:rsidRPr="004E692F" w14:paraId="528B3F54" w14:textId="77777777">
        <w:trPr>
          <w:trHeight w:val="285"/>
        </w:trPr>
        <w:tc>
          <w:tcPr>
            <w:tcW w:w="2875" w:type="dxa"/>
            <w:shd w:val="clear" w:color="auto" w:fill="F1F1F1"/>
          </w:tcPr>
          <w:p w14:paraId="528B3F52" w14:textId="77777777" w:rsidR="0081013A" w:rsidRPr="004E692F" w:rsidRDefault="004D3D43">
            <w:pPr>
              <w:pStyle w:val="TableParagraph"/>
              <w:spacing w:before="23" w:line="242" w:lineRule="exact"/>
              <w:ind w:left="115"/>
              <w:rPr>
                <w:b/>
                <w:bCs/>
                <w:sz w:val="20"/>
              </w:rPr>
            </w:pPr>
            <w:r w:rsidRPr="004E692F">
              <w:rPr>
                <w:b/>
                <w:bCs/>
                <w:sz w:val="20"/>
              </w:rPr>
              <w:t>DEER Item</w:t>
            </w:r>
          </w:p>
        </w:tc>
        <w:tc>
          <w:tcPr>
            <w:tcW w:w="6475" w:type="dxa"/>
            <w:shd w:val="clear" w:color="auto" w:fill="F1F1F1"/>
          </w:tcPr>
          <w:p w14:paraId="528B3F53" w14:textId="77777777" w:rsidR="0081013A" w:rsidRPr="004E692F" w:rsidRDefault="004D3D43">
            <w:pPr>
              <w:pStyle w:val="TableParagraph"/>
              <w:spacing w:before="23" w:line="242" w:lineRule="exact"/>
              <w:ind w:left="112"/>
              <w:rPr>
                <w:b/>
                <w:bCs/>
                <w:sz w:val="20"/>
              </w:rPr>
            </w:pPr>
            <w:r w:rsidRPr="004E692F">
              <w:rPr>
                <w:b/>
                <w:bCs/>
                <w:sz w:val="20"/>
              </w:rPr>
              <w:t>Comment / Used for Workpaper</w:t>
            </w:r>
          </w:p>
        </w:tc>
      </w:tr>
      <w:tr w:rsidR="0081013A" w14:paraId="528B3F57" w14:textId="77777777">
        <w:trPr>
          <w:trHeight w:val="282"/>
        </w:trPr>
        <w:tc>
          <w:tcPr>
            <w:tcW w:w="2875" w:type="dxa"/>
          </w:tcPr>
          <w:p w14:paraId="528B3F55" w14:textId="77777777" w:rsidR="0081013A" w:rsidRDefault="004D3D43">
            <w:pPr>
              <w:pStyle w:val="TableParagraph"/>
              <w:spacing w:before="20" w:line="242" w:lineRule="exact"/>
              <w:ind w:left="115"/>
              <w:rPr>
                <w:sz w:val="20"/>
              </w:rPr>
            </w:pPr>
            <w:r>
              <w:rPr>
                <w:sz w:val="20"/>
              </w:rPr>
              <w:t>Modified DEER methodology</w:t>
            </w:r>
          </w:p>
        </w:tc>
        <w:tc>
          <w:tcPr>
            <w:tcW w:w="6475" w:type="dxa"/>
          </w:tcPr>
          <w:p w14:paraId="528B3F56" w14:textId="77777777" w:rsidR="0081013A" w:rsidRDefault="004D3D43">
            <w:pPr>
              <w:pStyle w:val="TableParagraph"/>
              <w:spacing w:before="20" w:line="242" w:lineRule="exact"/>
              <w:ind w:left="112"/>
              <w:rPr>
                <w:sz w:val="20"/>
              </w:rPr>
            </w:pPr>
            <w:r>
              <w:rPr>
                <w:sz w:val="20"/>
              </w:rPr>
              <w:t>No</w:t>
            </w:r>
          </w:p>
        </w:tc>
      </w:tr>
      <w:tr w:rsidR="0081013A" w14:paraId="528B3F5A" w14:textId="77777777">
        <w:trPr>
          <w:trHeight w:val="285"/>
        </w:trPr>
        <w:tc>
          <w:tcPr>
            <w:tcW w:w="2875" w:type="dxa"/>
          </w:tcPr>
          <w:p w14:paraId="528B3F58" w14:textId="77777777" w:rsidR="0081013A" w:rsidRDefault="004D3D43">
            <w:pPr>
              <w:pStyle w:val="TableParagraph"/>
              <w:spacing w:before="23" w:line="242" w:lineRule="exact"/>
              <w:ind w:left="115"/>
              <w:rPr>
                <w:sz w:val="20"/>
              </w:rPr>
            </w:pPr>
            <w:r>
              <w:rPr>
                <w:sz w:val="20"/>
              </w:rPr>
              <w:t>Scaled DEER measure</w:t>
            </w:r>
          </w:p>
        </w:tc>
        <w:tc>
          <w:tcPr>
            <w:tcW w:w="6475" w:type="dxa"/>
          </w:tcPr>
          <w:p w14:paraId="528B3F59" w14:textId="77777777" w:rsidR="0081013A" w:rsidRDefault="004D3D43">
            <w:pPr>
              <w:pStyle w:val="TableParagraph"/>
              <w:spacing w:before="23" w:line="242" w:lineRule="exact"/>
              <w:ind w:left="112"/>
              <w:rPr>
                <w:sz w:val="20"/>
              </w:rPr>
            </w:pPr>
            <w:r>
              <w:rPr>
                <w:sz w:val="20"/>
              </w:rPr>
              <w:t>No</w:t>
            </w:r>
          </w:p>
        </w:tc>
      </w:tr>
      <w:tr w:rsidR="0081013A" w14:paraId="528B3F5D" w14:textId="77777777">
        <w:trPr>
          <w:trHeight w:val="285"/>
        </w:trPr>
        <w:tc>
          <w:tcPr>
            <w:tcW w:w="2875" w:type="dxa"/>
          </w:tcPr>
          <w:p w14:paraId="528B3F5B" w14:textId="77777777" w:rsidR="0081013A" w:rsidRDefault="004D3D43">
            <w:pPr>
              <w:pStyle w:val="TableParagraph"/>
              <w:spacing w:before="20"/>
              <w:ind w:left="115"/>
              <w:rPr>
                <w:sz w:val="20"/>
              </w:rPr>
            </w:pPr>
            <w:r>
              <w:rPr>
                <w:sz w:val="20"/>
              </w:rPr>
              <w:t>DEER Base Case</w:t>
            </w:r>
          </w:p>
        </w:tc>
        <w:tc>
          <w:tcPr>
            <w:tcW w:w="6475" w:type="dxa"/>
          </w:tcPr>
          <w:p w14:paraId="528B3F5C" w14:textId="77777777" w:rsidR="0081013A" w:rsidRDefault="004D3D43">
            <w:pPr>
              <w:pStyle w:val="TableParagraph"/>
              <w:spacing w:before="20"/>
              <w:ind w:left="112"/>
              <w:rPr>
                <w:sz w:val="20"/>
              </w:rPr>
            </w:pPr>
            <w:r>
              <w:rPr>
                <w:sz w:val="20"/>
              </w:rPr>
              <w:t>No</w:t>
            </w:r>
          </w:p>
        </w:tc>
      </w:tr>
      <w:tr w:rsidR="0081013A" w14:paraId="528B3F60" w14:textId="77777777">
        <w:trPr>
          <w:trHeight w:val="282"/>
        </w:trPr>
        <w:tc>
          <w:tcPr>
            <w:tcW w:w="2875" w:type="dxa"/>
          </w:tcPr>
          <w:p w14:paraId="528B3F5E" w14:textId="77777777" w:rsidR="0081013A" w:rsidRDefault="004D3D43">
            <w:pPr>
              <w:pStyle w:val="TableParagraph"/>
              <w:spacing w:before="20" w:line="242" w:lineRule="exact"/>
              <w:ind w:left="115"/>
              <w:rPr>
                <w:sz w:val="20"/>
              </w:rPr>
            </w:pPr>
            <w:r>
              <w:rPr>
                <w:sz w:val="20"/>
              </w:rPr>
              <w:t>DEER Measure Case</w:t>
            </w:r>
          </w:p>
        </w:tc>
        <w:tc>
          <w:tcPr>
            <w:tcW w:w="6475" w:type="dxa"/>
          </w:tcPr>
          <w:p w14:paraId="528B3F5F" w14:textId="77777777" w:rsidR="0081013A" w:rsidRDefault="004D3D43">
            <w:pPr>
              <w:pStyle w:val="TableParagraph"/>
              <w:spacing w:before="20" w:line="242" w:lineRule="exact"/>
              <w:ind w:left="112"/>
              <w:rPr>
                <w:sz w:val="20"/>
              </w:rPr>
            </w:pPr>
            <w:r>
              <w:rPr>
                <w:sz w:val="20"/>
              </w:rPr>
              <w:t>No</w:t>
            </w:r>
          </w:p>
        </w:tc>
      </w:tr>
      <w:tr w:rsidR="0081013A" w14:paraId="528B3F63" w14:textId="77777777">
        <w:trPr>
          <w:trHeight w:val="285"/>
        </w:trPr>
        <w:tc>
          <w:tcPr>
            <w:tcW w:w="2875" w:type="dxa"/>
          </w:tcPr>
          <w:p w14:paraId="528B3F61" w14:textId="77777777" w:rsidR="0081013A" w:rsidRDefault="004D3D43">
            <w:pPr>
              <w:pStyle w:val="TableParagraph"/>
              <w:spacing w:before="20"/>
              <w:ind w:left="115"/>
              <w:rPr>
                <w:sz w:val="20"/>
              </w:rPr>
            </w:pPr>
            <w:r>
              <w:rPr>
                <w:sz w:val="20"/>
              </w:rPr>
              <w:t>DEER Building Types</w:t>
            </w:r>
          </w:p>
        </w:tc>
        <w:tc>
          <w:tcPr>
            <w:tcW w:w="6475" w:type="dxa"/>
          </w:tcPr>
          <w:p w14:paraId="528B3F62" w14:textId="77777777" w:rsidR="0081013A" w:rsidRDefault="004D3D43">
            <w:pPr>
              <w:pStyle w:val="TableParagraph"/>
              <w:spacing w:before="20"/>
              <w:ind w:left="112"/>
              <w:rPr>
                <w:sz w:val="20"/>
              </w:rPr>
            </w:pPr>
            <w:r>
              <w:rPr>
                <w:sz w:val="20"/>
              </w:rPr>
              <w:t>No</w:t>
            </w:r>
          </w:p>
        </w:tc>
      </w:tr>
      <w:tr w:rsidR="0081013A" w14:paraId="528B3F66" w14:textId="77777777">
        <w:trPr>
          <w:trHeight w:val="282"/>
        </w:trPr>
        <w:tc>
          <w:tcPr>
            <w:tcW w:w="2875" w:type="dxa"/>
          </w:tcPr>
          <w:p w14:paraId="528B3F64" w14:textId="77777777" w:rsidR="0081013A" w:rsidRDefault="004D3D43">
            <w:pPr>
              <w:pStyle w:val="TableParagraph"/>
              <w:spacing w:before="20" w:line="242" w:lineRule="exact"/>
              <w:ind w:left="115"/>
              <w:rPr>
                <w:sz w:val="20"/>
              </w:rPr>
            </w:pPr>
            <w:r>
              <w:rPr>
                <w:sz w:val="20"/>
              </w:rPr>
              <w:t>DEER Operating Hours</w:t>
            </w:r>
          </w:p>
        </w:tc>
        <w:tc>
          <w:tcPr>
            <w:tcW w:w="6475" w:type="dxa"/>
          </w:tcPr>
          <w:p w14:paraId="528B3F65" w14:textId="77777777" w:rsidR="0081013A" w:rsidRDefault="004D3D43">
            <w:pPr>
              <w:pStyle w:val="TableParagraph"/>
              <w:spacing w:before="20" w:line="242" w:lineRule="exact"/>
              <w:ind w:left="112"/>
              <w:rPr>
                <w:sz w:val="20"/>
              </w:rPr>
            </w:pPr>
            <w:r>
              <w:rPr>
                <w:sz w:val="20"/>
              </w:rPr>
              <w:t>No</w:t>
            </w:r>
          </w:p>
        </w:tc>
      </w:tr>
      <w:tr w:rsidR="0081013A" w14:paraId="528B3F69" w14:textId="77777777">
        <w:trPr>
          <w:trHeight w:val="285"/>
        </w:trPr>
        <w:tc>
          <w:tcPr>
            <w:tcW w:w="2875" w:type="dxa"/>
          </w:tcPr>
          <w:p w14:paraId="528B3F67" w14:textId="77777777" w:rsidR="0081013A" w:rsidRDefault="004D3D43">
            <w:pPr>
              <w:pStyle w:val="TableParagraph"/>
              <w:spacing w:before="20"/>
              <w:ind w:left="115"/>
              <w:rPr>
                <w:sz w:val="20"/>
              </w:rPr>
            </w:pPr>
            <w:r>
              <w:rPr>
                <w:sz w:val="20"/>
              </w:rPr>
              <w:t>DEER eQUEST Prototypes</w:t>
            </w:r>
          </w:p>
        </w:tc>
        <w:tc>
          <w:tcPr>
            <w:tcW w:w="6475" w:type="dxa"/>
          </w:tcPr>
          <w:p w14:paraId="528B3F68" w14:textId="77777777" w:rsidR="0081013A" w:rsidRDefault="004D3D43">
            <w:pPr>
              <w:pStyle w:val="TableParagraph"/>
              <w:spacing w:before="20"/>
              <w:ind w:left="112"/>
              <w:rPr>
                <w:sz w:val="20"/>
              </w:rPr>
            </w:pPr>
            <w:r>
              <w:rPr>
                <w:sz w:val="20"/>
              </w:rPr>
              <w:t>No</w:t>
            </w:r>
          </w:p>
        </w:tc>
      </w:tr>
      <w:tr w:rsidR="0081013A" w14:paraId="528B3F6C" w14:textId="77777777">
        <w:trPr>
          <w:trHeight w:val="282"/>
        </w:trPr>
        <w:tc>
          <w:tcPr>
            <w:tcW w:w="2875" w:type="dxa"/>
          </w:tcPr>
          <w:p w14:paraId="528B3F6A" w14:textId="77777777" w:rsidR="0081013A" w:rsidRDefault="004D3D43">
            <w:pPr>
              <w:pStyle w:val="TableParagraph"/>
              <w:spacing w:before="20" w:line="242" w:lineRule="exact"/>
              <w:ind w:left="115"/>
              <w:rPr>
                <w:sz w:val="20"/>
              </w:rPr>
            </w:pPr>
            <w:r>
              <w:rPr>
                <w:sz w:val="20"/>
              </w:rPr>
              <w:t>DEER Version</w:t>
            </w:r>
          </w:p>
        </w:tc>
        <w:tc>
          <w:tcPr>
            <w:tcW w:w="6475" w:type="dxa"/>
          </w:tcPr>
          <w:p w14:paraId="528B3F6B" w14:textId="77777777" w:rsidR="0081013A" w:rsidRDefault="004D3D43">
            <w:pPr>
              <w:pStyle w:val="TableParagraph"/>
              <w:spacing w:before="20" w:line="242" w:lineRule="exact"/>
              <w:ind w:left="112"/>
              <w:rPr>
                <w:sz w:val="20"/>
              </w:rPr>
            </w:pPr>
            <w:r>
              <w:rPr>
                <w:sz w:val="20"/>
              </w:rPr>
              <w:t>n/a</w:t>
            </w:r>
          </w:p>
        </w:tc>
      </w:tr>
      <w:tr w:rsidR="0081013A" w14:paraId="528B3F6F" w14:textId="77777777">
        <w:trPr>
          <w:trHeight w:val="285"/>
        </w:trPr>
        <w:tc>
          <w:tcPr>
            <w:tcW w:w="2875" w:type="dxa"/>
          </w:tcPr>
          <w:p w14:paraId="528B3F6D" w14:textId="77777777" w:rsidR="0081013A" w:rsidRDefault="004D3D43">
            <w:pPr>
              <w:pStyle w:val="TableParagraph"/>
              <w:spacing w:before="23" w:line="242" w:lineRule="exact"/>
              <w:ind w:left="115"/>
              <w:rPr>
                <w:sz w:val="20"/>
              </w:rPr>
            </w:pPr>
            <w:r>
              <w:rPr>
                <w:sz w:val="20"/>
              </w:rPr>
              <w:t>Reason for Deviation from DEER</w:t>
            </w:r>
          </w:p>
        </w:tc>
        <w:tc>
          <w:tcPr>
            <w:tcW w:w="6475" w:type="dxa"/>
          </w:tcPr>
          <w:p w14:paraId="528B3F6E" w14:textId="77777777" w:rsidR="0081013A" w:rsidRDefault="004D3D43">
            <w:pPr>
              <w:pStyle w:val="TableParagraph"/>
              <w:spacing w:before="23" w:line="242" w:lineRule="exact"/>
              <w:ind w:left="112"/>
              <w:rPr>
                <w:sz w:val="20"/>
              </w:rPr>
            </w:pPr>
            <w:r>
              <w:rPr>
                <w:sz w:val="20"/>
              </w:rPr>
              <w:t>DEER contained similar measures which have since been removed.</w:t>
            </w:r>
          </w:p>
        </w:tc>
      </w:tr>
      <w:tr w:rsidR="0081013A" w14:paraId="528B3F72" w14:textId="77777777">
        <w:trPr>
          <w:trHeight w:val="285"/>
        </w:trPr>
        <w:tc>
          <w:tcPr>
            <w:tcW w:w="2875" w:type="dxa"/>
          </w:tcPr>
          <w:p w14:paraId="528B3F70" w14:textId="77777777" w:rsidR="0081013A" w:rsidRDefault="004D3D43">
            <w:pPr>
              <w:pStyle w:val="TableParagraph"/>
              <w:spacing w:before="20"/>
              <w:ind w:left="115"/>
              <w:rPr>
                <w:sz w:val="20"/>
              </w:rPr>
            </w:pPr>
            <w:r>
              <w:rPr>
                <w:sz w:val="20"/>
              </w:rPr>
              <w:t>DEER Measure IDs Used</w:t>
            </w:r>
          </w:p>
        </w:tc>
        <w:tc>
          <w:tcPr>
            <w:tcW w:w="6475" w:type="dxa"/>
          </w:tcPr>
          <w:p w14:paraId="528B3F71" w14:textId="77777777" w:rsidR="0081013A" w:rsidRDefault="004D3D43">
            <w:pPr>
              <w:pStyle w:val="TableParagraph"/>
              <w:spacing w:before="20"/>
              <w:ind w:left="112"/>
              <w:rPr>
                <w:sz w:val="20"/>
              </w:rPr>
            </w:pPr>
            <w:r>
              <w:rPr>
                <w:sz w:val="20"/>
              </w:rPr>
              <w:t>DEER does not contain this type of measure.</w:t>
            </w:r>
          </w:p>
        </w:tc>
      </w:tr>
      <w:tr w:rsidR="0081013A" w14:paraId="528B3F75" w14:textId="77777777">
        <w:trPr>
          <w:trHeight w:val="772"/>
        </w:trPr>
        <w:tc>
          <w:tcPr>
            <w:tcW w:w="2875" w:type="dxa"/>
          </w:tcPr>
          <w:p w14:paraId="528B3F73" w14:textId="77777777" w:rsidR="0081013A" w:rsidRDefault="004D3D43">
            <w:pPr>
              <w:pStyle w:val="TableParagraph"/>
              <w:spacing w:before="20"/>
              <w:ind w:left="115"/>
              <w:rPr>
                <w:sz w:val="20"/>
              </w:rPr>
            </w:pPr>
            <w:r>
              <w:rPr>
                <w:sz w:val="20"/>
              </w:rPr>
              <w:t>NTG</w:t>
            </w:r>
          </w:p>
        </w:tc>
        <w:tc>
          <w:tcPr>
            <w:tcW w:w="6475" w:type="dxa"/>
          </w:tcPr>
          <w:p w14:paraId="528B3F74" w14:textId="77777777" w:rsidR="0081013A" w:rsidRDefault="004D3D43">
            <w:pPr>
              <w:pStyle w:val="TableParagraph"/>
              <w:spacing w:before="20"/>
              <w:ind w:left="112" w:right="255"/>
              <w:jc w:val="both"/>
              <w:rPr>
                <w:i/>
                <w:sz w:val="20"/>
              </w:rPr>
            </w:pPr>
            <w:r>
              <w:rPr>
                <w:sz w:val="20"/>
              </w:rPr>
              <w:t xml:space="preserve">Source: DEER and 2013 CPUC Water Fixture Disposition. The value of 0.70 is associated with NTG ID: </w:t>
            </w:r>
            <w:r>
              <w:rPr>
                <w:i/>
                <w:sz w:val="20"/>
              </w:rPr>
              <w:t xml:space="preserve">Res-sAll-mDHWshwr, </w:t>
            </w:r>
            <w:r>
              <w:rPr>
                <w:sz w:val="20"/>
              </w:rPr>
              <w:t xml:space="preserve">the value of 0.55 is associated with NTG ID: </w:t>
            </w:r>
            <w:r>
              <w:rPr>
                <w:i/>
                <w:sz w:val="20"/>
              </w:rPr>
              <w:t>Res-Default&gt;2</w:t>
            </w:r>
          </w:p>
        </w:tc>
      </w:tr>
      <w:tr w:rsidR="0081013A" w14:paraId="528B3F78" w14:textId="77777777">
        <w:trPr>
          <w:trHeight w:val="282"/>
        </w:trPr>
        <w:tc>
          <w:tcPr>
            <w:tcW w:w="2875" w:type="dxa"/>
          </w:tcPr>
          <w:p w14:paraId="528B3F76" w14:textId="77777777" w:rsidR="0081013A" w:rsidRDefault="004D3D43">
            <w:pPr>
              <w:pStyle w:val="TableParagraph"/>
              <w:spacing w:before="20" w:line="242" w:lineRule="exact"/>
              <w:ind w:left="115"/>
              <w:rPr>
                <w:sz w:val="20"/>
              </w:rPr>
            </w:pPr>
            <w:r>
              <w:rPr>
                <w:sz w:val="20"/>
              </w:rPr>
              <w:t>GSIA</w:t>
            </w:r>
          </w:p>
        </w:tc>
        <w:tc>
          <w:tcPr>
            <w:tcW w:w="6475" w:type="dxa"/>
          </w:tcPr>
          <w:p w14:paraId="528B3F77" w14:textId="77777777" w:rsidR="0081013A" w:rsidRDefault="004D3D43">
            <w:pPr>
              <w:pStyle w:val="TableParagraph"/>
              <w:spacing w:before="20" w:line="242" w:lineRule="exact"/>
              <w:ind w:left="112"/>
              <w:rPr>
                <w:i/>
                <w:sz w:val="20"/>
              </w:rPr>
            </w:pPr>
            <w:r>
              <w:rPr>
                <w:sz w:val="20"/>
              </w:rPr>
              <w:t xml:space="preserve">Source: DEER. The value of 0.737 is associated with GSIA ID: </w:t>
            </w:r>
            <w:r>
              <w:rPr>
                <w:i/>
                <w:sz w:val="20"/>
              </w:rPr>
              <w:t xml:space="preserve">Res-LowF-SH-All  </w:t>
            </w:r>
          </w:p>
        </w:tc>
      </w:tr>
      <w:tr w:rsidR="0081013A" w14:paraId="528B3F7B" w14:textId="77777777">
        <w:trPr>
          <w:trHeight w:val="285"/>
        </w:trPr>
        <w:tc>
          <w:tcPr>
            <w:tcW w:w="2875" w:type="dxa"/>
          </w:tcPr>
          <w:p w14:paraId="528B3F79" w14:textId="77777777" w:rsidR="0081013A" w:rsidRDefault="004D3D43">
            <w:pPr>
              <w:pStyle w:val="TableParagraph"/>
              <w:spacing w:before="20"/>
              <w:ind w:left="115"/>
              <w:rPr>
                <w:sz w:val="20"/>
              </w:rPr>
            </w:pPr>
            <w:r>
              <w:rPr>
                <w:sz w:val="20"/>
              </w:rPr>
              <w:t>EUL/RUL</w:t>
            </w:r>
          </w:p>
        </w:tc>
        <w:tc>
          <w:tcPr>
            <w:tcW w:w="6475" w:type="dxa"/>
          </w:tcPr>
          <w:p w14:paraId="528B3F7A" w14:textId="77777777" w:rsidR="0081013A" w:rsidRDefault="004D3D43">
            <w:pPr>
              <w:pStyle w:val="TableParagraph"/>
              <w:spacing w:before="20"/>
              <w:ind w:left="112"/>
              <w:rPr>
                <w:i/>
                <w:sz w:val="20"/>
              </w:rPr>
            </w:pPr>
            <w:r>
              <w:rPr>
                <w:sz w:val="20"/>
              </w:rPr>
              <w:t xml:space="preserve">Source: DEER. The value of 10 years is associated with EUL ID </w:t>
            </w:r>
            <w:r>
              <w:rPr>
                <w:i/>
                <w:sz w:val="20"/>
              </w:rPr>
              <w:t>Wtr-WH-Shrhd.</w:t>
            </w:r>
          </w:p>
        </w:tc>
      </w:tr>
    </w:tbl>
    <w:p w14:paraId="528B3F7C" w14:textId="77777777" w:rsidR="0081013A" w:rsidRDefault="0081013A">
      <w:pPr>
        <w:rPr>
          <w:sz w:val="20"/>
        </w:rPr>
        <w:sectPr w:rsidR="0081013A">
          <w:pgSz w:w="12240" w:h="15840"/>
          <w:pgMar w:top="1220" w:right="1120" w:bottom="1320" w:left="1320" w:header="858" w:footer="1129" w:gutter="0"/>
          <w:cols w:space="720"/>
        </w:sectPr>
      </w:pPr>
    </w:p>
    <w:p w14:paraId="528B3F7D" w14:textId="77777777" w:rsidR="0081013A" w:rsidRDefault="0081013A">
      <w:pPr>
        <w:pStyle w:val="BodyText"/>
        <w:rPr>
          <w:sz w:val="20"/>
        </w:rPr>
      </w:pPr>
    </w:p>
    <w:p w14:paraId="528B3F7E" w14:textId="77777777" w:rsidR="0081013A" w:rsidRDefault="0081013A">
      <w:pPr>
        <w:pStyle w:val="BodyText"/>
        <w:rPr>
          <w:sz w:val="20"/>
        </w:rPr>
      </w:pPr>
    </w:p>
    <w:p w14:paraId="528B3F7F" w14:textId="77777777" w:rsidR="0081013A" w:rsidRDefault="004D3D43">
      <w:pPr>
        <w:pStyle w:val="Heading1"/>
        <w:spacing w:before="211"/>
      </w:pPr>
      <w:bookmarkStart w:id="44" w:name="_TOC_250000"/>
      <w:bookmarkEnd w:id="44"/>
      <w:r>
        <w:rPr>
          <w:color w:val="CFAB79"/>
        </w:rPr>
        <w:t>REVISION HISTORY</w:t>
      </w:r>
    </w:p>
    <w:p w14:paraId="528B3F80" w14:textId="77777777" w:rsidR="0081013A" w:rsidRDefault="0081013A">
      <w:pPr>
        <w:pStyle w:val="BodyText"/>
        <w:spacing w:before="9"/>
      </w:pPr>
    </w:p>
    <w:p w14:paraId="528B3F81" w14:textId="77777777" w:rsidR="0081013A" w:rsidRPr="004E692F" w:rsidRDefault="004D3D43">
      <w:pPr>
        <w:ind w:left="120"/>
        <w:rPr>
          <w:b/>
          <w:bCs/>
          <w:sz w:val="20"/>
        </w:rPr>
      </w:pPr>
      <w:r w:rsidRPr="004E692F">
        <w:rPr>
          <w:b/>
          <w:bCs/>
          <w:sz w:val="20"/>
        </w:rPr>
        <w:t>Measure Characterization Revision History</w:t>
      </w:r>
    </w:p>
    <w:p w14:paraId="528B3F82" w14:textId="77777777" w:rsidR="0081013A" w:rsidRPr="004E692F" w:rsidRDefault="0081013A">
      <w:pPr>
        <w:pStyle w:val="BodyText"/>
        <w:spacing w:before="5"/>
        <w:rPr>
          <w:b/>
          <w:bCs/>
          <w:sz w:val="6"/>
        </w:rPr>
      </w:pPr>
    </w:p>
    <w:tbl>
      <w:tblPr>
        <w:tblW w:w="0" w:type="auto"/>
        <w:tblInd w:w="130" w:type="dxa"/>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Layout w:type="fixed"/>
        <w:tblCellMar>
          <w:left w:w="0" w:type="dxa"/>
          <w:right w:w="0" w:type="dxa"/>
        </w:tblCellMar>
        <w:tblLook w:val="01E0" w:firstRow="1" w:lastRow="1" w:firstColumn="1" w:lastColumn="1" w:noHBand="0" w:noVBand="0"/>
      </w:tblPr>
      <w:tblGrid>
        <w:gridCol w:w="941"/>
        <w:gridCol w:w="1666"/>
        <w:gridCol w:w="2069"/>
        <w:gridCol w:w="4675"/>
      </w:tblGrid>
      <w:tr w:rsidR="0081013A" w:rsidRPr="004E692F" w14:paraId="528B3F88" w14:textId="77777777">
        <w:trPr>
          <w:trHeight w:val="549"/>
        </w:trPr>
        <w:tc>
          <w:tcPr>
            <w:tcW w:w="941" w:type="dxa"/>
            <w:shd w:val="clear" w:color="auto" w:fill="F1F1F1"/>
          </w:tcPr>
          <w:p w14:paraId="528B3F83" w14:textId="77777777" w:rsidR="0081013A" w:rsidRPr="004E692F" w:rsidRDefault="004D3D43">
            <w:pPr>
              <w:pStyle w:val="TableParagraph"/>
              <w:spacing w:before="39" w:line="240" w:lineRule="atLeast"/>
              <w:ind w:left="115"/>
              <w:rPr>
                <w:b/>
                <w:bCs/>
                <w:sz w:val="20"/>
              </w:rPr>
            </w:pPr>
            <w:r w:rsidRPr="004E692F">
              <w:rPr>
                <w:b/>
                <w:bCs/>
                <w:w w:val="95"/>
                <w:sz w:val="20"/>
              </w:rPr>
              <w:t xml:space="preserve">Revision </w:t>
            </w:r>
            <w:r w:rsidRPr="004E692F">
              <w:rPr>
                <w:b/>
                <w:bCs/>
                <w:sz w:val="20"/>
              </w:rPr>
              <w:t>Number</w:t>
            </w:r>
          </w:p>
        </w:tc>
        <w:tc>
          <w:tcPr>
            <w:tcW w:w="1666" w:type="dxa"/>
            <w:shd w:val="clear" w:color="auto" w:fill="F1F1F1"/>
          </w:tcPr>
          <w:p w14:paraId="528B3F84" w14:textId="77777777" w:rsidR="0081013A" w:rsidRPr="004E692F" w:rsidRDefault="004D3D43">
            <w:pPr>
              <w:pStyle w:val="TableParagraph"/>
              <w:spacing w:before="39" w:line="240" w:lineRule="atLeast"/>
              <w:ind w:left="114" w:right="113"/>
              <w:rPr>
                <w:b/>
                <w:bCs/>
                <w:sz w:val="20"/>
              </w:rPr>
            </w:pPr>
            <w:r w:rsidRPr="004E692F">
              <w:rPr>
                <w:b/>
                <w:bCs/>
                <w:sz w:val="20"/>
              </w:rPr>
              <w:t>Revision Complete Date</w:t>
            </w:r>
          </w:p>
        </w:tc>
        <w:tc>
          <w:tcPr>
            <w:tcW w:w="2069" w:type="dxa"/>
            <w:shd w:val="clear" w:color="auto" w:fill="F1F1F1"/>
          </w:tcPr>
          <w:p w14:paraId="528B3F85" w14:textId="77777777" w:rsidR="0081013A" w:rsidRPr="004E692F" w:rsidRDefault="004D3D43">
            <w:pPr>
              <w:pStyle w:val="TableParagraph"/>
              <w:spacing w:before="39" w:line="240" w:lineRule="atLeast"/>
              <w:ind w:left="111"/>
              <w:rPr>
                <w:b/>
                <w:bCs/>
                <w:sz w:val="20"/>
              </w:rPr>
            </w:pPr>
            <w:r w:rsidRPr="004E692F">
              <w:rPr>
                <w:b/>
                <w:bCs/>
                <w:sz w:val="20"/>
              </w:rPr>
              <w:t>Primary Author, Title, Organization</w:t>
            </w:r>
          </w:p>
        </w:tc>
        <w:tc>
          <w:tcPr>
            <w:tcW w:w="4675" w:type="dxa"/>
            <w:shd w:val="clear" w:color="auto" w:fill="F1F1F1"/>
          </w:tcPr>
          <w:p w14:paraId="528B3F86" w14:textId="77777777" w:rsidR="0081013A" w:rsidRPr="004E692F" w:rsidRDefault="004D3D43">
            <w:pPr>
              <w:pStyle w:val="TableParagraph"/>
              <w:spacing w:before="20"/>
              <w:ind w:left="114"/>
              <w:rPr>
                <w:b/>
                <w:bCs/>
                <w:sz w:val="20"/>
              </w:rPr>
            </w:pPr>
            <w:r w:rsidRPr="004E692F">
              <w:rPr>
                <w:b/>
                <w:bCs/>
                <w:sz w:val="20"/>
              </w:rPr>
              <w:t>Revision Summary and Rationale for Revision</w:t>
            </w:r>
          </w:p>
          <w:p w14:paraId="528B3F87" w14:textId="77777777" w:rsidR="0081013A" w:rsidRPr="004E692F" w:rsidRDefault="004D3D43">
            <w:pPr>
              <w:pStyle w:val="TableParagraph"/>
              <w:spacing w:before="23" w:line="242" w:lineRule="exact"/>
              <w:ind w:left="114"/>
              <w:rPr>
                <w:b/>
                <w:bCs/>
                <w:sz w:val="20"/>
              </w:rPr>
            </w:pPr>
            <w:r w:rsidRPr="004E692F">
              <w:rPr>
                <w:b/>
                <w:bCs/>
                <w:sz w:val="20"/>
              </w:rPr>
              <w:t>Effective Date and Approved By</w:t>
            </w:r>
          </w:p>
        </w:tc>
      </w:tr>
      <w:tr w:rsidR="00170DEF" w14:paraId="528B3F8D" w14:textId="77777777" w:rsidTr="00B2663A">
        <w:trPr>
          <w:trHeight w:val="283"/>
        </w:trPr>
        <w:tc>
          <w:tcPr>
            <w:tcW w:w="941" w:type="dxa"/>
            <w:vMerge w:val="restart"/>
          </w:tcPr>
          <w:p w14:paraId="528B3F89" w14:textId="77777777" w:rsidR="00170DEF" w:rsidRDefault="00170DEF">
            <w:pPr>
              <w:pStyle w:val="TableParagraph"/>
              <w:spacing w:before="20" w:line="243" w:lineRule="exact"/>
              <w:ind w:left="115"/>
              <w:rPr>
                <w:sz w:val="20"/>
              </w:rPr>
            </w:pPr>
            <w:r>
              <w:rPr>
                <w:sz w:val="20"/>
              </w:rPr>
              <w:t>01</w:t>
            </w:r>
          </w:p>
        </w:tc>
        <w:tc>
          <w:tcPr>
            <w:tcW w:w="1666" w:type="dxa"/>
            <w:tcBorders>
              <w:bottom w:val="nil"/>
            </w:tcBorders>
          </w:tcPr>
          <w:p w14:paraId="528B3F8A" w14:textId="77777777" w:rsidR="00170DEF" w:rsidRDefault="00170DEF">
            <w:pPr>
              <w:pStyle w:val="TableParagraph"/>
              <w:spacing w:before="20" w:line="243" w:lineRule="exact"/>
              <w:ind w:left="114"/>
              <w:rPr>
                <w:sz w:val="20"/>
              </w:rPr>
            </w:pPr>
            <w:r>
              <w:rPr>
                <w:sz w:val="20"/>
              </w:rPr>
              <w:t>03/31/2018</w:t>
            </w:r>
          </w:p>
        </w:tc>
        <w:tc>
          <w:tcPr>
            <w:tcW w:w="2069" w:type="dxa"/>
            <w:tcBorders>
              <w:bottom w:val="nil"/>
            </w:tcBorders>
          </w:tcPr>
          <w:p w14:paraId="528B3F8B" w14:textId="77777777" w:rsidR="00170DEF" w:rsidRDefault="00170DEF">
            <w:pPr>
              <w:pStyle w:val="TableParagraph"/>
              <w:spacing w:before="20" w:line="243" w:lineRule="exact"/>
              <w:ind w:left="111"/>
              <w:rPr>
                <w:sz w:val="20"/>
              </w:rPr>
            </w:pPr>
            <w:r>
              <w:rPr>
                <w:sz w:val="20"/>
              </w:rPr>
              <w:t>Jennifer Holmes</w:t>
            </w:r>
          </w:p>
        </w:tc>
        <w:tc>
          <w:tcPr>
            <w:tcW w:w="4675" w:type="dxa"/>
            <w:tcBorders>
              <w:bottom w:val="nil"/>
            </w:tcBorders>
          </w:tcPr>
          <w:p w14:paraId="528B3F8C" w14:textId="77777777" w:rsidR="00170DEF" w:rsidRDefault="00170DEF">
            <w:pPr>
              <w:pStyle w:val="TableParagraph"/>
              <w:spacing w:before="20" w:line="243" w:lineRule="exact"/>
              <w:ind w:left="114"/>
              <w:rPr>
                <w:sz w:val="20"/>
              </w:rPr>
            </w:pPr>
            <w:r>
              <w:rPr>
                <w:sz w:val="20"/>
              </w:rPr>
              <w:t>Draft of consolidated text for this statewide measure is</w:t>
            </w:r>
          </w:p>
        </w:tc>
      </w:tr>
      <w:tr w:rsidR="00170DEF" w14:paraId="528B3F92" w14:textId="77777777" w:rsidTr="00B2663A">
        <w:trPr>
          <w:trHeight w:val="264"/>
        </w:trPr>
        <w:tc>
          <w:tcPr>
            <w:tcW w:w="941" w:type="dxa"/>
            <w:vMerge/>
          </w:tcPr>
          <w:p w14:paraId="528B3F8E" w14:textId="77777777" w:rsidR="00170DEF" w:rsidRDefault="00170DEF">
            <w:pPr>
              <w:pStyle w:val="TableParagraph"/>
              <w:rPr>
                <w:rFonts w:ascii="Times New Roman"/>
                <w:sz w:val="18"/>
              </w:rPr>
            </w:pPr>
          </w:p>
        </w:tc>
        <w:tc>
          <w:tcPr>
            <w:tcW w:w="1666" w:type="dxa"/>
            <w:tcBorders>
              <w:top w:val="nil"/>
              <w:bottom w:val="nil"/>
            </w:tcBorders>
          </w:tcPr>
          <w:p w14:paraId="528B3F8F" w14:textId="77777777" w:rsidR="00170DEF" w:rsidRDefault="00170DEF">
            <w:pPr>
              <w:pStyle w:val="TableParagraph"/>
              <w:rPr>
                <w:rFonts w:ascii="Times New Roman"/>
                <w:sz w:val="18"/>
              </w:rPr>
            </w:pPr>
          </w:p>
        </w:tc>
        <w:tc>
          <w:tcPr>
            <w:tcW w:w="2069" w:type="dxa"/>
            <w:tcBorders>
              <w:top w:val="nil"/>
              <w:bottom w:val="nil"/>
            </w:tcBorders>
          </w:tcPr>
          <w:p w14:paraId="528B3F90" w14:textId="77777777" w:rsidR="00170DEF" w:rsidRDefault="00170DEF">
            <w:pPr>
              <w:pStyle w:val="TableParagraph"/>
              <w:spacing w:before="1" w:line="243" w:lineRule="exact"/>
              <w:ind w:left="111"/>
              <w:rPr>
                <w:sz w:val="20"/>
              </w:rPr>
            </w:pPr>
            <w:r>
              <w:rPr>
                <w:sz w:val="20"/>
              </w:rPr>
              <w:t>Cal TF Staff</w:t>
            </w:r>
          </w:p>
        </w:tc>
        <w:tc>
          <w:tcPr>
            <w:tcW w:w="4675" w:type="dxa"/>
            <w:tcBorders>
              <w:top w:val="nil"/>
              <w:bottom w:val="nil"/>
            </w:tcBorders>
          </w:tcPr>
          <w:p w14:paraId="528B3F91" w14:textId="77777777" w:rsidR="00170DEF" w:rsidRDefault="00170DEF">
            <w:pPr>
              <w:pStyle w:val="TableParagraph"/>
              <w:spacing w:line="226" w:lineRule="exact"/>
              <w:ind w:left="114"/>
              <w:rPr>
                <w:sz w:val="20"/>
              </w:rPr>
            </w:pPr>
            <w:r>
              <w:rPr>
                <w:sz w:val="20"/>
              </w:rPr>
              <w:t>based upon:</w:t>
            </w:r>
          </w:p>
        </w:tc>
      </w:tr>
      <w:tr w:rsidR="00170DEF" w14:paraId="528B3F97" w14:textId="77777777" w:rsidTr="00B2663A">
        <w:trPr>
          <w:trHeight w:val="277"/>
        </w:trPr>
        <w:tc>
          <w:tcPr>
            <w:tcW w:w="941" w:type="dxa"/>
            <w:vMerge/>
          </w:tcPr>
          <w:p w14:paraId="528B3F93" w14:textId="77777777" w:rsidR="00170DEF" w:rsidRDefault="00170DEF">
            <w:pPr>
              <w:pStyle w:val="TableParagraph"/>
              <w:rPr>
                <w:rFonts w:ascii="Times New Roman"/>
                <w:sz w:val="18"/>
              </w:rPr>
            </w:pPr>
          </w:p>
        </w:tc>
        <w:tc>
          <w:tcPr>
            <w:tcW w:w="1666" w:type="dxa"/>
            <w:tcBorders>
              <w:top w:val="nil"/>
              <w:bottom w:val="nil"/>
            </w:tcBorders>
          </w:tcPr>
          <w:p w14:paraId="528B3F94" w14:textId="77777777" w:rsidR="00170DEF" w:rsidRDefault="00170DEF">
            <w:pPr>
              <w:pStyle w:val="TableParagraph"/>
              <w:rPr>
                <w:rFonts w:ascii="Times New Roman"/>
                <w:sz w:val="18"/>
              </w:rPr>
            </w:pPr>
          </w:p>
        </w:tc>
        <w:tc>
          <w:tcPr>
            <w:tcW w:w="2069" w:type="dxa"/>
            <w:tcBorders>
              <w:top w:val="nil"/>
              <w:bottom w:val="nil"/>
            </w:tcBorders>
          </w:tcPr>
          <w:p w14:paraId="528B3F95" w14:textId="77777777" w:rsidR="00170DEF" w:rsidRDefault="00170DEF">
            <w:pPr>
              <w:pStyle w:val="TableParagraph"/>
              <w:rPr>
                <w:rFonts w:ascii="Times New Roman"/>
                <w:sz w:val="18"/>
              </w:rPr>
            </w:pPr>
          </w:p>
        </w:tc>
        <w:tc>
          <w:tcPr>
            <w:tcW w:w="4675" w:type="dxa"/>
            <w:tcBorders>
              <w:top w:val="nil"/>
              <w:bottom w:val="nil"/>
            </w:tcBorders>
          </w:tcPr>
          <w:p w14:paraId="528B3F96" w14:textId="77777777" w:rsidR="00170DEF" w:rsidRDefault="00170DEF">
            <w:pPr>
              <w:pStyle w:val="TableParagraph"/>
              <w:spacing w:line="248" w:lineRule="exact"/>
              <w:ind w:left="114"/>
            </w:pPr>
            <w:r>
              <w:t>SCGWP100303A Revision 4 (April 22, 2016)</w:t>
            </w:r>
          </w:p>
        </w:tc>
      </w:tr>
      <w:tr w:rsidR="00170DEF" w14:paraId="528B3F9C" w14:textId="77777777" w:rsidTr="00B2663A">
        <w:trPr>
          <w:trHeight w:val="278"/>
        </w:trPr>
        <w:tc>
          <w:tcPr>
            <w:tcW w:w="941" w:type="dxa"/>
            <w:vMerge/>
          </w:tcPr>
          <w:p w14:paraId="528B3F98" w14:textId="77777777" w:rsidR="00170DEF" w:rsidRDefault="00170DEF">
            <w:pPr>
              <w:pStyle w:val="TableParagraph"/>
              <w:rPr>
                <w:rFonts w:ascii="Times New Roman"/>
                <w:sz w:val="18"/>
              </w:rPr>
            </w:pPr>
          </w:p>
        </w:tc>
        <w:tc>
          <w:tcPr>
            <w:tcW w:w="1666" w:type="dxa"/>
            <w:tcBorders>
              <w:top w:val="nil"/>
            </w:tcBorders>
          </w:tcPr>
          <w:p w14:paraId="528B3F99" w14:textId="77777777" w:rsidR="00170DEF" w:rsidRDefault="00170DEF">
            <w:pPr>
              <w:pStyle w:val="TableParagraph"/>
              <w:rPr>
                <w:rFonts w:ascii="Times New Roman"/>
                <w:sz w:val="18"/>
              </w:rPr>
            </w:pPr>
          </w:p>
        </w:tc>
        <w:tc>
          <w:tcPr>
            <w:tcW w:w="2069" w:type="dxa"/>
            <w:tcBorders>
              <w:top w:val="nil"/>
            </w:tcBorders>
          </w:tcPr>
          <w:p w14:paraId="528B3F9A" w14:textId="77777777" w:rsidR="00170DEF" w:rsidRDefault="00170DEF">
            <w:pPr>
              <w:pStyle w:val="TableParagraph"/>
              <w:rPr>
                <w:rFonts w:ascii="Times New Roman"/>
                <w:sz w:val="18"/>
              </w:rPr>
            </w:pPr>
          </w:p>
        </w:tc>
        <w:tc>
          <w:tcPr>
            <w:tcW w:w="4675" w:type="dxa"/>
            <w:tcBorders>
              <w:top w:val="nil"/>
            </w:tcBorders>
          </w:tcPr>
          <w:p w14:paraId="528B3F9B" w14:textId="77777777" w:rsidR="00170DEF" w:rsidRDefault="00170DEF">
            <w:pPr>
              <w:pStyle w:val="TableParagraph"/>
              <w:spacing w:line="258" w:lineRule="exact"/>
              <w:ind w:left="114"/>
            </w:pPr>
            <w:r>
              <w:t>Consensus reached among Cal TF members.</w:t>
            </w:r>
          </w:p>
        </w:tc>
      </w:tr>
      <w:tr w:rsidR="00170DEF" w14:paraId="528B3FA2" w14:textId="77777777">
        <w:trPr>
          <w:trHeight w:val="549"/>
        </w:trPr>
        <w:tc>
          <w:tcPr>
            <w:tcW w:w="941" w:type="dxa"/>
            <w:vMerge/>
          </w:tcPr>
          <w:p w14:paraId="528B3F9D" w14:textId="77777777" w:rsidR="00170DEF" w:rsidRDefault="00170DEF">
            <w:pPr>
              <w:pStyle w:val="TableParagraph"/>
              <w:rPr>
                <w:rFonts w:ascii="Times New Roman"/>
                <w:sz w:val="18"/>
              </w:rPr>
            </w:pPr>
          </w:p>
        </w:tc>
        <w:tc>
          <w:tcPr>
            <w:tcW w:w="1666" w:type="dxa"/>
          </w:tcPr>
          <w:p w14:paraId="528B3F9E" w14:textId="77777777" w:rsidR="00170DEF" w:rsidRDefault="00170DEF">
            <w:pPr>
              <w:pStyle w:val="TableParagraph"/>
              <w:spacing w:before="20"/>
              <w:ind w:left="114"/>
              <w:rPr>
                <w:sz w:val="20"/>
              </w:rPr>
            </w:pPr>
            <w:r>
              <w:rPr>
                <w:sz w:val="20"/>
              </w:rPr>
              <w:t>01/30/2019</w:t>
            </w:r>
          </w:p>
        </w:tc>
        <w:tc>
          <w:tcPr>
            <w:tcW w:w="2069" w:type="dxa"/>
          </w:tcPr>
          <w:p w14:paraId="528B3F9F" w14:textId="77777777" w:rsidR="00170DEF" w:rsidRDefault="00170DEF">
            <w:pPr>
              <w:pStyle w:val="TableParagraph"/>
              <w:spacing w:before="20"/>
              <w:ind w:left="111"/>
              <w:rPr>
                <w:sz w:val="20"/>
              </w:rPr>
            </w:pPr>
            <w:r>
              <w:rPr>
                <w:sz w:val="20"/>
              </w:rPr>
              <w:t>Jennifer Holmes,</w:t>
            </w:r>
          </w:p>
          <w:p w14:paraId="528B3FA0" w14:textId="77777777" w:rsidR="00170DEF" w:rsidRDefault="00170DEF">
            <w:pPr>
              <w:pStyle w:val="TableParagraph"/>
              <w:spacing w:before="22" w:line="242" w:lineRule="exact"/>
              <w:ind w:left="111"/>
              <w:rPr>
                <w:sz w:val="20"/>
              </w:rPr>
            </w:pPr>
            <w:r>
              <w:rPr>
                <w:sz w:val="20"/>
              </w:rPr>
              <w:t>Cal TF Staff</w:t>
            </w:r>
          </w:p>
        </w:tc>
        <w:tc>
          <w:tcPr>
            <w:tcW w:w="4675" w:type="dxa"/>
          </w:tcPr>
          <w:p w14:paraId="528B3FA1" w14:textId="77777777" w:rsidR="00170DEF" w:rsidRDefault="00170DEF">
            <w:pPr>
              <w:pStyle w:val="TableParagraph"/>
              <w:spacing w:before="20"/>
              <w:ind w:left="114"/>
              <w:rPr>
                <w:sz w:val="20"/>
              </w:rPr>
            </w:pPr>
            <w:r>
              <w:rPr>
                <w:sz w:val="20"/>
              </w:rPr>
              <w:t>Revisions for submittal of version 01.</w:t>
            </w:r>
          </w:p>
        </w:tc>
      </w:tr>
      <w:tr w:rsidR="007A6517" w14:paraId="528B3FA7" w14:textId="77777777" w:rsidTr="0013739C">
        <w:trPr>
          <w:trHeight w:val="283"/>
        </w:trPr>
        <w:tc>
          <w:tcPr>
            <w:tcW w:w="941" w:type="dxa"/>
            <w:vMerge w:val="restart"/>
          </w:tcPr>
          <w:p w14:paraId="528B3FA3" w14:textId="77777777" w:rsidR="007A6517" w:rsidRDefault="007A6517">
            <w:pPr>
              <w:pStyle w:val="TableParagraph"/>
              <w:spacing w:before="20" w:line="243" w:lineRule="exact"/>
              <w:ind w:left="115"/>
              <w:rPr>
                <w:sz w:val="20"/>
              </w:rPr>
            </w:pPr>
            <w:r>
              <w:rPr>
                <w:sz w:val="20"/>
              </w:rPr>
              <w:t>02</w:t>
            </w:r>
          </w:p>
        </w:tc>
        <w:tc>
          <w:tcPr>
            <w:tcW w:w="1666" w:type="dxa"/>
            <w:tcBorders>
              <w:bottom w:val="nil"/>
            </w:tcBorders>
          </w:tcPr>
          <w:p w14:paraId="528B3FA4" w14:textId="77777777" w:rsidR="007A6517" w:rsidRDefault="007A6517">
            <w:pPr>
              <w:pStyle w:val="TableParagraph"/>
              <w:spacing w:before="20" w:line="243" w:lineRule="exact"/>
              <w:ind w:left="114"/>
              <w:rPr>
                <w:sz w:val="20"/>
              </w:rPr>
            </w:pPr>
            <w:r>
              <w:rPr>
                <w:sz w:val="20"/>
              </w:rPr>
              <w:t>06/11/2019</w:t>
            </w:r>
          </w:p>
        </w:tc>
        <w:tc>
          <w:tcPr>
            <w:tcW w:w="2069" w:type="dxa"/>
            <w:tcBorders>
              <w:bottom w:val="nil"/>
            </w:tcBorders>
          </w:tcPr>
          <w:p w14:paraId="528B3FA5" w14:textId="77777777" w:rsidR="007A6517" w:rsidRDefault="007A6517">
            <w:pPr>
              <w:pStyle w:val="TableParagraph"/>
              <w:spacing w:before="20" w:line="243" w:lineRule="exact"/>
              <w:ind w:left="111"/>
              <w:rPr>
                <w:sz w:val="20"/>
              </w:rPr>
            </w:pPr>
            <w:r>
              <w:rPr>
                <w:sz w:val="20"/>
              </w:rPr>
              <w:t>Matthew Mendoza,</w:t>
            </w:r>
          </w:p>
        </w:tc>
        <w:tc>
          <w:tcPr>
            <w:tcW w:w="4675" w:type="dxa"/>
            <w:tcBorders>
              <w:bottom w:val="nil"/>
            </w:tcBorders>
          </w:tcPr>
          <w:p w14:paraId="528B3FA6" w14:textId="77777777" w:rsidR="007A6517" w:rsidRDefault="007A6517">
            <w:pPr>
              <w:pStyle w:val="TableParagraph"/>
              <w:spacing w:before="20" w:line="243" w:lineRule="exact"/>
              <w:ind w:left="114"/>
              <w:rPr>
                <w:sz w:val="20"/>
              </w:rPr>
            </w:pPr>
            <w:r>
              <w:rPr>
                <w:sz w:val="20"/>
              </w:rPr>
              <w:t>Addition of measures for flow control valves (FCV)</w:t>
            </w:r>
          </w:p>
        </w:tc>
      </w:tr>
      <w:tr w:rsidR="007A6517" w14:paraId="528B3FAC" w14:textId="77777777" w:rsidTr="0013739C">
        <w:trPr>
          <w:trHeight w:val="386"/>
        </w:trPr>
        <w:tc>
          <w:tcPr>
            <w:tcW w:w="941" w:type="dxa"/>
            <w:vMerge/>
          </w:tcPr>
          <w:p w14:paraId="528B3FA8" w14:textId="77777777" w:rsidR="007A6517" w:rsidRDefault="007A6517">
            <w:pPr>
              <w:pStyle w:val="TableParagraph"/>
              <w:rPr>
                <w:rFonts w:ascii="Times New Roman"/>
                <w:sz w:val="18"/>
              </w:rPr>
            </w:pPr>
          </w:p>
        </w:tc>
        <w:tc>
          <w:tcPr>
            <w:tcW w:w="1666" w:type="dxa"/>
            <w:tcBorders>
              <w:top w:val="nil"/>
              <w:bottom w:val="nil"/>
            </w:tcBorders>
          </w:tcPr>
          <w:p w14:paraId="528B3FA9" w14:textId="77777777" w:rsidR="007A6517" w:rsidRDefault="007A6517">
            <w:pPr>
              <w:pStyle w:val="TableParagraph"/>
              <w:rPr>
                <w:rFonts w:ascii="Times New Roman"/>
                <w:sz w:val="18"/>
              </w:rPr>
            </w:pPr>
          </w:p>
        </w:tc>
        <w:tc>
          <w:tcPr>
            <w:tcW w:w="2069" w:type="dxa"/>
            <w:tcBorders>
              <w:top w:val="nil"/>
              <w:bottom w:val="nil"/>
            </w:tcBorders>
          </w:tcPr>
          <w:p w14:paraId="528B3FAA" w14:textId="77777777" w:rsidR="007A6517" w:rsidRDefault="007A6517">
            <w:pPr>
              <w:pStyle w:val="TableParagraph"/>
              <w:spacing w:line="226" w:lineRule="exact"/>
              <w:ind w:left="111"/>
              <w:rPr>
                <w:sz w:val="20"/>
              </w:rPr>
            </w:pPr>
            <w:r>
              <w:rPr>
                <w:sz w:val="20"/>
              </w:rPr>
              <w:t>SoCalGas</w:t>
            </w:r>
          </w:p>
        </w:tc>
        <w:tc>
          <w:tcPr>
            <w:tcW w:w="4675" w:type="dxa"/>
            <w:tcBorders>
              <w:top w:val="nil"/>
              <w:bottom w:val="nil"/>
            </w:tcBorders>
          </w:tcPr>
          <w:p w14:paraId="528B3FAB" w14:textId="77777777" w:rsidR="007A6517" w:rsidRDefault="007A6517">
            <w:pPr>
              <w:pStyle w:val="TableParagraph"/>
              <w:spacing w:line="226" w:lineRule="exact"/>
              <w:ind w:left="114"/>
              <w:rPr>
                <w:sz w:val="20"/>
              </w:rPr>
            </w:pPr>
            <w:r>
              <w:rPr>
                <w:sz w:val="20"/>
              </w:rPr>
              <w:t>placed on showerheads</w:t>
            </w:r>
          </w:p>
        </w:tc>
      </w:tr>
      <w:tr w:rsidR="007A6517" w14:paraId="528B3FB1" w14:textId="77777777" w:rsidTr="0013739C">
        <w:trPr>
          <w:trHeight w:val="396"/>
        </w:trPr>
        <w:tc>
          <w:tcPr>
            <w:tcW w:w="941" w:type="dxa"/>
            <w:vMerge/>
          </w:tcPr>
          <w:p w14:paraId="528B3FAD" w14:textId="77777777" w:rsidR="007A6517" w:rsidRDefault="007A6517">
            <w:pPr>
              <w:pStyle w:val="TableParagraph"/>
              <w:rPr>
                <w:rFonts w:ascii="Times New Roman"/>
                <w:sz w:val="18"/>
              </w:rPr>
            </w:pPr>
          </w:p>
        </w:tc>
        <w:tc>
          <w:tcPr>
            <w:tcW w:w="1666" w:type="dxa"/>
            <w:tcBorders>
              <w:top w:val="nil"/>
              <w:bottom w:val="nil"/>
            </w:tcBorders>
          </w:tcPr>
          <w:p w14:paraId="528B3FAE" w14:textId="77777777" w:rsidR="007A6517" w:rsidRDefault="007A6517">
            <w:pPr>
              <w:pStyle w:val="TableParagraph"/>
              <w:rPr>
                <w:rFonts w:ascii="Times New Roman"/>
                <w:sz w:val="18"/>
              </w:rPr>
            </w:pPr>
          </w:p>
        </w:tc>
        <w:tc>
          <w:tcPr>
            <w:tcW w:w="2069" w:type="dxa"/>
            <w:tcBorders>
              <w:top w:val="nil"/>
              <w:bottom w:val="nil"/>
            </w:tcBorders>
          </w:tcPr>
          <w:p w14:paraId="528B3FAF" w14:textId="77777777" w:rsidR="007A6517" w:rsidRDefault="007A6517">
            <w:pPr>
              <w:pStyle w:val="TableParagraph"/>
              <w:spacing w:before="123"/>
              <w:ind w:left="111"/>
              <w:rPr>
                <w:sz w:val="20"/>
              </w:rPr>
            </w:pPr>
            <w:r>
              <w:rPr>
                <w:sz w:val="20"/>
              </w:rPr>
              <w:t>Jennifer Holmes,</w:t>
            </w:r>
          </w:p>
        </w:tc>
        <w:tc>
          <w:tcPr>
            <w:tcW w:w="4675" w:type="dxa"/>
            <w:tcBorders>
              <w:top w:val="nil"/>
              <w:bottom w:val="nil"/>
            </w:tcBorders>
          </w:tcPr>
          <w:p w14:paraId="528B3FB0" w14:textId="77777777" w:rsidR="007A6517" w:rsidRDefault="007A6517">
            <w:pPr>
              <w:pStyle w:val="TableParagraph"/>
              <w:spacing w:before="123"/>
              <w:ind w:left="114"/>
              <w:rPr>
                <w:sz w:val="20"/>
              </w:rPr>
            </w:pPr>
            <w:r>
              <w:rPr>
                <w:sz w:val="20"/>
              </w:rPr>
              <w:t>Revisions for submittal of version 02</w:t>
            </w:r>
          </w:p>
        </w:tc>
      </w:tr>
      <w:tr w:rsidR="007A6517" w14:paraId="528B3FB6" w14:textId="77777777" w:rsidTr="0013739C">
        <w:trPr>
          <w:trHeight w:val="256"/>
        </w:trPr>
        <w:tc>
          <w:tcPr>
            <w:tcW w:w="941" w:type="dxa"/>
            <w:vMerge/>
          </w:tcPr>
          <w:p w14:paraId="528B3FB2" w14:textId="77777777" w:rsidR="007A6517" w:rsidRDefault="007A6517">
            <w:pPr>
              <w:pStyle w:val="TableParagraph"/>
              <w:rPr>
                <w:rFonts w:ascii="Times New Roman"/>
                <w:sz w:val="18"/>
              </w:rPr>
            </w:pPr>
          </w:p>
        </w:tc>
        <w:tc>
          <w:tcPr>
            <w:tcW w:w="1666" w:type="dxa"/>
            <w:tcBorders>
              <w:top w:val="nil"/>
              <w:bottom w:val="single" w:sz="2" w:space="0" w:color="A6A6A6"/>
            </w:tcBorders>
          </w:tcPr>
          <w:p w14:paraId="528B3FB3" w14:textId="77777777" w:rsidR="007A6517" w:rsidRDefault="007A6517">
            <w:pPr>
              <w:pStyle w:val="TableParagraph"/>
              <w:rPr>
                <w:rFonts w:ascii="Times New Roman"/>
                <w:sz w:val="18"/>
              </w:rPr>
            </w:pPr>
          </w:p>
        </w:tc>
        <w:tc>
          <w:tcPr>
            <w:tcW w:w="2069" w:type="dxa"/>
            <w:tcBorders>
              <w:top w:val="nil"/>
              <w:bottom w:val="single" w:sz="2" w:space="0" w:color="A6A6A6"/>
            </w:tcBorders>
          </w:tcPr>
          <w:p w14:paraId="528B3FB4" w14:textId="77777777" w:rsidR="007A6517" w:rsidRDefault="007A6517">
            <w:pPr>
              <w:pStyle w:val="TableParagraph"/>
              <w:spacing w:line="235" w:lineRule="exact"/>
              <w:ind w:left="111"/>
              <w:rPr>
                <w:sz w:val="20"/>
              </w:rPr>
            </w:pPr>
            <w:r>
              <w:rPr>
                <w:sz w:val="20"/>
              </w:rPr>
              <w:t>Cal TF Staff</w:t>
            </w:r>
          </w:p>
        </w:tc>
        <w:tc>
          <w:tcPr>
            <w:tcW w:w="4675" w:type="dxa"/>
            <w:tcBorders>
              <w:top w:val="nil"/>
              <w:bottom w:val="single" w:sz="2" w:space="0" w:color="A6A6A6"/>
            </w:tcBorders>
          </w:tcPr>
          <w:p w14:paraId="528B3FB5" w14:textId="77777777" w:rsidR="007A6517" w:rsidRDefault="007A6517">
            <w:pPr>
              <w:pStyle w:val="TableParagraph"/>
              <w:rPr>
                <w:rFonts w:ascii="Times New Roman"/>
                <w:sz w:val="18"/>
              </w:rPr>
            </w:pPr>
          </w:p>
        </w:tc>
      </w:tr>
      <w:tr w:rsidR="007A6517" w14:paraId="12B9D95D" w14:textId="77777777" w:rsidTr="0013739C">
        <w:trPr>
          <w:trHeight w:val="256"/>
        </w:trPr>
        <w:tc>
          <w:tcPr>
            <w:tcW w:w="941" w:type="dxa"/>
            <w:vMerge/>
            <w:tcBorders>
              <w:bottom w:val="single" w:sz="2" w:space="0" w:color="A6A6A6"/>
            </w:tcBorders>
          </w:tcPr>
          <w:p w14:paraId="7B886814" w14:textId="77777777" w:rsidR="007A6517" w:rsidRDefault="007A6517">
            <w:pPr>
              <w:pStyle w:val="TableParagraph"/>
              <w:rPr>
                <w:rFonts w:ascii="Times New Roman"/>
                <w:sz w:val="18"/>
              </w:rPr>
            </w:pPr>
          </w:p>
        </w:tc>
        <w:tc>
          <w:tcPr>
            <w:tcW w:w="1666" w:type="dxa"/>
            <w:tcBorders>
              <w:top w:val="single" w:sz="2" w:space="0" w:color="A6A6A6"/>
              <w:bottom w:val="single" w:sz="2" w:space="0" w:color="A6A6A6"/>
              <w:right w:val="single" w:sz="2" w:space="0" w:color="A6A6A6"/>
            </w:tcBorders>
          </w:tcPr>
          <w:p w14:paraId="3B0DB530" w14:textId="69D7716B" w:rsidR="007A6517" w:rsidRPr="001B6DA2" w:rsidRDefault="001B6DA2">
            <w:pPr>
              <w:pStyle w:val="TableParagraph"/>
              <w:rPr>
                <w:sz w:val="20"/>
                <w:szCs w:val="20"/>
              </w:rPr>
            </w:pPr>
            <w:r>
              <w:rPr>
                <w:rFonts w:ascii="Times New Roman"/>
                <w:sz w:val="18"/>
              </w:rPr>
              <w:t xml:space="preserve">   </w:t>
            </w:r>
            <w:r w:rsidRPr="001B6DA2">
              <w:rPr>
                <w:sz w:val="20"/>
                <w:szCs w:val="20"/>
              </w:rPr>
              <w:t>03/</w:t>
            </w:r>
            <w:r w:rsidR="004A0AE2">
              <w:rPr>
                <w:sz w:val="20"/>
                <w:szCs w:val="20"/>
              </w:rPr>
              <w:t>30</w:t>
            </w:r>
            <w:r w:rsidRPr="001B6DA2">
              <w:rPr>
                <w:sz w:val="20"/>
                <w:szCs w:val="20"/>
              </w:rPr>
              <w:t>/2021</w:t>
            </w:r>
          </w:p>
        </w:tc>
        <w:tc>
          <w:tcPr>
            <w:tcW w:w="2069" w:type="dxa"/>
            <w:tcBorders>
              <w:top w:val="single" w:sz="2" w:space="0" w:color="A6A6A6"/>
              <w:left w:val="single" w:sz="2" w:space="0" w:color="A6A6A6"/>
              <w:bottom w:val="single" w:sz="2" w:space="0" w:color="A6A6A6"/>
              <w:right w:val="single" w:sz="2" w:space="0" w:color="A6A6A6"/>
            </w:tcBorders>
          </w:tcPr>
          <w:p w14:paraId="24B09DA3" w14:textId="77777777" w:rsidR="001B6DA2" w:rsidRDefault="001B6DA2" w:rsidP="001B6DA2">
            <w:pPr>
              <w:pStyle w:val="TableParagraph"/>
              <w:spacing w:line="234" w:lineRule="exact"/>
              <w:ind w:left="114"/>
              <w:rPr>
                <w:sz w:val="20"/>
              </w:rPr>
            </w:pPr>
            <w:r>
              <w:rPr>
                <w:sz w:val="20"/>
              </w:rPr>
              <w:t>Soe K Hla</w:t>
            </w:r>
          </w:p>
          <w:p w14:paraId="17ECB7E6" w14:textId="269C342F" w:rsidR="007A6517" w:rsidRDefault="001B6DA2" w:rsidP="001B6DA2">
            <w:pPr>
              <w:pStyle w:val="TableParagraph"/>
              <w:spacing w:line="235" w:lineRule="exact"/>
              <w:ind w:left="111"/>
              <w:rPr>
                <w:sz w:val="20"/>
              </w:rPr>
            </w:pPr>
            <w:r>
              <w:rPr>
                <w:sz w:val="20"/>
              </w:rPr>
              <w:t>PG&amp;E</w:t>
            </w:r>
          </w:p>
        </w:tc>
        <w:tc>
          <w:tcPr>
            <w:tcW w:w="4675" w:type="dxa"/>
            <w:tcBorders>
              <w:top w:val="single" w:sz="2" w:space="0" w:color="A6A6A6"/>
              <w:left w:val="single" w:sz="2" w:space="0" w:color="A6A6A6"/>
              <w:bottom w:val="single" w:sz="2" w:space="0" w:color="A6A6A6"/>
              <w:right w:val="single" w:sz="2" w:space="0" w:color="A6A6A6"/>
            </w:tcBorders>
          </w:tcPr>
          <w:p w14:paraId="4B8D7792" w14:textId="77777777" w:rsidR="007A6517" w:rsidRDefault="00582F46" w:rsidP="00F465E8">
            <w:pPr>
              <w:pStyle w:val="TableParagraph"/>
              <w:spacing w:before="20" w:line="243" w:lineRule="exact"/>
              <w:ind w:left="114"/>
              <w:rPr>
                <w:sz w:val="20"/>
                <w:szCs w:val="20"/>
              </w:rPr>
            </w:pPr>
            <w:r>
              <w:rPr>
                <w:rFonts w:ascii="Times New Roman"/>
                <w:sz w:val="18"/>
              </w:rPr>
              <w:t xml:space="preserve"> </w:t>
            </w:r>
            <w:r w:rsidR="00F465E8">
              <w:rPr>
                <w:sz w:val="20"/>
                <w:szCs w:val="20"/>
              </w:rPr>
              <w:t>Adopted all remaining measures for PG&amp;E</w:t>
            </w:r>
          </w:p>
          <w:p w14:paraId="5FEE4FEA" w14:textId="37323665" w:rsidR="0091796F" w:rsidRDefault="00B60CEA" w:rsidP="00F465E8">
            <w:pPr>
              <w:pStyle w:val="TableParagraph"/>
              <w:spacing w:before="20" w:line="243" w:lineRule="exact"/>
              <w:ind w:left="114"/>
              <w:rPr>
                <w:sz w:val="20"/>
                <w:szCs w:val="20"/>
              </w:rPr>
            </w:pPr>
            <w:r>
              <w:rPr>
                <w:sz w:val="20"/>
                <w:szCs w:val="20"/>
              </w:rPr>
              <w:t xml:space="preserve"> </w:t>
            </w:r>
            <w:r w:rsidR="0091796F">
              <w:rPr>
                <w:sz w:val="20"/>
                <w:szCs w:val="20"/>
              </w:rPr>
              <w:t xml:space="preserve">Fixed the incorrect </w:t>
            </w:r>
            <w:r w:rsidR="0091796F" w:rsidRPr="0091796F">
              <w:rPr>
                <w:sz w:val="20"/>
                <w:szCs w:val="20"/>
              </w:rPr>
              <w:t>ElecImpactProfile</w:t>
            </w:r>
            <w:r w:rsidR="0091796F">
              <w:rPr>
                <w:sz w:val="20"/>
                <w:szCs w:val="20"/>
              </w:rPr>
              <w:t xml:space="preserve"> ID</w:t>
            </w:r>
          </w:p>
          <w:p w14:paraId="1C5DA420" w14:textId="690E4E14" w:rsidR="00B67E1F" w:rsidRDefault="00993032" w:rsidP="00CE146D">
            <w:pPr>
              <w:pStyle w:val="TableParagraph"/>
              <w:spacing w:before="20" w:line="243" w:lineRule="exact"/>
              <w:ind w:left="150"/>
              <w:rPr>
                <w:sz w:val="20"/>
                <w:szCs w:val="20"/>
              </w:rPr>
            </w:pPr>
            <w:r>
              <w:rPr>
                <w:sz w:val="20"/>
                <w:szCs w:val="20"/>
              </w:rPr>
              <w:t xml:space="preserve">NTG adjustment factor </w:t>
            </w:r>
            <w:r w:rsidR="00E62BB8">
              <w:rPr>
                <w:sz w:val="20"/>
                <w:szCs w:val="20"/>
              </w:rPr>
              <w:t>is removed</w:t>
            </w:r>
            <w:r>
              <w:rPr>
                <w:sz w:val="20"/>
                <w:szCs w:val="20"/>
              </w:rPr>
              <w:t xml:space="preserve"> from NTG section</w:t>
            </w:r>
            <w:r w:rsidR="00CF3ADC">
              <w:rPr>
                <w:sz w:val="20"/>
                <w:szCs w:val="20"/>
              </w:rPr>
              <w:t xml:space="preserve"> per DEER Resolution E-5009</w:t>
            </w:r>
            <w:r w:rsidR="00CE146D">
              <w:rPr>
                <w:sz w:val="20"/>
                <w:szCs w:val="20"/>
              </w:rPr>
              <w:t>.</w:t>
            </w:r>
          </w:p>
          <w:p w14:paraId="6F57B4A4" w14:textId="2179FD12" w:rsidR="008A40A8" w:rsidRPr="00F465E8" w:rsidRDefault="008A40A8" w:rsidP="00F465E8">
            <w:pPr>
              <w:pStyle w:val="TableParagraph"/>
              <w:spacing w:before="20" w:line="243" w:lineRule="exact"/>
              <w:ind w:left="114"/>
              <w:rPr>
                <w:sz w:val="20"/>
                <w:szCs w:val="20"/>
              </w:rPr>
            </w:pPr>
          </w:p>
        </w:tc>
      </w:tr>
    </w:tbl>
    <w:p w14:paraId="528B3FB7" w14:textId="77777777" w:rsidR="004D3D43" w:rsidRDefault="004D3D43"/>
    <w:sectPr w:rsidR="004D3D43">
      <w:pgSz w:w="12240" w:h="15840"/>
      <w:pgMar w:top="1220" w:right="1120" w:bottom="1320" w:left="1320" w:header="858" w:footer="112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8C0BE8" w14:textId="77777777" w:rsidR="00E35009" w:rsidRDefault="00E35009">
      <w:r>
        <w:separator/>
      </w:r>
    </w:p>
  </w:endnote>
  <w:endnote w:type="continuationSeparator" w:id="0">
    <w:p w14:paraId="6A3C6A17" w14:textId="77777777" w:rsidR="00E35009" w:rsidRDefault="00E35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CC" w14:textId="77777777" w:rsidR="004D3D43" w:rsidRDefault="004D3D43">
    <w:pPr>
      <w:pStyle w:val="BodyText"/>
      <w:spacing w:line="14" w:lineRule="auto"/>
      <w:rPr>
        <w:sz w:val="20"/>
      </w:rPr>
    </w:pPr>
    <w:r>
      <w:rPr>
        <w:noProof/>
      </w:rPr>
      <w:drawing>
        <wp:anchor distT="0" distB="0" distL="0" distR="0" simplePos="0" relativeHeight="249224192" behindDoc="1" locked="0" layoutInCell="1" allowOverlap="1" wp14:anchorId="528B3FD3" wp14:editId="528B3FD4">
          <wp:simplePos x="0" y="0"/>
          <wp:positionH relativeFrom="page">
            <wp:posOffset>3593515</wp:posOffset>
          </wp:positionH>
          <wp:positionV relativeFrom="page">
            <wp:posOffset>9214522</wp:posOffset>
          </wp:positionV>
          <wp:extent cx="579031" cy="20667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A0AE2">
      <w:pict w14:anchorId="528B3FD5">
        <v:shapetype id="_x0000_t202" coordsize="21600,21600" o:spt="202" path="m,l,21600r21600,l21600,xe">
          <v:stroke joinstyle="miter"/>
          <v:path gradientshapeok="t" o:connecttype="rect"/>
        </v:shapetype>
        <v:shape id="_x0000_s2056" type="#_x0000_t202" style="position:absolute;margin-left:301.2pt;margin-top:741.85pt;width:9.55pt;height:9pt;z-index:-254091264;mso-position-horizontal-relative:page;mso-position-vertical-relative:page" filled="f" stroked="f">
          <v:textbox inset="0,0,0,0">
            <w:txbxContent>
              <w:p w14:paraId="528B3FE8" w14:textId="77777777" w:rsidR="004D3D43" w:rsidRDefault="004D3D43">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1</w:t>
                </w:r>
                <w:r>
                  <w:fldChar w:fldCharType="end"/>
                </w:r>
              </w:p>
            </w:txbxContent>
          </v:textbox>
          <w10:wrap anchorx="page" anchory="page"/>
        </v:shape>
      </w:pic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CE" w14:textId="77777777" w:rsidR="004D3D43" w:rsidRDefault="004D3D43">
    <w:pPr>
      <w:pStyle w:val="BodyText"/>
      <w:spacing w:line="14" w:lineRule="auto"/>
      <w:rPr>
        <w:sz w:val="20"/>
      </w:rPr>
    </w:pPr>
    <w:r>
      <w:rPr>
        <w:noProof/>
      </w:rPr>
      <w:drawing>
        <wp:anchor distT="0" distB="0" distL="0" distR="0" simplePos="0" relativeHeight="249227264" behindDoc="1" locked="0" layoutInCell="1" allowOverlap="1" wp14:anchorId="528B3FD7" wp14:editId="528B3FD8">
          <wp:simplePos x="0" y="0"/>
          <wp:positionH relativeFrom="page">
            <wp:posOffset>3593515</wp:posOffset>
          </wp:positionH>
          <wp:positionV relativeFrom="page">
            <wp:posOffset>9214522</wp:posOffset>
          </wp:positionV>
          <wp:extent cx="579031" cy="206676"/>
          <wp:effectExtent l="0" t="0" r="0" b="0"/>
          <wp:wrapNone/>
          <wp:docPr id="5"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A0AE2">
      <w:pict w14:anchorId="528B3FD9">
        <v:shapetype id="_x0000_t202" coordsize="21600,21600" o:spt="202" path="m,l,21600r21600,l21600,xe">
          <v:stroke joinstyle="miter"/>
          <v:path gradientshapeok="t" o:connecttype="rect"/>
        </v:shapetype>
        <v:shape id="_x0000_s2054" type="#_x0000_t202" style="position:absolute;margin-left:301.2pt;margin-top:741.85pt;width:9.55pt;height:9pt;z-index:-254088192;mso-position-horizontal-relative:page;mso-position-vertical-relative:page" filled="f" stroked="f">
          <v:textbox inset="0,0,0,0">
            <w:txbxContent>
              <w:p w14:paraId="528B3FEA" w14:textId="77777777" w:rsidR="004D3D43" w:rsidRDefault="004D3D43">
                <w:pPr>
                  <w:spacing w:line="162" w:lineRule="exact"/>
                  <w:ind w:left="60"/>
                  <w:rPr>
                    <w:rFonts w:ascii="Calibri"/>
                    <w:sz w:val="14"/>
                  </w:rPr>
                </w:pPr>
                <w:r>
                  <w:fldChar w:fldCharType="begin"/>
                </w:r>
                <w:r>
                  <w:rPr>
                    <w:rFonts w:ascii="Calibri"/>
                    <w:color w:val="808080"/>
                    <w:w w:val="99"/>
                    <w:sz w:val="14"/>
                  </w:rPr>
                  <w:instrText xml:space="preserve"> PAGE </w:instrText>
                </w:r>
                <w:r>
                  <w:fldChar w:fldCharType="separate"/>
                </w:r>
                <w:r>
                  <w:t>2</w:t>
                </w:r>
                <w: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D0" w14:textId="77777777" w:rsidR="004D3D43" w:rsidRDefault="004D3D43">
    <w:pPr>
      <w:pStyle w:val="BodyText"/>
      <w:spacing w:line="14" w:lineRule="auto"/>
      <w:rPr>
        <w:sz w:val="20"/>
      </w:rPr>
    </w:pPr>
    <w:r>
      <w:rPr>
        <w:noProof/>
      </w:rPr>
      <w:drawing>
        <wp:anchor distT="0" distB="0" distL="0" distR="0" simplePos="0" relativeHeight="249230336" behindDoc="1" locked="0" layoutInCell="1" allowOverlap="1" wp14:anchorId="528B3FDB" wp14:editId="528B3FDC">
          <wp:simplePos x="0" y="0"/>
          <wp:positionH relativeFrom="page">
            <wp:posOffset>3593515</wp:posOffset>
          </wp:positionH>
          <wp:positionV relativeFrom="page">
            <wp:posOffset>9214522</wp:posOffset>
          </wp:positionV>
          <wp:extent cx="579031" cy="206676"/>
          <wp:effectExtent l="0" t="0" r="0" b="0"/>
          <wp:wrapNone/>
          <wp:docPr id="7"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A0AE2">
      <w:pict w14:anchorId="528B3FDD">
        <v:line id="_x0000_s2052" style="position:absolute;z-index:-254085120;mso-position-horizontal-relative:page;mso-position-vertical-relative:page" from="1in,642.35pt" to="3in,642.35pt" strokeweight=".72pt">
          <w10:wrap anchorx="page" anchory="page"/>
        </v:line>
      </w:pict>
    </w:r>
    <w:r w:rsidR="004A0AE2">
      <w:pict w14:anchorId="528B3FDE">
        <v:shapetype id="_x0000_t202" coordsize="21600,21600" o:spt="202" path="m,l,21600r21600,l21600,xe">
          <v:stroke joinstyle="miter"/>
          <v:path gradientshapeok="t" o:connecttype="rect"/>
        </v:shapetype>
        <v:shape id="_x0000_s2051" type="#_x0000_t202" style="position:absolute;margin-left:303.2pt;margin-top:741.85pt;width:5.55pt;height:9pt;z-index:-254084096;mso-position-horizontal-relative:page;mso-position-vertical-relative:page" filled="f" stroked="f">
          <v:textbox inset="0,0,0,0">
            <w:txbxContent>
              <w:p w14:paraId="528B3FEC" w14:textId="77777777" w:rsidR="004D3D43" w:rsidRDefault="004D3D43">
                <w:pPr>
                  <w:spacing w:line="162" w:lineRule="exact"/>
                  <w:ind w:left="20"/>
                  <w:rPr>
                    <w:rFonts w:ascii="Calibri"/>
                    <w:sz w:val="14"/>
                  </w:rPr>
                </w:pPr>
                <w:r>
                  <w:rPr>
                    <w:rFonts w:ascii="Calibri"/>
                    <w:color w:val="808080"/>
                    <w:w w:val="99"/>
                    <w:sz w:val="14"/>
                  </w:rPr>
                  <w:t>5</w:t>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D2" w14:textId="77777777" w:rsidR="004D3D43" w:rsidRDefault="004D3D43">
    <w:pPr>
      <w:pStyle w:val="BodyText"/>
      <w:spacing w:line="14" w:lineRule="auto"/>
      <w:rPr>
        <w:sz w:val="20"/>
      </w:rPr>
    </w:pPr>
    <w:r>
      <w:rPr>
        <w:noProof/>
      </w:rPr>
      <w:drawing>
        <wp:anchor distT="0" distB="0" distL="0" distR="0" simplePos="0" relativeHeight="249234432" behindDoc="1" locked="0" layoutInCell="1" allowOverlap="1" wp14:anchorId="528B3FE0" wp14:editId="528B3FE1">
          <wp:simplePos x="0" y="0"/>
          <wp:positionH relativeFrom="page">
            <wp:posOffset>3593515</wp:posOffset>
          </wp:positionH>
          <wp:positionV relativeFrom="page">
            <wp:posOffset>9214522</wp:posOffset>
          </wp:positionV>
          <wp:extent cx="579031" cy="206676"/>
          <wp:effectExtent l="0" t="0" r="0" b="0"/>
          <wp:wrapNone/>
          <wp:docPr id="9"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1.jpeg"/>
                  <pic:cNvPicPr/>
                </pic:nvPicPr>
                <pic:blipFill>
                  <a:blip r:embed="rId1" cstate="print"/>
                  <a:stretch>
                    <a:fillRect/>
                  </a:stretch>
                </pic:blipFill>
                <pic:spPr>
                  <a:xfrm>
                    <a:off x="0" y="0"/>
                    <a:ext cx="579031" cy="206676"/>
                  </a:xfrm>
                  <a:prstGeom prst="rect">
                    <a:avLst/>
                  </a:prstGeom>
                </pic:spPr>
              </pic:pic>
            </a:graphicData>
          </a:graphic>
        </wp:anchor>
      </w:drawing>
    </w:r>
    <w:r w:rsidR="004A0AE2">
      <w:pict w14:anchorId="528B3FE2">
        <v:shapetype id="_x0000_t202" coordsize="21600,21600" o:spt="202" path="m,l,21600r21600,l21600,xe">
          <v:stroke joinstyle="miter"/>
          <v:path gradientshapeok="t" o:connecttype="rect"/>
        </v:shapetype>
        <v:shape id="_x0000_s2049" type="#_x0000_t202" style="position:absolute;margin-left:299.4pt;margin-top:741.85pt;width:13pt;height:9pt;z-index:-254081024;mso-position-horizontal-relative:page;mso-position-vertical-relative:page" filled="f" stroked="f">
          <v:textbox inset="0,0,0,0">
            <w:txbxContent>
              <w:p w14:paraId="528B3FEE" w14:textId="77777777" w:rsidR="004D3D43" w:rsidRDefault="004D3D43">
                <w:pPr>
                  <w:spacing w:line="162" w:lineRule="exact"/>
                  <w:ind w:left="60"/>
                  <w:rPr>
                    <w:rFonts w:ascii="Calibri"/>
                    <w:sz w:val="14"/>
                  </w:rPr>
                </w:pPr>
                <w:r>
                  <w:fldChar w:fldCharType="begin"/>
                </w:r>
                <w:r>
                  <w:rPr>
                    <w:rFonts w:ascii="Calibri"/>
                    <w:color w:val="808080"/>
                    <w:sz w:val="14"/>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1609249" w14:textId="77777777" w:rsidR="00E35009" w:rsidRDefault="00E35009">
      <w:r>
        <w:separator/>
      </w:r>
    </w:p>
  </w:footnote>
  <w:footnote w:type="continuationSeparator" w:id="0">
    <w:p w14:paraId="6826ECCD" w14:textId="77777777" w:rsidR="00E35009" w:rsidRDefault="00E3500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CD" w14:textId="77777777" w:rsidR="004D3D43" w:rsidRDefault="004A0AE2">
    <w:pPr>
      <w:pStyle w:val="BodyText"/>
      <w:spacing w:line="14" w:lineRule="auto"/>
      <w:rPr>
        <w:sz w:val="20"/>
      </w:rPr>
    </w:pPr>
    <w:r>
      <w:pict w14:anchorId="528B3FD6">
        <v:shapetype id="_x0000_t202" coordsize="21600,21600" o:spt="202" path="m,l,21600r21600,l21600,xe">
          <v:stroke joinstyle="miter"/>
          <v:path gradientshapeok="t" o:connecttype="rect"/>
        </v:shapetype>
        <v:shape id="_x0000_s2055" type="#_x0000_t202" style="position:absolute;margin-left:187.9pt;margin-top:42.65pt;width:236.25pt;height:11.25pt;z-index:-254090240;mso-position-horizontal-relative:page;mso-position-vertical-relative:page" filled="f" stroked="f">
          <v:textbox inset="0,0,0,0">
            <w:txbxContent>
              <w:p w14:paraId="528B3FE9" w14:textId="77777777" w:rsidR="004D3D43" w:rsidRDefault="004D3D43">
                <w:pPr>
                  <w:spacing w:before="12"/>
                  <w:ind w:left="20"/>
                  <w:rPr>
                    <w:sz w:val="16"/>
                  </w:rPr>
                </w:pPr>
                <w:r>
                  <w:rPr>
                    <w:color w:val="5F5F5F"/>
                    <w:sz w:val="16"/>
                  </w:rPr>
                  <w:t xml:space="preserve">SERVICE &amp; DOMESTIC HOT WATER </w:t>
                </w:r>
                <w:r>
                  <w:rPr>
                    <w:rFonts w:ascii="Wingdings" w:hAnsi="Wingdings"/>
                    <w:color w:val="8DC53E"/>
                    <w:sz w:val="16"/>
                  </w:rPr>
                  <w:t></w:t>
                </w:r>
                <w:r>
                  <w:rPr>
                    <w:rFonts w:ascii="Times New Roman" w:hAnsi="Times New Roman"/>
                    <w:color w:val="8DC53E"/>
                    <w:sz w:val="16"/>
                  </w:rPr>
                  <w:t xml:space="preserve"> </w:t>
                </w:r>
                <w:r>
                  <w:rPr>
                    <w:color w:val="5F5F5F"/>
                    <w:sz w:val="16"/>
                  </w:rPr>
                  <w:t>Low-Flow Showerhead, Residential</w:t>
                </w:r>
              </w:p>
            </w:txbxContent>
          </v:textbox>
          <w10:wrap anchorx="page" anchory="page"/>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CF" w14:textId="77777777" w:rsidR="004D3D43" w:rsidRDefault="004A0AE2">
    <w:pPr>
      <w:pStyle w:val="BodyText"/>
      <w:spacing w:line="14" w:lineRule="auto"/>
      <w:rPr>
        <w:sz w:val="20"/>
      </w:rPr>
    </w:pPr>
    <w:r>
      <w:pict w14:anchorId="528B3FDA">
        <v:shapetype id="_x0000_t202" coordsize="21600,21600" o:spt="202" path="m,l,21600r21600,l21600,xe">
          <v:stroke joinstyle="miter"/>
          <v:path gradientshapeok="t" o:connecttype="rect"/>
        </v:shapetype>
        <v:shape id="_x0000_s2053" type="#_x0000_t202" style="position:absolute;margin-left:187.9pt;margin-top:42.65pt;width:236.25pt;height:11.25pt;z-index:-254087168;mso-position-horizontal-relative:page;mso-position-vertical-relative:page" filled="f" stroked="f">
          <v:textbox inset="0,0,0,0">
            <w:txbxContent>
              <w:p w14:paraId="528B3FEB" w14:textId="77777777" w:rsidR="004D3D43" w:rsidRDefault="004D3D43">
                <w:pPr>
                  <w:spacing w:before="12"/>
                  <w:ind w:left="20"/>
                  <w:rPr>
                    <w:sz w:val="16"/>
                  </w:rPr>
                </w:pPr>
                <w:r>
                  <w:rPr>
                    <w:color w:val="5F5F5F"/>
                    <w:sz w:val="16"/>
                  </w:rPr>
                  <w:t xml:space="preserve">SERVICE &amp; DOMESTIC HOT WATER </w:t>
                </w:r>
                <w:r>
                  <w:rPr>
                    <w:rFonts w:ascii="Wingdings" w:hAnsi="Wingdings"/>
                    <w:color w:val="8DC53E"/>
                    <w:sz w:val="16"/>
                  </w:rPr>
                  <w:t></w:t>
                </w:r>
                <w:r>
                  <w:rPr>
                    <w:rFonts w:ascii="Times New Roman" w:hAnsi="Times New Roman"/>
                    <w:color w:val="8DC53E"/>
                    <w:sz w:val="16"/>
                  </w:rPr>
                  <w:t xml:space="preserve"> </w:t>
                </w:r>
                <w:r>
                  <w:rPr>
                    <w:color w:val="5F5F5F"/>
                    <w:sz w:val="16"/>
                  </w:rPr>
                  <w:t>Low-Flow Showerhead, Residential</w:t>
                </w:r>
              </w:p>
            </w:txbxContent>
          </v:textbox>
          <w10:wrap anchorx="page" anchory="page"/>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28B3FD1" w14:textId="77777777" w:rsidR="004D3D43" w:rsidRDefault="004A0AE2">
    <w:pPr>
      <w:pStyle w:val="BodyText"/>
      <w:spacing w:line="14" w:lineRule="auto"/>
      <w:rPr>
        <w:sz w:val="20"/>
      </w:rPr>
    </w:pPr>
    <w:r>
      <w:pict w14:anchorId="528B3FDF">
        <v:shapetype id="_x0000_t202" coordsize="21600,21600" o:spt="202" path="m,l,21600r21600,l21600,xe">
          <v:stroke joinstyle="miter"/>
          <v:path gradientshapeok="t" o:connecttype="rect"/>
        </v:shapetype>
        <v:shape id="_x0000_s2050" type="#_x0000_t202" style="position:absolute;margin-left:187.9pt;margin-top:42.65pt;width:236.25pt;height:11.25pt;z-index:-254083072;mso-position-horizontal-relative:page;mso-position-vertical-relative:page" filled="f" stroked="f">
          <v:textbox inset="0,0,0,0">
            <w:txbxContent>
              <w:p w14:paraId="528B3FED" w14:textId="77777777" w:rsidR="004D3D43" w:rsidRDefault="004D3D43">
                <w:pPr>
                  <w:spacing w:before="12"/>
                  <w:ind w:left="20"/>
                  <w:rPr>
                    <w:sz w:val="16"/>
                  </w:rPr>
                </w:pPr>
                <w:r>
                  <w:rPr>
                    <w:color w:val="5F5F5F"/>
                    <w:sz w:val="16"/>
                  </w:rPr>
                  <w:t xml:space="preserve">SERVICE &amp; DOMESTIC HOT WATER </w:t>
                </w:r>
                <w:r>
                  <w:rPr>
                    <w:rFonts w:ascii="Wingdings" w:hAnsi="Wingdings"/>
                    <w:color w:val="8DC53E"/>
                    <w:sz w:val="16"/>
                  </w:rPr>
                  <w:t></w:t>
                </w:r>
                <w:r>
                  <w:rPr>
                    <w:rFonts w:ascii="Times New Roman" w:hAnsi="Times New Roman"/>
                    <w:color w:val="8DC53E"/>
                    <w:sz w:val="16"/>
                  </w:rPr>
                  <w:t xml:space="preserve"> </w:t>
                </w:r>
                <w:r>
                  <w:rPr>
                    <w:color w:val="5F5F5F"/>
                    <w:sz w:val="16"/>
                  </w:rPr>
                  <w:t>Low-Flow Showerhead, Residential</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25D3656"/>
    <w:multiLevelType w:val="hybridMultilevel"/>
    <w:tmpl w:val="6D78F986"/>
    <w:lvl w:ilvl="0" w:tplc="533C7BE0">
      <w:numFmt w:val="bullet"/>
      <w:lvlText w:val=""/>
      <w:lvlJc w:val="left"/>
      <w:pPr>
        <w:ind w:left="840" w:hanging="361"/>
      </w:pPr>
      <w:rPr>
        <w:rFonts w:ascii="Symbol" w:eastAsia="Symbol" w:hAnsi="Symbol" w:cs="Symbol" w:hint="default"/>
        <w:color w:val="6B6B6B"/>
        <w:w w:val="100"/>
        <w:sz w:val="22"/>
        <w:szCs w:val="22"/>
        <w:lang w:val="en-US" w:eastAsia="en-US" w:bidi="en-US"/>
      </w:rPr>
    </w:lvl>
    <w:lvl w:ilvl="1" w:tplc="B4A49080">
      <w:numFmt w:val="bullet"/>
      <w:lvlText w:val="•"/>
      <w:lvlJc w:val="left"/>
      <w:pPr>
        <w:ind w:left="1736" w:hanging="361"/>
      </w:pPr>
      <w:rPr>
        <w:rFonts w:hint="default"/>
        <w:lang w:val="en-US" w:eastAsia="en-US" w:bidi="en-US"/>
      </w:rPr>
    </w:lvl>
    <w:lvl w:ilvl="2" w:tplc="EFAC3C76">
      <w:numFmt w:val="bullet"/>
      <w:lvlText w:val="•"/>
      <w:lvlJc w:val="left"/>
      <w:pPr>
        <w:ind w:left="2632" w:hanging="361"/>
      </w:pPr>
      <w:rPr>
        <w:rFonts w:hint="default"/>
        <w:lang w:val="en-US" w:eastAsia="en-US" w:bidi="en-US"/>
      </w:rPr>
    </w:lvl>
    <w:lvl w:ilvl="3" w:tplc="ED6ABA5C">
      <w:numFmt w:val="bullet"/>
      <w:lvlText w:val="•"/>
      <w:lvlJc w:val="left"/>
      <w:pPr>
        <w:ind w:left="3528" w:hanging="361"/>
      </w:pPr>
      <w:rPr>
        <w:rFonts w:hint="default"/>
        <w:lang w:val="en-US" w:eastAsia="en-US" w:bidi="en-US"/>
      </w:rPr>
    </w:lvl>
    <w:lvl w:ilvl="4" w:tplc="DF10F8D4">
      <w:numFmt w:val="bullet"/>
      <w:lvlText w:val="•"/>
      <w:lvlJc w:val="left"/>
      <w:pPr>
        <w:ind w:left="4424" w:hanging="361"/>
      </w:pPr>
      <w:rPr>
        <w:rFonts w:hint="default"/>
        <w:lang w:val="en-US" w:eastAsia="en-US" w:bidi="en-US"/>
      </w:rPr>
    </w:lvl>
    <w:lvl w:ilvl="5" w:tplc="667AD02A">
      <w:numFmt w:val="bullet"/>
      <w:lvlText w:val="•"/>
      <w:lvlJc w:val="left"/>
      <w:pPr>
        <w:ind w:left="5320" w:hanging="361"/>
      </w:pPr>
      <w:rPr>
        <w:rFonts w:hint="default"/>
        <w:lang w:val="en-US" w:eastAsia="en-US" w:bidi="en-US"/>
      </w:rPr>
    </w:lvl>
    <w:lvl w:ilvl="6" w:tplc="6EE275E0">
      <w:numFmt w:val="bullet"/>
      <w:lvlText w:val="•"/>
      <w:lvlJc w:val="left"/>
      <w:pPr>
        <w:ind w:left="6216" w:hanging="361"/>
      </w:pPr>
      <w:rPr>
        <w:rFonts w:hint="default"/>
        <w:lang w:val="en-US" w:eastAsia="en-US" w:bidi="en-US"/>
      </w:rPr>
    </w:lvl>
    <w:lvl w:ilvl="7" w:tplc="8F7E5F18">
      <w:numFmt w:val="bullet"/>
      <w:lvlText w:val="•"/>
      <w:lvlJc w:val="left"/>
      <w:pPr>
        <w:ind w:left="7112" w:hanging="361"/>
      </w:pPr>
      <w:rPr>
        <w:rFonts w:hint="default"/>
        <w:lang w:val="en-US" w:eastAsia="en-US" w:bidi="en-US"/>
      </w:rPr>
    </w:lvl>
    <w:lvl w:ilvl="8" w:tplc="8EDE8496">
      <w:numFmt w:val="bullet"/>
      <w:lvlText w:val="•"/>
      <w:lvlJc w:val="left"/>
      <w:pPr>
        <w:ind w:left="8008" w:hanging="361"/>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drawingGridHorizontalSpacing w:val="110"/>
  <w:displayHorizontalDrawingGridEvery w:val="2"/>
  <w:characterSpacingControl w:val="doNotCompress"/>
  <w:hdrShapeDefaults>
    <o:shapedefaults v:ext="edit" spidmax="2064"/>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81013A"/>
    <w:rsid w:val="00006A8B"/>
    <w:rsid w:val="000706BF"/>
    <w:rsid w:val="000C12C5"/>
    <w:rsid w:val="00133057"/>
    <w:rsid w:val="00170DEF"/>
    <w:rsid w:val="001B6DA2"/>
    <w:rsid w:val="001C4C2B"/>
    <w:rsid w:val="00200EB6"/>
    <w:rsid w:val="0024665C"/>
    <w:rsid w:val="00281573"/>
    <w:rsid w:val="00285F24"/>
    <w:rsid w:val="002B627A"/>
    <w:rsid w:val="002C1AF7"/>
    <w:rsid w:val="003009A0"/>
    <w:rsid w:val="00304687"/>
    <w:rsid w:val="003048E4"/>
    <w:rsid w:val="00316B0C"/>
    <w:rsid w:val="0034206C"/>
    <w:rsid w:val="00342187"/>
    <w:rsid w:val="00353682"/>
    <w:rsid w:val="003543C2"/>
    <w:rsid w:val="00357DE4"/>
    <w:rsid w:val="003A2392"/>
    <w:rsid w:val="00415EE4"/>
    <w:rsid w:val="00436EE5"/>
    <w:rsid w:val="0047133D"/>
    <w:rsid w:val="00471F08"/>
    <w:rsid w:val="004A0AE2"/>
    <w:rsid w:val="004C154F"/>
    <w:rsid w:val="004D3D43"/>
    <w:rsid w:val="004E692F"/>
    <w:rsid w:val="004F2F7A"/>
    <w:rsid w:val="005010EF"/>
    <w:rsid w:val="005076F7"/>
    <w:rsid w:val="00535222"/>
    <w:rsid w:val="00576613"/>
    <w:rsid w:val="00582F46"/>
    <w:rsid w:val="005E022E"/>
    <w:rsid w:val="00606D59"/>
    <w:rsid w:val="00610A78"/>
    <w:rsid w:val="006370AE"/>
    <w:rsid w:val="00643E24"/>
    <w:rsid w:val="00654B06"/>
    <w:rsid w:val="0066459E"/>
    <w:rsid w:val="006A73CA"/>
    <w:rsid w:val="00745700"/>
    <w:rsid w:val="007476F7"/>
    <w:rsid w:val="00792A3F"/>
    <w:rsid w:val="007A6517"/>
    <w:rsid w:val="007E453B"/>
    <w:rsid w:val="007E6B7E"/>
    <w:rsid w:val="0080209F"/>
    <w:rsid w:val="0081013A"/>
    <w:rsid w:val="00846B5A"/>
    <w:rsid w:val="00894C9E"/>
    <w:rsid w:val="008A2812"/>
    <w:rsid w:val="008A40A8"/>
    <w:rsid w:val="008B18E3"/>
    <w:rsid w:val="00905A0D"/>
    <w:rsid w:val="0091507B"/>
    <w:rsid w:val="0091796F"/>
    <w:rsid w:val="0093472A"/>
    <w:rsid w:val="00952BD8"/>
    <w:rsid w:val="0096340C"/>
    <w:rsid w:val="0097531F"/>
    <w:rsid w:val="00993032"/>
    <w:rsid w:val="009E3906"/>
    <w:rsid w:val="009F7445"/>
    <w:rsid w:val="00A26970"/>
    <w:rsid w:val="00A6712B"/>
    <w:rsid w:val="00A70042"/>
    <w:rsid w:val="00AD2151"/>
    <w:rsid w:val="00AF0D9C"/>
    <w:rsid w:val="00B523C5"/>
    <w:rsid w:val="00B60CEA"/>
    <w:rsid w:val="00B67E1F"/>
    <w:rsid w:val="00B72293"/>
    <w:rsid w:val="00B90739"/>
    <w:rsid w:val="00BB2DDF"/>
    <w:rsid w:val="00BB4FCA"/>
    <w:rsid w:val="00C076E8"/>
    <w:rsid w:val="00C72DF8"/>
    <w:rsid w:val="00CC3D73"/>
    <w:rsid w:val="00CE146D"/>
    <w:rsid w:val="00CF3ADC"/>
    <w:rsid w:val="00D072A5"/>
    <w:rsid w:val="00D62E91"/>
    <w:rsid w:val="00E2204E"/>
    <w:rsid w:val="00E35009"/>
    <w:rsid w:val="00E45C18"/>
    <w:rsid w:val="00E46CBE"/>
    <w:rsid w:val="00E47F0F"/>
    <w:rsid w:val="00E5210F"/>
    <w:rsid w:val="00E61217"/>
    <w:rsid w:val="00E62BB8"/>
    <w:rsid w:val="00EA2295"/>
    <w:rsid w:val="00EC5822"/>
    <w:rsid w:val="00ED74B0"/>
    <w:rsid w:val="00F00C4F"/>
    <w:rsid w:val="00F273BB"/>
    <w:rsid w:val="00F2789F"/>
    <w:rsid w:val="00F465E8"/>
    <w:rsid w:val="00F70E4A"/>
    <w:rsid w:val="00F75F3A"/>
    <w:rsid w:val="00FF45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4"/>
    <o:shapelayout v:ext="edit">
      <o:idmap v:ext="edit" data="1"/>
    </o:shapelayout>
  </w:shapeDefaults>
  <w:decimalSymbol w:val="."/>
  <w:listSeparator w:val=","/>
  <w14:docId w14:val="528B3ADE"/>
  <w15:docId w15:val="{26F140E6-65C7-4BF8-9F16-2A571E64A5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Calibri Light" w:eastAsia="Calibri Light" w:hAnsi="Calibri Light" w:cs="Calibri Light"/>
      <w:lang w:bidi="en-US"/>
    </w:rPr>
  </w:style>
  <w:style w:type="paragraph" w:styleId="Heading1">
    <w:name w:val="heading 1"/>
    <w:basedOn w:val="Normal"/>
    <w:uiPriority w:val="9"/>
    <w:qFormat/>
    <w:pPr>
      <w:ind w:left="120"/>
      <w:outlineLvl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ind w:left="479"/>
    </w:pPr>
  </w:style>
  <w:style w:type="paragraph" w:styleId="BodyText">
    <w:name w:val="Body Text"/>
    <w:basedOn w:val="Normal"/>
    <w:uiPriority w:val="1"/>
    <w:qFormat/>
  </w:style>
  <w:style w:type="paragraph" w:styleId="ListParagraph">
    <w:name w:val="List Paragraph"/>
    <w:basedOn w:val="Normal"/>
    <w:uiPriority w:val="1"/>
    <w:qFormat/>
    <w:pPr>
      <w:spacing w:before="1"/>
      <w:ind w:left="840" w:hanging="361"/>
    </w:pPr>
  </w:style>
  <w:style w:type="paragraph" w:customStyle="1" w:styleId="TableParagraph">
    <w:name w:val="Table Paragraph"/>
    <w:basedOn w:val="Normal"/>
    <w:uiPriority w:val="1"/>
    <w:qFormat/>
  </w:style>
  <w:style w:type="paragraph" w:customStyle="1" w:styleId="eTRMHeading1">
    <w:name w:val="eTRM Heading 1"/>
    <w:basedOn w:val="Normal"/>
    <w:link w:val="eTRMHeading1Char"/>
    <w:autoRedefine/>
    <w:qFormat/>
    <w:rsid w:val="00B90739"/>
    <w:pPr>
      <w:keepNext/>
      <w:keepLines/>
      <w:widowControl/>
      <w:autoSpaceDE/>
      <w:autoSpaceDN/>
      <w:spacing w:before="120" w:after="120" w:line="320" w:lineRule="exact"/>
      <w:contextualSpacing/>
      <w:outlineLvl w:val="0"/>
    </w:pPr>
    <w:rPr>
      <w:rFonts w:ascii="Calibri" w:eastAsiaTheme="majorEastAsia" w:hAnsi="Calibri" w:cstheme="majorBidi"/>
      <w:b/>
      <w:caps/>
      <w:color w:val="FFFFFF" w:themeColor="background1"/>
      <w:spacing w:val="60"/>
      <w:sz w:val="32"/>
      <w:szCs w:val="40"/>
      <w:lang w:bidi="ar-SA"/>
    </w:rPr>
  </w:style>
  <w:style w:type="character" w:customStyle="1" w:styleId="eTRMHeading1Char">
    <w:name w:val="eTRM Heading 1 Char"/>
    <w:basedOn w:val="DefaultParagraphFont"/>
    <w:link w:val="eTRMHeading1"/>
    <w:rsid w:val="00B90739"/>
    <w:rPr>
      <w:rFonts w:ascii="Calibri" w:eastAsiaTheme="majorEastAsia" w:hAnsi="Calibri" w:cstheme="majorBidi"/>
      <w:b/>
      <w:caps/>
      <w:color w:val="FFFFFF" w:themeColor="background1"/>
      <w:spacing w:val="60"/>
      <w:sz w:val="32"/>
      <w:szCs w:val="40"/>
    </w:rPr>
  </w:style>
  <w:style w:type="character" w:styleId="PlaceholderText">
    <w:name w:val="Placeholder Text"/>
    <w:basedOn w:val="DefaultParagraphFont"/>
    <w:uiPriority w:val="99"/>
    <w:semiHidden/>
    <w:rsid w:val="007E6B7E"/>
    <w:rPr>
      <w:color w:val="808080"/>
    </w:rPr>
  </w:style>
  <w:style w:type="paragraph" w:styleId="NoSpacing">
    <w:name w:val="No Spacing"/>
    <w:uiPriority w:val="1"/>
    <w:qFormat/>
    <w:rsid w:val="00F75F3A"/>
    <w:rPr>
      <w:rFonts w:ascii="Calibri Light" w:eastAsia="Calibri Light" w:hAnsi="Calibri Light" w:cs="Calibri Light"/>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4.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er4.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347</TotalTime>
  <Pages>18</Pages>
  <Words>5867</Words>
  <Characters>33447</Characters>
  <Application>Microsoft Office Word</Application>
  <DocSecurity>0</DocSecurity>
  <Lines>278</Lines>
  <Paragraphs>78</Paragraphs>
  <ScaleCrop>false</ScaleCrop>
  <HeadingPairs>
    <vt:vector size="2" baseType="variant">
      <vt:variant>
        <vt:lpstr>Title</vt:lpstr>
      </vt:variant>
      <vt:variant>
        <vt:i4>1</vt:i4>
      </vt:variant>
    </vt:vector>
  </HeadingPairs>
  <TitlesOfParts>
    <vt:vector size="1" baseType="lpstr">
      <vt:lpstr>eTRM Measure Documentation</vt:lpstr>
    </vt:vector>
  </TitlesOfParts>
  <Company>Pacific Gas and Electric Co</Company>
  <LinksUpToDate>false</LinksUpToDate>
  <CharactersWithSpaces>39236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creator>Jennifer Holmes</dc:creator>
  <cp:lastModifiedBy>Hla, Soe</cp:lastModifiedBy>
  <cp:revision>101</cp:revision>
  <dcterms:created xsi:type="dcterms:W3CDTF">2021-03-05T17:18:00Z</dcterms:created>
  <dcterms:modified xsi:type="dcterms:W3CDTF">2021-03-30T07:17:00Z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2019-06-27T00:00:00Z</vt:filetime>
  </property>
  <property fmtid="{D5CDD505-2E9C-101B-9397-08002B2CF9AE}" pid="3" name="Creator">
    <vt:lpwstr>Acrobat PDFMaker 19 for Word</vt:lpwstr>
  </property>
  <property fmtid="{D5CDD505-2E9C-101B-9397-08002B2CF9AE}" pid="4" name="LastSaved">
    <vt:filetime>2021-03-05T00:00:00Z</vt:filetime>
  </property>
</Properties>
</file>