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0E05D8FB"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7DCD70E3">
        <w:trPr>
          <w:cantSplit/>
          <w:trHeight w:val="1008"/>
          <w:jc w:val="right"/>
        </w:trPr>
        <w:tc>
          <w:tcPr>
            <w:tcW w:w="9000" w:type="dxa"/>
            <w:shd w:val="clear" w:color="auto" w:fill="8DC63F"/>
            <w:vAlign w:val="center"/>
          </w:tcPr>
          <w:p w14:paraId="3EF67A49" w14:textId="398E6E66" w:rsidR="00BD221D" w:rsidRPr="00F6229C" w:rsidRDefault="00CC6443" w:rsidP="00F6229C">
            <w:pPr>
              <w:pStyle w:val="eTRMHeading1"/>
            </w:pPr>
            <w:r w:rsidRPr="00F6229C">
              <w:t>S</w:t>
            </w:r>
            <w:r w:rsidR="00630FFF" w:rsidRPr="00F6229C">
              <w:t>ervice</w:t>
            </w:r>
          </w:p>
          <w:p w14:paraId="49251426" w14:textId="282E1825" w:rsidR="00BD221D" w:rsidRPr="00F6229C" w:rsidRDefault="590E6182" w:rsidP="494E85FD">
            <w:pPr>
              <w:pStyle w:val="eTRMHeading2"/>
              <w:rPr>
                <w:rFonts w:ascii="Calibri" w:eastAsia="Calibri" w:hAnsi="Calibri" w:cs="Calibri"/>
                <w:color w:val="FFFFFF" w:themeColor="background1"/>
                <w:sz w:val="32"/>
                <w:szCs w:val="32"/>
              </w:rPr>
            </w:pPr>
            <w:r w:rsidRPr="00F6229C">
              <w:rPr>
                <w:rFonts w:ascii="Calibri" w:eastAsia="Calibri" w:hAnsi="Calibri" w:cs="Calibri"/>
                <w:color w:val="FFFFFF" w:themeColor="background1"/>
                <w:sz w:val="32"/>
                <w:szCs w:val="32"/>
              </w:rPr>
              <w:t xml:space="preserve">Duct Optimization, </w:t>
            </w:r>
            <w:r w:rsidR="005B3921">
              <w:rPr>
                <w:rFonts w:ascii="Calibri" w:eastAsia="Calibri" w:hAnsi="Calibri" w:cs="Calibri"/>
                <w:color w:val="FFFFFF" w:themeColor="background1"/>
                <w:sz w:val="32"/>
                <w:szCs w:val="32"/>
              </w:rPr>
              <w:t>DmO</w:t>
            </w:r>
          </w:p>
          <w:p w14:paraId="10BE1877" w14:textId="497D6899" w:rsidR="00BD221D" w:rsidRPr="000110D9" w:rsidRDefault="590E6182" w:rsidP="7DCD70E3">
            <w:pPr>
              <w:pStyle w:val="eTRMHeading2"/>
              <w:rPr>
                <w:rFonts w:ascii="Calibri" w:eastAsia="Calibri" w:hAnsi="Calibri" w:cs="Calibri"/>
                <w:color w:val="FFFFFF" w:themeColor="background1"/>
                <w:szCs w:val="36"/>
              </w:rPr>
            </w:pPr>
            <w:r w:rsidRPr="00F6229C">
              <w:rPr>
                <w:rFonts w:ascii="Calibri" w:eastAsia="Calibri" w:hAnsi="Calibri" w:cs="Calibri"/>
                <w:color w:val="FFFFFF" w:themeColor="background1"/>
                <w:sz w:val="32"/>
                <w:szCs w:val="32"/>
              </w:rPr>
              <w:t>SWSV013-0</w:t>
            </w:r>
            <w:r w:rsidR="00464AE9">
              <w:rPr>
                <w:rFonts w:ascii="Calibri" w:eastAsia="Calibri" w:hAnsi="Calibri" w:cs="Calibri"/>
                <w:color w:val="FFFFFF" w:themeColor="background1"/>
                <w:sz w:val="32"/>
                <w:szCs w:val="32"/>
              </w:rPr>
              <w:t>2</w:t>
            </w:r>
          </w:p>
        </w:tc>
      </w:tr>
    </w:tbl>
    <w:p w14:paraId="645F3ACB" w14:textId="106DBE98"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6981678B" w14:textId="2FBF8D3C" w:rsidR="00B5467A" w:rsidRDefault="001C6C9B">
      <w:pPr>
        <w:pStyle w:val="TOC3"/>
        <w:rPr>
          <w:rFonts w:asciiTheme="minorHAnsi" w:hAnsiTheme="minorHAnsi" w:hint="eastAsia"/>
          <w:noProof/>
          <w:szCs w:val="22"/>
        </w:rPr>
      </w:pPr>
      <w:r>
        <w:rPr>
          <w:color w:val="2B579A"/>
          <w:shd w:val="clear" w:color="auto" w:fill="E6E6E6"/>
        </w:rPr>
        <w:fldChar w:fldCharType="begin"/>
      </w:r>
      <w:r>
        <w:instrText xml:space="preserve"> TOC \t "eTRM Heading 3,3" </w:instrText>
      </w:r>
      <w:r>
        <w:rPr>
          <w:color w:val="2B579A"/>
          <w:shd w:val="clear" w:color="auto" w:fill="E6E6E6"/>
        </w:rPr>
        <w:fldChar w:fldCharType="separate"/>
      </w:r>
      <w:r w:rsidR="00B5467A">
        <w:rPr>
          <w:noProof/>
        </w:rPr>
        <w:t>Statewide Measure ID</w:t>
      </w:r>
      <w:r w:rsidR="00B5467A">
        <w:rPr>
          <w:noProof/>
        </w:rPr>
        <w:tab/>
      </w:r>
      <w:r w:rsidR="00B5467A">
        <w:rPr>
          <w:noProof/>
        </w:rPr>
        <w:fldChar w:fldCharType="begin"/>
      </w:r>
      <w:r w:rsidR="00B5467A">
        <w:rPr>
          <w:noProof/>
        </w:rPr>
        <w:instrText xml:space="preserve"> PAGEREF _Toc67494031 \h </w:instrText>
      </w:r>
      <w:r w:rsidR="00B5467A">
        <w:rPr>
          <w:noProof/>
        </w:rPr>
      </w:r>
      <w:r w:rsidR="00B5467A">
        <w:rPr>
          <w:noProof/>
        </w:rPr>
        <w:fldChar w:fldCharType="separate"/>
      </w:r>
      <w:r w:rsidR="00B5467A">
        <w:rPr>
          <w:noProof/>
        </w:rPr>
        <w:t>2</w:t>
      </w:r>
      <w:r w:rsidR="00B5467A">
        <w:rPr>
          <w:noProof/>
        </w:rPr>
        <w:fldChar w:fldCharType="end"/>
      </w:r>
    </w:p>
    <w:p w14:paraId="246E3EF3" w14:textId="51C64D2A" w:rsidR="00B5467A" w:rsidRDefault="00B5467A">
      <w:pPr>
        <w:pStyle w:val="TOC3"/>
        <w:rPr>
          <w:rFonts w:asciiTheme="minorHAnsi" w:hAnsiTheme="minorHAnsi" w:hint="eastAsia"/>
          <w:noProof/>
          <w:szCs w:val="22"/>
        </w:rPr>
      </w:pPr>
      <w:r>
        <w:rPr>
          <w:noProof/>
        </w:rPr>
        <w:t>Measure Version</w:t>
      </w:r>
      <w:r>
        <w:rPr>
          <w:noProof/>
        </w:rPr>
        <w:tab/>
      </w:r>
      <w:r>
        <w:rPr>
          <w:noProof/>
        </w:rPr>
        <w:fldChar w:fldCharType="begin"/>
      </w:r>
      <w:r>
        <w:rPr>
          <w:noProof/>
        </w:rPr>
        <w:instrText xml:space="preserve"> PAGEREF _Toc67494032 \h </w:instrText>
      </w:r>
      <w:r>
        <w:rPr>
          <w:noProof/>
        </w:rPr>
      </w:r>
      <w:r>
        <w:rPr>
          <w:noProof/>
        </w:rPr>
        <w:fldChar w:fldCharType="separate"/>
      </w:r>
      <w:r>
        <w:rPr>
          <w:noProof/>
        </w:rPr>
        <w:t>2</w:t>
      </w:r>
      <w:r>
        <w:rPr>
          <w:noProof/>
        </w:rPr>
        <w:fldChar w:fldCharType="end"/>
      </w:r>
    </w:p>
    <w:p w14:paraId="3471C8FE" w14:textId="1C0E4C3D" w:rsidR="00B5467A" w:rsidRDefault="00B5467A">
      <w:pPr>
        <w:pStyle w:val="TOC3"/>
        <w:rPr>
          <w:rFonts w:asciiTheme="minorHAnsi" w:hAnsiTheme="minorHAnsi" w:hint="eastAsia"/>
          <w:noProof/>
          <w:szCs w:val="22"/>
        </w:rPr>
      </w:pPr>
      <w:r>
        <w:rPr>
          <w:noProof/>
        </w:rPr>
        <w:t>Technology Summary</w:t>
      </w:r>
      <w:r>
        <w:rPr>
          <w:noProof/>
        </w:rPr>
        <w:tab/>
      </w:r>
      <w:r>
        <w:rPr>
          <w:noProof/>
        </w:rPr>
        <w:fldChar w:fldCharType="begin"/>
      </w:r>
      <w:r>
        <w:rPr>
          <w:noProof/>
        </w:rPr>
        <w:instrText xml:space="preserve"> PAGEREF _Toc67494033 \h </w:instrText>
      </w:r>
      <w:r>
        <w:rPr>
          <w:noProof/>
        </w:rPr>
      </w:r>
      <w:r>
        <w:rPr>
          <w:noProof/>
        </w:rPr>
        <w:fldChar w:fldCharType="separate"/>
      </w:r>
      <w:r>
        <w:rPr>
          <w:noProof/>
        </w:rPr>
        <w:t>2</w:t>
      </w:r>
      <w:r>
        <w:rPr>
          <w:noProof/>
        </w:rPr>
        <w:fldChar w:fldCharType="end"/>
      </w:r>
    </w:p>
    <w:p w14:paraId="0C389483" w14:textId="1742A5A4" w:rsidR="00B5467A" w:rsidRDefault="00B5467A">
      <w:pPr>
        <w:pStyle w:val="TOC3"/>
        <w:rPr>
          <w:rFonts w:asciiTheme="minorHAnsi" w:hAnsiTheme="minorHAnsi" w:hint="eastAsia"/>
          <w:noProof/>
          <w:szCs w:val="22"/>
        </w:rPr>
      </w:pPr>
      <w:r>
        <w:rPr>
          <w:noProof/>
        </w:rPr>
        <w:t>Measure Case Description</w:t>
      </w:r>
      <w:r>
        <w:rPr>
          <w:noProof/>
        </w:rPr>
        <w:tab/>
      </w:r>
      <w:r>
        <w:rPr>
          <w:noProof/>
        </w:rPr>
        <w:fldChar w:fldCharType="begin"/>
      </w:r>
      <w:r>
        <w:rPr>
          <w:noProof/>
        </w:rPr>
        <w:instrText xml:space="preserve"> PAGEREF _Toc67494034 \h </w:instrText>
      </w:r>
      <w:r>
        <w:rPr>
          <w:noProof/>
        </w:rPr>
      </w:r>
      <w:r>
        <w:rPr>
          <w:noProof/>
        </w:rPr>
        <w:fldChar w:fldCharType="separate"/>
      </w:r>
      <w:r>
        <w:rPr>
          <w:noProof/>
        </w:rPr>
        <w:t>3</w:t>
      </w:r>
      <w:r>
        <w:rPr>
          <w:noProof/>
        </w:rPr>
        <w:fldChar w:fldCharType="end"/>
      </w:r>
    </w:p>
    <w:p w14:paraId="71A63011" w14:textId="576B63A5" w:rsidR="00B5467A" w:rsidRDefault="00B5467A">
      <w:pPr>
        <w:pStyle w:val="TOC3"/>
        <w:rPr>
          <w:rFonts w:asciiTheme="minorHAnsi" w:hAnsiTheme="minorHAnsi" w:hint="eastAsia"/>
          <w:noProof/>
          <w:szCs w:val="22"/>
        </w:rPr>
      </w:pPr>
      <w:r>
        <w:rPr>
          <w:noProof/>
        </w:rPr>
        <w:t>Base Case Description</w:t>
      </w:r>
      <w:r>
        <w:rPr>
          <w:noProof/>
        </w:rPr>
        <w:tab/>
      </w:r>
      <w:r>
        <w:rPr>
          <w:noProof/>
        </w:rPr>
        <w:fldChar w:fldCharType="begin"/>
      </w:r>
      <w:r>
        <w:rPr>
          <w:noProof/>
        </w:rPr>
        <w:instrText xml:space="preserve"> PAGEREF _Toc67494035 \h </w:instrText>
      </w:r>
      <w:r>
        <w:rPr>
          <w:noProof/>
        </w:rPr>
      </w:r>
      <w:r>
        <w:rPr>
          <w:noProof/>
        </w:rPr>
        <w:fldChar w:fldCharType="separate"/>
      </w:r>
      <w:r>
        <w:rPr>
          <w:noProof/>
        </w:rPr>
        <w:t>3</w:t>
      </w:r>
      <w:r>
        <w:rPr>
          <w:noProof/>
        </w:rPr>
        <w:fldChar w:fldCharType="end"/>
      </w:r>
    </w:p>
    <w:p w14:paraId="0F8EEB26" w14:textId="66D7AAA7" w:rsidR="00B5467A" w:rsidRDefault="00B5467A">
      <w:pPr>
        <w:pStyle w:val="TOC3"/>
        <w:rPr>
          <w:rFonts w:asciiTheme="minorHAnsi" w:hAnsiTheme="minorHAnsi" w:hint="eastAsia"/>
          <w:noProof/>
          <w:szCs w:val="22"/>
        </w:rPr>
      </w:pPr>
      <w:r>
        <w:rPr>
          <w:noProof/>
        </w:rPr>
        <w:t>Code Requirements</w:t>
      </w:r>
      <w:r>
        <w:rPr>
          <w:noProof/>
        </w:rPr>
        <w:tab/>
      </w:r>
      <w:r>
        <w:rPr>
          <w:noProof/>
        </w:rPr>
        <w:fldChar w:fldCharType="begin"/>
      </w:r>
      <w:r>
        <w:rPr>
          <w:noProof/>
        </w:rPr>
        <w:instrText xml:space="preserve"> PAGEREF _Toc67494036 \h </w:instrText>
      </w:r>
      <w:r>
        <w:rPr>
          <w:noProof/>
        </w:rPr>
      </w:r>
      <w:r>
        <w:rPr>
          <w:noProof/>
        </w:rPr>
        <w:fldChar w:fldCharType="separate"/>
      </w:r>
      <w:r>
        <w:rPr>
          <w:noProof/>
        </w:rPr>
        <w:t>4</w:t>
      </w:r>
      <w:r>
        <w:rPr>
          <w:noProof/>
        </w:rPr>
        <w:fldChar w:fldCharType="end"/>
      </w:r>
    </w:p>
    <w:p w14:paraId="78DFC4BA" w14:textId="11F123BA" w:rsidR="00B5467A" w:rsidRDefault="00B5467A">
      <w:pPr>
        <w:pStyle w:val="TOC3"/>
        <w:rPr>
          <w:rFonts w:asciiTheme="minorHAnsi" w:hAnsiTheme="minorHAnsi" w:hint="eastAsia"/>
          <w:noProof/>
          <w:szCs w:val="22"/>
        </w:rPr>
      </w:pPr>
      <w:r>
        <w:rPr>
          <w:noProof/>
        </w:rPr>
        <w:t>Normalizing Unit</w:t>
      </w:r>
      <w:r>
        <w:rPr>
          <w:noProof/>
        </w:rPr>
        <w:tab/>
      </w:r>
      <w:r>
        <w:rPr>
          <w:noProof/>
        </w:rPr>
        <w:fldChar w:fldCharType="begin"/>
      </w:r>
      <w:r>
        <w:rPr>
          <w:noProof/>
        </w:rPr>
        <w:instrText xml:space="preserve"> PAGEREF _Toc67494037 \h </w:instrText>
      </w:r>
      <w:r>
        <w:rPr>
          <w:noProof/>
        </w:rPr>
      </w:r>
      <w:r>
        <w:rPr>
          <w:noProof/>
        </w:rPr>
        <w:fldChar w:fldCharType="separate"/>
      </w:r>
      <w:r>
        <w:rPr>
          <w:noProof/>
        </w:rPr>
        <w:t>4</w:t>
      </w:r>
      <w:r>
        <w:rPr>
          <w:noProof/>
        </w:rPr>
        <w:fldChar w:fldCharType="end"/>
      </w:r>
    </w:p>
    <w:p w14:paraId="3B8B0F0D" w14:textId="71FBAE1B" w:rsidR="00B5467A" w:rsidRDefault="00B5467A">
      <w:pPr>
        <w:pStyle w:val="TOC3"/>
        <w:rPr>
          <w:rFonts w:asciiTheme="minorHAnsi" w:hAnsiTheme="minorHAnsi" w:hint="eastAsia"/>
          <w:noProof/>
          <w:szCs w:val="22"/>
        </w:rPr>
      </w:pPr>
      <w:r>
        <w:rPr>
          <w:noProof/>
        </w:rPr>
        <w:t>Program Requirements</w:t>
      </w:r>
      <w:r>
        <w:rPr>
          <w:noProof/>
        </w:rPr>
        <w:tab/>
      </w:r>
      <w:r>
        <w:rPr>
          <w:noProof/>
        </w:rPr>
        <w:fldChar w:fldCharType="begin"/>
      </w:r>
      <w:r>
        <w:rPr>
          <w:noProof/>
        </w:rPr>
        <w:instrText xml:space="preserve"> PAGEREF _Toc67494038 \h </w:instrText>
      </w:r>
      <w:r>
        <w:rPr>
          <w:noProof/>
        </w:rPr>
      </w:r>
      <w:r>
        <w:rPr>
          <w:noProof/>
        </w:rPr>
        <w:fldChar w:fldCharType="separate"/>
      </w:r>
      <w:r>
        <w:rPr>
          <w:noProof/>
        </w:rPr>
        <w:t>4</w:t>
      </w:r>
      <w:r>
        <w:rPr>
          <w:noProof/>
        </w:rPr>
        <w:fldChar w:fldCharType="end"/>
      </w:r>
    </w:p>
    <w:p w14:paraId="60CD4CBF" w14:textId="32EDD3AB" w:rsidR="00B5467A" w:rsidRDefault="00B5467A">
      <w:pPr>
        <w:pStyle w:val="TOC3"/>
        <w:rPr>
          <w:rFonts w:asciiTheme="minorHAnsi" w:hAnsiTheme="minorHAnsi" w:hint="eastAsia"/>
          <w:noProof/>
          <w:szCs w:val="22"/>
        </w:rPr>
      </w:pPr>
      <w:r>
        <w:rPr>
          <w:noProof/>
        </w:rPr>
        <w:t>Program Exclusions</w:t>
      </w:r>
      <w:r>
        <w:rPr>
          <w:noProof/>
        </w:rPr>
        <w:tab/>
      </w:r>
      <w:r>
        <w:rPr>
          <w:noProof/>
        </w:rPr>
        <w:fldChar w:fldCharType="begin"/>
      </w:r>
      <w:r>
        <w:rPr>
          <w:noProof/>
        </w:rPr>
        <w:instrText xml:space="preserve"> PAGEREF _Toc67494039 \h </w:instrText>
      </w:r>
      <w:r>
        <w:rPr>
          <w:noProof/>
        </w:rPr>
      </w:r>
      <w:r>
        <w:rPr>
          <w:noProof/>
        </w:rPr>
        <w:fldChar w:fldCharType="separate"/>
      </w:r>
      <w:r>
        <w:rPr>
          <w:noProof/>
        </w:rPr>
        <w:t>5</w:t>
      </w:r>
      <w:r>
        <w:rPr>
          <w:noProof/>
        </w:rPr>
        <w:fldChar w:fldCharType="end"/>
      </w:r>
    </w:p>
    <w:p w14:paraId="3F063239" w14:textId="338F383E" w:rsidR="00B5467A" w:rsidRDefault="00B5467A">
      <w:pPr>
        <w:pStyle w:val="TOC3"/>
        <w:rPr>
          <w:rFonts w:asciiTheme="minorHAnsi" w:hAnsiTheme="minorHAnsi" w:hint="eastAsia"/>
          <w:noProof/>
          <w:szCs w:val="22"/>
        </w:rPr>
      </w:pPr>
      <w:r>
        <w:rPr>
          <w:noProof/>
        </w:rPr>
        <w:t>Data Collection Requirements</w:t>
      </w:r>
      <w:r>
        <w:rPr>
          <w:noProof/>
        </w:rPr>
        <w:tab/>
      </w:r>
      <w:r>
        <w:rPr>
          <w:noProof/>
        </w:rPr>
        <w:fldChar w:fldCharType="begin"/>
      </w:r>
      <w:r>
        <w:rPr>
          <w:noProof/>
        </w:rPr>
        <w:instrText xml:space="preserve"> PAGEREF _Toc67494040 \h </w:instrText>
      </w:r>
      <w:r>
        <w:rPr>
          <w:noProof/>
        </w:rPr>
      </w:r>
      <w:r>
        <w:rPr>
          <w:noProof/>
        </w:rPr>
        <w:fldChar w:fldCharType="separate"/>
      </w:r>
      <w:r>
        <w:rPr>
          <w:noProof/>
        </w:rPr>
        <w:t>6</w:t>
      </w:r>
      <w:r>
        <w:rPr>
          <w:noProof/>
        </w:rPr>
        <w:fldChar w:fldCharType="end"/>
      </w:r>
    </w:p>
    <w:p w14:paraId="6BC191B1" w14:textId="5F9C9AEF" w:rsidR="00B5467A" w:rsidRDefault="00B5467A">
      <w:pPr>
        <w:pStyle w:val="TOC3"/>
        <w:rPr>
          <w:rFonts w:asciiTheme="minorHAnsi" w:hAnsiTheme="minorHAnsi" w:hint="eastAsia"/>
          <w:noProof/>
          <w:szCs w:val="22"/>
        </w:rPr>
      </w:pPr>
      <w:r>
        <w:rPr>
          <w:noProof/>
        </w:rPr>
        <w:t>Use Category</w:t>
      </w:r>
      <w:r>
        <w:rPr>
          <w:noProof/>
        </w:rPr>
        <w:tab/>
      </w:r>
      <w:r>
        <w:rPr>
          <w:noProof/>
        </w:rPr>
        <w:fldChar w:fldCharType="begin"/>
      </w:r>
      <w:r>
        <w:rPr>
          <w:noProof/>
        </w:rPr>
        <w:instrText xml:space="preserve"> PAGEREF _Toc67494041 \h </w:instrText>
      </w:r>
      <w:r>
        <w:rPr>
          <w:noProof/>
        </w:rPr>
      </w:r>
      <w:r>
        <w:rPr>
          <w:noProof/>
        </w:rPr>
        <w:fldChar w:fldCharType="separate"/>
      </w:r>
      <w:r>
        <w:rPr>
          <w:noProof/>
        </w:rPr>
        <w:t>6</w:t>
      </w:r>
      <w:r>
        <w:rPr>
          <w:noProof/>
        </w:rPr>
        <w:fldChar w:fldCharType="end"/>
      </w:r>
    </w:p>
    <w:p w14:paraId="7BFF1D19" w14:textId="5C59438A" w:rsidR="00B5467A" w:rsidRDefault="00B5467A">
      <w:pPr>
        <w:pStyle w:val="TOC3"/>
        <w:rPr>
          <w:rFonts w:asciiTheme="minorHAnsi" w:hAnsiTheme="minorHAnsi" w:hint="eastAsia"/>
          <w:noProof/>
          <w:szCs w:val="22"/>
        </w:rPr>
      </w:pPr>
      <w:r>
        <w:rPr>
          <w:noProof/>
        </w:rPr>
        <w:t>Electric Savings (</w:t>
      </w:r>
      <w:r w:rsidRPr="00017FD4">
        <w:rPr>
          <w:noProof/>
        </w:rPr>
        <w:t>kWh</w:t>
      </w:r>
      <w:r>
        <w:rPr>
          <w:noProof/>
        </w:rPr>
        <w:t>)</w:t>
      </w:r>
      <w:r>
        <w:rPr>
          <w:noProof/>
        </w:rPr>
        <w:tab/>
      </w:r>
      <w:r>
        <w:rPr>
          <w:noProof/>
        </w:rPr>
        <w:fldChar w:fldCharType="begin"/>
      </w:r>
      <w:r>
        <w:rPr>
          <w:noProof/>
        </w:rPr>
        <w:instrText xml:space="preserve"> PAGEREF _Toc67494042 \h </w:instrText>
      </w:r>
      <w:r>
        <w:rPr>
          <w:noProof/>
        </w:rPr>
      </w:r>
      <w:r>
        <w:rPr>
          <w:noProof/>
        </w:rPr>
        <w:fldChar w:fldCharType="separate"/>
      </w:r>
      <w:r>
        <w:rPr>
          <w:noProof/>
        </w:rPr>
        <w:t>6</w:t>
      </w:r>
      <w:r>
        <w:rPr>
          <w:noProof/>
        </w:rPr>
        <w:fldChar w:fldCharType="end"/>
      </w:r>
    </w:p>
    <w:p w14:paraId="050C3435" w14:textId="77495645" w:rsidR="00B5467A" w:rsidRDefault="00B5467A">
      <w:pPr>
        <w:pStyle w:val="TOC3"/>
        <w:rPr>
          <w:rFonts w:asciiTheme="minorHAnsi" w:hAnsiTheme="minorHAnsi" w:hint="eastAsia"/>
          <w:noProof/>
          <w:szCs w:val="22"/>
        </w:rPr>
      </w:pPr>
      <w:r>
        <w:rPr>
          <w:noProof/>
        </w:rPr>
        <w:t>Peak Electric Demand Reduction (</w:t>
      </w:r>
      <w:r w:rsidRPr="00017FD4">
        <w:rPr>
          <w:noProof/>
        </w:rPr>
        <w:t>kW</w:t>
      </w:r>
      <w:r>
        <w:rPr>
          <w:noProof/>
        </w:rPr>
        <w:t>)</w:t>
      </w:r>
      <w:r>
        <w:rPr>
          <w:noProof/>
        </w:rPr>
        <w:tab/>
      </w:r>
      <w:r>
        <w:rPr>
          <w:noProof/>
        </w:rPr>
        <w:fldChar w:fldCharType="begin"/>
      </w:r>
      <w:r>
        <w:rPr>
          <w:noProof/>
        </w:rPr>
        <w:instrText xml:space="preserve"> PAGEREF _Toc67494043 \h </w:instrText>
      </w:r>
      <w:r>
        <w:rPr>
          <w:noProof/>
        </w:rPr>
      </w:r>
      <w:r>
        <w:rPr>
          <w:noProof/>
        </w:rPr>
        <w:fldChar w:fldCharType="separate"/>
      </w:r>
      <w:r>
        <w:rPr>
          <w:noProof/>
        </w:rPr>
        <w:t>7</w:t>
      </w:r>
      <w:r>
        <w:rPr>
          <w:noProof/>
        </w:rPr>
        <w:fldChar w:fldCharType="end"/>
      </w:r>
    </w:p>
    <w:p w14:paraId="403B8CED" w14:textId="7BA11A4F" w:rsidR="00B5467A" w:rsidRDefault="00B5467A">
      <w:pPr>
        <w:pStyle w:val="TOC3"/>
        <w:rPr>
          <w:rFonts w:asciiTheme="minorHAnsi" w:hAnsiTheme="minorHAnsi" w:hint="eastAsia"/>
          <w:noProof/>
          <w:szCs w:val="22"/>
        </w:rPr>
      </w:pPr>
      <w:r>
        <w:rPr>
          <w:noProof/>
        </w:rPr>
        <w:t>Gas Savings (</w:t>
      </w:r>
      <w:r w:rsidRPr="00017FD4">
        <w:rPr>
          <w:noProof/>
        </w:rPr>
        <w:t>therms</w:t>
      </w:r>
      <w:r>
        <w:rPr>
          <w:noProof/>
        </w:rPr>
        <w:t>)</w:t>
      </w:r>
      <w:r>
        <w:rPr>
          <w:noProof/>
        </w:rPr>
        <w:tab/>
      </w:r>
      <w:r>
        <w:rPr>
          <w:noProof/>
        </w:rPr>
        <w:fldChar w:fldCharType="begin"/>
      </w:r>
      <w:r>
        <w:rPr>
          <w:noProof/>
        </w:rPr>
        <w:instrText xml:space="preserve"> PAGEREF _Toc67494044 \h </w:instrText>
      </w:r>
      <w:r>
        <w:rPr>
          <w:noProof/>
        </w:rPr>
      </w:r>
      <w:r>
        <w:rPr>
          <w:noProof/>
        </w:rPr>
        <w:fldChar w:fldCharType="separate"/>
      </w:r>
      <w:r>
        <w:rPr>
          <w:noProof/>
        </w:rPr>
        <w:t>7</w:t>
      </w:r>
      <w:r>
        <w:rPr>
          <w:noProof/>
        </w:rPr>
        <w:fldChar w:fldCharType="end"/>
      </w:r>
    </w:p>
    <w:p w14:paraId="479A385D" w14:textId="24042733" w:rsidR="00B5467A" w:rsidRDefault="00B5467A">
      <w:pPr>
        <w:pStyle w:val="TOC3"/>
        <w:rPr>
          <w:rFonts w:asciiTheme="minorHAnsi" w:hAnsiTheme="minorHAnsi" w:hint="eastAsia"/>
          <w:noProof/>
          <w:szCs w:val="22"/>
        </w:rPr>
      </w:pPr>
      <w:r>
        <w:rPr>
          <w:noProof/>
        </w:rPr>
        <w:t>Life Cycle</w:t>
      </w:r>
      <w:r>
        <w:rPr>
          <w:noProof/>
        </w:rPr>
        <w:tab/>
      </w:r>
      <w:r>
        <w:rPr>
          <w:noProof/>
        </w:rPr>
        <w:fldChar w:fldCharType="begin"/>
      </w:r>
      <w:r>
        <w:rPr>
          <w:noProof/>
        </w:rPr>
        <w:instrText xml:space="preserve"> PAGEREF _Toc67494045 \h </w:instrText>
      </w:r>
      <w:r>
        <w:rPr>
          <w:noProof/>
        </w:rPr>
      </w:r>
      <w:r>
        <w:rPr>
          <w:noProof/>
        </w:rPr>
        <w:fldChar w:fldCharType="separate"/>
      </w:r>
      <w:r>
        <w:rPr>
          <w:noProof/>
        </w:rPr>
        <w:t>7</w:t>
      </w:r>
      <w:r>
        <w:rPr>
          <w:noProof/>
        </w:rPr>
        <w:fldChar w:fldCharType="end"/>
      </w:r>
    </w:p>
    <w:p w14:paraId="02712094" w14:textId="2018B275" w:rsidR="00B5467A" w:rsidRDefault="00B5467A">
      <w:pPr>
        <w:pStyle w:val="TOC3"/>
        <w:rPr>
          <w:rFonts w:asciiTheme="minorHAnsi" w:hAnsiTheme="minorHAnsi" w:hint="eastAsia"/>
          <w:noProof/>
          <w:szCs w:val="22"/>
        </w:rPr>
      </w:pPr>
      <w:r w:rsidRPr="00017FD4">
        <w:rPr>
          <w:noProof/>
        </w:rPr>
        <w:t>Material &amp; labor Cost ($/unit)</w:t>
      </w:r>
      <w:r>
        <w:rPr>
          <w:noProof/>
        </w:rPr>
        <w:tab/>
      </w:r>
      <w:r>
        <w:rPr>
          <w:noProof/>
        </w:rPr>
        <w:fldChar w:fldCharType="begin"/>
      </w:r>
      <w:r>
        <w:rPr>
          <w:noProof/>
        </w:rPr>
        <w:instrText xml:space="preserve"> PAGEREF _Toc67494046 \h </w:instrText>
      </w:r>
      <w:r>
        <w:rPr>
          <w:noProof/>
        </w:rPr>
      </w:r>
      <w:r>
        <w:rPr>
          <w:noProof/>
        </w:rPr>
        <w:fldChar w:fldCharType="separate"/>
      </w:r>
      <w:r>
        <w:rPr>
          <w:noProof/>
        </w:rPr>
        <w:t>9</w:t>
      </w:r>
      <w:r>
        <w:rPr>
          <w:noProof/>
        </w:rPr>
        <w:fldChar w:fldCharType="end"/>
      </w:r>
    </w:p>
    <w:p w14:paraId="48FB8A9B" w14:textId="34FCD90D" w:rsidR="00B5467A" w:rsidRDefault="00B5467A">
      <w:pPr>
        <w:pStyle w:val="TOC3"/>
        <w:rPr>
          <w:rFonts w:asciiTheme="minorHAnsi" w:hAnsiTheme="minorHAnsi" w:hint="eastAsia"/>
          <w:noProof/>
          <w:szCs w:val="22"/>
        </w:rPr>
      </w:pPr>
      <w:r>
        <w:rPr>
          <w:noProof/>
        </w:rPr>
        <w:t>Net-to-Gross</w:t>
      </w:r>
      <w:r>
        <w:rPr>
          <w:noProof/>
        </w:rPr>
        <w:tab/>
      </w:r>
      <w:r>
        <w:rPr>
          <w:noProof/>
        </w:rPr>
        <w:fldChar w:fldCharType="begin"/>
      </w:r>
      <w:r>
        <w:rPr>
          <w:noProof/>
        </w:rPr>
        <w:instrText xml:space="preserve"> PAGEREF _Toc67494047 \h </w:instrText>
      </w:r>
      <w:r>
        <w:rPr>
          <w:noProof/>
        </w:rPr>
      </w:r>
      <w:r>
        <w:rPr>
          <w:noProof/>
        </w:rPr>
        <w:fldChar w:fldCharType="separate"/>
      </w:r>
      <w:r>
        <w:rPr>
          <w:noProof/>
        </w:rPr>
        <w:t>10</w:t>
      </w:r>
      <w:r>
        <w:rPr>
          <w:noProof/>
        </w:rPr>
        <w:fldChar w:fldCharType="end"/>
      </w:r>
    </w:p>
    <w:p w14:paraId="75014907" w14:textId="6435803C" w:rsidR="00B5467A" w:rsidRDefault="00B5467A">
      <w:pPr>
        <w:pStyle w:val="TOC3"/>
        <w:rPr>
          <w:rFonts w:asciiTheme="minorHAnsi" w:hAnsiTheme="minorHAnsi" w:hint="eastAsia"/>
          <w:noProof/>
          <w:szCs w:val="22"/>
        </w:rPr>
      </w:pPr>
      <w:r>
        <w:rPr>
          <w:noProof/>
        </w:rPr>
        <w:t>Gross Savings Installation Adjustment</w:t>
      </w:r>
      <w:r>
        <w:rPr>
          <w:noProof/>
        </w:rPr>
        <w:tab/>
      </w:r>
      <w:r>
        <w:rPr>
          <w:noProof/>
        </w:rPr>
        <w:fldChar w:fldCharType="begin"/>
      </w:r>
      <w:r>
        <w:rPr>
          <w:noProof/>
        </w:rPr>
        <w:instrText xml:space="preserve"> PAGEREF _Toc67494048 \h </w:instrText>
      </w:r>
      <w:r>
        <w:rPr>
          <w:noProof/>
        </w:rPr>
      </w:r>
      <w:r>
        <w:rPr>
          <w:noProof/>
        </w:rPr>
        <w:fldChar w:fldCharType="separate"/>
      </w:r>
      <w:r>
        <w:rPr>
          <w:noProof/>
        </w:rPr>
        <w:t>10</w:t>
      </w:r>
      <w:r>
        <w:rPr>
          <w:noProof/>
        </w:rPr>
        <w:fldChar w:fldCharType="end"/>
      </w:r>
    </w:p>
    <w:p w14:paraId="4D5B97E4" w14:textId="65578471" w:rsidR="00B5467A" w:rsidRDefault="00B5467A">
      <w:pPr>
        <w:pStyle w:val="TOC3"/>
        <w:rPr>
          <w:rFonts w:asciiTheme="minorHAnsi" w:hAnsiTheme="minorHAnsi" w:hint="eastAsia"/>
          <w:noProof/>
          <w:szCs w:val="22"/>
        </w:rPr>
      </w:pPr>
      <w:r>
        <w:rPr>
          <w:noProof/>
        </w:rPr>
        <w:t>Non-Energy Impacts</w:t>
      </w:r>
      <w:r>
        <w:rPr>
          <w:noProof/>
        </w:rPr>
        <w:tab/>
      </w:r>
      <w:r>
        <w:rPr>
          <w:noProof/>
        </w:rPr>
        <w:fldChar w:fldCharType="begin"/>
      </w:r>
      <w:r>
        <w:rPr>
          <w:noProof/>
        </w:rPr>
        <w:instrText xml:space="preserve"> PAGEREF _Toc67494049 \h </w:instrText>
      </w:r>
      <w:r>
        <w:rPr>
          <w:noProof/>
        </w:rPr>
      </w:r>
      <w:r>
        <w:rPr>
          <w:noProof/>
        </w:rPr>
        <w:fldChar w:fldCharType="separate"/>
      </w:r>
      <w:r>
        <w:rPr>
          <w:noProof/>
        </w:rPr>
        <w:t>11</w:t>
      </w:r>
      <w:r>
        <w:rPr>
          <w:noProof/>
        </w:rPr>
        <w:fldChar w:fldCharType="end"/>
      </w:r>
    </w:p>
    <w:p w14:paraId="4DDED387" w14:textId="2E8419B3" w:rsidR="00B5467A" w:rsidRDefault="00B5467A">
      <w:pPr>
        <w:pStyle w:val="TOC3"/>
        <w:rPr>
          <w:rFonts w:asciiTheme="minorHAnsi" w:hAnsiTheme="minorHAnsi" w:hint="eastAsia"/>
          <w:noProof/>
          <w:szCs w:val="22"/>
        </w:rPr>
      </w:pPr>
      <w:r>
        <w:rPr>
          <w:noProof/>
        </w:rPr>
        <w:t>DEER Differences Analysis</w:t>
      </w:r>
      <w:r>
        <w:rPr>
          <w:noProof/>
        </w:rPr>
        <w:tab/>
      </w:r>
      <w:r>
        <w:rPr>
          <w:noProof/>
        </w:rPr>
        <w:fldChar w:fldCharType="begin"/>
      </w:r>
      <w:r>
        <w:rPr>
          <w:noProof/>
        </w:rPr>
        <w:instrText xml:space="preserve"> PAGEREF _Toc67494050 \h </w:instrText>
      </w:r>
      <w:r>
        <w:rPr>
          <w:noProof/>
        </w:rPr>
      </w:r>
      <w:r>
        <w:rPr>
          <w:noProof/>
        </w:rPr>
        <w:fldChar w:fldCharType="separate"/>
      </w:r>
      <w:r>
        <w:rPr>
          <w:noProof/>
        </w:rPr>
        <w:t>11</w:t>
      </w:r>
      <w:r>
        <w:rPr>
          <w:noProof/>
        </w:rPr>
        <w:fldChar w:fldCharType="end"/>
      </w:r>
    </w:p>
    <w:p w14:paraId="7865C9BE" w14:textId="7772C61D" w:rsidR="00B5467A" w:rsidRDefault="00B5467A">
      <w:pPr>
        <w:pStyle w:val="TOC3"/>
        <w:rPr>
          <w:rFonts w:asciiTheme="minorHAnsi" w:hAnsiTheme="minorHAnsi" w:hint="eastAsia"/>
          <w:noProof/>
          <w:szCs w:val="22"/>
        </w:rPr>
      </w:pPr>
      <w:r>
        <w:rPr>
          <w:noProof/>
        </w:rPr>
        <w:t>Revision History</w:t>
      </w:r>
      <w:r>
        <w:rPr>
          <w:noProof/>
        </w:rPr>
        <w:tab/>
      </w:r>
      <w:r>
        <w:rPr>
          <w:noProof/>
        </w:rPr>
        <w:fldChar w:fldCharType="begin"/>
      </w:r>
      <w:r>
        <w:rPr>
          <w:noProof/>
        </w:rPr>
        <w:instrText xml:space="preserve"> PAGEREF _Toc67494051 \h </w:instrText>
      </w:r>
      <w:r>
        <w:rPr>
          <w:noProof/>
        </w:rPr>
      </w:r>
      <w:r>
        <w:rPr>
          <w:noProof/>
        </w:rPr>
        <w:fldChar w:fldCharType="separate"/>
      </w:r>
      <w:r>
        <w:rPr>
          <w:noProof/>
        </w:rPr>
        <w:t>12</w:t>
      </w:r>
      <w:r>
        <w:rPr>
          <w:noProof/>
        </w:rPr>
        <w:fldChar w:fldCharType="end"/>
      </w:r>
    </w:p>
    <w:p w14:paraId="4C194BAF" w14:textId="73F966D8" w:rsidR="001C6C9B" w:rsidRPr="00D12B8C" w:rsidRDefault="001C6C9B" w:rsidP="00D12B8C">
      <w:r>
        <w:rPr>
          <w:color w:val="2B579A"/>
          <w:shd w:val="clear" w:color="auto" w:fill="E6E6E6"/>
        </w:rPr>
        <w:fldChar w:fldCharType="end"/>
      </w:r>
    </w:p>
    <w:p w14:paraId="7DD78D3A" w14:textId="77777777" w:rsidR="007E1F66" w:rsidRDefault="007E1F66" w:rsidP="0078138C">
      <w:pPr>
        <w:pStyle w:val="eTRMHeading3"/>
        <w:sectPr w:rsidR="007E1F66" w:rsidSect="00ED350A">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titlePg/>
          <w:docGrid w:linePitch="360"/>
        </w:sectPr>
      </w:pPr>
    </w:p>
    <w:p w14:paraId="65796C25" w14:textId="5ED41949" w:rsidR="00E53303" w:rsidRPr="00AE1434" w:rsidRDefault="00E53303" w:rsidP="0078138C">
      <w:pPr>
        <w:pStyle w:val="eTRMHeading3"/>
      </w:pPr>
      <w:bookmarkStart w:id="0" w:name="_Toc486490840"/>
      <w:bookmarkStart w:id="1" w:name="_Toc486580913"/>
      <w:bookmarkStart w:id="2" w:name="_Toc524079046"/>
      <w:bookmarkStart w:id="3" w:name="_Toc67494031"/>
      <w:r w:rsidRPr="00AE1434">
        <w:lastRenderedPageBreak/>
        <w:t>Statewide Measure ID</w:t>
      </w:r>
      <w:bookmarkEnd w:id="0"/>
      <w:bookmarkEnd w:id="1"/>
      <w:bookmarkEnd w:id="2"/>
      <w:bookmarkEnd w:id="3"/>
    </w:p>
    <w:p w14:paraId="12010B62" w14:textId="2677FB56" w:rsidR="00E53303" w:rsidRPr="00AE6B0E" w:rsidRDefault="548B8D6F" w:rsidP="001D0039">
      <w:r w:rsidRPr="00AE6B0E">
        <w:rPr>
          <w:szCs w:val="22"/>
        </w:rPr>
        <w:t>SWSV013-0</w:t>
      </w:r>
      <w:r w:rsidR="00464AE9">
        <w:rPr>
          <w:szCs w:val="22"/>
        </w:rPr>
        <w:t>2</w:t>
      </w:r>
    </w:p>
    <w:p w14:paraId="4D1E5B2F" w14:textId="532038D3" w:rsidR="00E53303" w:rsidRPr="00EA5B84" w:rsidRDefault="00E53303" w:rsidP="0078138C">
      <w:pPr>
        <w:pStyle w:val="eTRMHeading3"/>
      </w:pPr>
      <w:bookmarkStart w:id="4" w:name="_Toc486490841"/>
      <w:bookmarkStart w:id="5" w:name="_Toc486580914"/>
      <w:bookmarkStart w:id="6" w:name="_Toc524079047"/>
      <w:bookmarkStart w:id="7" w:name="_Toc67494032"/>
      <w:r w:rsidRPr="00EA5B84">
        <w:t>Measure Version</w:t>
      </w:r>
      <w:bookmarkEnd w:id="4"/>
      <w:bookmarkEnd w:id="5"/>
      <w:bookmarkEnd w:id="6"/>
      <w:bookmarkEnd w:id="7"/>
    </w:p>
    <w:p w14:paraId="314912C2" w14:textId="4F855B22" w:rsidR="001D0039" w:rsidRPr="00AE6B0E" w:rsidRDefault="67AB90EA" w:rsidP="001D0039">
      <w:bookmarkStart w:id="8" w:name="_Toc486490842"/>
      <w:bookmarkStart w:id="9" w:name="_Toc486580915"/>
      <w:bookmarkStart w:id="10" w:name="_Toc524079048"/>
      <w:r w:rsidRPr="00AE6B0E">
        <w:t>Version 0</w:t>
      </w:r>
      <w:r w:rsidR="00464AE9">
        <w:t>2</w:t>
      </w:r>
    </w:p>
    <w:p w14:paraId="0F7CA2E6" w14:textId="332C9391" w:rsidR="00E70CBD" w:rsidRPr="00154391" w:rsidRDefault="00E70CBD" w:rsidP="0078138C">
      <w:pPr>
        <w:pStyle w:val="eTRMHeading3"/>
      </w:pPr>
      <w:bookmarkStart w:id="11" w:name="_Toc486490847"/>
      <w:bookmarkStart w:id="12" w:name="_Toc486580918"/>
      <w:bookmarkStart w:id="13" w:name="_Toc67494033"/>
      <w:bookmarkEnd w:id="8"/>
      <w:bookmarkEnd w:id="9"/>
      <w:bookmarkEnd w:id="10"/>
      <w:r w:rsidRPr="00154391">
        <w:t>Technology Summary</w:t>
      </w:r>
      <w:bookmarkEnd w:id="11"/>
      <w:bookmarkEnd w:id="12"/>
      <w:bookmarkEnd w:id="13"/>
      <w:r w:rsidRPr="00154391">
        <w:t xml:space="preserve"> </w:t>
      </w:r>
    </w:p>
    <w:p w14:paraId="1F59EC0B" w14:textId="552EAD12" w:rsidR="008C1166" w:rsidRPr="009F4162" w:rsidDel="009B593C" w:rsidRDefault="008C1166" w:rsidP="008C1166">
      <w:pPr>
        <w:rPr>
          <w:szCs w:val="22"/>
        </w:rPr>
      </w:pPr>
      <w:bookmarkStart w:id="14" w:name="_Toc486490848"/>
      <w:bookmarkStart w:id="15" w:name="_Toc486580919"/>
      <w:r>
        <w:t>Th</w:t>
      </w:r>
      <w:r w:rsidR="00D914AE">
        <w:t>is</w:t>
      </w:r>
      <w:r>
        <w:t xml:space="preserve"> workpaper include</w:t>
      </w:r>
      <w:r w:rsidR="00D914AE">
        <w:t>s</w:t>
      </w:r>
      <w:r>
        <w:t xml:space="preserve"> two new </w:t>
      </w:r>
      <w:r w:rsidR="003E7B90">
        <w:t xml:space="preserve">duct optimization </w:t>
      </w:r>
      <w:r>
        <w:t xml:space="preserve">measures for </w:t>
      </w:r>
      <w:r w:rsidDel="008C1166">
        <w:t>mobil</w:t>
      </w:r>
      <w:r w:rsidR="00470172">
        <w:t>e</w:t>
      </w:r>
      <w:r w:rsidR="00AC2A6F">
        <w:t xml:space="preserve"> </w:t>
      </w:r>
      <w:r>
        <w:t>homes</w:t>
      </w:r>
      <w:r w:rsidR="00470172">
        <w:t xml:space="preserve"> (aka, manufactured homes)</w:t>
      </w:r>
      <w:r>
        <w:t xml:space="preserve">: </w:t>
      </w:r>
      <w:r w:rsidR="004F5BCA">
        <w:t>1</w:t>
      </w:r>
      <w:r>
        <w:t xml:space="preserve">) </w:t>
      </w:r>
      <w:r w:rsidR="004F5BCA">
        <w:t>R</w:t>
      </w:r>
      <w:r>
        <w:t xml:space="preserve">eturn </w:t>
      </w:r>
      <w:r w:rsidR="00431314">
        <w:rPr>
          <w:szCs w:val="22"/>
        </w:rPr>
        <w:t>D</w:t>
      </w:r>
      <w:r w:rsidRPr="009F4162">
        <w:rPr>
          <w:szCs w:val="22"/>
        </w:rPr>
        <w:t xml:space="preserve">uct </w:t>
      </w:r>
      <w:r w:rsidR="00431314">
        <w:rPr>
          <w:szCs w:val="22"/>
        </w:rPr>
        <w:t>R</w:t>
      </w:r>
      <w:r w:rsidRPr="009F4162">
        <w:rPr>
          <w:szCs w:val="22"/>
        </w:rPr>
        <w:t>etrofit</w:t>
      </w:r>
      <w:r w:rsidR="009F4162" w:rsidRPr="009F4162">
        <w:rPr>
          <w:szCs w:val="22"/>
        </w:rPr>
        <w:t xml:space="preserve"> (Statewide Measure Offering ID: SWSV013A)</w:t>
      </w:r>
      <w:r w:rsidR="004F5BCA" w:rsidRPr="009F4162">
        <w:rPr>
          <w:szCs w:val="22"/>
        </w:rPr>
        <w:t xml:space="preserve"> and 2) Crossover </w:t>
      </w:r>
      <w:r w:rsidR="00431314">
        <w:rPr>
          <w:szCs w:val="22"/>
        </w:rPr>
        <w:t>D</w:t>
      </w:r>
      <w:r w:rsidR="004F5BCA" w:rsidRPr="009F4162">
        <w:rPr>
          <w:szCs w:val="22"/>
        </w:rPr>
        <w:t xml:space="preserve">uct </w:t>
      </w:r>
      <w:r w:rsidR="00431314">
        <w:rPr>
          <w:szCs w:val="22"/>
        </w:rPr>
        <w:t>R</w:t>
      </w:r>
      <w:r w:rsidR="004F5BCA" w:rsidRPr="009F4162">
        <w:rPr>
          <w:szCs w:val="22"/>
        </w:rPr>
        <w:t>eplacement</w:t>
      </w:r>
      <w:r w:rsidR="009F4162">
        <w:rPr>
          <w:szCs w:val="22"/>
        </w:rPr>
        <w:t xml:space="preserve"> (SWSV</w:t>
      </w:r>
      <w:r w:rsidR="00431314">
        <w:rPr>
          <w:szCs w:val="22"/>
        </w:rPr>
        <w:t>013B)</w:t>
      </w:r>
      <w:r w:rsidR="004F5BCA" w:rsidRPr="009F4162">
        <w:rPr>
          <w:szCs w:val="22"/>
        </w:rPr>
        <w:t>.</w:t>
      </w:r>
    </w:p>
    <w:p w14:paraId="2FD2938D" w14:textId="77777777" w:rsidR="00006DA3" w:rsidRDefault="008C1166" w:rsidP="00006DA3">
      <w:pPr>
        <w:pStyle w:val="eTRMHeading4"/>
      </w:pPr>
      <w:r w:rsidRPr="009F4162">
        <w:t>Return Duct Retrofit</w:t>
      </w:r>
    </w:p>
    <w:p w14:paraId="09A6056D" w14:textId="103A0F61" w:rsidR="0007793F" w:rsidRDefault="0007793F" w:rsidP="00006DA3">
      <w:pPr>
        <w:keepNext/>
        <w:spacing w:before="0"/>
      </w:pPr>
      <w:r w:rsidRPr="009F4162">
        <w:rPr>
          <w:szCs w:val="22"/>
        </w:rPr>
        <w:t>Consider</w:t>
      </w:r>
      <w:r w:rsidR="008C1166" w:rsidRPr="009F4162">
        <w:rPr>
          <w:szCs w:val="22"/>
        </w:rPr>
        <w:t xml:space="preserve"> the scenario where there is an existing open belly return with a supply system in the ceiling. The open belly return is a non-ducted return air system with high leakage. </w:t>
      </w:r>
      <w:r w:rsidR="00D04E72" w:rsidRPr="009F4162">
        <w:rPr>
          <w:szCs w:val="22"/>
        </w:rPr>
        <w:t xml:space="preserve">Return </w:t>
      </w:r>
      <w:r w:rsidR="59D3DBF9" w:rsidRPr="009F4162">
        <w:rPr>
          <w:szCs w:val="22"/>
        </w:rPr>
        <w:t>grills</w:t>
      </w:r>
      <w:r w:rsidR="00D04E72" w:rsidRPr="009F4162">
        <w:rPr>
          <w:szCs w:val="22"/>
        </w:rPr>
        <w:t xml:space="preserve"> in the floor</w:t>
      </w:r>
      <w:r w:rsidR="00F51FBF" w:rsidRPr="009F4162">
        <w:rPr>
          <w:szCs w:val="22"/>
        </w:rPr>
        <w:t xml:space="preserve"> allow a </w:t>
      </w:r>
      <w:r w:rsidR="212DA189" w:rsidRPr="009F4162">
        <w:rPr>
          <w:szCs w:val="22"/>
        </w:rPr>
        <w:t>path</w:t>
      </w:r>
      <w:r w:rsidR="00F51FBF" w:rsidRPr="009F4162">
        <w:rPr>
          <w:szCs w:val="22"/>
        </w:rPr>
        <w:t>way for air to be drawn</w:t>
      </w:r>
      <w:r w:rsidR="00F51FBF">
        <w:t xml:space="preserve"> down into the space between the </w:t>
      </w:r>
      <w:r w:rsidR="00846697">
        <w:t xml:space="preserve">subfloor and the </w:t>
      </w:r>
      <w:r w:rsidR="00F51FBF">
        <w:t>belly/road barrier</w:t>
      </w:r>
      <w:r w:rsidR="2A826533">
        <w:t>, and from there on</w:t>
      </w:r>
      <w:r w:rsidR="00F51FBF">
        <w:t xml:space="preserve"> into the return side of the air handler</w:t>
      </w:r>
      <w:r w:rsidR="444435FD">
        <w:t>/furnace</w:t>
      </w:r>
      <w:r w:rsidR="005006A9">
        <w:t xml:space="preserve">. </w:t>
      </w:r>
      <w:r w:rsidR="008C1166">
        <w:t>This measure</w:t>
      </w:r>
      <w:r w:rsidR="005C5051">
        <w:t xml:space="preserve"> </w:t>
      </w:r>
      <w:r w:rsidR="777ECA69">
        <w:t xml:space="preserve">requires the installation of </w:t>
      </w:r>
      <w:r w:rsidR="008C1166">
        <w:t>a hard metal duct return</w:t>
      </w:r>
      <w:r w:rsidR="5684F8F4">
        <w:t>,</w:t>
      </w:r>
      <w:r w:rsidR="008C1166">
        <w:t xml:space="preserve"> directly at the return air </w:t>
      </w:r>
      <w:r w:rsidR="00AB696B">
        <w:t>plenum</w:t>
      </w:r>
      <w:r w:rsidR="00BC262B">
        <w:t xml:space="preserve"> and ducted to the main body of the living space</w:t>
      </w:r>
      <w:r w:rsidR="00AB696B">
        <w:t>. If</w:t>
      </w:r>
      <w:r w:rsidR="008C1166">
        <w:t xml:space="preserve"> a hard metal direct duct return is not able to be installed due to constraints at the residence, then a new insulated ducted return is installed in the crawlspace of the </w:t>
      </w:r>
      <w:r>
        <w:t>mobile</w:t>
      </w:r>
      <w:r w:rsidR="00877A5A">
        <w:t xml:space="preserve"> </w:t>
      </w:r>
      <w:r w:rsidR="008C1166">
        <w:t>home.</w:t>
      </w:r>
    </w:p>
    <w:p w14:paraId="010F39AE" w14:textId="64FB1578" w:rsidR="0007793F" w:rsidRDefault="0007793F" w:rsidP="0007793F">
      <w:pPr>
        <w:pStyle w:val="Caption"/>
      </w:pPr>
      <w:r>
        <w:t xml:space="preserve">Figure </w:t>
      </w:r>
      <w:fldSimple w:instr=" SEQ Figure \* ARABIC ">
        <w:r w:rsidR="00E860A8">
          <w:rPr>
            <w:noProof/>
          </w:rPr>
          <w:t>1</w:t>
        </w:r>
      </w:fldSimple>
    </w:p>
    <w:p w14:paraId="31423C7C" w14:textId="2FCDEA66" w:rsidR="0007793F" w:rsidRDefault="00C92BC5" w:rsidP="0007793F">
      <w:pPr>
        <w:keepNext/>
      </w:pPr>
      <w:r>
        <w:rPr>
          <w:noProof/>
        </w:rPr>
        <w:drawing>
          <wp:inline distT="0" distB="0" distL="0" distR="0" wp14:anchorId="07A2630C" wp14:editId="03265DF1">
            <wp:extent cx="4572000" cy="2828925"/>
            <wp:effectExtent l="0" t="0" r="0" b="0"/>
            <wp:docPr id="224116264" name="Picture 123491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4915593"/>
                    <pic:cNvPicPr/>
                  </pic:nvPicPr>
                  <pic:blipFill>
                    <a:blip r:embed="rId15">
                      <a:extLst>
                        <a:ext uri="{28A0092B-C50C-407E-A947-70E740481C1C}">
                          <a14:useLocalDpi xmlns:a14="http://schemas.microsoft.com/office/drawing/2010/main" val="0"/>
                        </a:ext>
                      </a:extLst>
                    </a:blip>
                    <a:stretch>
                      <a:fillRect/>
                    </a:stretch>
                  </pic:blipFill>
                  <pic:spPr>
                    <a:xfrm>
                      <a:off x="0" y="0"/>
                      <a:ext cx="4572000" cy="2828925"/>
                    </a:xfrm>
                    <a:prstGeom prst="rect">
                      <a:avLst/>
                    </a:prstGeom>
                  </pic:spPr>
                </pic:pic>
              </a:graphicData>
            </a:graphic>
          </wp:inline>
        </w:drawing>
      </w:r>
    </w:p>
    <w:p w14:paraId="53AA078A" w14:textId="2AD1B5FA" w:rsidR="004F5BCA" w:rsidRDefault="0007793F" w:rsidP="72D0314C">
      <w:pPr>
        <w:rPr>
          <w:noProof/>
        </w:rPr>
      </w:pPr>
      <w:r>
        <w:t xml:space="preserve">Source: </w:t>
      </w:r>
      <w:hyperlink r:id="rId16" w:history="1">
        <w:r w:rsidRPr="00CD6B84">
          <w:rPr>
            <w:rStyle w:val="Hyperlink"/>
            <w:rFonts w:eastAsia="Calibri Light" w:cs="Calibri Light"/>
            <w:szCs w:val="22"/>
          </w:rPr>
          <w:t>http://homeenergyplus.wi.gov/docview.asp?docid=27556&amp;locid=25</w:t>
        </w:r>
      </w:hyperlink>
      <w:r w:rsidR="00F9499C">
        <w:rPr>
          <w:rStyle w:val="Hyperlink"/>
          <w:rFonts w:eastAsia="Calibri Light" w:cs="Calibri Light"/>
          <w:szCs w:val="22"/>
        </w:rPr>
        <w:t xml:space="preserve"> (site accessed on 11/13/20)</w:t>
      </w:r>
    </w:p>
    <w:p w14:paraId="61DBDFDF" w14:textId="0E8F2AC1" w:rsidR="004F5BCA" w:rsidRDefault="004F5BCA" w:rsidP="008C1166">
      <w:pPr>
        <w:rPr>
          <w:noProof/>
        </w:rPr>
      </w:pPr>
    </w:p>
    <w:p w14:paraId="338E16F3" w14:textId="77777777" w:rsidR="00006DA3" w:rsidRDefault="004F5BCA" w:rsidP="00006DA3">
      <w:pPr>
        <w:pStyle w:val="eTRMHeading4"/>
      </w:pPr>
      <w:r>
        <w:t>Crossover Duct Replacement</w:t>
      </w:r>
    </w:p>
    <w:p w14:paraId="0311105A" w14:textId="2AB66D5B" w:rsidR="004F5BCA" w:rsidRDefault="004F5BCA" w:rsidP="0007793F">
      <w:pPr>
        <w:spacing w:before="0" w:after="0" w:line="240" w:lineRule="auto"/>
        <w:rPr>
          <w:noProof/>
        </w:rPr>
      </w:pPr>
      <w:r>
        <w:t xml:space="preserve">The crossover duct is </w:t>
      </w:r>
      <w:r w:rsidR="0007793F">
        <w:t>a common feature in</w:t>
      </w:r>
      <w:r>
        <w:t xml:space="preserve"> double-wide </w:t>
      </w:r>
      <w:r w:rsidR="0007793F">
        <w:t>mobile</w:t>
      </w:r>
      <w:r>
        <w:t xml:space="preserve"> home</w:t>
      </w:r>
      <w:r w:rsidR="0007793F">
        <w:t>s to connect the two halves (Figure 2)</w:t>
      </w:r>
      <w:r>
        <w:t xml:space="preserve">. If a crossover duct is installed poorly or not </w:t>
      </w:r>
      <w:r w:rsidRPr="005C0D5D">
        <w:t>connected</w:t>
      </w:r>
      <w:r>
        <w:t xml:space="preserve"> properly it can fall off the duct system and become irreparably damaged. Often the crossover duct is made of flexible ductwork with a fragile inner liner that is impossible to repair and is easily damaged by vermin. This measure replaces a whole section </w:t>
      </w:r>
      <w:r>
        <w:lastRenderedPageBreak/>
        <w:t xml:space="preserve">of the damaged or missing crossover duct. This measure is </w:t>
      </w:r>
      <w:r w:rsidR="0007793F">
        <w:t>separate from statewide</w:t>
      </w:r>
      <w:r>
        <w:t xml:space="preserve"> duct seal measures because it requires replacement of actual ducting and not just sealing of leaks.</w:t>
      </w:r>
    </w:p>
    <w:p w14:paraId="5FC6D708" w14:textId="612D25E3" w:rsidR="0007793F" w:rsidRDefault="0007793F" w:rsidP="0007793F">
      <w:pPr>
        <w:pStyle w:val="Caption"/>
      </w:pPr>
      <w:r>
        <w:t xml:space="preserve">Figure </w:t>
      </w:r>
      <w:fldSimple w:instr=" SEQ Figure \* ARABIC ">
        <w:r w:rsidR="00E860A8">
          <w:rPr>
            <w:noProof/>
          </w:rPr>
          <w:t>2</w:t>
        </w:r>
      </w:fldSimple>
    </w:p>
    <w:p w14:paraId="1762C123" w14:textId="77777777" w:rsidR="0007793F" w:rsidRDefault="004F5BCA" w:rsidP="008C1166">
      <w:r>
        <w:rPr>
          <w:noProof/>
        </w:rPr>
        <w:drawing>
          <wp:inline distT="0" distB="0" distL="0" distR="0" wp14:anchorId="57AE3399" wp14:editId="53BAA06E">
            <wp:extent cx="3876675" cy="1590675"/>
            <wp:effectExtent l="0" t="0" r="9525" b="9525"/>
            <wp:docPr id="239696624" name="Picture 114818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818273"/>
                    <pic:cNvPicPr/>
                  </pic:nvPicPr>
                  <pic:blipFill rotWithShape="1">
                    <a:blip r:embed="rId17">
                      <a:extLst>
                        <a:ext uri="{28A0092B-C50C-407E-A947-70E740481C1C}">
                          <a14:useLocalDpi xmlns:a14="http://schemas.microsoft.com/office/drawing/2010/main" val="0"/>
                        </a:ext>
                      </a:extLst>
                    </a:blip>
                    <a:srcRect t="7735"/>
                    <a:stretch/>
                  </pic:blipFill>
                  <pic:spPr bwMode="auto">
                    <a:xfrm>
                      <a:off x="0" y="0"/>
                      <a:ext cx="3876675" cy="1590675"/>
                    </a:xfrm>
                    <a:prstGeom prst="rect">
                      <a:avLst/>
                    </a:prstGeom>
                    <a:ln>
                      <a:noFill/>
                    </a:ln>
                    <a:extLst>
                      <a:ext uri="{53640926-AAD7-44D8-BBD7-CCE9431645EC}">
                        <a14:shadowObscured xmlns:a14="http://schemas.microsoft.com/office/drawing/2010/main"/>
                      </a:ext>
                    </a:extLst>
                  </pic:spPr>
                </pic:pic>
              </a:graphicData>
            </a:graphic>
          </wp:inline>
        </w:drawing>
      </w:r>
    </w:p>
    <w:p w14:paraId="5F2CEB8B" w14:textId="25C4509B" w:rsidR="001D0039" w:rsidRDefault="0007793F" w:rsidP="008C1166">
      <w:r>
        <w:t xml:space="preserve">Source: </w:t>
      </w:r>
      <w:hyperlink r:id="rId18" w:history="1">
        <w:r w:rsidRPr="00CD6B84">
          <w:rPr>
            <w:rStyle w:val="Hyperlink"/>
            <w:rFonts w:eastAsia="Calibri Light" w:cs="Calibri Light"/>
            <w:szCs w:val="22"/>
          </w:rPr>
          <w:t>https://www.law.cornell.edu/cfr/text/24/3285.606</w:t>
        </w:r>
      </w:hyperlink>
      <w:r w:rsidR="00F9499C">
        <w:rPr>
          <w:rStyle w:val="Hyperlink"/>
          <w:rFonts w:eastAsia="Calibri Light" w:cs="Calibri Light"/>
          <w:szCs w:val="22"/>
        </w:rPr>
        <w:t xml:space="preserve"> (site accessed on 11/13/20)</w:t>
      </w:r>
    </w:p>
    <w:p w14:paraId="56D58B60" w14:textId="77777777" w:rsidR="00DB7B06" w:rsidRPr="00401C43" w:rsidRDefault="00DB7B06" w:rsidP="008C1166"/>
    <w:p w14:paraId="5AF18021" w14:textId="47CE69A8" w:rsidR="007D230B" w:rsidRPr="004B06E3" w:rsidRDefault="007D230B" w:rsidP="0078138C">
      <w:pPr>
        <w:pStyle w:val="eTRMHeading3"/>
      </w:pPr>
      <w:bookmarkStart w:id="16" w:name="_Toc67494034"/>
      <w:r w:rsidRPr="004B06E3">
        <w:t>Measure Case Description</w:t>
      </w:r>
      <w:bookmarkEnd w:id="14"/>
      <w:bookmarkEnd w:id="15"/>
      <w:bookmarkEnd w:id="16"/>
    </w:p>
    <w:p w14:paraId="59551D12" w14:textId="3F97D80A" w:rsidR="001D0039" w:rsidRPr="00401C43" w:rsidRDefault="00816AA9" w:rsidP="001D0039">
      <w:r>
        <w:t xml:space="preserve">The measures in this workpaper </w:t>
      </w:r>
      <w:r w:rsidR="00520DBE">
        <w:t xml:space="preserve">are defined as duct optimization to reduce total leakage from </w:t>
      </w:r>
      <w:r w:rsidR="00617FC8">
        <w:t xml:space="preserve">a high as-found leakage rate to a low </w:t>
      </w:r>
      <w:r w:rsidR="00384CD0">
        <w:t xml:space="preserve">as-left </w:t>
      </w:r>
      <w:r w:rsidR="00617FC8">
        <w:t>leakage rate</w:t>
      </w:r>
      <w:r w:rsidR="00DB2D9B">
        <w:t xml:space="preserve">, as specified by residence type (double-wide </w:t>
      </w:r>
      <w:r w:rsidR="0007793F">
        <w:t>mobile</w:t>
      </w:r>
      <w:r w:rsidR="00DB2D9B">
        <w:t xml:space="preserve"> home</w:t>
      </w:r>
      <w:r w:rsidR="00581834">
        <w:t xml:space="preserve"> - DMo</w:t>
      </w:r>
      <w:r w:rsidR="00DB2D9B">
        <w:t>) and measure</w:t>
      </w:r>
      <w:r w:rsidR="00BF536D">
        <w:t xml:space="preserve"> description</w:t>
      </w:r>
      <w:r w:rsidR="00DB2D9B">
        <w:t>.</w:t>
      </w:r>
      <w:r w:rsidR="00B46CA1">
        <w:t xml:space="preserve"> The energy and demand impacts of th</w:t>
      </w:r>
      <w:r w:rsidR="00006DA3">
        <w:t>ese</w:t>
      </w:r>
      <w:r w:rsidR="00B46CA1">
        <w:t xml:space="preserve"> measure</w:t>
      </w:r>
      <w:r w:rsidR="00006DA3">
        <w:t>s</w:t>
      </w:r>
      <w:r w:rsidR="00B46CA1">
        <w:t xml:space="preserve"> also vary by climate zone.</w:t>
      </w:r>
    </w:p>
    <w:p w14:paraId="0DCBEE3C" w14:textId="6167EBC6" w:rsidR="002942B0" w:rsidRDefault="002942B0" w:rsidP="001D0039">
      <w:pPr>
        <w:pStyle w:val="Caption"/>
      </w:pPr>
      <w:r>
        <w:t xml:space="preserve">Measure Case Specification </w:t>
      </w:r>
    </w:p>
    <w:tbl>
      <w:tblPr>
        <w:tblW w:w="99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890"/>
        <w:gridCol w:w="4500"/>
        <w:gridCol w:w="1620"/>
        <w:gridCol w:w="1890"/>
      </w:tblGrid>
      <w:tr w:rsidR="00E10CDB" w14:paraId="6539616C" w14:textId="77777777" w:rsidTr="005B3921">
        <w:trPr>
          <w:trHeight w:val="156"/>
          <w:tblHeader/>
        </w:trPr>
        <w:tc>
          <w:tcPr>
            <w:tcW w:w="1890" w:type="dxa"/>
            <w:shd w:val="clear" w:color="auto" w:fill="F2F2F2" w:themeFill="background1" w:themeFillShade="F2"/>
          </w:tcPr>
          <w:p w14:paraId="012C23ED" w14:textId="72A2913C" w:rsidR="00E10CDB" w:rsidRPr="00DB7B06" w:rsidRDefault="00E10CDB" w:rsidP="43412CC0">
            <w:pPr>
              <w:keepNext/>
              <w:keepLines/>
              <w:spacing w:before="20" w:after="20"/>
              <w:rPr>
                <w:b/>
                <w:sz w:val="20"/>
                <w:szCs w:val="20"/>
              </w:rPr>
            </w:pPr>
            <w:r>
              <w:rPr>
                <w:b/>
                <w:sz w:val="20"/>
                <w:szCs w:val="20"/>
              </w:rPr>
              <w:t>Statewide Measure Offering ID</w:t>
            </w:r>
          </w:p>
        </w:tc>
        <w:tc>
          <w:tcPr>
            <w:tcW w:w="4500" w:type="dxa"/>
            <w:shd w:val="clear" w:color="auto" w:fill="F2F2F2" w:themeFill="background1" w:themeFillShade="F2"/>
          </w:tcPr>
          <w:p w14:paraId="637F33A2" w14:textId="182FE9E1" w:rsidR="00E10CDB" w:rsidRPr="00154391" w:rsidRDefault="00E10CDB" w:rsidP="43412CC0">
            <w:pPr>
              <w:keepNext/>
              <w:keepLines/>
              <w:spacing w:before="20" w:after="20"/>
              <w:rPr>
                <w:b/>
                <w:sz w:val="20"/>
                <w:szCs w:val="20"/>
              </w:rPr>
            </w:pPr>
            <w:bookmarkStart w:id="17" w:name="_Hlk41906730"/>
            <w:r w:rsidRPr="00DB7B06">
              <w:rPr>
                <w:b/>
                <w:sz w:val="20"/>
                <w:szCs w:val="20"/>
              </w:rPr>
              <w:t>Measure Description</w:t>
            </w:r>
          </w:p>
        </w:tc>
        <w:tc>
          <w:tcPr>
            <w:tcW w:w="1620" w:type="dxa"/>
            <w:shd w:val="clear" w:color="auto" w:fill="F2F2F2" w:themeFill="background1" w:themeFillShade="F2"/>
          </w:tcPr>
          <w:p w14:paraId="032A95B8" w14:textId="5D071184" w:rsidR="00E10CDB" w:rsidRPr="00154391" w:rsidRDefault="00E10CDB" w:rsidP="00DB7B06">
            <w:pPr>
              <w:keepNext/>
              <w:keepLines/>
              <w:spacing w:before="20" w:after="20"/>
              <w:jc w:val="center"/>
              <w:rPr>
                <w:b/>
                <w:sz w:val="20"/>
                <w:szCs w:val="20"/>
              </w:rPr>
            </w:pPr>
            <w:r>
              <w:rPr>
                <w:b/>
                <w:sz w:val="20"/>
                <w:szCs w:val="20"/>
              </w:rPr>
              <w:t>Residence Type</w:t>
            </w:r>
          </w:p>
        </w:tc>
        <w:tc>
          <w:tcPr>
            <w:tcW w:w="1890" w:type="dxa"/>
            <w:shd w:val="clear" w:color="auto" w:fill="F2F2F2" w:themeFill="background1" w:themeFillShade="F2"/>
          </w:tcPr>
          <w:p w14:paraId="134550CC" w14:textId="0C0FBCA1" w:rsidR="00E10CDB" w:rsidRDefault="00E10CDB" w:rsidP="00DB7B06">
            <w:pPr>
              <w:keepNext/>
              <w:keepLines/>
              <w:spacing w:before="20" w:after="20"/>
              <w:jc w:val="center"/>
              <w:rPr>
                <w:b/>
                <w:sz w:val="20"/>
                <w:szCs w:val="20"/>
              </w:rPr>
            </w:pPr>
            <w:r>
              <w:rPr>
                <w:b/>
                <w:sz w:val="20"/>
                <w:szCs w:val="20"/>
              </w:rPr>
              <w:t>Measure Case Leakage Rate</w:t>
            </w:r>
          </w:p>
        </w:tc>
      </w:tr>
      <w:tr w:rsidR="00E10CDB" w14:paraId="7A97749B" w14:textId="77777777" w:rsidTr="005B3921">
        <w:trPr>
          <w:trHeight w:val="260"/>
        </w:trPr>
        <w:tc>
          <w:tcPr>
            <w:tcW w:w="1890" w:type="dxa"/>
          </w:tcPr>
          <w:p w14:paraId="6B2A2AD4" w14:textId="22CDCF4C" w:rsidR="00E10CDB" w:rsidRPr="00DB7B06" w:rsidRDefault="00E10CDB" w:rsidP="00626809">
            <w:pPr>
              <w:spacing w:before="20" w:after="20"/>
              <w:rPr>
                <w:sz w:val="20"/>
                <w:szCs w:val="20"/>
              </w:rPr>
            </w:pPr>
            <w:r w:rsidRPr="00E10CDB">
              <w:rPr>
                <w:sz w:val="20"/>
                <w:szCs w:val="20"/>
              </w:rPr>
              <w:t>SWSV013A</w:t>
            </w:r>
          </w:p>
        </w:tc>
        <w:tc>
          <w:tcPr>
            <w:tcW w:w="4500" w:type="dxa"/>
            <w:shd w:val="clear" w:color="auto" w:fill="auto"/>
            <w:vAlign w:val="center"/>
          </w:tcPr>
          <w:p w14:paraId="655B58BB" w14:textId="1D6FF581" w:rsidR="00E10CDB" w:rsidRPr="00FB030E" w:rsidRDefault="00E10CDB" w:rsidP="00626809">
            <w:pPr>
              <w:spacing w:before="20" w:after="20"/>
              <w:rPr>
                <w:sz w:val="20"/>
                <w:szCs w:val="20"/>
              </w:rPr>
            </w:pPr>
            <w:r w:rsidRPr="00DB7B06">
              <w:rPr>
                <w:sz w:val="20"/>
                <w:szCs w:val="20"/>
              </w:rPr>
              <w:t xml:space="preserve">Return </w:t>
            </w:r>
            <w:r>
              <w:rPr>
                <w:sz w:val="20"/>
                <w:szCs w:val="20"/>
              </w:rPr>
              <w:t>D</w:t>
            </w:r>
            <w:r w:rsidRPr="00DB7B06">
              <w:rPr>
                <w:sz w:val="20"/>
                <w:szCs w:val="20"/>
              </w:rPr>
              <w:t xml:space="preserve">uct </w:t>
            </w:r>
            <w:r>
              <w:rPr>
                <w:sz w:val="20"/>
                <w:szCs w:val="20"/>
              </w:rPr>
              <w:t>R</w:t>
            </w:r>
            <w:r w:rsidRPr="00DB7B06">
              <w:rPr>
                <w:sz w:val="20"/>
                <w:szCs w:val="20"/>
              </w:rPr>
              <w:t>etrofit</w:t>
            </w:r>
          </w:p>
        </w:tc>
        <w:tc>
          <w:tcPr>
            <w:tcW w:w="1620" w:type="dxa"/>
            <w:vAlign w:val="center"/>
          </w:tcPr>
          <w:p w14:paraId="0AD0A37E" w14:textId="7BDAEFE9" w:rsidR="00E10CDB" w:rsidRPr="00FB030E" w:rsidRDefault="00581834" w:rsidP="00626809">
            <w:pPr>
              <w:spacing w:before="20" w:after="20"/>
              <w:jc w:val="center"/>
              <w:rPr>
                <w:sz w:val="20"/>
                <w:szCs w:val="20"/>
              </w:rPr>
            </w:pPr>
            <w:r>
              <w:rPr>
                <w:sz w:val="20"/>
                <w:szCs w:val="20"/>
              </w:rPr>
              <w:t>DMo</w:t>
            </w:r>
          </w:p>
        </w:tc>
        <w:tc>
          <w:tcPr>
            <w:tcW w:w="1890" w:type="dxa"/>
            <w:vAlign w:val="center"/>
          </w:tcPr>
          <w:p w14:paraId="36E49791" w14:textId="41A7E47B" w:rsidR="00E10CDB" w:rsidRDefault="00E10CDB" w:rsidP="00626809">
            <w:pPr>
              <w:spacing w:before="20" w:after="20"/>
              <w:jc w:val="center"/>
              <w:rPr>
                <w:sz w:val="20"/>
                <w:szCs w:val="20"/>
              </w:rPr>
            </w:pPr>
            <w:r>
              <w:rPr>
                <w:sz w:val="20"/>
                <w:szCs w:val="20"/>
              </w:rPr>
              <w:t>15%</w:t>
            </w:r>
          </w:p>
        </w:tc>
      </w:tr>
      <w:tr w:rsidR="00E10CDB" w:rsidRPr="00FB030E" w14:paraId="559A7E7C" w14:textId="77777777" w:rsidTr="005B3921">
        <w:trPr>
          <w:trHeight w:val="296"/>
        </w:trPr>
        <w:tc>
          <w:tcPr>
            <w:tcW w:w="1890" w:type="dxa"/>
          </w:tcPr>
          <w:p w14:paraId="06E66790" w14:textId="6AE7178F" w:rsidR="00E10CDB" w:rsidRPr="00DB7B06" w:rsidRDefault="00E10CDB" w:rsidP="00626809">
            <w:pPr>
              <w:spacing w:before="20" w:after="20"/>
              <w:rPr>
                <w:sz w:val="20"/>
                <w:szCs w:val="20"/>
              </w:rPr>
            </w:pPr>
            <w:r w:rsidRPr="00E10CDB">
              <w:rPr>
                <w:sz w:val="20"/>
                <w:szCs w:val="20"/>
              </w:rPr>
              <w:t>SWSV013</w:t>
            </w:r>
            <w:r>
              <w:rPr>
                <w:sz w:val="20"/>
                <w:szCs w:val="20"/>
              </w:rPr>
              <w:t>B</w:t>
            </w:r>
          </w:p>
        </w:tc>
        <w:tc>
          <w:tcPr>
            <w:tcW w:w="4500" w:type="dxa"/>
            <w:shd w:val="clear" w:color="auto" w:fill="auto"/>
            <w:vAlign w:val="center"/>
          </w:tcPr>
          <w:p w14:paraId="1F6163D5" w14:textId="4E434CCE" w:rsidR="00E10CDB" w:rsidRPr="00FB030E" w:rsidRDefault="00E10CDB" w:rsidP="00626809">
            <w:pPr>
              <w:spacing w:before="20" w:after="20"/>
              <w:rPr>
                <w:sz w:val="20"/>
                <w:szCs w:val="20"/>
              </w:rPr>
            </w:pPr>
            <w:r w:rsidRPr="00DB7B06">
              <w:rPr>
                <w:sz w:val="20"/>
                <w:szCs w:val="20"/>
              </w:rPr>
              <w:t xml:space="preserve">Crossover </w:t>
            </w:r>
            <w:r>
              <w:rPr>
                <w:sz w:val="20"/>
                <w:szCs w:val="20"/>
              </w:rPr>
              <w:t>D</w:t>
            </w:r>
            <w:r w:rsidRPr="00DB7B06">
              <w:rPr>
                <w:sz w:val="20"/>
                <w:szCs w:val="20"/>
              </w:rPr>
              <w:t>uc</w:t>
            </w:r>
            <w:r>
              <w:rPr>
                <w:sz w:val="20"/>
                <w:szCs w:val="20"/>
              </w:rPr>
              <w:t>t R</w:t>
            </w:r>
            <w:r w:rsidRPr="00DB7B06">
              <w:rPr>
                <w:sz w:val="20"/>
                <w:szCs w:val="20"/>
              </w:rPr>
              <w:t>eplacement</w:t>
            </w:r>
          </w:p>
        </w:tc>
        <w:tc>
          <w:tcPr>
            <w:tcW w:w="1620" w:type="dxa"/>
            <w:vAlign w:val="center"/>
          </w:tcPr>
          <w:p w14:paraId="4980FD29" w14:textId="208E91E4" w:rsidR="00E10CDB" w:rsidRPr="00FB030E" w:rsidRDefault="00581834" w:rsidP="00626809">
            <w:pPr>
              <w:spacing w:before="20" w:after="20"/>
              <w:jc w:val="center"/>
              <w:rPr>
                <w:sz w:val="20"/>
                <w:szCs w:val="20"/>
              </w:rPr>
            </w:pPr>
            <w:r>
              <w:rPr>
                <w:sz w:val="20"/>
                <w:szCs w:val="20"/>
              </w:rPr>
              <w:t>DMo</w:t>
            </w:r>
          </w:p>
        </w:tc>
        <w:tc>
          <w:tcPr>
            <w:tcW w:w="1890" w:type="dxa"/>
            <w:vAlign w:val="center"/>
          </w:tcPr>
          <w:p w14:paraId="045896B6" w14:textId="68D96A48" w:rsidR="00E10CDB" w:rsidRPr="00FB030E" w:rsidRDefault="00E10CDB" w:rsidP="00626809">
            <w:pPr>
              <w:spacing w:before="20" w:after="20"/>
              <w:jc w:val="center"/>
              <w:rPr>
                <w:sz w:val="20"/>
                <w:szCs w:val="20"/>
              </w:rPr>
            </w:pPr>
            <w:r>
              <w:rPr>
                <w:sz w:val="20"/>
                <w:szCs w:val="20"/>
              </w:rPr>
              <w:t>15%</w:t>
            </w:r>
          </w:p>
        </w:tc>
      </w:tr>
      <w:tr w:rsidR="0007135C" w:rsidRPr="00FB030E" w14:paraId="1FAC6567" w14:textId="77777777" w:rsidTr="005B3921">
        <w:trPr>
          <w:trHeight w:val="296"/>
        </w:trPr>
        <w:tc>
          <w:tcPr>
            <w:tcW w:w="1890" w:type="dxa"/>
          </w:tcPr>
          <w:p w14:paraId="11F9B72F" w14:textId="6CB647AA" w:rsidR="0007135C" w:rsidRPr="00E10CDB" w:rsidRDefault="0007135C" w:rsidP="0007135C">
            <w:pPr>
              <w:spacing w:before="20" w:after="20"/>
              <w:rPr>
                <w:sz w:val="20"/>
                <w:szCs w:val="20"/>
              </w:rPr>
            </w:pPr>
            <w:bookmarkStart w:id="18" w:name="_Hlk59617132"/>
            <w:r w:rsidRPr="00E10CDB">
              <w:rPr>
                <w:sz w:val="20"/>
                <w:szCs w:val="20"/>
              </w:rPr>
              <w:t>SWSV013</w:t>
            </w:r>
            <w:r>
              <w:rPr>
                <w:sz w:val="20"/>
                <w:szCs w:val="20"/>
              </w:rPr>
              <w:t>C</w:t>
            </w:r>
          </w:p>
        </w:tc>
        <w:tc>
          <w:tcPr>
            <w:tcW w:w="4500" w:type="dxa"/>
            <w:shd w:val="clear" w:color="auto" w:fill="auto"/>
            <w:vAlign w:val="center"/>
          </w:tcPr>
          <w:p w14:paraId="33F54038" w14:textId="71F80898" w:rsidR="0007135C" w:rsidRPr="00DB7B06" w:rsidRDefault="0007135C" w:rsidP="0007135C">
            <w:pPr>
              <w:spacing w:before="20" w:after="20"/>
              <w:rPr>
                <w:sz w:val="20"/>
                <w:szCs w:val="20"/>
              </w:rPr>
            </w:pPr>
            <w:r w:rsidRPr="00DB7B06">
              <w:rPr>
                <w:sz w:val="20"/>
                <w:szCs w:val="20"/>
              </w:rPr>
              <w:t xml:space="preserve">Return </w:t>
            </w:r>
            <w:r>
              <w:rPr>
                <w:sz w:val="20"/>
                <w:szCs w:val="20"/>
              </w:rPr>
              <w:t>D</w:t>
            </w:r>
            <w:r w:rsidRPr="00DB7B06">
              <w:rPr>
                <w:sz w:val="20"/>
                <w:szCs w:val="20"/>
              </w:rPr>
              <w:t xml:space="preserve">uct </w:t>
            </w:r>
            <w:r>
              <w:rPr>
                <w:sz w:val="20"/>
                <w:szCs w:val="20"/>
              </w:rPr>
              <w:t>R</w:t>
            </w:r>
            <w:r w:rsidRPr="00DB7B06">
              <w:rPr>
                <w:sz w:val="20"/>
                <w:szCs w:val="20"/>
              </w:rPr>
              <w:t>etrofit</w:t>
            </w:r>
            <w:r w:rsidR="004B3A0A">
              <w:rPr>
                <w:sz w:val="20"/>
                <w:szCs w:val="20"/>
              </w:rPr>
              <w:t xml:space="preserve"> for rNCGF System Only</w:t>
            </w:r>
          </w:p>
        </w:tc>
        <w:tc>
          <w:tcPr>
            <w:tcW w:w="1620" w:type="dxa"/>
            <w:vAlign w:val="center"/>
          </w:tcPr>
          <w:p w14:paraId="62AD7C62" w14:textId="462055AC" w:rsidR="0007135C" w:rsidRDefault="0007135C" w:rsidP="0007135C">
            <w:pPr>
              <w:spacing w:before="20" w:after="20"/>
              <w:jc w:val="center"/>
              <w:rPr>
                <w:sz w:val="20"/>
                <w:szCs w:val="20"/>
              </w:rPr>
            </w:pPr>
            <w:r>
              <w:rPr>
                <w:sz w:val="20"/>
                <w:szCs w:val="20"/>
              </w:rPr>
              <w:t>DMo</w:t>
            </w:r>
          </w:p>
        </w:tc>
        <w:tc>
          <w:tcPr>
            <w:tcW w:w="1890" w:type="dxa"/>
            <w:vAlign w:val="center"/>
          </w:tcPr>
          <w:p w14:paraId="3489A5DA" w14:textId="61838B36" w:rsidR="0007135C" w:rsidRDefault="0007135C" w:rsidP="0007135C">
            <w:pPr>
              <w:spacing w:before="20" w:after="20"/>
              <w:jc w:val="center"/>
              <w:rPr>
                <w:sz w:val="20"/>
                <w:szCs w:val="20"/>
              </w:rPr>
            </w:pPr>
            <w:r>
              <w:rPr>
                <w:sz w:val="20"/>
                <w:szCs w:val="20"/>
              </w:rPr>
              <w:t>15%</w:t>
            </w:r>
          </w:p>
        </w:tc>
      </w:tr>
      <w:tr w:rsidR="0007135C" w:rsidRPr="00FB030E" w14:paraId="1123D21C" w14:textId="77777777" w:rsidTr="005B3921">
        <w:trPr>
          <w:trHeight w:val="296"/>
        </w:trPr>
        <w:tc>
          <w:tcPr>
            <w:tcW w:w="1890" w:type="dxa"/>
          </w:tcPr>
          <w:p w14:paraId="33BAE5A7" w14:textId="1193E69B" w:rsidR="0007135C" w:rsidRPr="00E10CDB" w:rsidRDefault="0007135C" w:rsidP="0007135C">
            <w:pPr>
              <w:spacing w:before="20" w:after="20"/>
              <w:rPr>
                <w:sz w:val="20"/>
                <w:szCs w:val="20"/>
              </w:rPr>
            </w:pPr>
            <w:r w:rsidRPr="00E10CDB">
              <w:rPr>
                <w:sz w:val="20"/>
                <w:szCs w:val="20"/>
              </w:rPr>
              <w:t>SWSV013</w:t>
            </w:r>
            <w:r>
              <w:rPr>
                <w:sz w:val="20"/>
                <w:szCs w:val="20"/>
              </w:rPr>
              <w:t>D</w:t>
            </w:r>
          </w:p>
        </w:tc>
        <w:tc>
          <w:tcPr>
            <w:tcW w:w="4500" w:type="dxa"/>
            <w:shd w:val="clear" w:color="auto" w:fill="auto"/>
            <w:vAlign w:val="center"/>
          </w:tcPr>
          <w:p w14:paraId="24090B37" w14:textId="14E420AB" w:rsidR="0007135C" w:rsidRPr="00DB7B06" w:rsidRDefault="0007135C" w:rsidP="0007135C">
            <w:pPr>
              <w:spacing w:before="20" w:after="20"/>
              <w:rPr>
                <w:sz w:val="20"/>
                <w:szCs w:val="20"/>
              </w:rPr>
            </w:pPr>
            <w:r w:rsidRPr="00DB7B06">
              <w:rPr>
                <w:sz w:val="20"/>
                <w:szCs w:val="20"/>
              </w:rPr>
              <w:t xml:space="preserve">Crossover </w:t>
            </w:r>
            <w:r>
              <w:rPr>
                <w:sz w:val="20"/>
                <w:szCs w:val="20"/>
              </w:rPr>
              <w:t>D</w:t>
            </w:r>
            <w:r w:rsidRPr="00DB7B06">
              <w:rPr>
                <w:sz w:val="20"/>
                <w:szCs w:val="20"/>
              </w:rPr>
              <w:t>uc</w:t>
            </w:r>
            <w:r>
              <w:rPr>
                <w:sz w:val="20"/>
                <w:szCs w:val="20"/>
              </w:rPr>
              <w:t>t R</w:t>
            </w:r>
            <w:r w:rsidRPr="00DB7B06">
              <w:rPr>
                <w:sz w:val="20"/>
                <w:szCs w:val="20"/>
              </w:rPr>
              <w:t>eplacement</w:t>
            </w:r>
            <w:r w:rsidR="004B3A0A">
              <w:rPr>
                <w:sz w:val="20"/>
                <w:szCs w:val="20"/>
              </w:rPr>
              <w:t xml:space="preserve"> for rNCGF System Only</w:t>
            </w:r>
          </w:p>
        </w:tc>
        <w:tc>
          <w:tcPr>
            <w:tcW w:w="1620" w:type="dxa"/>
            <w:vAlign w:val="center"/>
          </w:tcPr>
          <w:p w14:paraId="0A0004C4" w14:textId="2989F4FD" w:rsidR="0007135C" w:rsidRDefault="0007135C" w:rsidP="0007135C">
            <w:pPr>
              <w:spacing w:before="20" w:after="20"/>
              <w:jc w:val="center"/>
              <w:rPr>
                <w:sz w:val="20"/>
                <w:szCs w:val="20"/>
              </w:rPr>
            </w:pPr>
            <w:r>
              <w:rPr>
                <w:sz w:val="20"/>
                <w:szCs w:val="20"/>
              </w:rPr>
              <w:t>DMo</w:t>
            </w:r>
          </w:p>
        </w:tc>
        <w:tc>
          <w:tcPr>
            <w:tcW w:w="1890" w:type="dxa"/>
            <w:vAlign w:val="center"/>
          </w:tcPr>
          <w:p w14:paraId="3DC38721" w14:textId="2C88552B" w:rsidR="0007135C" w:rsidRDefault="0007135C" w:rsidP="0007135C">
            <w:pPr>
              <w:spacing w:before="20" w:after="20"/>
              <w:jc w:val="center"/>
              <w:rPr>
                <w:sz w:val="20"/>
                <w:szCs w:val="20"/>
              </w:rPr>
            </w:pPr>
            <w:r>
              <w:rPr>
                <w:sz w:val="20"/>
                <w:szCs w:val="20"/>
              </w:rPr>
              <w:t>15%</w:t>
            </w:r>
          </w:p>
        </w:tc>
      </w:tr>
    </w:tbl>
    <w:bookmarkEnd w:id="17"/>
    <w:bookmarkEnd w:id="18"/>
    <w:p w14:paraId="3370A2B1" w14:textId="4DB754AE" w:rsidR="00DB7B06" w:rsidRDefault="002374AB" w:rsidP="002942B0">
      <w:pPr>
        <w:rPr>
          <w:sz w:val="20"/>
          <w:szCs w:val="20"/>
        </w:rPr>
      </w:pPr>
      <w:r>
        <w:rPr>
          <w:sz w:val="20"/>
          <w:szCs w:val="20"/>
        </w:rPr>
        <w:t>rNCGF = DEER building type for furnace system with no cooling</w:t>
      </w:r>
    </w:p>
    <w:p w14:paraId="0D387CBE" w14:textId="77777777" w:rsidR="002374AB" w:rsidRDefault="002374AB" w:rsidP="002942B0"/>
    <w:p w14:paraId="54FD79D6" w14:textId="1B3BC82A" w:rsidR="00E70CBD" w:rsidRPr="00171BB8" w:rsidRDefault="00E70CBD" w:rsidP="0078138C">
      <w:pPr>
        <w:pStyle w:val="eTRMHeading3"/>
      </w:pPr>
      <w:bookmarkStart w:id="19" w:name="_Toc486490849"/>
      <w:bookmarkStart w:id="20" w:name="_Toc486580920"/>
      <w:bookmarkStart w:id="21" w:name="_Toc67494035"/>
      <w:r w:rsidRPr="004B06E3">
        <w:t xml:space="preserve">Base </w:t>
      </w:r>
      <w:r w:rsidRPr="004E2B5E">
        <w:t>Case</w:t>
      </w:r>
      <w:r w:rsidRPr="004B06E3">
        <w:t xml:space="preserve"> Description</w:t>
      </w:r>
      <w:bookmarkEnd w:id="19"/>
      <w:bookmarkEnd w:id="20"/>
      <w:bookmarkEnd w:id="21"/>
      <w:r w:rsidRPr="00171BB8">
        <w:t xml:space="preserve"> </w:t>
      </w:r>
    </w:p>
    <w:p w14:paraId="30FCB461" w14:textId="04CCDE30" w:rsidR="00ED350A" w:rsidRPr="00F219C3" w:rsidRDefault="00EB056D" w:rsidP="00ED350A">
      <w:r>
        <w:t xml:space="preserve">The base case </w:t>
      </w:r>
      <w:r w:rsidR="00384CD0">
        <w:t xml:space="preserve">is also specified </w:t>
      </w:r>
      <w:r w:rsidR="00F16003">
        <w:t>by residence type (</w:t>
      </w:r>
      <w:r w:rsidR="00FD41C6">
        <w:t>DMo</w:t>
      </w:r>
      <w:r w:rsidR="00F16003">
        <w:t>) and measure description.</w:t>
      </w:r>
    </w:p>
    <w:p w14:paraId="66B4D4CB" w14:textId="0DDC4F45" w:rsidR="00ED2D8C" w:rsidRDefault="002942B0" w:rsidP="001D0039">
      <w:pPr>
        <w:pStyle w:val="Caption"/>
      </w:pPr>
      <w:r>
        <w:t xml:space="preserve">Base Case Specification </w:t>
      </w:r>
    </w:p>
    <w:tbl>
      <w:tblPr>
        <w:tblW w:w="99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890"/>
        <w:gridCol w:w="4500"/>
        <w:gridCol w:w="1620"/>
        <w:gridCol w:w="1890"/>
      </w:tblGrid>
      <w:tr w:rsidR="00581834" w14:paraId="55E9A32F" w14:textId="77777777" w:rsidTr="005B3921">
        <w:trPr>
          <w:trHeight w:val="156"/>
          <w:tblHeader/>
        </w:trPr>
        <w:tc>
          <w:tcPr>
            <w:tcW w:w="1890" w:type="dxa"/>
            <w:shd w:val="clear" w:color="auto" w:fill="F2F2F2" w:themeFill="background1" w:themeFillShade="F2"/>
          </w:tcPr>
          <w:p w14:paraId="552FC75A" w14:textId="77777777" w:rsidR="00581834" w:rsidRPr="00DB7B06" w:rsidRDefault="00581834" w:rsidP="007D7872">
            <w:pPr>
              <w:keepNext/>
              <w:keepLines/>
              <w:spacing w:before="20" w:after="20"/>
              <w:rPr>
                <w:b/>
                <w:sz w:val="20"/>
                <w:szCs w:val="20"/>
              </w:rPr>
            </w:pPr>
            <w:r>
              <w:rPr>
                <w:b/>
                <w:sz w:val="20"/>
                <w:szCs w:val="20"/>
              </w:rPr>
              <w:t>Statewide Measure Offering ID</w:t>
            </w:r>
          </w:p>
        </w:tc>
        <w:tc>
          <w:tcPr>
            <w:tcW w:w="4500" w:type="dxa"/>
            <w:shd w:val="clear" w:color="auto" w:fill="F2F2F2" w:themeFill="background1" w:themeFillShade="F2"/>
          </w:tcPr>
          <w:p w14:paraId="24FFA475" w14:textId="77777777" w:rsidR="00581834" w:rsidRPr="00154391" w:rsidRDefault="00581834" w:rsidP="007D7872">
            <w:pPr>
              <w:keepNext/>
              <w:keepLines/>
              <w:spacing w:before="20" w:after="20"/>
              <w:rPr>
                <w:b/>
                <w:sz w:val="20"/>
                <w:szCs w:val="20"/>
              </w:rPr>
            </w:pPr>
            <w:r w:rsidRPr="00DB7B06">
              <w:rPr>
                <w:b/>
                <w:sz w:val="20"/>
                <w:szCs w:val="20"/>
              </w:rPr>
              <w:t>Measure Description</w:t>
            </w:r>
          </w:p>
        </w:tc>
        <w:tc>
          <w:tcPr>
            <w:tcW w:w="1620" w:type="dxa"/>
            <w:shd w:val="clear" w:color="auto" w:fill="F2F2F2" w:themeFill="background1" w:themeFillShade="F2"/>
          </w:tcPr>
          <w:p w14:paraId="7E54F165" w14:textId="77777777" w:rsidR="00581834" w:rsidRPr="00154391" w:rsidRDefault="00581834" w:rsidP="007D7872">
            <w:pPr>
              <w:keepNext/>
              <w:keepLines/>
              <w:spacing w:before="20" w:after="20"/>
              <w:jc w:val="center"/>
              <w:rPr>
                <w:b/>
                <w:sz w:val="20"/>
                <w:szCs w:val="20"/>
              </w:rPr>
            </w:pPr>
            <w:r>
              <w:rPr>
                <w:b/>
                <w:sz w:val="20"/>
                <w:szCs w:val="20"/>
              </w:rPr>
              <w:t>Residence Type</w:t>
            </w:r>
          </w:p>
        </w:tc>
        <w:tc>
          <w:tcPr>
            <w:tcW w:w="1890" w:type="dxa"/>
            <w:shd w:val="clear" w:color="auto" w:fill="F2F2F2" w:themeFill="background1" w:themeFillShade="F2"/>
          </w:tcPr>
          <w:p w14:paraId="1BBDA82E" w14:textId="316F34E1" w:rsidR="00581834" w:rsidRDefault="00581834" w:rsidP="007D7872">
            <w:pPr>
              <w:keepNext/>
              <w:keepLines/>
              <w:spacing w:before="20" w:after="20"/>
              <w:jc w:val="center"/>
              <w:rPr>
                <w:b/>
                <w:sz w:val="20"/>
                <w:szCs w:val="20"/>
              </w:rPr>
            </w:pPr>
            <w:r>
              <w:rPr>
                <w:b/>
                <w:sz w:val="20"/>
                <w:szCs w:val="20"/>
              </w:rPr>
              <w:t>Base Case Leakage Rate</w:t>
            </w:r>
          </w:p>
        </w:tc>
      </w:tr>
      <w:tr w:rsidR="00581834" w14:paraId="472C3F76" w14:textId="77777777" w:rsidTr="005B3921">
        <w:trPr>
          <w:trHeight w:val="260"/>
        </w:trPr>
        <w:tc>
          <w:tcPr>
            <w:tcW w:w="1890" w:type="dxa"/>
          </w:tcPr>
          <w:p w14:paraId="7F261DEF" w14:textId="77777777" w:rsidR="00581834" w:rsidRPr="00DB7B06" w:rsidRDefault="00581834" w:rsidP="007D7872">
            <w:pPr>
              <w:spacing w:before="20" w:after="20"/>
              <w:rPr>
                <w:sz w:val="20"/>
                <w:szCs w:val="20"/>
              </w:rPr>
            </w:pPr>
            <w:r w:rsidRPr="00E10CDB">
              <w:rPr>
                <w:sz w:val="20"/>
                <w:szCs w:val="20"/>
              </w:rPr>
              <w:t>SWSV013A</w:t>
            </w:r>
          </w:p>
        </w:tc>
        <w:tc>
          <w:tcPr>
            <w:tcW w:w="4500" w:type="dxa"/>
            <w:shd w:val="clear" w:color="auto" w:fill="auto"/>
            <w:vAlign w:val="center"/>
          </w:tcPr>
          <w:p w14:paraId="74574E2F" w14:textId="77777777" w:rsidR="00581834" w:rsidRPr="00FB030E" w:rsidRDefault="00581834" w:rsidP="007D7872">
            <w:pPr>
              <w:spacing w:before="20" w:after="20"/>
              <w:rPr>
                <w:sz w:val="20"/>
                <w:szCs w:val="20"/>
              </w:rPr>
            </w:pPr>
            <w:r w:rsidRPr="00DB7B06">
              <w:rPr>
                <w:sz w:val="20"/>
                <w:szCs w:val="20"/>
              </w:rPr>
              <w:t xml:space="preserve">Return </w:t>
            </w:r>
            <w:r>
              <w:rPr>
                <w:sz w:val="20"/>
                <w:szCs w:val="20"/>
              </w:rPr>
              <w:t>D</w:t>
            </w:r>
            <w:r w:rsidRPr="00DB7B06">
              <w:rPr>
                <w:sz w:val="20"/>
                <w:szCs w:val="20"/>
              </w:rPr>
              <w:t xml:space="preserve">uct </w:t>
            </w:r>
            <w:r>
              <w:rPr>
                <w:sz w:val="20"/>
                <w:szCs w:val="20"/>
              </w:rPr>
              <w:t>R</w:t>
            </w:r>
            <w:r w:rsidRPr="00DB7B06">
              <w:rPr>
                <w:sz w:val="20"/>
                <w:szCs w:val="20"/>
              </w:rPr>
              <w:t>etrofit</w:t>
            </w:r>
          </w:p>
        </w:tc>
        <w:tc>
          <w:tcPr>
            <w:tcW w:w="1620" w:type="dxa"/>
            <w:vAlign w:val="center"/>
          </w:tcPr>
          <w:p w14:paraId="545F64B9" w14:textId="77777777" w:rsidR="00581834" w:rsidRPr="00FB030E" w:rsidRDefault="00581834" w:rsidP="007D7872">
            <w:pPr>
              <w:spacing w:before="20" w:after="20"/>
              <w:jc w:val="center"/>
              <w:rPr>
                <w:sz w:val="20"/>
                <w:szCs w:val="20"/>
              </w:rPr>
            </w:pPr>
            <w:r>
              <w:rPr>
                <w:sz w:val="20"/>
                <w:szCs w:val="20"/>
              </w:rPr>
              <w:t>DMo</w:t>
            </w:r>
          </w:p>
        </w:tc>
        <w:tc>
          <w:tcPr>
            <w:tcW w:w="1890" w:type="dxa"/>
            <w:vAlign w:val="center"/>
          </w:tcPr>
          <w:p w14:paraId="6AA7EC97" w14:textId="6849BA16" w:rsidR="00581834" w:rsidRDefault="00581834" w:rsidP="007D7872">
            <w:pPr>
              <w:spacing w:before="20" w:after="20"/>
              <w:jc w:val="center"/>
              <w:rPr>
                <w:sz w:val="20"/>
                <w:szCs w:val="20"/>
              </w:rPr>
            </w:pPr>
            <w:r>
              <w:rPr>
                <w:sz w:val="20"/>
                <w:szCs w:val="20"/>
              </w:rPr>
              <w:t>50%</w:t>
            </w:r>
          </w:p>
        </w:tc>
      </w:tr>
      <w:tr w:rsidR="00581834" w:rsidRPr="00FB030E" w14:paraId="2F2DE3D9" w14:textId="77777777" w:rsidTr="005B3921">
        <w:trPr>
          <w:trHeight w:val="296"/>
        </w:trPr>
        <w:tc>
          <w:tcPr>
            <w:tcW w:w="1890" w:type="dxa"/>
          </w:tcPr>
          <w:p w14:paraId="078B6D35" w14:textId="77777777" w:rsidR="00581834" w:rsidRPr="00DB7B06" w:rsidRDefault="00581834" w:rsidP="007D7872">
            <w:pPr>
              <w:spacing w:before="20" w:after="20"/>
              <w:rPr>
                <w:sz w:val="20"/>
                <w:szCs w:val="20"/>
              </w:rPr>
            </w:pPr>
            <w:r w:rsidRPr="00E10CDB">
              <w:rPr>
                <w:sz w:val="20"/>
                <w:szCs w:val="20"/>
              </w:rPr>
              <w:t>SWSV013</w:t>
            </w:r>
            <w:r>
              <w:rPr>
                <w:sz w:val="20"/>
                <w:szCs w:val="20"/>
              </w:rPr>
              <w:t>B</w:t>
            </w:r>
          </w:p>
        </w:tc>
        <w:tc>
          <w:tcPr>
            <w:tcW w:w="4500" w:type="dxa"/>
            <w:shd w:val="clear" w:color="auto" w:fill="auto"/>
            <w:vAlign w:val="center"/>
          </w:tcPr>
          <w:p w14:paraId="0AE94DD8" w14:textId="77777777" w:rsidR="00581834" w:rsidRPr="00FB030E" w:rsidRDefault="00581834" w:rsidP="007D7872">
            <w:pPr>
              <w:spacing w:before="20" w:after="20"/>
              <w:rPr>
                <w:sz w:val="20"/>
                <w:szCs w:val="20"/>
              </w:rPr>
            </w:pPr>
            <w:r w:rsidRPr="00DB7B06">
              <w:rPr>
                <w:sz w:val="20"/>
                <w:szCs w:val="20"/>
              </w:rPr>
              <w:t xml:space="preserve">Crossover </w:t>
            </w:r>
            <w:r>
              <w:rPr>
                <w:sz w:val="20"/>
                <w:szCs w:val="20"/>
              </w:rPr>
              <w:t>D</w:t>
            </w:r>
            <w:r w:rsidRPr="00DB7B06">
              <w:rPr>
                <w:sz w:val="20"/>
                <w:szCs w:val="20"/>
              </w:rPr>
              <w:t>uc</w:t>
            </w:r>
            <w:r>
              <w:rPr>
                <w:sz w:val="20"/>
                <w:szCs w:val="20"/>
              </w:rPr>
              <w:t>t R</w:t>
            </w:r>
            <w:r w:rsidRPr="00DB7B06">
              <w:rPr>
                <w:sz w:val="20"/>
                <w:szCs w:val="20"/>
              </w:rPr>
              <w:t>eplacement</w:t>
            </w:r>
          </w:p>
        </w:tc>
        <w:tc>
          <w:tcPr>
            <w:tcW w:w="1620" w:type="dxa"/>
            <w:vAlign w:val="center"/>
          </w:tcPr>
          <w:p w14:paraId="335C04CD" w14:textId="77777777" w:rsidR="00581834" w:rsidRPr="00FB030E" w:rsidRDefault="00581834" w:rsidP="007D7872">
            <w:pPr>
              <w:spacing w:before="20" w:after="20"/>
              <w:jc w:val="center"/>
              <w:rPr>
                <w:sz w:val="20"/>
                <w:szCs w:val="20"/>
              </w:rPr>
            </w:pPr>
            <w:r>
              <w:rPr>
                <w:sz w:val="20"/>
                <w:szCs w:val="20"/>
              </w:rPr>
              <w:t>DMo</w:t>
            </w:r>
          </w:p>
        </w:tc>
        <w:tc>
          <w:tcPr>
            <w:tcW w:w="1890" w:type="dxa"/>
            <w:vAlign w:val="center"/>
          </w:tcPr>
          <w:p w14:paraId="6C310230" w14:textId="71299995" w:rsidR="00581834" w:rsidRPr="00FB030E" w:rsidRDefault="00581834" w:rsidP="007D7872">
            <w:pPr>
              <w:spacing w:before="20" w:after="20"/>
              <w:jc w:val="center"/>
              <w:rPr>
                <w:sz w:val="20"/>
                <w:szCs w:val="20"/>
              </w:rPr>
            </w:pPr>
            <w:r>
              <w:rPr>
                <w:sz w:val="20"/>
                <w:szCs w:val="20"/>
              </w:rPr>
              <w:t>35%</w:t>
            </w:r>
          </w:p>
        </w:tc>
      </w:tr>
      <w:tr w:rsidR="005B6321" w:rsidRPr="00FB030E" w14:paraId="18A1A1C8" w14:textId="77777777" w:rsidTr="005B3921">
        <w:trPr>
          <w:trHeight w:val="296"/>
        </w:trPr>
        <w:tc>
          <w:tcPr>
            <w:tcW w:w="1890" w:type="dxa"/>
          </w:tcPr>
          <w:p w14:paraId="17BFA115" w14:textId="116A40A3" w:rsidR="005B6321" w:rsidRPr="00E10CDB" w:rsidRDefault="005B6321" w:rsidP="005B6321">
            <w:pPr>
              <w:spacing w:before="20" w:after="20"/>
              <w:rPr>
                <w:sz w:val="20"/>
                <w:szCs w:val="20"/>
              </w:rPr>
            </w:pPr>
            <w:r w:rsidRPr="00CF38C2">
              <w:rPr>
                <w:sz w:val="20"/>
                <w:szCs w:val="20"/>
              </w:rPr>
              <w:t>SWSV013</w:t>
            </w:r>
            <w:r>
              <w:rPr>
                <w:sz w:val="20"/>
                <w:szCs w:val="20"/>
              </w:rPr>
              <w:t>C</w:t>
            </w:r>
          </w:p>
        </w:tc>
        <w:tc>
          <w:tcPr>
            <w:tcW w:w="4500" w:type="dxa"/>
            <w:shd w:val="clear" w:color="auto" w:fill="auto"/>
            <w:vAlign w:val="center"/>
          </w:tcPr>
          <w:p w14:paraId="2D9367B7" w14:textId="116D195C" w:rsidR="005B6321" w:rsidRPr="00DB7B06" w:rsidRDefault="005B6321" w:rsidP="005B6321">
            <w:pPr>
              <w:spacing w:before="20" w:after="20"/>
              <w:rPr>
                <w:sz w:val="20"/>
                <w:szCs w:val="20"/>
              </w:rPr>
            </w:pPr>
            <w:r w:rsidRPr="00DB7B06">
              <w:rPr>
                <w:sz w:val="20"/>
                <w:szCs w:val="20"/>
              </w:rPr>
              <w:t xml:space="preserve">Return </w:t>
            </w:r>
            <w:r>
              <w:rPr>
                <w:sz w:val="20"/>
                <w:szCs w:val="20"/>
              </w:rPr>
              <w:t>D</w:t>
            </w:r>
            <w:r w:rsidRPr="00DB7B06">
              <w:rPr>
                <w:sz w:val="20"/>
                <w:szCs w:val="20"/>
              </w:rPr>
              <w:t xml:space="preserve">uct </w:t>
            </w:r>
            <w:r>
              <w:rPr>
                <w:sz w:val="20"/>
                <w:szCs w:val="20"/>
              </w:rPr>
              <w:t>R</w:t>
            </w:r>
            <w:r w:rsidRPr="00DB7B06">
              <w:rPr>
                <w:sz w:val="20"/>
                <w:szCs w:val="20"/>
              </w:rPr>
              <w:t>etrofit</w:t>
            </w:r>
            <w:r>
              <w:rPr>
                <w:sz w:val="20"/>
                <w:szCs w:val="20"/>
              </w:rPr>
              <w:t xml:space="preserve"> for</w:t>
            </w:r>
            <w:r w:rsidRPr="005B6321">
              <w:rPr>
                <w:sz w:val="20"/>
                <w:szCs w:val="20"/>
              </w:rPr>
              <w:t xml:space="preserve"> rNCGF System Only</w:t>
            </w:r>
          </w:p>
        </w:tc>
        <w:tc>
          <w:tcPr>
            <w:tcW w:w="1620" w:type="dxa"/>
            <w:vAlign w:val="center"/>
          </w:tcPr>
          <w:p w14:paraId="0AFE9D18" w14:textId="2C61BD1C" w:rsidR="005B6321" w:rsidRDefault="005B6321" w:rsidP="005B6321">
            <w:pPr>
              <w:spacing w:before="20" w:after="20"/>
              <w:jc w:val="center"/>
              <w:rPr>
                <w:sz w:val="20"/>
                <w:szCs w:val="20"/>
              </w:rPr>
            </w:pPr>
            <w:r>
              <w:rPr>
                <w:sz w:val="20"/>
                <w:szCs w:val="20"/>
              </w:rPr>
              <w:t>DMo</w:t>
            </w:r>
          </w:p>
        </w:tc>
        <w:tc>
          <w:tcPr>
            <w:tcW w:w="1890" w:type="dxa"/>
            <w:vAlign w:val="center"/>
          </w:tcPr>
          <w:p w14:paraId="64DD4B61" w14:textId="3CA09EC2" w:rsidR="005B6321" w:rsidRDefault="005B6321" w:rsidP="005B6321">
            <w:pPr>
              <w:spacing w:before="20" w:after="20"/>
              <w:jc w:val="center"/>
              <w:rPr>
                <w:sz w:val="20"/>
                <w:szCs w:val="20"/>
              </w:rPr>
            </w:pPr>
            <w:r>
              <w:rPr>
                <w:sz w:val="20"/>
                <w:szCs w:val="20"/>
              </w:rPr>
              <w:t>50%</w:t>
            </w:r>
          </w:p>
        </w:tc>
      </w:tr>
      <w:tr w:rsidR="005B6321" w:rsidRPr="00FB030E" w14:paraId="7A04A5E4" w14:textId="77777777" w:rsidTr="005B3921">
        <w:trPr>
          <w:trHeight w:val="296"/>
        </w:trPr>
        <w:tc>
          <w:tcPr>
            <w:tcW w:w="1890" w:type="dxa"/>
          </w:tcPr>
          <w:p w14:paraId="0BC82B75" w14:textId="57A01D04" w:rsidR="005B6321" w:rsidRPr="00E10CDB" w:rsidRDefault="005B6321" w:rsidP="005B6321">
            <w:pPr>
              <w:spacing w:before="20" w:after="20"/>
              <w:rPr>
                <w:sz w:val="20"/>
                <w:szCs w:val="20"/>
              </w:rPr>
            </w:pPr>
            <w:r w:rsidRPr="00CF38C2">
              <w:rPr>
                <w:sz w:val="20"/>
                <w:szCs w:val="20"/>
              </w:rPr>
              <w:t>SWSV013</w:t>
            </w:r>
            <w:r>
              <w:rPr>
                <w:sz w:val="20"/>
                <w:szCs w:val="20"/>
              </w:rPr>
              <w:t>D</w:t>
            </w:r>
          </w:p>
        </w:tc>
        <w:tc>
          <w:tcPr>
            <w:tcW w:w="4500" w:type="dxa"/>
            <w:shd w:val="clear" w:color="auto" w:fill="auto"/>
            <w:vAlign w:val="center"/>
          </w:tcPr>
          <w:p w14:paraId="1937EB04" w14:textId="21729F50" w:rsidR="005B6321" w:rsidRPr="00DB7B06" w:rsidRDefault="005B6321" w:rsidP="005B6321">
            <w:pPr>
              <w:spacing w:before="20" w:after="20"/>
              <w:rPr>
                <w:sz w:val="20"/>
                <w:szCs w:val="20"/>
              </w:rPr>
            </w:pPr>
            <w:r w:rsidRPr="00DB7B06">
              <w:rPr>
                <w:sz w:val="20"/>
                <w:szCs w:val="20"/>
              </w:rPr>
              <w:t xml:space="preserve">Crossover </w:t>
            </w:r>
            <w:r>
              <w:rPr>
                <w:sz w:val="20"/>
                <w:szCs w:val="20"/>
              </w:rPr>
              <w:t>D</w:t>
            </w:r>
            <w:r w:rsidRPr="00DB7B06">
              <w:rPr>
                <w:sz w:val="20"/>
                <w:szCs w:val="20"/>
              </w:rPr>
              <w:t>uc</w:t>
            </w:r>
            <w:r>
              <w:rPr>
                <w:sz w:val="20"/>
                <w:szCs w:val="20"/>
              </w:rPr>
              <w:t>t R</w:t>
            </w:r>
            <w:r w:rsidRPr="00DB7B06">
              <w:rPr>
                <w:sz w:val="20"/>
                <w:szCs w:val="20"/>
              </w:rPr>
              <w:t>eplacement</w:t>
            </w:r>
            <w:r>
              <w:rPr>
                <w:sz w:val="20"/>
                <w:szCs w:val="20"/>
              </w:rPr>
              <w:t xml:space="preserve"> </w:t>
            </w:r>
            <w:r w:rsidRPr="005B6321">
              <w:rPr>
                <w:sz w:val="20"/>
                <w:szCs w:val="20"/>
              </w:rPr>
              <w:t>for rNCGF System Only</w:t>
            </w:r>
          </w:p>
        </w:tc>
        <w:tc>
          <w:tcPr>
            <w:tcW w:w="1620" w:type="dxa"/>
            <w:vAlign w:val="center"/>
          </w:tcPr>
          <w:p w14:paraId="113FC52F" w14:textId="423209B4" w:rsidR="005B6321" w:rsidRDefault="005B6321" w:rsidP="005B6321">
            <w:pPr>
              <w:spacing w:before="20" w:after="20"/>
              <w:jc w:val="center"/>
              <w:rPr>
                <w:sz w:val="20"/>
                <w:szCs w:val="20"/>
              </w:rPr>
            </w:pPr>
            <w:r>
              <w:rPr>
                <w:sz w:val="20"/>
                <w:szCs w:val="20"/>
              </w:rPr>
              <w:t>DMo</w:t>
            </w:r>
          </w:p>
        </w:tc>
        <w:tc>
          <w:tcPr>
            <w:tcW w:w="1890" w:type="dxa"/>
            <w:vAlign w:val="center"/>
          </w:tcPr>
          <w:p w14:paraId="567C4F8D" w14:textId="14AB1071" w:rsidR="005B6321" w:rsidRDefault="005B6321" w:rsidP="005B6321">
            <w:pPr>
              <w:spacing w:before="20" w:after="20"/>
              <w:jc w:val="center"/>
              <w:rPr>
                <w:sz w:val="20"/>
                <w:szCs w:val="20"/>
              </w:rPr>
            </w:pPr>
            <w:r>
              <w:rPr>
                <w:sz w:val="20"/>
                <w:szCs w:val="20"/>
              </w:rPr>
              <w:t>35%</w:t>
            </w:r>
          </w:p>
        </w:tc>
      </w:tr>
    </w:tbl>
    <w:p w14:paraId="77B15D50" w14:textId="3AEF07B7" w:rsidR="007D230B" w:rsidRDefault="007D230B" w:rsidP="004F5BCA">
      <w:pPr>
        <w:pStyle w:val="eTRMHeading3"/>
      </w:pPr>
      <w:bookmarkStart w:id="22" w:name="_Toc486490850"/>
      <w:bookmarkStart w:id="23" w:name="_Toc486580921"/>
      <w:bookmarkStart w:id="24" w:name="_Toc67494036"/>
      <w:r w:rsidRPr="004B06E3">
        <w:lastRenderedPageBreak/>
        <w:t>Code Requirements</w:t>
      </w:r>
      <w:bookmarkEnd w:id="22"/>
      <w:bookmarkEnd w:id="23"/>
      <w:bookmarkEnd w:id="24"/>
    </w:p>
    <w:p w14:paraId="7E96141F" w14:textId="08BCD442" w:rsidR="00FD2C54" w:rsidRDefault="00FD2C54" w:rsidP="001D0039">
      <w:pPr>
        <w:pStyle w:val="Caption"/>
      </w:pPr>
      <w:r>
        <w:t xml:space="preserve">Applicable State and Federal </w:t>
      </w:r>
      <w:r w:rsidRPr="00CD6698">
        <w:t>Code</w:t>
      </w:r>
      <w:r>
        <w:t>s and Standards</w:t>
      </w:r>
      <w:r w:rsidRPr="002C39E3">
        <w:t xml:space="preserve"> </w:t>
      </w:r>
    </w:p>
    <w:p w14:paraId="1C4AF6FA" w14:textId="65FD5F04" w:rsidR="0544541D" w:rsidRDefault="00DF4F0F" w:rsidP="72D0314C">
      <w:r>
        <w:t xml:space="preserve">Mobile homes are </w:t>
      </w:r>
      <w:r w:rsidR="00DB76D6">
        <w:t>governed by Title 25 requirements</w:t>
      </w:r>
      <w:r w:rsidR="00AC5EF0">
        <w:t xml:space="preserve">. </w:t>
      </w:r>
      <w:r w:rsidR="00136F0F">
        <w:t>Although d</w:t>
      </w:r>
      <w:r w:rsidR="0544541D">
        <w:t xml:space="preserve">uct leakage </w:t>
      </w:r>
      <w:r w:rsidR="00623FA3">
        <w:t xml:space="preserve">for replaced ductwork </w:t>
      </w:r>
      <w:r w:rsidR="0544541D">
        <w:t xml:space="preserve">is not dictated by </w:t>
      </w:r>
      <w:r w:rsidR="00623FA3">
        <w:t>Title 25</w:t>
      </w:r>
      <w:r w:rsidR="387D1023">
        <w:t>,</w:t>
      </w:r>
      <w:r w:rsidR="0544541D">
        <w:t xml:space="preserve"> the materials and installation of ducting do have codes</w:t>
      </w:r>
      <w:r w:rsidR="375ADBA9">
        <w:t xml:space="preserve"> that apply</w:t>
      </w:r>
      <w:r w:rsidR="6D9EE294">
        <w:t xml:space="preserve">. </w:t>
      </w:r>
      <w:r w:rsidR="00623FA3">
        <w:t>When installing the</w:t>
      </w:r>
      <w:r w:rsidR="00136F0F">
        <w:t>se</w:t>
      </w:r>
      <w:r w:rsidR="00623FA3">
        <w:t xml:space="preserve"> measures</w:t>
      </w:r>
      <w:r w:rsidR="00136F0F">
        <w:t xml:space="preserve">, </w:t>
      </w:r>
      <w:r w:rsidR="00915F50">
        <w:t xml:space="preserve">technicians will abide by all applicable codes </w:t>
      </w:r>
      <w:r w:rsidR="0544541D">
        <w:t>listed below</w:t>
      </w:r>
      <w:r w:rsidR="060BEDBD">
        <w:t>.</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ED350A">
        <w:trPr>
          <w:cantSplit/>
          <w:trHeight w:val="20"/>
          <w:tblHeader/>
        </w:trPr>
        <w:tc>
          <w:tcPr>
            <w:tcW w:w="4765" w:type="dxa"/>
            <w:shd w:val="clear" w:color="auto" w:fill="F2F2F2" w:themeFill="background1" w:themeFillShade="F2"/>
            <w:vAlign w:val="bottom"/>
          </w:tcPr>
          <w:p w14:paraId="5E8EE0C5" w14:textId="77777777" w:rsidR="00FC77BB" w:rsidRPr="00154391" w:rsidRDefault="00FC77BB" w:rsidP="001D0039">
            <w:pPr>
              <w:keepNext/>
              <w:keepLines/>
              <w:spacing w:before="20" w:after="20"/>
              <w:rPr>
                <w:b/>
                <w:sz w:val="20"/>
                <w:szCs w:val="20"/>
              </w:rPr>
            </w:pPr>
            <w:r w:rsidRPr="0079498E">
              <w:rPr>
                <w:b/>
                <w:sz w:val="20"/>
              </w:rPr>
              <w:t>Code</w:t>
            </w:r>
          </w:p>
        </w:tc>
        <w:tc>
          <w:tcPr>
            <w:tcW w:w="2340" w:type="dxa"/>
            <w:shd w:val="clear" w:color="auto" w:fill="F2F2F2" w:themeFill="background1" w:themeFillShade="F2"/>
            <w:vAlign w:val="bottom"/>
          </w:tcPr>
          <w:p w14:paraId="2A51DAFB" w14:textId="77777777" w:rsidR="00FC77BB" w:rsidRPr="00154391" w:rsidRDefault="00FC77BB" w:rsidP="001D0039">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1D0039">
            <w:pPr>
              <w:keepNext/>
              <w:keepLines/>
              <w:spacing w:before="20" w:after="20"/>
              <w:jc w:val="center"/>
              <w:rPr>
                <w:b/>
                <w:sz w:val="20"/>
                <w:szCs w:val="20"/>
              </w:rPr>
            </w:pPr>
            <w:r w:rsidRPr="0079498E">
              <w:rPr>
                <w:b/>
                <w:sz w:val="20"/>
              </w:rPr>
              <w:t>Effective Date</w:t>
            </w:r>
          </w:p>
        </w:tc>
      </w:tr>
      <w:tr w:rsidR="00FC77BB" w:rsidRPr="00FB030E" w14:paraId="1238F946" w14:textId="64CC1E4E" w:rsidTr="00626809">
        <w:trPr>
          <w:cantSplit/>
          <w:trHeight w:val="20"/>
        </w:trPr>
        <w:tc>
          <w:tcPr>
            <w:tcW w:w="4765" w:type="dxa"/>
            <w:shd w:val="clear" w:color="auto" w:fill="auto"/>
            <w:vAlign w:val="center"/>
          </w:tcPr>
          <w:p w14:paraId="4F444C61" w14:textId="043BECD1" w:rsidR="00FC77BB" w:rsidRPr="00BD6838" w:rsidRDefault="00FC77BB" w:rsidP="00626809">
            <w:pPr>
              <w:spacing w:before="20" w:after="20"/>
              <w:rPr>
                <w:sz w:val="20"/>
                <w:szCs w:val="20"/>
              </w:rPr>
            </w:pPr>
            <w:r w:rsidRPr="00BD6838">
              <w:rPr>
                <w:sz w:val="20"/>
              </w:rPr>
              <w:t>CA</w:t>
            </w:r>
            <w:r w:rsidR="00650815">
              <w:rPr>
                <w:sz w:val="20"/>
              </w:rPr>
              <w:t xml:space="preserve"> </w:t>
            </w:r>
            <w:r w:rsidR="00650815" w:rsidRPr="00650815">
              <w:rPr>
                <w:sz w:val="20"/>
              </w:rPr>
              <w:t>Housing and Community Development</w:t>
            </w:r>
            <w:r w:rsidRPr="00BD6838">
              <w:rPr>
                <w:sz w:val="20"/>
              </w:rPr>
              <w:t>– Title 2</w:t>
            </w:r>
            <w:r w:rsidR="00890273">
              <w:rPr>
                <w:sz w:val="20"/>
              </w:rPr>
              <w:t>5</w:t>
            </w:r>
          </w:p>
        </w:tc>
        <w:tc>
          <w:tcPr>
            <w:tcW w:w="2340" w:type="dxa"/>
            <w:shd w:val="clear" w:color="auto" w:fill="auto"/>
            <w:vAlign w:val="center"/>
          </w:tcPr>
          <w:p w14:paraId="0A330E5E" w14:textId="679E4041" w:rsidR="00FC77BB" w:rsidRPr="00FB030E" w:rsidRDefault="00507F35" w:rsidP="00626809">
            <w:pPr>
              <w:spacing w:before="20" w:after="20"/>
              <w:rPr>
                <w:sz w:val="20"/>
                <w:szCs w:val="20"/>
              </w:rPr>
            </w:pPr>
            <w:r w:rsidRPr="00507F35">
              <w:rPr>
                <w:sz w:val="20"/>
                <w:szCs w:val="20"/>
              </w:rPr>
              <w:t>§ 4070</w:t>
            </w:r>
            <w:r w:rsidR="00190E8D">
              <w:rPr>
                <w:sz w:val="20"/>
                <w:szCs w:val="20"/>
              </w:rPr>
              <w:t>- 280.715</w:t>
            </w:r>
          </w:p>
        </w:tc>
        <w:tc>
          <w:tcPr>
            <w:tcW w:w="2430" w:type="dxa"/>
            <w:shd w:val="clear" w:color="auto" w:fill="auto"/>
            <w:vAlign w:val="center"/>
          </w:tcPr>
          <w:p w14:paraId="63BAD98E" w14:textId="69AAEF1A" w:rsidR="00FC77BB" w:rsidRPr="00FB030E" w:rsidRDefault="005F2B78" w:rsidP="00626809">
            <w:pPr>
              <w:spacing w:before="20" w:after="20"/>
              <w:jc w:val="center"/>
              <w:rPr>
                <w:sz w:val="20"/>
                <w:szCs w:val="20"/>
              </w:rPr>
            </w:pPr>
            <w:r>
              <w:rPr>
                <w:sz w:val="20"/>
                <w:szCs w:val="20"/>
              </w:rPr>
              <w:t>5/15/2020</w:t>
            </w:r>
          </w:p>
        </w:tc>
      </w:tr>
      <w:tr w:rsidR="000706E0" w:rsidRPr="00FB030E" w14:paraId="664A8BD0" w14:textId="77777777" w:rsidTr="00626809">
        <w:trPr>
          <w:cantSplit/>
          <w:trHeight w:val="20"/>
        </w:trPr>
        <w:tc>
          <w:tcPr>
            <w:tcW w:w="4765" w:type="dxa"/>
            <w:shd w:val="clear" w:color="auto" w:fill="auto"/>
            <w:vAlign w:val="center"/>
          </w:tcPr>
          <w:p w14:paraId="7D46205B" w14:textId="619FA943" w:rsidR="000706E0" w:rsidRPr="00BD6838" w:rsidRDefault="000706E0" w:rsidP="00626809">
            <w:pPr>
              <w:spacing w:before="20" w:after="20"/>
              <w:rPr>
                <w:sz w:val="20"/>
              </w:rPr>
            </w:pPr>
            <w:r>
              <w:rPr>
                <w:sz w:val="20"/>
              </w:rPr>
              <w:t xml:space="preserve">Federal </w:t>
            </w:r>
            <w:r w:rsidR="00D91491">
              <w:rPr>
                <w:sz w:val="20"/>
              </w:rPr>
              <w:t>Code Regulation</w:t>
            </w:r>
          </w:p>
        </w:tc>
        <w:tc>
          <w:tcPr>
            <w:tcW w:w="2340" w:type="dxa"/>
            <w:shd w:val="clear" w:color="auto" w:fill="auto"/>
            <w:vAlign w:val="center"/>
          </w:tcPr>
          <w:p w14:paraId="06543AB9" w14:textId="3B2F87C2" w:rsidR="000706E0" w:rsidRPr="00507F35" w:rsidRDefault="00A14EC0" w:rsidP="00626809">
            <w:pPr>
              <w:spacing w:before="20" w:after="20"/>
              <w:rPr>
                <w:sz w:val="20"/>
                <w:szCs w:val="20"/>
              </w:rPr>
            </w:pPr>
            <w:r w:rsidRPr="00507F35">
              <w:rPr>
                <w:sz w:val="20"/>
                <w:szCs w:val="20"/>
              </w:rPr>
              <w:t>§</w:t>
            </w:r>
            <w:r>
              <w:rPr>
                <w:sz w:val="20"/>
                <w:szCs w:val="20"/>
              </w:rPr>
              <w:t xml:space="preserve"> 3280.715</w:t>
            </w:r>
          </w:p>
        </w:tc>
        <w:tc>
          <w:tcPr>
            <w:tcW w:w="2430" w:type="dxa"/>
            <w:shd w:val="clear" w:color="auto" w:fill="auto"/>
            <w:vAlign w:val="center"/>
          </w:tcPr>
          <w:p w14:paraId="685D81D4" w14:textId="7BDB81A6" w:rsidR="000706E0" w:rsidRDefault="00D91491" w:rsidP="00626809">
            <w:pPr>
              <w:spacing w:before="20" w:after="20"/>
              <w:jc w:val="center"/>
              <w:rPr>
                <w:sz w:val="20"/>
                <w:szCs w:val="20"/>
              </w:rPr>
            </w:pPr>
            <w:r>
              <w:rPr>
                <w:sz w:val="20"/>
                <w:szCs w:val="20"/>
              </w:rPr>
              <w:t>1979</w:t>
            </w:r>
          </w:p>
        </w:tc>
      </w:tr>
    </w:tbl>
    <w:p w14:paraId="28A93655" w14:textId="77777777" w:rsidR="00FD2C54" w:rsidRDefault="00FD2C54" w:rsidP="0011498C"/>
    <w:p w14:paraId="1EE16D20" w14:textId="6F001421" w:rsidR="007D230B" w:rsidRDefault="007D230B" w:rsidP="0078138C">
      <w:pPr>
        <w:pStyle w:val="eTRMHeading3"/>
      </w:pPr>
      <w:bookmarkStart w:id="25" w:name="_Toc486490851"/>
      <w:bookmarkStart w:id="26" w:name="_Toc486580922"/>
      <w:bookmarkStart w:id="27" w:name="_Toc67494037"/>
      <w:r w:rsidRPr="00A83458">
        <w:t>Normalizing</w:t>
      </w:r>
      <w:r w:rsidRPr="00171BB8">
        <w:t xml:space="preserve"> Unit</w:t>
      </w:r>
      <w:bookmarkEnd w:id="25"/>
      <w:bookmarkEnd w:id="26"/>
      <w:bookmarkEnd w:id="27"/>
    </w:p>
    <w:p w14:paraId="06684AB1" w14:textId="276750DD" w:rsidR="00A963DA" w:rsidRDefault="001A4096" w:rsidP="001A4096">
      <w:r w:rsidRPr="001A4096">
        <w:t>Tons of cooling capacity (Cap-</w:t>
      </w:r>
      <w:r w:rsidRPr="00462109">
        <w:rPr>
          <w:szCs w:val="22"/>
        </w:rPr>
        <w:t>Tons)</w:t>
      </w:r>
      <w:r w:rsidR="005B6321" w:rsidRPr="00462109">
        <w:rPr>
          <w:szCs w:val="22"/>
        </w:rPr>
        <w:t xml:space="preserve"> for </w:t>
      </w:r>
      <w:r w:rsidR="005B6321" w:rsidRPr="00F10AD1">
        <w:rPr>
          <w:szCs w:val="22"/>
        </w:rPr>
        <w:t xml:space="preserve">SWSV013A </w:t>
      </w:r>
      <w:r w:rsidR="001064AF" w:rsidRPr="00F10AD1">
        <w:rPr>
          <w:szCs w:val="22"/>
        </w:rPr>
        <w:t>and</w:t>
      </w:r>
      <w:r w:rsidR="005B6321" w:rsidRPr="00F10AD1">
        <w:rPr>
          <w:szCs w:val="22"/>
        </w:rPr>
        <w:t xml:space="preserve"> SWSV013B</w:t>
      </w:r>
      <w:r w:rsidR="005B6321" w:rsidRPr="00462109">
        <w:rPr>
          <w:rFonts w:cs="Calibri Light"/>
          <w:szCs w:val="22"/>
        </w:rPr>
        <w:t>; kBtu</w:t>
      </w:r>
      <w:r w:rsidR="001064AF" w:rsidRPr="00462109">
        <w:rPr>
          <w:rFonts w:cs="Calibri Light"/>
          <w:szCs w:val="22"/>
        </w:rPr>
        <w:t>/</w:t>
      </w:r>
      <w:r w:rsidR="005B6321" w:rsidRPr="00462109">
        <w:rPr>
          <w:rFonts w:cs="Calibri Light"/>
          <w:szCs w:val="22"/>
        </w:rPr>
        <w:t>h of heating capacity (</w:t>
      </w:r>
      <w:r w:rsidR="005B6321" w:rsidRPr="00462109">
        <w:rPr>
          <w:rFonts w:eastAsia="Times New Roman" w:cs="Calibri Light"/>
          <w:color w:val="000000"/>
          <w:szCs w:val="22"/>
        </w:rPr>
        <w:t>Cap-kBTUh</w:t>
      </w:r>
      <w:r w:rsidR="005B6321" w:rsidRPr="00462109">
        <w:rPr>
          <w:rFonts w:cs="Calibri Light"/>
          <w:szCs w:val="22"/>
        </w:rPr>
        <w:t>) for SWSV013C &amp; SWSV013D</w:t>
      </w:r>
      <w:r w:rsidR="001064AF" w:rsidRPr="00462109">
        <w:rPr>
          <w:rFonts w:cs="Calibri Light"/>
          <w:szCs w:val="22"/>
        </w:rPr>
        <w:t>.</w:t>
      </w:r>
      <w:r w:rsidR="00F746F7" w:rsidRPr="00462109">
        <w:rPr>
          <w:rFonts w:cs="Calibri Light"/>
          <w:szCs w:val="22"/>
        </w:rPr>
        <w:t xml:space="preserve"> </w:t>
      </w:r>
      <w:r w:rsidR="001524AF" w:rsidRPr="00F10AD1">
        <w:rPr>
          <w:szCs w:val="22"/>
        </w:rPr>
        <w:t>It should be noted that the initial revision</w:t>
      </w:r>
      <w:r w:rsidR="001524AF">
        <w:t xml:space="preserve"> of this workpaper </w:t>
      </w:r>
      <w:r w:rsidR="00A75B49">
        <w:t xml:space="preserve">used </w:t>
      </w:r>
      <w:r w:rsidR="000F31AC">
        <w:t>Cap-Tons as the normalizing unit for all system options, which did not make sense for a furnace</w:t>
      </w:r>
      <w:r w:rsidR="004F141F">
        <w:t>-</w:t>
      </w:r>
      <w:r w:rsidR="000F31AC">
        <w:t xml:space="preserve">only </w:t>
      </w:r>
      <w:r w:rsidR="00BE10F6">
        <w:t>system that has no cooling capacity (</w:t>
      </w:r>
      <w:r w:rsidR="009F3DEA">
        <w:t xml:space="preserve">where </w:t>
      </w:r>
      <w:r w:rsidR="009F3DEA" w:rsidRPr="00CC28EF">
        <w:t>BldgHVAC</w:t>
      </w:r>
      <w:r w:rsidR="009F3DEA">
        <w:t xml:space="preserve"> = “rNCGF”). This has been updated so that the rNCGF</w:t>
      </w:r>
      <w:r w:rsidR="00A963DA">
        <w:t xml:space="preserve"> system now has its own </w:t>
      </w:r>
      <w:r w:rsidR="00A963DA" w:rsidRPr="00A963DA">
        <w:t>Statewide Measure Offering ID</w:t>
      </w:r>
      <w:r w:rsidR="00A963DA">
        <w:t xml:space="preserve">s where the normalizing units have been converted </w:t>
      </w:r>
      <w:r w:rsidR="00D148B4">
        <w:t xml:space="preserve">from Cap-Tons to </w:t>
      </w:r>
      <w:r w:rsidR="002E4732">
        <w:t>Cap-kBTUh by applying a conversion factor per recommendation from CPUC staff</w:t>
      </w:r>
      <w:r w:rsidR="0025543C">
        <w:rPr>
          <w:rStyle w:val="FootnoteReference"/>
        </w:rPr>
        <w:footnoteReference w:id="2"/>
      </w:r>
      <w:r w:rsidR="002E4732">
        <w:t xml:space="preserve">. </w:t>
      </w:r>
      <w:r w:rsidR="00B323F8">
        <w:t>This conversion factor is shown in the following table.</w:t>
      </w:r>
    </w:p>
    <w:tbl>
      <w:tblPr>
        <w:tblW w:w="71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52"/>
        <w:gridCol w:w="3553"/>
      </w:tblGrid>
      <w:tr w:rsidR="00B323F8" w:rsidRPr="00154391" w14:paraId="547C272E" w14:textId="77777777" w:rsidTr="005B3921">
        <w:trPr>
          <w:cantSplit/>
          <w:trHeight w:val="20"/>
          <w:tblHeader/>
        </w:trPr>
        <w:tc>
          <w:tcPr>
            <w:tcW w:w="3552" w:type="dxa"/>
            <w:shd w:val="clear" w:color="auto" w:fill="F2F2F2" w:themeFill="background1" w:themeFillShade="F2"/>
            <w:vAlign w:val="bottom"/>
          </w:tcPr>
          <w:p w14:paraId="54257826" w14:textId="48F69742" w:rsidR="00B323F8" w:rsidRPr="00154391" w:rsidRDefault="002A7BE7" w:rsidP="00222536">
            <w:pPr>
              <w:keepNext/>
              <w:keepLines/>
              <w:spacing w:before="20" w:after="20"/>
              <w:rPr>
                <w:b/>
                <w:sz w:val="20"/>
                <w:szCs w:val="20"/>
              </w:rPr>
            </w:pPr>
            <w:r>
              <w:rPr>
                <w:b/>
                <w:sz w:val="20"/>
              </w:rPr>
              <w:t>Building Type</w:t>
            </w:r>
          </w:p>
        </w:tc>
        <w:tc>
          <w:tcPr>
            <w:tcW w:w="3553" w:type="dxa"/>
            <w:shd w:val="clear" w:color="auto" w:fill="F2F2F2" w:themeFill="background1" w:themeFillShade="F2"/>
            <w:vAlign w:val="bottom"/>
          </w:tcPr>
          <w:p w14:paraId="3C7F30D5" w14:textId="0D4D91DD" w:rsidR="00B323F8" w:rsidRPr="00154391" w:rsidRDefault="00BF2B2B" w:rsidP="00222536">
            <w:pPr>
              <w:keepNext/>
              <w:keepLines/>
              <w:spacing w:before="20" w:after="20"/>
              <w:jc w:val="center"/>
              <w:rPr>
                <w:b/>
                <w:sz w:val="20"/>
                <w:szCs w:val="20"/>
              </w:rPr>
            </w:pPr>
            <w:r>
              <w:rPr>
                <w:b/>
                <w:sz w:val="20"/>
              </w:rPr>
              <w:t>Ratio of Res Heat/Cool Cap, kBtuh/ton</w:t>
            </w:r>
          </w:p>
        </w:tc>
      </w:tr>
      <w:tr w:rsidR="00B323F8" w:rsidRPr="00FB030E" w14:paraId="037CFED3" w14:textId="77777777" w:rsidTr="005B3921">
        <w:trPr>
          <w:cantSplit/>
          <w:trHeight w:val="20"/>
        </w:trPr>
        <w:tc>
          <w:tcPr>
            <w:tcW w:w="3552" w:type="dxa"/>
            <w:shd w:val="clear" w:color="auto" w:fill="auto"/>
            <w:vAlign w:val="center"/>
          </w:tcPr>
          <w:p w14:paraId="39F7F996" w14:textId="61884EE9" w:rsidR="00B323F8" w:rsidRPr="00BD6838" w:rsidRDefault="002A7BE7" w:rsidP="00222536">
            <w:pPr>
              <w:spacing w:before="20" w:after="20"/>
              <w:rPr>
                <w:sz w:val="20"/>
                <w:szCs w:val="20"/>
              </w:rPr>
            </w:pPr>
            <w:r>
              <w:rPr>
                <w:sz w:val="20"/>
              </w:rPr>
              <w:t>DMo</w:t>
            </w:r>
          </w:p>
        </w:tc>
        <w:tc>
          <w:tcPr>
            <w:tcW w:w="3553" w:type="dxa"/>
            <w:shd w:val="clear" w:color="auto" w:fill="auto"/>
            <w:vAlign w:val="center"/>
          </w:tcPr>
          <w:p w14:paraId="792EBC37" w14:textId="73786555" w:rsidR="00B323F8" w:rsidRPr="00FB030E" w:rsidRDefault="00BF2B2B" w:rsidP="005B3921">
            <w:pPr>
              <w:spacing w:before="20" w:after="20"/>
              <w:jc w:val="center"/>
              <w:rPr>
                <w:sz w:val="20"/>
                <w:szCs w:val="20"/>
              </w:rPr>
            </w:pPr>
            <w:bookmarkStart w:id="28" w:name="_Hlk59617713"/>
            <w:r>
              <w:rPr>
                <w:sz w:val="20"/>
                <w:szCs w:val="20"/>
              </w:rPr>
              <w:t>15.71</w:t>
            </w:r>
            <w:bookmarkEnd w:id="28"/>
          </w:p>
        </w:tc>
      </w:tr>
    </w:tbl>
    <w:p w14:paraId="32330A72" w14:textId="77777777" w:rsidR="00B323F8" w:rsidRDefault="00B323F8" w:rsidP="001A4096"/>
    <w:p w14:paraId="558C6770" w14:textId="77777777" w:rsidR="00ED350A" w:rsidRPr="007D230B" w:rsidRDefault="00ED350A" w:rsidP="00486585"/>
    <w:p w14:paraId="2F4904E6" w14:textId="77777777" w:rsidR="007D230B" w:rsidRPr="004B06E3" w:rsidRDefault="007D230B" w:rsidP="0078138C">
      <w:pPr>
        <w:pStyle w:val="eTRMHeading3"/>
      </w:pPr>
      <w:bookmarkStart w:id="29" w:name="_Toc486490852"/>
      <w:bookmarkStart w:id="30" w:name="_Toc486580923"/>
      <w:bookmarkStart w:id="31" w:name="_Toc67494038"/>
      <w:bookmarkStart w:id="32" w:name="_Hlk515365299"/>
      <w:bookmarkStart w:id="33" w:name="_Hlk515878271"/>
      <w:r w:rsidRPr="004B06E3">
        <w:t>Program Requirements</w:t>
      </w:r>
      <w:bookmarkEnd w:id="29"/>
      <w:bookmarkEnd w:id="30"/>
      <w:bookmarkEnd w:id="31"/>
      <w:r w:rsidRPr="004B06E3">
        <w:t xml:space="preserve"> </w:t>
      </w:r>
    </w:p>
    <w:p w14:paraId="2CD708C2" w14:textId="407CCA01" w:rsidR="00C264C1" w:rsidRPr="004F5BCA" w:rsidRDefault="000229F1" w:rsidP="004F5BCA">
      <w:pPr>
        <w:pStyle w:val="eTRMHeading4"/>
      </w:pPr>
      <w:bookmarkStart w:id="34" w:name="_Hlk516047641"/>
      <w:r>
        <w:t xml:space="preserve">Measure </w:t>
      </w:r>
      <w:r w:rsidR="003E50CF" w:rsidRPr="000229F1">
        <w:t>Implementation Eligibility</w:t>
      </w:r>
      <w:bookmarkStart w:id="35" w:name="_Hlk526859582"/>
      <w:bookmarkEnd w:id="32"/>
    </w:p>
    <w:p w14:paraId="6C44A6AD" w14:textId="465FA675" w:rsidR="00ED19E8" w:rsidRDefault="00ED19E8" w:rsidP="00A63625">
      <w:pPr>
        <w:rPr>
          <w:iCs/>
        </w:rPr>
      </w:pPr>
      <w:r>
        <w:rPr>
          <w:iCs/>
        </w:rPr>
        <w:t>All combinations o</w:t>
      </w:r>
      <w:r w:rsidR="00AE6B0E">
        <w:rPr>
          <w:iCs/>
        </w:rPr>
        <w:t>f</w:t>
      </w:r>
      <w:r>
        <w:rPr>
          <w:iCs/>
        </w:rPr>
        <w:t xml:space="preserve"> measure application type, delivery type, and sector that are established for </w:t>
      </w:r>
      <w:r w:rsidR="007D7872">
        <w:rPr>
          <w:iCs/>
        </w:rPr>
        <w:t xml:space="preserve">these </w:t>
      </w:r>
      <w:r>
        <w:rPr>
          <w:iCs/>
        </w:rPr>
        <w:t>measure</w:t>
      </w:r>
      <w:r w:rsidR="007D7872">
        <w:rPr>
          <w:iCs/>
        </w:rPr>
        <w:t>s</w:t>
      </w:r>
      <w:r>
        <w:rPr>
          <w:iCs/>
        </w:rPr>
        <w:t xml:space="preserv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7CB65D28" w14:textId="076D7CF4" w:rsidR="00A63625" w:rsidRPr="00C54ED6" w:rsidRDefault="00C54ED6" w:rsidP="00A63625">
      <w:pPr>
        <w:rPr>
          <w:i/>
          <w:iCs/>
        </w:rPr>
      </w:pPr>
      <w:r>
        <w:rPr>
          <w:i/>
          <w:iCs/>
        </w:rPr>
        <w:t>Note that some of the implementation combinations below may not be allowed for some measure offerings by all program administrators.</w:t>
      </w:r>
    </w:p>
    <w:p w14:paraId="5D87DBE2" w14:textId="0E5E6128" w:rsidR="00C264C1" w:rsidRDefault="00C264C1" w:rsidP="00C264C1">
      <w:pPr>
        <w:pStyle w:val="Caption"/>
      </w:pPr>
      <w:r>
        <w:lastRenderedPageBreak/>
        <w:t xml:space="preserve">Implementation Eligibility </w:t>
      </w:r>
    </w:p>
    <w:tbl>
      <w:tblPr>
        <w:tblW w:w="961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66"/>
        <w:gridCol w:w="2783"/>
        <w:gridCol w:w="3765"/>
      </w:tblGrid>
      <w:tr w:rsidR="00C264C1" w:rsidRPr="00A47168" w14:paraId="420016F9" w14:textId="77777777" w:rsidTr="007D7872">
        <w:trPr>
          <w:trHeight w:val="263"/>
        </w:trPr>
        <w:tc>
          <w:tcPr>
            <w:tcW w:w="3066" w:type="dxa"/>
            <w:shd w:val="clear" w:color="auto" w:fill="F2F2F2" w:themeFill="background1" w:themeFillShade="F2"/>
            <w:noWrap/>
            <w:tcMar>
              <w:top w:w="0" w:type="dxa"/>
              <w:left w:w="108" w:type="dxa"/>
              <w:bottom w:w="0" w:type="dxa"/>
              <w:right w:w="108" w:type="dxa"/>
            </w:tcMar>
            <w:vAlign w:val="bottom"/>
            <w:hideMark/>
          </w:tcPr>
          <w:p w14:paraId="400B58EC" w14:textId="77777777" w:rsidR="00C264C1" w:rsidRPr="00A47168" w:rsidRDefault="00C264C1" w:rsidP="007D7872">
            <w:pPr>
              <w:keepNext/>
              <w:spacing w:before="0" w:after="0"/>
              <w:jc w:val="both"/>
              <w:rPr>
                <w:b/>
                <w:bCs/>
                <w:sz w:val="20"/>
              </w:rPr>
            </w:pPr>
            <w:r w:rsidRPr="00A47168">
              <w:rPr>
                <w:b/>
                <w:bCs/>
                <w:sz w:val="20"/>
              </w:rPr>
              <w:t>Measure Application Type</w:t>
            </w:r>
          </w:p>
        </w:tc>
        <w:tc>
          <w:tcPr>
            <w:tcW w:w="2783" w:type="dxa"/>
            <w:shd w:val="clear" w:color="auto" w:fill="F2F2F2" w:themeFill="background1" w:themeFillShade="F2"/>
            <w:noWrap/>
            <w:tcMar>
              <w:top w:w="0" w:type="dxa"/>
              <w:left w:w="108" w:type="dxa"/>
              <w:bottom w:w="0" w:type="dxa"/>
              <w:right w:w="108" w:type="dxa"/>
            </w:tcMar>
            <w:vAlign w:val="bottom"/>
            <w:hideMark/>
          </w:tcPr>
          <w:p w14:paraId="0E5F3E30" w14:textId="77777777" w:rsidR="00C264C1" w:rsidRPr="00A47168" w:rsidRDefault="00C264C1" w:rsidP="007D7872">
            <w:pPr>
              <w:keepNext/>
              <w:spacing w:before="0" w:after="0"/>
              <w:rPr>
                <w:b/>
                <w:bCs/>
                <w:sz w:val="20"/>
              </w:rPr>
            </w:pPr>
            <w:r w:rsidRPr="00A47168">
              <w:rPr>
                <w:b/>
                <w:bCs/>
                <w:sz w:val="20"/>
              </w:rPr>
              <w:t>Delivery Type</w:t>
            </w:r>
          </w:p>
        </w:tc>
        <w:tc>
          <w:tcPr>
            <w:tcW w:w="3765" w:type="dxa"/>
            <w:shd w:val="clear" w:color="auto" w:fill="F2F2F2" w:themeFill="background1" w:themeFillShade="F2"/>
            <w:noWrap/>
            <w:tcMar>
              <w:top w:w="0" w:type="dxa"/>
              <w:left w:w="108" w:type="dxa"/>
              <w:bottom w:w="0" w:type="dxa"/>
              <w:right w:w="108" w:type="dxa"/>
            </w:tcMar>
            <w:vAlign w:val="bottom"/>
            <w:hideMark/>
          </w:tcPr>
          <w:p w14:paraId="76E172DA" w14:textId="77777777" w:rsidR="00C264C1" w:rsidRPr="00A47168" w:rsidRDefault="00C264C1" w:rsidP="007D7872">
            <w:pPr>
              <w:keepNext/>
              <w:spacing w:before="0" w:after="0"/>
              <w:rPr>
                <w:b/>
                <w:bCs/>
                <w:sz w:val="20"/>
              </w:rPr>
            </w:pPr>
            <w:r w:rsidRPr="00A47168">
              <w:rPr>
                <w:b/>
                <w:bCs/>
                <w:sz w:val="20"/>
              </w:rPr>
              <w:t>Sector</w:t>
            </w:r>
          </w:p>
        </w:tc>
      </w:tr>
      <w:tr w:rsidR="00C264C1" w:rsidRPr="00A47168" w14:paraId="05F37BB9" w14:textId="77777777" w:rsidTr="00626809">
        <w:trPr>
          <w:trHeight w:val="278"/>
        </w:trPr>
        <w:tc>
          <w:tcPr>
            <w:tcW w:w="3066" w:type="dxa"/>
            <w:noWrap/>
            <w:tcMar>
              <w:top w:w="0" w:type="dxa"/>
              <w:left w:w="108" w:type="dxa"/>
              <w:bottom w:w="0" w:type="dxa"/>
              <w:right w:w="108" w:type="dxa"/>
            </w:tcMar>
            <w:vAlign w:val="center"/>
          </w:tcPr>
          <w:p w14:paraId="187E1903" w14:textId="68D3B23D" w:rsidR="00C264C1" w:rsidRPr="43412CC0" w:rsidRDefault="00655F79" w:rsidP="00626809">
            <w:pPr>
              <w:spacing w:before="20" w:after="20"/>
              <w:rPr>
                <w:sz w:val="20"/>
                <w:szCs w:val="20"/>
              </w:rPr>
            </w:pPr>
            <w:r>
              <w:rPr>
                <w:sz w:val="20"/>
                <w:szCs w:val="20"/>
              </w:rPr>
              <w:t>BW</w:t>
            </w:r>
          </w:p>
        </w:tc>
        <w:tc>
          <w:tcPr>
            <w:tcW w:w="2783" w:type="dxa"/>
            <w:noWrap/>
            <w:tcMar>
              <w:top w:w="0" w:type="dxa"/>
              <w:left w:w="108" w:type="dxa"/>
              <w:bottom w:w="0" w:type="dxa"/>
              <w:right w:w="108" w:type="dxa"/>
            </w:tcMar>
            <w:vAlign w:val="center"/>
          </w:tcPr>
          <w:p w14:paraId="389257AA" w14:textId="77777777" w:rsidR="00C264C1" w:rsidRPr="00A47168" w:rsidRDefault="00C264C1" w:rsidP="00626809">
            <w:pPr>
              <w:spacing w:before="0" w:after="0"/>
              <w:rPr>
                <w:color w:val="000000"/>
                <w:sz w:val="20"/>
                <w:szCs w:val="20"/>
              </w:rPr>
            </w:pPr>
            <w:r>
              <w:rPr>
                <w:color w:val="000000"/>
                <w:sz w:val="20"/>
                <w:szCs w:val="20"/>
              </w:rPr>
              <w:t>DnDeemDI</w:t>
            </w:r>
          </w:p>
        </w:tc>
        <w:tc>
          <w:tcPr>
            <w:tcW w:w="3765" w:type="dxa"/>
            <w:noWrap/>
            <w:tcMar>
              <w:top w:w="0" w:type="dxa"/>
              <w:left w:w="108" w:type="dxa"/>
              <w:bottom w:w="0" w:type="dxa"/>
              <w:right w:w="108" w:type="dxa"/>
            </w:tcMar>
            <w:vAlign w:val="center"/>
          </w:tcPr>
          <w:p w14:paraId="6139EAD9" w14:textId="6BB9015D" w:rsidR="00C264C1" w:rsidRPr="00A47168" w:rsidRDefault="00C264C1" w:rsidP="00626809">
            <w:pPr>
              <w:keepNext/>
              <w:spacing w:before="0" w:after="0"/>
              <w:rPr>
                <w:color w:val="000000"/>
                <w:sz w:val="20"/>
                <w:szCs w:val="20"/>
              </w:rPr>
            </w:pPr>
            <w:r w:rsidRPr="4C0DCA76">
              <w:rPr>
                <w:color w:val="000000"/>
                <w:sz w:val="20"/>
                <w:szCs w:val="20"/>
              </w:rPr>
              <w:t>Residential</w:t>
            </w:r>
            <w:r w:rsidR="00223F73">
              <w:rPr>
                <w:color w:val="000000"/>
                <w:sz w:val="20"/>
                <w:szCs w:val="20"/>
              </w:rPr>
              <w:t xml:space="preserve"> (DMo)</w:t>
            </w:r>
          </w:p>
        </w:tc>
      </w:tr>
      <w:bookmarkEnd w:id="35"/>
    </w:tbl>
    <w:p w14:paraId="73035A5C" w14:textId="77777777" w:rsidR="001B426F" w:rsidRDefault="001B426F" w:rsidP="001B426F"/>
    <w:bookmarkEnd w:id="33"/>
    <w:bookmarkEnd w:id="34"/>
    <w:p w14:paraId="50711562" w14:textId="5D0894B2" w:rsidR="00AA46AF" w:rsidRDefault="00196649" w:rsidP="001D0039">
      <w:pPr>
        <w:pStyle w:val="eTRMHeading4"/>
      </w:pPr>
      <w:r>
        <w:t>Eligible Products</w:t>
      </w:r>
    </w:p>
    <w:p w14:paraId="3E281B27" w14:textId="1D96A853" w:rsidR="00C54ED6" w:rsidRPr="001D5AB9" w:rsidRDefault="00C54ED6" w:rsidP="00C54ED6">
      <w:r w:rsidRPr="00955F00">
        <w:rPr>
          <w:iCs/>
        </w:rPr>
        <w:t xml:space="preserve">The Return </w:t>
      </w:r>
      <w:r>
        <w:rPr>
          <w:iCs/>
        </w:rPr>
        <w:t>D</w:t>
      </w:r>
      <w:r w:rsidRPr="00955F00">
        <w:rPr>
          <w:iCs/>
        </w:rPr>
        <w:t xml:space="preserve">uct </w:t>
      </w:r>
      <w:r>
        <w:rPr>
          <w:iCs/>
        </w:rPr>
        <w:t>R</w:t>
      </w:r>
      <w:r w:rsidRPr="00955F00">
        <w:rPr>
          <w:iCs/>
        </w:rPr>
        <w:t>etrofit measure shall be installed by a residential HVAC contractor</w:t>
      </w:r>
      <w:r>
        <w:t xml:space="preserve"> in a mobile home where there is an existing open belly return with a supply system in the ceiling. The open belly return is a non-ducted return air system with high leakage. Mobile homes with a ducted return are not eligible for this measure. Installed return ducts </w:t>
      </w:r>
      <w:r w:rsidR="00774CD9">
        <w:t>shall</w:t>
      </w:r>
      <w:r w:rsidR="007D7872">
        <w:t xml:space="preserve"> </w:t>
      </w:r>
      <w:r>
        <w:t xml:space="preserve">be made from </w:t>
      </w:r>
      <w:r w:rsidR="007D7872">
        <w:t xml:space="preserve">either </w:t>
      </w:r>
      <w:r>
        <w:t xml:space="preserve">galvanized steel, tinplated steel, or aluminum, or </w:t>
      </w:r>
      <w:r w:rsidR="00774CD9">
        <w:t>shall</w:t>
      </w:r>
      <w:r w:rsidR="007D7872">
        <w:t xml:space="preserve"> </w:t>
      </w:r>
      <w:r>
        <w:t xml:space="preserve">be listed </w:t>
      </w:r>
      <w:r w:rsidR="007D7872">
        <w:t xml:space="preserve">as </w:t>
      </w:r>
      <w:r>
        <w:t xml:space="preserve">Class 0 or Class 1 air ducts under Underwriters' Laboratories, Inc. Standard for Air Ducts, UL181-1972. This measure requires a hard metal ducted return installed directly at the return air plenum. Return ducts in unconditioned spaces </w:t>
      </w:r>
      <w:r w:rsidR="00E13D52">
        <w:t>shall</w:t>
      </w:r>
      <w:r w:rsidR="002A4225">
        <w:t xml:space="preserve"> </w:t>
      </w:r>
      <w:r>
        <w:t>be insulated with material having an effective thermal resistance (R) of not less than 4.0.</w:t>
      </w:r>
    </w:p>
    <w:p w14:paraId="23A66E21" w14:textId="60131775" w:rsidR="00C54ED6" w:rsidRDefault="00C54ED6" w:rsidP="00C54ED6">
      <w:r w:rsidRPr="4C0DCA76">
        <w:t>Testing</w:t>
      </w:r>
      <w:r>
        <w:t xml:space="preserve">: </w:t>
      </w:r>
      <w:r w:rsidRPr="4C0DCA76">
        <w:t xml:space="preserve">Belly return systems </w:t>
      </w:r>
      <w:r w:rsidR="00657A0C">
        <w:t>shall</w:t>
      </w:r>
      <w:r w:rsidR="007D7872" w:rsidRPr="4C0DCA76">
        <w:t xml:space="preserve"> </w:t>
      </w:r>
      <w:r w:rsidRPr="4C0DCA76">
        <w:t xml:space="preserve">be verified by a pre and post total leakage duct test at 25 pascals on the return side of the duct system only. This </w:t>
      </w:r>
      <w:r w:rsidR="00657A0C">
        <w:t>shall</w:t>
      </w:r>
      <w:r w:rsidR="007D7872" w:rsidRPr="4C0DCA76">
        <w:t xml:space="preserve"> </w:t>
      </w:r>
      <w:r w:rsidRPr="4C0DCA76">
        <w:t xml:space="preserve">be achieved by separating the supply from return side of the duct system by sealing at the air handler/furnace, typically at the filter slot to eliminate supply side leakage from the test. </w:t>
      </w:r>
    </w:p>
    <w:p w14:paraId="42DB9BFD" w14:textId="77777777" w:rsidR="00C54ED6" w:rsidRDefault="00C54ED6" w:rsidP="00C54ED6"/>
    <w:p w14:paraId="7DFC14FE" w14:textId="06DBD868" w:rsidR="00C54ED6" w:rsidRDefault="00C54ED6" w:rsidP="00C54ED6">
      <w:r w:rsidRPr="006E60D7">
        <w:t xml:space="preserve">The Crossover Duct Replacement measure </w:t>
      </w:r>
      <w:r w:rsidR="00657A0C">
        <w:t>shall</w:t>
      </w:r>
      <w:r w:rsidR="007D7872" w:rsidRPr="006E60D7">
        <w:t xml:space="preserve"> </w:t>
      </w:r>
      <w:r w:rsidRPr="006E60D7">
        <w:t>b</w:t>
      </w:r>
      <w:r>
        <w:t xml:space="preserve">e installed by a residential HVAC contractor in an extended mobile home where two or more sections of the home has been joined. The crossover duct connects the supply ducting of two or more sections. The ducting must be deteriorated, damaged, or not installed correctly to be eligible for this measure. Crossover ducts </w:t>
      </w:r>
      <w:r w:rsidR="00657A0C">
        <w:t>shall</w:t>
      </w:r>
      <w:r w:rsidR="002A4225">
        <w:t xml:space="preserve"> </w:t>
      </w:r>
      <w:r>
        <w:t xml:space="preserve">be made from galvanized steel, tinplated steel, </w:t>
      </w:r>
      <w:r w:rsidR="00BA1004">
        <w:t xml:space="preserve">or </w:t>
      </w:r>
      <w:r>
        <w:t xml:space="preserve">aluminum. The crossover duct </w:t>
      </w:r>
      <w:r w:rsidR="00657A0C">
        <w:t>shall</w:t>
      </w:r>
      <w:r w:rsidR="002A4225">
        <w:t xml:space="preserve"> </w:t>
      </w:r>
      <w:r>
        <w:t xml:space="preserve">be supported and or prevented from ground contact. </w:t>
      </w:r>
      <w:r w:rsidR="006200A3">
        <w:t>If located in interior areas, not exposed to outdoor air, c</w:t>
      </w:r>
      <w:r>
        <w:t xml:space="preserve">rossover ducts </w:t>
      </w:r>
      <w:r w:rsidR="00657A0C">
        <w:t>shall</w:t>
      </w:r>
      <w:r w:rsidR="002A4225">
        <w:t xml:space="preserve"> </w:t>
      </w:r>
      <w:r>
        <w:t>be insulated with material having an effective thermal resistance (R) of not less than 4.0</w:t>
      </w:r>
      <w:r w:rsidR="00566EB1">
        <w:t>. If the crossover duct is installed in an area that is exposed to outdoor air</w:t>
      </w:r>
      <w:r w:rsidR="000516B9">
        <w:t xml:space="preserve">, such as </w:t>
      </w:r>
      <w:r w:rsidR="00516667">
        <w:t>outside the building’</w:t>
      </w:r>
      <w:r w:rsidR="008178DB">
        <w:t>s envelope</w:t>
      </w:r>
      <w:r w:rsidR="00FB40B0">
        <w:t xml:space="preserve">, the </w:t>
      </w:r>
      <w:r w:rsidR="00FB5D04">
        <w:t xml:space="preserve">ducts shall be insulated with material having effective thermal resistance (R) of not less than 8.0. </w:t>
      </w:r>
    </w:p>
    <w:p w14:paraId="4ABE5D8B" w14:textId="14EB9DD9" w:rsidR="00C54ED6" w:rsidRDefault="00C54ED6" w:rsidP="00C54ED6">
      <w:r>
        <w:t>Testing: Crossover duct replacement leakage reduction will be verified by a total leakage test pre and post replacement in accordance with current RESNET standards by a qualified technician. Crossover replacement is done in conjunction with duct sealing measure SWSV001</w:t>
      </w:r>
      <w:r w:rsidR="00D70621">
        <w:t>;</w:t>
      </w:r>
      <w:r>
        <w:t xml:space="preserve"> refer to this measure’s testing requirements for mobile homes.</w:t>
      </w:r>
    </w:p>
    <w:p w14:paraId="454F21D0" w14:textId="77777777" w:rsidR="002942B0" w:rsidRDefault="002942B0" w:rsidP="002942B0"/>
    <w:p w14:paraId="7CE938DA" w14:textId="2434378C" w:rsidR="007B6A74" w:rsidRPr="00401C43" w:rsidRDefault="007B6A74" w:rsidP="001D0039">
      <w:pPr>
        <w:pStyle w:val="eTRMHeading4"/>
      </w:pPr>
      <w:r w:rsidRPr="00401C43">
        <w:t>Eligible Building Types</w:t>
      </w:r>
      <w:r w:rsidR="00E57AAD">
        <w:t xml:space="preserve"> and Vintages</w:t>
      </w:r>
    </w:p>
    <w:p w14:paraId="4CF6C98B" w14:textId="0615AB98" w:rsidR="004B6780" w:rsidRDefault="00D8773A" w:rsidP="004B6780">
      <w:r>
        <w:t xml:space="preserve">This measure is applicable for any existing mobile home that uses air-cooled, direct expansion </w:t>
      </w:r>
      <w:r w:rsidR="00F640A9">
        <w:t>(DX) cooling and gas heating, gas heating with no cooling, or heat pump</w:t>
      </w:r>
      <w:r w:rsidR="00905A62">
        <w:t>.</w:t>
      </w:r>
    </w:p>
    <w:p w14:paraId="4A9FD22A" w14:textId="5F01EE12" w:rsidR="004B6780" w:rsidRDefault="004B6780" w:rsidP="004B6780">
      <w:r>
        <w:t xml:space="preserve">This measure is applicable </w:t>
      </w:r>
      <w:r w:rsidR="00097497">
        <w:t>in</w:t>
      </w:r>
      <w:r>
        <w:t xml:space="preserve"> </w:t>
      </w:r>
      <w:r w:rsidR="64B0A0DA">
        <w:t>all</w:t>
      </w:r>
      <w:r>
        <w:t xml:space="preserve"> California climate zones.</w:t>
      </w:r>
    </w:p>
    <w:p w14:paraId="4F0645E5" w14:textId="77777777" w:rsidR="00E5621D" w:rsidRPr="004B06E3" w:rsidRDefault="00E5621D" w:rsidP="004B06E3"/>
    <w:p w14:paraId="47630D60" w14:textId="3032868F" w:rsidR="007D230B" w:rsidRPr="004B06E3" w:rsidRDefault="007D230B" w:rsidP="0078138C">
      <w:pPr>
        <w:pStyle w:val="eTRMHeading3"/>
      </w:pPr>
      <w:bookmarkStart w:id="36" w:name="_Toc486490853"/>
      <w:bookmarkStart w:id="37" w:name="_Toc486580924"/>
      <w:bookmarkStart w:id="38" w:name="_Toc67494039"/>
      <w:r w:rsidRPr="004B06E3">
        <w:t>Program Exclusions</w:t>
      </w:r>
      <w:bookmarkEnd w:id="36"/>
      <w:bookmarkEnd w:id="37"/>
      <w:bookmarkEnd w:id="38"/>
      <w:r w:rsidRPr="004B06E3">
        <w:t xml:space="preserve"> </w:t>
      </w:r>
    </w:p>
    <w:p w14:paraId="5E415848" w14:textId="5590E3ED" w:rsidR="006C7D80" w:rsidRDefault="008B3FF1" w:rsidP="00065E54">
      <w:pPr>
        <w:rPr>
          <w:strike/>
        </w:rPr>
      </w:pPr>
      <w:r>
        <w:t>None</w:t>
      </w:r>
    </w:p>
    <w:p w14:paraId="655E299F" w14:textId="387FB24A" w:rsidR="007D230B" w:rsidRPr="004B06E3" w:rsidRDefault="007D230B" w:rsidP="0078138C">
      <w:pPr>
        <w:pStyle w:val="eTRMHeading3"/>
      </w:pPr>
      <w:bookmarkStart w:id="39" w:name="_Toc486490854"/>
      <w:bookmarkStart w:id="40" w:name="_Toc486580925"/>
      <w:bookmarkStart w:id="41" w:name="_Toc67494040"/>
      <w:r w:rsidRPr="004B06E3">
        <w:lastRenderedPageBreak/>
        <w:t>Data Collection Requirements</w:t>
      </w:r>
      <w:bookmarkEnd w:id="39"/>
      <w:bookmarkEnd w:id="40"/>
      <w:bookmarkEnd w:id="41"/>
      <w:r w:rsidRPr="004B06E3">
        <w:t xml:space="preserve"> </w:t>
      </w:r>
    </w:p>
    <w:p w14:paraId="2E2E1156" w14:textId="103C05CA" w:rsidR="00E5621D" w:rsidRDefault="11B38861" w:rsidP="004B06E3">
      <w:r>
        <w:t xml:space="preserve">Pre and post leakage rates will be recorded for both </w:t>
      </w:r>
      <w:r w:rsidR="0026639E">
        <w:t xml:space="preserve">return duct retrofits and </w:t>
      </w:r>
      <w:r>
        <w:t>crossover</w:t>
      </w:r>
      <w:r w:rsidR="6225CB91">
        <w:t xml:space="preserve"> replacements</w:t>
      </w:r>
      <w:r w:rsidR="4F3788C3">
        <w:t>.</w:t>
      </w:r>
    </w:p>
    <w:p w14:paraId="5F26F5F1" w14:textId="77777777" w:rsidR="006C7D80" w:rsidRPr="004B06E3" w:rsidRDefault="006C7D80" w:rsidP="004B06E3"/>
    <w:p w14:paraId="4891FCAB" w14:textId="799A516C" w:rsidR="007D230B" w:rsidRPr="004B06E3" w:rsidRDefault="007D230B" w:rsidP="0078138C">
      <w:pPr>
        <w:pStyle w:val="eTRMHeading3"/>
      </w:pPr>
      <w:bookmarkStart w:id="42" w:name="_Toc486490855"/>
      <w:bookmarkStart w:id="43" w:name="_Toc486580926"/>
      <w:bookmarkStart w:id="44" w:name="_Toc67494041"/>
      <w:r w:rsidRPr="004B06E3">
        <w:t>Use Category</w:t>
      </w:r>
      <w:bookmarkEnd w:id="42"/>
      <w:bookmarkEnd w:id="43"/>
      <w:bookmarkEnd w:id="44"/>
    </w:p>
    <w:p w14:paraId="13382FF9" w14:textId="404A729C" w:rsidR="004142EF" w:rsidRDefault="2913B007" w:rsidP="004B06E3">
      <w:r>
        <w:t>Service</w:t>
      </w:r>
    </w:p>
    <w:p w14:paraId="54934967" w14:textId="77777777" w:rsidR="00E5621D" w:rsidRPr="004B06E3" w:rsidRDefault="00E5621D" w:rsidP="004B06E3"/>
    <w:p w14:paraId="4B62D367" w14:textId="77599369" w:rsidR="007D230B" w:rsidRDefault="007D230B" w:rsidP="0078138C">
      <w:pPr>
        <w:pStyle w:val="eTRMHeading3"/>
      </w:pPr>
      <w:bookmarkStart w:id="45" w:name="_Toc486490857"/>
      <w:bookmarkStart w:id="46" w:name="_Toc486580928"/>
      <w:bookmarkStart w:id="47" w:name="_Toc67494042"/>
      <w:r w:rsidRPr="004B06E3">
        <w:t>Electric Savings</w:t>
      </w:r>
      <w:r w:rsidR="00245AFF" w:rsidRPr="004B06E3">
        <w:t xml:space="preserve"> (</w:t>
      </w:r>
      <w:r w:rsidR="001D0039" w:rsidRPr="00097497">
        <w:rPr>
          <w:caps w:val="0"/>
        </w:rPr>
        <w:t>kWh</w:t>
      </w:r>
      <w:r w:rsidR="00245AFF" w:rsidRPr="004B06E3">
        <w:t>)</w:t>
      </w:r>
      <w:bookmarkEnd w:id="45"/>
      <w:bookmarkEnd w:id="46"/>
      <w:bookmarkEnd w:id="47"/>
    </w:p>
    <w:p w14:paraId="3FE20891" w14:textId="77777777" w:rsidR="00E748B5" w:rsidRDefault="00E748B5" w:rsidP="00C3097E">
      <w:pPr>
        <w:pStyle w:val="eTRMHeading4"/>
      </w:pPr>
    </w:p>
    <w:p w14:paraId="4279267E" w14:textId="6F81C0F6" w:rsidR="004010AA" w:rsidRDefault="00E407E7" w:rsidP="00C3097E">
      <w:pPr>
        <w:pStyle w:val="eTRMHeading4"/>
      </w:pPr>
      <w:r>
        <w:t>SWSV013A</w:t>
      </w:r>
      <w:r w:rsidR="00565716">
        <w:t xml:space="preserve"> &amp; SWSV013C</w:t>
      </w:r>
      <w:r>
        <w:t xml:space="preserve"> – Return Duct Retrofit</w:t>
      </w:r>
    </w:p>
    <w:p w14:paraId="16CC65B9" w14:textId="2E7C3AC1" w:rsidR="0076625B" w:rsidRDefault="007212FA" w:rsidP="0076625B">
      <w:pPr>
        <w:spacing w:before="0" w:line="276" w:lineRule="auto"/>
      </w:pPr>
      <w:r>
        <w:t>Energy s</w:t>
      </w:r>
      <w:r w:rsidR="001B3352">
        <w:t>avings and demand reduction for the Return Duct Retrofit measure were estimated using eQUEST 3.65-v7175</w:t>
      </w:r>
      <w:r w:rsidR="00700BA3">
        <w:t xml:space="preserve"> energy modeling software with the DEER2020 double-wide mobile home (DMo) </w:t>
      </w:r>
      <w:r w:rsidR="00D247B2">
        <w:t>prototype extracted from MASControl3 using Measure ID “RB-HV-DuctSeal-35pct-15pct”</w:t>
      </w:r>
      <w:r w:rsidR="003A64D3">
        <w:t xml:space="preserve">. The </w:t>
      </w:r>
      <w:r w:rsidR="00E009D5">
        <w:t xml:space="preserve">simulation approach for </w:t>
      </w:r>
      <w:r w:rsidR="002A4225">
        <w:t xml:space="preserve">this </w:t>
      </w:r>
      <w:r w:rsidR="00E009D5">
        <w:t>measure was discussed with CPUC representation (DNV GL)</w:t>
      </w:r>
      <w:r w:rsidR="00CA4968">
        <w:t>, and the following table summarizes the eQUEST keyword changes made for the Return Duct Retrofit measure</w:t>
      </w:r>
      <w:r w:rsidR="0076625B">
        <w:t>.</w:t>
      </w:r>
    </w:p>
    <w:p w14:paraId="7CC99B30" w14:textId="2BA6A258" w:rsidR="0076625B" w:rsidRPr="004B06E3" w:rsidRDefault="00BC37C6" w:rsidP="00BC37C6">
      <w:pPr>
        <w:pStyle w:val="Caption"/>
      </w:pPr>
      <w:r>
        <w:t>SWSV013A</w:t>
      </w:r>
      <w:r w:rsidR="008B5FE7">
        <w:t xml:space="preserve"> &amp; SWSV013C</w:t>
      </w:r>
      <w:r>
        <w:t xml:space="preserve"> Modeling Parameters</w:t>
      </w:r>
    </w:p>
    <w:tbl>
      <w:tblPr>
        <w:tblStyle w:val="TableGrid"/>
        <w:tblW w:w="9360" w:type="dxa"/>
        <w:tblInd w:w="-10" w:type="dxa"/>
        <w:tblLook w:val="04A0" w:firstRow="1" w:lastRow="0" w:firstColumn="1" w:lastColumn="0" w:noHBand="0" w:noVBand="1"/>
      </w:tblPr>
      <w:tblGrid>
        <w:gridCol w:w="1896"/>
        <w:gridCol w:w="1162"/>
        <w:gridCol w:w="1221"/>
        <w:gridCol w:w="1661"/>
        <w:gridCol w:w="1080"/>
        <w:gridCol w:w="1170"/>
        <w:gridCol w:w="1170"/>
      </w:tblGrid>
      <w:tr w:rsidR="72D0314C" w14:paraId="736694E6" w14:textId="77777777" w:rsidTr="00DB2BFF">
        <w:trPr>
          <w:trHeight w:val="255"/>
        </w:trPr>
        <w:tc>
          <w:tcPr>
            <w:tcW w:w="18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CFA6724" w14:textId="056D87D1" w:rsidR="005A1762" w:rsidRPr="00CA4968" w:rsidRDefault="005A1762" w:rsidP="00CA4968">
            <w:pPr>
              <w:keepNext/>
              <w:keepLines/>
              <w:spacing w:before="20" w:after="20"/>
              <w:rPr>
                <w:b/>
                <w:sz w:val="20"/>
                <w:szCs w:val="20"/>
              </w:rPr>
            </w:pPr>
          </w:p>
        </w:tc>
        <w:tc>
          <w:tcPr>
            <w:tcW w:w="4044"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82A2CA" w14:textId="1B689E1A" w:rsidR="72D0314C" w:rsidRPr="00CA4968" w:rsidRDefault="72D0314C" w:rsidP="00CA4968">
            <w:pPr>
              <w:keepNext/>
              <w:keepLines/>
              <w:spacing w:before="20" w:after="20"/>
              <w:jc w:val="center"/>
              <w:rPr>
                <w:b/>
                <w:sz w:val="20"/>
                <w:szCs w:val="20"/>
              </w:rPr>
            </w:pPr>
            <w:r w:rsidRPr="00CA4968">
              <w:rPr>
                <w:b/>
                <w:sz w:val="20"/>
                <w:szCs w:val="20"/>
              </w:rPr>
              <w:t>Global Parameters</w:t>
            </w:r>
          </w:p>
        </w:tc>
        <w:tc>
          <w:tcPr>
            <w:tcW w:w="342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AF9AAD1" w14:textId="0D126969" w:rsidR="72D0314C" w:rsidRPr="00CA4968" w:rsidRDefault="72D0314C" w:rsidP="00CA4968">
            <w:pPr>
              <w:keepNext/>
              <w:keepLines/>
              <w:spacing w:before="20" w:after="20"/>
              <w:jc w:val="center"/>
              <w:rPr>
                <w:b/>
                <w:sz w:val="20"/>
                <w:szCs w:val="20"/>
              </w:rPr>
            </w:pPr>
            <w:r w:rsidRPr="00CA4968">
              <w:rPr>
                <w:b/>
                <w:sz w:val="20"/>
                <w:szCs w:val="20"/>
              </w:rPr>
              <w:t>Keywords</w:t>
            </w:r>
          </w:p>
        </w:tc>
      </w:tr>
      <w:tr w:rsidR="005972FC" w14:paraId="6F3E7D70" w14:textId="77777777" w:rsidTr="00DB2BFF">
        <w:trPr>
          <w:trHeight w:val="510"/>
        </w:trPr>
        <w:tc>
          <w:tcPr>
            <w:tcW w:w="18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90D8FB" w14:textId="174C300A" w:rsidR="005972FC" w:rsidRPr="00CA4968" w:rsidRDefault="005972FC" w:rsidP="00CA4968">
            <w:pPr>
              <w:keepNext/>
              <w:keepLines/>
              <w:spacing w:before="20" w:after="20"/>
              <w:rPr>
                <w:b/>
                <w:sz w:val="20"/>
                <w:szCs w:val="20"/>
              </w:rPr>
            </w:pPr>
            <w:r w:rsidRPr="00CA4968">
              <w:rPr>
                <w:b/>
                <w:sz w:val="20"/>
                <w:szCs w:val="20"/>
              </w:rPr>
              <w:t xml:space="preserve">Measure </w:t>
            </w:r>
          </w:p>
          <w:p w14:paraId="10AD2AD7" w14:textId="6F51E1D2" w:rsidR="005972FC" w:rsidRPr="00CA4968" w:rsidRDefault="005972FC" w:rsidP="00CA4968">
            <w:pPr>
              <w:keepNext/>
              <w:keepLines/>
              <w:spacing w:before="20" w:after="20"/>
              <w:rPr>
                <w:b/>
                <w:sz w:val="20"/>
                <w:szCs w:val="20"/>
              </w:rPr>
            </w:pPr>
            <w:r w:rsidRPr="00CA4968">
              <w:rPr>
                <w:b/>
                <w:sz w:val="20"/>
                <w:szCs w:val="20"/>
              </w:rPr>
              <w:t>Description</w:t>
            </w:r>
          </w:p>
        </w:tc>
        <w:tc>
          <w:tcPr>
            <w:tcW w:w="1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0DF0735" w14:textId="08CDBFE1" w:rsidR="005972FC" w:rsidRPr="00CA4968" w:rsidRDefault="005972FC" w:rsidP="00CA4968">
            <w:pPr>
              <w:keepNext/>
              <w:keepLines/>
              <w:spacing w:before="20" w:after="20"/>
              <w:rPr>
                <w:b/>
                <w:sz w:val="20"/>
                <w:szCs w:val="20"/>
              </w:rPr>
            </w:pPr>
            <w:r w:rsidRPr="00CA4968">
              <w:rPr>
                <w:b/>
                <w:sz w:val="20"/>
                <w:szCs w:val="20"/>
              </w:rPr>
              <w:t>DuctAirLoss</w:t>
            </w:r>
          </w:p>
        </w:tc>
        <w:tc>
          <w:tcPr>
            <w:tcW w:w="12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F32B538" w14:textId="78D460F9" w:rsidR="005972FC" w:rsidRPr="00CA4968" w:rsidRDefault="005972FC" w:rsidP="00CA4968">
            <w:pPr>
              <w:keepNext/>
              <w:keepLines/>
              <w:spacing w:before="20" w:after="20"/>
              <w:rPr>
                <w:b/>
                <w:sz w:val="20"/>
                <w:szCs w:val="20"/>
              </w:rPr>
            </w:pPr>
            <w:r w:rsidRPr="00CA4968">
              <w:rPr>
                <w:b/>
                <w:sz w:val="20"/>
                <w:szCs w:val="20"/>
              </w:rPr>
              <w:t>DuctInAttic1</w:t>
            </w:r>
          </w:p>
        </w:tc>
        <w:tc>
          <w:tcPr>
            <w:tcW w:w="166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97B4A93" w14:textId="35199C62" w:rsidR="005972FC" w:rsidRPr="00CA4968" w:rsidRDefault="005972FC" w:rsidP="00CA4968">
            <w:pPr>
              <w:keepNext/>
              <w:keepLines/>
              <w:spacing w:before="20" w:after="20"/>
              <w:rPr>
                <w:b/>
                <w:sz w:val="20"/>
                <w:szCs w:val="20"/>
              </w:rPr>
            </w:pPr>
            <w:r w:rsidRPr="00CA4968">
              <w:rPr>
                <w:b/>
                <w:sz w:val="20"/>
                <w:szCs w:val="20"/>
              </w:rPr>
              <w:t>SupplyAirLossFrac</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B34DC5D" w14:textId="176E8C01" w:rsidR="005972FC" w:rsidRPr="00CA4968" w:rsidRDefault="005972FC" w:rsidP="00CA4968">
            <w:pPr>
              <w:keepNext/>
              <w:keepLines/>
              <w:spacing w:before="20" w:after="20"/>
              <w:rPr>
                <w:b/>
                <w:sz w:val="20"/>
                <w:szCs w:val="20"/>
              </w:rPr>
            </w:pPr>
            <w:r w:rsidRPr="00CA4968">
              <w:rPr>
                <w:b/>
                <w:sz w:val="20"/>
                <w:szCs w:val="20"/>
              </w:rPr>
              <w:t>DUCT-AIR-LOSS</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CB98936" w14:textId="25DBB140" w:rsidR="005972FC" w:rsidRPr="00CA4968" w:rsidRDefault="005972FC" w:rsidP="00CA4968">
            <w:pPr>
              <w:keepNext/>
              <w:keepLines/>
              <w:spacing w:before="20" w:after="20"/>
              <w:rPr>
                <w:b/>
                <w:sz w:val="20"/>
                <w:szCs w:val="20"/>
              </w:rPr>
            </w:pPr>
            <w:r w:rsidRPr="00CA4968">
              <w:rPr>
                <w:b/>
                <w:sz w:val="20"/>
                <w:szCs w:val="20"/>
              </w:rPr>
              <w:t>DUCT-AIR-LOSS-OA</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D538D50" w14:textId="39104BF3" w:rsidR="005972FC" w:rsidRPr="00CA4968" w:rsidRDefault="005972FC" w:rsidP="00CA4968">
            <w:pPr>
              <w:keepNext/>
              <w:keepLines/>
              <w:spacing w:before="20" w:after="20"/>
              <w:rPr>
                <w:b/>
                <w:sz w:val="20"/>
                <w:szCs w:val="20"/>
              </w:rPr>
            </w:pPr>
            <w:r w:rsidRPr="00CA4968">
              <w:rPr>
                <w:b/>
                <w:sz w:val="20"/>
                <w:szCs w:val="20"/>
              </w:rPr>
              <w:t>MIN-OUTSIDE-AIR</w:t>
            </w:r>
          </w:p>
        </w:tc>
      </w:tr>
      <w:tr w:rsidR="005972FC" w14:paraId="4652966C" w14:textId="77777777" w:rsidTr="00DB2BFF">
        <w:trPr>
          <w:trHeight w:val="510"/>
        </w:trPr>
        <w:tc>
          <w:tcPr>
            <w:tcW w:w="18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90FCBB0" w14:textId="6EE6D600" w:rsidR="005972FC" w:rsidRPr="005972FC" w:rsidRDefault="005972FC" w:rsidP="005972FC">
            <w:pPr>
              <w:keepNext/>
              <w:keepLines/>
              <w:spacing w:before="20" w:after="20"/>
              <w:rPr>
                <w:sz w:val="20"/>
                <w:szCs w:val="20"/>
              </w:rPr>
            </w:pPr>
            <w:r w:rsidRPr="005972FC">
              <w:rPr>
                <w:sz w:val="20"/>
                <w:szCs w:val="20"/>
              </w:rPr>
              <w:t xml:space="preserve">Return </w:t>
            </w:r>
            <w:r w:rsidR="00F76890">
              <w:rPr>
                <w:sz w:val="20"/>
                <w:szCs w:val="20"/>
              </w:rPr>
              <w:t>D</w:t>
            </w:r>
            <w:r w:rsidRPr="005972FC">
              <w:rPr>
                <w:sz w:val="20"/>
                <w:szCs w:val="20"/>
              </w:rPr>
              <w:t xml:space="preserve">uct </w:t>
            </w:r>
            <w:r w:rsidR="00F76890">
              <w:rPr>
                <w:sz w:val="20"/>
                <w:szCs w:val="20"/>
              </w:rPr>
              <w:t>R</w:t>
            </w:r>
            <w:r w:rsidRPr="005972FC">
              <w:rPr>
                <w:sz w:val="20"/>
                <w:szCs w:val="20"/>
              </w:rPr>
              <w:t xml:space="preserve">etrofit – Baseline </w:t>
            </w:r>
            <w:r w:rsidR="00363859">
              <w:rPr>
                <w:sz w:val="20"/>
                <w:szCs w:val="20"/>
              </w:rPr>
              <w:t>Case</w:t>
            </w:r>
          </w:p>
        </w:tc>
        <w:tc>
          <w:tcPr>
            <w:tcW w:w="1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842BB7C" w14:textId="57F70378" w:rsidR="005972FC" w:rsidRPr="005972FC" w:rsidRDefault="005972FC" w:rsidP="005972FC">
            <w:pPr>
              <w:keepNext/>
              <w:keepLines/>
              <w:spacing w:before="20" w:after="20"/>
              <w:jc w:val="center"/>
              <w:rPr>
                <w:sz w:val="20"/>
                <w:szCs w:val="20"/>
              </w:rPr>
            </w:pPr>
            <w:r w:rsidRPr="005972FC">
              <w:rPr>
                <w:sz w:val="20"/>
                <w:szCs w:val="20"/>
              </w:rPr>
              <w:t>0.5</w:t>
            </w:r>
            <w:r w:rsidR="002A4225">
              <w:rPr>
                <w:sz w:val="20"/>
                <w:szCs w:val="20"/>
              </w:rPr>
              <w:t>0</w:t>
            </w:r>
          </w:p>
        </w:tc>
        <w:tc>
          <w:tcPr>
            <w:tcW w:w="12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0FB200" w14:textId="212C82B2" w:rsidR="005972FC" w:rsidRPr="005972FC" w:rsidRDefault="005972FC" w:rsidP="005972FC">
            <w:pPr>
              <w:keepNext/>
              <w:keepLines/>
              <w:spacing w:before="20" w:after="20"/>
              <w:jc w:val="center"/>
              <w:rPr>
                <w:sz w:val="20"/>
                <w:szCs w:val="20"/>
              </w:rPr>
            </w:pPr>
            <w:r w:rsidRPr="005972FC">
              <w:rPr>
                <w:sz w:val="20"/>
                <w:szCs w:val="20"/>
              </w:rPr>
              <w:t>0.75</w:t>
            </w:r>
          </w:p>
        </w:tc>
        <w:tc>
          <w:tcPr>
            <w:tcW w:w="166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D05089" w14:textId="7A93BA4C" w:rsidR="005972FC" w:rsidRPr="005972FC" w:rsidRDefault="005972FC" w:rsidP="005972FC">
            <w:pPr>
              <w:keepNext/>
              <w:keepLines/>
              <w:spacing w:before="20" w:after="20"/>
              <w:jc w:val="center"/>
              <w:rPr>
                <w:sz w:val="20"/>
                <w:szCs w:val="20"/>
              </w:rPr>
            </w:pPr>
            <w:r w:rsidRPr="005972FC">
              <w:rPr>
                <w:sz w:val="20"/>
                <w:szCs w:val="20"/>
              </w:rPr>
              <w:t>0.3</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310872E" w14:textId="7DDF6A96" w:rsidR="005972FC" w:rsidRPr="005972FC" w:rsidRDefault="005972FC" w:rsidP="005972FC">
            <w:pPr>
              <w:keepNext/>
              <w:keepLines/>
              <w:spacing w:before="20" w:after="20"/>
              <w:jc w:val="center"/>
              <w:rPr>
                <w:sz w:val="20"/>
                <w:szCs w:val="20"/>
              </w:rPr>
            </w:pPr>
            <w:r w:rsidRPr="005972FC">
              <w:rPr>
                <w:sz w:val="20"/>
                <w:szCs w:val="20"/>
              </w:rPr>
              <w:t>0.1125</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070D0E1" w14:textId="5AC3D745" w:rsidR="005972FC" w:rsidRPr="005972FC" w:rsidRDefault="005972FC" w:rsidP="005972FC">
            <w:pPr>
              <w:keepNext/>
              <w:keepLines/>
              <w:spacing w:before="20" w:after="20"/>
              <w:jc w:val="center"/>
              <w:rPr>
                <w:sz w:val="20"/>
                <w:szCs w:val="20"/>
              </w:rPr>
            </w:pPr>
            <w:r w:rsidRPr="005972FC">
              <w:rPr>
                <w:sz w:val="20"/>
                <w:szCs w:val="20"/>
              </w:rPr>
              <w:t>1</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5E16FD" w14:textId="2331EF95" w:rsidR="005972FC" w:rsidRPr="005972FC" w:rsidRDefault="005972FC" w:rsidP="005972FC">
            <w:pPr>
              <w:keepNext/>
              <w:keepLines/>
              <w:spacing w:before="20" w:after="20"/>
              <w:jc w:val="center"/>
              <w:rPr>
                <w:sz w:val="20"/>
                <w:szCs w:val="20"/>
              </w:rPr>
            </w:pPr>
            <w:r w:rsidRPr="005972FC">
              <w:rPr>
                <w:sz w:val="20"/>
                <w:szCs w:val="20"/>
              </w:rPr>
              <w:t>0.5</w:t>
            </w:r>
          </w:p>
        </w:tc>
      </w:tr>
      <w:tr w:rsidR="005972FC" w14:paraId="1465AE68" w14:textId="77777777" w:rsidTr="00DB2BFF">
        <w:trPr>
          <w:trHeight w:val="510"/>
        </w:trPr>
        <w:tc>
          <w:tcPr>
            <w:tcW w:w="18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1544D7" w14:textId="28ACC0AD" w:rsidR="005972FC" w:rsidRPr="005972FC" w:rsidRDefault="005972FC" w:rsidP="005972FC">
            <w:pPr>
              <w:keepNext/>
              <w:keepLines/>
              <w:spacing w:before="20" w:after="20"/>
              <w:rPr>
                <w:sz w:val="20"/>
                <w:szCs w:val="20"/>
              </w:rPr>
            </w:pPr>
            <w:r w:rsidRPr="005972FC">
              <w:rPr>
                <w:sz w:val="20"/>
                <w:szCs w:val="20"/>
              </w:rPr>
              <w:t xml:space="preserve">Return </w:t>
            </w:r>
            <w:r w:rsidR="00F76890">
              <w:rPr>
                <w:sz w:val="20"/>
                <w:szCs w:val="20"/>
              </w:rPr>
              <w:t>D</w:t>
            </w:r>
            <w:r w:rsidRPr="005972FC">
              <w:rPr>
                <w:sz w:val="20"/>
                <w:szCs w:val="20"/>
              </w:rPr>
              <w:t xml:space="preserve">uct </w:t>
            </w:r>
            <w:r w:rsidR="00F76890">
              <w:rPr>
                <w:sz w:val="20"/>
                <w:szCs w:val="20"/>
              </w:rPr>
              <w:t>R</w:t>
            </w:r>
            <w:r w:rsidRPr="005972FC">
              <w:rPr>
                <w:sz w:val="20"/>
                <w:szCs w:val="20"/>
              </w:rPr>
              <w:t xml:space="preserve">etrofit – Measure </w:t>
            </w:r>
            <w:r w:rsidR="00363859">
              <w:rPr>
                <w:sz w:val="20"/>
                <w:szCs w:val="20"/>
              </w:rPr>
              <w:t>Case</w:t>
            </w:r>
          </w:p>
        </w:tc>
        <w:tc>
          <w:tcPr>
            <w:tcW w:w="1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33D1A29" w14:textId="69431490" w:rsidR="005972FC" w:rsidRPr="005972FC" w:rsidRDefault="005972FC" w:rsidP="005972FC">
            <w:pPr>
              <w:keepNext/>
              <w:keepLines/>
              <w:spacing w:before="20" w:after="20"/>
              <w:jc w:val="center"/>
              <w:rPr>
                <w:sz w:val="20"/>
                <w:szCs w:val="20"/>
              </w:rPr>
            </w:pPr>
            <w:r w:rsidRPr="005972FC">
              <w:rPr>
                <w:sz w:val="20"/>
                <w:szCs w:val="20"/>
              </w:rPr>
              <w:t>0.15</w:t>
            </w:r>
          </w:p>
        </w:tc>
        <w:tc>
          <w:tcPr>
            <w:tcW w:w="12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77A09B" w14:textId="35793395" w:rsidR="005972FC" w:rsidRPr="005972FC" w:rsidRDefault="005972FC" w:rsidP="005972FC">
            <w:pPr>
              <w:keepNext/>
              <w:keepLines/>
              <w:spacing w:before="20" w:after="20"/>
              <w:jc w:val="center"/>
              <w:rPr>
                <w:sz w:val="20"/>
                <w:szCs w:val="20"/>
              </w:rPr>
            </w:pPr>
            <w:r w:rsidRPr="005972FC">
              <w:rPr>
                <w:sz w:val="20"/>
                <w:szCs w:val="20"/>
              </w:rPr>
              <w:t>0.75</w:t>
            </w:r>
          </w:p>
        </w:tc>
        <w:tc>
          <w:tcPr>
            <w:tcW w:w="166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E225D9" w14:textId="34D7C755" w:rsidR="005972FC" w:rsidRPr="005972FC" w:rsidRDefault="005972FC" w:rsidP="005972FC">
            <w:pPr>
              <w:keepNext/>
              <w:keepLines/>
              <w:spacing w:before="20" w:after="20"/>
              <w:jc w:val="center"/>
              <w:rPr>
                <w:sz w:val="20"/>
                <w:szCs w:val="20"/>
              </w:rPr>
            </w:pPr>
            <w:r w:rsidRPr="005972FC">
              <w:rPr>
                <w:sz w:val="20"/>
                <w:szCs w:val="20"/>
              </w:rPr>
              <w:t>1</w:t>
            </w:r>
            <w:r w:rsidR="002A4225">
              <w:rPr>
                <w:sz w:val="20"/>
                <w:szCs w:val="20"/>
              </w:rPr>
              <w:t>.0</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3C63D8" w14:textId="0A62C68F" w:rsidR="005972FC" w:rsidRPr="005972FC" w:rsidRDefault="005972FC" w:rsidP="005972FC">
            <w:pPr>
              <w:keepNext/>
              <w:keepLines/>
              <w:spacing w:before="20" w:after="20"/>
              <w:jc w:val="center"/>
              <w:rPr>
                <w:sz w:val="20"/>
                <w:szCs w:val="20"/>
              </w:rPr>
            </w:pPr>
            <w:r w:rsidRPr="005972FC">
              <w:rPr>
                <w:sz w:val="20"/>
                <w:szCs w:val="20"/>
              </w:rPr>
              <w:t>0.1125</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9183E8" w14:textId="1505EED0" w:rsidR="005972FC" w:rsidRPr="005972FC" w:rsidRDefault="005972FC" w:rsidP="005972FC">
            <w:pPr>
              <w:keepNext/>
              <w:keepLines/>
              <w:spacing w:before="20" w:after="20"/>
              <w:jc w:val="center"/>
              <w:rPr>
                <w:sz w:val="20"/>
                <w:szCs w:val="20"/>
              </w:rPr>
            </w:pPr>
            <w:r w:rsidRPr="005972FC">
              <w:rPr>
                <w:sz w:val="20"/>
                <w:szCs w:val="20"/>
              </w:rPr>
              <w:t>1</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757EB74" w14:textId="5B822591" w:rsidR="005972FC" w:rsidRPr="005972FC" w:rsidRDefault="00E05D2D" w:rsidP="005972FC">
            <w:pPr>
              <w:keepNext/>
              <w:keepLines/>
              <w:spacing w:before="20" w:after="20"/>
              <w:jc w:val="center"/>
              <w:rPr>
                <w:sz w:val="20"/>
                <w:szCs w:val="20"/>
              </w:rPr>
            </w:pPr>
            <w:r>
              <w:rPr>
                <w:sz w:val="20"/>
                <w:szCs w:val="20"/>
              </w:rPr>
              <w:t>Default</w:t>
            </w:r>
          </w:p>
        </w:tc>
      </w:tr>
    </w:tbl>
    <w:p w14:paraId="3DA6EDF6" w14:textId="77777777" w:rsidR="007A3200" w:rsidRDefault="007A3200" w:rsidP="008F69DF">
      <w:pPr>
        <w:spacing w:before="0" w:line="276" w:lineRule="auto"/>
      </w:pPr>
    </w:p>
    <w:p w14:paraId="3A2E03E3" w14:textId="70B07C8C" w:rsidR="00593220" w:rsidRDefault="008F69DF" w:rsidP="008F69DF">
      <w:pPr>
        <w:spacing w:before="0" w:line="276" w:lineRule="auto"/>
      </w:pPr>
      <w:r w:rsidRPr="008F69DF">
        <w:t xml:space="preserve">For the </w:t>
      </w:r>
      <w:r w:rsidR="004010AA">
        <w:t>R</w:t>
      </w:r>
      <w:r w:rsidRPr="008F69DF">
        <w:t xml:space="preserve">eturn </w:t>
      </w:r>
      <w:r w:rsidR="004010AA">
        <w:t>D</w:t>
      </w:r>
      <w:r w:rsidRPr="008F69DF">
        <w:t xml:space="preserve">uct </w:t>
      </w:r>
      <w:r w:rsidR="004010AA">
        <w:t>R</w:t>
      </w:r>
      <w:r w:rsidRPr="008F69DF">
        <w:t xml:space="preserve">etrofit measure, the SupplyAirLossFraction global parameter specifies the percentage of total leakage, which is 15%/50%, or 30%. The DUCT-AIR-LOSS keyword does not change across </w:t>
      </w:r>
      <w:r w:rsidR="00363859">
        <w:t>cases</w:t>
      </w:r>
      <w:r w:rsidR="00363859" w:rsidRPr="008F69DF">
        <w:t xml:space="preserve"> </w:t>
      </w:r>
      <w:r w:rsidRPr="008F69DF">
        <w:t xml:space="preserve">for this measure since it refers only to supply duct loss, and this retrofit does not change the supply. The return leakage is then modeled using the MIN-OUTSIDE-AIR keyword, which is set to 50% for the baseline </w:t>
      </w:r>
      <w:r w:rsidR="00363859">
        <w:t>case</w:t>
      </w:r>
      <w:r w:rsidR="00363859" w:rsidRPr="008F69DF">
        <w:t xml:space="preserve"> </w:t>
      </w:r>
      <w:r w:rsidRPr="008F69DF">
        <w:t>indicating that 50% of the return air comes from the outside instead of from the conditioned space</w:t>
      </w:r>
      <w:r w:rsidR="00E13D52">
        <w:t xml:space="preserve">; </w:t>
      </w:r>
      <w:r w:rsidRPr="008F69DF">
        <w:t xml:space="preserve">CPUC </w:t>
      </w:r>
      <w:r w:rsidR="00E13D52">
        <w:t>stated that</w:t>
      </w:r>
      <w:r w:rsidRPr="008F69DF">
        <w:t xml:space="preserve"> the crawlspace is most likely connected equally to the living space and to the outside. In the measure </w:t>
      </w:r>
      <w:r w:rsidR="00363859">
        <w:t>case</w:t>
      </w:r>
      <w:r w:rsidR="00363859" w:rsidRPr="008F69DF">
        <w:t xml:space="preserve"> </w:t>
      </w:r>
      <w:r w:rsidRPr="008F69DF">
        <w:t>with the retrofit in place</w:t>
      </w:r>
      <w:r w:rsidR="00363859">
        <w:t>,</w:t>
      </w:r>
      <w:r w:rsidRPr="008F69DF">
        <w:t xml:space="preserve"> none of the return air comes from the outside so the MIN-OUTSIDE-AIR keyword can be modeled at the prototype default value.</w:t>
      </w:r>
    </w:p>
    <w:p w14:paraId="6650B7A4" w14:textId="7822EF97" w:rsidR="00EE1CAB" w:rsidRDefault="00EE1CAB" w:rsidP="008F69DF">
      <w:pPr>
        <w:spacing w:before="0" w:line="276" w:lineRule="auto"/>
      </w:pPr>
      <w:r>
        <w:t>Savings values were reported by building type (mobile home) and climate zone. For this measure, the “existing (weighted DEER vintages)” building vintage was specified. Savings derivation is detailed in the provided attachment (“DMo post-processing.xlsb”).</w:t>
      </w:r>
    </w:p>
    <w:p w14:paraId="40FA4E04" w14:textId="73E68E59" w:rsidR="00994337" w:rsidRDefault="00E407E7" w:rsidP="00E407E7">
      <w:pPr>
        <w:pStyle w:val="eTRMHeading4"/>
      </w:pPr>
      <w:r>
        <w:lastRenderedPageBreak/>
        <w:t xml:space="preserve">SWSV013B </w:t>
      </w:r>
      <w:r w:rsidR="008B5FE7">
        <w:t xml:space="preserve">&amp; SWSV013D </w:t>
      </w:r>
      <w:r>
        <w:t>– Crossover Duct Replacement</w:t>
      </w:r>
    </w:p>
    <w:p w14:paraId="6E278B11" w14:textId="2FB6B107" w:rsidR="00994337" w:rsidRDefault="00994337" w:rsidP="008F69DF">
      <w:pPr>
        <w:spacing w:before="0" w:line="276" w:lineRule="auto"/>
      </w:pPr>
      <w:r>
        <w:t xml:space="preserve">For the </w:t>
      </w:r>
      <w:r w:rsidR="004010AA">
        <w:t>Crossover Duct Replacement measure</w:t>
      </w:r>
      <w:r w:rsidR="00BB6D98">
        <w:t xml:space="preserve"> the assumed total leakage reduction aligns with the </w:t>
      </w:r>
      <w:r w:rsidR="007D3B8B">
        <w:t xml:space="preserve">DEER </w:t>
      </w:r>
      <w:bookmarkStart w:id="48" w:name="OLE_LINK1"/>
      <w:r w:rsidR="00363859" w:rsidRPr="00363859">
        <w:t>Res-DuctSeal-HighToLow-wtd</w:t>
      </w:r>
      <w:r w:rsidR="00363859" w:rsidRPr="00363859" w:rsidDel="00363859">
        <w:t xml:space="preserve"> </w:t>
      </w:r>
      <w:bookmarkEnd w:id="48"/>
      <w:r w:rsidR="007D3B8B">
        <w:t>measure, and as such energy savings and demand reduction come directly from that DEER measure.</w:t>
      </w:r>
    </w:p>
    <w:p w14:paraId="6544115B" w14:textId="62FD2435" w:rsidR="00BB4F22" w:rsidRDefault="001940FF" w:rsidP="00BB4F22">
      <w:r>
        <w:t>Savings values were reported by building type (mobile home)</w:t>
      </w:r>
      <w:r w:rsidR="00F62AEC">
        <w:t xml:space="preserve">, </w:t>
      </w:r>
      <w:r>
        <w:t>climate zone</w:t>
      </w:r>
      <w:r w:rsidR="00945FB4">
        <w:t xml:space="preserve">, </w:t>
      </w:r>
      <w:r w:rsidR="00F62AEC">
        <w:t>and HVAC system type, with</w:t>
      </w:r>
      <w:r w:rsidR="00945FB4">
        <w:t xml:space="preserve"> the “existing (weighted DEER vintages)” building vintage was specified.</w:t>
      </w:r>
    </w:p>
    <w:p w14:paraId="0AB30597" w14:textId="77777777" w:rsidR="00E5621D" w:rsidRDefault="00E5621D" w:rsidP="00BB4F22"/>
    <w:p w14:paraId="02483672" w14:textId="60662FAE" w:rsidR="00EE1CAB" w:rsidRDefault="00EE1CAB" w:rsidP="00EE1CAB">
      <w:pPr>
        <w:pStyle w:val="eTRMHeading3"/>
      </w:pPr>
      <w:bookmarkStart w:id="49" w:name="_Toc486490856"/>
      <w:bookmarkStart w:id="50" w:name="_Toc486580927"/>
      <w:bookmarkStart w:id="51" w:name="_Toc67494043"/>
      <w:r w:rsidRPr="004B06E3">
        <w:t>Peak Electric Demand Reduction (</w:t>
      </w:r>
      <w:r w:rsidRPr="00097497">
        <w:rPr>
          <w:caps w:val="0"/>
        </w:rPr>
        <w:t>kW</w:t>
      </w:r>
      <w:r w:rsidRPr="004B06E3">
        <w:t>)</w:t>
      </w:r>
      <w:bookmarkEnd w:id="49"/>
      <w:bookmarkEnd w:id="50"/>
      <w:bookmarkEnd w:id="51"/>
    </w:p>
    <w:p w14:paraId="2FA1D6F4" w14:textId="23351431" w:rsidR="00EE1CAB" w:rsidRDefault="00EE1CAB" w:rsidP="00EE1CAB">
      <w:pPr>
        <w:pStyle w:val="eTRMHeading4"/>
      </w:pPr>
      <w:r>
        <w:t>SWSV013A</w:t>
      </w:r>
      <w:r w:rsidR="008B2B5F">
        <w:t xml:space="preserve"> &amp; SWSV013C</w:t>
      </w:r>
      <w:r>
        <w:t xml:space="preserve"> – Return Duct Retrofit</w:t>
      </w:r>
    </w:p>
    <w:p w14:paraId="505A5D28" w14:textId="3726B244" w:rsidR="00EE1CAB" w:rsidRDefault="00EE1CAB" w:rsidP="00EE1CAB">
      <w:pPr>
        <w:spacing w:before="0" w:line="276" w:lineRule="auto"/>
      </w:pPr>
      <w:r>
        <w:t>Peak demand reduction for this measure were estimated using eQUEST 3.65-v7175 energy modeling software as described above in the Electric Savings (kWh) section. Peak demand reduction was reported by building type (mobile home) and climate zone, with the “existing (weighted DEER vintages)” building vintage specified.</w:t>
      </w:r>
    </w:p>
    <w:p w14:paraId="3C6D4B56" w14:textId="7C47FA99" w:rsidR="00EE1CAB" w:rsidRPr="009865FB" w:rsidRDefault="00EE1CAB" w:rsidP="00EE1CAB">
      <w:pPr>
        <w:pStyle w:val="eTRMHeading4"/>
        <w:rPr>
          <w:szCs w:val="24"/>
        </w:rPr>
      </w:pPr>
      <w:r w:rsidRPr="009865FB">
        <w:rPr>
          <w:szCs w:val="24"/>
        </w:rPr>
        <w:t>SWSV013B</w:t>
      </w:r>
      <w:r w:rsidR="00AD5996" w:rsidRPr="009865FB">
        <w:rPr>
          <w:szCs w:val="24"/>
        </w:rPr>
        <w:t xml:space="preserve"> </w:t>
      </w:r>
      <w:r w:rsidR="00AD5996" w:rsidRPr="005B3921">
        <w:rPr>
          <w:szCs w:val="24"/>
        </w:rPr>
        <w:t>&amp; SWSV013D</w:t>
      </w:r>
      <w:r w:rsidRPr="009865FB">
        <w:rPr>
          <w:szCs w:val="24"/>
        </w:rPr>
        <w:t xml:space="preserve"> – Crossover Duct Replacement</w:t>
      </w:r>
    </w:p>
    <w:p w14:paraId="47EFF962" w14:textId="0806F802" w:rsidR="00EE1CAB" w:rsidRDefault="00EE1CAB" w:rsidP="00EE1CAB">
      <w:pPr>
        <w:spacing w:before="0" w:line="276" w:lineRule="auto"/>
      </w:pPr>
      <w:r>
        <w:t xml:space="preserve">Peak demand reduction for this measure was drawn directly from the DEER </w:t>
      </w:r>
      <w:r w:rsidR="007E3A64">
        <w:t>Res-DuctSeal-HighToLow-wtd</w:t>
      </w:r>
      <w:r w:rsidR="005F0461">
        <w:t xml:space="preserve"> </w:t>
      </w:r>
      <w:r>
        <w:t>measure, per the rationale provided above in the Electric Savings (kWh) section.</w:t>
      </w:r>
    </w:p>
    <w:p w14:paraId="6291A4CE" w14:textId="556196F4" w:rsidR="00EE1CAB" w:rsidRDefault="00EE1CAB" w:rsidP="00EE1CAB">
      <w:pPr>
        <w:spacing w:before="0" w:line="276" w:lineRule="auto"/>
      </w:pPr>
      <w:r>
        <w:t>Peak demand reduction was reported by building type (mobile home)</w:t>
      </w:r>
      <w:r w:rsidR="00B35583">
        <w:t>,</w:t>
      </w:r>
      <w:r>
        <w:t xml:space="preserve"> climate zone, </w:t>
      </w:r>
      <w:r w:rsidR="00B35583">
        <w:t>and HVAC system type, with</w:t>
      </w:r>
      <w:r>
        <w:t xml:space="preserve"> the “existing (weighted DEER vintages)” building vintage was specified.</w:t>
      </w:r>
    </w:p>
    <w:p w14:paraId="1C5D80E2" w14:textId="77777777" w:rsidR="00EE1CAB" w:rsidRPr="004B06E3" w:rsidRDefault="00EE1CAB" w:rsidP="00EE1CAB">
      <w:pPr>
        <w:pStyle w:val="eTRMHeading3"/>
      </w:pPr>
    </w:p>
    <w:p w14:paraId="275D6B03" w14:textId="2BFEE7D2" w:rsidR="00EE1CAB" w:rsidRDefault="00EE1CAB" w:rsidP="00EE1CAB">
      <w:pPr>
        <w:pStyle w:val="eTRMHeading3"/>
      </w:pPr>
      <w:bookmarkStart w:id="52" w:name="_Toc486490858"/>
      <w:bookmarkStart w:id="53" w:name="_Toc486580929"/>
      <w:bookmarkStart w:id="54" w:name="_Toc67494044"/>
      <w:r w:rsidRPr="004B06E3">
        <w:t>Gas Savings (</w:t>
      </w:r>
      <w:r w:rsidRPr="00097497">
        <w:rPr>
          <w:caps w:val="0"/>
        </w:rPr>
        <w:t>therms</w:t>
      </w:r>
      <w:r w:rsidRPr="004B06E3">
        <w:t>)</w:t>
      </w:r>
      <w:bookmarkEnd w:id="52"/>
      <w:bookmarkEnd w:id="53"/>
      <w:bookmarkEnd w:id="54"/>
    </w:p>
    <w:p w14:paraId="06274110" w14:textId="2E43A801" w:rsidR="00EE1CAB" w:rsidRDefault="00EE1CAB" w:rsidP="00EE1CAB">
      <w:pPr>
        <w:pStyle w:val="eTRMHeading4"/>
      </w:pPr>
      <w:r>
        <w:t>SWSV013A</w:t>
      </w:r>
      <w:r w:rsidR="008B2B5F">
        <w:t xml:space="preserve"> &amp; SWSV013C</w:t>
      </w:r>
      <w:r>
        <w:t xml:space="preserve"> – Return Duct Retrofit</w:t>
      </w:r>
    </w:p>
    <w:p w14:paraId="2AF7B850" w14:textId="4A6A5638" w:rsidR="00EE1CAB" w:rsidRDefault="00EE1CAB" w:rsidP="00EE1CAB">
      <w:pPr>
        <w:spacing w:before="0" w:line="276" w:lineRule="auto"/>
      </w:pPr>
      <w:r>
        <w:t>Gas energy savings for this measure were estimated using eQUEST 3.65-v7175 energy modeling software as described above in the Electric Savings (kWh) section. Gas energy savings were reported by building type (mobile home) and climate zone, with the “existing (weighted DEER vintages)” building vintage specified.</w:t>
      </w:r>
    </w:p>
    <w:p w14:paraId="7C66A30F" w14:textId="0944E1BD" w:rsidR="00EE1CAB" w:rsidRPr="009865FB" w:rsidRDefault="00EE1CAB" w:rsidP="00EE1CAB">
      <w:pPr>
        <w:pStyle w:val="eTRMHeading4"/>
        <w:rPr>
          <w:szCs w:val="24"/>
        </w:rPr>
      </w:pPr>
      <w:r w:rsidRPr="009865FB">
        <w:rPr>
          <w:szCs w:val="24"/>
        </w:rPr>
        <w:t>SWSV013B</w:t>
      </w:r>
      <w:r w:rsidR="00AD5996" w:rsidRPr="009865FB">
        <w:rPr>
          <w:szCs w:val="24"/>
        </w:rPr>
        <w:t xml:space="preserve"> </w:t>
      </w:r>
      <w:r w:rsidR="00AD5996" w:rsidRPr="005B3921">
        <w:rPr>
          <w:szCs w:val="24"/>
        </w:rPr>
        <w:t>&amp; SWSV013D</w:t>
      </w:r>
      <w:r w:rsidRPr="009865FB">
        <w:rPr>
          <w:szCs w:val="24"/>
        </w:rPr>
        <w:t xml:space="preserve"> – Crossover Duct Replacement</w:t>
      </w:r>
    </w:p>
    <w:p w14:paraId="088A7A07" w14:textId="48B2C006" w:rsidR="00EE1CAB" w:rsidRDefault="00EE1CAB" w:rsidP="00EE1CAB">
      <w:pPr>
        <w:spacing w:before="0" w:line="276" w:lineRule="auto"/>
      </w:pPr>
      <w:r>
        <w:t xml:space="preserve">Gas energy savings for this measure were drawn directly from the DEER </w:t>
      </w:r>
      <w:r w:rsidR="007E3A64">
        <w:t>Res-DuctSeal-HighToLow-wtd</w:t>
      </w:r>
      <w:r w:rsidR="00AE2303">
        <w:t xml:space="preserve"> </w:t>
      </w:r>
      <w:r>
        <w:t>measure, per the rationale provided above in the Electric Savings (kWh) section.</w:t>
      </w:r>
    </w:p>
    <w:p w14:paraId="6EA7FF48" w14:textId="0C7D724F" w:rsidR="00EE1CAB" w:rsidRPr="004B06E3" w:rsidRDefault="00EE1CAB" w:rsidP="00EE1CAB">
      <w:pPr>
        <w:spacing w:before="0" w:line="276" w:lineRule="auto"/>
      </w:pPr>
      <w:r>
        <w:t>Gas energy savings were reported by building type (mobile home)</w:t>
      </w:r>
      <w:r w:rsidR="00B35583">
        <w:t>,</w:t>
      </w:r>
      <w:r>
        <w:t xml:space="preserve"> climate zone, and </w:t>
      </w:r>
      <w:r w:rsidR="00B35583">
        <w:t xml:space="preserve">HVAC system type, with </w:t>
      </w:r>
      <w:r>
        <w:t>the “existing (weighted DEER vintages)” building vintage was specified.</w:t>
      </w:r>
    </w:p>
    <w:p w14:paraId="4A5C74F9" w14:textId="77777777" w:rsidR="00E5621D" w:rsidRDefault="00E5621D" w:rsidP="00177EB6"/>
    <w:p w14:paraId="4DDCD51F" w14:textId="3F27EFAB" w:rsidR="007D230B" w:rsidRDefault="00245AFF" w:rsidP="0078138C">
      <w:pPr>
        <w:pStyle w:val="eTRMHeading3"/>
      </w:pPr>
      <w:bookmarkStart w:id="55" w:name="_Toc67494045"/>
      <w:bookmarkStart w:id="56" w:name="_Toc486490859"/>
      <w:bookmarkStart w:id="57" w:name="_Toc486580930"/>
      <w:r w:rsidRPr="004B06E3">
        <w:t>Life Cycle</w:t>
      </w:r>
      <w:bookmarkEnd w:id="55"/>
      <w:r w:rsidR="007D230B" w:rsidRPr="004B06E3">
        <w:t xml:space="preserve"> </w:t>
      </w:r>
      <w:bookmarkEnd w:id="56"/>
      <w:bookmarkEnd w:id="57"/>
    </w:p>
    <w:p w14:paraId="7A2245D7" w14:textId="7AB263CD" w:rsidR="006F4762" w:rsidRPr="004B06E3" w:rsidRDefault="00FA3BC4" w:rsidP="00EC7F82">
      <w:r>
        <w:t>Effective useful life (EUL) is an estimate of the median number of years that a measure installed through a program is still in place and operable</w:t>
      </w:r>
      <w:r w:rsidR="006F4762">
        <w:t>.</w:t>
      </w:r>
      <w:r w:rsidR="006C64B3">
        <w:t xml:space="preserve"> </w:t>
      </w:r>
      <w:r w:rsidR="00604DD6">
        <w:t>The DEER EUL ID of HV-DuctOpt-BW</w:t>
      </w:r>
      <w:r w:rsidR="00D04E0C">
        <w:t xml:space="preserve"> is applicable and is used for these measures.</w:t>
      </w:r>
    </w:p>
    <w:p w14:paraId="7D542FEF" w14:textId="7EFC0528" w:rsidR="00FD2C54" w:rsidRPr="00A52E39" w:rsidRDefault="00FD2C54" w:rsidP="00EA057C">
      <w:pPr>
        <w:pStyle w:val="Caption"/>
        <w:rPr>
          <w:b w:val="0"/>
          <w:i/>
        </w:rPr>
      </w:pPr>
      <w:bookmarkStart w:id="58" w:name="_Hlk527713314"/>
      <w:r>
        <w:lastRenderedPageBreak/>
        <w:t>Effective Useful Life</w:t>
      </w:r>
      <w:r w:rsidR="00BB4F22">
        <w:t xml:space="preserve"> </w:t>
      </w:r>
      <w:r w:rsidR="006701F3">
        <w:t>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74"/>
        <w:gridCol w:w="2291"/>
        <w:gridCol w:w="1575"/>
        <w:gridCol w:w="1215"/>
        <w:gridCol w:w="1215"/>
        <w:gridCol w:w="1575"/>
      </w:tblGrid>
      <w:tr w:rsidR="000B7588" w:rsidRPr="00500C4E" w14:paraId="1FE81044" w14:textId="0C091959" w:rsidTr="00E12726">
        <w:trPr>
          <w:cantSplit/>
          <w:trHeight w:val="20"/>
        </w:trPr>
        <w:tc>
          <w:tcPr>
            <w:tcW w:w="1574" w:type="dxa"/>
            <w:shd w:val="clear" w:color="auto" w:fill="F2F2F2" w:themeFill="background1" w:themeFillShade="F2"/>
            <w:vAlign w:val="bottom"/>
          </w:tcPr>
          <w:p w14:paraId="030B6A8A" w14:textId="0B55A9BF" w:rsidR="000B7588" w:rsidRPr="43412CC0" w:rsidRDefault="000B7588" w:rsidP="000B7588">
            <w:pPr>
              <w:keepNext/>
              <w:keepLines/>
              <w:spacing w:before="20" w:after="20"/>
              <w:rPr>
                <w:b/>
                <w:sz w:val="20"/>
                <w:szCs w:val="20"/>
              </w:rPr>
            </w:pPr>
            <w:r>
              <w:rPr>
                <w:b/>
                <w:sz w:val="20"/>
                <w:szCs w:val="20"/>
              </w:rPr>
              <w:t>Statewide Measure Offering ID</w:t>
            </w:r>
          </w:p>
        </w:tc>
        <w:tc>
          <w:tcPr>
            <w:tcW w:w="2291" w:type="dxa"/>
            <w:shd w:val="clear" w:color="auto" w:fill="F2F2F2" w:themeFill="background1" w:themeFillShade="F2"/>
            <w:vAlign w:val="bottom"/>
          </w:tcPr>
          <w:p w14:paraId="2B16EDFA" w14:textId="7C08C5AA" w:rsidR="000B7588" w:rsidRDefault="000B7588" w:rsidP="43412CC0">
            <w:pPr>
              <w:keepNext/>
              <w:keepLines/>
              <w:spacing w:before="20" w:after="20"/>
              <w:rPr>
                <w:b/>
                <w:sz w:val="20"/>
                <w:szCs w:val="20"/>
              </w:rPr>
            </w:pPr>
            <w:r w:rsidRPr="43412CC0">
              <w:rPr>
                <w:b/>
                <w:sz w:val="20"/>
                <w:szCs w:val="20"/>
              </w:rPr>
              <w:t xml:space="preserve">Measure </w:t>
            </w:r>
            <w:r w:rsidR="00BC37C6">
              <w:rPr>
                <w:b/>
                <w:sz w:val="20"/>
                <w:szCs w:val="20"/>
              </w:rPr>
              <w:t>Description</w:t>
            </w:r>
          </w:p>
        </w:tc>
        <w:tc>
          <w:tcPr>
            <w:tcW w:w="1575" w:type="dxa"/>
            <w:shd w:val="clear" w:color="auto" w:fill="F2F2F2" w:themeFill="background1" w:themeFillShade="F2"/>
            <w:vAlign w:val="bottom"/>
          </w:tcPr>
          <w:p w14:paraId="3A833849" w14:textId="1747318F" w:rsidR="000B7588" w:rsidRDefault="000B7588" w:rsidP="006701F3">
            <w:pPr>
              <w:keepNext/>
              <w:keepLines/>
              <w:spacing w:before="20" w:after="20"/>
              <w:jc w:val="center"/>
              <w:rPr>
                <w:b/>
                <w:sz w:val="20"/>
                <w:szCs w:val="20"/>
              </w:rPr>
            </w:pPr>
            <w:r w:rsidRPr="43412CC0">
              <w:rPr>
                <w:b/>
                <w:sz w:val="20"/>
                <w:szCs w:val="20"/>
              </w:rPr>
              <w:t>EUL ID</w:t>
            </w:r>
          </w:p>
        </w:tc>
        <w:tc>
          <w:tcPr>
            <w:tcW w:w="1215" w:type="dxa"/>
            <w:shd w:val="clear" w:color="auto" w:fill="F2F2F2" w:themeFill="background1" w:themeFillShade="F2"/>
            <w:vAlign w:val="bottom"/>
          </w:tcPr>
          <w:p w14:paraId="18E57BF8" w14:textId="4A6E43B8" w:rsidR="000B7588" w:rsidRPr="00694410" w:rsidRDefault="000B7588" w:rsidP="006701F3">
            <w:pPr>
              <w:keepNext/>
              <w:keepLines/>
              <w:spacing w:before="20" w:after="20"/>
              <w:jc w:val="center"/>
              <w:rPr>
                <w:rFonts w:cstheme="minorHAnsi"/>
                <w:b/>
                <w:sz w:val="20"/>
                <w:szCs w:val="20"/>
              </w:rPr>
            </w:pPr>
            <w:r>
              <w:rPr>
                <w:rFonts w:cstheme="minorHAnsi"/>
                <w:b/>
                <w:sz w:val="20"/>
                <w:szCs w:val="20"/>
              </w:rPr>
              <w:t>EUL Value (yrs)</w:t>
            </w:r>
          </w:p>
        </w:tc>
        <w:tc>
          <w:tcPr>
            <w:tcW w:w="1215" w:type="dxa"/>
            <w:shd w:val="clear" w:color="auto" w:fill="F2F2F2" w:themeFill="background1" w:themeFillShade="F2"/>
            <w:vAlign w:val="bottom"/>
          </w:tcPr>
          <w:p w14:paraId="23BE1971" w14:textId="3A232EB5" w:rsidR="000B7588" w:rsidRPr="4A95A961" w:rsidRDefault="000B7588" w:rsidP="4A95A961">
            <w:pPr>
              <w:spacing w:before="20" w:after="20"/>
              <w:jc w:val="center"/>
              <w:rPr>
                <w:b/>
                <w:bCs/>
                <w:sz w:val="20"/>
                <w:szCs w:val="20"/>
              </w:rPr>
            </w:pPr>
            <w:r w:rsidRPr="4A95A961">
              <w:rPr>
                <w:b/>
                <w:bCs/>
                <w:sz w:val="20"/>
                <w:szCs w:val="20"/>
              </w:rPr>
              <w:t>RUL</w:t>
            </w:r>
          </w:p>
        </w:tc>
        <w:tc>
          <w:tcPr>
            <w:tcW w:w="1575" w:type="dxa"/>
            <w:shd w:val="clear" w:color="auto" w:fill="F2F2F2" w:themeFill="background1" w:themeFillShade="F2"/>
            <w:vAlign w:val="bottom"/>
          </w:tcPr>
          <w:p w14:paraId="541E1750" w14:textId="7F06AFD3" w:rsidR="000B7588" w:rsidRPr="00694410" w:rsidRDefault="000B7588" w:rsidP="006701F3">
            <w:pPr>
              <w:keepNext/>
              <w:keepLines/>
              <w:spacing w:before="20" w:after="20"/>
              <w:jc w:val="center"/>
              <w:rPr>
                <w:rFonts w:cstheme="minorHAnsi"/>
                <w:b/>
                <w:sz w:val="20"/>
                <w:szCs w:val="20"/>
              </w:rPr>
            </w:pPr>
            <w:r>
              <w:rPr>
                <w:rFonts w:cstheme="minorHAnsi"/>
                <w:b/>
                <w:sz w:val="20"/>
                <w:szCs w:val="20"/>
              </w:rPr>
              <w:t>Source</w:t>
            </w:r>
          </w:p>
        </w:tc>
      </w:tr>
      <w:tr w:rsidR="000B7588" w:rsidRPr="00500C4E" w14:paraId="7B636A73" w14:textId="217149CE" w:rsidTr="00E12726">
        <w:trPr>
          <w:cantSplit/>
          <w:trHeight w:val="20"/>
        </w:trPr>
        <w:tc>
          <w:tcPr>
            <w:tcW w:w="1574" w:type="dxa"/>
            <w:vAlign w:val="center"/>
          </w:tcPr>
          <w:p w14:paraId="682C5BCE" w14:textId="643ED2E8" w:rsidR="000B7588" w:rsidRPr="4C0DCA76" w:rsidRDefault="000B7588" w:rsidP="000B7588">
            <w:pPr>
              <w:keepNext/>
              <w:keepLines/>
              <w:spacing w:before="20" w:after="20"/>
              <w:rPr>
                <w:sz w:val="20"/>
                <w:szCs w:val="20"/>
              </w:rPr>
            </w:pPr>
            <w:r>
              <w:rPr>
                <w:sz w:val="20"/>
                <w:szCs w:val="20"/>
              </w:rPr>
              <w:t>SWSV013A</w:t>
            </w:r>
          </w:p>
        </w:tc>
        <w:tc>
          <w:tcPr>
            <w:tcW w:w="2291" w:type="dxa"/>
            <w:shd w:val="clear" w:color="auto" w:fill="auto"/>
            <w:vAlign w:val="center"/>
          </w:tcPr>
          <w:p w14:paraId="06B9C76D" w14:textId="75C6D6D3" w:rsidR="000B7588" w:rsidRPr="00A52E39" w:rsidRDefault="000B7588" w:rsidP="00DE5959">
            <w:pPr>
              <w:keepNext/>
              <w:keepLines/>
              <w:spacing w:before="20" w:after="20"/>
              <w:rPr>
                <w:sz w:val="20"/>
                <w:szCs w:val="20"/>
              </w:rPr>
            </w:pPr>
            <w:r w:rsidRPr="4C0DCA76">
              <w:rPr>
                <w:sz w:val="20"/>
                <w:szCs w:val="20"/>
              </w:rPr>
              <w:t>Return Duct Retrofit</w:t>
            </w:r>
          </w:p>
        </w:tc>
        <w:tc>
          <w:tcPr>
            <w:tcW w:w="1575" w:type="dxa"/>
            <w:vAlign w:val="center"/>
          </w:tcPr>
          <w:p w14:paraId="149E2F26" w14:textId="25BB215A" w:rsidR="000B7588" w:rsidRPr="003E08D8" w:rsidRDefault="00097A37" w:rsidP="00DE5959">
            <w:pPr>
              <w:keepNext/>
              <w:keepLines/>
              <w:spacing w:before="20" w:after="20"/>
              <w:jc w:val="center"/>
              <w:rPr>
                <w:rFonts w:cstheme="minorHAnsi"/>
                <w:sz w:val="20"/>
                <w:szCs w:val="20"/>
              </w:rPr>
            </w:pPr>
            <w:r>
              <w:rPr>
                <w:rFonts w:cstheme="minorHAnsi"/>
                <w:sz w:val="20"/>
                <w:szCs w:val="20"/>
              </w:rPr>
              <w:t>HV-DuctOpt</w:t>
            </w:r>
            <w:r w:rsidR="00E63DC0">
              <w:rPr>
                <w:rFonts w:cstheme="minorHAnsi"/>
                <w:sz w:val="20"/>
                <w:szCs w:val="20"/>
              </w:rPr>
              <w:t>-BW</w:t>
            </w:r>
          </w:p>
        </w:tc>
        <w:tc>
          <w:tcPr>
            <w:tcW w:w="1215" w:type="dxa"/>
            <w:vAlign w:val="center"/>
          </w:tcPr>
          <w:p w14:paraId="636160CC" w14:textId="1F69D6A0" w:rsidR="000B7588" w:rsidRPr="003E08D8" w:rsidRDefault="000B7588" w:rsidP="00DE5959">
            <w:pPr>
              <w:keepNext/>
              <w:keepLines/>
              <w:spacing w:before="20" w:after="20"/>
              <w:jc w:val="center"/>
              <w:rPr>
                <w:sz w:val="20"/>
                <w:szCs w:val="20"/>
              </w:rPr>
            </w:pPr>
            <w:r w:rsidRPr="38E7C948">
              <w:rPr>
                <w:sz w:val="20"/>
                <w:szCs w:val="20"/>
              </w:rPr>
              <w:t>1</w:t>
            </w:r>
            <w:r w:rsidR="00655F79">
              <w:rPr>
                <w:sz w:val="20"/>
                <w:szCs w:val="20"/>
              </w:rPr>
              <w:t>8</w:t>
            </w:r>
          </w:p>
        </w:tc>
        <w:tc>
          <w:tcPr>
            <w:tcW w:w="1215" w:type="dxa"/>
            <w:vAlign w:val="center"/>
          </w:tcPr>
          <w:p w14:paraId="68C75C9C" w14:textId="6F5EAF8F" w:rsidR="000B7588" w:rsidRPr="4A95A961" w:rsidRDefault="003C3B8F" w:rsidP="00DE5959">
            <w:pPr>
              <w:jc w:val="center"/>
              <w:rPr>
                <w:sz w:val="20"/>
                <w:szCs w:val="20"/>
              </w:rPr>
            </w:pPr>
            <w:r>
              <w:rPr>
                <w:sz w:val="20"/>
                <w:szCs w:val="20"/>
              </w:rPr>
              <w:t>0</w:t>
            </w:r>
          </w:p>
        </w:tc>
        <w:tc>
          <w:tcPr>
            <w:tcW w:w="1575" w:type="dxa"/>
            <w:vAlign w:val="center"/>
          </w:tcPr>
          <w:p w14:paraId="12293357" w14:textId="68AAF4B1" w:rsidR="000B7588" w:rsidRPr="003E08D8" w:rsidRDefault="001E5156" w:rsidP="00DE5959">
            <w:pPr>
              <w:keepNext/>
              <w:keepLines/>
              <w:spacing w:before="20" w:after="20"/>
              <w:jc w:val="center"/>
              <w:rPr>
                <w:sz w:val="20"/>
                <w:szCs w:val="20"/>
              </w:rPr>
            </w:pPr>
            <w:r>
              <w:rPr>
                <w:sz w:val="20"/>
                <w:szCs w:val="20"/>
              </w:rPr>
              <w:t xml:space="preserve">DEER </w:t>
            </w:r>
          </w:p>
        </w:tc>
      </w:tr>
      <w:tr w:rsidR="000B7588" w:rsidRPr="00500C4E" w14:paraId="71871DE1" w14:textId="51A3395E" w:rsidTr="00E12726">
        <w:trPr>
          <w:cantSplit/>
          <w:trHeight w:val="20"/>
        </w:trPr>
        <w:tc>
          <w:tcPr>
            <w:tcW w:w="1574" w:type="dxa"/>
            <w:vAlign w:val="center"/>
          </w:tcPr>
          <w:p w14:paraId="3D48C387" w14:textId="2FB00158" w:rsidR="000B7588" w:rsidRDefault="000B7588" w:rsidP="000B7588">
            <w:pPr>
              <w:spacing w:before="20" w:after="20"/>
              <w:rPr>
                <w:sz w:val="20"/>
                <w:szCs w:val="20"/>
              </w:rPr>
            </w:pPr>
            <w:r>
              <w:rPr>
                <w:sz w:val="20"/>
                <w:szCs w:val="20"/>
              </w:rPr>
              <w:t>SWSV013B</w:t>
            </w:r>
          </w:p>
        </w:tc>
        <w:tc>
          <w:tcPr>
            <w:tcW w:w="2291" w:type="dxa"/>
            <w:shd w:val="clear" w:color="auto" w:fill="auto"/>
            <w:vAlign w:val="center"/>
          </w:tcPr>
          <w:p w14:paraId="2EDF35E0" w14:textId="14312AEF" w:rsidR="000B7588" w:rsidRPr="00A52E39" w:rsidRDefault="000B7588" w:rsidP="00DE5959">
            <w:pPr>
              <w:spacing w:before="20" w:after="20"/>
              <w:rPr>
                <w:sz w:val="20"/>
                <w:szCs w:val="20"/>
              </w:rPr>
            </w:pPr>
            <w:r>
              <w:rPr>
                <w:sz w:val="20"/>
                <w:szCs w:val="20"/>
              </w:rPr>
              <w:t>Crossover Replacement</w:t>
            </w:r>
          </w:p>
        </w:tc>
        <w:tc>
          <w:tcPr>
            <w:tcW w:w="1575" w:type="dxa"/>
            <w:vAlign w:val="center"/>
          </w:tcPr>
          <w:p w14:paraId="35EF30BA" w14:textId="4F40B019" w:rsidR="000B7588" w:rsidRPr="003E08D8" w:rsidRDefault="00097A37" w:rsidP="00DE5959">
            <w:pPr>
              <w:spacing w:before="20" w:after="20"/>
              <w:jc w:val="center"/>
              <w:rPr>
                <w:sz w:val="20"/>
                <w:szCs w:val="20"/>
              </w:rPr>
            </w:pPr>
            <w:r>
              <w:rPr>
                <w:rFonts w:cstheme="minorHAnsi"/>
                <w:sz w:val="20"/>
                <w:szCs w:val="20"/>
              </w:rPr>
              <w:t>HV-DuctOpt</w:t>
            </w:r>
            <w:r w:rsidR="00E63DC0">
              <w:rPr>
                <w:rFonts w:cstheme="minorHAnsi"/>
                <w:sz w:val="20"/>
                <w:szCs w:val="20"/>
              </w:rPr>
              <w:t>-BW</w:t>
            </w:r>
          </w:p>
        </w:tc>
        <w:tc>
          <w:tcPr>
            <w:tcW w:w="1215" w:type="dxa"/>
            <w:vAlign w:val="center"/>
          </w:tcPr>
          <w:p w14:paraId="012CC38D" w14:textId="65466A8C" w:rsidR="000B7588" w:rsidRPr="003E08D8" w:rsidRDefault="000B7588" w:rsidP="00DE5959">
            <w:pPr>
              <w:spacing w:before="20" w:after="20"/>
              <w:jc w:val="center"/>
              <w:rPr>
                <w:sz w:val="20"/>
                <w:szCs w:val="20"/>
              </w:rPr>
            </w:pPr>
            <w:r w:rsidRPr="43412CC0">
              <w:rPr>
                <w:sz w:val="20"/>
                <w:szCs w:val="20"/>
              </w:rPr>
              <w:t>1</w:t>
            </w:r>
            <w:r w:rsidR="00655F79">
              <w:rPr>
                <w:sz w:val="20"/>
                <w:szCs w:val="20"/>
              </w:rPr>
              <w:t>8</w:t>
            </w:r>
          </w:p>
        </w:tc>
        <w:tc>
          <w:tcPr>
            <w:tcW w:w="1215" w:type="dxa"/>
            <w:vAlign w:val="center"/>
          </w:tcPr>
          <w:p w14:paraId="63C9BF89" w14:textId="1E81E97A" w:rsidR="000B7588" w:rsidRPr="4A95A961" w:rsidRDefault="003C3B8F" w:rsidP="00DE5959">
            <w:pPr>
              <w:jc w:val="center"/>
              <w:rPr>
                <w:sz w:val="20"/>
                <w:szCs w:val="20"/>
              </w:rPr>
            </w:pPr>
            <w:r>
              <w:rPr>
                <w:sz w:val="20"/>
                <w:szCs w:val="20"/>
              </w:rPr>
              <w:t>0</w:t>
            </w:r>
          </w:p>
        </w:tc>
        <w:tc>
          <w:tcPr>
            <w:tcW w:w="1575" w:type="dxa"/>
            <w:vAlign w:val="center"/>
          </w:tcPr>
          <w:p w14:paraId="7DDC9DCA" w14:textId="017A23EA" w:rsidR="000B7588" w:rsidRPr="003E08D8" w:rsidRDefault="001E5156" w:rsidP="00DE5959">
            <w:pPr>
              <w:spacing w:before="20" w:after="20"/>
              <w:jc w:val="center"/>
              <w:rPr>
                <w:sz w:val="20"/>
                <w:szCs w:val="20"/>
              </w:rPr>
            </w:pPr>
            <w:r>
              <w:rPr>
                <w:sz w:val="20"/>
                <w:szCs w:val="20"/>
              </w:rPr>
              <w:t>DEER</w:t>
            </w:r>
          </w:p>
        </w:tc>
      </w:tr>
      <w:tr w:rsidR="00AA4E11" w:rsidRPr="00500C4E" w14:paraId="7C21E819" w14:textId="77777777" w:rsidTr="00E12726">
        <w:trPr>
          <w:cantSplit/>
          <w:trHeight w:val="20"/>
        </w:trPr>
        <w:tc>
          <w:tcPr>
            <w:tcW w:w="1574" w:type="dxa"/>
            <w:vAlign w:val="center"/>
          </w:tcPr>
          <w:p w14:paraId="46B8D3A3" w14:textId="00625089" w:rsidR="00AA4E11" w:rsidRDefault="00AA4E11" w:rsidP="00AA4E11">
            <w:pPr>
              <w:spacing w:before="20" w:after="20"/>
              <w:rPr>
                <w:sz w:val="20"/>
                <w:szCs w:val="20"/>
              </w:rPr>
            </w:pPr>
            <w:r>
              <w:rPr>
                <w:sz w:val="20"/>
                <w:szCs w:val="20"/>
              </w:rPr>
              <w:t>SWSV013C</w:t>
            </w:r>
          </w:p>
        </w:tc>
        <w:tc>
          <w:tcPr>
            <w:tcW w:w="2291" w:type="dxa"/>
            <w:shd w:val="clear" w:color="auto" w:fill="auto"/>
            <w:vAlign w:val="center"/>
          </w:tcPr>
          <w:p w14:paraId="3B9BFEC3" w14:textId="692C862E" w:rsidR="00AA4E11" w:rsidRDefault="00AA4E11" w:rsidP="00AA4E11">
            <w:pPr>
              <w:spacing w:before="20" w:after="20"/>
              <w:rPr>
                <w:sz w:val="20"/>
                <w:szCs w:val="20"/>
              </w:rPr>
            </w:pPr>
            <w:r w:rsidRPr="4C0DCA76">
              <w:rPr>
                <w:sz w:val="20"/>
                <w:szCs w:val="20"/>
              </w:rPr>
              <w:t>Return Duct Retrofit</w:t>
            </w:r>
            <w:r w:rsidR="003E5702">
              <w:rPr>
                <w:sz w:val="20"/>
                <w:szCs w:val="20"/>
              </w:rPr>
              <w:t xml:space="preserve"> for</w:t>
            </w:r>
            <w:r w:rsidR="003E5702" w:rsidRPr="005B6321">
              <w:rPr>
                <w:sz w:val="20"/>
                <w:szCs w:val="20"/>
              </w:rPr>
              <w:t xml:space="preserve"> rNCGF System Only</w:t>
            </w:r>
          </w:p>
        </w:tc>
        <w:tc>
          <w:tcPr>
            <w:tcW w:w="1575" w:type="dxa"/>
            <w:vAlign w:val="center"/>
          </w:tcPr>
          <w:p w14:paraId="6A8963EA" w14:textId="5587F58A" w:rsidR="00AA4E11" w:rsidRDefault="00AA4E11" w:rsidP="00AA4E11">
            <w:pPr>
              <w:spacing w:before="20" w:after="20"/>
              <w:jc w:val="center"/>
              <w:rPr>
                <w:rFonts w:cstheme="minorHAnsi"/>
                <w:sz w:val="20"/>
                <w:szCs w:val="20"/>
              </w:rPr>
            </w:pPr>
            <w:r>
              <w:rPr>
                <w:rFonts w:cstheme="minorHAnsi"/>
                <w:sz w:val="20"/>
                <w:szCs w:val="20"/>
              </w:rPr>
              <w:t>HV-DuctOpt-BW</w:t>
            </w:r>
          </w:p>
        </w:tc>
        <w:tc>
          <w:tcPr>
            <w:tcW w:w="1215" w:type="dxa"/>
            <w:vAlign w:val="center"/>
          </w:tcPr>
          <w:p w14:paraId="33CB097C" w14:textId="5BE38872" w:rsidR="00AA4E11" w:rsidRPr="43412CC0" w:rsidRDefault="00AA4E11" w:rsidP="00AA4E11">
            <w:pPr>
              <w:spacing w:before="20" w:after="20"/>
              <w:jc w:val="center"/>
              <w:rPr>
                <w:sz w:val="20"/>
                <w:szCs w:val="20"/>
              </w:rPr>
            </w:pPr>
            <w:r w:rsidRPr="38E7C948">
              <w:rPr>
                <w:sz w:val="20"/>
                <w:szCs w:val="20"/>
              </w:rPr>
              <w:t>1</w:t>
            </w:r>
            <w:r>
              <w:rPr>
                <w:sz w:val="20"/>
                <w:szCs w:val="20"/>
              </w:rPr>
              <w:t>8</w:t>
            </w:r>
          </w:p>
        </w:tc>
        <w:tc>
          <w:tcPr>
            <w:tcW w:w="1215" w:type="dxa"/>
            <w:vAlign w:val="center"/>
          </w:tcPr>
          <w:p w14:paraId="0F37AF18" w14:textId="42F66B09" w:rsidR="00AA4E11" w:rsidRDefault="00AA4E11" w:rsidP="00AA4E11">
            <w:pPr>
              <w:jc w:val="center"/>
              <w:rPr>
                <w:sz w:val="20"/>
                <w:szCs w:val="20"/>
              </w:rPr>
            </w:pPr>
            <w:r>
              <w:rPr>
                <w:sz w:val="20"/>
                <w:szCs w:val="20"/>
              </w:rPr>
              <w:t>0</w:t>
            </w:r>
          </w:p>
        </w:tc>
        <w:tc>
          <w:tcPr>
            <w:tcW w:w="1575" w:type="dxa"/>
            <w:vAlign w:val="center"/>
          </w:tcPr>
          <w:p w14:paraId="6644E569" w14:textId="02750826" w:rsidR="00AA4E11" w:rsidRDefault="00AA4E11" w:rsidP="00AA4E11">
            <w:pPr>
              <w:spacing w:before="20" w:after="20"/>
              <w:jc w:val="center"/>
              <w:rPr>
                <w:sz w:val="20"/>
                <w:szCs w:val="20"/>
              </w:rPr>
            </w:pPr>
            <w:r>
              <w:rPr>
                <w:sz w:val="20"/>
                <w:szCs w:val="20"/>
              </w:rPr>
              <w:t xml:space="preserve">DEER </w:t>
            </w:r>
          </w:p>
        </w:tc>
      </w:tr>
      <w:tr w:rsidR="00AA4E11" w:rsidRPr="00500C4E" w14:paraId="682DD416" w14:textId="77777777" w:rsidTr="00E12726">
        <w:trPr>
          <w:cantSplit/>
          <w:trHeight w:val="20"/>
        </w:trPr>
        <w:tc>
          <w:tcPr>
            <w:tcW w:w="1574" w:type="dxa"/>
            <w:vAlign w:val="center"/>
          </w:tcPr>
          <w:p w14:paraId="3BD20A0F" w14:textId="7614AE1A" w:rsidR="00AA4E11" w:rsidRDefault="00AA4E11" w:rsidP="00AA4E11">
            <w:pPr>
              <w:spacing w:before="20" w:after="20"/>
              <w:rPr>
                <w:sz w:val="20"/>
                <w:szCs w:val="20"/>
              </w:rPr>
            </w:pPr>
            <w:r>
              <w:rPr>
                <w:sz w:val="20"/>
                <w:szCs w:val="20"/>
              </w:rPr>
              <w:t>SWSV013D</w:t>
            </w:r>
          </w:p>
        </w:tc>
        <w:tc>
          <w:tcPr>
            <w:tcW w:w="2291" w:type="dxa"/>
            <w:shd w:val="clear" w:color="auto" w:fill="auto"/>
            <w:vAlign w:val="center"/>
          </w:tcPr>
          <w:p w14:paraId="03D8A869" w14:textId="3F711D4A" w:rsidR="00AA4E11" w:rsidRDefault="00B85E5C" w:rsidP="00AA4E11">
            <w:pPr>
              <w:spacing w:before="20" w:after="20"/>
              <w:rPr>
                <w:sz w:val="20"/>
                <w:szCs w:val="20"/>
              </w:rPr>
            </w:pPr>
            <w:r>
              <w:rPr>
                <w:sz w:val="20"/>
                <w:szCs w:val="20"/>
              </w:rPr>
              <w:t>Crossover Replacement for</w:t>
            </w:r>
            <w:r w:rsidRPr="005B6321">
              <w:rPr>
                <w:sz w:val="20"/>
                <w:szCs w:val="20"/>
              </w:rPr>
              <w:t xml:space="preserve"> rNCGF System Only</w:t>
            </w:r>
          </w:p>
        </w:tc>
        <w:tc>
          <w:tcPr>
            <w:tcW w:w="1575" w:type="dxa"/>
            <w:vAlign w:val="center"/>
          </w:tcPr>
          <w:p w14:paraId="29C17825" w14:textId="5F0AE22E" w:rsidR="00AA4E11" w:rsidRDefault="00AA4E11" w:rsidP="00AA4E11">
            <w:pPr>
              <w:spacing w:before="20" w:after="20"/>
              <w:jc w:val="center"/>
              <w:rPr>
                <w:rFonts w:cstheme="minorHAnsi"/>
                <w:sz w:val="20"/>
                <w:szCs w:val="20"/>
              </w:rPr>
            </w:pPr>
            <w:r>
              <w:rPr>
                <w:rFonts w:cstheme="minorHAnsi"/>
                <w:sz w:val="20"/>
                <w:szCs w:val="20"/>
              </w:rPr>
              <w:t>HV-DuctOpt-BW</w:t>
            </w:r>
          </w:p>
        </w:tc>
        <w:tc>
          <w:tcPr>
            <w:tcW w:w="1215" w:type="dxa"/>
            <w:vAlign w:val="center"/>
          </w:tcPr>
          <w:p w14:paraId="7E2AFF86" w14:textId="3F93EFEE" w:rsidR="00AA4E11" w:rsidRPr="43412CC0" w:rsidRDefault="00AA4E11" w:rsidP="00AA4E11">
            <w:pPr>
              <w:spacing w:before="20" w:after="20"/>
              <w:jc w:val="center"/>
              <w:rPr>
                <w:sz w:val="20"/>
                <w:szCs w:val="20"/>
              </w:rPr>
            </w:pPr>
            <w:r w:rsidRPr="38E7C948">
              <w:rPr>
                <w:sz w:val="20"/>
                <w:szCs w:val="20"/>
              </w:rPr>
              <w:t>1</w:t>
            </w:r>
            <w:r>
              <w:rPr>
                <w:sz w:val="20"/>
                <w:szCs w:val="20"/>
              </w:rPr>
              <w:t>8</w:t>
            </w:r>
          </w:p>
        </w:tc>
        <w:tc>
          <w:tcPr>
            <w:tcW w:w="1215" w:type="dxa"/>
            <w:vAlign w:val="center"/>
          </w:tcPr>
          <w:p w14:paraId="5299C0F3" w14:textId="2968428C" w:rsidR="00AA4E11" w:rsidRDefault="00AA4E11" w:rsidP="00AA4E11">
            <w:pPr>
              <w:jc w:val="center"/>
              <w:rPr>
                <w:sz w:val="20"/>
                <w:szCs w:val="20"/>
              </w:rPr>
            </w:pPr>
            <w:r>
              <w:rPr>
                <w:sz w:val="20"/>
                <w:szCs w:val="20"/>
              </w:rPr>
              <w:t>0</w:t>
            </w:r>
          </w:p>
        </w:tc>
        <w:tc>
          <w:tcPr>
            <w:tcW w:w="1575" w:type="dxa"/>
            <w:vAlign w:val="center"/>
          </w:tcPr>
          <w:p w14:paraId="6F8BFB1F" w14:textId="1FCDBA78" w:rsidR="00AA4E11" w:rsidRDefault="00AA4E11" w:rsidP="00AA4E11">
            <w:pPr>
              <w:spacing w:before="20" w:after="20"/>
              <w:jc w:val="center"/>
              <w:rPr>
                <w:sz w:val="20"/>
                <w:szCs w:val="20"/>
              </w:rPr>
            </w:pPr>
            <w:r>
              <w:rPr>
                <w:sz w:val="20"/>
                <w:szCs w:val="20"/>
              </w:rPr>
              <w:t xml:space="preserve">DEER </w:t>
            </w:r>
          </w:p>
        </w:tc>
      </w:tr>
    </w:tbl>
    <w:p w14:paraId="1C213BF4" w14:textId="77777777" w:rsidR="006F4762" w:rsidRDefault="006F4762" w:rsidP="43412CC0">
      <w:pPr>
        <w:spacing w:before="0" w:line="276" w:lineRule="auto"/>
      </w:pPr>
    </w:p>
    <w:p w14:paraId="5B6FEE4E" w14:textId="79F58E89" w:rsidR="001B208F" w:rsidRDefault="006F4762" w:rsidP="43412CC0">
      <w:pPr>
        <w:spacing w:before="0" w:line="276" w:lineRule="auto"/>
      </w:pPr>
      <w:r>
        <w:t xml:space="preserve">Remaining </w:t>
      </w:r>
      <w:r w:rsidR="00930BE2">
        <w:t>useful life (</w:t>
      </w:r>
      <w:r w:rsidR="18D728C3">
        <w:t>RUL</w:t>
      </w:r>
      <w:r w:rsidR="00930BE2">
        <w:t>) is an estimate of the median number of years that a technology or piece of equipment replaced or altered by an energy efficiency program would have remained in service and operational had the program intervention not</w:t>
      </w:r>
      <w:r w:rsidR="00EC7F82">
        <w:t xml:space="preserve"> </w:t>
      </w:r>
      <w:r w:rsidR="00930BE2">
        <w:t>caused the replacement or alteration. RUL</w:t>
      </w:r>
      <w:r w:rsidR="00F92B2D">
        <w:t xml:space="preserve"> is</w:t>
      </w:r>
      <w:r w:rsidR="18D728C3">
        <w:t xml:space="preserve"> set to zero as the</w:t>
      </w:r>
      <w:r w:rsidR="00F92B2D">
        <w:t>se</w:t>
      </w:r>
      <w:r w:rsidR="18D728C3">
        <w:t xml:space="preserve"> measure</w:t>
      </w:r>
      <w:r w:rsidR="00F92B2D">
        <w:t>s</w:t>
      </w:r>
      <w:r w:rsidR="18D728C3">
        <w:t xml:space="preserve"> replace or modify ducts that are damaged or inadequate</w:t>
      </w:r>
      <w:r w:rsidR="284989B4">
        <w:t xml:space="preserve">, therefore </w:t>
      </w:r>
      <w:r w:rsidR="00F92B2D">
        <w:t xml:space="preserve">having </w:t>
      </w:r>
      <w:r w:rsidR="284989B4">
        <w:t>no remaining useful life</w:t>
      </w:r>
      <w:r w:rsidR="18D728C3">
        <w:t>.</w:t>
      </w:r>
    </w:p>
    <w:p w14:paraId="4BAF00FE" w14:textId="3C11EF09" w:rsidR="00A52E39" w:rsidRPr="004B06E3" w:rsidRDefault="000D25D1" w:rsidP="00172D79">
      <w:pPr>
        <w:pStyle w:val="eTRMHeading4"/>
      </w:pPr>
      <w:r>
        <w:t xml:space="preserve">Additional </w:t>
      </w:r>
      <w:r w:rsidR="34FC5B6E" w:rsidRPr="43412CC0">
        <w:t>EUL References:</w:t>
      </w:r>
    </w:p>
    <w:p w14:paraId="6DF7F5AB" w14:textId="77777777" w:rsidR="00126A71" w:rsidRDefault="00126A71" w:rsidP="00F90C10">
      <w:pPr>
        <w:pStyle w:val="ListParagraph"/>
        <w:numPr>
          <w:ilvl w:val="0"/>
          <w:numId w:val="26"/>
        </w:numPr>
        <w:spacing w:before="0" w:after="200" w:line="276" w:lineRule="auto"/>
        <w:rPr>
          <w:rFonts w:asciiTheme="minorHAnsi" w:hAnsiTheme="minorHAnsi" w:hint="eastAsia"/>
          <w:szCs w:val="22"/>
        </w:rPr>
      </w:pPr>
      <w:r>
        <w:t>Pacific Gas &amp; Electric Company. 2006. Retention Study of Pacific Gas &amp; Electric Company’s 1996 and 1997 Residential New Construction Energy Efficiency Programs. PG&amp;E Study ID number: 386R2 CALMAC Study ID number: PGE0247.01.</w:t>
      </w:r>
      <w:r w:rsidR="00F90C10">
        <w:br/>
      </w:r>
    </w:p>
    <w:p w14:paraId="2A315505" w14:textId="6A50794B" w:rsidR="00F90C10" w:rsidRPr="004B06E3" w:rsidRDefault="000D25D1" w:rsidP="00F90C10">
      <w:pPr>
        <w:pStyle w:val="ListParagraph"/>
        <w:numPr>
          <w:ilvl w:val="0"/>
          <w:numId w:val="26"/>
        </w:numPr>
        <w:spacing w:before="0" w:after="200" w:line="276" w:lineRule="auto"/>
        <w:rPr>
          <w:rFonts w:asciiTheme="minorHAnsi" w:hAnsiTheme="minorHAnsi" w:hint="eastAsia"/>
          <w:szCs w:val="22"/>
        </w:rPr>
      </w:pPr>
      <w:r>
        <w:t>Itron, Inc. 2004. 1994 Residential New Construction Ninth-Year Retention Evaluation (Energy Advantage Home Program) Study Number 716A. Prepared for Southern California Gas Company</w:t>
      </w:r>
      <w:r w:rsidR="00126A71">
        <w:rPr>
          <w:rFonts w:asciiTheme="minorHAnsi" w:hAnsiTheme="minorHAnsi"/>
          <w:szCs w:val="22"/>
        </w:rPr>
        <w:br/>
      </w:r>
    </w:p>
    <w:p w14:paraId="14267831" w14:textId="698B8D4F" w:rsidR="00A52E39" w:rsidRPr="004B06E3" w:rsidRDefault="00B85723" w:rsidP="43412CC0">
      <w:pPr>
        <w:pStyle w:val="ListParagraph"/>
        <w:numPr>
          <w:ilvl w:val="0"/>
          <w:numId w:val="26"/>
        </w:numPr>
        <w:spacing w:before="0" w:after="200" w:line="276" w:lineRule="auto"/>
        <w:rPr>
          <w:rFonts w:asciiTheme="minorHAnsi" w:hAnsiTheme="minorHAnsi" w:hint="eastAsia"/>
          <w:szCs w:val="22"/>
        </w:rPr>
      </w:pPr>
      <w:hyperlink r:id="rId19">
        <w:r w:rsidR="34FC5B6E" w:rsidRPr="43412CC0">
          <w:rPr>
            <w:szCs w:val="22"/>
          </w:rPr>
          <w:t>Form 4099.F</w:t>
        </w:r>
      </w:hyperlink>
      <w:r w:rsidR="34FC5B6E" w:rsidRPr="43412CC0">
        <w:rPr>
          <w:szCs w:val="22"/>
        </w:rPr>
        <w:t>, Fannie Mae, August 2019</w:t>
      </w:r>
      <w:r w:rsidR="00A52E39">
        <w:br/>
      </w:r>
      <w:r w:rsidR="00A52E39">
        <w:br/>
      </w:r>
      <w:r w:rsidR="34FC5B6E" w:rsidRPr="43412CC0">
        <w:rPr>
          <w:szCs w:val="22"/>
        </w:rPr>
        <w:t>This property condition assessment form provides estimated useful life tables in Appendix F listing an EUL of 30 years for ductwork (“Combustion Air, Duct with fixed louvers”, p.5), with no source or basis for estimate.</w:t>
      </w:r>
      <w:r w:rsidR="00333FE0">
        <w:rPr>
          <w:szCs w:val="22"/>
        </w:rPr>
        <w:br/>
      </w:r>
    </w:p>
    <w:p w14:paraId="4B986F51" w14:textId="2CB91781" w:rsidR="00A52E39" w:rsidRPr="004B06E3" w:rsidRDefault="00B85723" w:rsidP="43412CC0">
      <w:pPr>
        <w:pStyle w:val="ListParagraph"/>
        <w:numPr>
          <w:ilvl w:val="0"/>
          <w:numId w:val="26"/>
        </w:numPr>
        <w:spacing w:before="0" w:after="200" w:line="276" w:lineRule="auto"/>
        <w:rPr>
          <w:rFonts w:asciiTheme="minorHAnsi" w:hAnsiTheme="minorHAnsi" w:hint="eastAsia"/>
          <w:szCs w:val="22"/>
        </w:rPr>
      </w:pPr>
      <w:hyperlink r:id="rId20">
        <w:r w:rsidR="34FC5B6E" w:rsidRPr="43412CC0">
          <w:rPr>
            <w:szCs w:val="22"/>
          </w:rPr>
          <w:t>Florida Housing Finance Corporation Capital Needs Assessment Guide</w:t>
        </w:r>
      </w:hyperlink>
      <w:r w:rsidR="34FC5B6E" w:rsidRPr="43412CC0">
        <w:rPr>
          <w:szCs w:val="22"/>
        </w:rPr>
        <w:t>, Florida Housing Finance Corporation, December 2018</w:t>
      </w:r>
      <w:r w:rsidR="00A52E39">
        <w:br/>
      </w:r>
      <w:r w:rsidR="00A52E39">
        <w:br/>
      </w:r>
      <w:r w:rsidR="34FC5B6E" w:rsidRPr="43412CC0">
        <w:rPr>
          <w:szCs w:val="22"/>
        </w:rPr>
        <w:t>This capital needs assessment guide provides estimated useful life tables in Appendix F listing an EUL of 35 years for metal ductwork (“Duct, rigid sheet metal, insulated if not in conditioned space”, p.10) and 20 years for flexible ductwork (“Duct, flexible, insulated”, p.10), with no source or basis for estimate.</w:t>
      </w:r>
      <w:r w:rsidR="00333FE0">
        <w:rPr>
          <w:szCs w:val="22"/>
        </w:rPr>
        <w:br/>
      </w:r>
    </w:p>
    <w:p w14:paraId="613EC4DE" w14:textId="3EB9F988" w:rsidR="00A52E39" w:rsidRPr="004B06E3" w:rsidRDefault="00B85723" w:rsidP="43412CC0">
      <w:pPr>
        <w:pStyle w:val="ListParagraph"/>
        <w:numPr>
          <w:ilvl w:val="0"/>
          <w:numId w:val="26"/>
        </w:numPr>
        <w:spacing w:before="0" w:after="200" w:line="276" w:lineRule="auto"/>
        <w:rPr>
          <w:rFonts w:asciiTheme="minorHAnsi" w:hAnsiTheme="minorHAnsi" w:hint="eastAsia"/>
          <w:szCs w:val="22"/>
        </w:rPr>
      </w:pPr>
      <w:hyperlink r:id="rId21">
        <w:r w:rsidR="34FC5B6E" w:rsidRPr="43412CC0">
          <w:rPr>
            <w:szCs w:val="22"/>
          </w:rPr>
          <w:t>Energy Audits and Improvements for Commercial Buildings</w:t>
        </w:r>
      </w:hyperlink>
      <w:r w:rsidR="34FC5B6E" w:rsidRPr="43412CC0">
        <w:rPr>
          <w:szCs w:val="22"/>
        </w:rPr>
        <w:t>, Ian M. Shapiro, John Wiley &amp; Sons, 2016</w:t>
      </w:r>
      <w:r w:rsidR="00A52E39">
        <w:br/>
      </w:r>
      <w:r w:rsidR="00A52E39">
        <w:lastRenderedPageBreak/>
        <w:br/>
      </w:r>
      <w:r w:rsidR="34FC5B6E" w:rsidRPr="43412CC0">
        <w:rPr>
          <w:szCs w:val="22"/>
        </w:rPr>
        <w:t>This book provides estimated useful life tables in Appendix Q listing an EUL of 30 years for ductwork (p.353), with the source for this estimate listed as follows: “Data obtained from a survey of the United States by ASHRAE Technical Committee TC 1.8 (Akalin, 1978). Some updates in 1986.”</w:t>
      </w:r>
      <w:r w:rsidR="00333FE0">
        <w:rPr>
          <w:szCs w:val="22"/>
        </w:rPr>
        <w:br/>
      </w:r>
    </w:p>
    <w:p w14:paraId="4F011F5B" w14:textId="70D90638" w:rsidR="00A52E39" w:rsidRPr="004B06E3" w:rsidRDefault="00B85723" w:rsidP="43412CC0">
      <w:pPr>
        <w:pStyle w:val="ListParagraph"/>
        <w:numPr>
          <w:ilvl w:val="0"/>
          <w:numId w:val="26"/>
        </w:numPr>
        <w:spacing w:before="0" w:after="200" w:line="276" w:lineRule="auto"/>
        <w:rPr>
          <w:rFonts w:asciiTheme="minorHAnsi" w:hAnsiTheme="minorHAnsi" w:hint="eastAsia"/>
          <w:szCs w:val="22"/>
        </w:rPr>
      </w:pPr>
      <w:hyperlink r:id="rId22">
        <w:r w:rsidR="34FC5B6E" w:rsidRPr="43412CC0">
          <w:rPr>
            <w:szCs w:val="22"/>
          </w:rPr>
          <w:t>Comprehensive Hard-to-Reach Mobile Home Energy Savings Program Evaluation, Measurement and Verification Report</w:t>
        </w:r>
      </w:hyperlink>
      <w:r w:rsidR="34FC5B6E" w:rsidRPr="43412CC0">
        <w:rPr>
          <w:szCs w:val="22"/>
        </w:rPr>
        <w:t>, AESC (under CPUC Contract #1275-1276), March 2007</w:t>
      </w:r>
      <w:r w:rsidR="00A52E39">
        <w:br/>
      </w:r>
      <w:r w:rsidR="00A52E39">
        <w:br/>
      </w:r>
      <w:r w:rsidR="34FC5B6E" w:rsidRPr="43412CC0">
        <w:rPr>
          <w:szCs w:val="22"/>
        </w:rPr>
        <w:t>This report provides a 20-year EUL for duct test and seal (p.3-6, Table 3.1) with no source or basis for estimate.</w:t>
      </w:r>
      <w:r w:rsidR="00333FE0">
        <w:rPr>
          <w:szCs w:val="22"/>
        </w:rPr>
        <w:br/>
      </w:r>
    </w:p>
    <w:p w14:paraId="3BEAABDA" w14:textId="4E6AE35A" w:rsidR="00A52E39" w:rsidRPr="004B06E3" w:rsidRDefault="00B85723" w:rsidP="43412CC0">
      <w:pPr>
        <w:pStyle w:val="ListParagraph"/>
        <w:numPr>
          <w:ilvl w:val="0"/>
          <w:numId w:val="26"/>
        </w:numPr>
        <w:spacing w:before="0" w:after="200" w:line="276" w:lineRule="auto"/>
        <w:rPr>
          <w:rFonts w:asciiTheme="minorHAnsi" w:hAnsiTheme="minorHAnsi" w:hint="eastAsia"/>
          <w:szCs w:val="22"/>
        </w:rPr>
      </w:pPr>
      <w:hyperlink r:id="rId23">
        <w:r w:rsidR="34FC5B6E" w:rsidRPr="43412CC0">
          <w:rPr>
            <w:szCs w:val="22"/>
          </w:rPr>
          <w:t>Measure Life Report: Residential and Commercial/Industrial Lighting and HVAC Measures</w:t>
        </w:r>
      </w:hyperlink>
      <w:r w:rsidR="34FC5B6E" w:rsidRPr="43412CC0">
        <w:rPr>
          <w:szCs w:val="22"/>
        </w:rPr>
        <w:t>, GDS Associates, Inc., June 2007</w:t>
      </w:r>
      <w:r w:rsidR="00A52E39">
        <w:br/>
      </w:r>
      <w:r w:rsidR="00A52E39">
        <w:br/>
      </w:r>
      <w:r w:rsidR="34FC5B6E" w:rsidRPr="43412CC0">
        <w:rPr>
          <w:szCs w:val="22"/>
        </w:rPr>
        <w:t>This report provides a 20-year EUL for duct sealing (p.1-3, Table 1). The report states that the EULs listed within are based on “critical review of all state program administrator-specific values, values from other sources compiled in the course of this study, and discussion with the SPWG,” which is the New England State Program Working Group (p.1-2).</w:t>
      </w:r>
      <w:r w:rsidR="00333FE0">
        <w:rPr>
          <w:szCs w:val="22"/>
        </w:rPr>
        <w:br/>
      </w:r>
    </w:p>
    <w:p w14:paraId="43CB7BCC" w14:textId="76C823CB" w:rsidR="00A52E39" w:rsidRPr="004B06E3" w:rsidRDefault="00B85723" w:rsidP="43412CC0">
      <w:pPr>
        <w:pStyle w:val="ListParagraph"/>
        <w:numPr>
          <w:ilvl w:val="0"/>
          <w:numId w:val="26"/>
        </w:numPr>
        <w:spacing w:before="0" w:after="200" w:line="276" w:lineRule="auto"/>
        <w:rPr>
          <w:rFonts w:asciiTheme="minorHAnsi" w:hAnsiTheme="minorHAnsi" w:hint="eastAsia"/>
          <w:szCs w:val="22"/>
        </w:rPr>
      </w:pPr>
      <w:hyperlink r:id="rId24">
        <w:r w:rsidR="34FC5B6E" w:rsidRPr="43412CC0">
          <w:rPr>
            <w:szCs w:val="22"/>
          </w:rPr>
          <w:t>STANDARD PROTOCOL FOR ESTIMATING ENERGY SAVINGS OF MANUFACTURED HOME DUCT SEALING RETROFIT PROGRAMS</w:t>
        </w:r>
      </w:hyperlink>
      <w:r w:rsidR="34FC5B6E" w:rsidRPr="43412CC0">
        <w:rPr>
          <w:szCs w:val="22"/>
        </w:rPr>
        <w:t>, Regional Technical Forum, December 2016</w:t>
      </w:r>
      <w:r w:rsidR="00A52E39">
        <w:br/>
      </w:r>
      <w:r w:rsidR="00A52E39">
        <w:br/>
      </w:r>
      <w:r w:rsidR="34FC5B6E" w:rsidRPr="43412CC0">
        <w:rPr>
          <w:szCs w:val="22"/>
        </w:rPr>
        <w:t>This protocol document lists an 18-year EUL for duct sealing (p.6). The analysis approach identifies this estimate is based on “PG&amp;E/SCE workpapers and residential evaluations”, and from “DEER Team discussion on EUL decision making process”. (p.6).</w:t>
      </w:r>
    </w:p>
    <w:p w14:paraId="4D2AD2B3" w14:textId="79191B02" w:rsidR="00A52E39" w:rsidRPr="00F47332" w:rsidRDefault="34FC5B6E" w:rsidP="00F47332">
      <w:pPr>
        <w:spacing w:before="0" w:after="200" w:line="276" w:lineRule="auto"/>
      </w:pPr>
      <w:r w:rsidRPr="43412CC0">
        <w:rPr>
          <w:szCs w:val="22"/>
        </w:rPr>
        <w:t xml:space="preserve">Also note that each of the measures proposed in this workpaper </w:t>
      </w:r>
      <w:r w:rsidR="000A0289" w:rsidRPr="43412CC0">
        <w:rPr>
          <w:szCs w:val="22"/>
        </w:rPr>
        <w:t>does not</w:t>
      </w:r>
      <w:r w:rsidRPr="43412CC0">
        <w:rPr>
          <w:szCs w:val="22"/>
        </w:rPr>
        <w:t xml:space="preserve"> have its EUL tied to the HVAC system. That is, when the HVAC system is replaced the duct improvements made by these measures will remain in place.</w:t>
      </w:r>
    </w:p>
    <w:p w14:paraId="3B14B593" w14:textId="0A17A896" w:rsidR="007D230B" w:rsidRDefault="007D230B" w:rsidP="0078138C">
      <w:pPr>
        <w:pStyle w:val="eTRMHeading3"/>
        <w:rPr>
          <w:rFonts w:ascii="Calibri Light" w:eastAsiaTheme="minorEastAsia" w:hAnsi="Calibri Light" w:cstheme="minorBidi"/>
          <w:sz w:val="22"/>
          <w:szCs w:val="22"/>
        </w:rPr>
      </w:pPr>
      <w:bookmarkStart w:id="59" w:name="_Toc486490860"/>
      <w:bookmarkStart w:id="60" w:name="_Toc486580931"/>
      <w:bookmarkStart w:id="61" w:name="_Toc67494046"/>
      <w:bookmarkEnd w:id="58"/>
      <w:r w:rsidRPr="43412CC0">
        <w:rPr>
          <w:rFonts w:ascii="Calibri Light" w:eastAsiaTheme="minorEastAsia" w:hAnsi="Calibri Light" w:cstheme="minorBidi"/>
          <w:sz w:val="22"/>
          <w:szCs w:val="22"/>
        </w:rPr>
        <w:t xml:space="preserve">Material </w:t>
      </w:r>
      <w:r w:rsidR="4F74B336" w:rsidRPr="43412CC0">
        <w:rPr>
          <w:rFonts w:ascii="Calibri Light" w:eastAsiaTheme="minorEastAsia" w:hAnsi="Calibri Light" w:cstheme="minorBidi"/>
          <w:sz w:val="22"/>
          <w:szCs w:val="22"/>
        </w:rPr>
        <w:t>&amp; labor</w:t>
      </w:r>
      <w:r w:rsidRPr="43412CC0">
        <w:rPr>
          <w:rFonts w:ascii="Calibri Light" w:eastAsiaTheme="minorEastAsia" w:hAnsi="Calibri Light" w:cstheme="minorBidi"/>
          <w:sz w:val="22"/>
          <w:szCs w:val="22"/>
        </w:rPr>
        <w:t xml:space="preserve"> Cost ($/unit)</w:t>
      </w:r>
      <w:bookmarkEnd w:id="59"/>
      <w:bookmarkEnd w:id="60"/>
      <w:bookmarkEnd w:id="61"/>
    </w:p>
    <w:p w14:paraId="2B07E7D3" w14:textId="0C184CCA" w:rsidR="00653FFA" w:rsidRDefault="00FA4031" w:rsidP="00653FFA">
      <w:pPr>
        <w:rPr>
          <w:rFonts w:eastAsia="Calibri Light" w:cs="Calibri Light"/>
        </w:rPr>
      </w:pPr>
      <w:r>
        <w:rPr>
          <w:rFonts w:eastAsia="Calibri Light" w:cs="Calibri Light"/>
        </w:rPr>
        <w:t>M</w:t>
      </w:r>
      <w:r w:rsidR="008B4CE5">
        <w:rPr>
          <w:rFonts w:eastAsia="Calibri Light" w:cs="Calibri Light"/>
        </w:rPr>
        <w:t>aterial and labor costs for these measures were obtained from program data</w:t>
      </w:r>
      <w:r w:rsidR="00140C37">
        <w:rPr>
          <w:rFonts w:eastAsia="Calibri Light" w:cs="Calibri Light"/>
        </w:rPr>
        <w:t xml:space="preserve"> but were based on material costs including flexible ductwork ($570 for the Return Duct Retrofit and $420 for the Crossover Replacement). </w:t>
      </w:r>
      <w:r w:rsidR="00A02583">
        <w:rPr>
          <w:rFonts w:eastAsia="Calibri Light" w:cs="Calibri Light"/>
        </w:rPr>
        <w:t xml:space="preserve">Program costs included testing ducts for leakage. </w:t>
      </w:r>
      <w:r w:rsidR="00140C37">
        <w:rPr>
          <w:rFonts w:eastAsia="Calibri Light" w:cs="Calibri Light"/>
        </w:rPr>
        <w:t>These costs were adjusted to meet the measure requirements of only using metal ductwork; using data from RSMeans it is assumed that the metal ductwork materials would add $81 to the Return Duct Retrofit cost and $242 to the Crossover Replacement cost.</w:t>
      </w:r>
      <w:r w:rsidR="000E4F32">
        <w:rPr>
          <w:rFonts w:eastAsia="Calibri Light" w:cs="Calibri Light"/>
        </w:rPr>
        <w:t xml:space="preserve"> The resultant costs were then normalized </w:t>
      </w:r>
      <w:r w:rsidR="008C6C21">
        <w:rPr>
          <w:rFonts w:eastAsia="Calibri Light" w:cs="Calibri Light"/>
        </w:rPr>
        <w:t>by the DEER prototype system capacity (3.5 tons</w:t>
      </w:r>
      <w:r w:rsidR="00856991">
        <w:rPr>
          <w:rFonts w:eastAsia="Calibri Light" w:cs="Calibri Light"/>
        </w:rPr>
        <w:t xml:space="preserve"> or </w:t>
      </w:r>
      <w:r w:rsidR="005302AA">
        <w:rPr>
          <w:rFonts w:eastAsia="Calibri Light" w:cs="Calibri Light"/>
        </w:rPr>
        <w:t>55 kBtu/h as appropriate</w:t>
      </w:r>
      <w:r w:rsidR="008C6C21">
        <w:rPr>
          <w:rFonts w:eastAsia="Calibri Light" w:cs="Calibri Light"/>
        </w:rPr>
        <w:t>) to arrive at per-ton measure costs.</w:t>
      </w:r>
      <w:r w:rsidR="00A02583">
        <w:rPr>
          <w:rFonts w:eastAsia="Calibri Light" w:cs="Calibri Light"/>
        </w:rPr>
        <w:t xml:space="preserve"> </w:t>
      </w:r>
    </w:p>
    <w:p w14:paraId="3C5E0BEB" w14:textId="5F38ACC2" w:rsidR="00DF0F7E" w:rsidRPr="00653FFA" w:rsidRDefault="007741D1" w:rsidP="007741D1">
      <w:pPr>
        <w:pStyle w:val="Caption"/>
      </w:pPr>
      <w:r>
        <w:lastRenderedPageBreak/>
        <w:t xml:space="preserve">Duct Optimization </w:t>
      </w:r>
      <w:r w:rsidR="00324A2B">
        <w:t>Cost</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64"/>
        <w:gridCol w:w="4036"/>
        <w:gridCol w:w="1386"/>
        <w:gridCol w:w="1378"/>
        <w:gridCol w:w="1386"/>
      </w:tblGrid>
      <w:tr w:rsidR="007741D1" w14:paraId="20563D08" w14:textId="77777777" w:rsidTr="005B3921">
        <w:trPr>
          <w:trHeight w:val="20"/>
        </w:trPr>
        <w:tc>
          <w:tcPr>
            <w:tcW w:w="1165" w:type="dxa"/>
            <w:shd w:val="clear" w:color="auto" w:fill="F2F2F2" w:themeFill="background1" w:themeFillShade="F2"/>
            <w:vAlign w:val="bottom"/>
          </w:tcPr>
          <w:p w14:paraId="73E4E630" w14:textId="1CC6FDF2" w:rsidR="007741D1" w:rsidRPr="43412CC0" w:rsidRDefault="007741D1" w:rsidP="007741D1">
            <w:pPr>
              <w:spacing w:before="20" w:after="20"/>
              <w:rPr>
                <w:b/>
                <w:bCs/>
                <w:sz w:val="20"/>
                <w:szCs w:val="20"/>
              </w:rPr>
            </w:pPr>
            <w:r>
              <w:rPr>
                <w:b/>
                <w:sz w:val="20"/>
                <w:szCs w:val="20"/>
              </w:rPr>
              <w:t>Statewide Measure Offering ID</w:t>
            </w:r>
          </w:p>
        </w:tc>
        <w:tc>
          <w:tcPr>
            <w:tcW w:w="4050" w:type="dxa"/>
            <w:shd w:val="clear" w:color="auto" w:fill="F2F2F2" w:themeFill="background1" w:themeFillShade="F2"/>
            <w:vAlign w:val="bottom"/>
          </w:tcPr>
          <w:p w14:paraId="5007D80E" w14:textId="434F84AA" w:rsidR="007741D1" w:rsidRDefault="007741D1" w:rsidP="007741D1">
            <w:pPr>
              <w:spacing w:before="20" w:after="20"/>
              <w:rPr>
                <w:b/>
                <w:bCs/>
                <w:sz w:val="20"/>
                <w:szCs w:val="20"/>
              </w:rPr>
            </w:pPr>
            <w:r w:rsidRPr="43412CC0">
              <w:rPr>
                <w:b/>
                <w:sz w:val="20"/>
                <w:szCs w:val="20"/>
              </w:rPr>
              <w:t xml:space="preserve">Measure </w:t>
            </w:r>
            <w:r>
              <w:rPr>
                <w:b/>
                <w:sz w:val="20"/>
                <w:szCs w:val="20"/>
              </w:rPr>
              <w:t>Description</w:t>
            </w:r>
          </w:p>
        </w:tc>
        <w:tc>
          <w:tcPr>
            <w:tcW w:w="1378" w:type="dxa"/>
            <w:shd w:val="clear" w:color="auto" w:fill="F2F2F2" w:themeFill="background1" w:themeFillShade="F2"/>
            <w:vAlign w:val="bottom"/>
          </w:tcPr>
          <w:p w14:paraId="0F12CE44" w14:textId="0A8605CC" w:rsidR="007741D1" w:rsidRDefault="003A389C" w:rsidP="007741D1">
            <w:pPr>
              <w:spacing w:before="20" w:after="20"/>
              <w:jc w:val="center"/>
              <w:rPr>
                <w:b/>
                <w:bCs/>
                <w:sz w:val="20"/>
                <w:szCs w:val="20"/>
              </w:rPr>
            </w:pPr>
            <w:r>
              <w:rPr>
                <w:b/>
                <w:bCs/>
                <w:sz w:val="20"/>
                <w:szCs w:val="20"/>
              </w:rPr>
              <w:t>Material</w:t>
            </w:r>
            <w:r w:rsidRPr="43412CC0">
              <w:rPr>
                <w:b/>
                <w:bCs/>
                <w:sz w:val="20"/>
                <w:szCs w:val="20"/>
              </w:rPr>
              <w:t xml:space="preserve"> </w:t>
            </w:r>
            <w:r w:rsidR="00B67991">
              <w:rPr>
                <w:b/>
                <w:bCs/>
                <w:sz w:val="20"/>
                <w:szCs w:val="20"/>
              </w:rPr>
              <w:t>Cost</w:t>
            </w:r>
          </w:p>
        </w:tc>
        <w:tc>
          <w:tcPr>
            <w:tcW w:w="1378" w:type="dxa"/>
            <w:shd w:val="clear" w:color="auto" w:fill="F2F2F2" w:themeFill="background1" w:themeFillShade="F2"/>
            <w:vAlign w:val="bottom"/>
          </w:tcPr>
          <w:p w14:paraId="5EC13C15" w14:textId="5437F406" w:rsidR="007741D1" w:rsidRDefault="007741D1" w:rsidP="007741D1">
            <w:pPr>
              <w:spacing w:before="20" w:after="20"/>
              <w:jc w:val="center"/>
              <w:rPr>
                <w:b/>
                <w:bCs/>
                <w:sz w:val="20"/>
                <w:szCs w:val="20"/>
              </w:rPr>
            </w:pPr>
            <w:r w:rsidRPr="43412CC0">
              <w:rPr>
                <w:b/>
                <w:bCs/>
                <w:sz w:val="20"/>
                <w:szCs w:val="20"/>
              </w:rPr>
              <w:t>Labor</w:t>
            </w:r>
            <w:r w:rsidR="009865FB">
              <w:rPr>
                <w:b/>
                <w:bCs/>
                <w:sz w:val="20"/>
                <w:szCs w:val="20"/>
              </w:rPr>
              <w:t xml:space="preserve"> Cost</w:t>
            </w:r>
          </w:p>
        </w:tc>
        <w:tc>
          <w:tcPr>
            <w:tcW w:w="1379" w:type="dxa"/>
            <w:shd w:val="clear" w:color="auto" w:fill="F2F2F2" w:themeFill="background1" w:themeFillShade="F2"/>
            <w:vAlign w:val="bottom"/>
          </w:tcPr>
          <w:p w14:paraId="65090EA9" w14:textId="6D002C23" w:rsidR="007741D1" w:rsidRDefault="003A389C" w:rsidP="007741D1">
            <w:pPr>
              <w:spacing w:before="20" w:after="20"/>
              <w:jc w:val="center"/>
              <w:rPr>
                <w:b/>
                <w:bCs/>
                <w:sz w:val="20"/>
                <w:szCs w:val="20"/>
              </w:rPr>
            </w:pPr>
            <w:r>
              <w:rPr>
                <w:b/>
                <w:bCs/>
                <w:sz w:val="20"/>
                <w:szCs w:val="20"/>
              </w:rPr>
              <w:t>Total Cost</w:t>
            </w:r>
          </w:p>
        </w:tc>
      </w:tr>
      <w:tr w:rsidR="007741D1" w14:paraId="37F80DD0" w14:textId="77777777" w:rsidTr="005B3921">
        <w:trPr>
          <w:trHeight w:val="20"/>
        </w:trPr>
        <w:tc>
          <w:tcPr>
            <w:tcW w:w="1165" w:type="dxa"/>
            <w:vAlign w:val="center"/>
          </w:tcPr>
          <w:p w14:paraId="501E0BFF" w14:textId="538042C2" w:rsidR="007741D1" w:rsidRPr="4C0DCA76" w:rsidRDefault="007741D1" w:rsidP="007741D1">
            <w:pPr>
              <w:spacing w:before="20" w:after="20"/>
              <w:rPr>
                <w:sz w:val="20"/>
                <w:szCs w:val="20"/>
              </w:rPr>
            </w:pPr>
            <w:r>
              <w:rPr>
                <w:sz w:val="20"/>
                <w:szCs w:val="20"/>
              </w:rPr>
              <w:t>SWSV013A</w:t>
            </w:r>
          </w:p>
        </w:tc>
        <w:tc>
          <w:tcPr>
            <w:tcW w:w="4050" w:type="dxa"/>
            <w:shd w:val="clear" w:color="auto" w:fill="auto"/>
            <w:vAlign w:val="center"/>
          </w:tcPr>
          <w:p w14:paraId="0A96C57D" w14:textId="156B4AB7" w:rsidR="007741D1" w:rsidRDefault="007741D1" w:rsidP="007741D1">
            <w:pPr>
              <w:spacing w:before="20" w:after="20"/>
              <w:rPr>
                <w:sz w:val="20"/>
                <w:szCs w:val="20"/>
              </w:rPr>
            </w:pPr>
            <w:r w:rsidRPr="4C0DCA76">
              <w:rPr>
                <w:sz w:val="20"/>
                <w:szCs w:val="20"/>
              </w:rPr>
              <w:t>Return Duct Retrofit</w:t>
            </w:r>
          </w:p>
        </w:tc>
        <w:tc>
          <w:tcPr>
            <w:tcW w:w="1378" w:type="dxa"/>
            <w:vAlign w:val="center"/>
          </w:tcPr>
          <w:p w14:paraId="4AEBD24A" w14:textId="14FED2BD" w:rsidR="007741D1" w:rsidRDefault="000C0D51" w:rsidP="007741D1">
            <w:pPr>
              <w:spacing w:before="20" w:after="20"/>
              <w:jc w:val="center"/>
              <w:rPr>
                <w:sz w:val="20"/>
                <w:szCs w:val="20"/>
              </w:rPr>
            </w:pPr>
            <w:r>
              <w:rPr>
                <w:sz w:val="20"/>
                <w:szCs w:val="20"/>
              </w:rPr>
              <w:t>$186.00</w:t>
            </w:r>
            <w:r w:rsidR="009865FB">
              <w:rPr>
                <w:sz w:val="20"/>
                <w:szCs w:val="20"/>
              </w:rPr>
              <w:t>/ton</w:t>
            </w:r>
          </w:p>
        </w:tc>
        <w:tc>
          <w:tcPr>
            <w:tcW w:w="1378" w:type="dxa"/>
            <w:vAlign w:val="center"/>
          </w:tcPr>
          <w:p w14:paraId="0106444B" w14:textId="6F54CC99" w:rsidR="007741D1" w:rsidRDefault="000C0D51" w:rsidP="007741D1">
            <w:pPr>
              <w:spacing w:before="20" w:after="20"/>
              <w:jc w:val="center"/>
              <w:rPr>
                <w:sz w:val="20"/>
                <w:szCs w:val="20"/>
              </w:rPr>
            </w:pPr>
            <w:r>
              <w:rPr>
                <w:sz w:val="20"/>
                <w:szCs w:val="20"/>
              </w:rPr>
              <w:t>$1</w:t>
            </w:r>
            <w:r w:rsidR="00EC0ABE">
              <w:rPr>
                <w:sz w:val="20"/>
                <w:szCs w:val="20"/>
              </w:rPr>
              <w:t>08.57</w:t>
            </w:r>
            <w:r w:rsidR="009865FB">
              <w:rPr>
                <w:sz w:val="20"/>
                <w:szCs w:val="20"/>
              </w:rPr>
              <w:t>/ton</w:t>
            </w:r>
          </w:p>
        </w:tc>
        <w:tc>
          <w:tcPr>
            <w:tcW w:w="1379" w:type="dxa"/>
            <w:vAlign w:val="center"/>
          </w:tcPr>
          <w:p w14:paraId="5638263D" w14:textId="78CF0D48" w:rsidR="007741D1" w:rsidRDefault="00EC0ABE" w:rsidP="007741D1">
            <w:pPr>
              <w:spacing w:before="20" w:after="20"/>
              <w:jc w:val="center"/>
              <w:rPr>
                <w:sz w:val="20"/>
                <w:szCs w:val="20"/>
              </w:rPr>
            </w:pPr>
            <w:r>
              <w:rPr>
                <w:sz w:val="20"/>
                <w:szCs w:val="20"/>
              </w:rPr>
              <w:t>$294.57</w:t>
            </w:r>
            <w:r w:rsidR="003C6359">
              <w:rPr>
                <w:sz w:val="20"/>
                <w:szCs w:val="20"/>
              </w:rPr>
              <w:t>/ton</w:t>
            </w:r>
          </w:p>
        </w:tc>
      </w:tr>
      <w:tr w:rsidR="007741D1" w14:paraId="1F32FBCD" w14:textId="77777777" w:rsidTr="005B3921">
        <w:trPr>
          <w:trHeight w:val="20"/>
        </w:trPr>
        <w:tc>
          <w:tcPr>
            <w:tcW w:w="1165" w:type="dxa"/>
            <w:vAlign w:val="center"/>
          </w:tcPr>
          <w:p w14:paraId="44EE362A" w14:textId="7A8DE470" w:rsidR="007741D1" w:rsidRPr="4C0DCA76" w:rsidRDefault="007741D1" w:rsidP="007741D1">
            <w:pPr>
              <w:spacing w:before="20" w:after="20"/>
              <w:rPr>
                <w:sz w:val="20"/>
                <w:szCs w:val="20"/>
              </w:rPr>
            </w:pPr>
            <w:r>
              <w:rPr>
                <w:sz w:val="20"/>
                <w:szCs w:val="20"/>
              </w:rPr>
              <w:t>SWSV013B</w:t>
            </w:r>
          </w:p>
        </w:tc>
        <w:tc>
          <w:tcPr>
            <w:tcW w:w="4050" w:type="dxa"/>
            <w:shd w:val="clear" w:color="auto" w:fill="auto"/>
            <w:vAlign w:val="center"/>
          </w:tcPr>
          <w:p w14:paraId="274A9DA1" w14:textId="2B2BA88F" w:rsidR="007741D1" w:rsidRPr="4C0DCA76" w:rsidRDefault="007741D1" w:rsidP="007741D1">
            <w:pPr>
              <w:spacing w:before="20" w:after="20"/>
              <w:rPr>
                <w:sz w:val="20"/>
                <w:szCs w:val="20"/>
              </w:rPr>
            </w:pPr>
            <w:r w:rsidRPr="4C0DCA76">
              <w:rPr>
                <w:sz w:val="20"/>
                <w:szCs w:val="20"/>
              </w:rPr>
              <w:t xml:space="preserve">Crossover Replacement </w:t>
            </w:r>
          </w:p>
        </w:tc>
        <w:tc>
          <w:tcPr>
            <w:tcW w:w="1378" w:type="dxa"/>
            <w:vAlign w:val="center"/>
          </w:tcPr>
          <w:p w14:paraId="748DDFBC" w14:textId="7CAA5288" w:rsidR="007741D1" w:rsidRPr="43412CC0" w:rsidRDefault="000C0D51" w:rsidP="007741D1">
            <w:pPr>
              <w:spacing w:before="20" w:after="20"/>
              <w:jc w:val="center"/>
              <w:rPr>
                <w:sz w:val="20"/>
                <w:szCs w:val="20"/>
              </w:rPr>
            </w:pPr>
            <w:r>
              <w:rPr>
                <w:sz w:val="20"/>
                <w:szCs w:val="20"/>
              </w:rPr>
              <w:t>$189.14</w:t>
            </w:r>
            <w:r w:rsidR="009865FB">
              <w:rPr>
                <w:sz w:val="20"/>
                <w:szCs w:val="20"/>
              </w:rPr>
              <w:t>/ton</w:t>
            </w:r>
          </w:p>
        </w:tc>
        <w:tc>
          <w:tcPr>
            <w:tcW w:w="1378" w:type="dxa"/>
            <w:vAlign w:val="center"/>
          </w:tcPr>
          <w:p w14:paraId="01CD1C9F" w14:textId="05DECDEF" w:rsidR="007741D1" w:rsidRPr="43412CC0" w:rsidRDefault="00EC0ABE" w:rsidP="007741D1">
            <w:pPr>
              <w:spacing w:before="20" w:after="20"/>
              <w:jc w:val="center"/>
              <w:rPr>
                <w:sz w:val="20"/>
                <w:szCs w:val="20"/>
              </w:rPr>
            </w:pPr>
            <w:r>
              <w:rPr>
                <w:sz w:val="20"/>
                <w:szCs w:val="20"/>
              </w:rPr>
              <w:t>$80.00</w:t>
            </w:r>
            <w:r w:rsidR="009865FB">
              <w:rPr>
                <w:sz w:val="20"/>
                <w:szCs w:val="20"/>
              </w:rPr>
              <w:t>/ton</w:t>
            </w:r>
          </w:p>
        </w:tc>
        <w:tc>
          <w:tcPr>
            <w:tcW w:w="1379" w:type="dxa"/>
            <w:vAlign w:val="center"/>
          </w:tcPr>
          <w:p w14:paraId="34CFB3D7" w14:textId="78E81636" w:rsidR="007741D1" w:rsidRPr="43412CC0" w:rsidRDefault="00EC0ABE" w:rsidP="007741D1">
            <w:pPr>
              <w:spacing w:before="20" w:after="20"/>
              <w:jc w:val="center"/>
              <w:rPr>
                <w:sz w:val="20"/>
                <w:szCs w:val="20"/>
              </w:rPr>
            </w:pPr>
            <w:r>
              <w:rPr>
                <w:sz w:val="20"/>
                <w:szCs w:val="20"/>
              </w:rPr>
              <w:t>$269.14</w:t>
            </w:r>
            <w:r w:rsidR="003C6359">
              <w:rPr>
                <w:sz w:val="20"/>
                <w:szCs w:val="20"/>
              </w:rPr>
              <w:t>/ton</w:t>
            </w:r>
          </w:p>
        </w:tc>
      </w:tr>
      <w:tr w:rsidR="00E21B2B" w14:paraId="1A6B9F6A" w14:textId="77777777" w:rsidTr="005B3921">
        <w:trPr>
          <w:trHeight w:val="20"/>
        </w:trPr>
        <w:tc>
          <w:tcPr>
            <w:tcW w:w="1165" w:type="dxa"/>
            <w:vAlign w:val="center"/>
          </w:tcPr>
          <w:p w14:paraId="4BACB336" w14:textId="54FA216D" w:rsidR="00AB7164" w:rsidRDefault="00AB7164">
            <w:pPr>
              <w:spacing w:before="20" w:after="20"/>
              <w:rPr>
                <w:sz w:val="20"/>
                <w:szCs w:val="20"/>
              </w:rPr>
            </w:pPr>
            <w:r w:rsidRPr="00E6407F">
              <w:rPr>
                <w:sz w:val="20"/>
                <w:szCs w:val="20"/>
              </w:rPr>
              <w:t>SWSV013</w:t>
            </w:r>
            <w:r>
              <w:rPr>
                <w:sz w:val="20"/>
                <w:szCs w:val="20"/>
              </w:rPr>
              <w:t>C</w:t>
            </w:r>
          </w:p>
        </w:tc>
        <w:tc>
          <w:tcPr>
            <w:tcW w:w="4050" w:type="dxa"/>
            <w:shd w:val="clear" w:color="auto" w:fill="auto"/>
            <w:vAlign w:val="center"/>
          </w:tcPr>
          <w:p w14:paraId="3B640412" w14:textId="2B5085A2" w:rsidR="00AB7164" w:rsidRPr="4C0DCA76" w:rsidRDefault="00AB7164" w:rsidP="00AB7164">
            <w:pPr>
              <w:spacing w:before="20" w:after="20"/>
              <w:rPr>
                <w:sz w:val="20"/>
                <w:szCs w:val="20"/>
              </w:rPr>
            </w:pPr>
            <w:r w:rsidRPr="4C0DCA76">
              <w:rPr>
                <w:sz w:val="20"/>
                <w:szCs w:val="20"/>
              </w:rPr>
              <w:t>Return Duct Retrofit</w:t>
            </w:r>
            <w:r w:rsidR="00B85E5C">
              <w:rPr>
                <w:sz w:val="20"/>
                <w:szCs w:val="20"/>
              </w:rPr>
              <w:t xml:space="preserve"> for</w:t>
            </w:r>
            <w:r w:rsidR="00B85E5C" w:rsidRPr="005B6321">
              <w:rPr>
                <w:sz w:val="20"/>
                <w:szCs w:val="20"/>
              </w:rPr>
              <w:t xml:space="preserve"> rNCGF System Only</w:t>
            </w:r>
          </w:p>
        </w:tc>
        <w:tc>
          <w:tcPr>
            <w:tcW w:w="1378" w:type="dxa"/>
            <w:vAlign w:val="center"/>
          </w:tcPr>
          <w:p w14:paraId="06FCFE22" w14:textId="3AAA3406" w:rsidR="00AB7164" w:rsidRDefault="00AB7164">
            <w:pPr>
              <w:spacing w:before="20" w:after="20"/>
              <w:jc w:val="center"/>
              <w:rPr>
                <w:sz w:val="20"/>
                <w:szCs w:val="20"/>
              </w:rPr>
            </w:pPr>
            <w:r w:rsidRPr="005B3921">
              <w:rPr>
                <w:sz w:val="20"/>
                <w:szCs w:val="20"/>
              </w:rPr>
              <w:t>$11.84</w:t>
            </w:r>
            <w:r w:rsidR="003C6359">
              <w:rPr>
                <w:sz w:val="20"/>
                <w:szCs w:val="20"/>
              </w:rPr>
              <w:t>/</w:t>
            </w:r>
            <w:r w:rsidR="009865FB">
              <w:rPr>
                <w:sz w:val="20"/>
                <w:szCs w:val="20"/>
              </w:rPr>
              <w:t>kBtu/h</w:t>
            </w:r>
          </w:p>
        </w:tc>
        <w:tc>
          <w:tcPr>
            <w:tcW w:w="1378" w:type="dxa"/>
            <w:vAlign w:val="center"/>
          </w:tcPr>
          <w:p w14:paraId="32AE1ECB" w14:textId="1DE3A59E" w:rsidR="00AB7164" w:rsidRDefault="00AB7164">
            <w:pPr>
              <w:spacing w:before="20" w:after="20"/>
              <w:jc w:val="center"/>
              <w:rPr>
                <w:sz w:val="20"/>
                <w:szCs w:val="20"/>
              </w:rPr>
            </w:pPr>
            <w:r w:rsidRPr="005B3921">
              <w:rPr>
                <w:sz w:val="20"/>
                <w:szCs w:val="20"/>
              </w:rPr>
              <w:t>$6.91</w:t>
            </w:r>
            <w:r w:rsidR="009865FB">
              <w:rPr>
                <w:sz w:val="20"/>
                <w:szCs w:val="20"/>
              </w:rPr>
              <w:t>/kBtu/h</w:t>
            </w:r>
          </w:p>
        </w:tc>
        <w:tc>
          <w:tcPr>
            <w:tcW w:w="1379" w:type="dxa"/>
            <w:vAlign w:val="center"/>
          </w:tcPr>
          <w:p w14:paraId="5CE00D50" w14:textId="05CA7B28" w:rsidR="00AB7164" w:rsidRDefault="00AB7164">
            <w:pPr>
              <w:spacing w:before="20" w:after="20"/>
              <w:jc w:val="center"/>
              <w:rPr>
                <w:sz w:val="20"/>
                <w:szCs w:val="20"/>
              </w:rPr>
            </w:pPr>
            <w:r w:rsidRPr="005B3921">
              <w:rPr>
                <w:sz w:val="20"/>
                <w:szCs w:val="20"/>
              </w:rPr>
              <w:t>$18.75</w:t>
            </w:r>
            <w:r w:rsidR="003C6359">
              <w:rPr>
                <w:sz w:val="20"/>
                <w:szCs w:val="20"/>
              </w:rPr>
              <w:t>/kBtu/h</w:t>
            </w:r>
          </w:p>
        </w:tc>
      </w:tr>
      <w:tr w:rsidR="00E21B2B" w14:paraId="020FE599" w14:textId="77777777" w:rsidTr="005B3921">
        <w:trPr>
          <w:trHeight w:val="20"/>
        </w:trPr>
        <w:tc>
          <w:tcPr>
            <w:tcW w:w="1165" w:type="dxa"/>
            <w:vAlign w:val="center"/>
          </w:tcPr>
          <w:p w14:paraId="2DCF67D2" w14:textId="4B055B46" w:rsidR="00AB7164" w:rsidRDefault="00AB7164">
            <w:pPr>
              <w:spacing w:before="20" w:after="20"/>
              <w:rPr>
                <w:sz w:val="20"/>
                <w:szCs w:val="20"/>
              </w:rPr>
            </w:pPr>
            <w:r w:rsidRPr="00E6407F">
              <w:rPr>
                <w:sz w:val="20"/>
                <w:szCs w:val="20"/>
              </w:rPr>
              <w:t>SWSV013</w:t>
            </w:r>
            <w:r>
              <w:rPr>
                <w:sz w:val="20"/>
                <w:szCs w:val="20"/>
              </w:rPr>
              <w:t>D</w:t>
            </w:r>
          </w:p>
        </w:tc>
        <w:tc>
          <w:tcPr>
            <w:tcW w:w="4050" w:type="dxa"/>
            <w:shd w:val="clear" w:color="auto" w:fill="auto"/>
            <w:vAlign w:val="center"/>
          </w:tcPr>
          <w:p w14:paraId="08CEB39E" w14:textId="26918A38" w:rsidR="00AB7164" w:rsidRPr="4C0DCA76" w:rsidRDefault="00AB7164" w:rsidP="00AB7164">
            <w:pPr>
              <w:spacing w:before="20" w:after="20"/>
              <w:rPr>
                <w:sz w:val="20"/>
                <w:szCs w:val="20"/>
              </w:rPr>
            </w:pPr>
            <w:r w:rsidRPr="4C0DCA76">
              <w:rPr>
                <w:sz w:val="20"/>
                <w:szCs w:val="20"/>
              </w:rPr>
              <w:t>Crossover Replacement</w:t>
            </w:r>
            <w:r w:rsidR="00B85E5C">
              <w:rPr>
                <w:sz w:val="20"/>
                <w:szCs w:val="20"/>
              </w:rPr>
              <w:t xml:space="preserve"> for</w:t>
            </w:r>
            <w:r w:rsidR="00B85E5C" w:rsidRPr="005B6321">
              <w:rPr>
                <w:sz w:val="20"/>
                <w:szCs w:val="20"/>
              </w:rPr>
              <w:t xml:space="preserve"> rNCGF System Only</w:t>
            </w:r>
            <w:r w:rsidRPr="4C0DCA76">
              <w:rPr>
                <w:sz w:val="20"/>
                <w:szCs w:val="20"/>
              </w:rPr>
              <w:t xml:space="preserve"> </w:t>
            </w:r>
          </w:p>
        </w:tc>
        <w:tc>
          <w:tcPr>
            <w:tcW w:w="1378" w:type="dxa"/>
            <w:vAlign w:val="center"/>
          </w:tcPr>
          <w:p w14:paraId="7CCD5D15" w14:textId="055AF7E9" w:rsidR="00AB7164" w:rsidRDefault="00AB7164">
            <w:pPr>
              <w:spacing w:before="20" w:after="20"/>
              <w:jc w:val="center"/>
              <w:rPr>
                <w:sz w:val="20"/>
                <w:szCs w:val="20"/>
              </w:rPr>
            </w:pPr>
            <w:r w:rsidRPr="005B3921">
              <w:rPr>
                <w:sz w:val="20"/>
                <w:szCs w:val="20"/>
              </w:rPr>
              <w:t>$12.04</w:t>
            </w:r>
            <w:r w:rsidR="009865FB">
              <w:rPr>
                <w:sz w:val="20"/>
                <w:szCs w:val="20"/>
              </w:rPr>
              <w:t>/kBtu/h</w:t>
            </w:r>
          </w:p>
        </w:tc>
        <w:tc>
          <w:tcPr>
            <w:tcW w:w="1378" w:type="dxa"/>
            <w:vAlign w:val="center"/>
          </w:tcPr>
          <w:p w14:paraId="6D78E0AB" w14:textId="331A261D" w:rsidR="00AB7164" w:rsidRDefault="00AB7164">
            <w:pPr>
              <w:spacing w:before="20" w:after="20"/>
              <w:jc w:val="center"/>
              <w:rPr>
                <w:sz w:val="20"/>
                <w:szCs w:val="20"/>
              </w:rPr>
            </w:pPr>
            <w:r w:rsidRPr="005B3921">
              <w:rPr>
                <w:sz w:val="20"/>
                <w:szCs w:val="20"/>
              </w:rPr>
              <w:t>$5.09</w:t>
            </w:r>
            <w:r w:rsidR="003C6359">
              <w:rPr>
                <w:sz w:val="20"/>
                <w:szCs w:val="20"/>
              </w:rPr>
              <w:t>/kBtu/h</w:t>
            </w:r>
          </w:p>
        </w:tc>
        <w:tc>
          <w:tcPr>
            <w:tcW w:w="1379" w:type="dxa"/>
            <w:vAlign w:val="center"/>
          </w:tcPr>
          <w:p w14:paraId="514FEBA4" w14:textId="463F4A54" w:rsidR="00AB7164" w:rsidRDefault="00AB7164">
            <w:pPr>
              <w:spacing w:before="20" w:after="20"/>
              <w:jc w:val="center"/>
              <w:rPr>
                <w:sz w:val="20"/>
                <w:szCs w:val="20"/>
              </w:rPr>
            </w:pPr>
            <w:r w:rsidRPr="005B3921">
              <w:rPr>
                <w:sz w:val="20"/>
                <w:szCs w:val="20"/>
              </w:rPr>
              <w:t>$17.13</w:t>
            </w:r>
            <w:r w:rsidR="003C6359">
              <w:rPr>
                <w:sz w:val="20"/>
                <w:szCs w:val="20"/>
              </w:rPr>
              <w:t>/kBtu/h</w:t>
            </w:r>
          </w:p>
        </w:tc>
      </w:tr>
    </w:tbl>
    <w:p w14:paraId="619549CF" w14:textId="276569DA" w:rsidR="00AF54BA" w:rsidRPr="004B06E3" w:rsidRDefault="00AF54BA" w:rsidP="004142EF"/>
    <w:p w14:paraId="050D9183" w14:textId="25BB2E23" w:rsidR="007D230B" w:rsidRPr="004B06E3" w:rsidRDefault="004B06E3" w:rsidP="0078138C">
      <w:pPr>
        <w:pStyle w:val="eTRMHeading3"/>
      </w:pPr>
      <w:bookmarkStart w:id="62" w:name="_Toc486490863"/>
      <w:bookmarkStart w:id="63" w:name="_Toc486580934"/>
      <w:bookmarkStart w:id="64" w:name="_Toc67494047"/>
      <w:r>
        <w:t>Net-to-Gross</w:t>
      </w:r>
      <w:bookmarkEnd w:id="62"/>
      <w:bookmarkEnd w:id="63"/>
      <w:bookmarkEnd w:id="64"/>
      <w:r w:rsidR="008D4652">
        <w:t xml:space="preserve"> </w:t>
      </w:r>
    </w:p>
    <w:p w14:paraId="33B3BCEF" w14:textId="77777777" w:rsidR="0030481F" w:rsidRDefault="0030481F" w:rsidP="00A62731">
      <w:pPr>
        <w:rPr>
          <w:rFonts w:eastAsia="Calibri Light" w:cs="Calibri Light"/>
        </w:rPr>
      </w:pPr>
      <w:r w:rsidRPr="0030481F">
        <w:rPr>
          <w:rFonts w:eastAsia="Calibri Light" w:cs="Calibri Light"/>
        </w:rPr>
        <w:t xml:space="preserve">The net-to-gross (NTG) ratio represents the portion of gross impacts that are determined to be directly attributed to a specific program intervention. The NTG value for this measure, documented in the Resolution E-5082 DEER2022.  </w:t>
      </w:r>
    </w:p>
    <w:p w14:paraId="0D1CEED6" w14:textId="32B70E7E" w:rsidR="00DE1A0F" w:rsidRPr="00A62731" w:rsidRDefault="5294092D" w:rsidP="00A62731">
      <w:pPr>
        <w:rPr>
          <w:b/>
          <w:bCs/>
          <w:i/>
          <w:highlight w:val="lightGray"/>
        </w:rPr>
      </w:pPr>
      <w:r w:rsidRPr="7F7A6973">
        <w:rPr>
          <w:rFonts w:eastAsia="Calibri Light" w:cs="Calibri Light"/>
        </w:rPr>
        <w:t xml:space="preserve"> </w:t>
      </w:r>
      <w:r w:rsidR="00DE1A0F" w:rsidRPr="00A62731">
        <w:rPr>
          <w:b/>
          <w:bCs/>
        </w:rPr>
        <w:t>Net-to-Gross Ratios</w:t>
      </w:r>
      <w:r w:rsidR="00097497" w:rsidRPr="00A62731">
        <w:rPr>
          <w:rFonts w:ascii="Arial" w:hAnsi="Arial"/>
          <w:b/>
          <w:bCs/>
        </w:rPr>
        <w:t xml:space="preserve"> </w:t>
      </w:r>
    </w:p>
    <w:tbl>
      <w:tblPr>
        <w:tblW w:w="91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291"/>
        <w:gridCol w:w="1744"/>
        <w:gridCol w:w="4140"/>
      </w:tblGrid>
      <w:tr w:rsidR="00AA3E2A" w:rsidRPr="0059426D" w14:paraId="0D2B92AF" w14:textId="662FBAEE" w:rsidTr="4A95A961">
        <w:trPr>
          <w:cantSplit/>
          <w:trHeight w:val="20"/>
        </w:trPr>
        <w:tc>
          <w:tcPr>
            <w:tcW w:w="3291" w:type="dxa"/>
            <w:shd w:val="clear" w:color="auto" w:fill="F2F2F2" w:themeFill="background1" w:themeFillShade="F2"/>
            <w:vAlign w:val="bottom"/>
          </w:tcPr>
          <w:p w14:paraId="2A033AD8" w14:textId="00D9B4BA" w:rsidR="00AA3E2A" w:rsidRPr="0059426D" w:rsidRDefault="00D70E16" w:rsidP="006D6644">
            <w:pPr>
              <w:keepNext/>
              <w:keepLines/>
              <w:spacing w:before="0" w:after="0" w:line="200" w:lineRule="atLeast"/>
              <w:jc w:val="center"/>
              <w:rPr>
                <w:rFonts w:cs="Arial"/>
                <w:b/>
                <w:color w:val="000000"/>
                <w:sz w:val="20"/>
                <w:szCs w:val="20"/>
              </w:rPr>
            </w:pPr>
            <w:r>
              <w:rPr>
                <w:rFonts w:cs="Arial"/>
                <w:b/>
                <w:color w:val="000000"/>
                <w:sz w:val="20"/>
                <w:szCs w:val="20"/>
              </w:rPr>
              <w:t>NTG ID</w:t>
            </w:r>
          </w:p>
        </w:tc>
        <w:tc>
          <w:tcPr>
            <w:tcW w:w="1744" w:type="dxa"/>
            <w:shd w:val="clear" w:color="auto"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4140" w:type="dxa"/>
            <w:shd w:val="clear" w:color="auto"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D70E16" w:rsidRPr="0059426D" w14:paraId="484313BB" w14:textId="73917BCE" w:rsidTr="00C63F91">
        <w:trPr>
          <w:cantSplit/>
          <w:trHeight w:val="20"/>
        </w:trPr>
        <w:tc>
          <w:tcPr>
            <w:tcW w:w="3291" w:type="dxa"/>
            <w:vAlign w:val="center"/>
          </w:tcPr>
          <w:p w14:paraId="78B1C5A7" w14:textId="6688B5FF" w:rsidR="00D70E16" w:rsidRPr="00177EB6" w:rsidRDefault="0EBB1C5C" w:rsidP="00DE5959">
            <w:pPr>
              <w:spacing w:before="0" w:after="0"/>
              <w:rPr>
                <w:color w:val="000000"/>
                <w:sz w:val="20"/>
                <w:szCs w:val="20"/>
              </w:rPr>
            </w:pPr>
            <w:r w:rsidRPr="4A95A961">
              <w:rPr>
                <w:color w:val="000000"/>
                <w:sz w:val="20"/>
                <w:szCs w:val="20"/>
              </w:rPr>
              <w:t>NTG</w:t>
            </w:r>
          </w:p>
        </w:tc>
        <w:tc>
          <w:tcPr>
            <w:tcW w:w="1744" w:type="dxa"/>
            <w:shd w:val="clear" w:color="auto" w:fill="auto"/>
            <w:noWrap/>
            <w:vAlign w:val="center"/>
          </w:tcPr>
          <w:p w14:paraId="166BFFDA" w14:textId="669383B3" w:rsidR="00D70E16" w:rsidRPr="0059426D" w:rsidRDefault="00DE5959" w:rsidP="00DE5959">
            <w:pPr>
              <w:keepNext/>
              <w:keepLines/>
              <w:spacing w:before="0" w:after="0" w:line="200" w:lineRule="atLeast"/>
              <w:jc w:val="center"/>
              <w:rPr>
                <w:color w:val="000000"/>
                <w:sz w:val="20"/>
                <w:szCs w:val="20"/>
              </w:rPr>
            </w:pPr>
            <w:r>
              <w:rPr>
                <w:color w:val="000000"/>
                <w:sz w:val="20"/>
                <w:szCs w:val="20"/>
              </w:rPr>
              <w:t>0</w:t>
            </w:r>
            <w:r w:rsidR="0EBB1C5C" w:rsidRPr="4A95A961">
              <w:rPr>
                <w:color w:val="000000"/>
                <w:sz w:val="20"/>
                <w:szCs w:val="20"/>
              </w:rPr>
              <w:t>.</w:t>
            </w:r>
            <w:r w:rsidR="0030481F">
              <w:rPr>
                <w:color w:val="000000"/>
                <w:sz w:val="20"/>
                <w:szCs w:val="20"/>
              </w:rPr>
              <w:t>95</w:t>
            </w:r>
          </w:p>
        </w:tc>
        <w:tc>
          <w:tcPr>
            <w:tcW w:w="4140" w:type="dxa"/>
            <w:vAlign w:val="center"/>
          </w:tcPr>
          <w:p w14:paraId="2F4778D6" w14:textId="5AE173E0" w:rsidR="00D70E16" w:rsidRPr="00D70E16" w:rsidRDefault="0030481F" w:rsidP="00C63F91">
            <w:pPr>
              <w:keepNext/>
              <w:keepLines/>
              <w:spacing w:before="0" w:after="0" w:line="200" w:lineRule="atLeast"/>
              <w:rPr>
                <w:rFonts w:eastAsia="Calibri Light" w:cs="Calibri Light"/>
                <w:sz w:val="20"/>
                <w:szCs w:val="20"/>
              </w:rPr>
            </w:pPr>
            <w:r w:rsidRPr="0030481F">
              <w:rPr>
                <w:sz w:val="20"/>
                <w:szCs w:val="20"/>
              </w:rPr>
              <w:t>DEER2022 -  exante database tables: Res-sAll-mHVAC-DuctSeal</w:t>
            </w:r>
          </w:p>
        </w:tc>
      </w:tr>
    </w:tbl>
    <w:p w14:paraId="6ECC6493" w14:textId="77777777" w:rsidR="007D230B" w:rsidRPr="004B06E3" w:rsidRDefault="007D230B" w:rsidP="004142EF"/>
    <w:p w14:paraId="323B5B02" w14:textId="29C9941F" w:rsidR="007D230B" w:rsidRPr="004B06E3" w:rsidRDefault="00D02C36" w:rsidP="0078138C">
      <w:pPr>
        <w:pStyle w:val="eTRMHeading3"/>
      </w:pPr>
      <w:bookmarkStart w:id="65" w:name="_Toc67494048"/>
      <w:bookmarkStart w:id="66" w:name="_Toc486490864"/>
      <w:bookmarkStart w:id="67" w:name="_Toc486580935"/>
      <w:r>
        <w:t>Gross Savings Installation Adjustment</w:t>
      </w:r>
      <w:bookmarkEnd w:id="65"/>
      <w:r>
        <w:t xml:space="preserve"> </w:t>
      </w:r>
      <w:bookmarkEnd w:id="66"/>
      <w:bookmarkEnd w:id="67"/>
    </w:p>
    <w:p w14:paraId="3FC73705" w14:textId="77777777" w:rsidR="00356ED1" w:rsidRDefault="00356ED1" w:rsidP="00356ED1">
      <w:bookmarkStart w:id="68" w:name="_Hlk494309006"/>
      <w: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bookmarkEnd w:id="68"/>
      <w:r>
        <w:t>This GSIA rate is the current “default” rate specified for measures for which an alternative GSIA has not been estimated and approved.</w:t>
      </w:r>
    </w:p>
    <w:p w14:paraId="58967F26" w14:textId="77777777" w:rsidR="00356ED1" w:rsidRDefault="00356ED1" w:rsidP="00356ED1">
      <w:r>
        <w:t>This default GSIA is supported by the HVAC sector impact evaluation for program year 2018</w:t>
      </w:r>
      <w:r>
        <w:rPr>
          <w:rStyle w:val="FootnoteReference"/>
        </w:rPr>
        <w:footnoteReference w:id="3"/>
      </w:r>
      <w:r>
        <w:t xml:space="preserve"> which showed a gross realization rate (GRR) of 98% for electric kWh and 130% for natural gas therms, and has been directed for use by the CPUC.</w:t>
      </w:r>
      <w:r>
        <w:rPr>
          <w:rStyle w:val="FootnoteReference"/>
        </w:rPr>
        <w:footnoteReference w:id="4"/>
      </w:r>
    </w:p>
    <w:p w14:paraId="022915CE" w14:textId="250AFF37" w:rsidR="00DE1A0F" w:rsidRPr="0059426D" w:rsidRDefault="00120C61" w:rsidP="00EA057C">
      <w:pPr>
        <w:pStyle w:val="Caption"/>
      </w:pPr>
      <w:r>
        <w:t xml:space="preserve">Gross Savings </w:t>
      </w:r>
      <w:r w:rsidR="00DE1A0F">
        <w:t>Installation Rate</w:t>
      </w:r>
      <w:r>
        <w:t xml:space="preserve"> Adjustments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327"/>
        <w:gridCol w:w="1708"/>
        <w:gridCol w:w="4590"/>
      </w:tblGrid>
      <w:tr w:rsidR="00AA3E2A" w:rsidRPr="0059426D" w14:paraId="60BDA2BB" w14:textId="744FC0FC" w:rsidTr="005B3921">
        <w:trPr>
          <w:cantSplit/>
          <w:trHeight w:val="20"/>
        </w:trPr>
        <w:tc>
          <w:tcPr>
            <w:tcW w:w="1728" w:type="pct"/>
            <w:shd w:val="clear" w:color="000000" w:fill="F2F2F2" w:themeFill="background1" w:themeFillShade="F2"/>
            <w:vAlign w:val="bottom"/>
          </w:tcPr>
          <w:p w14:paraId="7D363CC0" w14:textId="578852F0" w:rsidR="00AA3E2A" w:rsidRPr="0059426D" w:rsidRDefault="00D70E16" w:rsidP="00BA3D7D">
            <w:pPr>
              <w:spacing w:before="0" w:after="0" w:line="200" w:lineRule="atLeast"/>
              <w:jc w:val="center"/>
              <w:rPr>
                <w:rFonts w:cs="Arial"/>
                <w:b/>
                <w:color w:val="000000"/>
                <w:sz w:val="20"/>
                <w:szCs w:val="20"/>
              </w:rPr>
            </w:pPr>
            <w:r>
              <w:rPr>
                <w:rFonts w:cs="Arial"/>
                <w:b/>
                <w:color w:val="000000"/>
                <w:sz w:val="20"/>
                <w:szCs w:val="20"/>
              </w:rPr>
              <w:t>GSIA ID</w:t>
            </w:r>
          </w:p>
        </w:tc>
        <w:tc>
          <w:tcPr>
            <w:tcW w:w="887" w:type="pct"/>
            <w:shd w:val="clear" w:color="000000" w:fill="F2F2F2" w:themeFill="background1" w:themeFillShade="F2"/>
            <w:vAlign w:val="center"/>
          </w:tcPr>
          <w:p w14:paraId="2A1AC9D4" w14:textId="30F698A4" w:rsidR="00AA3E2A" w:rsidRPr="0059426D" w:rsidRDefault="00D82A56" w:rsidP="006D6644">
            <w:pPr>
              <w:spacing w:before="0" w:after="0" w:line="200" w:lineRule="atLeast"/>
              <w:jc w:val="center"/>
              <w:rPr>
                <w:rFonts w:cs="Arial"/>
                <w:b/>
                <w:color w:val="000000"/>
                <w:sz w:val="20"/>
                <w:szCs w:val="20"/>
              </w:rPr>
            </w:pPr>
            <w:r>
              <w:rPr>
                <w:rFonts w:cs="Arial"/>
                <w:b/>
                <w:sz w:val="20"/>
                <w:szCs w:val="20"/>
              </w:rPr>
              <w:t>Value</w:t>
            </w:r>
            <w:r w:rsidR="00AA3E2A">
              <w:rPr>
                <w:rFonts w:cs="Arial"/>
                <w:b/>
                <w:sz w:val="20"/>
                <w:szCs w:val="20"/>
              </w:rPr>
              <w:t xml:space="preserve"> </w:t>
            </w:r>
          </w:p>
        </w:tc>
        <w:tc>
          <w:tcPr>
            <w:tcW w:w="2384" w:type="pct"/>
            <w:shd w:val="clear" w:color="000000" w:fill="F2F2F2" w:themeFill="background1" w:themeFillShade="F2"/>
          </w:tcPr>
          <w:p w14:paraId="32AB7FEE" w14:textId="77936D4E" w:rsidR="00AA3E2A" w:rsidRPr="00D02DA8" w:rsidRDefault="00AA3E2A" w:rsidP="006D6644">
            <w:pPr>
              <w:spacing w:before="0" w:after="0" w:line="200" w:lineRule="atLeast"/>
              <w:jc w:val="center"/>
              <w:rPr>
                <w:rFonts w:cs="Arial"/>
                <w:b/>
                <w:sz w:val="20"/>
                <w:szCs w:val="20"/>
              </w:rPr>
            </w:pPr>
            <w:r>
              <w:rPr>
                <w:rFonts w:cs="Arial"/>
                <w:b/>
                <w:sz w:val="20"/>
                <w:szCs w:val="20"/>
              </w:rPr>
              <w:t>Source</w:t>
            </w:r>
          </w:p>
        </w:tc>
      </w:tr>
      <w:tr w:rsidR="006E0015" w:rsidRPr="0059426D" w14:paraId="2209CD52" w14:textId="78579504" w:rsidTr="005B3921">
        <w:trPr>
          <w:cantSplit/>
          <w:trHeight w:val="20"/>
        </w:trPr>
        <w:tc>
          <w:tcPr>
            <w:tcW w:w="1728" w:type="pct"/>
            <w:vAlign w:val="center"/>
          </w:tcPr>
          <w:p w14:paraId="6618BC2B" w14:textId="1345EC58" w:rsidR="006E0015" w:rsidRPr="0059426D" w:rsidRDefault="006E0015" w:rsidP="006E0015">
            <w:pPr>
              <w:spacing w:before="0" w:after="0" w:line="200" w:lineRule="atLeast"/>
              <w:rPr>
                <w:rFonts w:cstheme="minorHAnsi"/>
                <w:sz w:val="20"/>
                <w:szCs w:val="20"/>
              </w:rPr>
            </w:pPr>
            <w:r>
              <w:rPr>
                <w:sz w:val="20"/>
              </w:rPr>
              <w:t>Def-GSIA</w:t>
            </w:r>
          </w:p>
        </w:tc>
        <w:tc>
          <w:tcPr>
            <w:tcW w:w="887" w:type="pct"/>
            <w:vAlign w:val="center"/>
          </w:tcPr>
          <w:p w14:paraId="6D1D8F27" w14:textId="63440C20" w:rsidR="006E0015" w:rsidRPr="0059426D" w:rsidRDefault="006E0015" w:rsidP="006E0015">
            <w:pPr>
              <w:spacing w:before="0" w:after="0" w:line="200" w:lineRule="atLeast"/>
              <w:jc w:val="center"/>
              <w:rPr>
                <w:color w:val="000000"/>
                <w:sz w:val="20"/>
                <w:szCs w:val="20"/>
              </w:rPr>
            </w:pPr>
            <w:r>
              <w:rPr>
                <w:sz w:val="20"/>
                <w:szCs w:val="20"/>
              </w:rPr>
              <w:t>1.0</w:t>
            </w:r>
          </w:p>
        </w:tc>
        <w:tc>
          <w:tcPr>
            <w:tcW w:w="2384" w:type="pct"/>
            <w:vAlign w:val="center"/>
          </w:tcPr>
          <w:p w14:paraId="52FCA633" w14:textId="1D3A5E65" w:rsidR="006E0015" w:rsidRPr="00C966A3" w:rsidRDefault="006E0015" w:rsidP="006E0015">
            <w:pPr>
              <w:spacing w:before="0" w:after="0" w:line="200" w:lineRule="atLeast"/>
              <w:rPr>
                <w:sz w:val="20"/>
                <w:szCs w:val="20"/>
              </w:rPr>
            </w:pPr>
            <w:r>
              <w:rPr>
                <w:rFonts w:eastAsia="Times New Roman" w:cs="Times New Roman"/>
                <w:color w:val="000000"/>
                <w:sz w:val="18"/>
                <w:szCs w:val="18"/>
              </w:rPr>
              <w:t xml:space="preserve">California Public Utilities Commission (CPUC), Energy Division. 2013. </w:t>
            </w:r>
            <w:r>
              <w:rPr>
                <w:rFonts w:eastAsia="Times New Roman" w:cs="Times New Roman"/>
                <w:i/>
                <w:color w:val="000000"/>
                <w:sz w:val="18"/>
                <w:szCs w:val="18"/>
              </w:rPr>
              <w:t>Energy Efficiency Policy Manual Version 5</w:t>
            </w:r>
            <w:r>
              <w:rPr>
                <w:rFonts w:eastAsia="Times New Roman" w:cs="Times New Roman"/>
                <w:color w:val="000000"/>
                <w:sz w:val="18"/>
                <w:szCs w:val="18"/>
              </w:rPr>
              <w:t>. Page 31.</w:t>
            </w:r>
          </w:p>
        </w:tc>
      </w:tr>
    </w:tbl>
    <w:p w14:paraId="2B4BFBFE" w14:textId="77777777" w:rsidR="00473D53" w:rsidRDefault="00473D53">
      <w:pPr>
        <w:spacing w:before="0" w:after="0" w:line="240" w:lineRule="auto"/>
        <w:rPr>
          <w:rFonts w:ascii="Calibri" w:eastAsiaTheme="majorEastAsia" w:hAnsi="Calibri" w:cstheme="majorBidi"/>
          <w:caps/>
          <w:color w:val="CFAB7A"/>
          <w:spacing w:val="10"/>
          <w:w w:val="102"/>
          <w:sz w:val="26"/>
          <w:szCs w:val="30"/>
        </w:rPr>
      </w:pPr>
      <w:bookmarkStart w:id="69" w:name="_Toc486490865"/>
      <w:bookmarkStart w:id="70" w:name="_Toc486580936"/>
      <w:r>
        <w:br w:type="page"/>
      </w:r>
    </w:p>
    <w:p w14:paraId="498C05E5" w14:textId="57E5F099" w:rsidR="002C67DF" w:rsidRPr="004B06E3" w:rsidRDefault="002C67DF" w:rsidP="0078138C">
      <w:pPr>
        <w:pStyle w:val="eTRMHeading3"/>
      </w:pPr>
      <w:bookmarkStart w:id="71" w:name="_Toc67494049"/>
      <w:r w:rsidRPr="004B06E3">
        <w:lastRenderedPageBreak/>
        <w:t xml:space="preserve">Non-Energy </w:t>
      </w:r>
      <w:bookmarkEnd w:id="69"/>
      <w:bookmarkEnd w:id="70"/>
      <w:r w:rsidR="00DA6B7E">
        <w:t>Impacts</w:t>
      </w:r>
      <w:bookmarkEnd w:id="71"/>
    </w:p>
    <w:p w14:paraId="0D73FC70" w14:textId="30080C4D" w:rsidR="00697A88" w:rsidRPr="003E08D8" w:rsidRDefault="00697A88" w:rsidP="00697A88">
      <w:pPr>
        <w:rPr>
          <w:rFonts w:cs="Arial"/>
        </w:rPr>
      </w:pPr>
      <w:r w:rsidRPr="4A95A961">
        <w:rPr>
          <w:rFonts w:cs="Arial"/>
        </w:rPr>
        <w:t xml:space="preserve">Non-energy benefits for this measure have not been </w:t>
      </w:r>
      <w:r w:rsidR="009D7F4D" w:rsidRPr="4A95A961">
        <w:rPr>
          <w:rFonts w:cs="Arial"/>
        </w:rPr>
        <w:t>quantified</w:t>
      </w:r>
      <w:r w:rsidRPr="4A95A961">
        <w:rPr>
          <w:rFonts w:cs="Arial"/>
        </w:rPr>
        <w:t>.</w:t>
      </w:r>
      <w:r w:rsidR="188DFA55" w:rsidRPr="49095C29">
        <w:rPr>
          <w:rFonts w:ascii="Arial" w:eastAsia="Arial" w:hAnsi="Arial" w:cs="Arial"/>
        </w:rPr>
        <w:t xml:space="preserve"> </w:t>
      </w:r>
    </w:p>
    <w:p w14:paraId="3B8F3D42" w14:textId="1C5062EC" w:rsidR="00AF54BA" w:rsidRDefault="00AF54BA" w:rsidP="004142EF"/>
    <w:p w14:paraId="7D8551BB" w14:textId="760F7D39" w:rsidR="009C31A4" w:rsidRPr="004B06E3" w:rsidRDefault="009C31A4" w:rsidP="0078138C">
      <w:pPr>
        <w:pStyle w:val="eTRMHeading3"/>
      </w:pPr>
      <w:bookmarkStart w:id="72" w:name="_Toc67494050"/>
      <w:r>
        <w:t>DEER Differences Analysis</w:t>
      </w:r>
      <w:bookmarkEnd w:id="72"/>
    </w:p>
    <w:p w14:paraId="575E579E" w14:textId="059C117D" w:rsidR="002C67DF" w:rsidRDefault="003F21D2" w:rsidP="004142EF">
      <w:r>
        <w:t>This section provides a summary of DEER-based inputs and methods, and the rationale for inputs and methods that are not DEER-based.</w:t>
      </w:r>
    </w:p>
    <w:p w14:paraId="606D0647" w14:textId="6741627E" w:rsidR="00282813" w:rsidRPr="00282813" w:rsidRDefault="00EA057C" w:rsidP="00BC37C6">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1302"/>
        <w:gridCol w:w="2012"/>
        <w:gridCol w:w="2012"/>
        <w:gridCol w:w="2012"/>
        <w:gridCol w:w="2012"/>
      </w:tblGrid>
      <w:tr w:rsidR="00815BE2" w:rsidRPr="00500C4E" w14:paraId="59D017C8" w14:textId="611BA164" w:rsidTr="005B3921">
        <w:trPr>
          <w:trHeight w:val="20"/>
        </w:trPr>
        <w:tc>
          <w:tcPr>
            <w:tcW w:w="696" w:type="pct"/>
            <w:shd w:val="clear" w:color="auto" w:fill="F2F2F2" w:themeFill="background1" w:themeFillShade="F2"/>
          </w:tcPr>
          <w:p w14:paraId="5A1E2CE5" w14:textId="77777777" w:rsidR="00815BE2" w:rsidRPr="00EA057C" w:rsidRDefault="00815BE2" w:rsidP="00815BE2">
            <w:pPr>
              <w:keepNext/>
              <w:keepLines/>
              <w:tabs>
                <w:tab w:val="right" w:pos="2957"/>
              </w:tabs>
              <w:spacing w:before="20" w:after="20"/>
              <w:rPr>
                <w:rFonts w:cs="Arial"/>
                <w:b/>
                <w:sz w:val="20"/>
                <w:szCs w:val="20"/>
              </w:rPr>
            </w:pPr>
            <w:r w:rsidRPr="00EA057C">
              <w:rPr>
                <w:rFonts w:cs="Arial"/>
                <w:b/>
                <w:sz w:val="20"/>
                <w:szCs w:val="20"/>
              </w:rPr>
              <w:t>DEER Item</w:t>
            </w:r>
          </w:p>
        </w:tc>
        <w:tc>
          <w:tcPr>
            <w:tcW w:w="1076" w:type="pct"/>
            <w:shd w:val="clear" w:color="auto" w:fill="F2F2F2" w:themeFill="background1" w:themeFillShade="F2"/>
          </w:tcPr>
          <w:p w14:paraId="52AD34D1" w14:textId="794765D6" w:rsidR="00815BE2" w:rsidRPr="00EA057C" w:rsidRDefault="00815BE2" w:rsidP="00815BE2">
            <w:pPr>
              <w:keepNext/>
              <w:keepLines/>
              <w:spacing w:before="20" w:after="20"/>
              <w:rPr>
                <w:rFonts w:cs="Arial"/>
                <w:b/>
                <w:sz w:val="20"/>
                <w:szCs w:val="20"/>
              </w:rPr>
            </w:pPr>
            <w:r>
              <w:rPr>
                <w:rFonts w:cs="Arial"/>
                <w:b/>
                <w:sz w:val="20"/>
                <w:szCs w:val="20"/>
              </w:rPr>
              <w:t>SWSV013A</w:t>
            </w:r>
          </w:p>
        </w:tc>
        <w:tc>
          <w:tcPr>
            <w:tcW w:w="1076" w:type="pct"/>
            <w:shd w:val="clear" w:color="auto" w:fill="F2F2F2" w:themeFill="background1" w:themeFillShade="F2"/>
          </w:tcPr>
          <w:p w14:paraId="7ACEAE60" w14:textId="20D79D1B" w:rsidR="00815BE2" w:rsidRDefault="00815BE2" w:rsidP="00815BE2">
            <w:pPr>
              <w:keepNext/>
              <w:keepLines/>
              <w:spacing w:before="20" w:after="20"/>
              <w:rPr>
                <w:rFonts w:cs="Arial"/>
                <w:b/>
                <w:sz w:val="20"/>
                <w:szCs w:val="20"/>
              </w:rPr>
            </w:pPr>
            <w:r>
              <w:rPr>
                <w:rFonts w:cs="Arial"/>
                <w:b/>
                <w:sz w:val="20"/>
                <w:szCs w:val="20"/>
              </w:rPr>
              <w:t>SWSV013B</w:t>
            </w:r>
          </w:p>
        </w:tc>
        <w:tc>
          <w:tcPr>
            <w:tcW w:w="1076" w:type="pct"/>
            <w:shd w:val="clear" w:color="auto" w:fill="F2F2F2" w:themeFill="background1" w:themeFillShade="F2"/>
          </w:tcPr>
          <w:p w14:paraId="7C0B54AA" w14:textId="0E7A7DC3" w:rsidR="00815BE2" w:rsidRDefault="00815BE2" w:rsidP="00815BE2">
            <w:pPr>
              <w:keepNext/>
              <w:keepLines/>
              <w:spacing w:before="20" w:after="20"/>
              <w:rPr>
                <w:rFonts w:cs="Arial"/>
                <w:b/>
                <w:sz w:val="20"/>
                <w:szCs w:val="20"/>
              </w:rPr>
            </w:pPr>
            <w:r>
              <w:rPr>
                <w:rFonts w:cs="Arial"/>
                <w:b/>
                <w:sz w:val="20"/>
                <w:szCs w:val="20"/>
              </w:rPr>
              <w:t>SWSV013C</w:t>
            </w:r>
          </w:p>
        </w:tc>
        <w:tc>
          <w:tcPr>
            <w:tcW w:w="1076" w:type="pct"/>
            <w:shd w:val="clear" w:color="auto" w:fill="F2F2F2" w:themeFill="background1" w:themeFillShade="F2"/>
          </w:tcPr>
          <w:p w14:paraId="59BBE7B5" w14:textId="3FFF2B0C" w:rsidR="00815BE2" w:rsidRDefault="00815BE2" w:rsidP="00815BE2">
            <w:pPr>
              <w:keepNext/>
              <w:keepLines/>
              <w:spacing w:before="20" w:after="20"/>
              <w:rPr>
                <w:rFonts w:cs="Arial"/>
                <w:b/>
                <w:sz w:val="20"/>
                <w:szCs w:val="20"/>
              </w:rPr>
            </w:pPr>
            <w:r>
              <w:rPr>
                <w:rFonts w:cs="Arial"/>
                <w:b/>
                <w:sz w:val="20"/>
                <w:szCs w:val="20"/>
              </w:rPr>
              <w:t>SWSV013D</w:t>
            </w:r>
          </w:p>
        </w:tc>
      </w:tr>
      <w:tr w:rsidR="00054CBD" w:rsidRPr="00120C61" w14:paraId="33003020" w14:textId="580728F7" w:rsidTr="005B3921">
        <w:trPr>
          <w:trHeight w:val="20"/>
        </w:trPr>
        <w:tc>
          <w:tcPr>
            <w:tcW w:w="696" w:type="pct"/>
          </w:tcPr>
          <w:p w14:paraId="1F2D360A" w14:textId="77777777" w:rsidR="00054CBD" w:rsidRPr="00120C61" w:rsidRDefault="00054CBD" w:rsidP="00054CBD">
            <w:pPr>
              <w:keepNext/>
              <w:keepLines/>
              <w:spacing w:before="20" w:after="20"/>
              <w:rPr>
                <w:rFonts w:cs="Arial"/>
                <w:sz w:val="20"/>
                <w:szCs w:val="20"/>
              </w:rPr>
            </w:pPr>
            <w:r w:rsidRPr="00120C61">
              <w:rPr>
                <w:rFonts w:cs="Arial"/>
                <w:sz w:val="20"/>
                <w:szCs w:val="20"/>
              </w:rPr>
              <w:t>Modified DEER methodology</w:t>
            </w:r>
          </w:p>
        </w:tc>
        <w:tc>
          <w:tcPr>
            <w:tcW w:w="1076" w:type="pct"/>
          </w:tcPr>
          <w:p w14:paraId="247EE411" w14:textId="3A366B6C" w:rsidR="00054CBD" w:rsidRPr="00120C61" w:rsidRDefault="00054CBD" w:rsidP="00054CBD">
            <w:pPr>
              <w:keepNext/>
              <w:keepLines/>
              <w:spacing w:before="20" w:after="20"/>
              <w:rPr>
                <w:rFonts w:cs="Arial"/>
                <w:sz w:val="20"/>
                <w:szCs w:val="20"/>
              </w:rPr>
            </w:pPr>
            <w:r>
              <w:rPr>
                <w:rFonts w:cs="Arial"/>
                <w:sz w:val="20"/>
                <w:szCs w:val="20"/>
              </w:rPr>
              <w:t>No</w:t>
            </w:r>
          </w:p>
        </w:tc>
        <w:tc>
          <w:tcPr>
            <w:tcW w:w="1076" w:type="pct"/>
          </w:tcPr>
          <w:p w14:paraId="53671BC2" w14:textId="3D7502A2" w:rsidR="00054CBD" w:rsidRDefault="00054CBD" w:rsidP="00054CBD">
            <w:pPr>
              <w:keepNext/>
              <w:keepLines/>
              <w:spacing w:before="20" w:after="20"/>
              <w:rPr>
                <w:rFonts w:cs="Arial"/>
                <w:sz w:val="20"/>
                <w:szCs w:val="20"/>
              </w:rPr>
            </w:pPr>
            <w:r>
              <w:rPr>
                <w:rFonts w:cs="Arial"/>
                <w:sz w:val="20"/>
                <w:szCs w:val="20"/>
              </w:rPr>
              <w:t>No</w:t>
            </w:r>
          </w:p>
        </w:tc>
        <w:tc>
          <w:tcPr>
            <w:tcW w:w="1076" w:type="pct"/>
          </w:tcPr>
          <w:p w14:paraId="25BB626D" w14:textId="088D1F58" w:rsidR="00054CBD" w:rsidRDefault="00054CBD" w:rsidP="00054CBD">
            <w:pPr>
              <w:keepNext/>
              <w:keepLines/>
              <w:spacing w:before="20" w:after="20"/>
              <w:rPr>
                <w:rFonts w:cs="Arial"/>
                <w:sz w:val="20"/>
                <w:szCs w:val="20"/>
              </w:rPr>
            </w:pPr>
            <w:r>
              <w:rPr>
                <w:rFonts w:cs="Arial"/>
                <w:sz w:val="20"/>
                <w:szCs w:val="20"/>
              </w:rPr>
              <w:t>No</w:t>
            </w:r>
          </w:p>
        </w:tc>
        <w:tc>
          <w:tcPr>
            <w:tcW w:w="1076" w:type="pct"/>
          </w:tcPr>
          <w:p w14:paraId="20BBA925" w14:textId="28F81789" w:rsidR="00054CBD" w:rsidRDefault="00054CBD" w:rsidP="00054CBD">
            <w:pPr>
              <w:keepNext/>
              <w:keepLines/>
              <w:spacing w:before="20" w:after="20"/>
              <w:rPr>
                <w:rFonts w:cs="Arial"/>
                <w:sz w:val="20"/>
                <w:szCs w:val="20"/>
              </w:rPr>
            </w:pPr>
            <w:r>
              <w:rPr>
                <w:rFonts w:cs="Arial"/>
                <w:sz w:val="20"/>
                <w:szCs w:val="20"/>
              </w:rPr>
              <w:t>No</w:t>
            </w:r>
          </w:p>
        </w:tc>
      </w:tr>
      <w:tr w:rsidR="00054CBD" w:rsidRPr="00120C61" w14:paraId="507422EA" w14:textId="690CA365" w:rsidTr="005B3921">
        <w:trPr>
          <w:trHeight w:val="20"/>
        </w:trPr>
        <w:tc>
          <w:tcPr>
            <w:tcW w:w="696" w:type="pct"/>
          </w:tcPr>
          <w:p w14:paraId="29430E33" w14:textId="77777777" w:rsidR="00054CBD" w:rsidRPr="00120C61" w:rsidRDefault="00054CBD" w:rsidP="00054CBD">
            <w:pPr>
              <w:keepNext/>
              <w:keepLines/>
              <w:spacing w:before="20" w:after="20"/>
              <w:rPr>
                <w:rFonts w:cs="Arial"/>
                <w:sz w:val="20"/>
                <w:szCs w:val="20"/>
              </w:rPr>
            </w:pPr>
            <w:r w:rsidRPr="00120C61">
              <w:rPr>
                <w:rFonts w:cs="Arial"/>
                <w:sz w:val="20"/>
                <w:szCs w:val="20"/>
              </w:rPr>
              <w:t>Scaled DEER measure</w:t>
            </w:r>
          </w:p>
        </w:tc>
        <w:tc>
          <w:tcPr>
            <w:tcW w:w="1076" w:type="pct"/>
          </w:tcPr>
          <w:p w14:paraId="0C847473" w14:textId="7C1DC1E3" w:rsidR="00054CBD" w:rsidRPr="00120C61" w:rsidRDefault="00054CBD" w:rsidP="00054CBD">
            <w:pPr>
              <w:keepNext/>
              <w:keepLines/>
              <w:spacing w:before="20" w:after="20"/>
              <w:rPr>
                <w:rFonts w:cs="Arial"/>
                <w:sz w:val="20"/>
                <w:szCs w:val="20"/>
              </w:rPr>
            </w:pPr>
            <w:r>
              <w:rPr>
                <w:rFonts w:cs="Arial"/>
                <w:sz w:val="20"/>
                <w:szCs w:val="20"/>
              </w:rPr>
              <w:t>No</w:t>
            </w:r>
          </w:p>
        </w:tc>
        <w:tc>
          <w:tcPr>
            <w:tcW w:w="1076" w:type="pct"/>
          </w:tcPr>
          <w:p w14:paraId="606907E3" w14:textId="3438DCDA" w:rsidR="00054CBD" w:rsidRDefault="00054CBD" w:rsidP="00054CBD">
            <w:pPr>
              <w:keepNext/>
              <w:keepLines/>
              <w:spacing w:before="20" w:after="20"/>
              <w:rPr>
                <w:rFonts w:cs="Arial"/>
                <w:sz w:val="20"/>
                <w:szCs w:val="20"/>
              </w:rPr>
            </w:pPr>
            <w:r>
              <w:rPr>
                <w:rFonts w:cs="Arial"/>
                <w:sz w:val="20"/>
                <w:szCs w:val="20"/>
              </w:rPr>
              <w:t>No</w:t>
            </w:r>
          </w:p>
        </w:tc>
        <w:tc>
          <w:tcPr>
            <w:tcW w:w="1076" w:type="pct"/>
          </w:tcPr>
          <w:p w14:paraId="24E53B2D" w14:textId="50ABAED2" w:rsidR="00054CBD" w:rsidRDefault="00054CBD" w:rsidP="00054CBD">
            <w:pPr>
              <w:keepNext/>
              <w:keepLines/>
              <w:spacing w:before="20" w:after="20"/>
              <w:rPr>
                <w:rFonts w:cs="Arial"/>
                <w:sz w:val="20"/>
                <w:szCs w:val="20"/>
              </w:rPr>
            </w:pPr>
            <w:r>
              <w:rPr>
                <w:rFonts w:cs="Arial"/>
                <w:sz w:val="20"/>
                <w:szCs w:val="20"/>
              </w:rPr>
              <w:t>No</w:t>
            </w:r>
          </w:p>
        </w:tc>
        <w:tc>
          <w:tcPr>
            <w:tcW w:w="1076" w:type="pct"/>
          </w:tcPr>
          <w:p w14:paraId="091BECE4" w14:textId="655E9623" w:rsidR="00054CBD" w:rsidRDefault="00054CBD" w:rsidP="00054CBD">
            <w:pPr>
              <w:keepNext/>
              <w:keepLines/>
              <w:spacing w:before="20" w:after="20"/>
              <w:rPr>
                <w:rFonts w:cs="Arial"/>
                <w:sz w:val="20"/>
                <w:szCs w:val="20"/>
              </w:rPr>
            </w:pPr>
            <w:r>
              <w:rPr>
                <w:rFonts w:cs="Arial"/>
                <w:sz w:val="20"/>
                <w:szCs w:val="20"/>
              </w:rPr>
              <w:t>No</w:t>
            </w:r>
          </w:p>
        </w:tc>
      </w:tr>
      <w:tr w:rsidR="00054CBD" w:rsidRPr="00120C61" w14:paraId="335CDE40" w14:textId="1044E85F" w:rsidTr="005B3921">
        <w:trPr>
          <w:trHeight w:val="20"/>
        </w:trPr>
        <w:tc>
          <w:tcPr>
            <w:tcW w:w="696" w:type="pct"/>
          </w:tcPr>
          <w:p w14:paraId="126C3B42" w14:textId="77777777" w:rsidR="00054CBD" w:rsidRPr="00120C61" w:rsidRDefault="00054CBD" w:rsidP="00054CBD">
            <w:pPr>
              <w:keepNext/>
              <w:keepLines/>
              <w:spacing w:before="20" w:after="20"/>
              <w:rPr>
                <w:rFonts w:cs="Arial"/>
                <w:sz w:val="20"/>
                <w:szCs w:val="20"/>
              </w:rPr>
            </w:pPr>
            <w:r w:rsidRPr="00120C61">
              <w:rPr>
                <w:rFonts w:cs="Arial"/>
                <w:sz w:val="20"/>
                <w:szCs w:val="20"/>
              </w:rPr>
              <w:t>DEER Base Case</w:t>
            </w:r>
          </w:p>
        </w:tc>
        <w:tc>
          <w:tcPr>
            <w:tcW w:w="1076" w:type="pct"/>
          </w:tcPr>
          <w:p w14:paraId="5D2A1B0E" w14:textId="1442D4AE" w:rsidR="00054CBD" w:rsidRPr="00120C61" w:rsidRDefault="00054CBD" w:rsidP="00054CBD">
            <w:pPr>
              <w:keepNext/>
              <w:keepLines/>
              <w:spacing w:before="20" w:after="20"/>
              <w:rPr>
                <w:rFonts w:cs="Arial"/>
                <w:sz w:val="20"/>
                <w:szCs w:val="20"/>
              </w:rPr>
            </w:pPr>
            <w:r>
              <w:rPr>
                <w:rFonts w:cs="Arial"/>
                <w:sz w:val="20"/>
                <w:szCs w:val="20"/>
              </w:rPr>
              <w:t>n/a</w:t>
            </w:r>
          </w:p>
        </w:tc>
        <w:tc>
          <w:tcPr>
            <w:tcW w:w="1076" w:type="pct"/>
          </w:tcPr>
          <w:p w14:paraId="4279099C" w14:textId="2E3E8634" w:rsidR="00054CBD" w:rsidRPr="00120C61" w:rsidRDefault="00054CBD" w:rsidP="00054CBD">
            <w:pPr>
              <w:keepNext/>
              <w:keepLines/>
              <w:spacing w:before="20" w:after="20"/>
              <w:rPr>
                <w:rFonts w:cs="Arial"/>
                <w:sz w:val="20"/>
                <w:szCs w:val="20"/>
              </w:rPr>
            </w:pPr>
            <w:r>
              <w:rPr>
                <w:rFonts w:cs="Arial"/>
                <w:sz w:val="20"/>
                <w:szCs w:val="20"/>
              </w:rPr>
              <w:t>n/a</w:t>
            </w:r>
          </w:p>
        </w:tc>
        <w:tc>
          <w:tcPr>
            <w:tcW w:w="1076" w:type="pct"/>
          </w:tcPr>
          <w:p w14:paraId="3E93325E" w14:textId="78B2B379" w:rsidR="00054CBD" w:rsidRDefault="00054CBD" w:rsidP="00054CBD">
            <w:pPr>
              <w:keepNext/>
              <w:keepLines/>
              <w:spacing w:before="20" w:after="20"/>
              <w:rPr>
                <w:rFonts w:cs="Arial"/>
                <w:sz w:val="20"/>
                <w:szCs w:val="20"/>
              </w:rPr>
            </w:pPr>
            <w:r>
              <w:rPr>
                <w:rFonts w:cs="Arial"/>
                <w:sz w:val="20"/>
                <w:szCs w:val="20"/>
              </w:rPr>
              <w:t>n/a</w:t>
            </w:r>
          </w:p>
        </w:tc>
        <w:tc>
          <w:tcPr>
            <w:tcW w:w="1076" w:type="pct"/>
          </w:tcPr>
          <w:p w14:paraId="30002048" w14:textId="7A9C2556" w:rsidR="00054CBD" w:rsidRDefault="00054CBD" w:rsidP="00054CBD">
            <w:pPr>
              <w:keepNext/>
              <w:keepLines/>
              <w:spacing w:before="20" w:after="20"/>
              <w:rPr>
                <w:rFonts w:cs="Arial"/>
                <w:sz w:val="20"/>
                <w:szCs w:val="20"/>
              </w:rPr>
            </w:pPr>
            <w:r>
              <w:rPr>
                <w:rFonts w:cs="Arial"/>
                <w:sz w:val="20"/>
                <w:szCs w:val="20"/>
              </w:rPr>
              <w:t>n/a</w:t>
            </w:r>
          </w:p>
        </w:tc>
      </w:tr>
      <w:tr w:rsidR="00054CBD" w:rsidRPr="00120C61" w14:paraId="1F8399E1" w14:textId="370CB693" w:rsidTr="005B3921">
        <w:trPr>
          <w:trHeight w:val="20"/>
        </w:trPr>
        <w:tc>
          <w:tcPr>
            <w:tcW w:w="696" w:type="pct"/>
          </w:tcPr>
          <w:p w14:paraId="0CC701E3" w14:textId="77777777" w:rsidR="00054CBD" w:rsidRPr="00120C61" w:rsidRDefault="00054CBD" w:rsidP="00054CBD">
            <w:pPr>
              <w:keepNext/>
              <w:keepLines/>
              <w:spacing w:before="20" w:after="20"/>
              <w:rPr>
                <w:rFonts w:cs="Arial"/>
                <w:sz w:val="20"/>
                <w:szCs w:val="20"/>
              </w:rPr>
            </w:pPr>
            <w:r w:rsidRPr="00120C61">
              <w:rPr>
                <w:rFonts w:cs="Arial"/>
                <w:sz w:val="20"/>
                <w:szCs w:val="20"/>
              </w:rPr>
              <w:t>DEER Measure Case</w:t>
            </w:r>
          </w:p>
        </w:tc>
        <w:tc>
          <w:tcPr>
            <w:tcW w:w="1076" w:type="pct"/>
          </w:tcPr>
          <w:p w14:paraId="49A023A0" w14:textId="385C94E8" w:rsidR="00054CBD" w:rsidRPr="00120C61" w:rsidRDefault="00054CBD" w:rsidP="00054CBD">
            <w:pPr>
              <w:keepNext/>
              <w:keepLines/>
              <w:spacing w:before="20" w:after="20"/>
              <w:rPr>
                <w:rFonts w:cs="Arial"/>
                <w:sz w:val="20"/>
                <w:szCs w:val="20"/>
              </w:rPr>
            </w:pPr>
            <w:r>
              <w:rPr>
                <w:rFonts w:cs="Arial"/>
                <w:sz w:val="20"/>
                <w:szCs w:val="20"/>
              </w:rPr>
              <w:t>No</w:t>
            </w:r>
          </w:p>
        </w:tc>
        <w:tc>
          <w:tcPr>
            <w:tcW w:w="1076" w:type="pct"/>
          </w:tcPr>
          <w:p w14:paraId="4F58ACA9" w14:textId="7C55FAB2" w:rsidR="00054CBD" w:rsidRPr="00120C61" w:rsidRDefault="00054CBD" w:rsidP="00054CBD">
            <w:pPr>
              <w:keepNext/>
              <w:keepLines/>
              <w:spacing w:before="20" w:after="20"/>
              <w:rPr>
                <w:rFonts w:cs="Arial"/>
                <w:sz w:val="20"/>
                <w:szCs w:val="20"/>
              </w:rPr>
            </w:pPr>
            <w:r>
              <w:rPr>
                <w:rFonts w:cs="Arial"/>
                <w:sz w:val="20"/>
                <w:szCs w:val="20"/>
              </w:rPr>
              <w:t>n/a</w:t>
            </w:r>
          </w:p>
        </w:tc>
        <w:tc>
          <w:tcPr>
            <w:tcW w:w="1076" w:type="pct"/>
          </w:tcPr>
          <w:p w14:paraId="7DC4FC3E" w14:textId="53514229" w:rsidR="00054CBD" w:rsidRDefault="00054CBD" w:rsidP="00054CBD">
            <w:pPr>
              <w:keepNext/>
              <w:keepLines/>
              <w:spacing w:before="20" w:after="20"/>
              <w:rPr>
                <w:rFonts w:cs="Arial"/>
                <w:sz w:val="20"/>
                <w:szCs w:val="20"/>
              </w:rPr>
            </w:pPr>
            <w:r>
              <w:rPr>
                <w:rFonts w:cs="Arial"/>
                <w:sz w:val="20"/>
                <w:szCs w:val="20"/>
              </w:rPr>
              <w:t>No</w:t>
            </w:r>
          </w:p>
        </w:tc>
        <w:tc>
          <w:tcPr>
            <w:tcW w:w="1076" w:type="pct"/>
          </w:tcPr>
          <w:p w14:paraId="090DC45F" w14:textId="6F640AB7" w:rsidR="00054CBD" w:rsidRDefault="00054CBD" w:rsidP="00054CBD">
            <w:pPr>
              <w:keepNext/>
              <w:keepLines/>
              <w:spacing w:before="20" w:after="20"/>
              <w:rPr>
                <w:rFonts w:cs="Arial"/>
                <w:sz w:val="20"/>
                <w:szCs w:val="20"/>
              </w:rPr>
            </w:pPr>
            <w:r>
              <w:rPr>
                <w:rFonts w:cs="Arial"/>
                <w:sz w:val="20"/>
                <w:szCs w:val="20"/>
              </w:rPr>
              <w:t>n/a</w:t>
            </w:r>
          </w:p>
        </w:tc>
      </w:tr>
      <w:tr w:rsidR="00054CBD" w:rsidRPr="00120C61" w14:paraId="663742C6" w14:textId="3B05CF7D" w:rsidTr="005B3921">
        <w:trPr>
          <w:trHeight w:val="20"/>
        </w:trPr>
        <w:tc>
          <w:tcPr>
            <w:tcW w:w="696" w:type="pct"/>
          </w:tcPr>
          <w:p w14:paraId="16B2FDAB" w14:textId="77777777" w:rsidR="00054CBD" w:rsidRPr="00120C61" w:rsidRDefault="00054CBD" w:rsidP="00054CBD">
            <w:pPr>
              <w:keepNext/>
              <w:keepLines/>
              <w:spacing w:before="20" w:after="20"/>
              <w:rPr>
                <w:rFonts w:cs="Arial"/>
                <w:sz w:val="20"/>
                <w:szCs w:val="20"/>
              </w:rPr>
            </w:pPr>
            <w:r w:rsidRPr="00120C61">
              <w:rPr>
                <w:rFonts w:cs="Arial"/>
                <w:sz w:val="20"/>
                <w:szCs w:val="20"/>
              </w:rPr>
              <w:t>DEER Building Types</w:t>
            </w:r>
          </w:p>
        </w:tc>
        <w:tc>
          <w:tcPr>
            <w:tcW w:w="1076" w:type="pct"/>
          </w:tcPr>
          <w:p w14:paraId="6BBA540C" w14:textId="468A16CE" w:rsidR="00054CBD" w:rsidRPr="00120C61" w:rsidRDefault="00054CBD" w:rsidP="00054CBD">
            <w:pPr>
              <w:keepNext/>
              <w:keepLines/>
              <w:spacing w:before="20" w:after="20"/>
              <w:rPr>
                <w:rFonts w:cs="Arial"/>
                <w:sz w:val="20"/>
                <w:szCs w:val="20"/>
              </w:rPr>
            </w:pPr>
            <w:r>
              <w:rPr>
                <w:rFonts w:cs="Arial"/>
                <w:sz w:val="20"/>
                <w:szCs w:val="20"/>
              </w:rPr>
              <w:t>Yes (DMo)</w:t>
            </w:r>
          </w:p>
        </w:tc>
        <w:tc>
          <w:tcPr>
            <w:tcW w:w="1076" w:type="pct"/>
          </w:tcPr>
          <w:p w14:paraId="462879FE" w14:textId="1C0D065B" w:rsidR="00054CBD" w:rsidRDefault="00054CBD" w:rsidP="00054CBD">
            <w:pPr>
              <w:keepNext/>
              <w:keepLines/>
              <w:spacing w:before="20" w:after="20"/>
              <w:rPr>
                <w:rFonts w:cs="Arial"/>
                <w:sz w:val="20"/>
                <w:szCs w:val="20"/>
              </w:rPr>
            </w:pPr>
            <w:r>
              <w:rPr>
                <w:rFonts w:cs="Arial"/>
                <w:sz w:val="20"/>
                <w:szCs w:val="20"/>
              </w:rPr>
              <w:t>Yes (DMo)</w:t>
            </w:r>
          </w:p>
        </w:tc>
        <w:tc>
          <w:tcPr>
            <w:tcW w:w="1076" w:type="pct"/>
          </w:tcPr>
          <w:p w14:paraId="68F5B55D" w14:textId="6BFBF6EE" w:rsidR="00054CBD" w:rsidRDefault="00054CBD" w:rsidP="00054CBD">
            <w:pPr>
              <w:keepNext/>
              <w:keepLines/>
              <w:spacing w:before="20" w:after="20"/>
              <w:rPr>
                <w:rFonts w:cs="Arial"/>
                <w:sz w:val="20"/>
                <w:szCs w:val="20"/>
              </w:rPr>
            </w:pPr>
            <w:r>
              <w:rPr>
                <w:rFonts w:cs="Arial"/>
                <w:sz w:val="20"/>
                <w:szCs w:val="20"/>
              </w:rPr>
              <w:t>Yes (DMo)</w:t>
            </w:r>
          </w:p>
        </w:tc>
        <w:tc>
          <w:tcPr>
            <w:tcW w:w="1076" w:type="pct"/>
          </w:tcPr>
          <w:p w14:paraId="353BB183" w14:textId="3C3CEA65" w:rsidR="00054CBD" w:rsidRDefault="00054CBD" w:rsidP="00054CBD">
            <w:pPr>
              <w:keepNext/>
              <w:keepLines/>
              <w:spacing w:before="20" w:after="20"/>
              <w:rPr>
                <w:rFonts w:cs="Arial"/>
                <w:sz w:val="20"/>
                <w:szCs w:val="20"/>
              </w:rPr>
            </w:pPr>
            <w:r>
              <w:rPr>
                <w:rFonts w:cs="Arial"/>
                <w:sz w:val="20"/>
                <w:szCs w:val="20"/>
              </w:rPr>
              <w:t>Yes (DMo)</w:t>
            </w:r>
          </w:p>
        </w:tc>
      </w:tr>
      <w:tr w:rsidR="00054CBD" w:rsidRPr="00120C61" w14:paraId="424F1325" w14:textId="563A89F6" w:rsidTr="005B3921">
        <w:trPr>
          <w:trHeight w:val="20"/>
        </w:trPr>
        <w:tc>
          <w:tcPr>
            <w:tcW w:w="696" w:type="pct"/>
          </w:tcPr>
          <w:p w14:paraId="71098DDA" w14:textId="77777777" w:rsidR="00054CBD" w:rsidRPr="00120C61" w:rsidRDefault="00054CBD" w:rsidP="00054CBD">
            <w:pPr>
              <w:keepNext/>
              <w:keepLines/>
              <w:spacing w:before="20" w:after="20"/>
              <w:rPr>
                <w:rFonts w:cs="Arial"/>
                <w:sz w:val="20"/>
                <w:szCs w:val="20"/>
              </w:rPr>
            </w:pPr>
            <w:r w:rsidRPr="00120C61">
              <w:rPr>
                <w:rFonts w:cs="Arial"/>
                <w:sz w:val="20"/>
                <w:szCs w:val="20"/>
              </w:rPr>
              <w:t>DEER Operating Hours</w:t>
            </w:r>
          </w:p>
        </w:tc>
        <w:tc>
          <w:tcPr>
            <w:tcW w:w="1076" w:type="pct"/>
          </w:tcPr>
          <w:p w14:paraId="1693E1EE" w14:textId="37D9783F" w:rsidR="00054CBD" w:rsidRPr="00120C61" w:rsidRDefault="00054CBD" w:rsidP="00054CBD">
            <w:pPr>
              <w:keepNext/>
              <w:keepLines/>
              <w:spacing w:before="20" w:after="20"/>
              <w:rPr>
                <w:rFonts w:cs="Arial"/>
                <w:sz w:val="20"/>
                <w:szCs w:val="20"/>
              </w:rPr>
            </w:pPr>
            <w:r>
              <w:rPr>
                <w:rFonts w:cs="Arial"/>
                <w:sz w:val="20"/>
                <w:szCs w:val="20"/>
              </w:rPr>
              <w:t>n/a</w:t>
            </w:r>
          </w:p>
        </w:tc>
        <w:tc>
          <w:tcPr>
            <w:tcW w:w="1076" w:type="pct"/>
          </w:tcPr>
          <w:p w14:paraId="0ED19D2E" w14:textId="2EB9D7DA" w:rsidR="00054CBD" w:rsidRPr="00120C61" w:rsidRDefault="00054CBD" w:rsidP="00054CBD">
            <w:pPr>
              <w:keepNext/>
              <w:keepLines/>
              <w:spacing w:before="20" w:after="20"/>
              <w:rPr>
                <w:rFonts w:cs="Arial"/>
                <w:sz w:val="20"/>
                <w:szCs w:val="20"/>
              </w:rPr>
            </w:pPr>
            <w:r>
              <w:rPr>
                <w:rFonts w:cs="Arial"/>
                <w:sz w:val="20"/>
                <w:szCs w:val="20"/>
              </w:rPr>
              <w:t>n/a</w:t>
            </w:r>
          </w:p>
        </w:tc>
        <w:tc>
          <w:tcPr>
            <w:tcW w:w="1076" w:type="pct"/>
          </w:tcPr>
          <w:p w14:paraId="1ECB7BD5" w14:textId="07F8E7C2" w:rsidR="00054CBD" w:rsidRDefault="00054CBD" w:rsidP="00054CBD">
            <w:pPr>
              <w:keepNext/>
              <w:keepLines/>
              <w:spacing w:before="20" w:after="20"/>
              <w:rPr>
                <w:rFonts w:cs="Arial"/>
                <w:sz w:val="20"/>
                <w:szCs w:val="20"/>
              </w:rPr>
            </w:pPr>
            <w:r>
              <w:rPr>
                <w:rFonts w:cs="Arial"/>
                <w:sz w:val="20"/>
                <w:szCs w:val="20"/>
              </w:rPr>
              <w:t>n/a</w:t>
            </w:r>
          </w:p>
        </w:tc>
        <w:tc>
          <w:tcPr>
            <w:tcW w:w="1076" w:type="pct"/>
          </w:tcPr>
          <w:p w14:paraId="7F5A6F92" w14:textId="72DFA064" w:rsidR="00054CBD" w:rsidRDefault="00054CBD" w:rsidP="00054CBD">
            <w:pPr>
              <w:keepNext/>
              <w:keepLines/>
              <w:spacing w:before="20" w:after="20"/>
              <w:rPr>
                <w:rFonts w:cs="Arial"/>
                <w:sz w:val="20"/>
                <w:szCs w:val="20"/>
              </w:rPr>
            </w:pPr>
            <w:r>
              <w:rPr>
                <w:rFonts w:cs="Arial"/>
                <w:sz w:val="20"/>
                <w:szCs w:val="20"/>
              </w:rPr>
              <w:t>n/a</w:t>
            </w:r>
          </w:p>
        </w:tc>
      </w:tr>
      <w:tr w:rsidR="00054CBD" w:rsidRPr="00120C61" w14:paraId="0B93AD47" w14:textId="1B69D420" w:rsidTr="005B3921">
        <w:trPr>
          <w:trHeight w:val="20"/>
        </w:trPr>
        <w:tc>
          <w:tcPr>
            <w:tcW w:w="696" w:type="pct"/>
          </w:tcPr>
          <w:p w14:paraId="6E9E484F" w14:textId="77777777" w:rsidR="00054CBD" w:rsidRPr="00120C61" w:rsidRDefault="00054CBD" w:rsidP="00054CBD">
            <w:pPr>
              <w:keepNext/>
              <w:keepLines/>
              <w:spacing w:before="20" w:after="20"/>
              <w:rPr>
                <w:rFonts w:cs="Arial"/>
                <w:sz w:val="20"/>
                <w:szCs w:val="20"/>
              </w:rPr>
            </w:pPr>
            <w:r w:rsidRPr="00120C61">
              <w:rPr>
                <w:rFonts w:cs="Arial"/>
                <w:sz w:val="20"/>
                <w:szCs w:val="20"/>
              </w:rPr>
              <w:t>DEER eQUEST Prototypes</w:t>
            </w:r>
          </w:p>
        </w:tc>
        <w:tc>
          <w:tcPr>
            <w:tcW w:w="1076" w:type="pct"/>
          </w:tcPr>
          <w:p w14:paraId="4948DEAF" w14:textId="2A04CB87" w:rsidR="00054CBD" w:rsidRPr="00120C61" w:rsidDel="00505CEC" w:rsidRDefault="00054CBD" w:rsidP="00054CBD">
            <w:pPr>
              <w:keepNext/>
              <w:keepLines/>
              <w:spacing w:before="20" w:after="20"/>
              <w:rPr>
                <w:rFonts w:cs="Arial"/>
                <w:sz w:val="20"/>
                <w:szCs w:val="20"/>
              </w:rPr>
            </w:pPr>
            <w:r>
              <w:rPr>
                <w:rFonts w:cs="Arial"/>
                <w:sz w:val="20"/>
                <w:szCs w:val="20"/>
              </w:rPr>
              <w:t>DEER2020, pulled from MASControl3</w:t>
            </w:r>
          </w:p>
        </w:tc>
        <w:tc>
          <w:tcPr>
            <w:tcW w:w="1076" w:type="pct"/>
          </w:tcPr>
          <w:p w14:paraId="3A786668" w14:textId="6DCAB3BE" w:rsidR="00054CBD" w:rsidRDefault="00054CBD" w:rsidP="00054CBD">
            <w:pPr>
              <w:keepNext/>
              <w:keepLines/>
              <w:spacing w:before="20" w:after="20"/>
              <w:rPr>
                <w:rFonts w:cs="Arial"/>
                <w:sz w:val="20"/>
                <w:szCs w:val="20"/>
              </w:rPr>
            </w:pPr>
            <w:r>
              <w:rPr>
                <w:rFonts w:cs="Arial"/>
                <w:sz w:val="20"/>
                <w:szCs w:val="20"/>
              </w:rPr>
              <w:t>n/a</w:t>
            </w:r>
          </w:p>
        </w:tc>
        <w:tc>
          <w:tcPr>
            <w:tcW w:w="1076" w:type="pct"/>
          </w:tcPr>
          <w:p w14:paraId="45FB8F8A" w14:textId="08190EE6" w:rsidR="00054CBD" w:rsidRDefault="00054CBD" w:rsidP="00054CBD">
            <w:pPr>
              <w:keepNext/>
              <w:keepLines/>
              <w:spacing w:before="20" w:after="20"/>
              <w:rPr>
                <w:rFonts w:cs="Arial"/>
                <w:sz w:val="20"/>
                <w:szCs w:val="20"/>
              </w:rPr>
            </w:pPr>
            <w:r>
              <w:rPr>
                <w:rFonts w:cs="Arial"/>
                <w:sz w:val="20"/>
                <w:szCs w:val="20"/>
              </w:rPr>
              <w:t>DEER2020, pulled from MASControl3</w:t>
            </w:r>
          </w:p>
        </w:tc>
        <w:tc>
          <w:tcPr>
            <w:tcW w:w="1076" w:type="pct"/>
          </w:tcPr>
          <w:p w14:paraId="5EBE78A6" w14:textId="445D36B1" w:rsidR="00054CBD" w:rsidRDefault="00054CBD" w:rsidP="00054CBD">
            <w:pPr>
              <w:keepNext/>
              <w:keepLines/>
              <w:spacing w:before="20" w:after="20"/>
              <w:rPr>
                <w:rFonts w:cs="Arial"/>
                <w:sz w:val="20"/>
                <w:szCs w:val="20"/>
              </w:rPr>
            </w:pPr>
            <w:r>
              <w:rPr>
                <w:rFonts w:cs="Arial"/>
                <w:sz w:val="20"/>
                <w:szCs w:val="20"/>
              </w:rPr>
              <w:t>n/a</w:t>
            </w:r>
          </w:p>
        </w:tc>
      </w:tr>
      <w:tr w:rsidR="00054CBD" w:rsidRPr="00120C61" w14:paraId="2CFDE9D3" w14:textId="20F5742E" w:rsidTr="005B3921">
        <w:trPr>
          <w:trHeight w:val="180"/>
        </w:trPr>
        <w:tc>
          <w:tcPr>
            <w:tcW w:w="696" w:type="pct"/>
          </w:tcPr>
          <w:p w14:paraId="3B6B3E22" w14:textId="77777777" w:rsidR="00054CBD" w:rsidRPr="00120C61" w:rsidRDefault="00054CBD" w:rsidP="00054CBD">
            <w:pPr>
              <w:keepNext/>
              <w:keepLines/>
              <w:spacing w:before="20" w:after="20"/>
              <w:rPr>
                <w:rFonts w:cs="Arial"/>
                <w:sz w:val="20"/>
                <w:szCs w:val="20"/>
              </w:rPr>
            </w:pPr>
            <w:r w:rsidRPr="00120C61">
              <w:rPr>
                <w:rFonts w:cs="Arial"/>
                <w:sz w:val="20"/>
                <w:szCs w:val="20"/>
              </w:rPr>
              <w:t>DEER Version</w:t>
            </w:r>
          </w:p>
        </w:tc>
        <w:tc>
          <w:tcPr>
            <w:tcW w:w="1076" w:type="pct"/>
          </w:tcPr>
          <w:p w14:paraId="1C3B60D1" w14:textId="0660A1BC" w:rsidR="00054CBD" w:rsidRPr="00120C61" w:rsidRDefault="00054CBD" w:rsidP="00054CBD">
            <w:pPr>
              <w:keepNext/>
              <w:keepLines/>
              <w:spacing w:before="20" w:after="20"/>
              <w:rPr>
                <w:rFonts w:cs="Arial"/>
                <w:sz w:val="20"/>
                <w:szCs w:val="20"/>
              </w:rPr>
            </w:pPr>
            <w:r>
              <w:rPr>
                <w:rFonts w:cs="Arial"/>
                <w:sz w:val="20"/>
                <w:szCs w:val="20"/>
              </w:rPr>
              <w:t>n/a</w:t>
            </w:r>
          </w:p>
        </w:tc>
        <w:tc>
          <w:tcPr>
            <w:tcW w:w="1076" w:type="pct"/>
          </w:tcPr>
          <w:p w14:paraId="33466C80" w14:textId="047D6653" w:rsidR="00054CBD" w:rsidRPr="00120C61" w:rsidRDefault="00054CBD" w:rsidP="00054CBD">
            <w:pPr>
              <w:keepNext/>
              <w:keepLines/>
              <w:spacing w:before="20" w:after="20"/>
              <w:rPr>
                <w:rFonts w:cs="Arial"/>
                <w:sz w:val="20"/>
                <w:szCs w:val="20"/>
              </w:rPr>
            </w:pPr>
            <w:r w:rsidRPr="00E62BEA">
              <w:rPr>
                <w:rFonts w:cs="Arial"/>
                <w:sz w:val="20"/>
                <w:szCs w:val="20"/>
              </w:rPr>
              <w:t>DEER20</w:t>
            </w:r>
            <w:r>
              <w:rPr>
                <w:rFonts w:cs="Arial"/>
                <w:sz w:val="20"/>
                <w:szCs w:val="20"/>
              </w:rPr>
              <w:t>20</w:t>
            </w:r>
            <w:r w:rsidRPr="00E62BEA">
              <w:rPr>
                <w:rFonts w:cs="Arial"/>
                <w:sz w:val="20"/>
                <w:szCs w:val="20"/>
              </w:rPr>
              <w:t xml:space="preserve"> READi v.</w:t>
            </w:r>
            <w:r>
              <w:rPr>
                <w:rFonts w:cs="Arial"/>
                <w:sz w:val="20"/>
                <w:szCs w:val="20"/>
              </w:rPr>
              <w:t>2</w:t>
            </w:r>
            <w:r w:rsidRPr="00E62BEA">
              <w:rPr>
                <w:rFonts w:cs="Arial"/>
                <w:sz w:val="20"/>
                <w:szCs w:val="20"/>
              </w:rPr>
              <w:t>.</w:t>
            </w:r>
            <w:r>
              <w:rPr>
                <w:rFonts w:cs="Arial"/>
                <w:sz w:val="20"/>
                <w:szCs w:val="20"/>
              </w:rPr>
              <w:t>5</w:t>
            </w:r>
            <w:r w:rsidRPr="00E62BEA">
              <w:rPr>
                <w:rFonts w:cs="Arial"/>
                <w:sz w:val="20"/>
                <w:szCs w:val="20"/>
              </w:rPr>
              <w:t>.</w:t>
            </w:r>
            <w:r>
              <w:rPr>
                <w:rFonts w:cs="Arial"/>
                <w:sz w:val="20"/>
                <w:szCs w:val="20"/>
              </w:rPr>
              <w:t>1</w:t>
            </w:r>
          </w:p>
        </w:tc>
        <w:tc>
          <w:tcPr>
            <w:tcW w:w="1076" w:type="pct"/>
          </w:tcPr>
          <w:p w14:paraId="0376CE8C" w14:textId="4707F36D" w:rsidR="00054CBD" w:rsidRPr="00E62BEA" w:rsidRDefault="00054CBD" w:rsidP="00054CBD">
            <w:pPr>
              <w:keepNext/>
              <w:keepLines/>
              <w:spacing w:before="20" w:after="20"/>
              <w:rPr>
                <w:rFonts w:cs="Arial"/>
                <w:sz w:val="20"/>
                <w:szCs w:val="20"/>
              </w:rPr>
            </w:pPr>
            <w:r>
              <w:rPr>
                <w:rFonts w:cs="Arial"/>
                <w:sz w:val="20"/>
                <w:szCs w:val="20"/>
              </w:rPr>
              <w:t>n/a</w:t>
            </w:r>
          </w:p>
        </w:tc>
        <w:tc>
          <w:tcPr>
            <w:tcW w:w="1076" w:type="pct"/>
          </w:tcPr>
          <w:p w14:paraId="7FDE8F6C" w14:textId="17126F3F" w:rsidR="00054CBD" w:rsidRPr="00E62BEA" w:rsidRDefault="00054CBD" w:rsidP="00054CBD">
            <w:pPr>
              <w:keepNext/>
              <w:keepLines/>
              <w:spacing w:before="20" w:after="20"/>
              <w:rPr>
                <w:rFonts w:cs="Arial"/>
                <w:sz w:val="20"/>
                <w:szCs w:val="20"/>
              </w:rPr>
            </w:pPr>
            <w:r w:rsidRPr="00E62BEA">
              <w:rPr>
                <w:rFonts w:cs="Arial"/>
                <w:sz w:val="20"/>
                <w:szCs w:val="20"/>
              </w:rPr>
              <w:t>DEER20</w:t>
            </w:r>
            <w:r>
              <w:rPr>
                <w:rFonts w:cs="Arial"/>
                <w:sz w:val="20"/>
                <w:szCs w:val="20"/>
              </w:rPr>
              <w:t>20</w:t>
            </w:r>
            <w:r w:rsidRPr="00E62BEA">
              <w:rPr>
                <w:rFonts w:cs="Arial"/>
                <w:sz w:val="20"/>
                <w:szCs w:val="20"/>
              </w:rPr>
              <w:t xml:space="preserve"> READi v.</w:t>
            </w:r>
            <w:r>
              <w:rPr>
                <w:rFonts w:cs="Arial"/>
                <w:sz w:val="20"/>
                <w:szCs w:val="20"/>
              </w:rPr>
              <w:t>2</w:t>
            </w:r>
            <w:r w:rsidRPr="00E62BEA">
              <w:rPr>
                <w:rFonts w:cs="Arial"/>
                <w:sz w:val="20"/>
                <w:szCs w:val="20"/>
              </w:rPr>
              <w:t>.</w:t>
            </w:r>
            <w:r>
              <w:rPr>
                <w:rFonts w:cs="Arial"/>
                <w:sz w:val="20"/>
                <w:szCs w:val="20"/>
              </w:rPr>
              <w:t>5</w:t>
            </w:r>
            <w:r w:rsidRPr="00E62BEA">
              <w:rPr>
                <w:rFonts w:cs="Arial"/>
                <w:sz w:val="20"/>
                <w:szCs w:val="20"/>
              </w:rPr>
              <w:t>.</w:t>
            </w:r>
            <w:r>
              <w:rPr>
                <w:rFonts w:cs="Arial"/>
                <w:sz w:val="20"/>
                <w:szCs w:val="20"/>
              </w:rPr>
              <w:t>1</w:t>
            </w:r>
          </w:p>
        </w:tc>
      </w:tr>
      <w:tr w:rsidR="00054CBD" w:rsidRPr="00120C61" w14:paraId="3B7464D7" w14:textId="2FEF1F08" w:rsidTr="005B3921">
        <w:trPr>
          <w:trHeight w:val="20"/>
        </w:trPr>
        <w:tc>
          <w:tcPr>
            <w:tcW w:w="696" w:type="pct"/>
          </w:tcPr>
          <w:p w14:paraId="24000A76" w14:textId="77777777" w:rsidR="00054CBD" w:rsidRPr="00120C61" w:rsidRDefault="00054CBD" w:rsidP="00054CBD">
            <w:pPr>
              <w:keepNext/>
              <w:keepLines/>
              <w:spacing w:before="20" w:after="20"/>
              <w:rPr>
                <w:rFonts w:cs="Arial"/>
                <w:sz w:val="20"/>
                <w:szCs w:val="20"/>
              </w:rPr>
            </w:pPr>
            <w:r w:rsidRPr="00120C61">
              <w:rPr>
                <w:rFonts w:cs="Arial"/>
                <w:sz w:val="20"/>
                <w:szCs w:val="20"/>
              </w:rPr>
              <w:t>Reason for Deviation from DEER</w:t>
            </w:r>
          </w:p>
        </w:tc>
        <w:tc>
          <w:tcPr>
            <w:tcW w:w="1076" w:type="pct"/>
          </w:tcPr>
          <w:p w14:paraId="125AAB90" w14:textId="086CC6F5" w:rsidR="00054CBD" w:rsidRPr="00120C61" w:rsidRDefault="00054CBD" w:rsidP="00054CBD">
            <w:pPr>
              <w:keepNext/>
              <w:keepLines/>
              <w:spacing w:before="20" w:after="20"/>
              <w:rPr>
                <w:rFonts w:cs="Arial"/>
                <w:sz w:val="20"/>
                <w:szCs w:val="20"/>
              </w:rPr>
            </w:pPr>
            <w:r>
              <w:rPr>
                <w:rFonts w:cs="Arial"/>
                <w:sz w:val="20"/>
                <w:szCs w:val="20"/>
              </w:rPr>
              <w:t>Measure does not exist in DEER</w:t>
            </w:r>
          </w:p>
        </w:tc>
        <w:tc>
          <w:tcPr>
            <w:tcW w:w="1076" w:type="pct"/>
          </w:tcPr>
          <w:p w14:paraId="541E4EE7" w14:textId="4671C56E" w:rsidR="00054CBD" w:rsidRDefault="00054CBD" w:rsidP="00054CBD">
            <w:pPr>
              <w:keepNext/>
              <w:keepLines/>
              <w:spacing w:before="20" w:after="20"/>
              <w:rPr>
                <w:rFonts w:cs="Arial"/>
                <w:sz w:val="20"/>
                <w:szCs w:val="20"/>
              </w:rPr>
            </w:pPr>
            <w:r>
              <w:rPr>
                <w:rFonts w:cs="Arial"/>
                <w:sz w:val="20"/>
                <w:szCs w:val="20"/>
              </w:rPr>
              <w:t>n/a</w:t>
            </w:r>
          </w:p>
        </w:tc>
        <w:tc>
          <w:tcPr>
            <w:tcW w:w="1076" w:type="pct"/>
          </w:tcPr>
          <w:p w14:paraId="0386494E" w14:textId="394284C6" w:rsidR="00054CBD" w:rsidRDefault="00054CBD" w:rsidP="00054CBD">
            <w:pPr>
              <w:keepNext/>
              <w:keepLines/>
              <w:spacing w:before="20" w:after="20"/>
              <w:rPr>
                <w:rFonts w:cs="Arial"/>
                <w:sz w:val="20"/>
                <w:szCs w:val="20"/>
              </w:rPr>
            </w:pPr>
            <w:r>
              <w:rPr>
                <w:rFonts w:cs="Arial"/>
                <w:sz w:val="20"/>
                <w:szCs w:val="20"/>
              </w:rPr>
              <w:t>Measure does not exist in DEER</w:t>
            </w:r>
          </w:p>
        </w:tc>
        <w:tc>
          <w:tcPr>
            <w:tcW w:w="1076" w:type="pct"/>
          </w:tcPr>
          <w:p w14:paraId="51B6EF2E" w14:textId="47EC854F" w:rsidR="00054CBD" w:rsidRDefault="00054CBD" w:rsidP="00054CBD">
            <w:pPr>
              <w:keepNext/>
              <w:keepLines/>
              <w:spacing w:before="20" w:after="20"/>
              <w:rPr>
                <w:rFonts w:cs="Arial"/>
                <w:sz w:val="20"/>
                <w:szCs w:val="20"/>
              </w:rPr>
            </w:pPr>
            <w:r>
              <w:rPr>
                <w:rFonts w:cs="Arial"/>
                <w:sz w:val="20"/>
                <w:szCs w:val="20"/>
              </w:rPr>
              <w:t>n/a</w:t>
            </w:r>
          </w:p>
        </w:tc>
      </w:tr>
      <w:tr w:rsidR="00054CBD" w:rsidRPr="00120C61" w14:paraId="4A7EE859" w14:textId="1068E90D" w:rsidTr="005B3921">
        <w:trPr>
          <w:trHeight w:val="20"/>
        </w:trPr>
        <w:tc>
          <w:tcPr>
            <w:tcW w:w="696" w:type="pct"/>
          </w:tcPr>
          <w:p w14:paraId="7B4D686A" w14:textId="77777777" w:rsidR="00054CBD" w:rsidRPr="00120C61" w:rsidRDefault="00054CBD" w:rsidP="00054CBD">
            <w:pPr>
              <w:keepNext/>
              <w:keepLines/>
              <w:spacing w:before="20" w:after="20"/>
              <w:rPr>
                <w:rFonts w:cs="Arial"/>
                <w:sz w:val="20"/>
                <w:szCs w:val="20"/>
              </w:rPr>
            </w:pPr>
            <w:r w:rsidRPr="00120C61">
              <w:rPr>
                <w:rFonts w:cs="Arial"/>
                <w:sz w:val="20"/>
                <w:szCs w:val="20"/>
              </w:rPr>
              <w:t>DEER Measure IDs Used</w:t>
            </w:r>
          </w:p>
        </w:tc>
        <w:tc>
          <w:tcPr>
            <w:tcW w:w="1076" w:type="pct"/>
          </w:tcPr>
          <w:p w14:paraId="63ABA251" w14:textId="13966758" w:rsidR="00054CBD" w:rsidRPr="00120C61" w:rsidRDefault="00054CBD" w:rsidP="00054CBD">
            <w:pPr>
              <w:keepNext/>
              <w:keepLines/>
              <w:spacing w:before="20" w:after="20"/>
              <w:rPr>
                <w:rFonts w:cs="Arial"/>
                <w:sz w:val="20"/>
                <w:szCs w:val="20"/>
              </w:rPr>
            </w:pPr>
            <w:r>
              <w:rPr>
                <w:rFonts w:cs="Arial"/>
                <w:sz w:val="20"/>
                <w:szCs w:val="20"/>
              </w:rPr>
              <w:t>n/a</w:t>
            </w:r>
          </w:p>
        </w:tc>
        <w:tc>
          <w:tcPr>
            <w:tcW w:w="1076" w:type="pct"/>
          </w:tcPr>
          <w:p w14:paraId="556B17B0" w14:textId="7A018EBB" w:rsidR="00054CBD" w:rsidRPr="00120C61" w:rsidRDefault="00054CBD" w:rsidP="00054CBD">
            <w:pPr>
              <w:keepNext/>
              <w:keepLines/>
              <w:spacing w:before="20" w:after="20"/>
              <w:rPr>
                <w:rFonts w:cs="Arial"/>
                <w:sz w:val="20"/>
                <w:szCs w:val="20"/>
              </w:rPr>
            </w:pPr>
            <w:r>
              <w:rPr>
                <w:rFonts w:cs="Arial"/>
                <w:sz w:val="20"/>
                <w:szCs w:val="20"/>
              </w:rPr>
              <w:t>Res-DuctSeal-HighToLow-wtd</w:t>
            </w:r>
          </w:p>
        </w:tc>
        <w:tc>
          <w:tcPr>
            <w:tcW w:w="1076" w:type="pct"/>
          </w:tcPr>
          <w:p w14:paraId="23C1529E" w14:textId="57C2F852" w:rsidR="00054CBD" w:rsidRDefault="00054CBD" w:rsidP="00054CBD">
            <w:pPr>
              <w:keepNext/>
              <w:keepLines/>
              <w:spacing w:before="20" w:after="20"/>
              <w:rPr>
                <w:rFonts w:cs="Arial"/>
                <w:sz w:val="20"/>
                <w:szCs w:val="20"/>
              </w:rPr>
            </w:pPr>
            <w:r>
              <w:rPr>
                <w:rFonts w:cs="Arial"/>
                <w:sz w:val="20"/>
                <w:szCs w:val="20"/>
              </w:rPr>
              <w:t>n/a</w:t>
            </w:r>
          </w:p>
        </w:tc>
        <w:tc>
          <w:tcPr>
            <w:tcW w:w="1076" w:type="pct"/>
          </w:tcPr>
          <w:p w14:paraId="4A8B4865" w14:textId="6DBD4CB6" w:rsidR="00054CBD" w:rsidRDefault="00054CBD" w:rsidP="00054CBD">
            <w:pPr>
              <w:keepNext/>
              <w:keepLines/>
              <w:spacing w:before="20" w:after="20"/>
              <w:rPr>
                <w:rFonts w:cs="Arial"/>
                <w:sz w:val="20"/>
                <w:szCs w:val="20"/>
              </w:rPr>
            </w:pPr>
            <w:r>
              <w:rPr>
                <w:rFonts w:cs="Arial"/>
                <w:sz w:val="20"/>
                <w:szCs w:val="20"/>
              </w:rPr>
              <w:t>Res-DuctSeal-HighToLow-wtd</w:t>
            </w:r>
          </w:p>
        </w:tc>
      </w:tr>
    </w:tbl>
    <w:p w14:paraId="68D25188" w14:textId="77777777" w:rsidR="00282813" w:rsidRPr="00120C61" w:rsidRDefault="00282813" w:rsidP="004142EF">
      <w:bookmarkStart w:id="73" w:name="_Hlk516051142"/>
    </w:p>
    <w:p w14:paraId="59542C0D" w14:textId="77777777" w:rsidR="007D230B" w:rsidRDefault="007D230B" w:rsidP="0078138C">
      <w:pPr>
        <w:pStyle w:val="eTRMHeading3"/>
      </w:pPr>
      <w:bookmarkStart w:id="74" w:name="_Toc486490866"/>
      <w:bookmarkStart w:id="75" w:name="_Toc486580937"/>
      <w:bookmarkStart w:id="76" w:name="_Toc67494051"/>
      <w:bookmarkStart w:id="77" w:name="_Hlk516047558"/>
      <w:r w:rsidRPr="004B06E3">
        <w:lastRenderedPageBreak/>
        <w:t>Revision History</w:t>
      </w:r>
      <w:bookmarkEnd w:id="74"/>
      <w:bookmarkEnd w:id="75"/>
      <w:bookmarkEnd w:id="76"/>
    </w:p>
    <w:p w14:paraId="3661732B" w14:textId="39B166C8" w:rsidR="00CA1CB3" w:rsidRDefault="00742F88" w:rsidP="00742F88">
      <w:pPr>
        <w:pStyle w:val="Caption"/>
      </w:pPr>
      <w:bookmarkStart w:id="78"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CA1CB3" w:rsidRPr="00500C4E" w14:paraId="1904D58C" w14:textId="6E96D877" w:rsidTr="00D82A56">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EA057C" w:rsidRDefault="00CA1CB3" w:rsidP="00871123">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7C17E65" w14:textId="222C519C" w:rsidR="00CA1CB3" w:rsidRDefault="00CA1CB3" w:rsidP="00871123">
            <w:pPr>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871123">
            <w:pPr>
              <w:keepNext/>
              <w:keepLines/>
              <w:spacing w:before="20" w:after="20"/>
              <w:rPr>
                <w:rFonts w:cs="Arial"/>
                <w:b/>
                <w:sz w:val="20"/>
                <w:szCs w:val="20"/>
              </w:rPr>
            </w:pPr>
            <w:r>
              <w:rPr>
                <w:rFonts w:cs="Arial"/>
                <w:b/>
                <w:sz w:val="20"/>
                <w:szCs w:val="20"/>
              </w:rPr>
              <w:t>Effective Date and Approved By</w:t>
            </w:r>
          </w:p>
        </w:tc>
      </w:tr>
      <w:tr w:rsidR="00D039B9" w:rsidRPr="00CA1CB3" w14:paraId="0A9DBD7D" w14:textId="04A29668" w:rsidTr="00D82A56">
        <w:trPr>
          <w:trHeight w:val="20"/>
        </w:trPr>
        <w:tc>
          <w:tcPr>
            <w:tcW w:w="503" w:type="pct"/>
            <w:vMerge w:val="restart"/>
          </w:tcPr>
          <w:p w14:paraId="66A100D2" w14:textId="77777777" w:rsidR="00D039B9" w:rsidRPr="00CA1CB3" w:rsidRDefault="00D039B9" w:rsidP="00871123">
            <w:pPr>
              <w:keepNext/>
              <w:keepLines/>
              <w:spacing w:before="20" w:after="20"/>
              <w:rPr>
                <w:rFonts w:cs="Arial"/>
                <w:sz w:val="20"/>
                <w:szCs w:val="20"/>
              </w:rPr>
            </w:pPr>
            <w:r w:rsidRPr="00CA1CB3">
              <w:rPr>
                <w:rFonts w:cs="Arial"/>
                <w:sz w:val="20"/>
                <w:szCs w:val="20"/>
              </w:rPr>
              <w:t>0</w:t>
            </w:r>
            <w:r>
              <w:rPr>
                <w:rFonts w:cs="Arial"/>
                <w:sz w:val="20"/>
                <w:szCs w:val="20"/>
              </w:rPr>
              <w:t>1</w:t>
            </w:r>
          </w:p>
          <w:p w14:paraId="38788C98" w14:textId="1EBC11FA" w:rsidR="00D039B9" w:rsidRPr="00CA1CB3" w:rsidRDefault="00D039B9" w:rsidP="00BB3ABB">
            <w:pPr>
              <w:keepNext/>
              <w:keepLines/>
              <w:spacing w:before="20" w:after="20"/>
              <w:rPr>
                <w:rFonts w:cs="Arial"/>
                <w:sz w:val="20"/>
                <w:szCs w:val="20"/>
              </w:rPr>
            </w:pPr>
          </w:p>
        </w:tc>
        <w:tc>
          <w:tcPr>
            <w:tcW w:w="722" w:type="pct"/>
          </w:tcPr>
          <w:p w14:paraId="03B67B1D" w14:textId="4B153A91" w:rsidR="00D039B9" w:rsidRPr="00120C61" w:rsidRDefault="00D039B9" w:rsidP="00871123">
            <w:pPr>
              <w:keepNext/>
              <w:keepLines/>
              <w:spacing w:before="20" w:after="20"/>
              <w:rPr>
                <w:rFonts w:cs="Arial"/>
                <w:sz w:val="20"/>
                <w:szCs w:val="20"/>
              </w:rPr>
            </w:pPr>
            <w:r>
              <w:rPr>
                <w:rFonts w:cs="Arial"/>
                <w:sz w:val="20"/>
                <w:szCs w:val="20"/>
              </w:rPr>
              <w:t>06/30/2020</w:t>
            </w:r>
          </w:p>
        </w:tc>
        <w:tc>
          <w:tcPr>
            <w:tcW w:w="842" w:type="pct"/>
          </w:tcPr>
          <w:p w14:paraId="4802F824" w14:textId="77777777" w:rsidR="00D039B9" w:rsidRDefault="00D039B9" w:rsidP="00871123">
            <w:pPr>
              <w:keepNext/>
              <w:keepLines/>
              <w:spacing w:before="20" w:after="20"/>
              <w:rPr>
                <w:rFonts w:cs="Arial"/>
                <w:sz w:val="20"/>
                <w:szCs w:val="20"/>
              </w:rPr>
            </w:pPr>
            <w:r>
              <w:rPr>
                <w:rFonts w:cs="Arial"/>
                <w:sz w:val="20"/>
                <w:szCs w:val="20"/>
              </w:rPr>
              <w:t>Tai Voong, PG&amp;E</w:t>
            </w:r>
          </w:p>
          <w:p w14:paraId="6B14F429" w14:textId="77777777" w:rsidR="00D039B9" w:rsidRDefault="00D039B9" w:rsidP="00871123">
            <w:pPr>
              <w:keepNext/>
              <w:keepLines/>
              <w:spacing w:before="20" w:after="20"/>
              <w:rPr>
                <w:rFonts w:cs="Arial"/>
                <w:sz w:val="20"/>
                <w:szCs w:val="20"/>
              </w:rPr>
            </w:pPr>
          </w:p>
          <w:p w14:paraId="32D154D7" w14:textId="59BD9E4E" w:rsidR="00D039B9" w:rsidRPr="00CA1CB3" w:rsidRDefault="00D039B9" w:rsidP="00871123">
            <w:pPr>
              <w:keepNext/>
              <w:keepLines/>
              <w:spacing w:before="20" w:after="20"/>
              <w:rPr>
                <w:rFonts w:cs="Arial"/>
                <w:sz w:val="20"/>
                <w:szCs w:val="20"/>
              </w:rPr>
            </w:pPr>
            <w:r>
              <w:rPr>
                <w:rFonts w:cs="Arial"/>
                <w:sz w:val="20"/>
                <w:szCs w:val="20"/>
              </w:rPr>
              <w:t>Phil Jordan, CLEAResult</w:t>
            </w:r>
          </w:p>
        </w:tc>
        <w:tc>
          <w:tcPr>
            <w:tcW w:w="2933" w:type="pct"/>
          </w:tcPr>
          <w:p w14:paraId="6C70C36F" w14:textId="3F604D61" w:rsidR="00D039B9" w:rsidRPr="00CA1CB3" w:rsidRDefault="00D039B9" w:rsidP="007200B1">
            <w:pPr>
              <w:keepNext/>
              <w:keepLines/>
              <w:spacing w:before="20" w:after="20"/>
              <w:rPr>
                <w:rFonts w:cs="Arial"/>
                <w:sz w:val="20"/>
                <w:szCs w:val="20"/>
              </w:rPr>
            </w:pPr>
            <w:r>
              <w:rPr>
                <w:rFonts w:cs="Arial"/>
                <w:sz w:val="20"/>
                <w:szCs w:val="20"/>
              </w:rPr>
              <w:t>New workpaper for DMo duct optimization when repair is not possible.</w:t>
            </w:r>
          </w:p>
        </w:tc>
      </w:tr>
      <w:tr w:rsidR="00D039B9" w:rsidRPr="00CA1CB3" w14:paraId="0B0079BE" w14:textId="77777777" w:rsidTr="00D82A56">
        <w:trPr>
          <w:trHeight w:val="20"/>
        </w:trPr>
        <w:tc>
          <w:tcPr>
            <w:tcW w:w="503" w:type="pct"/>
            <w:vMerge/>
          </w:tcPr>
          <w:p w14:paraId="594347E6" w14:textId="2C9837CA" w:rsidR="00D039B9" w:rsidRPr="00CA1CB3" w:rsidRDefault="00D039B9" w:rsidP="00BB3ABB">
            <w:pPr>
              <w:keepNext/>
              <w:keepLines/>
              <w:spacing w:before="20" w:after="20"/>
              <w:rPr>
                <w:rFonts w:cs="Arial"/>
                <w:sz w:val="20"/>
                <w:szCs w:val="20"/>
              </w:rPr>
            </w:pPr>
          </w:p>
        </w:tc>
        <w:tc>
          <w:tcPr>
            <w:tcW w:w="722" w:type="pct"/>
          </w:tcPr>
          <w:p w14:paraId="052A3127" w14:textId="33BC25A3" w:rsidR="00D039B9" w:rsidRPr="00120C61" w:rsidRDefault="00D039B9" w:rsidP="00871123">
            <w:pPr>
              <w:keepNext/>
              <w:keepLines/>
              <w:spacing w:before="20" w:after="20"/>
              <w:rPr>
                <w:rFonts w:cs="Arial"/>
                <w:sz w:val="20"/>
                <w:szCs w:val="20"/>
              </w:rPr>
            </w:pPr>
            <w:r>
              <w:rPr>
                <w:rFonts w:cs="Arial"/>
                <w:sz w:val="20"/>
                <w:szCs w:val="20"/>
              </w:rPr>
              <w:t>11/10/2020</w:t>
            </w:r>
          </w:p>
        </w:tc>
        <w:tc>
          <w:tcPr>
            <w:tcW w:w="842" w:type="pct"/>
          </w:tcPr>
          <w:p w14:paraId="44E1D9AC" w14:textId="77777777" w:rsidR="00D039B9" w:rsidRDefault="00D039B9" w:rsidP="00A67979">
            <w:pPr>
              <w:keepNext/>
              <w:keepLines/>
              <w:spacing w:before="20" w:after="20"/>
              <w:rPr>
                <w:rFonts w:cs="Arial"/>
                <w:sz w:val="20"/>
                <w:szCs w:val="20"/>
              </w:rPr>
            </w:pPr>
            <w:r>
              <w:rPr>
                <w:rFonts w:cs="Arial"/>
                <w:sz w:val="20"/>
                <w:szCs w:val="20"/>
              </w:rPr>
              <w:t>Tai Voong, PG&amp;E</w:t>
            </w:r>
          </w:p>
          <w:p w14:paraId="27686CDC" w14:textId="77777777" w:rsidR="00D039B9" w:rsidRDefault="00D039B9" w:rsidP="00A67979">
            <w:pPr>
              <w:keepNext/>
              <w:keepLines/>
              <w:spacing w:before="20" w:after="20"/>
              <w:rPr>
                <w:rFonts w:cs="Arial"/>
                <w:sz w:val="20"/>
                <w:szCs w:val="20"/>
              </w:rPr>
            </w:pPr>
          </w:p>
          <w:p w14:paraId="3EAC5C8A" w14:textId="6C24F170" w:rsidR="00D039B9" w:rsidRPr="007F4F97" w:rsidRDefault="00D039B9" w:rsidP="00A67979">
            <w:pPr>
              <w:keepNext/>
              <w:keepLines/>
              <w:spacing w:before="20" w:after="20"/>
              <w:rPr>
                <w:rFonts w:cs="Arial"/>
                <w:sz w:val="20"/>
                <w:szCs w:val="20"/>
                <w:highlight w:val="yellow"/>
              </w:rPr>
            </w:pPr>
            <w:r>
              <w:rPr>
                <w:rFonts w:cs="Arial"/>
                <w:sz w:val="20"/>
                <w:szCs w:val="20"/>
              </w:rPr>
              <w:t>Phil Jordan, CLEAResult</w:t>
            </w:r>
          </w:p>
        </w:tc>
        <w:tc>
          <w:tcPr>
            <w:tcW w:w="2933" w:type="pct"/>
          </w:tcPr>
          <w:p w14:paraId="4174FD5B" w14:textId="248ACC35" w:rsidR="00D039B9" w:rsidRDefault="00D039B9" w:rsidP="008D1D28">
            <w:pPr>
              <w:keepNext/>
              <w:keepLines/>
              <w:spacing w:before="20" w:after="20"/>
              <w:rPr>
                <w:rFonts w:cs="Arial"/>
                <w:sz w:val="20"/>
                <w:szCs w:val="20"/>
              </w:rPr>
            </w:pPr>
            <w:r>
              <w:rPr>
                <w:rFonts w:cs="Arial"/>
                <w:sz w:val="20"/>
                <w:szCs w:val="20"/>
              </w:rPr>
              <w:t>Update per CPUC’s comments. (MAT=BW, EUL=18 years, &amp; EUL ID=</w:t>
            </w:r>
            <w:r>
              <w:rPr>
                <w:rFonts w:cstheme="minorHAnsi"/>
                <w:sz w:val="20"/>
                <w:szCs w:val="20"/>
              </w:rPr>
              <w:t>HV-DuctOpt-BW)</w:t>
            </w:r>
          </w:p>
          <w:p w14:paraId="7A205AAB" w14:textId="77777777" w:rsidR="00D039B9" w:rsidRDefault="00D039B9" w:rsidP="008D1D28">
            <w:pPr>
              <w:keepNext/>
              <w:keepLines/>
              <w:spacing w:before="20" w:after="20"/>
              <w:rPr>
                <w:rFonts w:cs="Arial"/>
                <w:sz w:val="20"/>
                <w:szCs w:val="20"/>
              </w:rPr>
            </w:pPr>
          </w:p>
          <w:p w14:paraId="0F2C5596" w14:textId="7BC8D8C7" w:rsidR="00D039B9" w:rsidRDefault="00D039B9" w:rsidP="008D1D28">
            <w:pPr>
              <w:keepNext/>
              <w:keepLines/>
              <w:spacing w:before="20" w:after="20"/>
              <w:rPr>
                <w:rFonts w:cs="Arial"/>
                <w:sz w:val="20"/>
                <w:szCs w:val="20"/>
              </w:rPr>
            </w:pPr>
            <w:r>
              <w:rPr>
                <w:rFonts w:cs="Arial"/>
                <w:sz w:val="20"/>
                <w:szCs w:val="20"/>
              </w:rPr>
              <w:t>Update energy impact for Res-DuctSeal-HighToLow-wtd by DEER dated September 2020</w:t>
            </w:r>
          </w:p>
          <w:p w14:paraId="2F746A92" w14:textId="54FF971D" w:rsidR="00D039B9" w:rsidRDefault="00D039B9" w:rsidP="008D1D28">
            <w:pPr>
              <w:keepNext/>
              <w:keepLines/>
              <w:spacing w:before="20" w:after="20"/>
              <w:rPr>
                <w:rFonts w:cs="Arial"/>
                <w:sz w:val="20"/>
                <w:szCs w:val="20"/>
              </w:rPr>
            </w:pPr>
          </w:p>
          <w:p w14:paraId="6C550953" w14:textId="0AF2ED6B" w:rsidR="00D039B9" w:rsidRDefault="00D039B9" w:rsidP="008D1D28">
            <w:pPr>
              <w:keepNext/>
              <w:keepLines/>
              <w:spacing w:before="20" w:after="20"/>
              <w:rPr>
                <w:rFonts w:cs="Arial"/>
                <w:sz w:val="20"/>
                <w:szCs w:val="20"/>
              </w:rPr>
            </w:pPr>
            <w:r>
              <w:rPr>
                <w:rFonts w:cs="Arial"/>
                <w:sz w:val="20"/>
                <w:szCs w:val="20"/>
              </w:rPr>
              <w:t>Add normalizing unit statement for rNCGF</w:t>
            </w:r>
          </w:p>
          <w:p w14:paraId="7566FCE3" w14:textId="73B637FD" w:rsidR="00D039B9" w:rsidRPr="00CA1CB3" w:rsidRDefault="00D039B9" w:rsidP="008D1D28">
            <w:pPr>
              <w:keepNext/>
              <w:keepLines/>
              <w:spacing w:before="20" w:after="20"/>
              <w:rPr>
                <w:rFonts w:cs="Arial"/>
                <w:sz w:val="20"/>
                <w:szCs w:val="20"/>
              </w:rPr>
            </w:pPr>
          </w:p>
        </w:tc>
      </w:tr>
      <w:tr w:rsidR="00D039B9" w:rsidRPr="00CA1CB3" w14:paraId="168A3AA9" w14:textId="77777777" w:rsidTr="00D82A56">
        <w:trPr>
          <w:trHeight w:val="20"/>
        </w:trPr>
        <w:tc>
          <w:tcPr>
            <w:tcW w:w="503" w:type="pct"/>
            <w:vMerge/>
          </w:tcPr>
          <w:p w14:paraId="0BF2ECAE" w14:textId="62B6E4FB" w:rsidR="00D039B9" w:rsidRPr="00CA1CB3" w:rsidRDefault="00D039B9" w:rsidP="00BB3ABB">
            <w:pPr>
              <w:keepNext/>
              <w:keepLines/>
              <w:spacing w:before="20" w:after="20"/>
              <w:rPr>
                <w:rFonts w:cs="Arial"/>
                <w:sz w:val="20"/>
                <w:szCs w:val="20"/>
              </w:rPr>
            </w:pPr>
          </w:p>
        </w:tc>
        <w:tc>
          <w:tcPr>
            <w:tcW w:w="722" w:type="pct"/>
          </w:tcPr>
          <w:p w14:paraId="016E90C7" w14:textId="1C1689FF" w:rsidR="00D039B9" w:rsidRDefault="00D039B9" w:rsidP="00BB3ABB">
            <w:pPr>
              <w:keepNext/>
              <w:keepLines/>
              <w:spacing w:before="20" w:after="20"/>
              <w:rPr>
                <w:rFonts w:cs="Arial"/>
                <w:sz w:val="20"/>
                <w:szCs w:val="20"/>
              </w:rPr>
            </w:pPr>
            <w:r>
              <w:rPr>
                <w:rFonts w:cs="Arial"/>
                <w:sz w:val="20"/>
                <w:szCs w:val="20"/>
              </w:rPr>
              <w:t>12/23/2020</w:t>
            </w:r>
          </w:p>
        </w:tc>
        <w:tc>
          <w:tcPr>
            <w:tcW w:w="842" w:type="pct"/>
          </w:tcPr>
          <w:p w14:paraId="348BE8C3" w14:textId="77777777" w:rsidR="00D039B9" w:rsidRPr="00BB0037" w:rsidRDefault="00D039B9" w:rsidP="00BB3ABB">
            <w:pPr>
              <w:keepNext/>
              <w:keepLines/>
              <w:spacing w:before="20" w:after="20"/>
              <w:rPr>
                <w:rFonts w:cs="Arial"/>
                <w:sz w:val="20"/>
                <w:szCs w:val="20"/>
              </w:rPr>
            </w:pPr>
            <w:r w:rsidRPr="00BB0037">
              <w:rPr>
                <w:rFonts w:cs="Arial"/>
                <w:sz w:val="20"/>
                <w:szCs w:val="20"/>
              </w:rPr>
              <w:t>Tai Voong, PG&amp;E</w:t>
            </w:r>
          </w:p>
          <w:p w14:paraId="766D51C2" w14:textId="77777777" w:rsidR="00D039B9" w:rsidRPr="00BB0037" w:rsidRDefault="00D039B9" w:rsidP="00BB3ABB">
            <w:pPr>
              <w:keepNext/>
              <w:keepLines/>
              <w:spacing w:before="20" w:after="20"/>
              <w:rPr>
                <w:rFonts w:cs="Arial"/>
                <w:sz w:val="20"/>
                <w:szCs w:val="20"/>
              </w:rPr>
            </w:pPr>
          </w:p>
          <w:p w14:paraId="09B4D34D" w14:textId="5AE68645" w:rsidR="00D039B9" w:rsidRPr="00BB0037" w:rsidRDefault="00D039B9" w:rsidP="00BB3ABB">
            <w:pPr>
              <w:keepNext/>
              <w:keepLines/>
              <w:spacing w:before="20" w:after="20"/>
              <w:rPr>
                <w:rFonts w:cs="Arial"/>
                <w:sz w:val="20"/>
                <w:szCs w:val="20"/>
              </w:rPr>
            </w:pPr>
            <w:r w:rsidRPr="00BB0037">
              <w:rPr>
                <w:rFonts w:cs="Arial"/>
                <w:sz w:val="20"/>
                <w:szCs w:val="20"/>
              </w:rPr>
              <w:t>Phil Jordan, CLEAResult</w:t>
            </w:r>
          </w:p>
        </w:tc>
        <w:tc>
          <w:tcPr>
            <w:tcW w:w="2933" w:type="pct"/>
          </w:tcPr>
          <w:p w14:paraId="7B37E680" w14:textId="7E1D90EE" w:rsidR="00D039B9" w:rsidRPr="00BB0037" w:rsidRDefault="00D039B9" w:rsidP="00BB3ABB">
            <w:pPr>
              <w:keepNext/>
              <w:keepLines/>
              <w:spacing w:before="20" w:after="20"/>
              <w:rPr>
                <w:rFonts w:cs="Arial"/>
                <w:sz w:val="20"/>
                <w:szCs w:val="20"/>
              </w:rPr>
            </w:pPr>
            <w:r w:rsidRPr="00BB0037">
              <w:rPr>
                <w:rFonts w:cs="Arial"/>
                <w:sz w:val="20"/>
                <w:szCs w:val="20"/>
              </w:rPr>
              <w:t>Updated the normalizing unit for rNCGF from Cap-Tons to Cap-kBTUh</w:t>
            </w:r>
          </w:p>
          <w:p w14:paraId="77E80978" w14:textId="7E035896" w:rsidR="00D039B9" w:rsidRPr="00BB0037" w:rsidRDefault="00D039B9" w:rsidP="00306555">
            <w:pPr>
              <w:keepNext/>
              <w:keepLines/>
              <w:spacing w:before="20" w:after="20"/>
              <w:rPr>
                <w:rFonts w:cs="Arial"/>
                <w:sz w:val="20"/>
                <w:szCs w:val="20"/>
              </w:rPr>
            </w:pPr>
            <w:r w:rsidRPr="00BB0037">
              <w:rPr>
                <w:rFonts w:cs="Arial"/>
                <w:sz w:val="20"/>
                <w:szCs w:val="20"/>
              </w:rPr>
              <w:t>Updated the savings for rNCGF using new normalizing unit, Cap-kBtuh with a conversion factor of 15.71 kBtuh/ton</w:t>
            </w:r>
          </w:p>
          <w:p w14:paraId="22BC68DE" w14:textId="4C404284" w:rsidR="00D039B9" w:rsidRPr="00BB0037" w:rsidRDefault="00D039B9" w:rsidP="00306555">
            <w:pPr>
              <w:keepNext/>
              <w:keepLines/>
              <w:spacing w:before="20" w:after="20"/>
              <w:rPr>
                <w:rFonts w:cs="Arial"/>
                <w:sz w:val="20"/>
                <w:szCs w:val="20"/>
              </w:rPr>
            </w:pPr>
            <w:r w:rsidRPr="00BB0037">
              <w:rPr>
                <w:rFonts w:cs="Arial"/>
                <w:sz w:val="20"/>
                <w:szCs w:val="20"/>
              </w:rPr>
              <w:t>Updated the costs for rNCGF using new normalizing unit, Cap-kBtuh with a conversion factor of 15.71 kBtuh/ton</w:t>
            </w:r>
          </w:p>
          <w:p w14:paraId="3E735DDE" w14:textId="259EE11D" w:rsidR="00D039B9" w:rsidRPr="00BB0037" w:rsidRDefault="00D039B9" w:rsidP="00306555">
            <w:pPr>
              <w:keepNext/>
              <w:keepLines/>
              <w:spacing w:before="20" w:after="20"/>
              <w:rPr>
                <w:rFonts w:cs="Arial"/>
                <w:sz w:val="20"/>
                <w:szCs w:val="20"/>
              </w:rPr>
            </w:pPr>
            <w:r w:rsidRPr="00BB0037">
              <w:rPr>
                <w:rFonts w:cs="Arial"/>
                <w:sz w:val="20"/>
                <w:szCs w:val="20"/>
              </w:rPr>
              <w:t>Added Statewide Measure Offering IDs SWSV013C and SWSV013D for rNCGF System Only</w:t>
            </w:r>
          </w:p>
          <w:p w14:paraId="791ADC81" w14:textId="310FBEED" w:rsidR="00D039B9" w:rsidRPr="00BB0037" w:rsidRDefault="00D039B9" w:rsidP="00BB3ABB">
            <w:pPr>
              <w:keepNext/>
              <w:keepLines/>
              <w:spacing w:before="20" w:after="20"/>
              <w:rPr>
                <w:rFonts w:cs="Arial"/>
                <w:sz w:val="20"/>
                <w:szCs w:val="20"/>
              </w:rPr>
            </w:pPr>
          </w:p>
        </w:tc>
      </w:tr>
      <w:tr w:rsidR="00D039B9" w:rsidRPr="00CA1CB3" w14:paraId="318CA039" w14:textId="77777777" w:rsidTr="00D82A56">
        <w:trPr>
          <w:trHeight w:val="20"/>
        </w:trPr>
        <w:tc>
          <w:tcPr>
            <w:tcW w:w="503" w:type="pct"/>
            <w:vMerge/>
          </w:tcPr>
          <w:p w14:paraId="6A47716E" w14:textId="77777777" w:rsidR="00D039B9" w:rsidRPr="00CA1CB3" w:rsidRDefault="00D039B9" w:rsidP="00BB3ABB">
            <w:pPr>
              <w:keepNext/>
              <w:keepLines/>
              <w:spacing w:before="20" w:after="20"/>
              <w:rPr>
                <w:rFonts w:cs="Arial"/>
                <w:sz w:val="20"/>
                <w:szCs w:val="20"/>
              </w:rPr>
            </w:pPr>
          </w:p>
        </w:tc>
        <w:tc>
          <w:tcPr>
            <w:tcW w:w="722" w:type="pct"/>
          </w:tcPr>
          <w:p w14:paraId="51D76E1D" w14:textId="2389B8C4" w:rsidR="00D039B9" w:rsidRDefault="00D039B9" w:rsidP="00BB3ABB">
            <w:pPr>
              <w:keepNext/>
              <w:keepLines/>
              <w:spacing w:before="20" w:after="20"/>
              <w:rPr>
                <w:rFonts w:cs="Arial"/>
                <w:sz w:val="20"/>
                <w:szCs w:val="20"/>
              </w:rPr>
            </w:pPr>
            <w:r>
              <w:rPr>
                <w:rFonts w:cs="Arial"/>
                <w:sz w:val="20"/>
                <w:szCs w:val="20"/>
              </w:rPr>
              <w:t>3/</w:t>
            </w:r>
            <w:r w:rsidR="00E258B5">
              <w:rPr>
                <w:rFonts w:cs="Arial"/>
                <w:sz w:val="20"/>
                <w:szCs w:val="20"/>
              </w:rPr>
              <w:t>2</w:t>
            </w:r>
            <w:r w:rsidR="00B5467A">
              <w:rPr>
                <w:rFonts w:cs="Arial"/>
                <w:sz w:val="20"/>
                <w:szCs w:val="20"/>
              </w:rPr>
              <w:t>6</w:t>
            </w:r>
            <w:r>
              <w:rPr>
                <w:rFonts w:cs="Arial"/>
                <w:sz w:val="20"/>
                <w:szCs w:val="20"/>
              </w:rPr>
              <w:t>/2021</w:t>
            </w:r>
          </w:p>
        </w:tc>
        <w:tc>
          <w:tcPr>
            <w:tcW w:w="842" w:type="pct"/>
          </w:tcPr>
          <w:p w14:paraId="3DCBA7E3" w14:textId="77777777" w:rsidR="00D039B9" w:rsidRDefault="00D039B9" w:rsidP="00BB3ABB">
            <w:pPr>
              <w:keepNext/>
              <w:keepLines/>
              <w:spacing w:before="20" w:after="20"/>
              <w:rPr>
                <w:rFonts w:cs="Arial"/>
                <w:sz w:val="20"/>
                <w:szCs w:val="20"/>
              </w:rPr>
            </w:pPr>
            <w:r>
              <w:rPr>
                <w:rFonts w:cs="Arial"/>
                <w:sz w:val="20"/>
                <w:szCs w:val="20"/>
              </w:rPr>
              <w:t>Lake Casco</w:t>
            </w:r>
            <w:r w:rsidR="000801BC">
              <w:rPr>
                <w:rFonts w:cs="Arial"/>
                <w:sz w:val="20"/>
                <w:szCs w:val="20"/>
              </w:rPr>
              <w:t>,</w:t>
            </w:r>
            <w:r>
              <w:rPr>
                <w:rFonts w:cs="Arial"/>
                <w:sz w:val="20"/>
                <w:szCs w:val="20"/>
              </w:rPr>
              <w:t xml:space="preserve"> PE, TRC</w:t>
            </w:r>
          </w:p>
          <w:p w14:paraId="3A017796" w14:textId="77777777" w:rsidR="00A62731" w:rsidRDefault="00A62731" w:rsidP="00BB3ABB">
            <w:pPr>
              <w:keepNext/>
              <w:keepLines/>
              <w:spacing w:before="20" w:after="20"/>
              <w:rPr>
                <w:rFonts w:cs="Arial"/>
                <w:sz w:val="20"/>
                <w:szCs w:val="20"/>
              </w:rPr>
            </w:pPr>
            <w:r>
              <w:rPr>
                <w:rFonts w:cs="Arial"/>
                <w:sz w:val="20"/>
                <w:szCs w:val="20"/>
              </w:rPr>
              <w:t>Tai Voong,</w:t>
            </w:r>
          </w:p>
          <w:p w14:paraId="50A8309E" w14:textId="33785723" w:rsidR="00A62731" w:rsidRPr="00BB0037" w:rsidRDefault="00A62731" w:rsidP="00BB3ABB">
            <w:pPr>
              <w:keepNext/>
              <w:keepLines/>
              <w:spacing w:before="20" w:after="20"/>
              <w:rPr>
                <w:rFonts w:cs="Arial"/>
                <w:sz w:val="20"/>
                <w:szCs w:val="20"/>
              </w:rPr>
            </w:pPr>
            <w:r>
              <w:rPr>
                <w:rFonts w:cs="Arial"/>
                <w:sz w:val="20"/>
                <w:szCs w:val="20"/>
              </w:rPr>
              <w:t>PG&amp;E</w:t>
            </w:r>
          </w:p>
        </w:tc>
        <w:tc>
          <w:tcPr>
            <w:tcW w:w="2933" w:type="pct"/>
          </w:tcPr>
          <w:p w14:paraId="6535746A" w14:textId="77777777" w:rsidR="00420B55" w:rsidRDefault="00420B55" w:rsidP="00420B55">
            <w:pPr>
              <w:keepNext/>
              <w:keepLines/>
              <w:spacing w:before="20" w:after="20"/>
              <w:rPr>
                <w:rFonts w:cs="Arial"/>
                <w:sz w:val="20"/>
                <w:szCs w:val="20"/>
              </w:rPr>
            </w:pPr>
            <w:r>
              <w:rPr>
                <w:rFonts w:cs="Arial"/>
                <w:sz w:val="20"/>
                <w:szCs w:val="20"/>
              </w:rPr>
              <w:t>Update per CPUC Comments on 2/4/2021</w:t>
            </w:r>
          </w:p>
          <w:p w14:paraId="747831AA" w14:textId="17AB212B" w:rsidR="001B6F7D" w:rsidRDefault="001B6F7D" w:rsidP="001B6F7D">
            <w:pPr>
              <w:keepNext/>
              <w:keepLines/>
              <w:spacing w:before="20" w:after="20"/>
              <w:rPr>
                <w:rFonts w:cs="Arial"/>
                <w:sz w:val="20"/>
                <w:szCs w:val="20"/>
              </w:rPr>
            </w:pPr>
            <w:r>
              <w:rPr>
                <w:rFonts w:cs="Arial"/>
                <w:sz w:val="20"/>
                <w:szCs w:val="20"/>
              </w:rPr>
              <w:t xml:space="preserve">Added eligibility requirements for duct </w:t>
            </w:r>
            <w:r w:rsidR="00D529C1">
              <w:rPr>
                <w:rFonts w:cs="Arial"/>
                <w:sz w:val="20"/>
                <w:szCs w:val="20"/>
              </w:rPr>
              <w:t xml:space="preserve">insulation requirement per CFR </w:t>
            </w:r>
            <w:r w:rsidR="008030CE" w:rsidRPr="008030CE">
              <w:rPr>
                <w:rFonts w:cs="Arial"/>
                <w:sz w:val="20"/>
                <w:szCs w:val="20"/>
              </w:rPr>
              <w:t>§ 3280.715</w:t>
            </w:r>
          </w:p>
          <w:p w14:paraId="5F5DEE52" w14:textId="7C1D614A" w:rsidR="00D039B9" w:rsidRPr="00BB0037" w:rsidRDefault="00D529C1" w:rsidP="00BB3ABB">
            <w:pPr>
              <w:keepNext/>
              <w:keepLines/>
              <w:spacing w:before="20" w:after="20"/>
              <w:rPr>
                <w:rFonts w:cs="Arial"/>
                <w:sz w:val="20"/>
                <w:szCs w:val="20"/>
              </w:rPr>
            </w:pPr>
            <w:r>
              <w:rPr>
                <w:rFonts w:cs="Arial"/>
                <w:sz w:val="20"/>
                <w:szCs w:val="20"/>
              </w:rPr>
              <w:t>Adopted Def-GSIA value based on PY2018 EM&amp;V report</w:t>
            </w:r>
          </w:p>
        </w:tc>
      </w:tr>
      <w:tr w:rsidR="00464AE9" w:rsidRPr="00CA1CB3" w14:paraId="03A5F890" w14:textId="77777777" w:rsidTr="00D82A56">
        <w:trPr>
          <w:trHeight w:val="20"/>
        </w:trPr>
        <w:tc>
          <w:tcPr>
            <w:tcW w:w="503" w:type="pct"/>
          </w:tcPr>
          <w:p w14:paraId="4C35F6B9" w14:textId="79F2812A" w:rsidR="00464AE9" w:rsidRPr="00CA1CB3" w:rsidRDefault="00464AE9" w:rsidP="00BB3ABB">
            <w:pPr>
              <w:keepNext/>
              <w:keepLines/>
              <w:spacing w:before="20" w:after="20"/>
              <w:rPr>
                <w:rFonts w:cs="Arial"/>
                <w:sz w:val="20"/>
                <w:szCs w:val="20"/>
              </w:rPr>
            </w:pPr>
            <w:r>
              <w:rPr>
                <w:rFonts w:cs="Arial"/>
                <w:sz w:val="20"/>
                <w:szCs w:val="20"/>
              </w:rPr>
              <w:t>02</w:t>
            </w:r>
          </w:p>
        </w:tc>
        <w:tc>
          <w:tcPr>
            <w:tcW w:w="722" w:type="pct"/>
          </w:tcPr>
          <w:p w14:paraId="4D46F9D0" w14:textId="20C38D33" w:rsidR="00464AE9" w:rsidRDefault="00464AE9" w:rsidP="00BB3ABB">
            <w:pPr>
              <w:keepNext/>
              <w:keepLines/>
              <w:spacing w:before="20" w:after="20"/>
              <w:rPr>
                <w:rFonts w:cs="Arial"/>
                <w:sz w:val="20"/>
                <w:szCs w:val="20"/>
              </w:rPr>
            </w:pPr>
            <w:r>
              <w:rPr>
                <w:rFonts w:cs="Arial"/>
                <w:sz w:val="20"/>
                <w:szCs w:val="20"/>
              </w:rPr>
              <w:t>5/28/2021</w:t>
            </w:r>
          </w:p>
        </w:tc>
        <w:tc>
          <w:tcPr>
            <w:tcW w:w="842" w:type="pct"/>
          </w:tcPr>
          <w:p w14:paraId="72CE7B6F" w14:textId="77777777" w:rsidR="00464AE9" w:rsidRPr="00464AE9" w:rsidRDefault="00464AE9" w:rsidP="00464AE9">
            <w:pPr>
              <w:keepNext/>
              <w:keepLines/>
              <w:spacing w:before="20" w:after="20"/>
              <w:rPr>
                <w:rFonts w:cs="Arial"/>
                <w:sz w:val="20"/>
                <w:szCs w:val="20"/>
              </w:rPr>
            </w:pPr>
            <w:r w:rsidRPr="00464AE9">
              <w:rPr>
                <w:rFonts w:cs="Arial"/>
                <w:sz w:val="20"/>
                <w:szCs w:val="20"/>
              </w:rPr>
              <w:t>Tai Voong,</w:t>
            </w:r>
          </w:p>
          <w:p w14:paraId="36EA7BE7" w14:textId="766254D2" w:rsidR="00464AE9" w:rsidRDefault="00464AE9" w:rsidP="00464AE9">
            <w:pPr>
              <w:keepNext/>
              <w:keepLines/>
              <w:spacing w:before="20" w:after="20"/>
              <w:rPr>
                <w:rFonts w:cs="Arial"/>
                <w:sz w:val="20"/>
                <w:szCs w:val="20"/>
              </w:rPr>
            </w:pPr>
            <w:r w:rsidRPr="00464AE9">
              <w:rPr>
                <w:rFonts w:cs="Arial"/>
                <w:sz w:val="20"/>
                <w:szCs w:val="20"/>
              </w:rPr>
              <w:t>PG&amp;E</w:t>
            </w:r>
          </w:p>
        </w:tc>
        <w:tc>
          <w:tcPr>
            <w:tcW w:w="2933" w:type="pct"/>
          </w:tcPr>
          <w:p w14:paraId="5CA01080" w14:textId="0CEF5685" w:rsidR="00464AE9" w:rsidRDefault="0030481F" w:rsidP="008E5E4E">
            <w:pPr>
              <w:keepNext/>
              <w:keepLines/>
              <w:spacing w:before="20" w:after="20"/>
              <w:rPr>
                <w:rFonts w:cs="Arial"/>
                <w:sz w:val="20"/>
                <w:szCs w:val="20"/>
              </w:rPr>
            </w:pPr>
            <w:r w:rsidRPr="0030481F">
              <w:rPr>
                <w:rFonts w:cs="Arial"/>
                <w:sz w:val="20"/>
                <w:szCs w:val="20"/>
              </w:rPr>
              <w:t>Updated NTG values per CPUC Resolution E-5082 for 2022 workpaper.</w:t>
            </w:r>
            <w:r w:rsidR="00A03334">
              <w:rPr>
                <w:rFonts w:cs="Arial"/>
                <w:sz w:val="20"/>
                <w:szCs w:val="20"/>
              </w:rPr>
              <w:t xml:space="preserve"> No other changes.</w:t>
            </w:r>
          </w:p>
        </w:tc>
      </w:tr>
      <w:bookmarkEnd w:id="73"/>
      <w:bookmarkEnd w:id="77"/>
      <w:bookmarkEnd w:id="78"/>
    </w:tbl>
    <w:p w14:paraId="5C9CAB2A" w14:textId="77777777" w:rsidR="00085726" w:rsidRDefault="00085726" w:rsidP="00387072"/>
    <w:sectPr w:rsidR="00085726" w:rsidSect="005F505E">
      <w:headerReference w:type="default" r:id="rId25"/>
      <w:headerReference w:type="first" r:id="rId2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7571A" w14:textId="77777777" w:rsidR="00B85723" w:rsidRDefault="00B85723" w:rsidP="00A2690C">
      <w:r>
        <w:separator/>
      </w:r>
    </w:p>
    <w:p w14:paraId="19955724" w14:textId="77777777" w:rsidR="00B85723" w:rsidRDefault="00B85723"/>
  </w:endnote>
  <w:endnote w:type="continuationSeparator" w:id="0">
    <w:p w14:paraId="61A9F5C8" w14:textId="77777777" w:rsidR="00B85723" w:rsidRDefault="00B85723" w:rsidP="00A2690C">
      <w:r>
        <w:continuationSeparator/>
      </w:r>
    </w:p>
    <w:p w14:paraId="5046DE82" w14:textId="77777777" w:rsidR="00B85723" w:rsidRDefault="00B85723"/>
  </w:endnote>
  <w:endnote w:type="continuationNotice" w:id="1">
    <w:p w14:paraId="40C52C84" w14:textId="77777777" w:rsidR="00B85723" w:rsidRDefault="00B8572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panose1 w:val="00000000000000000000"/>
    <w:charset w:val="00"/>
    <w:family w:val="roman"/>
    <w:notTrueType/>
    <w:pitch w:val="default"/>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808080" w:themeColor="accent3"/>
      </w:rPr>
      <w:id w:val="-2063627159"/>
      <w:docPartObj>
        <w:docPartGallery w:val="Page Numbers (Bottom of Page)"/>
        <w:docPartUnique/>
      </w:docPartObj>
    </w:sdtPr>
    <w:sdtEndPr>
      <w:rPr>
        <w:rFonts w:ascii="Calibri" w:hAnsi="Calibri" w:cs="Calibri"/>
        <w:noProof/>
        <w:sz w:val="14"/>
        <w:szCs w:val="14"/>
      </w:rPr>
    </w:sdtEndPr>
    <w:sdtContent>
      <w:p w14:paraId="5134350D" w14:textId="78B13D0D" w:rsidR="00F10AD1" w:rsidRPr="00162F41" w:rsidRDefault="00F10AD1">
        <w:pPr>
          <w:pStyle w:val="Footer"/>
          <w:jc w:val="center"/>
          <w:rPr>
            <w:rFonts w:ascii="Calibri" w:hAnsi="Calibri" w:cs="Calibri"/>
            <w:color w:val="808080" w:themeColor="accent3"/>
            <w:sz w:val="14"/>
            <w:szCs w:val="14"/>
          </w:rPr>
        </w:pPr>
        <w:r w:rsidRPr="00162F41">
          <w:rPr>
            <w:rFonts w:ascii="Calibri" w:hAnsi="Calibri" w:cs="Calibri"/>
            <w:color w:val="808080" w:themeColor="accent3"/>
            <w:sz w:val="14"/>
            <w:szCs w:val="14"/>
          </w:rPr>
          <w:fldChar w:fldCharType="begin"/>
        </w:r>
        <w:r w:rsidRPr="00162F41">
          <w:rPr>
            <w:rFonts w:ascii="Calibri" w:hAnsi="Calibri" w:cs="Calibri"/>
            <w:color w:val="808080" w:themeColor="accent3"/>
            <w:sz w:val="14"/>
            <w:szCs w:val="14"/>
          </w:rPr>
          <w:instrText xml:space="preserve"> PAGE   \* MERGEFORMAT </w:instrText>
        </w:r>
        <w:r w:rsidRPr="00162F41">
          <w:rPr>
            <w:rFonts w:ascii="Calibri" w:hAnsi="Calibri" w:cs="Calibri"/>
            <w:color w:val="808080" w:themeColor="accent3"/>
            <w:sz w:val="14"/>
            <w:szCs w:val="14"/>
          </w:rPr>
          <w:fldChar w:fldCharType="separate"/>
        </w:r>
        <w:r w:rsidRPr="00162F41">
          <w:rPr>
            <w:rFonts w:ascii="Calibri" w:hAnsi="Calibri" w:cs="Calibri"/>
            <w:noProof/>
            <w:color w:val="808080" w:themeColor="accent3"/>
            <w:sz w:val="14"/>
            <w:szCs w:val="14"/>
          </w:rPr>
          <w:t>2</w:t>
        </w:r>
        <w:r w:rsidRPr="00162F41">
          <w:rPr>
            <w:rFonts w:ascii="Calibri" w:hAnsi="Calibri" w:cs="Calibri"/>
            <w:noProof/>
            <w:color w:val="808080" w:themeColor="accent3"/>
            <w:sz w:val="14"/>
            <w:szCs w:val="14"/>
          </w:rPr>
          <w:fldChar w:fldCharType="end"/>
        </w:r>
      </w:p>
    </w:sdtContent>
  </w:sdt>
  <w:p w14:paraId="1D2C7FED" w14:textId="77777777" w:rsidR="00F10AD1" w:rsidRPr="00C55B5E" w:rsidRDefault="00F10AD1">
    <w:pPr>
      <w:pStyle w:val="Footer"/>
      <w:rPr>
        <w:rFonts w:ascii="Calibri" w:hAnsi="Calibri" w:cs="Calibri"/>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032DF" w14:textId="59EEC891" w:rsidR="00F10AD1" w:rsidRDefault="00F10AD1" w:rsidP="005F505E">
    <w:pPr>
      <w:pStyle w:val="Footer"/>
      <w:pBdr>
        <w:top w:val="none" w:sz="0" w:space="0" w:color="auto"/>
      </w:pBdr>
      <w:tabs>
        <w:tab w:val="left" w:pos="900"/>
        <w:tab w:val="right" w:pos="9360"/>
      </w:tabs>
      <w:spacing w:before="0"/>
      <w:jc w:val="center"/>
      <w:rPr>
        <w:rStyle w:val="PageNumber"/>
        <w:sz w:val="14"/>
        <w:szCs w:val="14"/>
      </w:rPr>
    </w:pPr>
  </w:p>
  <w:p w14:paraId="2E3C85B5" w14:textId="3B13D2FA" w:rsidR="00F10AD1" w:rsidRPr="005F505E" w:rsidRDefault="00F10AD1"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FA6FF" w14:textId="77777777" w:rsidR="00B85723" w:rsidRDefault="00B85723" w:rsidP="00A2690C">
      <w:r>
        <w:separator/>
      </w:r>
    </w:p>
    <w:p w14:paraId="5A065123" w14:textId="77777777" w:rsidR="00B85723" w:rsidRDefault="00B85723"/>
  </w:footnote>
  <w:footnote w:type="continuationSeparator" w:id="0">
    <w:p w14:paraId="6AA52C1F" w14:textId="77777777" w:rsidR="00B85723" w:rsidRDefault="00B85723" w:rsidP="00A2690C">
      <w:r>
        <w:continuationSeparator/>
      </w:r>
    </w:p>
    <w:p w14:paraId="5D9A9FE4" w14:textId="77777777" w:rsidR="00B85723" w:rsidRDefault="00B85723"/>
  </w:footnote>
  <w:footnote w:type="continuationNotice" w:id="1">
    <w:p w14:paraId="3C747E9B" w14:textId="77777777" w:rsidR="00B85723" w:rsidRDefault="00B85723">
      <w:pPr>
        <w:spacing w:before="0" w:after="0" w:line="240" w:lineRule="auto"/>
      </w:pPr>
    </w:p>
  </w:footnote>
  <w:footnote w:id="2">
    <w:p w14:paraId="17CA0BAF" w14:textId="7B292346" w:rsidR="00F10AD1" w:rsidRDefault="00F10AD1">
      <w:pPr>
        <w:pStyle w:val="FootnoteText"/>
      </w:pPr>
      <w:r>
        <w:rPr>
          <w:rStyle w:val="FootnoteReference"/>
        </w:rPr>
        <w:footnoteRef/>
      </w:r>
      <w:r>
        <w:t xml:space="preserve"> R Murray (personal communication, November 19, 2020)</w:t>
      </w:r>
    </w:p>
  </w:footnote>
  <w:footnote w:id="3">
    <w:p w14:paraId="20369629" w14:textId="77777777" w:rsidR="00F10AD1" w:rsidRDefault="00F10AD1" w:rsidP="00356ED1">
      <w:pPr>
        <w:pStyle w:val="FootnoteText"/>
      </w:pPr>
      <w:r>
        <w:rPr>
          <w:rStyle w:val="FootnoteReference"/>
        </w:rPr>
        <w:footnoteRef/>
      </w:r>
      <w:r>
        <w:t xml:space="preserve"> DNV GL. </w:t>
      </w:r>
      <w:r w:rsidRPr="00D3709A">
        <w:t xml:space="preserve"> </w:t>
      </w:r>
      <w:r>
        <w:t>2020</w:t>
      </w:r>
      <w:r w:rsidRPr="00D3709A">
        <w:t xml:space="preserve">. </w:t>
      </w:r>
      <w:r>
        <w:rPr>
          <w:i/>
        </w:rPr>
        <w:t xml:space="preserve">Impact Evaluation Report, HVAC Sector – Program Year 2018, EMV&amp;V Group A. CALMAC Study ID: CPUC0209.01. </w:t>
      </w:r>
      <w:r w:rsidRPr="00D3709A">
        <w:t xml:space="preserve">Prepared for the California Public Utilities Commission. </w:t>
      </w:r>
      <w:r>
        <w:t>April 20</w:t>
      </w:r>
      <w:r w:rsidRPr="00D3709A">
        <w:t>.</w:t>
      </w:r>
    </w:p>
  </w:footnote>
  <w:footnote w:id="4">
    <w:p w14:paraId="692B78AF" w14:textId="77777777" w:rsidR="00F10AD1" w:rsidRPr="0023617D" w:rsidRDefault="00F10AD1" w:rsidP="00356ED1">
      <w:pPr>
        <w:pStyle w:val="FootnoteText"/>
      </w:pPr>
      <w:r>
        <w:rPr>
          <w:rStyle w:val="FootnoteReference"/>
        </w:rPr>
        <w:footnoteRef/>
      </w:r>
      <w:r>
        <w:t xml:space="preserve"> California Public Utilities Commission. 2021. </w:t>
      </w:r>
      <w:r w:rsidRPr="004243DE">
        <w:rPr>
          <w:i/>
          <w:iCs/>
        </w:rPr>
        <w:t>CPUC Comments on SWSV001-02 Duct Seal, Residential</w:t>
      </w:r>
      <w:r>
        <w:rPr>
          <w:i/>
          <w:iCs/>
        </w:rPr>
        <w:t xml:space="preserve">. </w:t>
      </w:r>
      <w:r>
        <w:t>Comments dated 02/04/2021.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6C816" w14:textId="057778D4" w:rsidR="00F10AD1" w:rsidRDefault="00F10AD1" w:rsidP="00ED350A">
    <w:pPr>
      <w:jc w:val="center"/>
    </w:pPr>
    <w:r>
      <w:rPr>
        <w:noProof/>
      </w:rPr>
      <w:drawing>
        <wp:inline distT="0" distB="0" distL="0" distR="0" wp14:anchorId="3465FBB4" wp14:editId="4FC74AA8">
          <wp:extent cx="612098" cy="919686"/>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
                    <a:extLst>
                      <a:ext uri="{28A0092B-C50C-407E-A947-70E740481C1C}">
                        <a14:useLocalDpi xmlns:a14="http://schemas.microsoft.com/office/drawing/2010/main" val="0"/>
                      </a:ext>
                    </a:extLst>
                  </a:blip>
                  <a:stretch>
                    <a:fillRect/>
                  </a:stretch>
                </pic:blipFill>
                <pic:spPr>
                  <a:xfrm>
                    <a:off x="0" y="0"/>
                    <a:ext cx="612098" cy="91968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09E6B025" w:rsidR="00F10AD1" w:rsidRDefault="00F10AD1" w:rsidP="001D7A57">
    <w:pPr>
      <w:pStyle w:val="Header"/>
    </w:pPr>
    <w:r>
      <w:rPr>
        <w:rFonts w:ascii="Calibri Light" w:hAnsi="Calibri Light"/>
      </w:rPr>
      <w:t xml:space="preserve">Service </w:t>
    </w:r>
    <w:r w:rsidRPr="000220A0">
      <w:rPr>
        <w:rFonts w:ascii="Calibri Light" w:hAnsi="Calibri Light"/>
      </w:rPr>
      <w:t xml:space="preserve"> </w:t>
    </w:r>
    <w:r>
      <w:rPr>
        <w:rFonts w:ascii="Calibri Light" w:hAnsi="Calibri Light"/>
      </w:rPr>
      <w:t xml:space="preserve"> </w:t>
    </w:r>
    <w:r>
      <w:rPr>
        <w:rFonts w:ascii="Calibri Light" w:hAnsi="Calibri Light"/>
        <w:b/>
      </w:rPr>
      <w:t>Duct Optimization | SWSV013-01</w:t>
    </w:r>
  </w:p>
  <w:p w14:paraId="2AC97B25" w14:textId="5B4A66CC" w:rsidR="00F10AD1" w:rsidRDefault="00F10AD1" w:rsidP="001D0039">
    <w:pPr>
      <w:pStyle w:val="Header"/>
      <w:tabs>
        <w:tab w:val="clear" w:pos="8640"/>
        <w:tab w:val="left" w:pos="8257"/>
      </w:tabs>
      <w:jc w:val="left"/>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F10AD1" w:rsidRDefault="00F10A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5FA6B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0DCD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276AD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BD2F4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736CF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C6656F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E82A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6D6E6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A8B8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4C9E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7" w15:restartNumberingAfterBreak="0">
    <w:nsid w:val="401B1AD3"/>
    <w:multiLevelType w:val="hybridMultilevel"/>
    <w:tmpl w:val="924E634A"/>
    <w:lvl w:ilvl="0" w:tplc="90BCF7C0">
      <w:start w:val="1"/>
      <w:numFmt w:val="bullet"/>
      <w:lvlText w:val=""/>
      <w:lvlJc w:val="left"/>
      <w:pPr>
        <w:ind w:left="720" w:hanging="360"/>
      </w:pPr>
      <w:rPr>
        <w:rFonts w:ascii="Symbol" w:hAnsi="Symbol" w:hint="default"/>
      </w:rPr>
    </w:lvl>
    <w:lvl w:ilvl="1" w:tplc="46AC84D4">
      <w:start w:val="1"/>
      <w:numFmt w:val="bullet"/>
      <w:lvlText w:val="o"/>
      <w:lvlJc w:val="left"/>
      <w:pPr>
        <w:ind w:left="1440" w:hanging="360"/>
      </w:pPr>
      <w:rPr>
        <w:rFonts w:ascii="Courier New" w:hAnsi="Courier New" w:hint="default"/>
      </w:rPr>
    </w:lvl>
    <w:lvl w:ilvl="2" w:tplc="3614051A">
      <w:start w:val="1"/>
      <w:numFmt w:val="bullet"/>
      <w:lvlText w:val=""/>
      <w:lvlJc w:val="left"/>
      <w:pPr>
        <w:ind w:left="2160" w:hanging="360"/>
      </w:pPr>
      <w:rPr>
        <w:rFonts w:ascii="Wingdings" w:hAnsi="Wingdings" w:hint="default"/>
      </w:rPr>
    </w:lvl>
    <w:lvl w:ilvl="3" w:tplc="F8521760">
      <w:start w:val="1"/>
      <w:numFmt w:val="bullet"/>
      <w:lvlText w:val=""/>
      <w:lvlJc w:val="left"/>
      <w:pPr>
        <w:ind w:left="2880" w:hanging="360"/>
      </w:pPr>
      <w:rPr>
        <w:rFonts w:ascii="Symbol" w:hAnsi="Symbol" w:hint="default"/>
      </w:rPr>
    </w:lvl>
    <w:lvl w:ilvl="4" w:tplc="0A9E9124">
      <w:start w:val="1"/>
      <w:numFmt w:val="bullet"/>
      <w:lvlText w:val="o"/>
      <w:lvlJc w:val="left"/>
      <w:pPr>
        <w:ind w:left="3600" w:hanging="360"/>
      </w:pPr>
      <w:rPr>
        <w:rFonts w:ascii="Courier New" w:hAnsi="Courier New" w:hint="default"/>
      </w:rPr>
    </w:lvl>
    <w:lvl w:ilvl="5" w:tplc="B4D849EA">
      <w:start w:val="1"/>
      <w:numFmt w:val="bullet"/>
      <w:lvlText w:val=""/>
      <w:lvlJc w:val="left"/>
      <w:pPr>
        <w:ind w:left="4320" w:hanging="360"/>
      </w:pPr>
      <w:rPr>
        <w:rFonts w:ascii="Wingdings" w:hAnsi="Wingdings" w:hint="default"/>
      </w:rPr>
    </w:lvl>
    <w:lvl w:ilvl="6" w:tplc="FF0C2DEA">
      <w:start w:val="1"/>
      <w:numFmt w:val="bullet"/>
      <w:lvlText w:val=""/>
      <w:lvlJc w:val="left"/>
      <w:pPr>
        <w:ind w:left="5040" w:hanging="360"/>
      </w:pPr>
      <w:rPr>
        <w:rFonts w:ascii="Symbol" w:hAnsi="Symbol" w:hint="default"/>
      </w:rPr>
    </w:lvl>
    <w:lvl w:ilvl="7" w:tplc="CA968966">
      <w:start w:val="1"/>
      <w:numFmt w:val="bullet"/>
      <w:lvlText w:val="o"/>
      <w:lvlJc w:val="left"/>
      <w:pPr>
        <w:ind w:left="5760" w:hanging="360"/>
      </w:pPr>
      <w:rPr>
        <w:rFonts w:ascii="Courier New" w:hAnsi="Courier New" w:hint="default"/>
      </w:rPr>
    </w:lvl>
    <w:lvl w:ilvl="8" w:tplc="7A242B86">
      <w:start w:val="1"/>
      <w:numFmt w:val="bullet"/>
      <w:lvlText w:val=""/>
      <w:lvlJc w:val="left"/>
      <w:pPr>
        <w:ind w:left="6480" w:hanging="360"/>
      </w:pPr>
      <w:rPr>
        <w:rFonts w:ascii="Wingdings" w:hAnsi="Wingdings" w:hint="default"/>
      </w:rPr>
    </w:lvl>
  </w:abstractNum>
  <w:abstractNum w:abstractNumId="1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1"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FD3E7E"/>
    <w:multiLevelType w:val="hybridMultilevel"/>
    <w:tmpl w:val="74C64972"/>
    <w:lvl w:ilvl="0" w:tplc="29CE32C2">
      <w:start w:val="1"/>
      <w:numFmt w:val="bullet"/>
      <w:lvlText w:val=""/>
      <w:lvlJc w:val="left"/>
      <w:pPr>
        <w:ind w:left="720" w:hanging="360"/>
      </w:pPr>
      <w:rPr>
        <w:rFonts w:ascii="Symbol" w:hAnsi="Symbol" w:hint="default"/>
      </w:rPr>
    </w:lvl>
    <w:lvl w:ilvl="1" w:tplc="8A4ADB92">
      <w:start w:val="1"/>
      <w:numFmt w:val="bullet"/>
      <w:lvlText w:val="o"/>
      <w:lvlJc w:val="left"/>
      <w:pPr>
        <w:ind w:left="1440" w:hanging="360"/>
      </w:pPr>
      <w:rPr>
        <w:rFonts w:ascii="Courier New" w:hAnsi="Courier New" w:hint="default"/>
      </w:rPr>
    </w:lvl>
    <w:lvl w:ilvl="2" w:tplc="EB20E34C">
      <w:start w:val="1"/>
      <w:numFmt w:val="bullet"/>
      <w:lvlText w:val=""/>
      <w:lvlJc w:val="left"/>
      <w:pPr>
        <w:ind w:left="2160" w:hanging="360"/>
      </w:pPr>
      <w:rPr>
        <w:rFonts w:ascii="Wingdings" w:hAnsi="Wingdings" w:hint="default"/>
      </w:rPr>
    </w:lvl>
    <w:lvl w:ilvl="3" w:tplc="5E56A39E">
      <w:start w:val="1"/>
      <w:numFmt w:val="bullet"/>
      <w:lvlText w:val=""/>
      <w:lvlJc w:val="left"/>
      <w:pPr>
        <w:ind w:left="2880" w:hanging="360"/>
      </w:pPr>
      <w:rPr>
        <w:rFonts w:ascii="Symbol" w:hAnsi="Symbol" w:hint="default"/>
      </w:rPr>
    </w:lvl>
    <w:lvl w:ilvl="4" w:tplc="8370EA58">
      <w:start w:val="1"/>
      <w:numFmt w:val="bullet"/>
      <w:lvlText w:val="o"/>
      <w:lvlJc w:val="left"/>
      <w:pPr>
        <w:ind w:left="3600" w:hanging="360"/>
      </w:pPr>
      <w:rPr>
        <w:rFonts w:ascii="Courier New" w:hAnsi="Courier New" w:hint="default"/>
      </w:rPr>
    </w:lvl>
    <w:lvl w:ilvl="5" w:tplc="EF9612D2">
      <w:start w:val="1"/>
      <w:numFmt w:val="bullet"/>
      <w:lvlText w:val=""/>
      <w:lvlJc w:val="left"/>
      <w:pPr>
        <w:ind w:left="4320" w:hanging="360"/>
      </w:pPr>
      <w:rPr>
        <w:rFonts w:ascii="Wingdings" w:hAnsi="Wingdings" w:hint="default"/>
      </w:rPr>
    </w:lvl>
    <w:lvl w:ilvl="6" w:tplc="6A56006A">
      <w:start w:val="1"/>
      <w:numFmt w:val="bullet"/>
      <w:lvlText w:val=""/>
      <w:lvlJc w:val="left"/>
      <w:pPr>
        <w:ind w:left="5040" w:hanging="360"/>
      </w:pPr>
      <w:rPr>
        <w:rFonts w:ascii="Symbol" w:hAnsi="Symbol" w:hint="default"/>
      </w:rPr>
    </w:lvl>
    <w:lvl w:ilvl="7" w:tplc="1C880C40">
      <w:start w:val="1"/>
      <w:numFmt w:val="bullet"/>
      <w:lvlText w:val="o"/>
      <w:lvlJc w:val="left"/>
      <w:pPr>
        <w:ind w:left="5760" w:hanging="360"/>
      </w:pPr>
      <w:rPr>
        <w:rFonts w:ascii="Courier New" w:hAnsi="Courier New" w:hint="default"/>
      </w:rPr>
    </w:lvl>
    <w:lvl w:ilvl="8" w:tplc="3E9675CC">
      <w:start w:val="1"/>
      <w:numFmt w:val="bullet"/>
      <w:lvlText w:val=""/>
      <w:lvlJc w:val="left"/>
      <w:pPr>
        <w:ind w:left="6480" w:hanging="360"/>
      </w:pPr>
      <w:rPr>
        <w:rFonts w:ascii="Wingdings" w:hAnsi="Wingdings" w:hint="default"/>
      </w:rPr>
    </w:lvl>
  </w:abstractNum>
  <w:abstractNum w:abstractNumId="23"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5"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6"/>
  </w:num>
  <w:num w:numId="2">
    <w:abstractNumId w:val="24"/>
  </w:num>
  <w:num w:numId="3">
    <w:abstractNumId w:val="26"/>
  </w:num>
  <w:num w:numId="4">
    <w:abstractNumId w:val="26"/>
  </w:num>
  <w:num w:numId="5">
    <w:abstractNumId w:val="20"/>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0"/>
  </w:num>
  <w:num w:numId="7">
    <w:abstractNumId w:val="13"/>
  </w:num>
  <w:num w:numId="8">
    <w:abstractNumId w:val="23"/>
  </w:num>
  <w:num w:numId="9">
    <w:abstractNumId w:val="9"/>
  </w:num>
  <w:num w:numId="10">
    <w:abstractNumId w:val="25"/>
  </w:num>
  <w:num w:numId="11">
    <w:abstractNumId w:val="14"/>
  </w:num>
  <w:num w:numId="12">
    <w:abstractNumId w:val="11"/>
  </w:num>
  <w:num w:numId="13">
    <w:abstractNumId w:val="21"/>
  </w:num>
  <w:num w:numId="14">
    <w:abstractNumId w:val="19"/>
  </w:num>
  <w:num w:numId="15">
    <w:abstractNumId w:val="12"/>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2"/>
  </w:num>
  <w:num w:numId="26">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00C"/>
    <w:rsid w:val="00000193"/>
    <w:rsid w:val="00005421"/>
    <w:rsid w:val="00005B06"/>
    <w:rsid w:val="000063B0"/>
    <w:rsid w:val="00006DA3"/>
    <w:rsid w:val="00010D68"/>
    <w:rsid w:val="000110D9"/>
    <w:rsid w:val="000111AF"/>
    <w:rsid w:val="000118D7"/>
    <w:rsid w:val="00016928"/>
    <w:rsid w:val="00017B52"/>
    <w:rsid w:val="000220A0"/>
    <w:rsid w:val="000229F1"/>
    <w:rsid w:val="00022EF9"/>
    <w:rsid w:val="0002347D"/>
    <w:rsid w:val="0002389A"/>
    <w:rsid w:val="00026D58"/>
    <w:rsid w:val="00026F52"/>
    <w:rsid w:val="000302DF"/>
    <w:rsid w:val="00031184"/>
    <w:rsid w:val="00033BE6"/>
    <w:rsid w:val="00037A06"/>
    <w:rsid w:val="00043D37"/>
    <w:rsid w:val="0004495B"/>
    <w:rsid w:val="00045618"/>
    <w:rsid w:val="0004579B"/>
    <w:rsid w:val="00045C56"/>
    <w:rsid w:val="00046BB0"/>
    <w:rsid w:val="000516B9"/>
    <w:rsid w:val="00051DBB"/>
    <w:rsid w:val="00052C95"/>
    <w:rsid w:val="000530E4"/>
    <w:rsid w:val="00054CBD"/>
    <w:rsid w:val="0005587A"/>
    <w:rsid w:val="00061D34"/>
    <w:rsid w:val="000621A8"/>
    <w:rsid w:val="000644BB"/>
    <w:rsid w:val="00065E54"/>
    <w:rsid w:val="000672E5"/>
    <w:rsid w:val="00067E1E"/>
    <w:rsid w:val="000706E0"/>
    <w:rsid w:val="0007135C"/>
    <w:rsid w:val="00073ECC"/>
    <w:rsid w:val="00074E3E"/>
    <w:rsid w:val="000767E9"/>
    <w:rsid w:val="0007793F"/>
    <w:rsid w:val="000801BC"/>
    <w:rsid w:val="0008108C"/>
    <w:rsid w:val="00083013"/>
    <w:rsid w:val="000841AA"/>
    <w:rsid w:val="00085726"/>
    <w:rsid w:val="00086ACC"/>
    <w:rsid w:val="00087FD4"/>
    <w:rsid w:val="00090BBF"/>
    <w:rsid w:val="000910B7"/>
    <w:rsid w:val="00091581"/>
    <w:rsid w:val="00094517"/>
    <w:rsid w:val="00094F5F"/>
    <w:rsid w:val="00096485"/>
    <w:rsid w:val="00097497"/>
    <w:rsid w:val="000978C8"/>
    <w:rsid w:val="00097A37"/>
    <w:rsid w:val="00097B5E"/>
    <w:rsid w:val="000A0289"/>
    <w:rsid w:val="000A270E"/>
    <w:rsid w:val="000A4D3A"/>
    <w:rsid w:val="000A62EF"/>
    <w:rsid w:val="000A66B7"/>
    <w:rsid w:val="000A7058"/>
    <w:rsid w:val="000B139B"/>
    <w:rsid w:val="000B6004"/>
    <w:rsid w:val="000B7588"/>
    <w:rsid w:val="000C0C05"/>
    <w:rsid w:val="000C0D51"/>
    <w:rsid w:val="000C2B34"/>
    <w:rsid w:val="000C36B4"/>
    <w:rsid w:val="000C72C1"/>
    <w:rsid w:val="000C7B77"/>
    <w:rsid w:val="000D0842"/>
    <w:rsid w:val="000D25D1"/>
    <w:rsid w:val="000E044A"/>
    <w:rsid w:val="000E3249"/>
    <w:rsid w:val="000E4F32"/>
    <w:rsid w:val="000F0A2C"/>
    <w:rsid w:val="000F1833"/>
    <w:rsid w:val="000F31AC"/>
    <w:rsid w:val="00103399"/>
    <w:rsid w:val="0010471F"/>
    <w:rsid w:val="00104933"/>
    <w:rsid w:val="001064AF"/>
    <w:rsid w:val="00111A53"/>
    <w:rsid w:val="0011498C"/>
    <w:rsid w:val="00117015"/>
    <w:rsid w:val="0011758D"/>
    <w:rsid w:val="00120220"/>
    <w:rsid w:val="00120592"/>
    <w:rsid w:val="00120C61"/>
    <w:rsid w:val="001217DF"/>
    <w:rsid w:val="0012187D"/>
    <w:rsid w:val="00123E12"/>
    <w:rsid w:val="00124BFE"/>
    <w:rsid w:val="00126809"/>
    <w:rsid w:val="00126A71"/>
    <w:rsid w:val="00126AB2"/>
    <w:rsid w:val="00126B25"/>
    <w:rsid w:val="00130CF8"/>
    <w:rsid w:val="00131050"/>
    <w:rsid w:val="00131C5A"/>
    <w:rsid w:val="0013245A"/>
    <w:rsid w:val="00136F0F"/>
    <w:rsid w:val="00140C37"/>
    <w:rsid w:val="00142D3C"/>
    <w:rsid w:val="00144ACC"/>
    <w:rsid w:val="00144E7E"/>
    <w:rsid w:val="001451AB"/>
    <w:rsid w:val="00151B9F"/>
    <w:rsid w:val="001524AF"/>
    <w:rsid w:val="00153BB7"/>
    <w:rsid w:val="00153D28"/>
    <w:rsid w:val="00154391"/>
    <w:rsid w:val="0015459D"/>
    <w:rsid w:val="001564FC"/>
    <w:rsid w:val="00157985"/>
    <w:rsid w:val="00161DF1"/>
    <w:rsid w:val="00162F41"/>
    <w:rsid w:val="001648F6"/>
    <w:rsid w:val="00166295"/>
    <w:rsid w:val="00167407"/>
    <w:rsid w:val="00170A9D"/>
    <w:rsid w:val="001715DC"/>
    <w:rsid w:val="00171BB8"/>
    <w:rsid w:val="00172D79"/>
    <w:rsid w:val="00174707"/>
    <w:rsid w:val="00177EB6"/>
    <w:rsid w:val="001800CC"/>
    <w:rsid w:val="001808FD"/>
    <w:rsid w:val="00180DAD"/>
    <w:rsid w:val="00181672"/>
    <w:rsid w:val="00181E01"/>
    <w:rsid w:val="001844AB"/>
    <w:rsid w:val="00190E8D"/>
    <w:rsid w:val="00191E4C"/>
    <w:rsid w:val="001940FF"/>
    <w:rsid w:val="001944A0"/>
    <w:rsid w:val="001944B4"/>
    <w:rsid w:val="00195B03"/>
    <w:rsid w:val="00196649"/>
    <w:rsid w:val="0019704F"/>
    <w:rsid w:val="001A11C7"/>
    <w:rsid w:val="001A4096"/>
    <w:rsid w:val="001A4BE1"/>
    <w:rsid w:val="001A5DF1"/>
    <w:rsid w:val="001A6DEC"/>
    <w:rsid w:val="001A7A21"/>
    <w:rsid w:val="001B0D29"/>
    <w:rsid w:val="001B1253"/>
    <w:rsid w:val="001B1D23"/>
    <w:rsid w:val="001B208F"/>
    <w:rsid w:val="001B332F"/>
    <w:rsid w:val="001B3352"/>
    <w:rsid w:val="001B426F"/>
    <w:rsid w:val="001B52F8"/>
    <w:rsid w:val="001B55A2"/>
    <w:rsid w:val="001B6F7D"/>
    <w:rsid w:val="001B70E0"/>
    <w:rsid w:val="001B7D79"/>
    <w:rsid w:val="001C05ED"/>
    <w:rsid w:val="001C2ACE"/>
    <w:rsid w:val="001C6C9B"/>
    <w:rsid w:val="001C7134"/>
    <w:rsid w:val="001C754F"/>
    <w:rsid w:val="001C7EB7"/>
    <w:rsid w:val="001D0039"/>
    <w:rsid w:val="001D08A9"/>
    <w:rsid w:val="001D5AB9"/>
    <w:rsid w:val="001D6129"/>
    <w:rsid w:val="001D656F"/>
    <w:rsid w:val="001D65A6"/>
    <w:rsid w:val="001D7A57"/>
    <w:rsid w:val="001E03F0"/>
    <w:rsid w:val="001E19A3"/>
    <w:rsid w:val="001E4C3F"/>
    <w:rsid w:val="001E5156"/>
    <w:rsid w:val="001E6273"/>
    <w:rsid w:val="001E7B47"/>
    <w:rsid w:val="001F00E9"/>
    <w:rsid w:val="001F4201"/>
    <w:rsid w:val="001F578C"/>
    <w:rsid w:val="001F5D05"/>
    <w:rsid w:val="001F735E"/>
    <w:rsid w:val="002005A8"/>
    <w:rsid w:val="002006B6"/>
    <w:rsid w:val="00203663"/>
    <w:rsid w:val="00205BAF"/>
    <w:rsid w:val="002076A0"/>
    <w:rsid w:val="00207F85"/>
    <w:rsid w:val="0021226A"/>
    <w:rsid w:val="0021230E"/>
    <w:rsid w:val="002126B4"/>
    <w:rsid w:val="00213E9E"/>
    <w:rsid w:val="002174CB"/>
    <w:rsid w:val="002176CA"/>
    <w:rsid w:val="00222536"/>
    <w:rsid w:val="00223F73"/>
    <w:rsid w:val="0022435C"/>
    <w:rsid w:val="00224A16"/>
    <w:rsid w:val="00225142"/>
    <w:rsid w:val="00226694"/>
    <w:rsid w:val="00226C24"/>
    <w:rsid w:val="00227AEC"/>
    <w:rsid w:val="00227BDD"/>
    <w:rsid w:val="002318A4"/>
    <w:rsid w:val="00231A53"/>
    <w:rsid w:val="00232BCA"/>
    <w:rsid w:val="002335FF"/>
    <w:rsid w:val="00233921"/>
    <w:rsid w:val="00233D87"/>
    <w:rsid w:val="00233F27"/>
    <w:rsid w:val="002344AA"/>
    <w:rsid w:val="0023666C"/>
    <w:rsid w:val="00236692"/>
    <w:rsid w:val="00236E0A"/>
    <w:rsid w:val="0023710F"/>
    <w:rsid w:val="002374AB"/>
    <w:rsid w:val="00237964"/>
    <w:rsid w:val="00242390"/>
    <w:rsid w:val="002434DE"/>
    <w:rsid w:val="00245AFF"/>
    <w:rsid w:val="0024628D"/>
    <w:rsid w:val="0024690E"/>
    <w:rsid w:val="00246F42"/>
    <w:rsid w:val="00246F6D"/>
    <w:rsid w:val="00251ABC"/>
    <w:rsid w:val="002524CF"/>
    <w:rsid w:val="00253A52"/>
    <w:rsid w:val="0025543C"/>
    <w:rsid w:val="00256400"/>
    <w:rsid w:val="00257ED3"/>
    <w:rsid w:val="00263248"/>
    <w:rsid w:val="002633C9"/>
    <w:rsid w:val="002652D2"/>
    <w:rsid w:val="0026639E"/>
    <w:rsid w:val="00271B18"/>
    <w:rsid w:val="00276F9B"/>
    <w:rsid w:val="00282813"/>
    <w:rsid w:val="0028672C"/>
    <w:rsid w:val="00290E53"/>
    <w:rsid w:val="002930DE"/>
    <w:rsid w:val="002942B0"/>
    <w:rsid w:val="0029555D"/>
    <w:rsid w:val="0029781E"/>
    <w:rsid w:val="002A0496"/>
    <w:rsid w:val="002A1953"/>
    <w:rsid w:val="002A2471"/>
    <w:rsid w:val="002A2A94"/>
    <w:rsid w:val="002A4225"/>
    <w:rsid w:val="002A4544"/>
    <w:rsid w:val="002A6B14"/>
    <w:rsid w:val="002A7BE7"/>
    <w:rsid w:val="002B107C"/>
    <w:rsid w:val="002B2C97"/>
    <w:rsid w:val="002B3BF4"/>
    <w:rsid w:val="002B6DED"/>
    <w:rsid w:val="002B6F2A"/>
    <w:rsid w:val="002C06FC"/>
    <w:rsid w:val="002C1117"/>
    <w:rsid w:val="002C67DF"/>
    <w:rsid w:val="002D0036"/>
    <w:rsid w:val="002D17CE"/>
    <w:rsid w:val="002D29F8"/>
    <w:rsid w:val="002D3D80"/>
    <w:rsid w:val="002D40EE"/>
    <w:rsid w:val="002D4993"/>
    <w:rsid w:val="002D50E9"/>
    <w:rsid w:val="002D56AC"/>
    <w:rsid w:val="002D5CFA"/>
    <w:rsid w:val="002E111E"/>
    <w:rsid w:val="002E4732"/>
    <w:rsid w:val="002E54B9"/>
    <w:rsid w:val="002E5874"/>
    <w:rsid w:val="002E6FCA"/>
    <w:rsid w:val="002F036B"/>
    <w:rsid w:val="002F0BC4"/>
    <w:rsid w:val="002F3256"/>
    <w:rsid w:val="00300E2F"/>
    <w:rsid w:val="00302A82"/>
    <w:rsid w:val="00302AB6"/>
    <w:rsid w:val="0030481F"/>
    <w:rsid w:val="00304892"/>
    <w:rsid w:val="003059B9"/>
    <w:rsid w:val="00306555"/>
    <w:rsid w:val="00306B12"/>
    <w:rsid w:val="003103FB"/>
    <w:rsid w:val="00313244"/>
    <w:rsid w:val="00313E1D"/>
    <w:rsid w:val="00314511"/>
    <w:rsid w:val="003201DA"/>
    <w:rsid w:val="003247FA"/>
    <w:rsid w:val="00324A2B"/>
    <w:rsid w:val="0032661F"/>
    <w:rsid w:val="0033069F"/>
    <w:rsid w:val="003309DA"/>
    <w:rsid w:val="00331FA1"/>
    <w:rsid w:val="003334F6"/>
    <w:rsid w:val="00333809"/>
    <w:rsid w:val="00333FE0"/>
    <w:rsid w:val="00336313"/>
    <w:rsid w:val="00337D1D"/>
    <w:rsid w:val="00340BA0"/>
    <w:rsid w:val="00345391"/>
    <w:rsid w:val="0035060F"/>
    <w:rsid w:val="00352864"/>
    <w:rsid w:val="00356363"/>
    <w:rsid w:val="00356ED1"/>
    <w:rsid w:val="003578EF"/>
    <w:rsid w:val="00362F9E"/>
    <w:rsid w:val="00363859"/>
    <w:rsid w:val="00363BE8"/>
    <w:rsid w:val="0037013E"/>
    <w:rsid w:val="00370B5D"/>
    <w:rsid w:val="00370B5E"/>
    <w:rsid w:val="0037220A"/>
    <w:rsid w:val="00372F61"/>
    <w:rsid w:val="00374A3C"/>
    <w:rsid w:val="003764AE"/>
    <w:rsid w:val="0037715C"/>
    <w:rsid w:val="003819F8"/>
    <w:rsid w:val="00384CD0"/>
    <w:rsid w:val="00385069"/>
    <w:rsid w:val="00387072"/>
    <w:rsid w:val="00387526"/>
    <w:rsid w:val="003900C3"/>
    <w:rsid w:val="00392097"/>
    <w:rsid w:val="00392684"/>
    <w:rsid w:val="00397CEE"/>
    <w:rsid w:val="003A0041"/>
    <w:rsid w:val="003A1787"/>
    <w:rsid w:val="003A389C"/>
    <w:rsid w:val="003A59AE"/>
    <w:rsid w:val="003A64D3"/>
    <w:rsid w:val="003A65F2"/>
    <w:rsid w:val="003A77A2"/>
    <w:rsid w:val="003B002E"/>
    <w:rsid w:val="003B0CAF"/>
    <w:rsid w:val="003B68EE"/>
    <w:rsid w:val="003B6D78"/>
    <w:rsid w:val="003B7610"/>
    <w:rsid w:val="003C2A2E"/>
    <w:rsid w:val="003C2CC3"/>
    <w:rsid w:val="003C3B8F"/>
    <w:rsid w:val="003C6359"/>
    <w:rsid w:val="003C7721"/>
    <w:rsid w:val="003D0527"/>
    <w:rsid w:val="003D1FB8"/>
    <w:rsid w:val="003D2428"/>
    <w:rsid w:val="003D7104"/>
    <w:rsid w:val="003D73F3"/>
    <w:rsid w:val="003E08D8"/>
    <w:rsid w:val="003E2013"/>
    <w:rsid w:val="003E2704"/>
    <w:rsid w:val="003E3078"/>
    <w:rsid w:val="003E39FF"/>
    <w:rsid w:val="003E50CF"/>
    <w:rsid w:val="003E5605"/>
    <w:rsid w:val="003E5702"/>
    <w:rsid w:val="003E6485"/>
    <w:rsid w:val="003E7B90"/>
    <w:rsid w:val="003E7BC6"/>
    <w:rsid w:val="003F21D2"/>
    <w:rsid w:val="003F269E"/>
    <w:rsid w:val="003F34EA"/>
    <w:rsid w:val="003F4964"/>
    <w:rsid w:val="003F65F3"/>
    <w:rsid w:val="003F6C94"/>
    <w:rsid w:val="004010AA"/>
    <w:rsid w:val="004012D2"/>
    <w:rsid w:val="00401C43"/>
    <w:rsid w:val="004046FF"/>
    <w:rsid w:val="00410790"/>
    <w:rsid w:val="00411EF4"/>
    <w:rsid w:val="004122C2"/>
    <w:rsid w:val="004133BB"/>
    <w:rsid w:val="00414247"/>
    <w:rsid w:val="004142EF"/>
    <w:rsid w:val="00414884"/>
    <w:rsid w:val="00420958"/>
    <w:rsid w:val="00420B55"/>
    <w:rsid w:val="00420EF1"/>
    <w:rsid w:val="00421920"/>
    <w:rsid w:val="00423D33"/>
    <w:rsid w:val="00424832"/>
    <w:rsid w:val="004249A0"/>
    <w:rsid w:val="00424ED3"/>
    <w:rsid w:val="0043024D"/>
    <w:rsid w:val="00431314"/>
    <w:rsid w:val="0043155E"/>
    <w:rsid w:val="00432D49"/>
    <w:rsid w:val="004339EA"/>
    <w:rsid w:val="00433E8F"/>
    <w:rsid w:val="00434145"/>
    <w:rsid w:val="004376CE"/>
    <w:rsid w:val="0044287C"/>
    <w:rsid w:val="004453C5"/>
    <w:rsid w:val="0044577B"/>
    <w:rsid w:val="00451588"/>
    <w:rsid w:val="004517F1"/>
    <w:rsid w:val="00451FF6"/>
    <w:rsid w:val="0045301F"/>
    <w:rsid w:val="00453718"/>
    <w:rsid w:val="004556DF"/>
    <w:rsid w:val="004569FA"/>
    <w:rsid w:val="0045762E"/>
    <w:rsid w:val="00460741"/>
    <w:rsid w:val="00461AE3"/>
    <w:rsid w:val="00462109"/>
    <w:rsid w:val="00462BB6"/>
    <w:rsid w:val="00464A63"/>
    <w:rsid w:val="00464AE9"/>
    <w:rsid w:val="0046574D"/>
    <w:rsid w:val="00466DD6"/>
    <w:rsid w:val="00470172"/>
    <w:rsid w:val="00470670"/>
    <w:rsid w:val="00472286"/>
    <w:rsid w:val="004734A5"/>
    <w:rsid w:val="00473D53"/>
    <w:rsid w:val="00475A47"/>
    <w:rsid w:val="00475D57"/>
    <w:rsid w:val="004822AE"/>
    <w:rsid w:val="004839F9"/>
    <w:rsid w:val="00484536"/>
    <w:rsid w:val="00485FF3"/>
    <w:rsid w:val="00486585"/>
    <w:rsid w:val="00494BE6"/>
    <w:rsid w:val="0049615E"/>
    <w:rsid w:val="00497289"/>
    <w:rsid w:val="004A06AE"/>
    <w:rsid w:val="004A1E62"/>
    <w:rsid w:val="004A24AD"/>
    <w:rsid w:val="004A510D"/>
    <w:rsid w:val="004B06E3"/>
    <w:rsid w:val="004B35DC"/>
    <w:rsid w:val="004B375A"/>
    <w:rsid w:val="004B3A0A"/>
    <w:rsid w:val="004B46EC"/>
    <w:rsid w:val="004B4B04"/>
    <w:rsid w:val="004B5888"/>
    <w:rsid w:val="004B6780"/>
    <w:rsid w:val="004B7CAA"/>
    <w:rsid w:val="004C02A8"/>
    <w:rsid w:val="004C2A36"/>
    <w:rsid w:val="004C3457"/>
    <w:rsid w:val="004C3663"/>
    <w:rsid w:val="004C57EC"/>
    <w:rsid w:val="004C580C"/>
    <w:rsid w:val="004C634C"/>
    <w:rsid w:val="004C69F2"/>
    <w:rsid w:val="004C6D25"/>
    <w:rsid w:val="004D0438"/>
    <w:rsid w:val="004D0C20"/>
    <w:rsid w:val="004D1461"/>
    <w:rsid w:val="004D2188"/>
    <w:rsid w:val="004D2585"/>
    <w:rsid w:val="004D3A71"/>
    <w:rsid w:val="004D3CE4"/>
    <w:rsid w:val="004D3E6F"/>
    <w:rsid w:val="004D7E51"/>
    <w:rsid w:val="004E04EE"/>
    <w:rsid w:val="004E1B37"/>
    <w:rsid w:val="004E2501"/>
    <w:rsid w:val="004E2704"/>
    <w:rsid w:val="004E29F3"/>
    <w:rsid w:val="004E2B5E"/>
    <w:rsid w:val="004E3F72"/>
    <w:rsid w:val="004E4D01"/>
    <w:rsid w:val="004E4DBF"/>
    <w:rsid w:val="004E59B8"/>
    <w:rsid w:val="004F141F"/>
    <w:rsid w:val="004F1E27"/>
    <w:rsid w:val="004F5BCA"/>
    <w:rsid w:val="004F705B"/>
    <w:rsid w:val="005006A9"/>
    <w:rsid w:val="00500964"/>
    <w:rsid w:val="00500C66"/>
    <w:rsid w:val="00501600"/>
    <w:rsid w:val="00503298"/>
    <w:rsid w:val="00505B94"/>
    <w:rsid w:val="005067E7"/>
    <w:rsid w:val="00507F35"/>
    <w:rsid w:val="005130EC"/>
    <w:rsid w:val="005146E6"/>
    <w:rsid w:val="00516667"/>
    <w:rsid w:val="00517AFF"/>
    <w:rsid w:val="00520A4B"/>
    <w:rsid w:val="00520DBE"/>
    <w:rsid w:val="005246B8"/>
    <w:rsid w:val="005264C0"/>
    <w:rsid w:val="005302AA"/>
    <w:rsid w:val="005359E5"/>
    <w:rsid w:val="00535A42"/>
    <w:rsid w:val="0053748E"/>
    <w:rsid w:val="00541746"/>
    <w:rsid w:val="005449C6"/>
    <w:rsid w:val="00551587"/>
    <w:rsid w:val="00554D27"/>
    <w:rsid w:val="00557507"/>
    <w:rsid w:val="0056177B"/>
    <w:rsid w:val="00565716"/>
    <w:rsid w:val="005661E3"/>
    <w:rsid w:val="0056636B"/>
    <w:rsid w:val="00566560"/>
    <w:rsid w:val="00566B42"/>
    <w:rsid w:val="00566EB1"/>
    <w:rsid w:val="0057165C"/>
    <w:rsid w:val="00571D95"/>
    <w:rsid w:val="005722C6"/>
    <w:rsid w:val="00580808"/>
    <w:rsid w:val="00580FF8"/>
    <w:rsid w:val="00581834"/>
    <w:rsid w:val="0058531C"/>
    <w:rsid w:val="00585C8D"/>
    <w:rsid w:val="005862CC"/>
    <w:rsid w:val="00587C19"/>
    <w:rsid w:val="005911FE"/>
    <w:rsid w:val="0059312F"/>
    <w:rsid w:val="00593220"/>
    <w:rsid w:val="0059380C"/>
    <w:rsid w:val="00595758"/>
    <w:rsid w:val="005958C9"/>
    <w:rsid w:val="00596081"/>
    <w:rsid w:val="0059720D"/>
    <w:rsid w:val="005972FC"/>
    <w:rsid w:val="005A1762"/>
    <w:rsid w:val="005A3943"/>
    <w:rsid w:val="005A51E6"/>
    <w:rsid w:val="005A632E"/>
    <w:rsid w:val="005A74DC"/>
    <w:rsid w:val="005B09B7"/>
    <w:rsid w:val="005B3921"/>
    <w:rsid w:val="005B6321"/>
    <w:rsid w:val="005B7418"/>
    <w:rsid w:val="005C0185"/>
    <w:rsid w:val="005C03A9"/>
    <w:rsid w:val="005C0D5D"/>
    <w:rsid w:val="005C0D6D"/>
    <w:rsid w:val="005C2303"/>
    <w:rsid w:val="005C2BFC"/>
    <w:rsid w:val="005C324B"/>
    <w:rsid w:val="005C43E2"/>
    <w:rsid w:val="005C454A"/>
    <w:rsid w:val="005C494D"/>
    <w:rsid w:val="005C5051"/>
    <w:rsid w:val="005C74C9"/>
    <w:rsid w:val="005D0194"/>
    <w:rsid w:val="005D1B14"/>
    <w:rsid w:val="005D1F72"/>
    <w:rsid w:val="005D257B"/>
    <w:rsid w:val="005E1D5C"/>
    <w:rsid w:val="005E25DC"/>
    <w:rsid w:val="005E52AE"/>
    <w:rsid w:val="005E5607"/>
    <w:rsid w:val="005E567C"/>
    <w:rsid w:val="005E72A9"/>
    <w:rsid w:val="005F0461"/>
    <w:rsid w:val="005F19D2"/>
    <w:rsid w:val="005F2B78"/>
    <w:rsid w:val="005F505E"/>
    <w:rsid w:val="005F7D6D"/>
    <w:rsid w:val="00602976"/>
    <w:rsid w:val="0060388D"/>
    <w:rsid w:val="00603ADE"/>
    <w:rsid w:val="00604231"/>
    <w:rsid w:val="00604DD6"/>
    <w:rsid w:val="006068F3"/>
    <w:rsid w:val="00606D25"/>
    <w:rsid w:val="00610C2F"/>
    <w:rsid w:val="00617FC8"/>
    <w:rsid w:val="006200A3"/>
    <w:rsid w:val="0062187C"/>
    <w:rsid w:val="006239BC"/>
    <w:rsid w:val="00623D16"/>
    <w:rsid w:val="00623FA3"/>
    <w:rsid w:val="00624FAF"/>
    <w:rsid w:val="006252FA"/>
    <w:rsid w:val="00625805"/>
    <w:rsid w:val="00626809"/>
    <w:rsid w:val="00627AC4"/>
    <w:rsid w:val="00630C71"/>
    <w:rsid w:val="00630FFF"/>
    <w:rsid w:val="00631B06"/>
    <w:rsid w:val="0063253B"/>
    <w:rsid w:val="00633F3C"/>
    <w:rsid w:val="0063409F"/>
    <w:rsid w:val="006363C8"/>
    <w:rsid w:val="00636BE2"/>
    <w:rsid w:val="00637AB8"/>
    <w:rsid w:val="006409B4"/>
    <w:rsid w:val="0064370D"/>
    <w:rsid w:val="00643771"/>
    <w:rsid w:val="00644946"/>
    <w:rsid w:val="00646AB8"/>
    <w:rsid w:val="00647BD9"/>
    <w:rsid w:val="00650815"/>
    <w:rsid w:val="00652F76"/>
    <w:rsid w:val="00653FFA"/>
    <w:rsid w:val="00654A3E"/>
    <w:rsid w:val="00655F79"/>
    <w:rsid w:val="0065618D"/>
    <w:rsid w:val="00657A0C"/>
    <w:rsid w:val="00657C37"/>
    <w:rsid w:val="006624A7"/>
    <w:rsid w:val="0066515F"/>
    <w:rsid w:val="006663E9"/>
    <w:rsid w:val="006668AF"/>
    <w:rsid w:val="00666AF1"/>
    <w:rsid w:val="006700DF"/>
    <w:rsid w:val="006701F3"/>
    <w:rsid w:val="00670A7E"/>
    <w:rsid w:val="0067278C"/>
    <w:rsid w:val="0067618F"/>
    <w:rsid w:val="00676DAA"/>
    <w:rsid w:val="00681888"/>
    <w:rsid w:val="00684357"/>
    <w:rsid w:val="00685BAF"/>
    <w:rsid w:val="00686439"/>
    <w:rsid w:val="006950C4"/>
    <w:rsid w:val="00697A88"/>
    <w:rsid w:val="00697CF1"/>
    <w:rsid w:val="006A6051"/>
    <w:rsid w:val="006A7C77"/>
    <w:rsid w:val="006B31D9"/>
    <w:rsid w:val="006B4D7E"/>
    <w:rsid w:val="006C0102"/>
    <w:rsid w:val="006C07D4"/>
    <w:rsid w:val="006C13FD"/>
    <w:rsid w:val="006C304E"/>
    <w:rsid w:val="006C41AD"/>
    <w:rsid w:val="006C64B3"/>
    <w:rsid w:val="006C7D80"/>
    <w:rsid w:val="006D04BD"/>
    <w:rsid w:val="006D3D5B"/>
    <w:rsid w:val="006D47EF"/>
    <w:rsid w:val="006D4D88"/>
    <w:rsid w:val="006D6644"/>
    <w:rsid w:val="006D7180"/>
    <w:rsid w:val="006E0015"/>
    <w:rsid w:val="006E2455"/>
    <w:rsid w:val="006E433B"/>
    <w:rsid w:val="006E60D7"/>
    <w:rsid w:val="006E6650"/>
    <w:rsid w:val="006E786E"/>
    <w:rsid w:val="006E7899"/>
    <w:rsid w:val="006E7C78"/>
    <w:rsid w:val="006F21A5"/>
    <w:rsid w:val="006F27F4"/>
    <w:rsid w:val="006F2E23"/>
    <w:rsid w:val="006F4762"/>
    <w:rsid w:val="006F4C30"/>
    <w:rsid w:val="006F6BF3"/>
    <w:rsid w:val="006F7024"/>
    <w:rsid w:val="006F741F"/>
    <w:rsid w:val="00700BA3"/>
    <w:rsid w:val="007014A0"/>
    <w:rsid w:val="00703A7C"/>
    <w:rsid w:val="00705D22"/>
    <w:rsid w:val="00706E02"/>
    <w:rsid w:val="007076DA"/>
    <w:rsid w:val="00707860"/>
    <w:rsid w:val="00712999"/>
    <w:rsid w:val="0071366E"/>
    <w:rsid w:val="0071378C"/>
    <w:rsid w:val="00714D11"/>
    <w:rsid w:val="00717131"/>
    <w:rsid w:val="00717AA0"/>
    <w:rsid w:val="007200B1"/>
    <w:rsid w:val="007207BF"/>
    <w:rsid w:val="007212FA"/>
    <w:rsid w:val="00722D00"/>
    <w:rsid w:val="00723345"/>
    <w:rsid w:val="00725CB0"/>
    <w:rsid w:val="00732059"/>
    <w:rsid w:val="0073517D"/>
    <w:rsid w:val="0073685C"/>
    <w:rsid w:val="00737EA5"/>
    <w:rsid w:val="007400AE"/>
    <w:rsid w:val="00741F3E"/>
    <w:rsid w:val="00742F88"/>
    <w:rsid w:val="00743AA8"/>
    <w:rsid w:val="00743BF0"/>
    <w:rsid w:val="00747662"/>
    <w:rsid w:val="00750840"/>
    <w:rsid w:val="00754ACC"/>
    <w:rsid w:val="00757617"/>
    <w:rsid w:val="00763AD8"/>
    <w:rsid w:val="00765016"/>
    <w:rsid w:val="007651A9"/>
    <w:rsid w:val="0076625B"/>
    <w:rsid w:val="00767EDE"/>
    <w:rsid w:val="0077100C"/>
    <w:rsid w:val="007741D1"/>
    <w:rsid w:val="0077488A"/>
    <w:rsid w:val="00774CD9"/>
    <w:rsid w:val="00775097"/>
    <w:rsid w:val="00776C39"/>
    <w:rsid w:val="0078138C"/>
    <w:rsid w:val="00781D00"/>
    <w:rsid w:val="007900F3"/>
    <w:rsid w:val="00791B69"/>
    <w:rsid w:val="00791F1A"/>
    <w:rsid w:val="0079498E"/>
    <w:rsid w:val="00796F10"/>
    <w:rsid w:val="00797EF6"/>
    <w:rsid w:val="007A3200"/>
    <w:rsid w:val="007A57A6"/>
    <w:rsid w:val="007A5F4D"/>
    <w:rsid w:val="007A65D1"/>
    <w:rsid w:val="007A6A4D"/>
    <w:rsid w:val="007A6AB5"/>
    <w:rsid w:val="007A6C67"/>
    <w:rsid w:val="007B1059"/>
    <w:rsid w:val="007B14D9"/>
    <w:rsid w:val="007B2B46"/>
    <w:rsid w:val="007B30F2"/>
    <w:rsid w:val="007B377B"/>
    <w:rsid w:val="007B377F"/>
    <w:rsid w:val="007B4274"/>
    <w:rsid w:val="007B443D"/>
    <w:rsid w:val="007B5117"/>
    <w:rsid w:val="007B599D"/>
    <w:rsid w:val="007B6650"/>
    <w:rsid w:val="007B6A74"/>
    <w:rsid w:val="007B6E80"/>
    <w:rsid w:val="007C2DC8"/>
    <w:rsid w:val="007D097E"/>
    <w:rsid w:val="007D230B"/>
    <w:rsid w:val="007D2D80"/>
    <w:rsid w:val="007D3681"/>
    <w:rsid w:val="007D3824"/>
    <w:rsid w:val="007D3B8B"/>
    <w:rsid w:val="007D49A1"/>
    <w:rsid w:val="007D59DD"/>
    <w:rsid w:val="007D7872"/>
    <w:rsid w:val="007D7DF9"/>
    <w:rsid w:val="007E1130"/>
    <w:rsid w:val="007E1F66"/>
    <w:rsid w:val="007E2CB5"/>
    <w:rsid w:val="007E3A64"/>
    <w:rsid w:val="007E4C10"/>
    <w:rsid w:val="007E6501"/>
    <w:rsid w:val="007E6C25"/>
    <w:rsid w:val="007E7F38"/>
    <w:rsid w:val="007F1D33"/>
    <w:rsid w:val="007F32D7"/>
    <w:rsid w:val="007F4F97"/>
    <w:rsid w:val="007F669E"/>
    <w:rsid w:val="0080024F"/>
    <w:rsid w:val="0080074C"/>
    <w:rsid w:val="00801632"/>
    <w:rsid w:val="008023ED"/>
    <w:rsid w:val="008030CE"/>
    <w:rsid w:val="0080477D"/>
    <w:rsid w:val="0080520B"/>
    <w:rsid w:val="008071B8"/>
    <w:rsid w:val="00807B3E"/>
    <w:rsid w:val="00810D4A"/>
    <w:rsid w:val="00812F82"/>
    <w:rsid w:val="00813589"/>
    <w:rsid w:val="00813EC9"/>
    <w:rsid w:val="008144EA"/>
    <w:rsid w:val="008146FD"/>
    <w:rsid w:val="00815BE2"/>
    <w:rsid w:val="008161A9"/>
    <w:rsid w:val="00816AA9"/>
    <w:rsid w:val="00816AAB"/>
    <w:rsid w:val="00816B6F"/>
    <w:rsid w:val="008178DB"/>
    <w:rsid w:val="00820402"/>
    <w:rsid w:val="00823269"/>
    <w:rsid w:val="008243B2"/>
    <w:rsid w:val="00824F08"/>
    <w:rsid w:val="008310DF"/>
    <w:rsid w:val="00831105"/>
    <w:rsid w:val="008315F5"/>
    <w:rsid w:val="0083269B"/>
    <w:rsid w:val="00832F5D"/>
    <w:rsid w:val="00835487"/>
    <w:rsid w:val="00835FDA"/>
    <w:rsid w:val="00843384"/>
    <w:rsid w:val="00844A4B"/>
    <w:rsid w:val="00846697"/>
    <w:rsid w:val="00846842"/>
    <w:rsid w:val="00846B33"/>
    <w:rsid w:val="00854676"/>
    <w:rsid w:val="008548E0"/>
    <w:rsid w:val="00856991"/>
    <w:rsid w:val="00860BB6"/>
    <w:rsid w:val="00861276"/>
    <w:rsid w:val="00865296"/>
    <w:rsid w:val="00867086"/>
    <w:rsid w:val="008671F2"/>
    <w:rsid w:val="00867BF3"/>
    <w:rsid w:val="008701B7"/>
    <w:rsid w:val="00871123"/>
    <w:rsid w:val="00871841"/>
    <w:rsid w:val="00874663"/>
    <w:rsid w:val="008765CA"/>
    <w:rsid w:val="00877A5A"/>
    <w:rsid w:val="00880B3F"/>
    <w:rsid w:val="00881B95"/>
    <w:rsid w:val="008831CA"/>
    <w:rsid w:val="00884B26"/>
    <w:rsid w:val="0088517F"/>
    <w:rsid w:val="00887FDA"/>
    <w:rsid w:val="00890273"/>
    <w:rsid w:val="0089272A"/>
    <w:rsid w:val="00893034"/>
    <w:rsid w:val="00894890"/>
    <w:rsid w:val="0089665D"/>
    <w:rsid w:val="00897247"/>
    <w:rsid w:val="00899939"/>
    <w:rsid w:val="008A0AFF"/>
    <w:rsid w:val="008A5DA0"/>
    <w:rsid w:val="008B08C0"/>
    <w:rsid w:val="008B08F0"/>
    <w:rsid w:val="008B098E"/>
    <w:rsid w:val="008B262C"/>
    <w:rsid w:val="008B2B5F"/>
    <w:rsid w:val="008B2DAD"/>
    <w:rsid w:val="008B3FF1"/>
    <w:rsid w:val="008B4CE5"/>
    <w:rsid w:val="008B5FE7"/>
    <w:rsid w:val="008B6FC8"/>
    <w:rsid w:val="008C1166"/>
    <w:rsid w:val="008C19E9"/>
    <w:rsid w:val="008C26E9"/>
    <w:rsid w:val="008C5869"/>
    <w:rsid w:val="008C68FC"/>
    <w:rsid w:val="008C6C21"/>
    <w:rsid w:val="008C7524"/>
    <w:rsid w:val="008C774E"/>
    <w:rsid w:val="008D1D28"/>
    <w:rsid w:val="008D2388"/>
    <w:rsid w:val="008D4652"/>
    <w:rsid w:val="008D5A2A"/>
    <w:rsid w:val="008D6D9D"/>
    <w:rsid w:val="008D7724"/>
    <w:rsid w:val="008E08B1"/>
    <w:rsid w:val="008E202A"/>
    <w:rsid w:val="008E5E4E"/>
    <w:rsid w:val="008F1691"/>
    <w:rsid w:val="008F1F4D"/>
    <w:rsid w:val="008F22E2"/>
    <w:rsid w:val="008F5698"/>
    <w:rsid w:val="008F639E"/>
    <w:rsid w:val="008F69DF"/>
    <w:rsid w:val="008F72AB"/>
    <w:rsid w:val="00901EF2"/>
    <w:rsid w:val="00902A67"/>
    <w:rsid w:val="00903EB6"/>
    <w:rsid w:val="00904906"/>
    <w:rsid w:val="009049BB"/>
    <w:rsid w:val="00905A62"/>
    <w:rsid w:val="00905FE4"/>
    <w:rsid w:val="0090645C"/>
    <w:rsid w:val="009065BA"/>
    <w:rsid w:val="009066CF"/>
    <w:rsid w:val="0090702F"/>
    <w:rsid w:val="009079D0"/>
    <w:rsid w:val="00911373"/>
    <w:rsid w:val="00911F59"/>
    <w:rsid w:val="009127B1"/>
    <w:rsid w:val="00913D0A"/>
    <w:rsid w:val="009148A1"/>
    <w:rsid w:val="00915F50"/>
    <w:rsid w:val="00916C75"/>
    <w:rsid w:val="009213E6"/>
    <w:rsid w:val="0092253C"/>
    <w:rsid w:val="00923F9F"/>
    <w:rsid w:val="00924972"/>
    <w:rsid w:val="009309D7"/>
    <w:rsid w:val="00930BE2"/>
    <w:rsid w:val="00932E1E"/>
    <w:rsid w:val="00934068"/>
    <w:rsid w:val="00936348"/>
    <w:rsid w:val="00937854"/>
    <w:rsid w:val="009400F4"/>
    <w:rsid w:val="00940D58"/>
    <w:rsid w:val="009427F3"/>
    <w:rsid w:val="00945579"/>
    <w:rsid w:val="00945FB4"/>
    <w:rsid w:val="009469E0"/>
    <w:rsid w:val="00951C4D"/>
    <w:rsid w:val="00952E03"/>
    <w:rsid w:val="0095396E"/>
    <w:rsid w:val="009547E2"/>
    <w:rsid w:val="00955B7A"/>
    <w:rsid w:val="00955F00"/>
    <w:rsid w:val="00956488"/>
    <w:rsid w:val="00956F5F"/>
    <w:rsid w:val="009572C6"/>
    <w:rsid w:val="009610DC"/>
    <w:rsid w:val="009669D2"/>
    <w:rsid w:val="0097154F"/>
    <w:rsid w:val="00981F60"/>
    <w:rsid w:val="0098457F"/>
    <w:rsid w:val="00985996"/>
    <w:rsid w:val="009865FB"/>
    <w:rsid w:val="00986978"/>
    <w:rsid w:val="00987ACF"/>
    <w:rsid w:val="009917C4"/>
    <w:rsid w:val="00994337"/>
    <w:rsid w:val="009945A8"/>
    <w:rsid w:val="00994F74"/>
    <w:rsid w:val="0099563A"/>
    <w:rsid w:val="009A13F4"/>
    <w:rsid w:val="009A23E8"/>
    <w:rsid w:val="009A44BE"/>
    <w:rsid w:val="009B029F"/>
    <w:rsid w:val="009B27F8"/>
    <w:rsid w:val="009B4A8B"/>
    <w:rsid w:val="009B593C"/>
    <w:rsid w:val="009B5EB2"/>
    <w:rsid w:val="009B74FB"/>
    <w:rsid w:val="009C0660"/>
    <w:rsid w:val="009C31A4"/>
    <w:rsid w:val="009C4845"/>
    <w:rsid w:val="009C59EF"/>
    <w:rsid w:val="009C707A"/>
    <w:rsid w:val="009C7314"/>
    <w:rsid w:val="009D1DB0"/>
    <w:rsid w:val="009D2442"/>
    <w:rsid w:val="009D5D9F"/>
    <w:rsid w:val="009D7F4D"/>
    <w:rsid w:val="009E0FA2"/>
    <w:rsid w:val="009E2244"/>
    <w:rsid w:val="009E2D42"/>
    <w:rsid w:val="009E57DF"/>
    <w:rsid w:val="009E69BA"/>
    <w:rsid w:val="009E6A91"/>
    <w:rsid w:val="009E7E93"/>
    <w:rsid w:val="009F3DEA"/>
    <w:rsid w:val="009F4162"/>
    <w:rsid w:val="009F4919"/>
    <w:rsid w:val="009F57FD"/>
    <w:rsid w:val="009F7F9F"/>
    <w:rsid w:val="00A01E02"/>
    <w:rsid w:val="00A02583"/>
    <w:rsid w:val="00A02E26"/>
    <w:rsid w:val="00A03334"/>
    <w:rsid w:val="00A033C4"/>
    <w:rsid w:val="00A05BA0"/>
    <w:rsid w:val="00A05BBD"/>
    <w:rsid w:val="00A10320"/>
    <w:rsid w:val="00A10C74"/>
    <w:rsid w:val="00A14EC0"/>
    <w:rsid w:val="00A159C9"/>
    <w:rsid w:val="00A167FB"/>
    <w:rsid w:val="00A21B70"/>
    <w:rsid w:val="00A21D02"/>
    <w:rsid w:val="00A21DDB"/>
    <w:rsid w:val="00A23CF6"/>
    <w:rsid w:val="00A2690C"/>
    <w:rsid w:val="00A2792F"/>
    <w:rsid w:val="00A30970"/>
    <w:rsid w:val="00A315E4"/>
    <w:rsid w:val="00A31D96"/>
    <w:rsid w:val="00A31FEE"/>
    <w:rsid w:val="00A33722"/>
    <w:rsid w:val="00A33C55"/>
    <w:rsid w:val="00A33C6C"/>
    <w:rsid w:val="00A34834"/>
    <w:rsid w:val="00A35A4E"/>
    <w:rsid w:val="00A3655D"/>
    <w:rsid w:val="00A37F1E"/>
    <w:rsid w:val="00A406C3"/>
    <w:rsid w:val="00A408FA"/>
    <w:rsid w:val="00A40C26"/>
    <w:rsid w:val="00A42875"/>
    <w:rsid w:val="00A44115"/>
    <w:rsid w:val="00A44B71"/>
    <w:rsid w:val="00A44DC1"/>
    <w:rsid w:val="00A45CC3"/>
    <w:rsid w:val="00A47168"/>
    <w:rsid w:val="00A47A98"/>
    <w:rsid w:val="00A47C63"/>
    <w:rsid w:val="00A47EE7"/>
    <w:rsid w:val="00A50818"/>
    <w:rsid w:val="00A50B43"/>
    <w:rsid w:val="00A51C87"/>
    <w:rsid w:val="00A52E39"/>
    <w:rsid w:val="00A54197"/>
    <w:rsid w:val="00A5687E"/>
    <w:rsid w:val="00A57DE7"/>
    <w:rsid w:val="00A61821"/>
    <w:rsid w:val="00A61E3A"/>
    <w:rsid w:val="00A62731"/>
    <w:rsid w:val="00A631BA"/>
    <w:rsid w:val="00A63625"/>
    <w:rsid w:val="00A65C27"/>
    <w:rsid w:val="00A67979"/>
    <w:rsid w:val="00A67CA5"/>
    <w:rsid w:val="00A717A1"/>
    <w:rsid w:val="00A74D84"/>
    <w:rsid w:val="00A75B49"/>
    <w:rsid w:val="00A75CCD"/>
    <w:rsid w:val="00A80506"/>
    <w:rsid w:val="00A806AE"/>
    <w:rsid w:val="00A8090D"/>
    <w:rsid w:val="00A8118F"/>
    <w:rsid w:val="00A81D99"/>
    <w:rsid w:val="00A83458"/>
    <w:rsid w:val="00A86C41"/>
    <w:rsid w:val="00A90148"/>
    <w:rsid w:val="00A917F8"/>
    <w:rsid w:val="00A945F3"/>
    <w:rsid w:val="00A963DA"/>
    <w:rsid w:val="00A97434"/>
    <w:rsid w:val="00AA0D8C"/>
    <w:rsid w:val="00AA1AAA"/>
    <w:rsid w:val="00AA25BC"/>
    <w:rsid w:val="00AA3077"/>
    <w:rsid w:val="00AA3502"/>
    <w:rsid w:val="00AA3E2A"/>
    <w:rsid w:val="00AA46AF"/>
    <w:rsid w:val="00AA4E11"/>
    <w:rsid w:val="00AA5A64"/>
    <w:rsid w:val="00AA5AE7"/>
    <w:rsid w:val="00AB0715"/>
    <w:rsid w:val="00AB15F9"/>
    <w:rsid w:val="00AB4E9E"/>
    <w:rsid w:val="00AB696B"/>
    <w:rsid w:val="00AB6C99"/>
    <w:rsid w:val="00AB7164"/>
    <w:rsid w:val="00AC11D5"/>
    <w:rsid w:val="00AC15E5"/>
    <w:rsid w:val="00AC1ED2"/>
    <w:rsid w:val="00AC22BB"/>
    <w:rsid w:val="00AC2A6F"/>
    <w:rsid w:val="00AC368C"/>
    <w:rsid w:val="00AC4080"/>
    <w:rsid w:val="00AC5A6D"/>
    <w:rsid w:val="00AC5D73"/>
    <w:rsid w:val="00AC5EF0"/>
    <w:rsid w:val="00AC73AD"/>
    <w:rsid w:val="00AC7BED"/>
    <w:rsid w:val="00AD067D"/>
    <w:rsid w:val="00AD26C6"/>
    <w:rsid w:val="00AD5996"/>
    <w:rsid w:val="00AD5FFD"/>
    <w:rsid w:val="00AD705A"/>
    <w:rsid w:val="00AD78F9"/>
    <w:rsid w:val="00AE008D"/>
    <w:rsid w:val="00AE0F6B"/>
    <w:rsid w:val="00AE1434"/>
    <w:rsid w:val="00AE19A7"/>
    <w:rsid w:val="00AE19CE"/>
    <w:rsid w:val="00AE2303"/>
    <w:rsid w:val="00AE30E0"/>
    <w:rsid w:val="00AE346F"/>
    <w:rsid w:val="00AE3AD5"/>
    <w:rsid w:val="00AE493A"/>
    <w:rsid w:val="00AE6B0E"/>
    <w:rsid w:val="00AF16A0"/>
    <w:rsid w:val="00AF2329"/>
    <w:rsid w:val="00AF3660"/>
    <w:rsid w:val="00AF54BA"/>
    <w:rsid w:val="00AF7A20"/>
    <w:rsid w:val="00B01312"/>
    <w:rsid w:val="00B02D98"/>
    <w:rsid w:val="00B06685"/>
    <w:rsid w:val="00B12E6A"/>
    <w:rsid w:val="00B15854"/>
    <w:rsid w:val="00B15D2F"/>
    <w:rsid w:val="00B16399"/>
    <w:rsid w:val="00B1760F"/>
    <w:rsid w:val="00B20141"/>
    <w:rsid w:val="00B20E25"/>
    <w:rsid w:val="00B21784"/>
    <w:rsid w:val="00B2586D"/>
    <w:rsid w:val="00B25AE4"/>
    <w:rsid w:val="00B262F9"/>
    <w:rsid w:val="00B265C9"/>
    <w:rsid w:val="00B26909"/>
    <w:rsid w:val="00B27664"/>
    <w:rsid w:val="00B30DEC"/>
    <w:rsid w:val="00B31169"/>
    <w:rsid w:val="00B31828"/>
    <w:rsid w:val="00B323F8"/>
    <w:rsid w:val="00B32F4E"/>
    <w:rsid w:val="00B35583"/>
    <w:rsid w:val="00B36C31"/>
    <w:rsid w:val="00B41A5F"/>
    <w:rsid w:val="00B41AE8"/>
    <w:rsid w:val="00B41E25"/>
    <w:rsid w:val="00B4226F"/>
    <w:rsid w:val="00B42BEE"/>
    <w:rsid w:val="00B452B7"/>
    <w:rsid w:val="00B458E3"/>
    <w:rsid w:val="00B46CA1"/>
    <w:rsid w:val="00B46FD7"/>
    <w:rsid w:val="00B478A2"/>
    <w:rsid w:val="00B51735"/>
    <w:rsid w:val="00B518FF"/>
    <w:rsid w:val="00B51C2E"/>
    <w:rsid w:val="00B5467A"/>
    <w:rsid w:val="00B54F17"/>
    <w:rsid w:val="00B55618"/>
    <w:rsid w:val="00B561EE"/>
    <w:rsid w:val="00B56683"/>
    <w:rsid w:val="00B57D47"/>
    <w:rsid w:val="00B6210E"/>
    <w:rsid w:val="00B632E3"/>
    <w:rsid w:val="00B63F4A"/>
    <w:rsid w:val="00B64DC8"/>
    <w:rsid w:val="00B67991"/>
    <w:rsid w:val="00B67E4B"/>
    <w:rsid w:val="00B70688"/>
    <w:rsid w:val="00B7080D"/>
    <w:rsid w:val="00B73E5F"/>
    <w:rsid w:val="00B75FD9"/>
    <w:rsid w:val="00B77091"/>
    <w:rsid w:val="00B830FD"/>
    <w:rsid w:val="00B837C1"/>
    <w:rsid w:val="00B841E0"/>
    <w:rsid w:val="00B85723"/>
    <w:rsid w:val="00B85A20"/>
    <w:rsid w:val="00B85E5C"/>
    <w:rsid w:val="00B860BA"/>
    <w:rsid w:val="00B865F5"/>
    <w:rsid w:val="00B870A0"/>
    <w:rsid w:val="00B918E9"/>
    <w:rsid w:val="00B91DFE"/>
    <w:rsid w:val="00B92858"/>
    <w:rsid w:val="00B92AF6"/>
    <w:rsid w:val="00B94822"/>
    <w:rsid w:val="00B965A1"/>
    <w:rsid w:val="00B966E9"/>
    <w:rsid w:val="00B96866"/>
    <w:rsid w:val="00B96BC7"/>
    <w:rsid w:val="00B97229"/>
    <w:rsid w:val="00BA08A3"/>
    <w:rsid w:val="00BA1004"/>
    <w:rsid w:val="00BA3D7D"/>
    <w:rsid w:val="00BA5AB3"/>
    <w:rsid w:val="00BA6363"/>
    <w:rsid w:val="00BB0037"/>
    <w:rsid w:val="00BB06D1"/>
    <w:rsid w:val="00BB227E"/>
    <w:rsid w:val="00BB3ABB"/>
    <w:rsid w:val="00BB4F22"/>
    <w:rsid w:val="00BB6151"/>
    <w:rsid w:val="00BB6D98"/>
    <w:rsid w:val="00BB7E3D"/>
    <w:rsid w:val="00BC13B4"/>
    <w:rsid w:val="00BC262B"/>
    <w:rsid w:val="00BC37C6"/>
    <w:rsid w:val="00BC3C24"/>
    <w:rsid w:val="00BC3CD1"/>
    <w:rsid w:val="00BC5EC6"/>
    <w:rsid w:val="00BC5F0E"/>
    <w:rsid w:val="00BC743F"/>
    <w:rsid w:val="00BD09C2"/>
    <w:rsid w:val="00BD2211"/>
    <w:rsid w:val="00BD221D"/>
    <w:rsid w:val="00BD3E65"/>
    <w:rsid w:val="00BD4725"/>
    <w:rsid w:val="00BD5934"/>
    <w:rsid w:val="00BD6492"/>
    <w:rsid w:val="00BD7785"/>
    <w:rsid w:val="00BE10F6"/>
    <w:rsid w:val="00BE18E1"/>
    <w:rsid w:val="00BE3B2E"/>
    <w:rsid w:val="00BE7DE8"/>
    <w:rsid w:val="00BF1CBD"/>
    <w:rsid w:val="00BF2B2B"/>
    <w:rsid w:val="00BF52C4"/>
    <w:rsid w:val="00BF536D"/>
    <w:rsid w:val="00BF62EC"/>
    <w:rsid w:val="00C006BE"/>
    <w:rsid w:val="00C0142F"/>
    <w:rsid w:val="00C05B8E"/>
    <w:rsid w:val="00C1063D"/>
    <w:rsid w:val="00C11301"/>
    <w:rsid w:val="00C15E0E"/>
    <w:rsid w:val="00C23CAA"/>
    <w:rsid w:val="00C23FB5"/>
    <w:rsid w:val="00C24A1A"/>
    <w:rsid w:val="00C264C1"/>
    <w:rsid w:val="00C3097E"/>
    <w:rsid w:val="00C331BB"/>
    <w:rsid w:val="00C36020"/>
    <w:rsid w:val="00C400CB"/>
    <w:rsid w:val="00C418C5"/>
    <w:rsid w:val="00C41A08"/>
    <w:rsid w:val="00C422B9"/>
    <w:rsid w:val="00C4240A"/>
    <w:rsid w:val="00C4241E"/>
    <w:rsid w:val="00C504EC"/>
    <w:rsid w:val="00C50EFE"/>
    <w:rsid w:val="00C53A22"/>
    <w:rsid w:val="00C54436"/>
    <w:rsid w:val="00C54ED6"/>
    <w:rsid w:val="00C55B5E"/>
    <w:rsid w:val="00C615A3"/>
    <w:rsid w:val="00C6198D"/>
    <w:rsid w:val="00C63460"/>
    <w:rsid w:val="00C635DA"/>
    <w:rsid w:val="00C639E7"/>
    <w:rsid w:val="00C63F91"/>
    <w:rsid w:val="00C642E0"/>
    <w:rsid w:val="00C659BE"/>
    <w:rsid w:val="00C71024"/>
    <w:rsid w:val="00C713CA"/>
    <w:rsid w:val="00C7627B"/>
    <w:rsid w:val="00C76F42"/>
    <w:rsid w:val="00C80300"/>
    <w:rsid w:val="00C82307"/>
    <w:rsid w:val="00C82E27"/>
    <w:rsid w:val="00C8613B"/>
    <w:rsid w:val="00C862B9"/>
    <w:rsid w:val="00C900DE"/>
    <w:rsid w:val="00C911D3"/>
    <w:rsid w:val="00C92622"/>
    <w:rsid w:val="00C92BC5"/>
    <w:rsid w:val="00C966A3"/>
    <w:rsid w:val="00C97228"/>
    <w:rsid w:val="00C9780D"/>
    <w:rsid w:val="00CA02DA"/>
    <w:rsid w:val="00CA0BB3"/>
    <w:rsid w:val="00CA1A54"/>
    <w:rsid w:val="00CA1CB3"/>
    <w:rsid w:val="00CA4968"/>
    <w:rsid w:val="00CA655A"/>
    <w:rsid w:val="00CA7BAB"/>
    <w:rsid w:val="00CA7E04"/>
    <w:rsid w:val="00CB11FD"/>
    <w:rsid w:val="00CB4D73"/>
    <w:rsid w:val="00CB5F85"/>
    <w:rsid w:val="00CB6C31"/>
    <w:rsid w:val="00CB759D"/>
    <w:rsid w:val="00CC24F5"/>
    <w:rsid w:val="00CC3151"/>
    <w:rsid w:val="00CC34F6"/>
    <w:rsid w:val="00CC46B2"/>
    <w:rsid w:val="00CC5718"/>
    <w:rsid w:val="00CC6443"/>
    <w:rsid w:val="00CC6B7D"/>
    <w:rsid w:val="00CD1352"/>
    <w:rsid w:val="00CD1CBE"/>
    <w:rsid w:val="00CD1E3E"/>
    <w:rsid w:val="00CD2EDC"/>
    <w:rsid w:val="00CD32E2"/>
    <w:rsid w:val="00CD4B0B"/>
    <w:rsid w:val="00CD6698"/>
    <w:rsid w:val="00CE1E5B"/>
    <w:rsid w:val="00CE3056"/>
    <w:rsid w:val="00CE3AC2"/>
    <w:rsid w:val="00CE747D"/>
    <w:rsid w:val="00CF1D92"/>
    <w:rsid w:val="00CF2D92"/>
    <w:rsid w:val="00CF5D91"/>
    <w:rsid w:val="00CF6D53"/>
    <w:rsid w:val="00D0025C"/>
    <w:rsid w:val="00D004FB"/>
    <w:rsid w:val="00D009F1"/>
    <w:rsid w:val="00D02BBC"/>
    <w:rsid w:val="00D02C36"/>
    <w:rsid w:val="00D039B9"/>
    <w:rsid w:val="00D04E0C"/>
    <w:rsid w:val="00D04E72"/>
    <w:rsid w:val="00D04EB0"/>
    <w:rsid w:val="00D12172"/>
    <w:rsid w:val="00D12B8C"/>
    <w:rsid w:val="00D148B4"/>
    <w:rsid w:val="00D200F6"/>
    <w:rsid w:val="00D2044A"/>
    <w:rsid w:val="00D21601"/>
    <w:rsid w:val="00D21646"/>
    <w:rsid w:val="00D2171F"/>
    <w:rsid w:val="00D247B2"/>
    <w:rsid w:val="00D35117"/>
    <w:rsid w:val="00D36A3A"/>
    <w:rsid w:val="00D40A3D"/>
    <w:rsid w:val="00D41753"/>
    <w:rsid w:val="00D41E33"/>
    <w:rsid w:val="00D454F2"/>
    <w:rsid w:val="00D47CE9"/>
    <w:rsid w:val="00D52995"/>
    <w:rsid w:val="00D529C1"/>
    <w:rsid w:val="00D540A8"/>
    <w:rsid w:val="00D55C7F"/>
    <w:rsid w:val="00D56160"/>
    <w:rsid w:val="00D60425"/>
    <w:rsid w:val="00D70621"/>
    <w:rsid w:val="00D70E16"/>
    <w:rsid w:val="00D72ADE"/>
    <w:rsid w:val="00D75233"/>
    <w:rsid w:val="00D7728F"/>
    <w:rsid w:val="00D77696"/>
    <w:rsid w:val="00D81CC4"/>
    <w:rsid w:val="00D82A56"/>
    <w:rsid w:val="00D8773A"/>
    <w:rsid w:val="00D90294"/>
    <w:rsid w:val="00D91491"/>
    <w:rsid w:val="00D914AE"/>
    <w:rsid w:val="00D975F8"/>
    <w:rsid w:val="00D9765E"/>
    <w:rsid w:val="00DA05AA"/>
    <w:rsid w:val="00DA1473"/>
    <w:rsid w:val="00DA4591"/>
    <w:rsid w:val="00DA6430"/>
    <w:rsid w:val="00DA681A"/>
    <w:rsid w:val="00DA6B7E"/>
    <w:rsid w:val="00DB1EF9"/>
    <w:rsid w:val="00DB2BFF"/>
    <w:rsid w:val="00DB2D9B"/>
    <w:rsid w:val="00DB4B17"/>
    <w:rsid w:val="00DB5CE6"/>
    <w:rsid w:val="00DB63BE"/>
    <w:rsid w:val="00DB63DB"/>
    <w:rsid w:val="00DB76D6"/>
    <w:rsid w:val="00DB7824"/>
    <w:rsid w:val="00DB7B06"/>
    <w:rsid w:val="00DC308E"/>
    <w:rsid w:val="00DC5E0F"/>
    <w:rsid w:val="00DC6C76"/>
    <w:rsid w:val="00DC7F73"/>
    <w:rsid w:val="00DD2E12"/>
    <w:rsid w:val="00DD7976"/>
    <w:rsid w:val="00DE191A"/>
    <w:rsid w:val="00DE1A0F"/>
    <w:rsid w:val="00DE221D"/>
    <w:rsid w:val="00DE2B1F"/>
    <w:rsid w:val="00DE3123"/>
    <w:rsid w:val="00DE339F"/>
    <w:rsid w:val="00DE4192"/>
    <w:rsid w:val="00DE4946"/>
    <w:rsid w:val="00DE5959"/>
    <w:rsid w:val="00DE65D3"/>
    <w:rsid w:val="00DE7389"/>
    <w:rsid w:val="00DF0F7E"/>
    <w:rsid w:val="00DF1535"/>
    <w:rsid w:val="00DF1B17"/>
    <w:rsid w:val="00DF1B61"/>
    <w:rsid w:val="00DF3AA0"/>
    <w:rsid w:val="00DF4F0F"/>
    <w:rsid w:val="00DF53F5"/>
    <w:rsid w:val="00DF61FD"/>
    <w:rsid w:val="00DF6D25"/>
    <w:rsid w:val="00DF787D"/>
    <w:rsid w:val="00E009D5"/>
    <w:rsid w:val="00E00FE3"/>
    <w:rsid w:val="00E03C6D"/>
    <w:rsid w:val="00E05D2D"/>
    <w:rsid w:val="00E07CD6"/>
    <w:rsid w:val="00E10CDB"/>
    <w:rsid w:val="00E11EE3"/>
    <w:rsid w:val="00E12726"/>
    <w:rsid w:val="00E135F9"/>
    <w:rsid w:val="00E13D52"/>
    <w:rsid w:val="00E14349"/>
    <w:rsid w:val="00E175AD"/>
    <w:rsid w:val="00E20C28"/>
    <w:rsid w:val="00E211B2"/>
    <w:rsid w:val="00E21A05"/>
    <w:rsid w:val="00E21B2B"/>
    <w:rsid w:val="00E22A77"/>
    <w:rsid w:val="00E22E84"/>
    <w:rsid w:val="00E24B18"/>
    <w:rsid w:val="00E258B5"/>
    <w:rsid w:val="00E3016C"/>
    <w:rsid w:val="00E348BC"/>
    <w:rsid w:val="00E35B8D"/>
    <w:rsid w:val="00E3677A"/>
    <w:rsid w:val="00E40321"/>
    <w:rsid w:val="00E407E7"/>
    <w:rsid w:val="00E424C0"/>
    <w:rsid w:val="00E4307D"/>
    <w:rsid w:val="00E4318F"/>
    <w:rsid w:val="00E4392E"/>
    <w:rsid w:val="00E454FB"/>
    <w:rsid w:val="00E50B9E"/>
    <w:rsid w:val="00E53303"/>
    <w:rsid w:val="00E54395"/>
    <w:rsid w:val="00E54741"/>
    <w:rsid w:val="00E554EE"/>
    <w:rsid w:val="00E55E92"/>
    <w:rsid w:val="00E5621D"/>
    <w:rsid w:val="00E5638B"/>
    <w:rsid w:val="00E568E5"/>
    <w:rsid w:val="00E57AAD"/>
    <w:rsid w:val="00E63341"/>
    <w:rsid w:val="00E63DC0"/>
    <w:rsid w:val="00E6453F"/>
    <w:rsid w:val="00E659EF"/>
    <w:rsid w:val="00E677A6"/>
    <w:rsid w:val="00E70CBD"/>
    <w:rsid w:val="00E717E8"/>
    <w:rsid w:val="00E72BAF"/>
    <w:rsid w:val="00E73D81"/>
    <w:rsid w:val="00E73F5C"/>
    <w:rsid w:val="00E748B5"/>
    <w:rsid w:val="00E754F4"/>
    <w:rsid w:val="00E82AE8"/>
    <w:rsid w:val="00E83F64"/>
    <w:rsid w:val="00E860A8"/>
    <w:rsid w:val="00E865D1"/>
    <w:rsid w:val="00E9087F"/>
    <w:rsid w:val="00E90B51"/>
    <w:rsid w:val="00E91BEB"/>
    <w:rsid w:val="00E932B4"/>
    <w:rsid w:val="00EA057C"/>
    <w:rsid w:val="00EA2D3D"/>
    <w:rsid w:val="00EA4C02"/>
    <w:rsid w:val="00EA5B84"/>
    <w:rsid w:val="00EA6436"/>
    <w:rsid w:val="00EA7C8C"/>
    <w:rsid w:val="00EB056D"/>
    <w:rsid w:val="00EB176E"/>
    <w:rsid w:val="00EB20F9"/>
    <w:rsid w:val="00EB24EB"/>
    <w:rsid w:val="00EB2ED9"/>
    <w:rsid w:val="00EB34AF"/>
    <w:rsid w:val="00EB5B2C"/>
    <w:rsid w:val="00EC0ABE"/>
    <w:rsid w:val="00EC2AD4"/>
    <w:rsid w:val="00EC2AF2"/>
    <w:rsid w:val="00EC4235"/>
    <w:rsid w:val="00EC7F82"/>
    <w:rsid w:val="00ED06CC"/>
    <w:rsid w:val="00ED19E8"/>
    <w:rsid w:val="00ED2C8E"/>
    <w:rsid w:val="00ED2D8C"/>
    <w:rsid w:val="00ED350A"/>
    <w:rsid w:val="00ED379E"/>
    <w:rsid w:val="00ED3C2C"/>
    <w:rsid w:val="00ED3C6A"/>
    <w:rsid w:val="00ED7680"/>
    <w:rsid w:val="00EE0424"/>
    <w:rsid w:val="00EE0859"/>
    <w:rsid w:val="00EE0D47"/>
    <w:rsid w:val="00EE1CAB"/>
    <w:rsid w:val="00EE5358"/>
    <w:rsid w:val="00EF1B6A"/>
    <w:rsid w:val="00EF2883"/>
    <w:rsid w:val="00EF3272"/>
    <w:rsid w:val="00EF3C59"/>
    <w:rsid w:val="00EF54D8"/>
    <w:rsid w:val="00EF71E9"/>
    <w:rsid w:val="00EF727E"/>
    <w:rsid w:val="00F006D2"/>
    <w:rsid w:val="00F00BD1"/>
    <w:rsid w:val="00F01FD9"/>
    <w:rsid w:val="00F02B87"/>
    <w:rsid w:val="00F04B07"/>
    <w:rsid w:val="00F05BA8"/>
    <w:rsid w:val="00F10AD1"/>
    <w:rsid w:val="00F16003"/>
    <w:rsid w:val="00F16F13"/>
    <w:rsid w:val="00F20AEA"/>
    <w:rsid w:val="00F219C3"/>
    <w:rsid w:val="00F23E9A"/>
    <w:rsid w:val="00F242D9"/>
    <w:rsid w:val="00F259FE"/>
    <w:rsid w:val="00F3715D"/>
    <w:rsid w:val="00F37718"/>
    <w:rsid w:val="00F412D0"/>
    <w:rsid w:val="00F44B62"/>
    <w:rsid w:val="00F47332"/>
    <w:rsid w:val="00F5072C"/>
    <w:rsid w:val="00F51CBF"/>
    <w:rsid w:val="00F51FBF"/>
    <w:rsid w:val="00F526D5"/>
    <w:rsid w:val="00F538F6"/>
    <w:rsid w:val="00F5411D"/>
    <w:rsid w:val="00F55403"/>
    <w:rsid w:val="00F56D2B"/>
    <w:rsid w:val="00F57D2D"/>
    <w:rsid w:val="00F606D8"/>
    <w:rsid w:val="00F6229C"/>
    <w:rsid w:val="00F62A49"/>
    <w:rsid w:val="00F62AEC"/>
    <w:rsid w:val="00F640A9"/>
    <w:rsid w:val="00F64F0D"/>
    <w:rsid w:val="00F67D53"/>
    <w:rsid w:val="00F7026A"/>
    <w:rsid w:val="00F71826"/>
    <w:rsid w:val="00F7260C"/>
    <w:rsid w:val="00F729E7"/>
    <w:rsid w:val="00F72B45"/>
    <w:rsid w:val="00F7321E"/>
    <w:rsid w:val="00F7325C"/>
    <w:rsid w:val="00F73B00"/>
    <w:rsid w:val="00F746F7"/>
    <w:rsid w:val="00F764EE"/>
    <w:rsid w:val="00F76890"/>
    <w:rsid w:val="00F8016D"/>
    <w:rsid w:val="00F80789"/>
    <w:rsid w:val="00F83889"/>
    <w:rsid w:val="00F84737"/>
    <w:rsid w:val="00F84BF8"/>
    <w:rsid w:val="00F8638D"/>
    <w:rsid w:val="00F872DB"/>
    <w:rsid w:val="00F87947"/>
    <w:rsid w:val="00F87B69"/>
    <w:rsid w:val="00F90BC3"/>
    <w:rsid w:val="00F90C10"/>
    <w:rsid w:val="00F90C95"/>
    <w:rsid w:val="00F9103E"/>
    <w:rsid w:val="00F92B2D"/>
    <w:rsid w:val="00F9499C"/>
    <w:rsid w:val="00F95923"/>
    <w:rsid w:val="00F96A39"/>
    <w:rsid w:val="00F96DB3"/>
    <w:rsid w:val="00F97463"/>
    <w:rsid w:val="00FA33FC"/>
    <w:rsid w:val="00FA3BC4"/>
    <w:rsid w:val="00FA4031"/>
    <w:rsid w:val="00FA4B50"/>
    <w:rsid w:val="00FA4DC6"/>
    <w:rsid w:val="00FA5D99"/>
    <w:rsid w:val="00FA71A6"/>
    <w:rsid w:val="00FB030E"/>
    <w:rsid w:val="00FB2A34"/>
    <w:rsid w:val="00FB32F9"/>
    <w:rsid w:val="00FB40B0"/>
    <w:rsid w:val="00FB5396"/>
    <w:rsid w:val="00FB571F"/>
    <w:rsid w:val="00FB5D04"/>
    <w:rsid w:val="00FC42B6"/>
    <w:rsid w:val="00FC42BA"/>
    <w:rsid w:val="00FC59E4"/>
    <w:rsid w:val="00FC6166"/>
    <w:rsid w:val="00FC6760"/>
    <w:rsid w:val="00FC75CD"/>
    <w:rsid w:val="00FC77BB"/>
    <w:rsid w:val="00FD08C1"/>
    <w:rsid w:val="00FD1841"/>
    <w:rsid w:val="00FD2C54"/>
    <w:rsid w:val="00FD41C6"/>
    <w:rsid w:val="00FD637E"/>
    <w:rsid w:val="00FD7A7A"/>
    <w:rsid w:val="00FE10C1"/>
    <w:rsid w:val="00FE190E"/>
    <w:rsid w:val="00FE20A9"/>
    <w:rsid w:val="00FE48A9"/>
    <w:rsid w:val="00FF08B7"/>
    <w:rsid w:val="00FF12B8"/>
    <w:rsid w:val="00FF294E"/>
    <w:rsid w:val="00FF32F3"/>
    <w:rsid w:val="00FF521D"/>
    <w:rsid w:val="012C3E4B"/>
    <w:rsid w:val="02474BAA"/>
    <w:rsid w:val="024E8A09"/>
    <w:rsid w:val="028E8525"/>
    <w:rsid w:val="0299A2AD"/>
    <w:rsid w:val="02CDBEC6"/>
    <w:rsid w:val="02FBF128"/>
    <w:rsid w:val="030A761F"/>
    <w:rsid w:val="042D7947"/>
    <w:rsid w:val="04D9D642"/>
    <w:rsid w:val="051366AA"/>
    <w:rsid w:val="051E4B18"/>
    <w:rsid w:val="0544541D"/>
    <w:rsid w:val="05A21B7D"/>
    <w:rsid w:val="05B5CA91"/>
    <w:rsid w:val="060BEDBD"/>
    <w:rsid w:val="061C8797"/>
    <w:rsid w:val="061D819B"/>
    <w:rsid w:val="062268F2"/>
    <w:rsid w:val="06488A33"/>
    <w:rsid w:val="0649AB4B"/>
    <w:rsid w:val="06A784A5"/>
    <w:rsid w:val="06C1D906"/>
    <w:rsid w:val="06D6256B"/>
    <w:rsid w:val="06EA2667"/>
    <w:rsid w:val="0772FF17"/>
    <w:rsid w:val="07C80D80"/>
    <w:rsid w:val="07EAA774"/>
    <w:rsid w:val="07F74081"/>
    <w:rsid w:val="088DFED9"/>
    <w:rsid w:val="08EE6B24"/>
    <w:rsid w:val="0907419F"/>
    <w:rsid w:val="092F00CA"/>
    <w:rsid w:val="099D94A8"/>
    <w:rsid w:val="09B00464"/>
    <w:rsid w:val="09E5EFEF"/>
    <w:rsid w:val="0A2407E6"/>
    <w:rsid w:val="0A8AD597"/>
    <w:rsid w:val="0A91C6C3"/>
    <w:rsid w:val="0B36D970"/>
    <w:rsid w:val="0BACD021"/>
    <w:rsid w:val="0BE04AA1"/>
    <w:rsid w:val="0C275608"/>
    <w:rsid w:val="0C71509E"/>
    <w:rsid w:val="0C90D8B7"/>
    <w:rsid w:val="0CB91CDE"/>
    <w:rsid w:val="0CBC316C"/>
    <w:rsid w:val="0D01CBBD"/>
    <w:rsid w:val="0D229FEA"/>
    <w:rsid w:val="0D274D85"/>
    <w:rsid w:val="0DDEAC73"/>
    <w:rsid w:val="0DE9E674"/>
    <w:rsid w:val="0E92E837"/>
    <w:rsid w:val="0EAC690E"/>
    <w:rsid w:val="0EBB1C5C"/>
    <w:rsid w:val="0F07C54D"/>
    <w:rsid w:val="0F31376A"/>
    <w:rsid w:val="0F50F2E1"/>
    <w:rsid w:val="0F6B9D23"/>
    <w:rsid w:val="0F9E447A"/>
    <w:rsid w:val="0FAB8CBA"/>
    <w:rsid w:val="0FD9A344"/>
    <w:rsid w:val="105AA806"/>
    <w:rsid w:val="109E998D"/>
    <w:rsid w:val="109EC42F"/>
    <w:rsid w:val="10A4B3DF"/>
    <w:rsid w:val="11049EB1"/>
    <w:rsid w:val="11108096"/>
    <w:rsid w:val="112ACB84"/>
    <w:rsid w:val="112C5AD4"/>
    <w:rsid w:val="112EC7D9"/>
    <w:rsid w:val="119284D4"/>
    <w:rsid w:val="11B38861"/>
    <w:rsid w:val="121C07F6"/>
    <w:rsid w:val="121C9A56"/>
    <w:rsid w:val="13914AE6"/>
    <w:rsid w:val="13953C05"/>
    <w:rsid w:val="13F4405B"/>
    <w:rsid w:val="146EC421"/>
    <w:rsid w:val="14981A21"/>
    <w:rsid w:val="14A027A9"/>
    <w:rsid w:val="14AF949F"/>
    <w:rsid w:val="14BADD44"/>
    <w:rsid w:val="152BC146"/>
    <w:rsid w:val="1579F067"/>
    <w:rsid w:val="158AD47B"/>
    <w:rsid w:val="16DD561A"/>
    <w:rsid w:val="17F17654"/>
    <w:rsid w:val="18062C8C"/>
    <w:rsid w:val="1824F0A3"/>
    <w:rsid w:val="18668750"/>
    <w:rsid w:val="18739FB1"/>
    <w:rsid w:val="188B3D61"/>
    <w:rsid w:val="188DFA55"/>
    <w:rsid w:val="18CDFB7F"/>
    <w:rsid w:val="18D728C3"/>
    <w:rsid w:val="191F061A"/>
    <w:rsid w:val="1945C3A7"/>
    <w:rsid w:val="19AF741F"/>
    <w:rsid w:val="19BD9446"/>
    <w:rsid w:val="19D9D1CE"/>
    <w:rsid w:val="1AF7D7E2"/>
    <w:rsid w:val="1CB7621A"/>
    <w:rsid w:val="1CED84C9"/>
    <w:rsid w:val="1D364378"/>
    <w:rsid w:val="1D67FA02"/>
    <w:rsid w:val="1D747648"/>
    <w:rsid w:val="1D969664"/>
    <w:rsid w:val="1E23CD17"/>
    <w:rsid w:val="1E6505D0"/>
    <w:rsid w:val="1E7AFE23"/>
    <w:rsid w:val="1EF24EFC"/>
    <w:rsid w:val="1EFE24EE"/>
    <w:rsid w:val="1F09C9EA"/>
    <w:rsid w:val="1F3A7CC0"/>
    <w:rsid w:val="1FB43410"/>
    <w:rsid w:val="1FF7082A"/>
    <w:rsid w:val="201BD9F9"/>
    <w:rsid w:val="2063E67F"/>
    <w:rsid w:val="20E3068C"/>
    <w:rsid w:val="212DA189"/>
    <w:rsid w:val="216D129C"/>
    <w:rsid w:val="21830134"/>
    <w:rsid w:val="21A1A00F"/>
    <w:rsid w:val="21B05AAB"/>
    <w:rsid w:val="22166794"/>
    <w:rsid w:val="226ACE81"/>
    <w:rsid w:val="22954781"/>
    <w:rsid w:val="22ED31BE"/>
    <w:rsid w:val="22F402FC"/>
    <w:rsid w:val="23036AD1"/>
    <w:rsid w:val="234D8CDC"/>
    <w:rsid w:val="23F3B061"/>
    <w:rsid w:val="241F6F63"/>
    <w:rsid w:val="244711D2"/>
    <w:rsid w:val="2483D2C0"/>
    <w:rsid w:val="24BA04A2"/>
    <w:rsid w:val="24FC6E85"/>
    <w:rsid w:val="252C54C8"/>
    <w:rsid w:val="26332440"/>
    <w:rsid w:val="2633B7FC"/>
    <w:rsid w:val="264272B7"/>
    <w:rsid w:val="26611C6A"/>
    <w:rsid w:val="26B71D3C"/>
    <w:rsid w:val="275C4B21"/>
    <w:rsid w:val="27B6CF6E"/>
    <w:rsid w:val="2841D357"/>
    <w:rsid w:val="284989B4"/>
    <w:rsid w:val="29054E79"/>
    <w:rsid w:val="2913B007"/>
    <w:rsid w:val="29464510"/>
    <w:rsid w:val="295D263B"/>
    <w:rsid w:val="298A750C"/>
    <w:rsid w:val="29A2D1B0"/>
    <w:rsid w:val="29D788E9"/>
    <w:rsid w:val="2A44BA39"/>
    <w:rsid w:val="2A826533"/>
    <w:rsid w:val="2B00F578"/>
    <w:rsid w:val="2B559BBE"/>
    <w:rsid w:val="2B9B095B"/>
    <w:rsid w:val="2C09A4F2"/>
    <w:rsid w:val="2CBD38D4"/>
    <w:rsid w:val="2CC3F926"/>
    <w:rsid w:val="2CCF965F"/>
    <w:rsid w:val="2CEB69C6"/>
    <w:rsid w:val="2DB9AA7C"/>
    <w:rsid w:val="2DC37587"/>
    <w:rsid w:val="2E161CF8"/>
    <w:rsid w:val="2E182F1F"/>
    <w:rsid w:val="2E6583F7"/>
    <w:rsid w:val="2E695814"/>
    <w:rsid w:val="2E9A2CC5"/>
    <w:rsid w:val="2ED24160"/>
    <w:rsid w:val="2ED589FA"/>
    <w:rsid w:val="2F1D7453"/>
    <w:rsid w:val="2F323822"/>
    <w:rsid w:val="2FBABA81"/>
    <w:rsid w:val="2FCA7C3F"/>
    <w:rsid w:val="2FFF4838"/>
    <w:rsid w:val="302670A7"/>
    <w:rsid w:val="3059A533"/>
    <w:rsid w:val="3083C09F"/>
    <w:rsid w:val="30C57915"/>
    <w:rsid w:val="30E42DBF"/>
    <w:rsid w:val="3132D7A4"/>
    <w:rsid w:val="31B8CFEE"/>
    <w:rsid w:val="31D85F9D"/>
    <w:rsid w:val="3212065D"/>
    <w:rsid w:val="32A314C4"/>
    <w:rsid w:val="3309ED6D"/>
    <w:rsid w:val="340074CC"/>
    <w:rsid w:val="341F7123"/>
    <w:rsid w:val="3426A809"/>
    <w:rsid w:val="3428F51C"/>
    <w:rsid w:val="3433D806"/>
    <w:rsid w:val="34847B0D"/>
    <w:rsid w:val="348A9A8B"/>
    <w:rsid w:val="349121DA"/>
    <w:rsid w:val="34ABED30"/>
    <w:rsid w:val="34F35BAB"/>
    <w:rsid w:val="34FC5B6E"/>
    <w:rsid w:val="35094137"/>
    <w:rsid w:val="356DDC05"/>
    <w:rsid w:val="35924A63"/>
    <w:rsid w:val="35978CAD"/>
    <w:rsid w:val="36304871"/>
    <w:rsid w:val="36894856"/>
    <w:rsid w:val="36928DB5"/>
    <w:rsid w:val="36B13BC4"/>
    <w:rsid w:val="3737C6E4"/>
    <w:rsid w:val="375ADBA9"/>
    <w:rsid w:val="3802EB05"/>
    <w:rsid w:val="3819FDFC"/>
    <w:rsid w:val="381A48C7"/>
    <w:rsid w:val="382D9530"/>
    <w:rsid w:val="387D1023"/>
    <w:rsid w:val="38E7C948"/>
    <w:rsid w:val="38EB0BDE"/>
    <w:rsid w:val="393AC6D1"/>
    <w:rsid w:val="39582378"/>
    <w:rsid w:val="399896F6"/>
    <w:rsid w:val="3A39DA8A"/>
    <w:rsid w:val="3A48E935"/>
    <w:rsid w:val="3A49A2A6"/>
    <w:rsid w:val="3A889F31"/>
    <w:rsid w:val="3AAE54DF"/>
    <w:rsid w:val="3AEF83E5"/>
    <w:rsid w:val="3AFE7FF9"/>
    <w:rsid w:val="3BED46B2"/>
    <w:rsid w:val="3D149B26"/>
    <w:rsid w:val="3D6E0388"/>
    <w:rsid w:val="3DCB9328"/>
    <w:rsid w:val="3DDB708C"/>
    <w:rsid w:val="3E617F56"/>
    <w:rsid w:val="3E6A8862"/>
    <w:rsid w:val="3EDC2167"/>
    <w:rsid w:val="3F13E2F2"/>
    <w:rsid w:val="3F928EFF"/>
    <w:rsid w:val="40033BCA"/>
    <w:rsid w:val="40235FF7"/>
    <w:rsid w:val="4038BB90"/>
    <w:rsid w:val="403B3FCC"/>
    <w:rsid w:val="40693AA1"/>
    <w:rsid w:val="40697A59"/>
    <w:rsid w:val="415E5C0E"/>
    <w:rsid w:val="4177AC7E"/>
    <w:rsid w:val="417D9325"/>
    <w:rsid w:val="4187761B"/>
    <w:rsid w:val="41926DF7"/>
    <w:rsid w:val="41F05971"/>
    <w:rsid w:val="41F5BA5E"/>
    <w:rsid w:val="42471CAC"/>
    <w:rsid w:val="42640E88"/>
    <w:rsid w:val="42D17FA8"/>
    <w:rsid w:val="43062685"/>
    <w:rsid w:val="43412CC0"/>
    <w:rsid w:val="434C9BF0"/>
    <w:rsid w:val="43B315E1"/>
    <w:rsid w:val="43E9190F"/>
    <w:rsid w:val="44101A17"/>
    <w:rsid w:val="44255A52"/>
    <w:rsid w:val="444435FD"/>
    <w:rsid w:val="44A5CC7F"/>
    <w:rsid w:val="44B1D4A3"/>
    <w:rsid w:val="44D21159"/>
    <w:rsid w:val="44F376EE"/>
    <w:rsid w:val="458A2247"/>
    <w:rsid w:val="45B19870"/>
    <w:rsid w:val="45C11214"/>
    <w:rsid w:val="45CD5BEE"/>
    <w:rsid w:val="461D1BF0"/>
    <w:rsid w:val="46349C6C"/>
    <w:rsid w:val="466947C2"/>
    <w:rsid w:val="46CE67E6"/>
    <w:rsid w:val="46DACADA"/>
    <w:rsid w:val="474C5BCF"/>
    <w:rsid w:val="47AA95F9"/>
    <w:rsid w:val="487D8C06"/>
    <w:rsid w:val="4882B4ED"/>
    <w:rsid w:val="48956E12"/>
    <w:rsid w:val="48E2FDB3"/>
    <w:rsid w:val="49095C29"/>
    <w:rsid w:val="494E85FD"/>
    <w:rsid w:val="4972EDF7"/>
    <w:rsid w:val="4A0388E0"/>
    <w:rsid w:val="4A340382"/>
    <w:rsid w:val="4A359487"/>
    <w:rsid w:val="4A95A961"/>
    <w:rsid w:val="4A96ABFE"/>
    <w:rsid w:val="4ABAAC80"/>
    <w:rsid w:val="4B2C36BB"/>
    <w:rsid w:val="4B3BD7A3"/>
    <w:rsid w:val="4B3C8A13"/>
    <w:rsid w:val="4B61C853"/>
    <w:rsid w:val="4BAD59BF"/>
    <w:rsid w:val="4BDD19F2"/>
    <w:rsid w:val="4BE40FFC"/>
    <w:rsid w:val="4C0DCA76"/>
    <w:rsid w:val="4C0F6ABD"/>
    <w:rsid w:val="4C3CF254"/>
    <w:rsid w:val="4C5D2833"/>
    <w:rsid w:val="4C97608A"/>
    <w:rsid w:val="4D2A6A2F"/>
    <w:rsid w:val="4D3D189A"/>
    <w:rsid w:val="4DACAF87"/>
    <w:rsid w:val="4E10A1BE"/>
    <w:rsid w:val="4E3700BD"/>
    <w:rsid w:val="4E72F84F"/>
    <w:rsid w:val="4EA8177D"/>
    <w:rsid w:val="4F0C2F68"/>
    <w:rsid w:val="4F35FC78"/>
    <w:rsid w:val="4F3788C3"/>
    <w:rsid w:val="4F6F3291"/>
    <w:rsid w:val="4F710C0E"/>
    <w:rsid w:val="4F74B336"/>
    <w:rsid w:val="4FD22FFD"/>
    <w:rsid w:val="503FB24D"/>
    <w:rsid w:val="504E634F"/>
    <w:rsid w:val="5087163C"/>
    <w:rsid w:val="51172A65"/>
    <w:rsid w:val="51183A5D"/>
    <w:rsid w:val="51DDC8BF"/>
    <w:rsid w:val="51E0F3D9"/>
    <w:rsid w:val="523B98BC"/>
    <w:rsid w:val="5245DA5A"/>
    <w:rsid w:val="525D0202"/>
    <w:rsid w:val="5294092D"/>
    <w:rsid w:val="530AB323"/>
    <w:rsid w:val="5312BA92"/>
    <w:rsid w:val="534E0CD6"/>
    <w:rsid w:val="548B8D6F"/>
    <w:rsid w:val="54A01659"/>
    <w:rsid w:val="54E3E911"/>
    <w:rsid w:val="550456E6"/>
    <w:rsid w:val="55478452"/>
    <w:rsid w:val="559D3336"/>
    <w:rsid w:val="55C84811"/>
    <w:rsid w:val="5626DA33"/>
    <w:rsid w:val="56496570"/>
    <w:rsid w:val="564E4AF3"/>
    <w:rsid w:val="5684F8F4"/>
    <w:rsid w:val="5718C92A"/>
    <w:rsid w:val="572B0D04"/>
    <w:rsid w:val="5755EE5B"/>
    <w:rsid w:val="57CB7F9E"/>
    <w:rsid w:val="58014DA1"/>
    <w:rsid w:val="580B048C"/>
    <w:rsid w:val="58122686"/>
    <w:rsid w:val="583A1BD4"/>
    <w:rsid w:val="584345FF"/>
    <w:rsid w:val="58849BEE"/>
    <w:rsid w:val="590116A1"/>
    <w:rsid w:val="590E6182"/>
    <w:rsid w:val="5930839C"/>
    <w:rsid w:val="59D3DBF9"/>
    <w:rsid w:val="59F2BD50"/>
    <w:rsid w:val="5A0110C0"/>
    <w:rsid w:val="5A1D52C5"/>
    <w:rsid w:val="5A61DA59"/>
    <w:rsid w:val="5A8FE2BC"/>
    <w:rsid w:val="5B45D61B"/>
    <w:rsid w:val="5C0C7562"/>
    <w:rsid w:val="5C3978E4"/>
    <w:rsid w:val="5C5135B3"/>
    <w:rsid w:val="5C5EBD54"/>
    <w:rsid w:val="5C69337D"/>
    <w:rsid w:val="5C85B21E"/>
    <w:rsid w:val="5C937798"/>
    <w:rsid w:val="5CCF17BB"/>
    <w:rsid w:val="5CFCAB23"/>
    <w:rsid w:val="5D404FBE"/>
    <w:rsid w:val="5D6ABF1C"/>
    <w:rsid w:val="5D88BD0F"/>
    <w:rsid w:val="5D8ADCA1"/>
    <w:rsid w:val="5DC455AD"/>
    <w:rsid w:val="5DCD2FCA"/>
    <w:rsid w:val="5E160450"/>
    <w:rsid w:val="5E86F9B0"/>
    <w:rsid w:val="5E888EF5"/>
    <w:rsid w:val="5E98009F"/>
    <w:rsid w:val="5F6E2C8D"/>
    <w:rsid w:val="5F8F66DE"/>
    <w:rsid w:val="5FA0D8B9"/>
    <w:rsid w:val="5FCF3E45"/>
    <w:rsid w:val="60139D36"/>
    <w:rsid w:val="60162998"/>
    <w:rsid w:val="60C35164"/>
    <w:rsid w:val="614D0514"/>
    <w:rsid w:val="61A083D4"/>
    <w:rsid w:val="61B52F2C"/>
    <w:rsid w:val="61D35B18"/>
    <w:rsid w:val="61F901B2"/>
    <w:rsid w:val="61FAD649"/>
    <w:rsid w:val="620CCFE7"/>
    <w:rsid w:val="6225CB91"/>
    <w:rsid w:val="6275457D"/>
    <w:rsid w:val="627929C3"/>
    <w:rsid w:val="627ED2BB"/>
    <w:rsid w:val="62AE58D9"/>
    <w:rsid w:val="62C39C05"/>
    <w:rsid w:val="63047704"/>
    <w:rsid w:val="63332AE5"/>
    <w:rsid w:val="639809FD"/>
    <w:rsid w:val="64972B91"/>
    <w:rsid w:val="64B0A0DA"/>
    <w:rsid w:val="652327CE"/>
    <w:rsid w:val="65512A52"/>
    <w:rsid w:val="657387D0"/>
    <w:rsid w:val="65A4AA31"/>
    <w:rsid w:val="65AA2D51"/>
    <w:rsid w:val="65BD7FC6"/>
    <w:rsid w:val="6625958D"/>
    <w:rsid w:val="665AA66B"/>
    <w:rsid w:val="666D4E7D"/>
    <w:rsid w:val="66967CB6"/>
    <w:rsid w:val="67AB90EA"/>
    <w:rsid w:val="68235254"/>
    <w:rsid w:val="683F2077"/>
    <w:rsid w:val="68559B85"/>
    <w:rsid w:val="68E2F4F0"/>
    <w:rsid w:val="68F33EE5"/>
    <w:rsid w:val="690907A5"/>
    <w:rsid w:val="693FCF94"/>
    <w:rsid w:val="69830186"/>
    <w:rsid w:val="6A7187C8"/>
    <w:rsid w:val="6A98F15A"/>
    <w:rsid w:val="6AA684C2"/>
    <w:rsid w:val="6AB4986B"/>
    <w:rsid w:val="6AEF1B52"/>
    <w:rsid w:val="6B0708ED"/>
    <w:rsid w:val="6B071A2F"/>
    <w:rsid w:val="6B795CD9"/>
    <w:rsid w:val="6B93F7D8"/>
    <w:rsid w:val="6BA51089"/>
    <w:rsid w:val="6C85BD6F"/>
    <w:rsid w:val="6CB1D71E"/>
    <w:rsid w:val="6D48737F"/>
    <w:rsid w:val="6D546793"/>
    <w:rsid w:val="6D59A74C"/>
    <w:rsid w:val="6D5A3E5F"/>
    <w:rsid w:val="6D9EE294"/>
    <w:rsid w:val="6DF1A14F"/>
    <w:rsid w:val="6E218A56"/>
    <w:rsid w:val="6E8D5D8D"/>
    <w:rsid w:val="6EC02B58"/>
    <w:rsid w:val="6ECD8EAC"/>
    <w:rsid w:val="6ECFB9BB"/>
    <w:rsid w:val="6EDF3388"/>
    <w:rsid w:val="6EEFFF9E"/>
    <w:rsid w:val="6EF91C84"/>
    <w:rsid w:val="6F09F8B5"/>
    <w:rsid w:val="6F3CC7AF"/>
    <w:rsid w:val="6F6E0BCA"/>
    <w:rsid w:val="6F8DF681"/>
    <w:rsid w:val="6FEFBA92"/>
    <w:rsid w:val="7003D066"/>
    <w:rsid w:val="701EBDC0"/>
    <w:rsid w:val="70697601"/>
    <w:rsid w:val="70BE2DAF"/>
    <w:rsid w:val="70EA9BC6"/>
    <w:rsid w:val="70F4BC94"/>
    <w:rsid w:val="71A660FA"/>
    <w:rsid w:val="71E26D65"/>
    <w:rsid w:val="72109CC1"/>
    <w:rsid w:val="721D4740"/>
    <w:rsid w:val="728BE77D"/>
    <w:rsid w:val="72D0314C"/>
    <w:rsid w:val="72EB2DC5"/>
    <w:rsid w:val="74078B5E"/>
    <w:rsid w:val="745A933F"/>
    <w:rsid w:val="750C9FE1"/>
    <w:rsid w:val="7537EA3A"/>
    <w:rsid w:val="75395478"/>
    <w:rsid w:val="753BB4D7"/>
    <w:rsid w:val="7552ABAE"/>
    <w:rsid w:val="756CF88D"/>
    <w:rsid w:val="7584A107"/>
    <w:rsid w:val="758BA8F0"/>
    <w:rsid w:val="75D66C92"/>
    <w:rsid w:val="75F9F22C"/>
    <w:rsid w:val="767428D7"/>
    <w:rsid w:val="76AEE227"/>
    <w:rsid w:val="76DD7AF1"/>
    <w:rsid w:val="77069ACE"/>
    <w:rsid w:val="77589789"/>
    <w:rsid w:val="775A101B"/>
    <w:rsid w:val="777ECA69"/>
    <w:rsid w:val="77C60995"/>
    <w:rsid w:val="7848396A"/>
    <w:rsid w:val="7861DDB9"/>
    <w:rsid w:val="7898C6F5"/>
    <w:rsid w:val="78FDB72D"/>
    <w:rsid w:val="7911F988"/>
    <w:rsid w:val="791C1EB8"/>
    <w:rsid w:val="792A9A08"/>
    <w:rsid w:val="796E78C4"/>
    <w:rsid w:val="79BA18A9"/>
    <w:rsid w:val="79CE2991"/>
    <w:rsid w:val="7A007345"/>
    <w:rsid w:val="7A0A236A"/>
    <w:rsid w:val="7AC3E24B"/>
    <w:rsid w:val="7BCC9A42"/>
    <w:rsid w:val="7BE025A7"/>
    <w:rsid w:val="7BE81C17"/>
    <w:rsid w:val="7C2C1902"/>
    <w:rsid w:val="7C6D8297"/>
    <w:rsid w:val="7D1F5E9B"/>
    <w:rsid w:val="7D31C83F"/>
    <w:rsid w:val="7D556D79"/>
    <w:rsid w:val="7D60C44C"/>
    <w:rsid w:val="7D75A376"/>
    <w:rsid w:val="7DCB7DA4"/>
    <w:rsid w:val="7DCD70E3"/>
    <w:rsid w:val="7DEB05B3"/>
    <w:rsid w:val="7E33B256"/>
    <w:rsid w:val="7E382B0F"/>
    <w:rsid w:val="7E3F0C54"/>
    <w:rsid w:val="7EE0DB56"/>
    <w:rsid w:val="7F7A6973"/>
    <w:rsid w:val="7FB36885"/>
    <w:rsid w:val="7FBBD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26C6D633-452C-41A8-824B-0EB467BF1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qFormat/>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customStyle="1" w:styleId="standard">
    <w:name w:val="standard"/>
    <w:basedOn w:val="Normal"/>
    <w:link w:val="standardChar"/>
    <w:rsid w:val="00754ACC"/>
    <w:pPr>
      <w:spacing w:before="0" w:after="0" w:line="360" w:lineRule="auto"/>
      <w:ind w:firstLine="720"/>
    </w:pPr>
    <w:rPr>
      <w:rFonts w:ascii="Palatino" w:eastAsia="Times New Roman" w:hAnsi="Palatino" w:cs="Times New Roman"/>
      <w:color w:val="292929"/>
      <w:sz w:val="26"/>
    </w:rPr>
  </w:style>
  <w:style w:type="character" w:customStyle="1" w:styleId="standardChar">
    <w:name w:val="standard Char"/>
    <w:link w:val="standard"/>
    <w:rsid w:val="00754ACC"/>
    <w:rPr>
      <w:rFonts w:ascii="Palatino" w:eastAsia="Times New Roman" w:hAnsi="Palatino" w:cs="Times New Roman"/>
      <w:color w:val="292929"/>
      <w:sz w:val="26"/>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F6229C"/>
    <w:pPr>
      <w:keepNext/>
      <w:keepLines/>
      <w:spacing w:line="320" w:lineRule="exact"/>
      <w:contextualSpacing/>
      <w:jc w:val="center"/>
      <w:outlineLvl w:val="0"/>
    </w:pPr>
    <w:rPr>
      <w:rFonts w:ascii="Calibri" w:eastAsiaTheme="majorEastAsia" w:hAnsi="Calibri" w:cstheme="majorBidi"/>
      <w:b/>
      <w:caps/>
      <w:color w:val="FFFFFF" w:themeColor="background1"/>
      <w:spacing w:val="60"/>
      <w:sz w:val="36"/>
      <w:szCs w:val="36"/>
    </w:rPr>
  </w:style>
  <w:style w:type="character" w:customStyle="1" w:styleId="eTRMHeading1Char">
    <w:name w:val="eTRM Heading 1 Char"/>
    <w:basedOn w:val="DefaultParagraphFont"/>
    <w:link w:val="eTRMHeading1"/>
    <w:rsid w:val="00F6229C"/>
    <w:rPr>
      <w:rFonts w:ascii="Calibri" w:eastAsiaTheme="majorEastAsia" w:hAnsi="Calibri" w:cstheme="majorBidi"/>
      <w:b/>
      <w:caps/>
      <w:color w:val="FFFFFF" w:themeColor="background1"/>
      <w:spacing w:val="60"/>
      <w:sz w:val="36"/>
      <w:szCs w:val="36"/>
    </w:rPr>
  </w:style>
  <w:style w:type="paragraph" w:customStyle="1" w:styleId="eTRMHeading2">
    <w:name w:val="eTRM Heading 2"/>
    <w:basedOn w:val="Normal"/>
    <w:link w:val="eTRMHeading2Char"/>
    <w:autoRedefine/>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78138C"/>
    <w:pPr>
      <w:spacing w:beforeLines="20" w:before="48" w:afterLines="20" w:after="48"/>
    </w:pPr>
    <w:rPr>
      <w:rFonts w:ascii="Calibri" w:hAnsi="Calibri"/>
      <w:caps/>
      <w:color w:val="CFAB7A"/>
      <w:spacing w:val="10"/>
      <w:sz w:val="26"/>
    </w:rPr>
  </w:style>
  <w:style w:type="character" w:customStyle="1" w:styleId="eTRMHeading3Char">
    <w:name w:val="eTRM Heading 3 Char"/>
    <w:basedOn w:val="DefaultParagraphFont"/>
    <w:link w:val="eTRMHeading3"/>
    <w:rsid w:val="0078138C"/>
    <w:rPr>
      <w:rFonts w:ascii="Calibri" w:eastAsiaTheme="majorEastAsia" w:hAnsi="Calibri" w:cstheme="majorBidi"/>
      <w:caps/>
      <w:color w:val="CFAB7A"/>
      <w:spacing w:val="10"/>
      <w:w w:val="102"/>
      <w:sz w:val="26"/>
      <w:szCs w:val="30"/>
    </w:rPr>
  </w:style>
  <w:style w:type="paragraph" w:customStyle="1" w:styleId="eTRMHeading4">
    <w:name w:val="eTRM Heading 4"/>
    <w:basedOn w:val="Normal"/>
    <w:link w:val="eTRMHeading4Char"/>
    <w:qFormat/>
    <w:rsid w:val="00860BB6"/>
    <w:pPr>
      <w:keepNext/>
      <w:keepLines/>
      <w:spacing w:before="60" w:after="0" w:line="300" w:lineRule="exact"/>
      <w:outlineLvl w:val="3"/>
    </w:pPr>
    <w:rPr>
      <w:rFonts w:eastAsiaTheme="majorEastAsia" w:cstheme="majorBidi"/>
      <w:b/>
      <w:color w:val="CFAB7A"/>
      <w:sz w:val="24"/>
      <w:szCs w:val="22"/>
    </w:rPr>
  </w:style>
  <w:style w:type="character" w:customStyle="1" w:styleId="eTRMHeading4Char">
    <w:name w:val="eTRM Heading 4 Char"/>
    <w:basedOn w:val="DefaultParagraphFont"/>
    <w:link w:val="eTRMHeading4"/>
    <w:rsid w:val="00860BB6"/>
    <w:rPr>
      <w:rFonts w:ascii="Calibri Light" w:eastAsiaTheme="majorEastAsia" w:hAnsi="Calibri Light" w:cstheme="majorBidi"/>
      <w:b/>
      <w:color w:val="CFAB7A"/>
      <w:szCs w:val="22"/>
    </w:rPr>
  </w:style>
  <w:style w:type="paragraph" w:customStyle="1" w:styleId="eTRMHeading5">
    <w:name w:val="eTRM Heading 5"/>
    <w:basedOn w:val="Normal"/>
    <w:next w:val="Normal"/>
    <w:qFormat/>
    <w:rsid w:val="00860BB6"/>
    <w:rPr>
      <w:rFonts w:ascii="Calibri" w:hAnsi="Calibri"/>
      <w:i/>
      <w:color w:val="5F5F5F"/>
    </w:rPr>
  </w:style>
  <w:style w:type="paragraph" w:customStyle="1" w:styleId="eTRMFootnoteText">
    <w:name w:val="eTRM Footnote Text"/>
    <w:basedOn w:val="Normal"/>
    <w:next w:val="Normal"/>
    <w:link w:val="eTRMFootnoteTextChar"/>
    <w:autoRedefine/>
    <w:qFormat/>
    <w:rsid w:val="001D0039"/>
    <w:pPr>
      <w:spacing w:before="20" w:after="20"/>
      <w:ind w:left="1350"/>
    </w:pPr>
    <w:rPr>
      <w:sz w:val="18"/>
    </w:rPr>
  </w:style>
  <w:style w:type="character" w:customStyle="1" w:styleId="eTRMFootnoteTextChar">
    <w:name w:val="eTRM Footnote Text Char"/>
    <w:basedOn w:val="DefaultParagraphFont"/>
    <w:link w:val="eTRMFootnoteText"/>
    <w:rsid w:val="001D0039"/>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UnresolvedMention">
    <w:name w:val="Unresolved Mention"/>
    <w:basedOn w:val="DefaultParagraphFont"/>
    <w:uiPriority w:val="99"/>
    <w:rsid w:val="004D2188"/>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FootnoteText">
    <w:name w:val="footnote text"/>
    <w:aliases w:val="EMI Footnote Text"/>
    <w:basedOn w:val="Normal"/>
    <w:link w:val="FootnoteTextChar"/>
    <w:unhideWhenUsed/>
    <w:qFormat/>
    <w:rsid w:val="001A4096"/>
    <w:pPr>
      <w:spacing w:before="0" w:after="0" w:line="240" w:lineRule="auto"/>
    </w:pPr>
    <w:rPr>
      <w:sz w:val="20"/>
      <w:szCs w:val="20"/>
    </w:rPr>
  </w:style>
  <w:style w:type="character" w:customStyle="1" w:styleId="FootnoteTextChar">
    <w:name w:val="Footnote Text Char"/>
    <w:aliases w:val="EMI Footnote Text Char"/>
    <w:basedOn w:val="DefaultParagraphFont"/>
    <w:link w:val="FootnoteText"/>
    <w:rsid w:val="001A4096"/>
    <w:rPr>
      <w:rFonts w:ascii="Calibri Light" w:hAnsi="Calibri Ligh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869741">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58100881">
      <w:bodyDiv w:val="1"/>
      <w:marLeft w:val="0"/>
      <w:marRight w:val="0"/>
      <w:marTop w:val="0"/>
      <w:marBottom w:val="0"/>
      <w:divBdr>
        <w:top w:val="none" w:sz="0" w:space="0" w:color="auto"/>
        <w:left w:val="none" w:sz="0" w:space="0" w:color="auto"/>
        <w:bottom w:val="none" w:sz="0" w:space="0" w:color="auto"/>
        <w:right w:val="none" w:sz="0" w:space="0" w:color="auto"/>
      </w:divBdr>
    </w:div>
    <w:div w:id="1466778405">
      <w:bodyDiv w:val="1"/>
      <w:marLeft w:val="0"/>
      <w:marRight w:val="0"/>
      <w:marTop w:val="0"/>
      <w:marBottom w:val="0"/>
      <w:divBdr>
        <w:top w:val="none" w:sz="0" w:space="0" w:color="auto"/>
        <w:left w:val="none" w:sz="0" w:space="0" w:color="auto"/>
        <w:bottom w:val="none" w:sz="0" w:space="0" w:color="auto"/>
        <w:right w:val="none" w:sz="0" w:space="0" w:color="auto"/>
      </w:divBdr>
    </w:div>
    <w:div w:id="1523469689">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law.cornell.edu/cfr/text/24/3285.606"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onlinelibrary.wiley.com/doi/pdf/10.1002/9781119174851.app17"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homeenergyplus.wi.gov/docview.asp?docid=27556&amp;locid=25" TargetMode="External"/><Relationship Id="rId20" Type="http://schemas.openxmlformats.org/officeDocument/2006/relationships/hyperlink" Target="https://www.floridahousing.org/docs/default-source/programs/competitive/capital-needs-assessment-guide/cna-appendix-f---estimated-useful-life-(eul)-tables.pdf?sfvrsn=e8b71e7b_2"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nwcouncil.app.box.com/s/oykn3vt3j7des3foy5guvbz7a6te2a2x" TargetMode="Externa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library.cee1.org/content/measure-life-report-residential-and-commercialindustrial-lighting-and-hvac-measures"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ultifamily.fanniemae.com/sites/g/files/koqyhd161/files/2019-08/4099f.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calmac.org/publications/MobileHomeHTREMVFinalReport__ID_SCE0254_02.pdf"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7764588b-be80-4b22-977b-586652cb38b8">YEU7YCZ7SHNT-444775888-205189</_dlc_DocId>
    <_dlc_DocIdUrl xmlns="7764588b-be80-4b22-977b-586652cb38b8">
      <Url>https://trccompanies.sharepoint.com/sites/LOB/Power/EFF/Projects/PGE-Wrkpprs/_layouts/15/DocIdRedir.aspx?ID=YEU7YCZ7SHNT-444775888-205189</Url>
      <Description>YEU7YCZ7SHNT-444775888-205189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CD71F7E52DED245B088CE95F76C4A44" ma:contentTypeVersion="1711" ma:contentTypeDescription="Create a new document." ma:contentTypeScope="" ma:versionID="ac1e97c900f8894eeac5a9f4d0b7b863">
  <xsd:schema xmlns:xsd="http://www.w3.org/2001/XMLSchema" xmlns:xs="http://www.w3.org/2001/XMLSchema" xmlns:p="http://schemas.microsoft.com/office/2006/metadata/properties" xmlns:ns1="http://schemas.microsoft.com/sharepoint/v3" xmlns:ns2="7764588b-be80-4b22-977b-586652cb38b8" xmlns:ns3="f783c74e-7b96-42c2-b0b8-2909f129ba52" xmlns:ns4="57e6433c-fdcc-4e30-bfa7-0fc9111b584e" targetNamespace="http://schemas.microsoft.com/office/2006/metadata/properties" ma:root="true" ma:fieldsID="4db2cd41a2a01a375659278c4c5f3b57" ns1:_="" ns2:_="" ns3:_="" ns4:_="">
    <xsd:import namespace="http://schemas.microsoft.com/sharepoint/v3"/>
    <xsd:import namespace="7764588b-be80-4b22-977b-586652cb38b8"/>
    <xsd:import namespace="f783c74e-7b96-42c2-b0b8-2909f129ba52"/>
    <xsd:import namespace="57e6433c-fdcc-4e30-bfa7-0fc9111b584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64588b-be80-4b22-977b-586652cb38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83c74e-7b96-42c2-b0b8-2909f129ba5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6433c-fdcc-4e30-bfa7-0fc9111b584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D5633E-A180-4876-971C-FF6D8105902F}">
  <ds:schemaRefs>
    <ds:schemaRef ds:uri="http://schemas.openxmlformats.org/officeDocument/2006/bibliography"/>
  </ds:schemaRefs>
</ds:datastoreItem>
</file>

<file path=customXml/itemProps2.xml><?xml version="1.0" encoding="utf-8"?>
<ds:datastoreItem xmlns:ds="http://schemas.openxmlformats.org/officeDocument/2006/customXml" ds:itemID="{9049711D-C7D6-4706-BB6C-4225B3080DDD}">
  <ds:schemaRefs>
    <ds:schemaRef ds:uri="http://schemas.microsoft.com/sharepoint/events"/>
  </ds:schemaRefs>
</ds:datastoreItem>
</file>

<file path=customXml/itemProps3.xml><?xml version="1.0" encoding="utf-8"?>
<ds:datastoreItem xmlns:ds="http://schemas.openxmlformats.org/officeDocument/2006/customXml" ds:itemID="{3CB88F66-CA19-4D55-BABC-9E8C8E305DD7}">
  <ds:schemaRefs>
    <ds:schemaRef ds:uri="http://schemas.microsoft.com/sharepoint/v3/contenttype/forms"/>
  </ds:schemaRefs>
</ds:datastoreItem>
</file>

<file path=customXml/itemProps4.xml><?xml version="1.0" encoding="utf-8"?>
<ds:datastoreItem xmlns:ds="http://schemas.openxmlformats.org/officeDocument/2006/customXml" ds:itemID="{709FF27B-2AB6-42E1-BA11-E364A06292A1}">
  <ds:schemaRefs>
    <ds:schemaRef ds:uri="http://schemas.microsoft.com/office/2006/metadata/properties"/>
    <ds:schemaRef ds:uri="http://schemas.microsoft.com/office/infopath/2007/PartnerControls"/>
    <ds:schemaRef ds:uri="http://schemas.microsoft.com/sharepoint/v3"/>
    <ds:schemaRef ds:uri="7764588b-be80-4b22-977b-586652cb38b8"/>
  </ds:schemaRefs>
</ds:datastoreItem>
</file>

<file path=customXml/itemProps5.xml><?xml version="1.0" encoding="utf-8"?>
<ds:datastoreItem xmlns:ds="http://schemas.openxmlformats.org/officeDocument/2006/customXml" ds:itemID="{93DD2037-7BEF-4DA8-87F6-D6F0B312F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764588b-be80-4b22-977b-586652cb38b8"/>
    <ds:schemaRef ds:uri="f783c74e-7b96-42c2-b0b8-2909f129ba52"/>
    <ds:schemaRef ds:uri="57e6433c-fdcc-4e30-bfa7-0fc9111b5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91</TotalTime>
  <Pages>12</Pages>
  <Words>3474</Words>
  <Characters>19181</Characters>
  <Application>Microsoft Office Word</Application>
  <DocSecurity>0</DocSecurity>
  <Lines>639</Lines>
  <Paragraphs>444</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22211</CharactersWithSpaces>
  <SharedDoc>false</SharedDoc>
  <HyperlinkBase/>
  <HLinks>
    <vt:vector size="102" baseType="variant">
      <vt:variant>
        <vt:i4>852053</vt:i4>
      </vt:variant>
      <vt:variant>
        <vt:i4>102</vt:i4>
      </vt:variant>
      <vt:variant>
        <vt:i4>0</vt:i4>
      </vt:variant>
      <vt:variant>
        <vt:i4>5</vt:i4>
      </vt:variant>
      <vt:variant>
        <vt:lpwstr>https://homes.lbl.gov/sites/default/files/2003-astm-stp-1453.pdf</vt:lpwstr>
      </vt:variant>
      <vt:variant>
        <vt:lpwstr/>
      </vt:variant>
      <vt:variant>
        <vt:i4>5439518</vt:i4>
      </vt:variant>
      <vt:variant>
        <vt:i4>99</vt:i4>
      </vt:variant>
      <vt:variant>
        <vt:i4>0</vt:i4>
      </vt:variant>
      <vt:variant>
        <vt:i4>5</vt:i4>
      </vt:variant>
      <vt:variant>
        <vt:lpwstr>https://nwcouncil.app.box.com/s/oykn3vt3j7des3foy5guvbz7a6te2a2x</vt:lpwstr>
      </vt:variant>
      <vt:variant>
        <vt:lpwstr/>
      </vt:variant>
      <vt:variant>
        <vt:i4>4718618</vt:i4>
      </vt:variant>
      <vt:variant>
        <vt:i4>96</vt:i4>
      </vt:variant>
      <vt:variant>
        <vt:i4>0</vt:i4>
      </vt:variant>
      <vt:variant>
        <vt:i4>5</vt:i4>
      </vt:variant>
      <vt:variant>
        <vt:lpwstr>https://library.cee1.org/content/measure-life-report-residential-and-commercialindustrial-lighting-and-hvac-measures</vt:lpwstr>
      </vt:variant>
      <vt:variant>
        <vt:lpwstr/>
      </vt:variant>
      <vt:variant>
        <vt:i4>8257633</vt:i4>
      </vt:variant>
      <vt:variant>
        <vt:i4>93</vt:i4>
      </vt:variant>
      <vt:variant>
        <vt:i4>0</vt:i4>
      </vt:variant>
      <vt:variant>
        <vt:i4>5</vt:i4>
      </vt:variant>
      <vt:variant>
        <vt:lpwstr>http://www.calmac.org/publications/MobileHomeHTREMVFinalReport__ID_SCE0254_02.pdf</vt:lpwstr>
      </vt:variant>
      <vt:variant>
        <vt:lpwstr/>
      </vt:variant>
      <vt:variant>
        <vt:i4>2818167</vt:i4>
      </vt:variant>
      <vt:variant>
        <vt:i4>90</vt:i4>
      </vt:variant>
      <vt:variant>
        <vt:i4>0</vt:i4>
      </vt:variant>
      <vt:variant>
        <vt:i4>5</vt:i4>
      </vt:variant>
      <vt:variant>
        <vt:lpwstr>https://onlinelibrary.wiley.com/doi/pdf/10.1002/9781119174851.app17</vt:lpwstr>
      </vt:variant>
      <vt:variant>
        <vt:lpwstr/>
      </vt:variant>
      <vt:variant>
        <vt:i4>4915297</vt:i4>
      </vt:variant>
      <vt:variant>
        <vt:i4>87</vt:i4>
      </vt:variant>
      <vt:variant>
        <vt:i4>0</vt:i4>
      </vt:variant>
      <vt:variant>
        <vt:i4>5</vt:i4>
      </vt:variant>
      <vt:variant>
        <vt:lpwstr>https://www.floridahousing.org/docs/default-source/programs/competitive/capital-needs-assessment-guide/cna-appendix-f---estimated-useful-life-(eul)-tables.pdf?sfvrsn=e8b71e7b_2</vt:lpwstr>
      </vt:variant>
      <vt:variant>
        <vt:lpwstr/>
      </vt:variant>
      <vt:variant>
        <vt:i4>917586</vt:i4>
      </vt:variant>
      <vt:variant>
        <vt:i4>84</vt:i4>
      </vt:variant>
      <vt:variant>
        <vt:i4>0</vt:i4>
      </vt:variant>
      <vt:variant>
        <vt:i4>5</vt:i4>
      </vt:variant>
      <vt:variant>
        <vt:lpwstr>https://multifamily.fanniemae.com/sites/g/files/koqyhd161/files/2019-08/4099f.pdf</vt:lpwstr>
      </vt:variant>
      <vt:variant>
        <vt:lpwstr/>
      </vt:variant>
      <vt:variant>
        <vt:i4>1704061</vt:i4>
      </vt:variant>
      <vt:variant>
        <vt:i4>27</vt:i4>
      </vt:variant>
      <vt:variant>
        <vt:i4>0</vt:i4>
      </vt:variant>
      <vt:variant>
        <vt:i4>5</vt:i4>
      </vt:variant>
      <vt:variant>
        <vt:lpwstr>mailto:phil.jordan@clearesult.com</vt:lpwstr>
      </vt:variant>
      <vt:variant>
        <vt:lpwstr/>
      </vt:variant>
      <vt:variant>
        <vt:i4>1704061</vt:i4>
      </vt:variant>
      <vt:variant>
        <vt:i4>24</vt:i4>
      </vt:variant>
      <vt:variant>
        <vt:i4>0</vt:i4>
      </vt:variant>
      <vt:variant>
        <vt:i4>5</vt:i4>
      </vt:variant>
      <vt:variant>
        <vt:lpwstr>mailto:phil.jordan@clearesult.com</vt:lpwstr>
      </vt:variant>
      <vt:variant>
        <vt:lpwstr/>
      </vt:variant>
      <vt:variant>
        <vt:i4>1704061</vt:i4>
      </vt:variant>
      <vt:variant>
        <vt:i4>21</vt:i4>
      </vt:variant>
      <vt:variant>
        <vt:i4>0</vt:i4>
      </vt:variant>
      <vt:variant>
        <vt:i4>5</vt:i4>
      </vt:variant>
      <vt:variant>
        <vt:lpwstr>mailto:phil.jordan@clearesult.com</vt:lpwstr>
      </vt:variant>
      <vt:variant>
        <vt:lpwstr/>
      </vt:variant>
      <vt:variant>
        <vt:i4>1704061</vt:i4>
      </vt:variant>
      <vt:variant>
        <vt:i4>18</vt:i4>
      </vt:variant>
      <vt:variant>
        <vt:i4>0</vt:i4>
      </vt:variant>
      <vt:variant>
        <vt:i4>5</vt:i4>
      </vt:variant>
      <vt:variant>
        <vt:lpwstr>mailto:phil.jordan@clearesult.com</vt:lpwstr>
      </vt:variant>
      <vt:variant>
        <vt:lpwstr/>
      </vt:variant>
      <vt:variant>
        <vt:i4>1704061</vt:i4>
      </vt:variant>
      <vt:variant>
        <vt:i4>15</vt:i4>
      </vt:variant>
      <vt:variant>
        <vt:i4>0</vt:i4>
      </vt:variant>
      <vt:variant>
        <vt:i4>5</vt:i4>
      </vt:variant>
      <vt:variant>
        <vt:lpwstr>mailto:phil.jordan@clearesult.com</vt:lpwstr>
      </vt:variant>
      <vt:variant>
        <vt:lpwstr/>
      </vt:variant>
      <vt:variant>
        <vt:i4>1704061</vt:i4>
      </vt:variant>
      <vt:variant>
        <vt:i4>12</vt:i4>
      </vt:variant>
      <vt:variant>
        <vt:i4>0</vt:i4>
      </vt:variant>
      <vt:variant>
        <vt:i4>5</vt:i4>
      </vt:variant>
      <vt:variant>
        <vt:lpwstr>mailto:phil.jordan@clearesult.com</vt:lpwstr>
      </vt:variant>
      <vt:variant>
        <vt:lpwstr/>
      </vt:variant>
      <vt:variant>
        <vt:i4>1704061</vt:i4>
      </vt:variant>
      <vt:variant>
        <vt:i4>9</vt:i4>
      </vt:variant>
      <vt:variant>
        <vt:i4>0</vt:i4>
      </vt:variant>
      <vt:variant>
        <vt:i4>5</vt:i4>
      </vt:variant>
      <vt:variant>
        <vt:lpwstr>mailto:phil.jordan@clearesult.com</vt:lpwstr>
      </vt:variant>
      <vt:variant>
        <vt:lpwstr/>
      </vt:variant>
      <vt:variant>
        <vt:i4>1704061</vt:i4>
      </vt:variant>
      <vt:variant>
        <vt:i4>6</vt:i4>
      </vt:variant>
      <vt:variant>
        <vt:i4>0</vt:i4>
      </vt:variant>
      <vt:variant>
        <vt:i4>5</vt:i4>
      </vt:variant>
      <vt:variant>
        <vt:lpwstr>mailto:phil.jordan@clearesult.com</vt:lpwstr>
      </vt:variant>
      <vt:variant>
        <vt:lpwstr/>
      </vt:variant>
      <vt:variant>
        <vt:i4>6946886</vt:i4>
      </vt:variant>
      <vt:variant>
        <vt:i4>3</vt:i4>
      </vt:variant>
      <vt:variant>
        <vt:i4>0</vt:i4>
      </vt:variant>
      <vt:variant>
        <vt:i4>5</vt:i4>
      </vt:variant>
      <vt:variant>
        <vt:lpwstr>https://clearesult5.sharepoint.com/:p:/r/sites/ECW/Shared Documents/Res DuctTestSeal/pre-work/Table for CPUC Presentation_01152020/Duct Optimization Presentation by PG%26E.pptx?d=w3a44b846fd034335a9c19348faa43baa&amp;csf=1&amp;web=1&amp;e=i1WJak</vt:lpwstr>
      </vt:variant>
      <vt:variant>
        <vt:lpwstr/>
      </vt:variant>
      <vt:variant>
        <vt:i4>4063307</vt:i4>
      </vt:variant>
      <vt:variant>
        <vt:i4>0</vt:i4>
      </vt:variant>
      <vt:variant>
        <vt:i4>0</vt:i4>
      </vt:variant>
      <vt:variant>
        <vt:i4>5</vt:i4>
      </vt:variant>
      <vt:variant>
        <vt:lpwstr>https://www.huduser.gov/Publications/pdf/SaveEnergy_SaveMoney.pdf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Voong, Tai</cp:lastModifiedBy>
  <cp:revision>36</cp:revision>
  <cp:lastPrinted>2020-07-03T04:11:00Z</cp:lastPrinted>
  <dcterms:created xsi:type="dcterms:W3CDTF">2020-12-23T21:31:00Z</dcterms:created>
  <dcterms:modified xsi:type="dcterms:W3CDTF">2021-05-21T21:10:00Z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0x0101005CD71F7E52DED245B088CE95F76C4A44</vt:lpwstr>
  </property>
  <property fmtid="{D5CDD505-2E9C-101B-9397-08002B2CF9AE}" pid="3" name="Order">
    <vt:r8>39300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_dlc_DocIdItemGuid">
    <vt:lpwstr>fc540460-f5de-4421-97a7-e9a91aee20cd</vt:lpwstr>
  </property>
</Properties>
</file>