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8F4A04" w14:paraId="67BD4DD1" w14:textId="77777777" w:rsidTr="00BD221D">
        <w:trPr>
          <w:cantSplit/>
          <w:trHeight w:hRule="exact" w:val="1440"/>
          <w:jc w:val="right"/>
        </w:trPr>
        <w:tc>
          <w:tcPr>
            <w:tcW w:w="9000" w:type="dxa"/>
            <w:shd w:val="clear" w:color="auto" w:fill="8DC63F"/>
            <w:vAlign w:val="center"/>
          </w:tcPr>
          <w:p w14:paraId="3EF67A49" w14:textId="10A90DF8" w:rsidR="00BD221D" w:rsidRPr="008F4A04" w:rsidRDefault="003D70D3" w:rsidP="00A544AC">
            <w:pPr>
              <w:pStyle w:val="eTRMHeading1"/>
            </w:pPr>
            <w:r w:rsidRPr="008F4A04">
              <w:t>HVAC</w:t>
            </w:r>
          </w:p>
          <w:p w14:paraId="10BE1877" w14:textId="34076DF6" w:rsidR="00BD221D" w:rsidRPr="008F4A04" w:rsidRDefault="00507690" w:rsidP="00B561EE">
            <w:pPr>
              <w:pStyle w:val="eTRMHeading2"/>
              <w:rPr>
                <w:color w:val="FFFFFF" w:themeColor="background1"/>
              </w:rPr>
            </w:pPr>
            <w:r>
              <w:rPr>
                <w:color w:val="FFFFFF" w:themeColor="background1"/>
                <w:spacing w:val="60"/>
              </w:rPr>
              <w:t>SWSV006</w:t>
            </w:r>
            <w:r w:rsidR="00CE47AF">
              <w:rPr>
                <w:color w:val="FFFFFF" w:themeColor="background1"/>
                <w:spacing w:val="60"/>
              </w:rPr>
              <w:t>-01</w:t>
            </w:r>
            <w:r w:rsidR="00182775" w:rsidRPr="008F4A04">
              <w:rPr>
                <w:color w:val="FFFFFF" w:themeColor="background1"/>
                <w:spacing w:val="60"/>
              </w:rPr>
              <w:t xml:space="preserve"> </w:t>
            </w:r>
            <w:r w:rsidR="00214BAA">
              <w:rPr>
                <w:color w:val="FFFFFF" w:themeColor="background1"/>
                <w:spacing w:val="60"/>
              </w:rPr>
              <w:t>Refrigerant Charge</w:t>
            </w:r>
            <w:r w:rsidR="00182775" w:rsidRPr="008F4A04">
              <w:rPr>
                <w:color w:val="FFFFFF" w:themeColor="background1"/>
                <w:spacing w:val="60"/>
              </w:rPr>
              <w:t>, Residential</w:t>
            </w:r>
          </w:p>
        </w:tc>
      </w:tr>
    </w:tbl>
    <w:p w14:paraId="645F3ACB" w14:textId="77777777" w:rsidR="00BD221D" w:rsidRPr="008F4A04" w:rsidRDefault="00BD221D" w:rsidP="00BD221D"/>
    <w:p w14:paraId="31745A8D" w14:textId="45DC1270" w:rsidR="00D12B8C" w:rsidRPr="008F4A04" w:rsidRDefault="007E1F66" w:rsidP="0053748E">
      <w:pPr>
        <w:jc w:val="center"/>
        <w:rPr>
          <w:spacing w:val="80"/>
          <w:sz w:val="28"/>
        </w:rPr>
      </w:pPr>
      <w:r w:rsidRPr="008F4A04">
        <w:rPr>
          <w:spacing w:val="80"/>
          <w:sz w:val="28"/>
        </w:rPr>
        <w:t>CONTENTS</w:t>
      </w:r>
    </w:p>
    <w:p w14:paraId="7A8C6E30" w14:textId="7807DAED" w:rsidR="00095EAF" w:rsidRDefault="001C6C9B">
      <w:pPr>
        <w:pStyle w:val="TOC3"/>
        <w:rPr>
          <w:rFonts w:asciiTheme="minorHAnsi" w:hAnsiTheme="minorHAnsi"/>
          <w:noProof/>
          <w:szCs w:val="22"/>
        </w:rPr>
      </w:pPr>
      <w:r w:rsidRPr="008F4A04">
        <w:fldChar w:fldCharType="begin"/>
      </w:r>
      <w:r w:rsidRPr="008F4A04">
        <w:instrText xml:space="preserve"> TOC \t "eTRM Heading 3,3" </w:instrText>
      </w:r>
      <w:r w:rsidRPr="008F4A04">
        <w:fldChar w:fldCharType="separate"/>
      </w:r>
      <w:r w:rsidR="00095EAF">
        <w:rPr>
          <w:noProof/>
        </w:rPr>
        <w:t>Measure Name</w:t>
      </w:r>
      <w:r w:rsidR="00095EAF">
        <w:rPr>
          <w:noProof/>
        </w:rPr>
        <w:tab/>
      </w:r>
      <w:r w:rsidR="00095EAF">
        <w:rPr>
          <w:noProof/>
        </w:rPr>
        <w:fldChar w:fldCharType="begin"/>
      </w:r>
      <w:r w:rsidR="00095EAF">
        <w:rPr>
          <w:noProof/>
        </w:rPr>
        <w:instrText xml:space="preserve"> PAGEREF _Toc6912238 \h </w:instrText>
      </w:r>
      <w:r w:rsidR="00095EAF">
        <w:rPr>
          <w:noProof/>
        </w:rPr>
      </w:r>
      <w:r w:rsidR="00095EAF">
        <w:rPr>
          <w:noProof/>
        </w:rPr>
        <w:fldChar w:fldCharType="separate"/>
      </w:r>
      <w:r w:rsidR="00D60383">
        <w:rPr>
          <w:noProof/>
        </w:rPr>
        <w:t>2</w:t>
      </w:r>
      <w:r w:rsidR="00095EAF">
        <w:rPr>
          <w:noProof/>
        </w:rPr>
        <w:fldChar w:fldCharType="end"/>
      </w:r>
    </w:p>
    <w:p w14:paraId="786C27C9" w14:textId="5F04FE60" w:rsidR="00095EAF" w:rsidRDefault="00095EA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_Toc6912239 \h </w:instrText>
      </w:r>
      <w:r>
        <w:rPr>
          <w:noProof/>
        </w:rPr>
      </w:r>
      <w:r>
        <w:rPr>
          <w:noProof/>
        </w:rPr>
        <w:fldChar w:fldCharType="separate"/>
      </w:r>
      <w:r w:rsidR="00D60383">
        <w:rPr>
          <w:noProof/>
        </w:rPr>
        <w:t>2</w:t>
      </w:r>
      <w:r>
        <w:rPr>
          <w:noProof/>
        </w:rPr>
        <w:fldChar w:fldCharType="end"/>
      </w:r>
    </w:p>
    <w:p w14:paraId="683F5010" w14:textId="57E8B507" w:rsidR="00095EAF" w:rsidRDefault="00095EAF">
      <w:pPr>
        <w:pStyle w:val="TOC3"/>
        <w:rPr>
          <w:rFonts w:asciiTheme="minorHAnsi" w:hAnsiTheme="minorHAnsi"/>
          <w:noProof/>
          <w:szCs w:val="22"/>
        </w:rPr>
      </w:pPr>
      <w:r>
        <w:rPr>
          <w:noProof/>
        </w:rPr>
        <w:t>Measure Version</w:t>
      </w:r>
      <w:r>
        <w:rPr>
          <w:noProof/>
        </w:rPr>
        <w:tab/>
      </w:r>
      <w:r>
        <w:rPr>
          <w:noProof/>
        </w:rPr>
        <w:fldChar w:fldCharType="begin"/>
      </w:r>
      <w:r>
        <w:rPr>
          <w:noProof/>
        </w:rPr>
        <w:instrText xml:space="preserve"> PAGEREF _Toc6912240 \h </w:instrText>
      </w:r>
      <w:r>
        <w:rPr>
          <w:noProof/>
        </w:rPr>
        <w:fldChar w:fldCharType="separate"/>
      </w:r>
      <w:r w:rsidR="00D60383">
        <w:rPr>
          <w:b/>
          <w:bCs/>
          <w:noProof/>
        </w:rPr>
        <w:t>Error! Bookmark not defined.</w:t>
      </w:r>
      <w:r>
        <w:rPr>
          <w:noProof/>
        </w:rPr>
        <w:fldChar w:fldCharType="end"/>
      </w:r>
    </w:p>
    <w:p w14:paraId="5FEF745D" w14:textId="7E0634F4" w:rsidR="00095EAF" w:rsidRDefault="00095EAF">
      <w:pPr>
        <w:pStyle w:val="TOC3"/>
        <w:rPr>
          <w:rFonts w:asciiTheme="minorHAnsi" w:hAnsiTheme="minorHAnsi"/>
          <w:noProof/>
          <w:szCs w:val="22"/>
        </w:rPr>
      </w:pPr>
      <w:r>
        <w:rPr>
          <w:noProof/>
        </w:rPr>
        <w:t>Measure Status</w:t>
      </w:r>
      <w:r>
        <w:rPr>
          <w:noProof/>
        </w:rPr>
        <w:tab/>
      </w:r>
      <w:r>
        <w:rPr>
          <w:noProof/>
        </w:rPr>
        <w:fldChar w:fldCharType="begin"/>
      </w:r>
      <w:r>
        <w:rPr>
          <w:noProof/>
        </w:rPr>
        <w:instrText xml:space="preserve"> PAGEREF _Toc6912241 \h </w:instrText>
      </w:r>
      <w:r>
        <w:rPr>
          <w:noProof/>
        </w:rPr>
        <w:fldChar w:fldCharType="separate"/>
      </w:r>
      <w:r w:rsidR="00D60383">
        <w:rPr>
          <w:b/>
          <w:bCs/>
          <w:noProof/>
        </w:rPr>
        <w:t>Error! Bookmark not defined.</w:t>
      </w:r>
      <w:r>
        <w:rPr>
          <w:noProof/>
        </w:rPr>
        <w:fldChar w:fldCharType="end"/>
      </w:r>
    </w:p>
    <w:p w14:paraId="00500BF9" w14:textId="744D799B" w:rsidR="00095EAF" w:rsidRDefault="00095EAF">
      <w:pPr>
        <w:pStyle w:val="TOC3"/>
        <w:rPr>
          <w:rFonts w:asciiTheme="minorHAnsi" w:hAnsiTheme="minorHAnsi"/>
          <w:noProof/>
          <w:szCs w:val="22"/>
        </w:rPr>
      </w:pPr>
      <w:r>
        <w:rPr>
          <w:noProof/>
        </w:rPr>
        <w:t>Effective Date</w:t>
      </w:r>
      <w:r>
        <w:rPr>
          <w:noProof/>
        </w:rPr>
        <w:tab/>
      </w:r>
      <w:r>
        <w:rPr>
          <w:noProof/>
        </w:rPr>
        <w:fldChar w:fldCharType="begin"/>
      </w:r>
      <w:r>
        <w:rPr>
          <w:noProof/>
        </w:rPr>
        <w:instrText xml:space="preserve"> PAGEREF _Toc6912242 \h </w:instrText>
      </w:r>
      <w:r>
        <w:rPr>
          <w:noProof/>
        </w:rPr>
        <w:fldChar w:fldCharType="separate"/>
      </w:r>
      <w:r w:rsidR="00D60383">
        <w:rPr>
          <w:b/>
          <w:bCs/>
          <w:noProof/>
        </w:rPr>
        <w:t>Error! Bookmark not defined.</w:t>
      </w:r>
      <w:r>
        <w:rPr>
          <w:noProof/>
        </w:rPr>
        <w:fldChar w:fldCharType="end"/>
      </w:r>
    </w:p>
    <w:p w14:paraId="19E8106C" w14:textId="5E21B610" w:rsidR="00095EAF" w:rsidRDefault="00095EAF">
      <w:pPr>
        <w:pStyle w:val="TOC3"/>
        <w:rPr>
          <w:rFonts w:asciiTheme="minorHAnsi" w:hAnsiTheme="minorHAnsi"/>
          <w:noProof/>
          <w:szCs w:val="22"/>
        </w:rPr>
      </w:pPr>
      <w:r>
        <w:rPr>
          <w:noProof/>
        </w:rPr>
        <w:t>Sunset Date</w:t>
      </w:r>
      <w:r>
        <w:rPr>
          <w:noProof/>
        </w:rPr>
        <w:tab/>
      </w:r>
      <w:r>
        <w:rPr>
          <w:noProof/>
        </w:rPr>
        <w:fldChar w:fldCharType="begin"/>
      </w:r>
      <w:r>
        <w:rPr>
          <w:noProof/>
        </w:rPr>
        <w:instrText xml:space="preserve"> PAGEREF _Toc6912243 \h </w:instrText>
      </w:r>
      <w:r>
        <w:rPr>
          <w:noProof/>
        </w:rPr>
        <w:fldChar w:fldCharType="separate"/>
      </w:r>
      <w:r w:rsidR="00D60383">
        <w:rPr>
          <w:b/>
          <w:bCs/>
          <w:noProof/>
        </w:rPr>
        <w:t>Error! Bookmark not defined.</w:t>
      </w:r>
      <w:r>
        <w:rPr>
          <w:noProof/>
        </w:rPr>
        <w:fldChar w:fldCharType="end"/>
      </w:r>
    </w:p>
    <w:p w14:paraId="76CAC537" w14:textId="4A806E96" w:rsidR="00095EAF" w:rsidRDefault="00095EA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_Toc6912244 \h </w:instrText>
      </w:r>
      <w:r>
        <w:rPr>
          <w:noProof/>
        </w:rPr>
      </w:r>
      <w:r>
        <w:rPr>
          <w:noProof/>
        </w:rPr>
        <w:fldChar w:fldCharType="separate"/>
      </w:r>
      <w:r w:rsidR="00D60383">
        <w:rPr>
          <w:noProof/>
        </w:rPr>
        <w:t>2</w:t>
      </w:r>
      <w:r>
        <w:rPr>
          <w:noProof/>
        </w:rPr>
        <w:fldChar w:fldCharType="end"/>
      </w:r>
    </w:p>
    <w:p w14:paraId="5BFCD036" w14:textId="19D1F544" w:rsidR="00095EAF" w:rsidRDefault="00095EA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_Toc6912245 \h </w:instrText>
      </w:r>
      <w:r>
        <w:rPr>
          <w:noProof/>
        </w:rPr>
      </w:r>
      <w:r>
        <w:rPr>
          <w:noProof/>
        </w:rPr>
        <w:fldChar w:fldCharType="separate"/>
      </w:r>
      <w:r w:rsidR="00D60383">
        <w:rPr>
          <w:noProof/>
        </w:rPr>
        <w:t>2</w:t>
      </w:r>
      <w:r>
        <w:rPr>
          <w:noProof/>
        </w:rPr>
        <w:fldChar w:fldCharType="end"/>
      </w:r>
    </w:p>
    <w:p w14:paraId="0CCC95FD" w14:textId="6CD1320B" w:rsidR="00095EAF" w:rsidRDefault="00095EA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_Toc6912246 \h </w:instrText>
      </w:r>
      <w:r>
        <w:rPr>
          <w:noProof/>
        </w:rPr>
      </w:r>
      <w:r>
        <w:rPr>
          <w:noProof/>
        </w:rPr>
        <w:fldChar w:fldCharType="separate"/>
      </w:r>
      <w:r w:rsidR="00D60383">
        <w:rPr>
          <w:noProof/>
        </w:rPr>
        <w:t>3</w:t>
      </w:r>
      <w:r>
        <w:rPr>
          <w:noProof/>
        </w:rPr>
        <w:fldChar w:fldCharType="end"/>
      </w:r>
    </w:p>
    <w:p w14:paraId="1FA2D3BE" w14:textId="47F9571B" w:rsidR="00095EAF" w:rsidRDefault="00095EA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_Toc6912247 \h </w:instrText>
      </w:r>
      <w:r>
        <w:rPr>
          <w:noProof/>
        </w:rPr>
      </w:r>
      <w:r>
        <w:rPr>
          <w:noProof/>
        </w:rPr>
        <w:fldChar w:fldCharType="separate"/>
      </w:r>
      <w:r w:rsidR="00D60383">
        <w:rPr>
          <w:noProof/>
        </w:rPr>
        <w:t>3</w:t>
      </w:r>
      <w:r>
        <w:rPr>
          <w:noProof/>
        </w:rPr>
        <w:fldChar w:fldCharType="end"/>
      </w:r>
    </w:p>
    <w:p w14:paraId="44A1E8C7" w14:textId="7269DBEF" w:rsidR="00095EAF" w:rsidRDefault="00095EA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_Toc6912248 \h </w:instrText>
      </w:r>
      <w:r>
        <w:rPr>
          <w:noProof/>
        </w:rPr>
      </w:r>
      <w:r>
        <w:rPr>
          <w:noProof/>
        </w:rPr>
        <w:fldChar w:fldCharType="separate"/>
      </w:r>
      <w:r w:rsidR="00D60383">
        <w:rPr>
          <w:noProof/>
        </w:rPr>
        <w:t>4</w:t>
      </w:r>
      <w:r>
        <w:rPr>
          <w:noProof/>
        </w:rPr>
        <w:fldChar w:fldCharType="end"/>
      </w:r>
    </w:p>
    <w:p w14:paraId="126C0272" w14:textId="175A4F3B" w:rsidR="00095EAF" w:rsidRDefault="00095EA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_Toc6912249 \h </w:instrText>
      </w:r>
      <w:r>
        <w:rPr>
          <w:noProof/>
        </w:rPr>
      </w:r>
      <w:r>
        <w:rPr>
          <w:noProof/>
        </w:rPr>
        <w:fldChar w:fldCharType="separate"/>
      </w:r>
      <w:r w:rsidR="00D60383">
        <w:rPr>
          <w:noProof/>
        </w:rPr>
        <w:t>4</w:t>
      </w:r>
      <w:r>
        <w:rPr>
          <w:noProof/>
        </w:rPr>
        <w:fldChar w:fldCharType="end"/>
      </w:r>
    </w:p>
    <w:p w14:paraId="54A69552" w14:textId="1BC1D6E4" w:rsidR="00095EAF" w:rsidRDefault="00095EA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_Toc6912250 \h </w:instrText>
      </w:r>
      <w:r>
        <w:rPr>
          <w:noProof/>
        </w:rPr>
      </w:r>
      <w:r>
        <w:rPr>
          <w:noProof/>
        </w:rPr>
        <w:fldChar w:fldCharType="separate"/>
      </w:r>
      <w:r w:rsidR="00D60383">
        <w:rPr>
          <w:noProof/>
        </w:rPr>
        <w:t>5</w:t>
      </w:r>
      <w:r>
        <w:rPr>
          <w:noProof/>
        </w:rPr>
        <w:fldChar w:fldCharType="end"/>
      </w:r>
    </w:p>
    <w:p w14:paraId="15BB56B0" w14:textId="02B4D1D2" w:rsidR="00095EAF" w:rsidRDefault="00095EA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_Toc6912251 \h </w:instrText>
      </w:r>
      <w:r>
        <w:rPr>
          <w:noProof/>
        </w:rPr>
      </w:r>
      <w:r>
        <w:rPr>
          <w:noProof/>
        </w:rPr>
        <w:fldChar w:fldCharType="separate"/>
      </w:r>
      <w:r w:rsidR="00D60383">
        <w:rPr>
          <w:noProof/>
        </w:rPr>
        <w:t>5</w:t>
      </w:r>
      <w:r>
        <w:rPr>
          <w:noProof/>
        </w:rPr>
        <w:fldChar w:fldCharType="end"/>
      </w:r>
    </w:p>
    <w:p w14:paraId="4EF966FE" w14:textId="13648555" w:rsidR="00095EAF" w:rsidRDefault="00095EA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_Toc6912252 \h </w:instrText>
      </w:r>
      <w:r>
        <w:rPr>
          <w:noProof/>
        </w:rPr>
      </w:r>
      <w:r>
        <w:rPr>
          <w:noProof/>
        </w:rPr>
        <w:fldChar w:fldCharType="separate"/>
      </w:r>
      <w:r w:rsidR="00D60383">
        <w:rPr>
          <w:noProof/>
        </w:rPr>
        <w:t>5</w:t>
      </w:r>
      <w:r>
        <w:rPr>
          <w:noProof/>
        </w:rPr>
        <w:fldChar w:fldCharType="end"/>
      </w:r>
    </w:p>
    <w:p w14:paraId="50F0FBEF" w14:textId="665D42FC" w:rsidR="00095EAF" w:rsidRDefault="00095EAF">
      <w:pPr>
        <w:pStyle w:val="TOC3"/>
        <w:rPr>
          <w:rFonts w:asciiTheme="minorHAnsi" w:hAnsiTheme="minorHAnsi"/>
          <w:noProof/>
          <w:szCs w:val="22"/>
        </w:rPr>
      </w:pPr>
      <w:r>
        <w:rPr>
          <w:noProof/>
        </w:rPr>
        <w:t>Electric Savings (</w:t>
      </w:r>
      <w:r w:rsidRPr="001F4880">
        <w:rPr>
          <w:noProof/>
        </w:rPr>
        <w:t>kWh</w:t>
      </w:r>
      <w:r>
        <w:rPr>
          <w:noProof/>
        </w:rPr>
        <w:t>)</w:t>
      </w:r>
      <w:r>
        <w:rPr>
          <w:noProof/>
        </w:rPr>
        <w:tab/>
      </w:r>
      <w:r>
        <w:rPr>
          <w:noProof/>
        </w:rPr>
        <w:fldChar w:fldCharType="begin"/>
      </w:r>
      <w:r>
        <w:rPr>
          <w:noProof/>
        </w:rPr>
        <w:instrText xml:space="preserve"> PAGEREF _Toc6912253 \h </w:instrText>
      </w:r>
      <w:r>
        <w:rPr>
          <w:noProof/>
        </w:rPr>
      </w:r>
      <w:r>
        <w:rPr>
          <w:noProof/>
        </w:rPr>
        <w:fldChar w:fldCharType="separate"/>
      </w:r>
      <w:r w:rsidR="00D60383">
        <w:rPr>
          <w:noProof/>
        </w:rPr>
        <w:t>5</w:t>
      </w:r>
      <w:r>
        <w:rPr>
          <w:noProof/>
        </w:rPr>
        <w:fldChar w:fldCharType="end"/>
      </w:r>
    </w:p>
    <w:p w14:paraId="47FDDB9C" w14:textId="7B03D17D" w:rsidR="00095EAF" w:rsidRDefault="00095EAF">
      <w:pPr>
        <w:pStyle w:val="TOC3"/>
        <w:rPr>
          <w:rFonts w:asciiTheme="minorHAnsi" w:hAnsiTheme="minorHAnsi"/>
          <w:noProof/>
          <w:szCs w:val="22"/>
        </w:rPr>
      </w:pPr>
      <w:r>
        <w:rPr>
          <w:noProof/>
        </w:rPr>
        <w:t>Peak Electric Demand Reduction (</w:t>
      </w:r>
      <w:r w:rsidRPr="001F4880">
        <w:rPr>
          <w:noProof/>
        </w:rPr>
        <w:t>kW</w:t>
      </w:r>
      <w:r>
        <w:rPr>
          <w:noProof/>
        </w:rPr>
        <w:t>)</w:t>
      </w:r>
      <w:r>
        <w:rPr>
          <w:noProof/>
        </w:rPr>
        <w:tab/>
      </w:r>
      <w:r>
        <w:rPr>
          <w:noProof/>
        </w:rPr>
        <w:fldChar w:fldCharType="begin"/>
      </w:r>
      <w:r>
        <w:rPr>
          <w:noProof/>
        </w:rPr>
        <w:instrText xml:space="preserve"> PAGEREF _Toc6912254 \h </w:instrText>
      </w:r>
      <w:r>
        <w:rPr>
          <w:noProof/>
        </w:rPr>
      </w:r>
      <w:r>
        <w:rPr>
          <w:noProof/>
        </w:rPr>
        <w:fldChar w:fldCharType="separate"/>
      </w:r>
      <w:r w:rsidR="00D60383">
        <w:rPr>
          <w:noProof/>
        </w:rPr>
        <w:t>6</w:t>
      </w:r>
      <w:r>
        <w:rPr>
          <w:noProof/>
        </w:rPr>
        <w:fldChar w:fldCharType="end"/>
      </w:r>
    </w:p>
    <w:p w14:paraId="70DEDD11" w14:textId="02B095AA" w:rsidR="00095EAF" w:rsidRDefault="00095EAF">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_Toc6912255 \h </w:instrText>
      </w:r>
      <w:r>
        <w:rPr>
          <w:noProof/>
        </w:rPr>
      </w:r>
      <w:r>
        <w:rPr>
          <w:noProof/>
        </w:rPr>
        <w:fldChar w:fldCharType="separate"/>
      </w:r>
      <w:r w:rsidR="00D60383">
        <w:rPr>
          <w:noProof/>
        </w:rPr>
        <w:t>6</w:t>
      </w:r>
      <w:r>
        <w:rPr>
          <w:noProof/>
        </w:rPr>
        <w:fldChar w:fldCharType="end"/>
      </w:r>
    </w:p>
    <w:p w14:paraId="30D3B682" w14:textId="47E389FF" w:rsidR="00095EAF" w:rsidRDefault="00095EA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_Toc6912256 \h </w:instrText>
      </w:r>
      <w:r>
        <w:rPr>
          <w:noProof/>
        </w:rPr>
      </w:r>
      <w:r>
        <w:rPr>
          <w:noProof/>
        </w:rPr>
        <w:fldChar w:fldCharType="separate"/>
      </w:r>
      <w:r w:rsidR="00D60383">
        <w:rPr>
          <w:noProof/>
        </w:rPr>
        <w:t>6</w:t>
      </w:r>
      <w:r>
        <w:rPr>
          <w:noProof/>
        </w:rPr>
        <w:fldChar w:fldCharType="end"/>
      </w:r>
    </w:p>
    <w:p w14:paraId="450D7144" w14:textId="37D723F9" w:rsidR="00095EAF" w:rsidRDefault="00095EA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_Toc6912257 \h </w:instrText>
      </w:r>
      <w:r>
        <w:rPr>
          <w:noProof/>
        </w:rPr>
      </w:r>
      <w:r>
        <w:rPr>
          <w:noProof/>
        </w:rPr>
        <w:fldChar w:fldCharType="separate"/>
      </w:r>
      <w:r w:rsidR="00D60383">
        <w:rPr>
          <w:noProof/>
        </w:rPr>
        <w:t>7</w:t>
      </w:r>
      <w:r>
        <w:rPr>
          <w:noProof/>
        </w:rPr>
        <w:fldChar w:fldCharType="end"/>
      </w:r>
    </w:p>
    <w:p w14:paraId="2FBF27F4" w14:textId="378B7B14" w:rsidR="00095EAF" w:rsidRDefault="00095EA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_Toc6912258 \h </w:instrText>
      </w:r>
      <w:r>
        <w:rPr>
          <w:noProof/>
        </w:rPr>
      </w:r>
      <w:r>
        <w:rPr>
          <w:noProof/>
        </w:rPr>
        <w:fldChar w:fldCharType="separate"/>
      </w:r>
      <w:r w:rsidR="00D60383">
        <w:rPr>
          <w:noProof/>
        </w:rPr>
        <w:t>7</w:t>
      </w:r>
      <w:r>
        <w:rPr>
          <w:noProof/>
        </w:rPr>
        <w:fldChar w:fldCharType="end"/>
      </w:r>
    </w:p>
    <w:p w14:paraId="536C84D8" w14:textId="214AB44C" w:rsidR="00095EAF" w:rsidRDefault="00095EA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_Toc6912259 \h </w:instrText>
      </w:r>
      <w:r>
        <w:rPr>
          <w:noProof/>
        </w:rPr>
      </w:r>
      <w:r>
        <w:rPr>
          <w:noProof/>
        </w:rPr>
        <w:fldChar w:fldCharType="separate"/>
      </w:r>
      <w:r w:rsidR="00D60383">
        <w:rPr>
          <w:noProof/>
        </w:rPr>
        <w:t>8</w:t>
      </w:r>
      <w:r>
        <w:rPr>
          <w:noProof/>
        </w:rPr>
        <w:fldChar w:fldCharType="end"/>
      </w:r>
    </w:p>
    <w:p w14:paraId="05313E12" w14:textId="21CD92BA" w:rsidR="00095EAF" w:rsidRDefault="00095EA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_Toc6912260 \h </w:instrText>
      </w:r>
      <w:r>
        <w:rPr>
          <w:noProof/>
        </w:rPr>
      </w:r>
      <w:r>
        <w:rPr>
          <w:noProof/>
        </w:rPr>
        <w:fldChar w:fldCharType="separate"/>
      </w:r>
      <w:r w:rsidR="00D60383">
        <w:rPr>
          <w:noProof/>
        </w:rPr>
        <w:t>8</w:t>
      </w:r>
      <w:r>
        <w:rPr>
          <w:noProof/>
        </w:rPr>
        <w:fldChar w:fldCharType="end"/>
      </w:r>
    </w:p>
    <w:p w14:paraId="4D26E5B8" w14:textId="40C62DDF" w:rsidR="00095EAF" w:rsidRDefault="00095EA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_Toc6912261 \h </w:instrText>
      </w:r>
      <w:r>
        <w:rPr>
          <w:noProof/>
        </w:rPr>
      </w:r>
      <w:r>
        <w:rPr>
          <w:noProof/>
        </w:rPr>
        <w:fldChar w:fldCharType="separate"/>
      </w:r>
      <w:r w:rsidR="00D60383">
        <w:rPr>
          <w:noProof/>
        </w:rPr>
        <w:t>8</w:t>
      </w:r>
      <w:r>
        <w:rPr>
          <w:noProof/>
        </w:rPr>
        <w:fldChar w:fldCharType="end"/>
      </w:r>
    </w:p>
    <w:p w14:paraId="6847B1FC" w14:textId="14122676" w:rsidR="00095EAF" w:rsidRDefault="00095EA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_Toc6912262 \h </w:instrText>
      </w:r>
      <w:r>
        <w:rPr>
          <w:noProof/>
        </w:rPr>
      </w:r>
      <w:r>
        <w:rPr>
          <w:noProof/>
        </w:rPr>
        <w:fldChar w:fldCharType="separate"/>
      </w:r>
      <w:r w:rsidR="00D60383">
        <w:rPr>
          <w:noProof/>
        </w:rPr>
        <w:t>8</w:t>
      </w:r>
      <w:r>
        <w:rPr>
          <w:noProof/>
        </w:rPr>
        <w:fldChar w:fldCharType="end"/>
      </w:r>
    </w:p>
    <w:p w14:paraId="21841133" w14:textId="7A53ADC2" w:rsidR="00095EAF" w:rsidRDefault="00095EA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_Toc6912263 \h </w:instrText>
      </w:r>
      <w:r>
        <w:rPr>
          <w:noProof/>
        </w:rPr>
      </w:r>
      <w:r>
        <w:rPr>
          <w:noProof/>
        </w:rPr>
        <w:fldChar w:fldCharType="separate"/>
      </w:r>
      <w:r w:rsidR="00D60383">
        <w:rPr>
          <w:noProof/>
        </w:rPr>
        <w:t>9</w:t>
      </w:r>
      <w:r>
        <w:rPr>
          <w:noProof/>
        </w:rPr>
        <w:fldChar w:fldCharType="end"/>
      </w:r>
    </w:p>
    <w:p w14:paraId="6294A6A5" w14:textId="1C2E537B" w:rsidR="00095EAF" w:rsidRDefault="00095EA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_Toc6912264 \h </w:instrText>
      </w:r>
      <w:r>
        <w:rPr>
          <w:noProof/>
        </w:rPr>
      </w:r>
      <w:r>
        <w:rPr>
          <w:noProof/>
        </w:rPr>
        <w:fldChar w:fldCharType="separate"/>
      </w:r>
      <w:r w:rsidR="00D60383">
        <w:rPr>
          <w:noProof/>
        </w:rPr>
        <w:t>9</w:t>
      </w:r>
      <w:r>
        <w:rPr>
          <w:noProof/>
        </w:rPr>
        <w:fldChar w:fldCharType="end"/>
      </w:r>
    </w:p>
    <w:p w14:paraId="7BC9EEF7" w14:textId="5570776D" w:rsidR="00095EAF" w:rsidRDefault="00095EA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_Toc6912265 \h </w:instrText>
      </w:r>
      <w:r>
        <w:rPr>
          <w:noProof/>
        </w:rPr>
      </w:r>
      <w:r>
        <w:rPr>
          <w:noProof/>
        </w:rPr>
        <w:fldChar w:fldCharType="separate"/>
      </w:r>
      <w:r w:rsidR="00D60383">
        <w:rPr>
          <w:noProof/>
        </w:rPr>
        <w:t>10</w:t>
      </w:r>
      <w:r>
        <w:rPr>
          <w:noProof/>
        </w:rPr>
        <w:fldChar w:fldCharType="end"/>
      </w:r>
    </w:p>
    <w:p w14:paraId="4C194BAF" w14:textId="2B3CF87E" w:rsidR="001C6C9B" w:rsidRPr="008F4A04" w:rsidRDefault="001C6C9B" w:rsidP="00D12B8C">
      <w:r w:rsidRPr="008F4A04">
        <w:fldChar w:fldCharType="end"/>
      </w:r>
    </w:p>
    <w:p w14:paraId="7DD78D3A" w14:textId="77777777" w:rsidR="007E1F66" w:rsidRPr="008F4A04" w:rsidRDefault="007E1F66" w:rsidP="00462BB6">
      <w:pPr>
        <w:pStyle w:val="eTRMHeading3"/>
        <w:sectPr w:rsidR="007E1F66" w:rsidRPr="008F4A04"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58C5B205" w14:textId="6D20E7E8" w:rsidR="00887FDA" w:rsidRPr="008F4A04" w:rsidRDefault="00887FDA"/>
    <w:p w14:paraId="39F3CABB" w14:textId="77777777" w:rsidR="00871123" w:rsidRPr="008F4A04" w:rsidRDefault="00871123" w:rsidP="00462BB6">
      <w:pPr>
        <w:pStyle w:val="eTRMHeading3"/>
        <w:spacing w:before="20" w:after="20"/>
      </w:pPr>
      <w:bookmarkStart w:id="0" w:name="_Toc486490839"/>
      <w:bookmarkStart w:id="1" w:name="_Toc486580912"/>
      <w:bookmarkStart w:id="2" w:name="_Toc525811624"/>
      <w:bookmarkStart w:id="3" w:name="_Toc6912238"/>
      <w:r w:rsidRPr="008F4A04">
        <w:t>Measure Name</w:t>
      </w:r>
      <w:bookmarkEnd w:id="0"/>
      <w:bookmarkEnd w:id="1"/>
      <w:bookmarkEnd w:id="2"/>
      <w:bookmarkEnd w:id="3"/>
    </w:p>
    <w:p w14:paraId="3B952704" w14:textId="3B07AB66" w:rsidR="00871123" w:rsidRPr="008F4A04" w:rsidRDefault="00214BAA" w:rsidP="00462BB6">
      <w:pPr>
        <w:spacing w:before="20" w:after="20" w:line="280" w:lineRule="exact"/>
      </w:pPr>
      <w:r>
        <w:t>Refrigerant Charge Adjustment</w:t>
      </w:r>
      <w:r w:rsidR="00182775" w:rsidRPr="008F4A04">
        <w:t>, Residential</w:t>
      </w:r>
    </w:p>
    <w:p w14:paraId="4EAED972" w14:textId="77777777" w:rsidR="00871123" w:rsidRPr="008F4A04" w:rsidRDefault="00871123" w:rsidP="00462BB6">
      <w:pPr>
        <w:spacing w:before="20" w:after="20" w:line="280" w:lineRule="exact"/>
      </w:pPr>
    </w:p>
    <w:p w14:paraId="6406A9D4" w14:textId="77777777" w:rsidR="00871123" w:rsidRPr="008F4A04" w:rsidRDefault="00871123" w:rsidP="00462BB6">
      <w:pPr>
        <w:pStyle w:val="eTRMHeading3"/>
        <w:spacing w:before="20" w:after="20"/>
      </w:pPr>
      <w:bookmarkStart w:id="4" w:name="_Toc486490840"/>
      <w:bookmarkStart w:id="5" w:name="_Toc486580913"/>
      <w:bookmarkStart w:id="6" w:name="_Toc525811625"/>
      <w:bookmarkStart w:id="7" w:name="_Toc6912239"/>
      <w:r w:rsidRPr="008F4A04">
        <w:t>Statewide Measure ID</w:t>
      </w:r>
      <w:bookmarkEnd w:id="4"/>
      <w:bookmarkEnd w:id="5"/>
      <w:bookmarkEnd w:id="6"/>
      <w:bookmarkEnd w:id="7"/>
    </w:p>
    <w:p w14:paraId="6EAE2100" w14:textId="233F29E9" w:rsidR="00871123" w:rsidRPr="008F4A04" w:rsidRDefault="00507690" w:rsidP="00462BB6">
      <w:pPr>
        <w:spacing w:before="20" w:after="20" w:line="280" w:lineRule="exact"/>
        <w:rPr>
          <w:i/>
          <w:color w:val="808080" w:themeColor="background1" w:themeShade="80"/>
        </w:rPr>
      </w:pPr>
      <w:r>
        <w:t>SWSV006</w:t>
      </w:r>
      <w:r w:rsidR="00D906E3">
        <w:t>-01</w:t>
      </w:r>
    </w:p>
    <w:p w14:paraId="2B553EA2" w14:textId="77777777" w:rsidR="00871123" w:rsidRPr="008F4A04" w:rsidRDefault="00871123" w:rsidP="00462BB6">
      <w:pPr>
        <w:spacing w:before="20" w:after="20" w:line="280" w:lineRule="exact"/>
        <w:rPr>
          <w:i/>
          <w:color w:val="808080" w:themeColor="background1" w:themeShade="80"/>
        </w:rPr>
      </w:pPr>
    </w:p>
    <w:p w14:paraId="0F7CA2E6" w14:textId="77777777" w:rsidR="00E70CBD" w:rsidRPr="008F4A04" w:rsidRDefault="00E70CBD" w:rsidP="00462BB6">
      <w:pPr>
        <w:pStyle w:val="eTRMHeading3"/>
      </w:pPr>
      <w:bookmarkStart w:id="8" w:name="_Toc486490847"/>
      <w:bookmarkStart w:id="9" w:name="_Toc486580918"/>
      <w:bookmarkStart w:id="10" w:name="_Toc525811630"/>
      <w:bookmarkStart w:id="11" w:name="_Toc6912244"/>
      <w:r w:rsidRPr="008F4A04">
        <w:t>Technology Summary</w:t>
      </w:r>
      <w:bookmarkEnd w:id="8"/>
      <w:bookmarkEnd w:id="9"/>
      <w:bookmarkEnd w:id="10"/>
      <w:bookmarkEnd w:id="11"/>
      <w:r w:rsidRPr="008F4A04">
        <w:t xml:space="preserve"> </w:t>
      </w:r>
    </w:p>
    <w:p w14:paraId="2ECDAD82" w14:textId="4002D437" w:rsidR="008F4A04" w:rsidRDefault="008F4A04" w:rsidP="00C47F9D">
      <w:r w:rsidRPr="008F4A04">
        <w:t xml:space="preserve">Proper maintenance of </w:t>
      </w:r>
      <w:r w:rsidR="002D7AD6">
        <w:t>an</w:t>
      </w:r>
      <w:r w:rsidRPr="008F4A04">
        <w:t xml:space="preserve"> </w:t>
      </w:r>
      <w:r w:rsidR="00C47F9D">
        <w:t xml:space="preserve">air </w:t>
      </w:r>
      <w:r w:rsidR="002B5CAA">
        <w:t>conditioner (AC)</w:t>
      </w:r>
      <w:r w:rsidRPr="008F4A04">
        <w:t xml:space="preserve"> or </w:t>
      </w:r>
      <w:r w:rsidR="002B5CAA">
        <w:t>heat pump</w:t>
      </w:r>
      <w:r w:rsidRPr="008F4A04">
        <w:t xml:space="preserve"> HVAC equipment </w:t>
      </w:r>
      <w:r w:rsidR="002D7AD6">
        <w:t xml:space="preserve">will enable the equipment </w:t>
      </w:r>
      <w:r w:rsidRPr="008F4A04">
        <w:t xml:space="preserve">to operate at or near its optimal efficiency. </w:t>
      </w:r>
      <w:r w:rsidR="002B5CAA">
        <w:t>Quality maintenance (QM)</w:t>
      </w:r>
      <w:r w:rsidRPr="008F4A04">
        <w:t xml:space="preserve"> measures are treatments designed to increase </w:t>
      </w:r>
      <w:r w:rsidR="002B5CAA">
        <w:t>the effectiveness of HVAC equipment</w:t>
      </w:r>
      <w:r w:rsidRPr="008F4A04">
        <w:t xml:space="preserve"> to deliver heating and cooling and increased thermal comfort.   </w:t>
      </w:r>
    </w:p>
    <w:p w14:paraId="746534B5" w14:textId="024B51FF" w:rsidR="00CD1E9A" w:rsidRPr="008F4A04" w:rsidRDefault="00C47F9D" w:rsidP="00C47F9D">
      <w:bookmarkStart w:id="12" w:name="_Hlk525905280"/>
      <w:r w:rsidRPr="003863BE">
        <w:t xml:space="preserve">The level of maintenance by technicians on a typical </w:t>
      </w:r>
      <w:r w:rsidR="00214BAA">
        <w:t>AC</w:t>
      </w:r>
      <w:r>
        <w:t xml:space="preserve"> or </w:t>
      </w:r>
      <w:r w:rsidR="00214BAA">
        <w:t>heat pump</w:t>
      </w:r>
      <w:r>
        <w:t xml:space="preserve"> </w:t>
      </w:r>
      <w:r w:rsidR="00214BAA">
        <w:t>unit</w:t>
      </w:r>
      <w:r w:rsidRPr="003863BE">
        <w:t xml:space="preserve"> is minimal with service being performed at an unacceptable level. This may eventually lead to unit failure and/or poor performance, forcing premature equipment replacement. In response to this problem, Air Conditioner Contractors of America (ACCA) developed Standard 4 for “Maintenance of Residential HVAC Systems”.</w:t>
      </w:r>
      <w:r>
        <w:rPr>
          <w:rStyle w:val="FootnoteReference"/>
        </w:rPr>
        <w:footnoteReference w:id="2"/>
      </w:r>
    </w:p>
    <w:bookmarkEnd w:id="12"/>
    <w:p w14:paraId="13B86734" w14:textId="2E3FB65A" w:rsidR="00CD1E9A" w:rsidRDefault="002D7AD6" w:rsidP="00CD1E9A">
      <w:pPr>
        <w:rPr>
          <w:rFonts w:cstheme="minorHAnsi"/>
          <w:szCs w:val="22"/>
        </w:rPr>
      </w:pPr>
      <w:r w:rsidRPr="00D906E3">
        <w:rPr>
          <w:rFonts w:cstheme="minorHAnsi"/>
        </w:rPr>
        <w:t>The impact evaluation of 2015 commercial quality maintenance programs (HVAC3) conducted by DNV GL</w:t>
      </w:r>
      <w:r w:rsidRPr="00D906E3">
        <w:rPr>
          <w:rStyle w:val="FootnoteReference"/>
          <w:rFonts w:cstheme="minorHAnsi"/>
        </w:rPr>
        <w:footnoteReference w:id="3"/>
      </w:r>
      <w:r w:rsidRPr="00D906E3">
        <w:rPr>
          <w:rFonts w:cstheme="minorHAnsi"/>
          <w:b/>
        </w:rPr>
        <w:t xml:space="preserve"> </w:t>
      </w:r>
      <w:r w:rsidRPr="00D906E3">
        <w:rPr>
          <w:rFonts w:cstheme="minorHAnsi"/>
          <w:szCs w:val="22"/>
        </w:rPr>
        <w:t>analyzed the</w:t>
      </w:r>
      <w:r w:rsidR="00CD1E9A" w:rsidRPr="00D906E3">
        <w:rPr>
          <w:rFonts w:cstheme="minorHAnsi"/>
          <w:szCs w:val="22"/>
        </w:rPr>
        <w:t xml:space="preserve"> impacts of three residential measures implemented through the QM programs</w:t>
      </w:r>
      <w:r w:rsidRPr="00D906E3">
        <w:rPr>
          <w:rFonts w:cstheme="minorHAnsi"/>
          <w:szCs w:val="22"/>
        </w:rPr>
        <w:t xml:space="preserve">: </w:t>
      </w:r>
      <w:r w:rsidR="00CD1E9A" w:rsidRPr="00D906E3">
        <w:rPr>
          <w:rFonts w:cstheme="minorHAnsi"/>
          <w:szCs w:val="22"/>
        </w:rPr>
        <w:t>coil cleaning, supply fan, and refrigerant charge adjustment – RCA</w:t>
      </w:r>
      <w:r w:rsidRPr="00D906E3">
        <w:rPr>
          <w:rFonts w:cstheme="minorHAnsi"/>
          <w:szCs w:val="22"/>
        </w:rPr>
        <w:t xml:space="preserve"> (as well</w:t>
      </w:r>
      <w:r w:rsidR="00CD1E9A" w:rsidRPr="00D906E3">
        <w:rPr>
          <w:rFonts w:cstheme="minorHAnsi"/>
          <w:szCs w:val="22"/>
        </w:rPr>
        <w:t xml:space="preserve"> the five commercial measures with the highest claimed savings across the QM programs</w:t>
      </w:r>
      <w:r w:rsidRPr="00D906E3">
        <w:rPr>
          <w:rFonts w:cstheme="minorHAnsi"/>
          <w:szCs w:val="22"/>
        </w:rPr>
        <w:t xml:space="preserve">). </w:t>
      </w:r>
      <w:r w:rsidR="00CD1E9A" w:rsidRPr="00D906E3">
        <w:rPr>
          <w:rFonts w:cstheme="minorHAnsi"/>
          <w:szCs w:val="22"/>
        </w:rPr>
        <w:t>The specific programs evaluated were Residential QM (PG&amp;E, SDG&amp;E), Commercial QM (PG&amp;E), AirCare Plus (PG&amp;E), QM (SCE and SoCalGas), Deemed (SDG&amp;E), and Direct Install (SDG&amp;E).</w:t>
      </w:r>
      <w:r w:rsidR="00CD1E9A" w:rsidRPr="00830B5F">
        <w:rPr>
          <w:rFonts w:cstheme="minorHAnsi"/>
          <w:szCs w:val="22"/>
        </w:rPr>
        <w:t xml:space="preserve"> </w:t>
      </w:r>
      <w:r w:rsidR="00CD1E9A">
        <w:rPr>
          <w:rFonts w:cstheme="minorHAnsi"/>
          <w:szCs w:val="22"/>
        </w:rPr>
        <w:t xml:space="preserve"> </w:t>
      </w:r>
    </w:p>
    <w:p w14:paraId="336CD5F1" w14:textId="77777777" w:rsidR="00C97228" w:rsidRPr="008F4A04" w:rsidRDefault="00C97228" w:rsidP="00AB6C99"/>
    <w:p w14:paraId="3144B13A" w14:textId="77777777" w:rsidR="00214BAA" w:rsidRPr="008F4A04" w:rsidRDefault="00214BAA" w:rsidP="00214BAA">
      <w:pPr>
        <w:pStyle w:val="eTRMHeading3"/>
      </w:pPr>
      <w:bookmarkStart w:id="13" w:name="_Toc486490848"/>
      <w:bookmarkStart w:id="14" w:name="_Toc486580919"/>
      <w:bookmarkStart w:id="15" w:name="_Toc525811631"/>
      <w:bookmarkStart w:id="16" w:name="_Toc6912245"/>
      <w:r w:rsidRPr="008F4A04">
        <w:t>Measure Case Description</w:t>
      </w:r>
      <w:bookmarkEnd w:id="13"/>
      <w:bookmarkEnd w:id="14"/>
      <w:bookmarkEnd w:id="15"/>
      <w:bookmarkEnd w:id="16"/>
    </w:p>
    <w:p w14:paraId="698E998A" w14:textId="77777777" w:rsidR="00E56A45" w:rsidRDefault="00214BAA" w:rsidP="00214BAA">
      <w:r>
        <w:t xml:space="preserve">This measure is </w:t>
      </w:r>
      <w:r w:rsidRPr="000D0082">
        <w:t xml:space="preserve">defined as </w:t>
      </w:r>
      <w:r w:rsidR="00F33A1B" w:rsidRPr="000D0082">
        <w:t>a performance/parameter improvement which improves the EER and cooling capacity of a unit</w:t>
      </w:r>
      <w:r w:rsidR="000D0082" w:rsidRPr="000D0082">
        <w:t xml:space="preserve"> by applying treatment that either increases or decreases refrigerant charge with or without thermal expansion</w:t>
      </w:r>
      <w:r w:rsidRPr="000D0082">
        <w:t>.</w:t>
      </w:r>
      <w:r>
        <w:t xml:space="preserve">  </w:t>
      </w:r>
      <w:r w:rsidR="00194C43">
        <w:t>The different charge stat</w:t>
      </w:r>
      <w:r w:rsidR="007222D5">
        <w:t>e</w:t>
      </w:r>
      <w:r w:rsidR="00194C43">
        <w:t>s associated with each measure represent either the undercharged stat</w:t>
      </w:r>
      <w:r w:rsidR="007222D5">
        <w:t>e</w:t>
      </w:r>
      <w:r w:rsidR="00194C43">
        <w:t xml:space="preserve"> for the system or overcharged state of the system. </w:t>
      </w:r>
    </w:p>
    <w:p w14:paraId="4393DD3E" w14:textId="234ACDF8" w:rsidR="00E56A45" w:rsidRDefault="007B0B2F" w:rsidP="00214BAA">
      <w:r>
        <w:t>Overcharge measures address systems experiencing higher than manufacture</w:t>
      </w:r>
      <w:r w:rsidR="00005FF8">
        <w:t>r</w:t>
      </w:r>
      <w:r>
        <w:t xml:space="preserve"> rated flows of refrigerant through the evaporator, which results in system inefficiencies due to the refrigerant not entirely transitioning to saturated vapor and subsequently superheated vapor, thus having a low superheat. Undercharge measures address systems with high superheat, where lower than manufacture rated refrigerant volumes pass through the evaporator too slow resulting in all the refrigerant being converted to saturated vapor and reaching a superheated state prematurely.</w:t>
      </w:r>
      <w:r w:rsidR="007222D5">
        <w:t xml:space="preserve"> </w:t>
      </w:r>
      <w:r>
        <w:t xml:space="preserve">Both scenarios reduce capacity and </w:t>
      </w:r>
      <w:r>
        <w:lastRenderedPageBreak/>
        <w:t>efficiency, through undercharge typically reduce</w:t>
      </w:r>
      <w:r w:rsidR="00097266">
        <w:t>s</w:t>
      </w:r>
      <w:r>
        <w:t xml:space="preserve"> both performance measures more severely, thus yielding more energy savings when an undercharge measure is applied.</w:t>
      </w:r>
      <w:r w:rsidR="00194C43">
        <w:t xml:space="preserve"> </w:t>
      </w:r>
      <w:r w:rsidR="00097266">
        <w:rPr>
          <w:rStyle w:val="FootnoteReference"/>
        </w:rPr>
        <w:footnoteReference w:id="4"/>
      </w:r>
    </w:p>
    <w:p w14:paraId="334FBCA3" w14:textId="2464A1FE" w:rsidR="00214BAA" w:rsidRDefault="00214BAA" w:rsidP="00214BAA">
      <w:r>
        <w:t>Measure offerings are defined by the type of refrigerant charge (increase or decrease) and if the system has or does not have a thermal expansion valve (TXV)</w:t>
      </w:r>
      <w:r w:rsidR="00005FF8">
        <w:t xml:space="preserve">. The 4%, 8%, and 16% indicate the amount of recharge, or reduction (in the case of over-charged units) required to meet the manufacturer </w:t>
      </w:r>
      <w:r w:rsidR="00097266">
        <w:t xml:space="preserve">specified </w:t>
      </w:r>
      <w:r w:rsidR="00005FF8">
        <w:t>refrigerant volume for each unit; typically, the larger the percentage, the greater energy savings are yielded. Provided below is a list of the eight measures</w:t>
      </w:r>
      <w:r>
        <w:t>:</w:t>
      </w:r>
    </w:p>
    <w:p w14:paraId="15048665" w14:textId="4D6FC8B8" w:rsidR="00214BAA" w:rsidRPr="00664678" w:rsidRDefault="00214BAA" w:rsidP="00214BAA">
      <w:pPr>
        <w:pStyle w:val="eTRMBulletedText"/>
      </w:pPr>
      <w:r w:rsidRPr="00664678">
        <w:t xml:space="preserve">Decrease Refrigerant Charge - </w:t>
      </w:r>
      <w:r w:rsidR="008279BC" w:rsidRPr="00664678">
        <w:t>Syste</w:t>
      </w:r>
      <w:r w:rsidR="008279BC">
        <w:t>m</w:t>
      </w:r>
      <w:r w:rsidRPr="00664678">
        <w:t xml:space="preserve"> with No TXV - Typical (8% rated charge)</w:t>
      </w:r>
    </w:p>
    <w:p w14:paraId="69A4879D" w14:textId="77777777" w:rsidR="00214BAA" w:rsidRPr="00664678" w:rsidRDefault="00214BAA" w:rsidP="00214BAA">
      <w:pPr>
        <w:pStyle w:val="eTRMBulletedText"/>
        <w:rPr>
          <w:rFonts w:cstheme="minorHAnsi"/>
        </w:rPr>
      </w:pPr>
      <w:r w:rsidRPr="00664678">
        <w:t>Decrease Refrigerant Charge - System with TXV - Typical (8% rated charge)</w:t>
      </w:r>
    </w:p>
    <w:p w14:paraId="67F37158" w14:textId="77777777" w:rsidR="00214BAA" w:rsidRPr="00664678" w:rsidRDefault="00214BAA" w:rsidP="00214BAA">
      <w:pPr>
        <w:pStyle w:val="eTRMBulletedText"/>
        <w:rPr>
          <w:rFonts w:cstheme="minorHAnsi"/>
        </w:rPr>
      </w:pPr>
      <w:r w:rsidRPr="00664678">
        <w:t>Increase Refrigerant Charge - System with No TXV - Typical (8% rated charge)</w:t>
      </w:r>
    </w:p>
    <w:p w14:paraId="0150189C" w14:textId="76034302" w:rsidR="00214BAA" w:rsidRPr="00351806" w:rsidRDefault="00214BAA" w:rsidP="00214BAA">
      <w:pPr>
        <w:pStyle w:val="eTRMBulletedText"/>
        <w:rPr>
          <w:rFonts w:cstheme="minorHAnsi"/>
        </w:rPr>
      </w:pPr>
      <w:r w:rsidRPr="00664678">
        <w:t>Increase Refrigerant Charge - System with TXV - Typical (8% rated charge)</w:t>
      </w:r>
    </w:p>
    <w:p w14:paraId="762E8E46" w14:textId="288C1144" w:rsidR="005A053B" w:rsidRPr="00351806" w:rsidRDefault="00482465" w:rsidP="00214BAA">
      <w:pPr>
        <w:pStyle w:val="eTRMBulletedText"/>
        <w:rPr>
          <w:rFonts w:cstheme="minorHAnsi"/>
        </w:rPr>
      </w:pPr>
      <w:r>
        <w:t>Increase Refrigerant Charge – System with No TXV (16% rated charge)</w:t>
      </w:r>
    </w:p>
    <w:p w14:paraId="4763B0A1" w14:textId="6D37EEE6" w:rsidR="00482465" w:rsidRPr="00351806" w:rsidRDefault="00482465" w:rsidP="00482465">
      <w:pPr>
        <w:pStyle w:val="eTRMBulletedText"/>
        <w:rPr>
          <w:rFonts w:cstheme="minorHAnsi"/>
        </w:rPr>
      </w:pPr>
      <w:r>
        <w:t>Increase Refrigerant Charge – System with TXV (16% rated charge)</w:t>
      </w:r>
    </w:p>
    <w:p w14:paraId="20CC8A07" w14:textId="338ABA08" w:rsidR="00482465" w:rsidRPr="00664678" w:rsidRDefault="00482465" w:rsidP="00482465">
      <w:pPr>
        <w:pStyle w:val="eTRMBulletedText"/>
        <w:rPr>
          <w:rFonts w:cstheme="minorHAnsi"/>
        </w:rPr>
      </w:pPr>
      <w:r>
        <w:t>Increase Refrigerant Charge – System with No TXV (4% rated charge)</w:t>
      </w:r>
    </w:p>
    <w:p w14:paraId="207F1C0C" w14:textId="56DA6DDF" w:rsidR="00482465" w:rsidRPr="00482465" w:rsidRDefault="00482465">
      <w:pPr>
        <w:pStyle w:val="eTRMBulletedText"/>
        <w:rPr>
          <w:rFonts w:cstheme="minorHAnsi"/>
        </w:rPr>
      </w:pPr>
      <w:r>
        <w:t>Increase Refrigerant Charge – System with TXV (4% rated charge)</w:t>
      </w:r>
    </w:p>
    <w:p w14:paraId="78CCD1C4" w14:textId="77777777" w:rsidR="00214BAA" w:rsidRPr="008F4A04" w:rsidRDefault="00214BAA" w:rsidP="00214BAA"/>
    <w:p w14:paraId="649835C7" w14:textId="77777777" w:rsidR="00214BAA" w:rsidRPr="008F4A04" w:rsidRDefault="00214BAA" w:rsidP="00214BAA">
      <w:pPr>
        <w:pStyle w:val="eTRMHeading3"/>
      </w:pPr>
      <w:bookmarkStart w:id="17" w:name="_Toc486490849"/>
      <w:bookmarkStart w:id="18" w:name="_Toc486580920"/>
      <w:bookmarkStart w:id="19" w:name="_Toc525811632"/>
      <w:bookmarkStart w:id="20" w:name="_Toc6912246"/>
      <w:r w:rsidRPr="008F4A04">
        <w:t>Base Case Description</w:t>
      </w:r>
      <w:bookmarkEnd w:id="17"/>
      <w:bookmarkEnd w:id="18"/>
      <w:bookmarkEnd w:id="19"/>
      <w:bookmarkEnd w:id="20"/>
      <w:r w:rsidRPr="008F4A04">
        <w:t xml:space="preserve"> </w:t>
      </w:r>
    </w:p>
    <w:p w14:paraId="3E53F620" w14:textId="547424A4" w:rsidR="00214BAA" w:rsidRDefault="00214BAA" w:rsidP="00214BAA">
      <w:r>
        <w:t>The base case for this measure is defined as a non-treated HVAC system.</w:t>
      </w:r>
    </w:p>
    <w:p w14:paraId="5361B24F" w14:textId="77777777" w:rsidR="002D7AD6" w:rsidRPr="008F4A04" w:rsidRDefault="002D7AD6" w:rsidP="002942B0"/>
    <w:p w14:paraId="7D9DA4A6" w14:textId="77777777" w:rsidR="007D230B" w:rsidRPr="008F4A04" w:rsidRDefault="007D230B" w:rsidP="004F705B">
      <w:pPr>
        <w:pStyle w:val="eTRMHeading3"/>
      </w:pPr>
      <w:bookmarkStart w:id="21" w:name="_Toc486490850"/>
      <w:bookmarkStart w:id="22" w:name="_Toc486580921"/>
      <w:bookmarkStart w:id="23" w:name="_Toc6912247"/>
      <w:r w:rsidRPr="008F4A04">
        <w:t>Code Requirements</w:t>
      </w:r>
      <w:bookmarkEnd w:id="21"/>
      <w:bookmarkEnd w:id="22"/>
      <w:bookmarkEnd w:id="23"/>
    </w:p>
    <w:p w14:paraId="6F972DF6" w14:textId="17DC29C9" w:rsidR="00951869" w:rsidRDefault="00951869" w:rsidP="00951869">
      <w:pPr>
        <w:rPr>
          <w:rFonts w:cstheme="minorHAnsi"/>
          <w:szCs w:val="22"/>
        </w:rPr>
      </w:pPr>
      <w:r>
        <w:t>This measure is not governed by federal or state appliance or building standards.</w:t>
      </w:r>
      <w:r w:rsidRPr="00951869">
        <w:rPr>
          <w:rFonts w:cstheme="minorHAnsi"/>
          <w:szCs w:val="22"/>
        </w:rPr>
        <w:t xml:space="preserve"> </w:t>
      </w:r>
      <w:r>
        <w:rPr>
          <w:rFonts w:cstheme="minorHAnsi"/>
          <w:szCs w:val="22"/>
        </w:rPr>
        <w:t>The California Building Energy Efficiency Standards (</w:t>
      </w:r>
      <w:r w:rsidRPr="003863BE">
        <w:rPr>
          <w:rFonts w:cstheme="minorHAnsi"/>
          <w:szCs w:val="22"/>
        </w:rPr>
        <w:t>Title 24</w:t>
      </w:r>
      <w:r>
        <w:rPr>
          <w:rFonts w:cstheme="minorHAnsi"/>
          <w:szCs w:val="22"/>
        </w:rPr>
        <w:t>)</w:t>
      </w:r>
      <w:r w:rsidRPr="003863BE">
        <w:rPr>
          <w:rFonts w:cstheme="minorHAnsi"/>
          <w:szCs w:val="22"/>
        </w:rPr>
        <w:t xml:space="preserve"> does not deal with quality maintenance</w:t>
      </w:r>
      <w:r>
        <w:rPr>
          <w:rFonts w:cstheme="minorHAnsi"/>
          <w:szCs w:val="22"/>
        </w:rPr>
        <w:t xml:space="preserve"> (QM) treatments. Notably, the California</w:t>
      </w:r>
      <w:r w:rsidRPr="003863BE">
        <w:rPr>
          <w:rFonts w:cstheme="minorHAnsi"/>
          <w:szCs w:val="22"/>
        </w:rPr>
        <w:t xml:space="preserve"> mechanical code</w:t>
      </w:r>
      <w:r>
        <w:rPr>
          <w:rFonts w:cstheme="minorHAnsi"/>
          <w:szCs w:val="22"/>
        </w:rPr>
        <w:t xml:space="preserve"> states that</w:t>
      </w:r>
      <w:r w:rsidRPr="003863BE">
        <w:rPr>
          <w:rFonts w:cstheme="minorHAnsi"/>
          <w:szCs w:val="22"/>
        </w:rPr>
        <w:t xml:space="preserve"> changes, alterations, or repairs of a minor nature </w:t>
      </w:r>
      <w:r>
        <w:rPr>
          <w:rFonts w:cstheme="minorHAnsi"/>
          <w:szCs w:val="22"/>
        </w:rPr>
        <w:t xml:space="preserve">that do </w:t>
      </w:r>
      <w:r w:rsidRPr="00951869">
        <w:rPr>
          <w:rFonts w:cstheme="minorHAnsi"/>
          <w:i/>
          <w:szCs w:val="22"/>
        </w:rPr>
        <w:t>not</w:t>
      </w:r>
      <w:r w:rsidRPr="003863BE">
        <w:rPr>
          <w:rFonts w:cstheme="minorHAnsi"/>
          <w:szCs w:val="22"/>
        </w:rPr>
        <w:t xml:space="preserve"> affect structural features, egress, sanitation, safety, or accessibility as determined by the enforcing agency are exempt from the requirement to obtain a mechanical permit. </w:t>
      </w:r>
    </w:p>
    <w:p w14:paraId="7F5CADCF" w14:textId="37AA6F3A" w:rsidR="00951869" w:rsidRPr="003863BE" w:rsidRDefault="00951869" w:rsidP="00951869">
      <w:pPr>
        <w:rPr>
          <w:rFonts w:cstheme="minorHAnsi"/>
          <w:szCs w:val="22"/>
        </w:rPr>
      </w:pPr>
      <w:r>
        <w:rPr>
          <w:rFonts w:cstheme="minorHAnsi"/>
          <w:szCs w:val="22"/>
        </w:rPr>
        <w:t>Note, however, t</w:t>
      </w:r>
      <w:r w:rsidRPr="003863BE">
        <w:rPr>
          <w:rFonts w:cstheme="minorHAnsi"/>
          <w:szCs w:val="22"/>
        </w:rPr>
        <w:t>he program requires the HVAC contractor to be license</w:t>
      </w:r>
      <w:r>
        <w:rPr>
          <w:rFonts w:cstheme="minorHAnsi"/>
          <w:szCs w:val="22"/>
        </w:rPr>
        <w:t>d</w:t>
      </w:r>
      <w:r w:rsidRPr="003863BE">
        <w:rPr>
          <w:rFonts w:cstheme="minorHAnsi"/>
          <w:szCs w:val="22"/>
        </w:rPr>
        <w:t xml:space="preserve"> by the California State Licensing Board (CSLB) and </w:t>
      </w:r>
      <w:r>
        <w:rPr>
          <w:rFonts w:cstheme="minorHAnsi"/>
          <w:szCs w:val="22"/>
        </w:rPr>
        <w:t>that</w:t>
      </w:r>
      <w:r w:rsidRPr="003863BE">
        <w:rPr>
          <w:rFonts w:cstheme="minorHAnsi"/>
          <w:szCs w:val="22"/>
        </w:rPr>
        <w:t xml:space="preserve"> HVAC technicians </w:t>
      </w:r>
      <w:r>
        <w:rPr>
          <w:rFonts w:cstheme="minorHAnsi"/>
          <w:szCs w:val="22"/>
        </w:rPr>
        <w:t>are</w:t>
      </w:r>
      <w:r w:rsidRPr="003863BE">
        <w:rPr>
          <w:rFonts w:cstheme="minorHAnsi"/>
          <w:szCs w:val="22"/>
        </w:rPr>
        <w:t xml:space="preserve"> certified</w:t>
      </w:r>
      <w:r>
        <w:rPr>
          <w:rFonts w:cstheme="minorHAnsi"/>
          <w:szCs w:val="22"/>
        </w:rPr>
        <w:t xml:space="preserve"> by the U.S. Environmental Protection Agency (EPA)</w:t>
      </w:r>
      <w:r w:rsidRPr="003863BE">
        <w:rPr>
          <w:rFonts w:cstheme="minorHAnsi"/>
          <w:szCs w:val="22"/>
        </w:rPr>
        <w:t>.</w:t>
      </w:r>
    </w:p>
    <w:p w14:paraId="7E96141F" w14:textId="15CF5126" w:rsidR="00FD2C54" w:rsidRPr="008F4A04" w:rsidRDefault="00FD2C54" w:rsidP="00EA057C">
      <w:pPr>
        <w:pStyle w:val="Caption"/>
      </w:pPr>
      <w:r w:rsidRPr="008F4A04">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8F4A04"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8F4A04" w:rsidRDefault="00FC77BB" w:rsidP="004F705B">
            <w:pPr>
              <w:keepNext/>
              <w:keepLines/>
              <w:spacing w:before="20" w:after="20"/>
              <w:rPr>
                <w:b/>
                <w:sz w:val="20"/>
                <w:szCs w:val="20"/>
              </w:rPr>
            </w:pPr>
            <w:r w:rsidRPr="008F4A04">
              <w:rPr>
                <w:b/>
                <w:sz w:val="20"/>
              </w:rPr>
              <w:t>Code</w:t>
            </w:r>
          </w:p>
        </w:tc>
        <w:tc>
          <w:tcPr>
            <w:tcW w:w="2340" w:type="dxa"/>
            <w:shd w:val="clear" w:color="auto" w:fill="F2F2F2" w:themeFill="background1" w:themeFillShade="F2"/>
            <w:vAlign w:val="bottom"/>
          </w:tcPr>
          <w:p w14:paraId="2A51DAFB" w14:textId="77777777" w:rsidR="00FC77BB" w:rsidRPr="008F4A04" w:rsidRDefault="00FC77BB" w:rsidP="004F705B">
            <w:pPr>
              <w:keepNext/>
              <w:keepLines/>
              <w:spacing w:before="20" w:after="20"/>
              <w:jc w:val="center"/>
              <w:rPr>
                <w:b/>
                <w:sz w:val="20"/>
                <w:szCs w:val="20"/>
              </w:rPr>
            </w:pPr>
            <w:r w:rsidRPr="008F4A04">
              <w:rPr>
                <w:b/>
                <w:sz w:val="20"/>
              </w:rPr>
              <w:t>Applicable Code Reference</w:t>
            </w:r>
          </w:p>
        </w:tc>
        <w:tc>
          <w:tcPr>
            <w:tcW w:w="2430" w:type="dxa"/>
            <w:shd w:val="clear" w:color="auto" w:fill="F2F2F2" w:themeFill="background1" w:themeFillShade="F2"/>
            <w:vAlign w:val="bottom"/>
          </w:tcPr>
          <w:p w14:paraId="214A9ADD" w14:textId="77777777" w:rsidR="00FC77BB" w:rsidRPr="008F4A04" w:rsidRDefault="00FC77BB" w:rsidP="004F705B">
            <w:pPr>
              <w:keepNext/>
              <w:keepLines/>
              <w:spacing w:before="20" w:after="20"/>
              <w:jc w:val="center"/>
              <w:rPr>
                <w:b/>
                <w:sz w:val="20"/>
                <w:szCs w:val="20"/>
              </w:rPr>
            </w:pPr>
            <w:r w:rsidRPr="008F4A04">
              <w:rPr>
                <w:b/>
                <w:sz w:val="20"/>
              </w:rPr>
              <w:t>Effective Date</w:t>
            </w:r>
          </w:p>
        </w:tc>
      </w:tr>
      <w:tr w:rsidR="00FC77BB" w:rsidRPr="008F4A04" w14:paraId="782F7264" w14:textId="345CFA23" w:rsidTr="00FC77BB">
        <w:trPr>
          <w:cantSplit/>
          <w:trHeight w:val="20"/>
        </w:trPr>
        <w:tc>
          <w:tcPr>
            <w:tcW w:w="4765" w:type="dxa"/>
            <w:shd w:val="clear" w:color="auto" w:fill="auto"/>
          </w:tcPr>
          <w:p w14:paraId="67BA833F" w14:textId="37825751" w:rsidR="00FC77BB" w:rsidRPr="008F4A04" w:rsidRDefault="00FC77BB" w:rsidP="004F705B">
            <w:pPr>
              <w:keepNext/>
              <w:keepLines/>
              <w:spacing w:before="20" w:after="20"/>
              <w:rPr>
                <w:sz w:val="20"/>
                <w:szCs w:val="20"/>
              </w:rPr>
            </w:pPr>
            <w:r w:rsidRPr="008F4A04">
              <w:rPr>
                <w:sz w:val="20"/>
              </w:rPr>
              <w:t xml:space="preserve">CA Appliance Efficiency Regulations – Title 20 </w:t>
            </w:r>
            <w:r w:rsidR="000D0082">
              <w:rPr>
                <w:sz w:val="20"/>
              </w:rPr>
              <w:t>(2019)</w:t>
            </w:r>
          </w:p>
        </w:tc>
        <w:tc>
          <w:tcPr>
            <w:tcW w:w="2340" w:type="dxa"/>
            <w:shd w:val="clear" w:color="auto" w:fill="auto"/>
          </w:tcPr>
          <w:p w14:paraId="794A0264" w14:textId="73977861" w:rsidR="00FC77BB" w:rsidRPr="008F4A04" w:rsidRDefault="00951869" w:rsidP="004F705B">
            <w:pPr>
              <w:keepNext/>
              <w:keepLines/>
              <w:spacing w:before="20" w:after="20"/>
              <w:rPr>
                <w:sz w:val="20"/>
                <w:szCs w:val="20"/>
              </w:rPr>
            </w:pPr>
            <w:r>
              <w:rPr>
                <w:sz w:val="20"/>
                <w:szCs w:val="20"/>
              </w:rPr>
              <w:t>None</w:t>
            </w:r>
          </w:p>
        </w:tc>
        <w:tc>
          <w:tcPr>
            <w:tcW w:w="2430" w:type="dxa"/>
            <w:shd w:val="clear" w:color="auto" w:fill="auto"/>
          </w:tcPr>
          <w:p w14:paraId="274AB5DC" w14:textId="4B9995DE" w:rsidR="00FC77BB" w:rsidRPr="008F4A04" w:rsidRDefault="000D0082" w:rsidP="00951869">
            <w:pPr>
              <w:keepNext/>
              <w:keepLines/>
              <w:spacing w:before="20" w:after="20"/>
              <w:jc w:val="center"/>
              <w:rPr>
                <w:sz w:val="20"/>
                <w:szCs w:val="20"/>
              </w:rPr>
            </w:pPr>
            <w:r>
              <w:rPr>
                <w:sz w:val="20"/>
                <w:szCs w:val="20"/>
              </w:rPr>
              <w:t>1/1/2019</w:t>
            </w:r>
          </w:p>
        </w:tc>
      </w:tr>
      <w:tr w:rsidR="000D0082" w:rsidRPr="008F4A04" w14:paraId="1238F946" w14:textId="64CC1E4E" w:rsidTr="00FC77BB">
        <w:trPr>
          <w:cantSplit/>
          <w:trHeight w:val="20"/>
        </w:trPr>
        <w:tc>
          <w:tcPr>
            <w:tcW w:w="4765" w:type="dxa"/>
            <w:shd w:val="clear" w:color="auto" w:fill="auto"/>
          </w:tcPr>
          <w:p w14:paraId="4F444C61" w14:textId="6E404FFB" w:rsidR="000D0082" w:rsidRPr="008F4A04" w:rsidRDefault="000D0082" w:rsidP="000D0082">
            <w:pPr>
              <w:keepNext/>
              <w:keepLines/>
              <w:spacing w:before="20" w:after="20"/>
              <w:rPr>
                <w:sz w:val="20"/>
                <w:szCs w:val="20"/>
              </w:rPr>
            </w:pPr>
            <w:r w:rsidRPr="008F4A04">
              <w:rPr>
                <w:sz w:val="20"/>
              </w:rPr>
              <w:t xml:space="preserve">CA Building Energy Efficiency Standards – Title 24 </w:t>
            </w:r>
            <w:r>
              <w:rPr>
                <w:sz w:val="20"/>
              </w:rPr>
              <w:t>(2019)</w:t>
            </w:r>
          </w:p>
        </w:tc>
        <w:tc>
          <w:tcPr>
            <w:tcW w:w="2340" w:type="dxa"/>
            <w:shd w:val="clear" w:color="auto" w:fill="auto"/>
          </w:tcPr>
          <w:p w14:paraId="0A330E5E" w14:textId="1020CBB5" w:rsidR="000D0082" w:rsidRPr="008F4A04" w:rsidRDefault="000D0082" w:rsidP="000D0082">
            <w:pPr>
              <w:keepNext/>
              <w:keepLines/>
              <w:spacing w:before="20" w:after="20"/>
              <w:rPr>
                <w:sz w:val="20"/>
                <w:szCs w:val="20"/>
              </w:rPr>
            </w:pPr>
            <w:r>
              <w:rPr>
                <w:sz w:val="20"/>
                <w:szCs w:val="20"/>
              </w:rPr>
              <w:t>None</w:t>
            </w:r>
          </w:p>
        </w:tc>
        <w:tc>
          <w:tcPr>
            <w:tcW w:w="2430" w:type="dxa"/>
            <w:shd w:val="clear" w:color="auto" w:fill="auto"/>
          </w:tcPr>
          <w:p w14:paraId="63BAD98E" w14:textId="5E1736B8" w:rsidR="000D0082" w:rsidRPr="008F4A04" w:rsidRDefault="000D0082" w:rsidP="000D0082">
            <w:pPr>
              <w:keepNext/>
              <w:keepLines/>
              <w:spacing w:before="20" w:after="20"/>
              <w:jc w:val="center"/>
              <w:rPr>
                <w:sz w:val="20"/>
                <w:szCs w:val="20"/>
              </w:rPr>
            </w:pPr>
            <w:r>
              <w:rPr>
                <w:sz w:val="20"/>
                <w:szCs w:val="20"/>
              </w:rPr>
              <w:t>1/1/2019</w:t>
            </w:r>
          </w:p>
        </w:tc>
      </w:tr>
      <w:tr w:rsidR="000D0082" w:rsidRPr="008F4A04" w14:paraId="23FB50B6" w14:textId="5078B94B" w:rsidTr="00FC77BB">
        <w:trPr>
          <w:cantSplit/>
          <w:trHeight w:val="20"/>
        </w:trPr>
        <w:tc>
          <w:tcPr>
            <w:tcW w:w="4765" w:type="dxa"/>
            <w:shd w:val="clear" w:color="auto" w:fill="auto"/>
          </w:tcPr>
          <w:p w14:paraId="2EBFC05B" w14:textId="77777777" w:rsidR="000D0082" w:rsidRPr="008F4A04" w:rsidRDefault="000D0082" w:rsidP="000D0082">
            <w:pPr>
              <w:keepNext/>
              <w:keepLines/>
              <w:spacing w:before="20" w:after="20"/>
              <w:rPr>
                <w:sz w:val="20"/>
                <w:szCs w:val="20"/>
              </w:rPr>
            </w:pPr>
            <w:r w:rsidRPr="008F4A04">
              <w:rPr>
                <w:sz w:val="20"/>
              </w:rPr>
              <w:t>Federal Standards</w:t>
            </w:r>
          </w:p>
        </w:tc>
        <w:tc>
          <w:tcPr>
            <w:tcW w:w="2340" w:type="dxa"/>
            <w:shd w:val="clear" w:color="auto" w:fill="auto"/>
          </w:tcPr>
          <w:p w14:paraId="0D43394E" w14:textId="08A85E84" w:rsidR="000D0082" w:rsidRPr="008F4A04" w:rsidRDefault="000D0082" w:rsidP="000D0082">
            <w:pPr>
              <w:keepNext/>
              <w:keepLines/>
              <w:spacing w:before="20" w:after="20"/>
              <w:rPr>
                <w:sz w:val="20"/>
                <w:szCs w:val="20"/>
              </w:rPr>
            </w:pPr>
            <w:r>
              <w:rPr>
                <w:sz w:val="20"/>
                <w:szCs w:val="20"/>
              </w:rPr>
              <w:t>None</w:t>
            </w:r>
          </w:p>
        </w:tc>
        <w:tc>
          <w:tcPr>
            <w:tcW w:w="2430" w:type="dxa"/>
            <w:shd w:val="clear" w:color="auto" w:fill="auto"/>
          </w:tcPr>
          <w:p w14:paraId="66FA1B6F" w14:textId="718A30C1" w:rsidR="000D0082" w:rsidRPr="008F4A04" w:rsidRDefault="000D0082" w:rsidP="000D0082">
            <w:pPr>
              <w:keepNext/>
              <w:keepLines/>
              <w:spacing w:before="20" w:after="20"/>
              <w:jc w:val="center"/>
              <w:rPr>
                <w:sz w:val="20"/>
                <w:szCs w:val="20"/>
              </w:rPr>
            </w:pPr>
            <w:r>
              <w:rPr>
                <w:sz w:val="20"/>
                <w:szCs w:val="20"/>
              </w:rPr>
              <w:t>n/a</w:t>
            </w:r>
          </w:p>
        </w:tc>
      </w:tr>
    </w:tbl>
    <w:p w14:paraId="28A93655" w14:textId="77777777" w:rsidR="00FD2C54" w:rsidRPr="008F4A04" w:rsidRDefault="00FD2C54" w:rsidP="0011498C"/>
    <w:p w14:paraId="1EE16D20" w14:textId="77777777" w:rsidR="007D230B" w:rsidRPr="008F4A04" w:rsidRDefault="007D230B" w:rsidP="00462BB6">
      <w:pPr>
        <w:pStyle w:val="eTRMHeading3"/>
      </w:pPr>
      <w:bookmarkStart w:id="24" w:name="_Toc486490851"/>
      <w:bookmarkStart w:id="25" w:name="_Toc486580922"/>
      <w:bookmarkStart w:id="26" w:name="_Toc525811634"/>
      <w:bookmarkStart w:id="27" w:name="_Toc6912248"/>
      <w:r w:rsidRPr="008F4A04">
        <w:lastRenderedPageBreak/>
        <w:t>Normalizing Unit</w:t>
      </w:r>
      <w:bookmarkEnd w:id="24"/>
      <w:bookmarkEnd w:id="25"/>
      <w:bookmarkEnd w:id="26"/>
      <w:bookmarkEnd w:id="27"/>
    </w:p>
    <w:p w14:paraId="0115BB45" w14:textId="3D137F3A" w:rsidR="009C31A4" w:rsidRDefault="0053212E" w:rsidP="00486585">
      <w:r>
        <w:t>Tons of cooling capacity (Cap-Tons)</w:t>
      </w:r>
    </w:p>
    <w:p w14:paraId="30049808" w14:textId="77777777" w:rsidR="0053212E" w:rsidRPr="008F4A04" w:rsidRDefault="0053212E" w:rsidP="00486585"/>
    <w:p w14:paraId="2F4904E6" w14:textId="77777777" w:rsidR="007D230B" w:rsidRPr="008F4A04" w:rsidRDefault="007D230B" w:rsidP="00CC49EF">
      <w:pPr>
        <w:pStyle w:val="eTRMHeading3"/>
        <w:keepNext w:val="0"/>
        <w:keepLines w:val="0"/>
      </w:pPr>
      <w:bookmarkStart w:id="28" w:name="_Toc486490852"/>
      <w:bookmarkStart w:id="29" w:name="_Toc486580923"/>
      <w:bookmarkStart w:id="30" w:name="_Toc525811635"/>
      <w:bookmarkStart w:id="31" w:name="_Toc6912249"/>
      <w:bookmarkStart w:id="32" w:name="_Hlk515365299"/>
      <w:bookmarkStart w:id="33" w:name="_Hlk515878271"/>
      <w:r w:rsidRPr="008F4A04">
        <w:t>Program Requirements</w:t>
      </w:r>
      <w:bookmarkEnd w:id="28"/>
      <w:bookmarkEnd w:id="29"/>
      <w:bookmarkEnd w:id="30"/>
      <w:bookmarkEnd w:id="31"/>
      <w:r w:rsidRPr="008F4A04">
        <w:t xml:space="preserve"> </w:t>
      </w:r>
    </w:p>
    <w:p w14:paraId="6C6F4061" w14:textId="758A7185" w:rsidR="009E57DF" w:rsidRPr="008F4A04" w:rsidRDefault="000229F1" w:rsidP="00CC49EF">
      <w:pPr>
        <w:pStyle w:val="eTRMHeading5"/>
      </w:pPr>
      <w:bookmarkStart w:id="34" w:name="_Hlk516047641"/>
      <w:r w:rsidRPr="008F4A04">
        <w:t xml:space="preserve">Measure </w:t>
      </w:r>
      <w:r w:rsidR="003E50CF" w:rsidRPr="008F4A04">
        <w:t>Implementation Eligibility</w:t>
      </w:r>
    </w:p>
    <w:bookmarkEnd w:id="32"/>
    <w:p w14:paraId="28792F85" w14:textId="50306D4B" w:rsidR="001B426F" w:rsidRPr="008F4A04" w:rsidRDefault="002F78E9" w:rsidP="00CC49EF">
      <w:r w:rsidRPr="008F4A04">
        <w:t>All</w:t>
      </w:r>
      <w:r w:rsidR="001B426F" w:rsidRPr="008F4A04">
        <w:t xml:space="preserve"> measure application type, delivery type, and sector combinations that are established for this measure</w:t>
      </w:r>
      <w:r w:rsidRPr="008F4A04">
        <w:t xml:space="preserve"> are specified below</w:t>
      </w:r>
      <w:r w:rsidR="001B426F" w:rsidRPr="008F4A04">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w:t>
      </w:r>
      <w:r w:rsidR="00E35B8D" w:rsidRPr="008F4A04">
        <w:t xml:space="preserve"> This table also designates</w:t>
      </w:r>
      <w:r w:rsidR="001B426F" w:rsidRPr="008F4A04">
        <w:t xml:space="preserve"> the</w:t>
      </w:r>
      <w:r w:rsidR="00E35B8D" w:rsidRPr="008F4A04">
        <w:t xml:space="preserve"> broad</w:t>
      </w:r>
      <w:r w:rsidR="001B426F" w:rsidRPr="008F4A04">
        <w:t xml:space="preserve"> market sector(s) </w:t>
      </w:r>
      <w:r w:rsidR="00E35B8D" w:rsidRPr="008F4A04">
        <w:t xml:space="preserve">that are applicable </w:t>
      </w:r>
      <w:r w:rsidR="001B426F" w:rsidRPr="008F4A04">
        <w:t xml:space="preserve">for </w:t>
      </w:r>
      <w:r w:rsidR="00E35B8D" w:rsidRPr="008F4A04">
        <w:t xml:space="preserve">this </w:t>
      </w:r>
      <w:r w:rsidR="001B426F" w:rsidRPr="008F4A04">
        <w:t>measure.</w:t>
      </w:r>
    </w:p>
    <w:p w14:paraId="4C20D576" w14:textId="4D68E683" w:rsidR="001B426F" w:rsidRPr="008F4A04" w:rsidRDefault="001B426F" w:rsidP="00CC49EF">
      <w:pPr>
        <w:pStyle w:val="Caption"/>
        <w:keepNext w:val="0"/>
        <w:keepLines w:val="0"/>
      </w:pPr>
      <w:r w:rsidRPr="008F4A04">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8F4A04"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8F4A04" w:rsidRDefault="001B426F" w:rsidP="00CC49EF">
            <w:pPr>
              <w:spacing w:before="0" w:after="0"/>
              <w:rPr>
                <w:b/>
                <w:bCs/>
                <w:sz w:val="20"/>
              </w:rPr>
            </w:pPr>
            <w:r w:rsidRPr="008F4A04">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8F4A04" w:rsidRDefault="001B426F" w:rsidP="00CC49EF">
            <w:pPr>
              <w:spacing w:before="0" w:after="0"/>
              <w:rPr>
                <w:b/>
                <w:bCs/>
                <w:sz w:val="20"/>
              </w:rPr>
            </w:pPr>
            <w:r w:rsidRPr="008F4A04">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8F4A04" w:rsidRDefault="001B426F" w:rsidP="00CC49EF">
            <w:pPr>
              <w:spacing w:before="0" w:after="0"/>
              <w:rPr>
                <w:b/>
                <w:bCs/>
                <w:sz w:val="20"/>
              </w:rPr>
            </w:pPr>
            <w:r w:rsidRPr="008F4A04">
              <w:rPr>
                <w:b/>
                <w:bCs/>
                <w:sz w:val="20"/>
              </w:rPr>
              <w:t>Sector</w:t>
            </w:r>
          </w:p>
        </w:tc>
      </w:tr>
      <w:tr w:rsidR="007C0B13" w:rsidRPr="008F4A04" w14:paraId="54F21FF2" w14:textId="77777777" w:rsidTr="004B7CAA">
        <w:trPr>
          <w:trHeight w:val="290"/>
        </w:trPr>
        <w:tc>
          <w:tcPr>
            <w:tcW w:w="3024" w:type="dxa"/>
            <w:noWrap/>
            <w:tcMar>
              <w:top w:w="0" w:type="dxa"/>
              <w:left w:w="108" w:type="dxa"/>
              <w:bottom w:w="0" w:type="dxa"/>
              <w:right w:w="108" w:type="dxa"/>
            </w:tcMar>
            <w:vAlign w:val="bottom"/>
          </w:tcPr>
          <w:p w14:paraId="178C5C26" w14:textId="3B9B1F37" w:rsidR="007C0B13" w:rsidRPr="008F4A04" w:rsidRDefault="007C0B13" w:rsidP="007C0B13">
            <w:pPr>
              <w:spacing w:before="0" w:after="0"/>
              <w:rPr>
                <w:color w:val="000000"/>
                <w:sz w:val="20"/>
              </w:rPr>
            </w:pPr>
            <w:r>
              <w:rPr>
                <w:color w:val="000000"/>
                <w:sz w:val="20"/>
              </w:rPr>
              <w:t>BRO-RCx</w:t>
            </w:r>
          </w:p>
        </w:tc>
        <w:tc>
          <w:tcPr>
            <w:tcW w:w="3024" w:type="dxa"/>
            <w:noWrap/>
            <w:tcMar>
              <w:top w:w="0" w:type="dxa"/>
              <w:left w:w="108" w:type="dxa"/>
              <w:bottom w:w="0" w:type="dxa"/>
              <w:right w:w="108" w:type="dxa"/>
            </w:tcMar>
            <w:vAlign w:val="bottom"/>
          </w:tcPr>
          <w:p w14:paraId="7EB7E369" w14:textId="0A520E4B" w:rsidR="007C0B13" w:rsidRPr="008F4A04" w:rsidRDefault="007C0B13" w:rsidP="007C0B13">
            <w:pPr>
              <w:spacing w:before="0" w:after="0"/>
              <w:rPr>
                <w:color w:val="000000"/>
                <w:sz w:val="20"/>
              </w:rPr>
            </w:pPr>
            <w:r>
              <w:rPr>
                <w:color w:val="000000"/>
                <w:sz w:val="20"/>
              </w:rPr>
              <w:t>Direct Install</w:t>
            </w:r>
          </w:p>
        </w:tc>
        <w:tc>
          <w:tcPr>
            <w:tcW w:w="3024" w:type="dxa"/>
            <w:noWrap/>
            <w:tcMar>
              <w:top w:w="0" w:type="dxa"/>
              <w:left w:w="108" w:type="dxa"/>
              <w:bottom w:w="0" w:type="dxa"/>
              <w:right w:w="108" w:type="dxa"/>
            </w:tcMar>
            <w:vAlign w:val="bottom"/>
          </w:tcPr>
          <w:p w14:paraId="6F9C2987" w14:textId="08FB005B" w:rsidR="007C0B13" w:rsidRPr="008F4A04" w:rsidRDefault="007C0B13" w:rsidP="007C0B13">
            <w:pPr>
              <w:spacing w:before="0" w:after="0"/>
              <w:rPr>
                <w:color w:val="000000"/>
                <w:sz w:val="20"/>
              </w:rPr>
            </w:pPr>
            <w:r>
              <w:rPr>
                <w:color w:val="000000"/>
                <w:sz w:val="20"/>
              </w:rPr>
              <w:t>Res</w:t>
            </w:r>
          </w:p>
        </w:tc>
      </w:tr>
      <w:tr w:rsidR="007C0B13" w:rsidRPr="008F4A04" w14:paraId="5D22EDDB" w14:textId="77777777" w:rsidTr="004B7CAA">
        <w:trPr>
          <w:trHeight w:val="290"/>
        </w:trPr>
        <w:tc>
          <w:tcPr>
            <w:tcW w:w="3024" w:type="dxa"/>
            <w:noWrap/>
            <w:tcMar>
              <w:top w:w="0" w:type="dxa"/>
              <w:left w:w="108" w:type="dxa"/>
              <w:bottom w:w="0" w:type="dxa"/>
              <w:right w:w="108" w:type="dxa"/>
            </w:tcMar>
            <w:vAlign w:val="bottom"/>
          </w:tcPr>
          <w:p w14:paraId="67C06326" w14:textId="204963E0" w:rsidR="007C0B13" w:rsidRPr="008F4A04" w:rsidRDefault="007C0B13" w:rsidP="007C0B13">
            <w:pPr>
              <w:spacing w:before="0" w:after="0"/>
              <w:rPr>
                <w:color w:val="000000"/>
                <w:sz w:val="20"/>
              </w:rPr>
            </w:pPr>
            <w:r>
              <w:rPr>
                <w:color w:val="000000"/>
                <w:sz w:val="20"/>
              </w:rPr>
              <w:t>BRO-RCx</w:t>
            </w:r>
          </w:p>
        </w:tc>
        <w:tc>
          <w:tcPr>
            <w:tcW w:w="3024" w:type="dxa"/>
            <w:noWrap/>
            <w:tcMar>
              <w:top w:w="0" w:type="dxa"/>
              <w:left w:w="108" w:type="dxa"/>
              <w:bottom w:w="0" w:type="dxa"/>
              <w:right w:w="108" w:type="dxa"/>
            </w:tcMar>
            <w:vAlign w:val="bottom"/>
          </w:tcPr>
          <w:p w14:paraId="5AA899A5" w14:textId="3A89406C" w:rsidR="007C0B13" w:rsidRPr="008F4A04" w:rsidRDefault="007C0B13" w:rsidP="007C0B13">
            <w:pPr>
              <w:spacing w:before="0" w:after="0"/>
              <w:rPr>
                <w:color w:val="000000"/>
                <w:sz w:val="20"/>
              </w:rPr>
            </w:pPr>
            <w:r>
              <w:rPr>
                <w:color w:val="000000"/>
                <w:sz w:val="20"/>
              </w:rPr>
              <w:t>Down-Stream Incentive</w:t>
            </w:r>
          </w:p>
        </w:tc>
        <w:tc>
          <w:tcPr>
            <w:tcW w:w="3024" w:type="dxa"/>
            <w:noWrap/>
            <w:tcMar>
              <w:top w:w="0" w:type="dxa"/>
              <w:left w:w="108" w:type="dxa"/>
              <w:bottom w:w="0" w:type="dxa"/>
              <w:right w:w="108" w:type="dxa"/>
            </w:tcMar>
            <w:vAlign w:val="bottom"/>
          </w:tcPr>
          <w:p w14:paraId="111B3DEA" w14:textId="3E7943FB" w:rsidR="007C0B13" w:rsidRPr="008F4A04" w:rsidRDefault="007C0B13" w:rsidP="007C0B13">
            <w:pPr>
              <w:spacing w:before="0" w:after="0"/>
              <w:rPr>
                <w:color w:val="000000"/>
                <w:sz w:val="20"/>
              </w:rPr>
            </w:pPr>
            <w:r>
              <w:rPr>
                <w:color w:val="000000"/>
                <w:sz w:val="20"/>
              </w:rPr>
              <w:t>Res</w:t>
            </w:r>
          </w:p>
        </w:tc>
      </w:tr>
      <w:tr w:rsidR="007C0B13" w:rsidRPr="008F4A04" w14:paraId="0BC61A32" w14:textId="77777777" w:rsidTr="004B7CAA">
        <w:trPr>
          <w:trHeight w:val="290"/>
        </w:trPr>
        <w:tc>
          <w:tcPr>
            <w:tcW w:w="3024" w:type="dxa"/>
            <w:noWrap/>
            <w:tcMar>
              <w:top w:w="0" w:type="dxa"/>
              <w:left w:w="108" w:type="dxa"/>
              <w:bottom w:w="0" w:type="dxa"/>
              <w:right w:w="108" w:type="dxa"/>
            </w:tcMar>
            <w:vAlign w:val="bottom"/>
          </w:tcPr>
          <w:p w14:paraId="1EE6671F" w14:textId="72BB2033" w:rsidR="007C0B13" w:rsidRDefault="007C0B13" w:rsidP="007C0B13">
            <w:pPr>
              <w:spacing w:before="0" w:after="0"/>
              <w:rPr>
                <w:color w:val="000000"/>
                <w:sz w:val="20"/>
              </w:rPr>
            </w:pPr>
            <w:r>
              <w:rPr>
                <w:color w:val="000000"/>
                <w:sz w:val="20"/>
              </w:rPr>
              <w:t>BRO-RCx</w:t>
            </w:r>
          </w:p>
        </w:tc>
        <w:tc>
          <w:tcPr>
            <w:tcW w:w="3024" w:type="dxa"/>
            <w:noWrap/>
            <w:tcMar>
              <w:top w:w="0" w:type="dxa"/>
              <w:left w:w="108" w:type="dxa"/>
              <w:bottom w:w="0" w:type="dxa"/>
              <w:right w:w="108" w:type="dxa"/>
            </w:tcMar>
            <w:vAlign w:val="bottom"/>
          </w:tcPr>
          <w:p w14:paraId="080EC9F6" w14:textId="4B3B23B1" w:rsidR="007C0B13" w:rsidRDefault="007C0B13" w:rsidP="007C0B13">
            <w:pPr>
              <w:spacing w:before="0" w:after="0"/>
              <w:rPr>
                <w:color w:val="000000"/>
                <w:sz w:val="20"/>
              </w:rPr>
            </w:pPr>
            <w:r>
              <w:rPr>
                <w:color w:val="000000"/>
                <w:sz w:val="20"/>
              </w:rPr>
              <w:t>Up-Stream I</w:t>
            </w:r>
            <w:r w:rsidR="00D906E3">
              <w:rPr>
                <w:color w:val="000000"/>
                <w:sz w:val="20"/>
              </w:rPr>
              <w:t>nc</w:t>
            </w:r>
            <w:r>
              <w:rPr>
                <w:color w:val="000000"/>
                <w:sz w:val="20"/>
              </w:rPr>
              <w:t>entive</w:t>
            </w:r>
          </w:p>
        </w:tc>
        <w:tc>
          <w:tcPr>
            <w:tcW w:w="3024" w:type="dxa"/>
            <w:noWrap/>
            <w:tcMar>
              <w:top w:w="0" w:type="dxa"/>
              <w:left w:w="108" w:type="dxa"/>
              <w:bottom w:w="0" w:type="dxa"/>
              <w:right w:w="108" w:type="dxa"/>
            </w:tcMar>
            <w:vAlign w:val="bottom"/>
          </w:tcPr>
          <w:p w14:paraId="3A669099" w14:textId="778B177E" w:rsidR="007C0B13" w:rsidRDefault="007C0B13" w:rsidP="007C0B13">
            <w:pPr>
              <w:spacing w:before="0" w:after="0"/>
              <w:rPr>
                <w:color w:val="000000"/>
                <w:sz w:val="20"/>
              </w:rPr>
            </w:pPr>
            <w:r>
              <w:rPr>
                <w:color w:val="000000"/>
                <w:sz w:val="20"/>
              </w:rPr>
              <w:t>Res</w:t>
            </w:r>
          </w:p>
        </w:tc>
      </w:tr>
    </w:tbl>
    <w:p w14:paraId="73035A5C" w14:textId="62DCECC3" w:rsidR="001B426F" w:rsidRPr="008F4A04" w:rsidRDefault="00255E9F" w:rsidP="001B426F">
      <w:r>
        <w:t>Note: Up-Stream Incentive is being left as an approved Delivery Type to enable Midstream offerings.</w:t>
      </w:r>
    </w:p>
    <w:p w14:paraId="50711562" w14:textId="5D0894B2" w:rsidR="00AA46AF" w:rsidRPr="008F4A04" w:rsidRDefault="00196649" w:rsidP="00154391">
      <w:pPr>
        <w:pStyle w:val="eTRMHeading5"/>
      </w:pPr>
      <w:bookmarkStart w:id="35" w:name="_Hlk525905509"/>
      <w:bookmarkEnd w:id="33"/>
      <w:bookmarkEnd w:id="34"/>
      <w:r w:rsidRPr="008F4A04">
        <w:t>Eligible Products</w:t>
      </w:r>
    </w:p>
    <w:bookmarkEnd w:id="35"/>
    <w:p w14:paraId="69F3F98D" w14:textId="7DA6ADA0" w:rsidR="002F739B" w:rsidRPr="003863BE" w:rsidRDefault="002F739B" w:rsidP="002F739B">
      <w:pPr>
        <w:rPr>
          <w:rFonts w:cstheme="minorHAnsi"/>
          <w:szCs w:val="22"/>
        </w:rPr>
      </w:pPr>
      <w:r>
        <w:rPr>
          <w:rFonts w:cstheme="minorHAnsi"/>
          <w:szCs w:val="22"/>
        </w:rPr>
        <w:t>The following pre</w:t>
      </w:r>
      <w:r w:rsidRPr="003863BE">
        <w:rPr>
          <w:rFonts w:cstheme="minorHAnsi"/>
          <w:szCs w:val="22"/>
        </w:rPr>
        <w:t xml:space="preserve">requisites must be met before the Quality Maintenance </w:t>
      </w:r>
      <w:r>
        <w:rPr>
          <w:rFonts w:cstheme="minorHAnsi"/>
          <w:szCs w:val="22"/>
        </w:rPr>
        <w:t xml:space="preserve">(QM) treatments, such as refrigerant charge adjustments, </w:t>
      </w:r>
      <w:r w:rsidRPr="003863BE">
        <w:rPr>
          <w:rFonts w:cstheme="minorHAnsi"/>
          <w:szCs w:val="22"/>
        </w:rPr>
        <w:t>can be implemented:</w:t>
      </w:r>
    </w:p>
    <w:p w14:paraId="4FB97D40" w14:textId="77777777" w:rsidR="002F739B" w:rsidRPr="003863BE" w:rsidRDefault="002F739B" w:rsidP="002F739B">
      <w:pPr>
        <w:pStyle w:val="eTRMBulletedText"/>
      </w:pPr>
      <w:r>
        <w:t>The u</w:t>
      </w:r>
      <w:r w:rsidRPr="003863BE">
        <w:t>nit and system must be capable of delivering a supply air flow rate of at least 350 cfm/ton after treatments related to air</w:t>
      </w:r>
      <w:r>
        <w:t xml:space="preserve"> </w:t>
      </w:r>
      <w:r w:rsidRPr="003863BE">
        <w:t>flow are completed and before refrigerant charge is tested and/or adjusted.</w:t>
      </w:r>
    </w:p>
    <w:p w14:paraId="1A06D0BA" w14:textId="77777777" w:rsidR="002F739B" w:rsidRPr="003863BE" w:rsidRDefault="002F739B" w:rsidP="002F739B">
      <w:pPr>
        <w:pStyle w:val="eTRMBulletedText"/>
      </w:pPr>
      <w:r>
        <w:t>The u</w:t>
      </w:r>
      <w:r w:rsidRPr="003863BE">
        <w:t>nit must be drawing power</w:t>
      </w:r>
      <w:r>
        <w:t>.</w:t>
      </w:r>
    </w:p>
    <w:p w14:paraId="12822632" w14:textId="77777777" w:rsidR="002F739B" w:rsidRDefault="002F739B" w:rsidP="002F739B">
      <w:pPr>
        <w:pStyle w:val="eTRMBulletedText"/>
      </w:pPr>
      <w:r>
        <w:t>The u</w:t>
      </w:r>
      <w:r w:rsidRPr="003863BE">
        <w:t>nit must have a condenser over ambient temperature (COAT) of at least 3 degrees</w:t>
      </w:r>
      <w:r>
        <w:t>.</w:t>
      </w:r>
    </w:p>
    <w:p w14:paraId="26000F9A" w14:textId="77777777" w:rsidR="002F739B" w:rsidRPr="00920905" w:rsidRDefault="002F739B" w:rsidP="002F739B">
      <w:pPr>
        <w:pStyle w:val="eTRMBulletedText"/>
      </w:pPr>
      <w:r w:rsidRPr="00C47F9D">
        <w:t xml:space="preserve">An assessment and report </w:t>
      </w:r>
      <w:r>
        <w:t>are</w:t>
      </w:r>
      <w:r w:rsidRPr="00C47F9D">
        <w:t xml:space="preserve"> required in accordance with ACCA Standard 4</w:t>
      </w:r>
      <w:r>
        <w:rPr>
          <w:rStyle w:val="FootnoteReference"/>
        </w:rPr>
        <w:footnoteReference w:id="5"/>
      </w:r>
      <w:r w:rsidRPr="00C47F9D">
        <w:t xml:space="preserve"> prior to any treatments being applied to determine the baseline conditions and to develop QM treatment recommendations. </w:t>
      </w:r>
    </w:p>
    <w:p w14:paraId="6B634CB4" w14:textId="77777777" w:rsidR="002F739B" w:rsidRPr="003863BE" w:rsidRDefault="002F739B" w:rsidP="002F739B">
      <w:pPr>
        <w:pStyle w:val="eTRMBulletedText"/>
      </w:pPr>
      <w:r>
        <w:t>The c</w:t>
      </w:r>
      <w:r w:rsidRPr="003863BE">
        <w:t xml:space="preserve">ustomer must agree to </w:t>
      </w:r>
      <w:r>
        <w:t xml:space="preserve">a </w:t>
      </w:r>
      <w:r w:rsidRPr="003863BE">
        <w:t>QM Service Agreement</w:t>
      </w:r>
      <w:r>
        <w:t>.</w:t>
      </w:r>
    </w:p>
    <w:p w14:paraId="1D62512A" w14:textId="3C4C0492" w:rsidR="002942B0" w:rsidRPr="001F68F5" w:rsidRDefault="002F739B" w:rsidP="002942B0">
      <w:pPr>
        <w:rPr>
          <w:rFonts w:cstheme="minorHAnsi"/>
          <w:szCs w:val="22"/>
        </w:rPr>
      </w:pPr>
      <w:r w:rsidRPr="003863BE">
        <w:rPr>
          <w:rFonts w:cstheme="minorHAnsi"/>
          <w:szCs w:val="22"/>
        </w:rPr>
        <w:t>The 350 cfm/ton air</w:t>
      </w:r>
      <w:r>
        <w:rPr>
          <w:rFonts w:cstheme="minorHAnsi"/>
          <w:szCs w:val="22"/>
        </w:rPr>
        <w:t xml:space="preserve"> </w:t>
      </w:r>
      <w:r w:rsidRPr="003863BE">
        <w:rPr>
          <w:rFonts w:cstheme="minorHAnsi"/>
          <w:szCs w:val="22"/>
        </w:rPr>
        <w:t>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w:t>
      </w:r>
      <w:r>
        <w:rPr>
          <w:rFonts w:cstheme="minorHAnsi"/>
          <w:szCs w:val="22"/>
        </w:rPr>
        <w:t xml:space="preserve"> </w:t>
      </w:r>
      <w:r w:rsidRPr="003863BE">
        <w:rPr>
          <w:rFonts w:cstheme="minorHAnsi"/>
          <w:szCs w:val="22"/>
        </w:rPr>
        <w:t>flow. If it is determined that the supply fan and duct system in place do not have the capability to deliver 350 cfm/ton after the air</w:t>
      </w:r>
      <w:r>
        <w:rPr>
          <w:rFonts w:cstheme="minorHAnsi"/>
          <w:szCs w:val="22"/>
        </w:rPr>
        <w:t xml:space="preserve"> </w:t>
      </w:r>
      <w:r w:rsidRPr="003863BE">
        <w:rPr>
          <w:rFonts w:cstheme="minorHAnsi"/>
          <w:szCs w:val="22"/>
        </w:rPr>
        <w:t xml:space="preserve">flow treatments have been performed, refrigerant </w:t>
      </w:r>
      <w:r w:rsidRPr="003863BE">
        <w:rPr>
          <w:rFonts w:cstheme="minorHAnsi"/>
          <w:szCs w:val="22"/>
        </w:rPr>
        <w:lastRenderedPageBreak/>
        <w:t>charge cannot be properly diagnosed, rendering the QM process incomplete and the savings in this work paper invalid.</w:t>
      </w:r>
    </w:p>
    <w:p w14:paraId="41718B84" w14:textId="77777777" w:rsidR="00E36567" w:rsidRPr="008F4A04" w:rsidRDefault="00E36567" w:rsidP="002942B0"/>
    <w:p w14:paraId="7CE938DA" w14:textId="2434378C" w:rsidR="007B6A74" w:rsidRPr="008F4A04" w:rsidRDefault="007B6A74" w:rsidP="00401C43">
      <w:pPr>
        <w:pStyle w:val="eTRMHeading5"/>
      </w:pPr>
      <w:r w:rsidRPr="008F4A04">
        <w:t>Eligible Building Types</w:t>
      </w:r>
      <w:r w:rsidR="00E57AAD" w:rsidRPr="008F4A04">
        <w:t xml:space="preserve"> and Vintages</w:t>
      </w:r>
    </w:p>
    <w:p w14:paraId="15BE1F9E" w14:textId="759DA79C" w:rsidR="002B5CAA" w:rsidRDefault="002B5CAA" w:rsidP="00571D95">
      <w:pPr>
        <w:rPr>
          <w:rFonts w:cstheme="minorHAnsi"/>
          <w:szCs w:val="22"/>
        </w:rPr>
      </w:pPr>
      <w:r>
        <w:rPr>
          <w:rFonts w:cstheme="minorHAnsi"/>
          <w:szCs w:val="22"/>
        </w:rPr>
        <w:t>This measure is applicable for residential single family, multifamily, and double-wide mobile homes</w:t>
      </w:r>
      <w:r w:rsidRPr="003863BE">
        <w:rPr>
          <w:rFonts w:cstheme="minorHAnsi"/>
          <w:szCs w:val="22"/>
        </w:rPr>
        <w:t xml:space="preserve"> that use central air-cooled direct expansion</w:t>
      </w:r>
      <w:r>
        <w:rPr>
          <w:rFonts w:cstheme="minorHAnsi"/>
          <w:szCs w:val="22"/>
        </w:rPr>
        <w:t xml:space="preserve"> (DX)</w:t>
      </w:r>
      <w:r w:rsidRPr="003863BE">
        <w:rPr>
          <w:rFonts w:cstheme="minorHAnsi"/>
          <w:szCs w:val="22"/>
        </w:rPr>
        <w:t xml:space="preserve"> cooling and gas heating</w:t>
      </w:r>
      <w:r w:rsidR="008A114C">
        <w:rPr>
          <w:rFonts w:cstheme="minorHAnsi"/>
          <w:szCs w:val="22"/>
        </w:rPr>
        <w:t>.</w:t>
      </w:r>
    </w:p>
    <w:p w14:paraId="7AA25502" w14:textId="1163CBF3" w:rsidR="00571D95" w:rsidRPr="008F4A04" w:rsidRDefault="00571D95" w:rsidP="00571D95"/>
    <w:p w14:paraId="1A3705F3" w14:textId="4BC0985D" w:rsidR="007B6A74" w:rsidRPr="008F4A04" w:rsidRDefault="00196649" w:rsidP="00154391">
      <w:pPr>
        <w:pStyle w:val="eTRMHeading5"/>
      </w:pPr>
      <w:r w:rsidRPr="008F4A04">
        <w:t>Eligible Climate Zones</w:t>
      </w:r>
    </w:p>
    <w:p w14:paraId="4A9FD22A" w14:textId="4C07CF8C" w:rsidR="004B6780" w:rsidRPr="008F4A04" w:rsidRDefault="004B6780" w:rsidP="004B6780">
      <w:r w:rsidRPr="008F4A04">
        <w:t xml:space="preserve">This measure is applicable </w:t>
      </w:r>
      <w:r w:rsidR="00273571" w:rsidRPr="008F4A04">
        <w:t>in</w:t>
      </w:r>
      <w:r w:rsidRPr="008F4A04">
        <w:t xml:space="preserve"> </w:t>
      </w:r>
      <w:r w:rsidR="002B5CAA">
        <w:t>all</w:t>
      </w:r>
      <w:r w:rsidRPr="008F4A04">
        <w:t xml:space="preserve"> California climate zones.</w:t>
      </w:r>
    </w:p>
    <w:p w14:paraId="34FF761D" w14:textId="77777777" w:rsidR="006C41AD" w:rsidRPr="008F4A04" w:rsidRDefault="006C41AD" w:rsidP="004B06E3"/>
    <w:p w14:paraId="47630D60" w14:textId="77777777" w:rsidR="007D230B" w:rsidRPr="008F4A04" w:rsidRDefault="007D230B" w:rsidP="00462BB6">
      <w:pPr>
        <w:pStyle w:val="eTRMHeading3"/>
      </w:pPr>
      <w:bookmarkStart w:id="36" w:name="_Toc486490853"/>
      <w:bookmarkStart w:id="37" w:name="_Toc486580924"/>
      <w:bookmarkStart w:id="38" w:name="_Toc6912250"/>
      <w:r w:rsidRPr="008F4A04">
        <w:t>Program Exclusions</w:t>
      </w:r>
      <w:bookmarkEnd w:id="36"/>
      <w:bookmarkEnd w:id="37"/>
      <w:bookmarkEnd w:id="38"/>
      <w:r w:rsidRPr="008F4A04">
        <w:t xml:space="preserve"> </w:t>
      </w:r>
    </w:p>
    <w:p w14:paraId="76A9A64F" w14:textId="3C83332F" w:rsidR="007B6A74" w:rsidRDefault="008A114C" w:rsidP="004B06E3">
      <w:r>
        <w:t>None.</w:t>
      </w:r>
    </w:p>
    <w:p w14:paraId="104F5464" w14:textId="77777777" w:rsidR="008A114C" w:rsidRPr="008F4A04" w:rsidRDefault="008A114C" w:rsidP="004B06E3"/>
    <w:p w14:paraId="655E299F" w14:textId="77777777" w:rsidR="007D230B" w:rsidRPr="008F4A04" w:rsidRDefault="007D230B" w:rsidP="00462BB6">
      <w:pPr>
        <w:pStyle w:val="eTRMHeading3"/>
      </w:pPr>
      <w:bookmarkStart w:id="39" w:name="_Toc486490854"/>
      <w:bookmarkStart w:id="40" w:name="_Toc486580925"/>
      <w:bookmarkStart w:id="41" w:name="_Toc6912251"/>
      <w:r w:rsidRPr="008F4A04">
        <w:t>Data Collection Requirements</w:t>
      </w:r>
      <w:bookmarkEnd w:id="39"/>
      <w:bookmarkEnd w:id="40"/>
      <w:bookmarkEnd w:id="41"/>
      <w:r w:rsidRPr="008F4A04">
        <w:t xml:space="preserve"> </w:t>
      </w:r>
    </w:p>
    <w:p w14:paraId="49FF2D95" w14:textId="77777777" w:rsidR="006A5606" w:rsidRDefault="006A5606" w:rsidP="006A5606">
      <w:r>
        <w:t xml:space="preserve">Contractor must provide the amount and percent refrigerant charge added to or removed from the system to verify the applicable measure. </w:t>
      </w:r>
    </w:p>
    <w:p w14:paraId="49298D4E" w14:textId="06AE93B4" w:rsidR="00750840" w:rsidRDefault="009F2EAD" w:rsidP="004B06E3">
      <w:r>
        <w:t>Further d</w:t>
      </w:r>
      <w:r w:rsidR="008F4A04">
        <w:t>ata requirements are to be determined.</w:t>
      </w:r>
    </w:p>
    <w:p w14:paraId="5BA35E5C" w14:textId="77777777" w:rsidR="008F4A04" w:rsidRPr="008F4A04" w:rsidRDefault="008F4A04" w:rsidP="004B06E3"/>
    <w:p w14:paraId="4891FCAB" w14:textId="77777777" w:rsidR="007D230B" w:rsidRPr="008F4A04" w:rsidRDefault="007D230B" w:rsidP="00462BB6">
      <w:pPr>
        <w:pStyle w:val="eTRMHeading3"/>
      </w:pPr>
      <w:bookmarkStart w:id="42" w:name="_Toc486490855"/>
      <w:bookmarkStart w:id="43" w:name="_Toc486580926"/>
      <w:bookmarkStart w:id="44" w:name="_Toc6912252"/>
      <w:r w:rsidRPr="008F4A04">
        <w:t>Use Category</w:t>
      </w:r>
      <w:bookmarkEnd w:id="42"/>
      <w:bookmarkEnd w:id="43"/>
      <w:bookmarkEnd w:id="44"/>
    </w:p>
    <w:p w14:paraId="13382FF9" w14:textId="4E0C7A23" w:rsidR="004142EF" w:rsidRPr="008F4A04" w:rsidRDefault="00273571" w:rsidP="004B06E3">
      <w:r w:rsidRPr="008F4A04">
        <w:t>HVAC</w:t>
      </w:r>
    </w:p>
    <w:p w14:paraId="4FB6641C" w14:textId="77777777" w:rsidR="00273571" w:rsidRPr="008F4A04" w:rsidRDefault="00273571" w:rsidP="004B06E3"/>
    <w:p w14:paraId="4B62D367" w14:textId="370A839E" w:rsidR="007D230B" w:rsidRPr="008F4A04" w:rsidRDefault="007D230B" w:rsidP="00462BB6">
      <w:pPr>
        <w:pStyle w:val="eTRMHeading3"/>
      </w:pPr>
      <w:bookmarkStart w:id="45" w:name="_Toc486490857"/>
      <w:bookmarkStart w:id="46" w:name="_Toc486580928"/>
      <w:bookmarkStart w:id="47" w:name="_Toc6912253"/>
      <w:r w:rsidRPr="008F4A04">
        <w:t>Electric Savings</w:t>
      </w:r>
      <w:r w:rsidR="00245AFF" w:rsidRPr="008F4A04">
        <w:t xml:space="preserve"> (</w:t>
      </w:r>
      <w:r w:rsidR="00E14349" w:rsidRPr="008F4A04">
        <w:rPr>
          <w:caps w:val="0"/>
        </w:rPr>
        <w:t>k</w:t>
      </w:r>
      <w:r w:rsidR="00245AFF" w:rsidRPr="008F4A04">
        <w:rPr>
          <w:caps w:val="0"/>
        </w:rPr>
        <w:t>Wh</w:t>
      </w:r>
      <w:r w:rsidR="00245AFF" w:rsidRPr="008F4A04">
        <w:t>)</w:t>
      </w:r>
      <w:bookmarkEnd w:id="45"/>
      <w:bookmarkEnd w:id="46"/>
      <w:bookmarkEnd w:id="47"/>
    </w:p>
    <w:p w14:paraId="160F770B" w14:textId="19C528BC" w:rsidR="00CD1E9A" w:rsidRDefault="00CD1D98" w:rsidP="00CD1E9A">
      <w:r>
        <w:t>The electric</w:t>
      </w:r>
      <w:r w:rsidRPr="00370595">
        <w:t xml:space="preserve"> </w:t>
      </w:r>
      <w:r w:rsidR="00826BE0">
        <w:t xml:space="preserve">unit </w:t>
      </w:r>
      <w:r w:rsidRPr="00370595">
        <w:t xml:space="preserve">energy savings </w:t>
      </w:r>
      <w:r w:rsidR="00826BE0">
        <w:t xml:space="preserve">(UES) </w:t>
      </w:r>
      <w:r>
        <w:t xml:space="preserve">of </w:t>
      </w:r>
      <w:r w:rsidR="00817F4E">
        <w:t>refrigerant charge adjustments of</w:t>
      </w:r>
      <w:r w:rsidR="00826BE0">
        <w:t xml:space="preserve"> residential air conditioning (AC) units </w:t>
      </w:r>
      <w:r>
        <w:t>were</w:t>
      </w:r>
      <w:r w:rsidRPr="00370595">
        <w:t xml:space="preserve"> </w:t>
      </w:r>
      <w:r w:rsidR="00CD1E9A">
        <w:t xml:space="preserve">derived </w:t>
      </w:r>
      <w:r>
        <w:t>from</w:t>
      </w:r>
      <w:r w:rsidRPr="00370595">
        <w:t xml:space="preserve"> </w:t>
      </w:r>
      <w:r w:rsidR="00CD1E9A">
        <w:t xml:space="preserve">impacts in </w:t>
      </w:r>
      <w:r>
        <w:t xml:space="preserve">the Database of </w:t>
      </w:r>
      <w:r w:rsidRPr="00006F8E">
        <w:t xml:space="preserve">Energy Efficient Resources (DEER). </w:t>
      </w:r>
      <w:r w:rsidR="008279BC">
        <w:t>All measures were</w:t>
      </w:r>
      <w:r w:rsidR="00A25461">
        <w:t xml:space="preserve"> updated in DEER2020. </w:t>
      </w:r>
      <w:r w:rsidR="00CD1E9A" w:rsidRPr="004D6511">
        <w:t>The results were reported in the</w:t>
      </w:r>
      <w:r w:rsidR="00CD1E9A" w:rsidRPr="00006F8E">
        <w:t xml:space="preserve"> Remote Ex-Ante Database Interface (READI) tool</w:t>
      </w:r>
      <w:r w:rsidR="00CD1E9A">
        <w:t xml:space="preserve"> v2.</w:t>
      </w:r>
      <w:r w:rsidR="001F68F5">
        <w:t>5.1</w:t>
      </w:r>
      <w:r w:rsidR="00CD1E9A" w:rsidRPr="00AB4637">
        <w:t>.</w:t>
      </w:r>
      <w:r w:rsidR="00CD1E9A">
        <w:rPr>
          <w:rFonts w:asciiTheme="minorHAnsi" w:hAnsiTheme="minorHAnsi"/>
          <w:szCs w:val="22"/>
        </w:rPr>
        <w:t xml:space="preserve"> </w:t>
      </w:r>
    </w:p>
    <w:p w14:paraId="6E601740" w14:textId="39C3F1FE" w:rsidR="008A114C" w:rsidRDefault="008A114C" w:rsidP="008A114C">
      <w:pPr>
        <w:rPr>
          <w:rFonts w:cstheme="minorHAnsi"/>
          <w:szCs w:val="22"/>
        </w:rPr>
      </w:pPr>
      <w:r>
        <w:t>T</w:t>
      </w:r>
      <w:r w:rsidRPr="00CD1E9A">
        <w:t>he</w:t>
      </w:r>
      <w:r w:rsidR="00817F4E">
        <w:t xml:space="preserve"> </w:t>
      </w:r>
      <w:r w:rsidRPr="00CD1E9A">
        <w:t>refrigerant charge</w:t>
      </w:r>
      <w:r>
        <w:t xml:space="preserve"> adjustment (RCA)</w:t>
      </w:r>
      <w:r w:rsidRPr="00CD1E9A">
        <w:t xml:space="preserve"> measure</w:t>
      </w:r>
      <w:r>
        <w:t xml:space="preserve"> in DEER </w:t>
      </w:r>
      <w:r w:rsidR="001F68F5">
        <w:rPr>
          <w:rFonts w:cstheme="minorHAnsi"/>
          <w:szCs w:val="22"/>
        </w:rPr>
        <w:t>uses the following</w:t>
      </w:r>
      <w:r w:rsidR="00817F4E">
        <w:rPr>
          <w:rFonts w:cstheme="minorHAnsi"/>
          <w:szCs w:val="22"/>
        </w:rPr>
        <w:t xml:space="preserve"> </w:t>
      </w:r>
      <w:r>
        <w:rPr>
          <w:rFonts w:cstheme="minorHAnsi"/>
          <w:szCs w:val="22"/>
        </w:rPr>
        <w:t>Measure ID</w:t>
      </w:r>
      <w:r w:rsidR="001F68F5">
        <w:rPr>
          <w:rFonts w:cstheme="minorHAnsi"/>
          <w:szCs w:val="22"/>
        </w:rPr>
        <w:t>s</w:t>
      </w:r>
      <w:r w:rsidR="00817F4E">
        <w:rPr>
          <w:rFonts w:cstheme="minorHAnsi"/>
          <w:szCs w:val="22"/>
        </w:rPr>
        <w:t>:</w:t>
      </w:r>
      <w:r>
        <w:rPr>
          <w:rFonts w:cstheme="minorHAnsi"/>
          <w:szCs w:val="22"/>
        </w:rPr>
        <w:t xml:space="preserve">  </w:t>
      </w:r>
    </w:p>
    <w:p w14:paraId="7DC2F150" w14:textId="77777777" w:rsidR="008279BC" w:rsidRPr="001F68F5" w:rsidRDefault="008279BC" w:rsidP="008279BC">
      <w:pPr>
        <w:pStyle w:val="ListParagraph"/>
        <w:numPr>
          <w:ilvl w:val="0"/>
          <w:numId w:val="30"/>
        </w:numPr>
      </w:pPr>
      <w:r w:rsidRPr="001F68F5">
        <w:t>RE-HV-RefChrg-Dec-NTXV-typ</w:t>
      </w:r>
      <w:r>
        <w:t xml:space="preserve"> </w:t>
      </w:r>
    </w:p>
    <w:p w14:paraId="3AB07D14" w14:textId="77777777" w:rsidR="008279BC" w:rsidRPr="001F68F5" w:rsidRDefault="008279BC" w:rsidP="008279BC">
      <w:pPr>
        <w:pStyle w:val="ListParagraph"/>
        <w:numPr>
          <w:ilvl w:val="0"/>
          <w:numId w:val="30"/>
        </w:numPr>
      </w:pPr>
      <w:r w:rsidRPr="001F68F5">
        <w:t>RE-HV-RefChrg-Dec-TXV-typ</w:t>
      </w:r>
      <w:r>
        <w:t xml:space="preserve"> </w:t>
      </w:r>
    </w:p>
    <w:p w14:paraId="1FBB3B37" w14:textId="77777777" w:rsidR="008279BC" w:rsidRPr="001F68F5" w:rsidRDefault="008279BC" w:rsidP="008279BC">
      <w:pPr>
        <w:pStyle w:val="ListParagraph"/>
        <w:numPr>
          <w:ilvl w:val="0"/>
          <w:numId w:val="30"/>
        </w:numPr>
      </w:pPr>
      <w:r w:rsidRPr="001F68F5">
        <w:t>RE-HV-RefChrg-Inc-NTXV-typ</w:t>
      </w:r>
      <w:r>
        <w:t xml:space="preserve"> </w:t>
      </w:r>
    </w:p>
    <w:p w14:paraId="6CDB6360" w14:textId="77777777" w:rsidR="008279BC" w:rsidRDefault="008279BC" w:rsidP="008279BC">
      <w:pPr>
        <w:pStyle w:val="ListParagraph"/>
        <w:numPr>
          <w:ilvl w:val="0"/>
          <w:numId w:val="30"/>
        </w:numPr>
      </w:pPr>
      <w:r w:rsidRPr="001F68F5">
        <w:t>RE-HV-RefChrg-Inc-TXV-typ</w:t>
      </w:r>
      <w:r>
        <w:t xml:space="preserve"> </w:t>
      </w:r>
    </w:p>
    <w:p w14:paraId="37805522" w14:textId="77777777" w:rsidR="008279BC" w:rsidRPr="001F68F5" w:rsidRDefault="008279BC" w:rsidP="008279BC">
      <w:pPr>
        <w:pStyle w:val="ListParagraph"/>
        <w:numPr>
          <w:ilvl w:val="0"/>
          <w:numId w:val="30"/>
        </w:numPr>
      </w:pPr>
      <w:r w:rsidRPr="001F68F5">
        <w:t>RE-HV-RefChrg-Inc-NTXV-typ</w:t>
      </w:r>
      <w:r>
        <w:t xml:space="preserve"> -16pct </w:t>
      </w:r>
    </w:p>
    <w:p w14:paraId="514ECB8C" w14:textId="77777777" w:rsidR="008279BC" w:rsidRDefault="008279BC" w:rsidP="008279BC">
      <w:pPr>
        <w:pStyle w:val="ListParagraph"/>
        <w:numPr>
          <w:ilvl w:val="0"/>
          <w:numId w:val="30"/>
        </w:numPr>
      </w:pPr>
      <w:r w:rsidRPr="001F68F5">
        <w:t>RE-HV-RefChrg-Inc-TXV-typ</w:t>
      </w:r>
      <w:r>
        <w:t xml:space="preserve">-16pct </w:t>
      </w:r>
    </w:p>
    <w:p w14:paraId="56E39DAA" w14:textId="77777777" w:rsidR="008279BC" w:rsidRDefault="008279BC" w:rsidP="008279BC">
      <w:pPr>
        <w:pStyle w:val="ListParagraph"/>
        <w:numPr>
          <w:ilvl w:val="0"/>
          <w:numId w:val="30"/>
        </w:numPr>
      </w:pPr>
      <w:r w:rsidRPr="001F68F5">
        <w:t>RE-HV-RefChrg-Inc-</w:t>
      </w:r>
      <w:r>
        <w:t>N</w:t>
      </w:r>
      <w:r w:rsidRPr="001F68F5">
        <w:t>TXV-typ</w:t>
      </w:r>
      <w:r>
        <w:t xml:space="preserve">-4pct </w:t>
      </w:r>
    </w:p>
    <w:p w14:paraId="75245A7F" w14:textId="77777777" w:rsidR="008279BC" w:rsidRDefault="008279BC" w:rsidP="008279BC">
      <w:pPr>
        <w:pStyle w:val="ListParagraph"/>
        <w:numPr>
          <w:ilvl w:val="0"/>
          <w:numId w:val="30"/>
        </w:numPr>
      </w:pPr>
      <w:r w:rsidRPr="001F68F5">
        <w:t>RE-HV-RefChrg-Inc-TXV-typ</w:t>
      </w:r>
      <w:r>
        <w:t xml:space="preserve">-4pct </w:t>
      </w:r>
    </w:p>
    <w:p w14:paraId="1BB4000C" w14:textId="72D833E7" w:rsidR="0053212E" w:rsidRDefault="0053212E" w:rsidP="004B06E3"/>
    <w:p w14:paraId="46B7702E" w14:textId="22490A47" w:rsidR="00BB4F22" w:rsidRPr="008F4A04" w:rsidRDefault="00BB4F22" w:rsidP="00BB4F22">
      <w:pPr>
        <w:pStyle w:val="eTRMHeading3"/>
      </w:pPr>
      <w:bookmarkStart w:id="48" w:name="_Toc486490856"/>
      <w:bookmarkStart w:id="49" w:name="_Toc486580927"/>
      <w:bookmarkStart w:id="50" w:name="_Toc525811640"/>
      <w:bookmarkStart w:id="51" w:name="_Toc6912254"/>
      <w:r w:rsidRPr="008F4A04">
        <w:lastRenderedPageBreak/>
        <w:t>Peak Electric Demand Reduction (</w:t>
      </w:r>
      <w:r w:rsidR="00870971" w:rsidRPr="008F4A04">
        <w:rPr>
          <w:caps w:val="0"/>
        </w:rPr>
        <w:t>kW</w:t>
      </w:r>
      <w:r w:rsidRPr="008F4A04">
        <w:t>)</w:t>
      </w:r>
      <w:bookmarkEnd w:id="48"/>
      <w:bookmarkEnd w:id="49"/>
      <w:bookmarkEnd w:id="50"/>
      <w:bookmarkEnd w:id="51"/>
    </w:p>
    <w:p w14:paraId="7E22AA3E" w14:textId="2A35BBAE" w:rsidR="008F5512" w:rsidRDefault="008F5512" w:rsidP="008F5512">
      <w:r>
        <w:t>The peak demand reduction of refrigerant charge adjustments of residential air conditioning (AC) units were</w:t>
      </w:r>
      <w:r w:rsidRPr="00370595">
        <w:t xml:space="preserve"> </w:t>
      </w:r>
      <w:r>
        <w:t>derived from</w:t>
      </w:r>
      <w:r w:rsidRPr="00370595">
        <w:t xml:space="preserve"> </w:t>
      </w:r>
      <w:r>
        <w:t xml:space="preserve">impacts in the Database of </w:t>
      </w:r>
      <w:r w:rsidRPr="00006F8E">
        <w:t xml:space="preserve">Energy Efficient Resources (DEER). </w:t>
      </w:r>
      <w:r w:rsidR="008279BC">
        <w:t>All measures were</w:t>
      </w:r>
      <w:r w:rsidR="00A25461">
        <w:t xml:space="preserve"> updated in DEER2020</w:t>
      </w:r>
      <w:r w:rsidR="008279BC">
        <w:t xml:space="preserve"> and</w:t>
      </w:r>
      <w:r w:rsidR="00A25461">
        <w:t xml:space="preserve"> reflect the change in the DEER peak demand period for 2020. </w:t>
      </w:r>
      <w:r w:rsidRPr="004D6511">
        <w:t>The results were reported in the</w:t>
      </w:r>
      <w:r w:rsidRPr="00006F8E">
        <w:t xml:space="preserve"> Remote Ex-Ante Database Interface (READI) tool</w:t>
      </w:r>
      <w:r>
        <w:t xml:space="preserve"> </w:t>
      </w:r>
      <w:r w:rsidR="001F68F5">
        <w:t>v2.5.1</w:t>
      </w:r>
      <w:r w:rsidRPr="00AB4637">
        <w:t>.</w:t>
      </w:r>
      <w:r>
        <w:rPr>
          <w:rFonts w:asciiTheme="minorHAnsi" w:hAnsiTheme="minorHAnsi"/>
          <w:szCs w:val="22"/>
        </w:rPr>
        <w:t xml:space="preserve"> </w:t>
      </w:r>
    </w:p>
    <w:p w14:paraId="6F5AD425" w14:textId="5CEDEA49" w:rsidR="001F68F5" w:rsidRDefault="001F68F5" w:rsidP="001F68F5">
      <w:pPr>
        <w:rPr>
          <w:rFonts w:cstheme="minorHAnsi"/>
          <w:szCs w:val="22"/>
        </w:rPr>
      </w:pPr>
      <w:r>
        <w:t>T</w:t>
      </w:r>
      <w:r w:rsidRPr="00CD1E9A">
        <w:t>he</w:t>
      </w:r>
      <w:r>
        <w:t xml:space="preserve"> </w:t>
      </w:r>
      <w:r w:rsidRPr="00CD1E9A">
        <w:t>refrigerant charge</w:t>
      </w:r>
      <w:r>
        <w:t xml:space="preserve"> adjustment (RCA)</w:t>
      </w:r>
      <w:r w:rsidRPr="00CD1E9A">
        <w:t xml:space="preserve"> measure</w:t>
      </w:r>
      <w:r>
        <w:t xml:space="preserve"> in DEER </w:t>
      </w:r>
      <w:r>
        <w:rPr>
          <w:rFonts w:cstheme="minorHAnsi"/>
          <w:szCs w:val="22"/>
        </w:rPr>
        <w:t xml:space="preserve">uses the following Measure IDs:  </w:t>
      </w:r>
    </w:p>
    <w:p w14:paraId="44CA264E" w14:textId="77777777" w:rsidR="008279BC" w:rsidRPr="001F68F5" w:rsidRDefault="008279BC" w:rsidP="008279BC">
      <w:pPr>
        <w:pStyle w:val="ListParagraph"/>
        <w:numPr>
          <w:ilvl w:val="0"/>
          <w:numId w:val="30"/>
        </w:numPr>
      </w:pPr>
      <w:r w:rsidRPr="001F68F5">
        <w:t>RE-HV-RefChrg-Dec-NTXV-typ</w:t>
      </w:r>
      <w:r>
        <w:t xml:space="preserve"> </w:t>
      </w:r>
    </w:p>
    <w:p w14:paraId="1A2C4C7D" w14:textId="77777777" w:rsidR="008279BC" w:rsidRPr="001F68F5" w:rsidRDefault="008279BC" w:rsidP="008279BC">
      <w:pPr>
        <w:pStyle w:val="ListParagraph"/>
        <w:numPr>
          <w:ilvl w:val="0"/>
          <w:numId w:val="30"/>
        </w:numPr>
      </w:pPr>
      <w:r w:rsidRPr="001F68F5">
        <w:t>RE-HV-RefChrg-Dec-TXV-typ</w:t>
      </w:r>
      <w:r>
        <w:t xml:space="preserve"> </w:t>
      </w:r>
    </w:p>
    <w:p w14:paraId="307F1C32" w14:textId="77777777" w:rsidR="008279BC" w:rsidRPr="001F68F5" w:rsidRDefault="008279BC" w:rsidP="008279BC">
      <w:pPr>
        <w:pStyle w:val="ListParagraph"/>
        <w:numPr>
          <w:ilvl w:val="0"/>
          <w:numId w:val="30"/>
        </w:numPr>
      </w:pPr>
      <w:r w:rsidRPr="001F68F5">
        <w:t>RE-HV-RefChrg-Inc-NTXV-typ</w:t>
      </w:r>
      <w:r>
        <w:t xml:space="preserve"> </w:t>
      </w:r>
    </w:p>
    <w:p w14:paraId="17697A44" w14:textId="77777777" w:rsidR="008279BC" w:rsidRDefault="008279BC" w:rsidP="008279BC">
      <w:pPr>
        <w:pStyle w:val="ListParagraph"/>
        <w:numPr>
          <w:ilvl w:val="0"/>
          <w:numId w:val="30"/>
        </w:numPr>
      </w:pPr>
      <w:r w:rsidRPr="001F68F5">
        <w:t>RE-HV-RefChrg-Inc-TXV-typ</w:t>
      </w:r>
      <w:r>
        <w:t xml:space="preserve"> </w:t>
      </w:r>
    </w:p>
    <w:p w14:paraId="44843CD9" w14:textId="77777777" w:rsidR="008279BC" w:rsidRPr="001F68F5" w:rsidRDefault="008279BC" w:rsidP="008279BC">
      <w:pPr>
        <w:pStyle w:val="ListParagraph"/>
        <w:numPr>
          <w:ilvl w:val="0"/>
          <w:numId w:val="30"/>
        </w:numPr>
      </w:pPr>
      <w:r w:rsidRPr="001F68F5">
        <w:t>RE-HV-RefChrg-Inc-NTXV-typ</w:t>
      </w:r>
      <w:r>
        <w:t xml:space="preserve"> -16pct </w:t>
      </w:r>
    </w:p>
    <w:p w14:paraId="201F28E0" w14:textId="77777777" w:rsidR="008279BC" w:rsidRDefault="008279BC" w:rsidP="008279BC">
      <w:pPr>
        <w:pStyle w:val="ListParagraph"/>
        <w:numPr>
          <w:ilvl w:val="0"/>
          <w:numId w:val="30"/>
        </w:numPr>
      </w:pPr>
      <w:r w:rsidRPr="001F68F5">
        <w:t>RE-HV-RefChrg-Inc-TXV-typ</w:t>
      </w:r>
      <w:r>
        <w:t xml:space="preserve">-16pct </w:t>
      </w:r>
    </w:p>
    <w:p w14:paraId="666FDD42" w14:textId="77777777" w:rsidR="008279BC" w:rsidRDefault="008279BC" w:rsidP="008279BC">
      <w:pPr>
        <w:pStyle w:val="ListParagraph"/>
        <w:numPr>
          <w:ilvl w:val="0"/>
          <w:numId w:val="30"/>
        </w:numPr>
      </w:pPr>
      <w:r w:rsidRPr="001F68F5">
        <w:t>RE-HV-RefChrg-Inc-</w:t>
      </w:r>
      <w:r>
        <w:t>N</w:t>
      </w:r>
      <w:r w:rsidRPr="001F68F5">
        <w:t>TXV-typ</w:t>
      </w:r>
      <w:r>
        <w:t xml:space="preserve">-4pct </w:t>
      </w:r>
    </w:p>
    <w:p w14:paraId="504D4C86" w14:textId="41A0A1B1" w:rsidR="008279BC" w:rsidRPr="001F68F5" w:rsidRDefault="008279BC">
      <w:pPr>
        <w:pStyle w:val="ListParagraph"/>
        <w:numPr>
          <w:ilvl w:val="0"/>
          <w:numId w:val="30"/>
        </w:numPr>
      </w:pPr>
      <w:r w:rsidRPr="001F68F5">
        <w:t>RE-HV-RefChrg-Inc-TXV-typ</w:t>
      </w:r>
      <w:r>
        <w:t xml:space="preserve">-4pct </w:t>
      </w:r>
    </w:p>
    <w:p w14:paraId="3FF977F4" w14:textId="77777777" w:rsidR="00B53D9A" w:rsidRPr="008F4A04" w:rsidRDefault="00B53D9A" w:rsidP="00351806">
      <w:pPr>
        <w:pStyle w:val="ListParagraph"/>
      </w:pPr>
    </w:p>
    <w:p w14:paraId="02E97124" w14:textId="0C3D150A" w:rsidR="00177EB6" w:rsidRDefault="00177EB6" w:rsidP="00177EB6">
      <w:pPr>
        <w:pStyle w:val="eTRMHeading3"/>
      </w:pPr>
      <w:bookmarkStart w:id="52" w:name="_Toc486490858"/>
      <w:bookmarkStart w:id="53" w:name="_Toc486580929"/>
      <w:bookmarkStart w:id="54" w:name="_Toc525811641"/>
      <w:bookmarkStart w:id="55" w:name="_Toc6912255"/>
      <w:r w:rsidRPr="008F4A04">
        <w:t>Gas Savings (Therms)</w:t>
      </w:r>
      <w:bookmarkEnd w:id="52"/>
      <w:bookmarkEnd w:id="53"/>
      <w:bookmarkEnd w:id="54"/>
      <w:bookmarkEnd w:id="55"/>
    </w:p>
    <w:p w14:paraId="5104E70C" w14:textId="1CAB2FB0" w:rsidR="008F5512" w:rsidRDefault="008F5512" w:rsidP="008F5512">
      <w:r>
        <w:t>The gas</w:t>
      </w:r>
      <w:r w:rsidRPr="00370595">
        <w:t xml:space="preserve"> </w:t>
      </w:r>
      <w:r>
        <w:t xml:space="preserve">unit </w:t>
      </w:r>
      <w:r w:rsidRPr="00370595">
        <w:t xml:space="preserve">energy savings </w:t>
      </w:r>
      <w:r>
        <w:t>(UES) of refrigerant charge adjustments of residential air conditioning (AC) units were</w:t>
      </w:r>
      <w:r w:rsidRPr="00370595">
        <w:t xml:space="preserve"> </w:t>
      </w:r>
      <w:r>
        <w:t>derived from</w:t>
      </w:r>
      <w:r w:rsidRPr="00370595">
        <w:t xml:space="preserve"> </w:t>
      </w:r>
      <w:r>
        <w:t xml:space="preserve">impacts in the Database of </w:t>
      </w:r>
      <w:r w:rsidRPr="00006F8E">
        <w:t xml:space="preserve">Energy Efficient Resources (DEER). </w:t>
      </w:r>
      <w:r w:rsidR="008279BC">
        <w:t xml:space="preserve">All </w:t>
      </w:r>
      <w:r w:rsidR="00A25461">
        <w:t>measure</w:t>
      </w:r>
      <w:r w:rsidR="008279BC">
        <w:t>s were</w:t>
      </w:r>
      <w:r w:rsidR="00A25461">
        <w:t xml:space="preserve"> updated in DEER2020. </w:t>
      </w:r>
      <w:r w:rsidRPr="004D6511">
        <w:t>The results were reported in the</w:t>
      </w:r>
      <w:r w:rsidRPr="00006F8E">
        <w:t xml:space="preserve"> Remote Ex-Ante Database Interface (READI) tool</w:t>
      </w:r>
      <w:r>
        <w:t xml:space="preserve"> </w:t>
      </w:r>
      <w:r w:rsidR="001F68F5">
        <w:t>v2.5.1</w:t>
      </w:r>
      <w:r w:rsidRPr="00AB4637">
        <w:t>.</w:t>
      </w:r>
      <w:r>
        <w:rPr>
          <w:rFonts w:asciiTheme="minorHAnsi" w:hAnsiTheme="minorHAnsi"/>
          <w:szCs w:val="22"/>
        </w:rPr>
        <w:t xml:space="preserve"> </w:t>
      </w:r>
    </w:p>
    <w:p w14:paraId="6142B2BF" w14:textId="2C97A719" w:rsidR="001F68F5" w:rsidRDefault="001F68F5" w:rsidP="001F68F5">
      <w:pPr>
        <w:rPr>
          <w:rFonts w:cstheme="minorHAnsi"/>
          <w:szCs w:val="22"/>
        </w:rPr>
      </w:pPr>
      <w:r>
        <w:t>T</w:t>
      </w:r>
      <w:r w:rsidRPr="00CD1E9A">
        <w:t>he</w:t>
      </w:r>
      <w:r>
        <w:t xml:space="preserve"> </w:t>
      </w:r>
      <w:r w:rsidRPr="00CD1E9A">
        <w:t>refrigerant charge</w:t>
      </w:r>
      <w:r>
        <w:t xml:space="preserve"> adjustment (RCA)</w:t>
      </w:r>
      <w:r w:rsidRPr="00CD1E9A">
        <w:t xml:space="preserve"> measure</w:t>
      </w:r>
      <w:r>
        <w:t xml:space="preserve"> in DEER </w:t>
      </w:r>
      <w:r>
        <w:rPr>
          <w:rFonts w:cstheme="minorHAnsi"/>
          <w:szCs w:val="22"/>
        </w:rPr>
        <w:t xml:space="preserve">uses the following Measure IDs:  </w:t>
      </w:r>
    </w:p>
    <w:p w14:paraId="1023B52B" w14:textId="16DDC41B" w:rsidR="00482465" w:rsidRPr="001F68F5" w:rsidRDefault="00482465" w:rsidP="00482465">
      <w:pPr>
        <w:pStyle w:val="ListParagraph"/>
        <w:numPr>
          <w:ilvl w:val="0"/>
          <w:numId w:val="30"/>
        </w:numPr>
      </w:pPr>
      <w:r w:rsidRPr="001F68F5">
        <w:t>RE-HV-RefChrg-Dec-NTXV-typ</w:t>
      </w:r>
      <w:r>
        <w:t xml:space="preserve"> </w:t>
      </w:r>
    </w:p>
    <w:p w14:paraId="44E9DCA8" w14:textId="482D6E97" w:rsidR="00482465" w:rsidRPr="001F68F5" w:rsidRDefault="00482465" w:rsidP="00482465">
      <w:pPr>
        <w:pStyle w:val="ListParagraph"/>
        <w:numPr>
          <w:ilvl w:val="0"/>
          <w:numId w:val="30"/>
        </w:numPr>
      </w:pPr>
      <w:r w:rsidRPr="001F68F5">
        <w:t>RE-HV-RefChrg-Dec-TXV-typ</w:t>
      </w:r>
      <w:r>
        <w:t xml:space="preserve"> </w:t>
      </w:r>
    </w:p>
    <w:p w14:paraId="5AC2EF0C" w14:textId="05632920" w:rsidR="00482465" w:rsidRPr="001F68F5" w:rsidRDefault="00482465" w:rsidP="00482465">
      <w:pPr>
        <w:pStyle w:val="ListParagraph"/>
        <w:numPr>
          <w:ilvl w:val="0"/>
          <w:numId w:val="30"/>
        </w:numPr>
      </w:pPr>
      <w:r w:rsidRPr="001F68F5">
        <w:t>RE-HV-RefChrg-Inc-NTXV-typ</w:t>
      </w:r>
      <w:r>
        <w:t xml:space="preserve"> </w:t>
      </w:r>
    </w:p>
    <w:p w14:paraId="03598D49" w14:textId="011E605B" w:rsidR="00482465" w:rsidRDefault="00482465" w:rsidP="00482465">
      <w:pPr>
        <w:pStyle w:val="ListParagraph"/>
        <w:numPr>
          <w:ilvl w:val="0"/>
          <w:numId w:val="30"/>
        </w:numPr>
      </w:pPr>
      <w:r w:rsidRPr="001F68F5">
        <w:t>RE-HV-RefChrg-Inc-TXV-typ</w:t>
      </w:r>
      <w:r>
        <w:t xml:space="preserve"> </w:t>
      </w:r>
    </w:p>
    <w:p w14:paraId="1D8DC88B" w14:textId="648FF106" w:rsidR="00482465" w:rsidRPr="001F68F5" w:rsidRDefault="00482465" w:rsidP="00482465">
      <w:pPr>
        <w:pStyle w:val="ListParagraph"/>
        <w:numPr>
          <w:ilvl w:val="0"/>
          <w:numId w:val="30"/>
        </w:numPr>
      </w:pPr>
      <w:r w:rsidRPr="001F68F5">
        <w:t>RE-HV-RefChrg-Inc-NTXV-typ</w:t>
      </w:r>
      <w:r>
        <w:t xml:space="preserve"> -16pct </w:t>
      </w:r>
    </w:p>
    <w:p w14:paraId="6353379D" w14:textId="0BE82995" w:rsidR="00482465" w:rsidRDefault="00482465" w:rsidP="00482465">
      <w:pPr>
        <w:pStyle w:val="ListParagraph"/>
        <w:numPr>
          <w:ilvl w:val="0"/>
          <w:numId w:val="30"/>
        </w:numPr>
      </w:pPr>
      <w:r w:rsidRPr="001F68F5">
        <w:t>RE-HV-RefChrg-Inc-TXV-typ</w:t>
      </w:r>
      <w:r>
        <w:t xml:space="preserve">-16pct </w:t>
      </w:r>
    </w:p>
    <w:p w14:paraId="0A8967F1" w14:textId="6A1FB3A2" w:rsidR="00482465" w:rsidRDefault="00482465" w:rsidP="00482465">
      <w:pPr>
        <w:pStyle w:val="ListParagraph"/>
        <w:numPr>
          <w:ilvl w:val="0"/>
          <w:numId w:val="30"/>
        </w:numPr>
      </w:pPr>
      <w:r w:rsidRPr="001F68F5">
        <w:t>RE-HV-RefChrg-Inc-</w:t>
      </w:r>
      <w:r>
        <w:t>N</w:t>
      </w:r>
      <w:r w:rsidRPr="001F68F5">
        <w:t>TXV-typ</w:t>
      </w:r>
      <w:r>
        <w:t xml:space="preserve">-4pct </w:t>
      </w:r>
    </w:p>
    <w:p w14:paraId="54653D39" w14:textId="1D895A34" w:rsidR="00482465" w:rsidRDefault="00482465" w:rsidP="00482465">
      <w:pPr>
        <w:pStyle w:val="ListParagraph"/>
        <w:numPr>
          <w:ilvl w:val="0"/>
          <w:numId w:val="30"/>
        </w:numPr>
      </w:pPr>
      <w:r w:rsidRPr="001F68F5">
        <w:t>RE-HV-RefChrg-Inc-TXV-typ</w:t>
      </w:r>
      <w:r>
        <w:t xml:space="preserve">-4pct </w:t>
      </w:r>
    </w:p>
    <w:p w14:paraId="1E5CC892" w14:textId="77777777" w:rsidR="00B53D9A" w:rsidRPr="008F4A04" w:rsidRDefault="00B53D9A" w:rsidP="007661A2"/>
    <w:p w14:paraId="4DDCD51F" w14:textId="4F2BBAD7" w:rsidR="007D230B" w:rsidRPr="008F4A04" w:rsidRDefault="00245AFF" w:rsidP="00462BB6">
      <w:pPr>
        <w:pStyle w:val="eTRMHeading3"/>
      </w:pPr>
      <w:bookmarkStart w:id="56" w:name="_Toc525811642"/>
      <w:bookmarkStart w:id="57" w:name="_Toc6912256"/>
      <w:bookmarkStart w:id="58" w:name="_Toc486490859"/>
      <w:bookmarkStart w:id="59" w:name="_Toc486580930"/>
      <w:r w:rsidRPr="008F4A04">
        <w:t>Life Cycle</w:t>
      </w:r>
      <w:bookmarkEnd w:id="56"/>
      <w:bookmarkEnd w:id="57"/>
      <w:r w:rsidR="007D230B" w:rsidRPr="008F4A04">
        <w:t xml:space="preserve"> </w:t>
      </w:r>
      <w:bookmarkEnd w:id="58"/>
      <w:bookmarkEnd w:id="59"/>
    </w:p>
    <w:p w14:paraId="6459579D" w14:textId="6AAF1DD6" w:rsidR="00177EB6" w:rsidRDefault="007F669E" w:rsidP="004142EF">
      <w:r w:rsidRPr="008F4A04">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33EA392D" w14:textId="7E55378E" w:rsidR="00674531" w:rsidRPr="006811B5" w:rsidRDefault="00674531" w:rsidP="00674531">
      <w:r>
        <w:lastRenderedPageBreak/>
        <w:t>As per Resolution-4952</w:t>
      </w:r>
      <w:r>
        <w:rPr>
          <w:rStyle w:val="FootnoteReference"/>
        </w:rPr>
        <w:footnoteReference w:id="6"/>
      </w:r>
      <w:r w:rsidR="00121D87">
        <w:t xml:space="preserve"> and Resolution-5009</w:t>
      </w:r>
      <w:r w:rsidR="00121D87">
        <w:rPr>
          <w:rStyle w:val="FootnoteReference"/>
        </w:rPr>
        <w:footnoteReference w:id="7"/>
      </w:r>
      <w:r>
        <w:t xml:space="preserve">, the </w:t>
      </w:r>
      <w:r w:rsidRPr="00951F20">
        <w:t xml:space="preserve">California Public Utilities Commission (CPUC) </w:t>
      </w:r>
      <w:r>
        <w:t>created the Behavioral Operational Retrocommissioning (BRO-RCx) measure classification which provides corrected EUL and RUL values shown below.</w:t>
      </w:r>
    </w:p>
    <w:p w14:paraId="7D542FEF" w14:textId="6CDDBB79" w:rsidR="00FD2C54" w:rsidRPr="006811B5" w:rsidRDefault="00FD2C54" w:rsidP="00EA057C">
      <w:pPr>
        <w:pStyle w:val="Caption"/>
      </w:pPr>
      <w:r w:rsidRPr="006811B5">
        <w:t>Effective Useful Life</w:t>
      </w:r>
      <w:r w:rsidR="00BB4F22" w:rsidRPr="006811B5">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130"/>
      </w:tblGrid>
      <w:tr w:rsidR="00951869" w:rsidRPr="006811B5" w14:paraId="1FE81044" w14:textId="0C091959" w:rsidTr="00951869">
        <w:trPr>
          <w:cantSplit/>
          <w:trHeight w:val="20"/>
        </w:trPr>
        <w:tc>
          <w:tcPr>
            <w:tcW w:w="2877" w:type="dxa"/>
            <w:shd w:val="clear" w:color="auto" w:fill="F2F2F2" w:themeFill="background1" w:themeFillShade="F2"/>
            <w:vAlign w:val="bottom"/>
          </w:tcPr>
          <w:p w14:paraId="1666F440" w14:textId="31AB2C31" w:rsidR="00951869" w:rsidRPr="006811B5" w:rsidRDefault="00951869" w:rsidP="009C31A4">
            <w:pPr>
              <w:keepNext/>
              <w:keepLines/>
              <w:spacing w:before="20" w:after="20"/>
              <w:jc w:val="center"/>
              <w:rPr>
                <w:rFonts w:cstheme="minorHAnsi"/>
                <w:b/>
                <w:sz w:val="20"/>
                <w:szCs w:val="20"/>
              </w:rPr>
            </w:pPr>
            <w:r w:rsidRPr="006811B5">
              <w:rPr>
                <w:rFonts w:cstheme="minorHAnsi"/>
                <w:b/>
                <w:sz w:val="20"/>
                <w:szCs w:val="20"/>
              </w:rPr>
              <w:t>Parameter</w:t>
            </w:r>
          </w:p>
        </w:tc>
        <w:tc>
          <w:tcPr>
            <w:tcW w:w="1438" w:type="dxa"/>
            <w:shd w:val="clear" w:color="auto" w:fill="F2F2F2" w:themeFill="background1" w:themeFillShade="F2"/>
          </w:tcPr>
          <w:p w14:paraId="18E57BF8" w14:textId="7074E315" w:rsidR="00951869" w:rsidRPr="006811B5" w:rsidRDefault="00951869" w:rsidP="009C31A4">
            <w:pPr>
              <w:keepNext/>
              <w:keepLines/>
              <w:spacing w:before="20" w:after="20"/>
              <w:jc w:val="center"/>
              <w:rPr>
                <w:rFonts w:cstheme="minorHAnsi"/>
                <w:b/>
                <w:sz w:val="20"/>
                <w:szCs w:val="20"/>
              </w:rPr>
            </w:pPr>
            <w:r w:rsidRPr="006811B5">
              <w:rPr>
                <w:rFonts w:cstheme="minorHAnsi"/>
                <w:b/>
                <w:sz w:val="20"/>
                <w:szCs w:val="20"/>
              </w:rPr>
              <w:t>Value</w:t>
            </w:r>
          </w:p>
        </w:tc>
        <w:tc>
          <w:tcPr>
            <w:tcW w:w="5130" w:type="dxa"/>
            <w:shd w:val="clear" w:color="auto" w:fill="F2F2F2" w:themeFill="background1" w:themeFillShade="F2"/>
          </w:tcPr>
          <w:p w14:paraId="541E1750" w14:textId="139E5C00" w:rsidR="00951869" w:rsidRPr="006811B5" w:rsidRDefault="00951869" w:rsidP="009C31A4">
            <w:pPr>
              <w:keepNext/>
              <w:keepLines/>
              <w:spacing w:before="20" w:after="20"/>
              <w:jc w:val="center"/>
              <w:rPr>
                <w:rFonts w:cstheme="minorHAnsi"/>
                <w:b/>
                <w:sz w:val="20"/>
                <w:szCs w:val="20"/>
              </w:rPr>
            </w:pPr>
            <w:r w:rsidRPr="006811B5">
              <w:rPr>
                <w:rFonts w:cstheme="minorHAnsi"/>
                <w:b/>
                <w:sz w:val="20"/>
                <w:szCs w:val="20"/>
              </w:rPr>
              <w:t>Source</w:t>
            </w:r>
          </w:p>
        </w:tc>
      </w:tr>
      <w:tr w:rsidR="00951869" w:rsidRPr="00951869" w14:paraId="7B636A73" w14:textId="217149CE" w:rsidTr="00CC49EF">
        <w:trPr>
          <w:cantSplit/>
          <w:trHeight w:val="20"/>
        </w:trPr>
        <w:tc>
          <w:tcPr>
            <w:tcW w:w="2877" w:type="dxa"/>
            <w:vAlign w:val="center"/>
          </w:tcPr>
          <w:p w14:paraId="64E6D65F" w14:textId="231373D7" w:rsidR="00951869" w:rsidRPr="006811B5" w:rsidRDefault="00951869" w:rsidP="00CC49EF">
            <w:pPr>
              <w:keepNext/>
              <w:keepLines/>
              <w:spacing w:before="20" w:after="20"/>
              <w:rPr>
                <w:sz w:val="20"/>
                <w:szCs w:val="20"/>
              </w:rPr>
            </w:pPr>
            <w:r w:rsidRPr="006811B5">
              <w:rPr>
                <w:rFonts w:cstheme="minorHAnsi"/>
                <w:sz w:val="20"/>
                <w:szCs w:val="20"/>
              </w:rPr>
              <w:t>EUL (yrs)</w:t>
            </w:r>
            <w:r w:rsidR="006314C9">
              <w:rPr>
                <w:rFonts w:cstheme="minorHAnsi"/>
                <w:sz w:val="20"/>
                <w:szCs w:val="20"/>
              </w:rPr>
              <w:t xml:space="preserve"> (</w:t>
            </w:r>
            <w:r w:rsidR="006314C9" w:rsidRPr="006314C9">
              <w:rPr>
                <w:rFonts w:cstheme="minorHAnsi"/>
                <w:sz w:val="20"/>
                <w:szCs w:val="20"/>
              </w:rPr>
              <w:t>HV-RefChrg</w:t>
            </w:r>
            <w:r w:rsidR="006314C9">
              <w:rPr>
                <w:rFonts w:cstheme="minorHAnsi"/>
                <w:sz w:val="20"/>
                <w:szCs w:val="20"/>
              </w:rPr>
              <w:t>)</w:t>
            </w:r>
          </w:p>
        </w:tc>
        <w:tc>
          <w:tcPr>
            <w:tcW w:w="1438" w:type="dxa"/>
            <w:vAlign w:val="center"/>
          </w:tcPr>
          <w:p w14:paraId="636160CC" w14:textId="002C2B77" w:rsidR="00951869" w:rsidRPr="0090146F" w:rsidRDefault="00674531" w:rsidP="0090146F">
            <w:pPr>
              <w:keepNext/>
              <w:keepLines/>
              <w:spacing w:before="20" w:after="20"/>
              <w:jc w:val="center"/>
              <w:rPr>
                <w:sz w:val="20"/>
              </w:rPr>
            </w:pPr>
            <w:r w:rsidRPr="00674531">
              <w:rPr>
                <w:sz w:val="20"/>
                <w:szCs w:val="20"/>
              </w:rPr>
              <w:t>3</w:t>
            </w:r>
          </w:p>
        </w:tc>
        <w:tc>
          <w:tcPr>
            <w:tcW w:w="5130" w:type="dxa"/>
          </w:tcPr>
          <w:p w14:paraId="12293357" w14:textId="398C2037" w:rsidR="00EE2E39" w:rsidRPr="006811B5" w:rsidRDefault="00674531" w:rsidP="00EE2E39">
            <w:pPr>
              <w:spacing w:before="0" w:after="0" w:line="240" w:lineRule="auto"/>
              <w:rPr>
                <w:rFonts w:cs="Calibri Light"/>
                <w:sz w:val="18"/>
                <w:szCs w:val="20"/>
              </w:rPr>
            </w:pPr>
            <w:r w:rsidRPr="00803BEF">
              <w:rPr>
                <w:sz w:val="18"/>
              </w:rPr>
              <w:t>California Public Utilities Commission (CPUC), Energy Division. 201</w:t>
            </w:r>
            <w:r>
              <w:rPr>
                <w:sz w:val="18"/>
              </w:rPr>
              <w:t xml:space="preserve">8. </w:t>
            </w:r>
            <w:r w:rsidRPr="00B0785C">
              <w:rPr>
                <w:i/>
                <w:sz w:val="18"/>
              </w:rPr>
              <w:t>DEER resolution E-4952</w:t>
            </w:r>
            <w:r>
              <w:rPr>
                <w:i/>
                <w:sz w:val="18"/>
              </w:rPr>
              <w:t xml:space="preserve">. </w:t>
            </w:r>
            <w:r w:rsidRPr="00B0785C">
              <w:rPr>
                <w:sz w:val="18"/>
              </w:rPr>
              <w:t>11 October 2018</w:t>
            </w:r>
          </w:p>
        </w:tc>
      </w:tr>
      <w:tr w:rsidR="00951869" w:rsidRPr="00951869" w14:paraId="71871DE1" w14:textId="51A3395E" w:rsidTr="00CC49EF">
        <w:trPr>
          <w:cantSplit/>
          <w:trHeight w:val="20"/>
        </w:trPr>
        <w:tc>
          <w:tcPr>
            <w:tcW w:w="2877" w:type="dxa"/>
            <w:vAlign w:val="center"/>
          </w:tcPr>
          <w:p w14:paraId="4BA48D82" w14:textId="5EFD77B9" w:rsidR="00951869" w:rsidRPr="00951869" w:rsidRDefault="00951869" w:rsidP="00CC49EF">
            <w:pPr>
              <w:keepNext/>
              <w:keepLines/>
              <w:spacing w:before="20" w:after="20"/>
              <w:rPr>
                <w:sz w:val="20"/>
                <w:szCs w:val="20"/>
              </w:rPr>
            </w:pPr>
            <w:r w:rsidRPr="00951869">
              <w:rPr>
                <w:rFonts w:cstheme="minorHAnsi"/>
                <w:sz w:val="20"/>
                <w:szCs w:val="20"/>
              </w:rPr>
              <w:t>RUL (yrs)</w:t>
            </w:r>
          </w:p>
        </w:tc>
        <w:tc>
          <w:tcPr>
            <w:tcW w:w="1438" w:type="dxa"/>
            <w:vAlign w:val="center"/>
          </w:tcPr>
          <w:p w14:paraId="012CC38D" w14:textId="26414FC1" w:rsidR="00951869" w:rsidRPr="00351806" w:rsidRDefault="00121D87" w:rsidP="00351806">
            <w:pPr>
              <w:keepNext/>
              <w:keepLines/>
              <w:spacing w:before="20" w:after="20"/>
              <w:jc w:val="center"/>
              <w:rPr>
                <w:sz w:val="20"/>
              </w:rPr>
            </w:pPr>
            <w:r>
              <w:rPr>
                <w:sz w:val="20"/>
                <w:szCs w:val="20"/>
              </w:rPr>
              <w:t>0</w:t>
            </w:r>
          </w:p>
        </w:tc>
        <w:tc>
          <w:tcPr>
            <w:tcW w:w="5130" w:type="dxa"/>
          </w:tcPr>
          <w:p w14:paraId="7DDC9DCA" w14:textId="197ED9AD" w:rsidR="00951869" w:rsidRPr="00951869" w:rsidRDefault="00674531" w:rsidP="00BF7140">
            <w:pPr>
              <w:keepNext/>
              <w:keepLines/>
              <w:spacing w:before="20" w:after="20"/>
              <w:rPr>
                <w:sz w:val="20"/>
                <w:szCs w:val="20"/>
              </w:rPr>
            </w:pPr>
            <w:r w:rsidRPr="00803BEF">
              <w:rPr>
                <w:sz w:val="18"/>
              </w:rPr>
              <w:t>California Public Utilities Commission (CPUC), Energy Division. 201</w:t>
            </w:r>
            <w:r w:rsidR="00121D87">
              <w:rPr>
                <w:sz w:val="18"/>
              </w:rPr>
              <w:t>9</w:t>
            </w:r>
            <w:r>
              <w:rPr>
                <w:sz w:val="18"/>
              </w:rPr>
              <w:t xml:space="preserve">. </w:t>
            </w:r>
            <w:r w:rsidR="00121D87" w:rsidRPr="00351806">
              <w:rPr>
                <w:i/>
                <w:sz w:val="18"/>
              </w:rPr>
              <w:t>Draft</w:t>
            </w:r>
            <w:r w:rsidR="00121D87">
              <w:rPr>
                <w:sz w:val="18"/>
              </w:rPr>
              <w:t xml:space="preserve"> </w:t>
            </w:r>
            <w:r w:rsidRPr="00B0785C">
              <w:rPr>
                <w:i/>
                <w:sz w:val="18"/>
              </w:rPr>
              <w:t>DEER resolution E-</w:t>
            </w:r>
            <w:r w:rsidR="00121D87">
              <w:rPr>
                <w:i/>
                <w:sz w:val="18"/>
              </w:rPr>
              <w:t>5009</w:t>
            </w:r>
            <w:r>
              <w:rPr>
                <w:i/>
                <w:sz w:val="18"/>
              </w:rPr>
              <w:t xml:space="preserve">. </w:t>
            </w:r>
            <w:r w:rsidR="00121D87">
              <w:rPr>
                <w:sz w:val="18"/>
              </w:rPr>
              <w:t>15 August 2019</w:t>
            </w:r>
          </w:p>
        </w:tc>
      </w:tr>
    </w:tbl>
    <w:p w14:paraId="44A094DA" w14:textId="77777777" w:rsidR="00BF7140" w:rsidRPr="008F4A04" w:rsidRDefault="00BF7140" w:rsidP="004142EF"/>
    <w:p w14:paraId="3B14B593" w14:textId="77777777" w:rsidR="007D230B" w:rsidRPr="008F4A04" w:rsidRDefault="007D230B" w:rsidP="00462BB6">
      <w:pPr>
        <w:pStyle w:val="eTRMHeading3"/>
      </w:pPr>
      <w:bookmarkStart w:id="60" w:name="_Toc486490860"/>
      <w:bookmarkStart w:id="61" w:name="_Toc486580931"/>
      <w:bookmarkStart w:id="62" w:name="_Toc525811643"/>
      <w:bookmarkStart w:id="63" w:name="_Toc6912257"/>
      <w:r w:rsidRPr="008F4A04">
        <w:t>Base Case Material Cost ($/unit)</w:t>
      </w:r>
      <w:bookmarkEnd w:id="60"/>
      <w:bookmarkEnd w:id="61"/>
      <w:bookmarkEnd w:id="62"/>
      <w:bookmarkEnd w:id="63"/>
    </w:p>
    <w:p w14:paraId="2486ACF5" w14:textId="7570CD5E" w:rsidR="007D230B" w:rsidRDefault="008A294D" w:rsidP="004142EF">
      <w:r>
        <w:t xml:space="preserve">The base case is defined as the existing equipment; </w:t>
      </w:r>
      <w:r w:rsidR="00EE2E39">
        <w:t>thus,</w:t>
      </w:r>
      <w:r>
        <w:t xml:space="preserve"> the base case material cost is $0.00.</w:t>
      </w:r>
    </w:p>
    <w:p w14:paraId="5057E0C3" w14:textId="77777777" w:rsidR="008A294D" w:rsidRPr="008F4A04" w:rsidRDefault="008A294D" w:rsidP="004142EF"/>
    <w:p w14:paraId="44E8DBEB" w14:textId="77777777" w:rsidR="007D230B" w:rsidRPr="008F4A04" w:rsidRDefault="007D230B" w:rsidP="00462BB6">
      <w:pPr>
        <w:pStyle w:val="eTRMHeading3"/>
      </w:pPr>
      <w:bookmarkStart w:id="64" w:name="_Toc486490861"/>
      <w:bookmarkStart w:id="65" w:name="_Toc486580932"/>
      <w:bookmarkStart w:id="66" w:name="_Toc525811644"/>
      <w:bookmarkStart w:id="67" w:name="_Toc6912258"/>
      <w:r w:rsidRPr="008F4A04">
        <w:t>Measure Case Material Cost ($/unit)</w:t>
      </w:r>
      <w:bookmarkEnd w:id="64"/>
      <w:bookmarkEnd w:id="65"/>
      <w:bookmarkEnd w:id="66"/>
      <w:bookmarkEnd w:id="67"/>
    </w:p>
    <w:p w14:paraId="007B7A2C" w14:textId="475B0F8E" w:rsidR="00674531" w:rsidRDefault="00674531" w:rsidP="00674531">
      <w:r>
        <w:t xml:space="preserve">The measure case material and labor cost for refrigerant charge adjustments were drawn from </w:t>
      </w:r>
      <w:bookmarkStart w:id="68" w:name="_Hlk500765244"/>
      <w:r w:rsidRPr="0090146F">
        <w:t>2010-2012 WO017 Ex</w:t>
      </w:r>
      <w:r>
        <w:t>-</w:t>
      </w:r>
      <w:r w:rsidRPr="0090146F">
        <w:t xml:space="preserve">Ante Measure Cost Study </w:t>
      </w:r>
      <w:bookmarkEnd w:id="68"/>
      <w:r>
        <w:t>conducted by Itron, Inc.</w:t>
      </w:r>
      <w:r w:rsidRPr="0090146F">
        <w:rPr>
          <w:rStyle w:val="FootnoteReference"/>
        </w:rPr>
        <w:footnoteReference w:id="8"/>
      </w:r>
      <w:r>
        <w:t xml:space="preserve"> </w:t>
      </w:r>
      <w:bookmarkStart w:id="69" w:name="_Hlk525906940"/>
      <w:r>
        <w:t>This study reports costs for a “typical” refrigerant charge measure and does not distinguish between “decrease” and “increase”, inclusion of thermal expansion valve (TXV)</w:t>
      </w:r>
      <w:r w:rsidR="00237FAE">
        <w:t>, or amount of refrigerant charge included</w:t>
      </w:r>
      <w:r>
        <w:t xml:space="preserve">. Therefore, the material cost for </w:t>
      </w:r>
      <w:r w:rsidR="00237FAE">
        <w:t xml:space="preserve">all </w:t>
      </w:r>
      <w:r>
        <w:t>measure</w:t>
      </w:r>
      <w:bookmarkEnd w:id="69"/>
      <w:r>
        <w:t xml:space="preserve"> offerings are assumed to be the same. </w:t>
      </w:r>
    </w:p>
    <w:p w14:paraId="1C0AA82D" w14:textId="34837F87" w:rsidR="00674531" w:rsidRDefault="00674531" w:rsidP="00674531">
      <w:pPr>
        <w:rPr>
          <w:b/>
          <w:bCs/>
        </w:rPr>
      </w:pPr>
      <w:r>
        <w:t xml:space="preserve">The cost data were scaled to 2018 cost values using an average of all 12 California cities in the </w:t>
      </w:r>
      <w:r w:rsidRPr="005035CE">
        <w:t xml:space="preserve">2018 RS Means </w:t>
      </w:r>
      <w:r w:rsidRPr="00BD1586">
        <w:t xml:space="preserve">Historical Cost Indexes table </w:t>
      </w:r>
      <w:r w:rsidRPr="005035CE">
        <w:rPr>
          <w:rStyle w:val="FootnoteReference"/>
        </w:rPr>
        <w:footnoteReference w:id="9"/>
      </w:r>
      <w:r>
        <w:t xml:space="preserve">. The RSMeans Historical Cost Index can be used to compare costs of projects between different cities and years. The ratio of cost indexes provides the percent change expected in the price between the specified years. A comparison of the cost indexes for 2012 and 2018 for the average of 12 California cities in the </w:t>
      </w:r>
      <w:r w:rsidRPr="005035CE">
        <w:t xml:space="preserve">2018 </w:t>
      </w:r>
      <w:r>
        <w:t xml:space="preserve">(209.3 and 239.9, respectively) reveals a cost </w:t>
      </w:r>
      <w:r w:rsidR="00A92196">
        <w:t xml:space="preserve">increase </w:t>
      </w:r>
      <w:r>
        <w:t xml:space="preserve">of 14.6%. This percentage increase value was applied to the WO017 data to reflect 2018 costs. </w:t>
      </w:r>
    </w:p>
    <w:p w14:paraId="1775BE96" w14:textId="378F414B" w:rsidR="008A294D" w:rsidRDefault="00B13777" w:rsidP="008A294D">
      <w:pPr>
        <w:rPr>
          <w:noProof/>
        </w:rPr>
      </w:pPr>
      <w:r>
        <w:rPr>
          <w:noProof/>
        </w:rPr>
        <w:t>Inputs to develop the measure case material costs are specified below.</w:t>
      </w:r>
    </w:p>
    <w:p w14:paraId="0DC8B5BD" w14:textId="551A7AB9" w:rsidR="00B13777" w:rsidRDefault="00B13777" w:rsidP="00B13777">
      <w:pPr>
        <w:pStyle w:val="Caption"/>
        <w:rPr>
          <w:noProof/>
        </w:rPr>
      </w:pPr>
      <w:r>
        <w:rPr>
          <w:noProof/>
        </w:rPr>
        <w:lastRenderedPageBreak/>
        <w:t>Measure Caset Material and Labor Cost Inputs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91"/>
        <w:gridCol w:w="1386"/>
        <w:gridCol w:w="4868"/>
      </w:tblGrid>
      <w:tr w:rsidR="00B13777" w:rsidRPr="00951869" w14:paraId="320FFF92" w14:textId="77777777" w:rsidTr="00B13777">
        <w:trPr>
          <w:cantSplit/>
          <w:trHeight w:val="20"/>
        </w:trPr>
        <w:tc>
          <w:tcPr>
            <w:tcW w:w="3595" w:type="dxa"/>
            <w:shd w:val="clear" w:color="auto" w:fill="F2F2F2" w:themeFill="background1" w:themeFillShade="F2"/>
            <w:vAlign w:val="bottom"/>
          </w:tcPr>
          <w:p w14:paraId="066FBCF5" w14:textId="31173FD0" w:rsidR="00B13777" w:rsidRPr="00951869" w:rsidRDefault="00B13777" w:rsidP="00723F41">
            <w:pPr>
              <w:keepNext/>
              <w:keepLines/>
              <w:spacing w:before="20" w:after="20"/>
              <w:jc w:val="center"/>
              <w:rPr>
                <w:rFonts w:cstheme="minorHAnsi"/>
                <w:b/>
                <w:sz w:val="20"/>
                <w:szCs w:val="20"/>
              </w:rPr>
            </w:pPr>
            <w:r>
              <w:rPr>
                <w:rFonts w:cstheme="minorHAnsi"/>
                <w:b/>
                <w:sz w:val="20"/>
                <w:szCs w:val="20"/>
              </w:rPr>
              <w:t>Input</w:t>
            </w:r>
          </w:p>
        </w:tc>
        <w:tc>
          <w:tcPr>
            <w:tcW w:w="1440" w:type="dxa"/>
            <w:shd w:val="clear" w:color="auto" w:fill="F2F2F2" w:themeFill="background1" w:themeFillShade="F2"/>
          </w:tcPr>
          <w:p w14:paraId="07B0AD7E" w14:textId="77777777" w:rsidR="00B13777" w:rsidRPr="00951869" w:rsidRDefault="00B13777" w:rsidP="00723F41">
            <w:pPr>
              <w:keepNext/>
              <w:keepLines/>
              <w:spacing w:before="20" w:after="20"/>
              <w:jc w:val="center"/>
              <w:rPr>
                <w:rFonts w:cstheme="minorHAnsi"/>
                <w:b/>
                <w:sz w:val="20"/>
                <w:szCs w:val="20"/>
              </w:rPr>
            </w:pPr>
            <w:r w:rsidRPr="00951869">
              <w:rPr>
                <w:rFonts w:cstheme="minorHAnsi"/>
                <w:b/>
                <w:sz w:val="20"/>
                <w:szCs w:val="20"/>
              </w:rPr>
              <w:t>Value</w:t>
            </w:r>
          </w:p>
        </w:tc>
        <w:tc>
          <w:tcPr>
            <w:tcW w:w="4410" w:type="dxa"/>
            <w:shd w:val="clear" w:color="auto" w:fill="F2F2F2" w:themeFill="background1" w:themeFillShade="F2"/>
          </w:tcPr>
          <w:p w14:paraId="1FFC6DE0" w14:textId="77777777" w:rsidR="00B13777" w:rsidRPr="00951869" w:rsidRDefault="00B13777" w:rsidP="00723F41">
            <w:pPr>
              <w:keepNext/>
              <w:keepLines/>
              <w:spacing w:before="20" w:after="20"/>
              <w:jc w:val="center"/>
              <w:rPr>
                <w:rFonts w:cstheme="minorHAnsi"/>
                <w:b/>
                <w:sz w:val="20"/>
                <w:szCs w:val="20"/>
              </w:rPr>
            </w:pPr>
            <w:r w:rsidRPr="00951869">
              <w:rPr>
                <w:rFonts w:cstheme="minorHAnsi"/>
                <w:b/>
                <w:sz w:val="20"/>
                <w:szCs w:val="20"/>
              </w:rPr>
              <w:t>Source</w:t>
            </w:r>
          </w:p>
        </w:tc>
      </w:tr>
      <w:tr w:rsidR="00B13777" w:rsidRPr="00951869" w14:paraId="2085B7E0" w14:textId="77777777" w:rsidTr="00CC49EF">
        <w:trPr>
          <w:cantSplit/>
          <w:trHeight w:val="20"/>
        </w:trPr>
        <w:tc>
          <w:tcPr>
            <w:tcW w:w="3595" w:type="dxa"/>
            <w:vAlign w:val="center"/>
          </w:tcPr>
          <w:p w14:paraId="2ACC4BAC" w14:textId="254975CA" w:rsidR="00B13777" w:rsidRPr="00951869" w:rsidRDefault="00A954EE" w:rsidP="00CC49EF">
            <w:pPr>
              <w:keepNext/>
              <w:keepLines/>
              <w:spacing w:before="20" w:after="20"/>
              <w:rPr>
                <w:sz w:val="20"/>
                <w:szCs w:val="20"/>
              </w:rPr>
            </w:pPr>
            <w:r>
              <w:rPr>
                <w:sz w:val="20"/>
                <w:szCs w:val="20"/>
              </w:rPr>
              <w:t>Refrigerant Charge Adjustment Material</w:t>
            </w:r>
            <w:r w:rsidR="00B13777">
              <w:rPr>
                <w:sz w:val="20"/>
                <w:szCs w:val="20"/>
              </w:rPr>
              <w:t xml:space="preserve"> ($/ton)</w:t>
            </w:r>
          </w:p>
        </w:tc>
        <w:tc>
          <w:tcPr>
            <w:tcW w:w="1440" w:type="dxa"/>
            <w:vAlign w:val="center"/>
          </w:tcPr>
          <w:p w14:paraId="7A7FD1D5" w14:textId="6E8EBD65" w:rsidR="00B13777" w:rsidRPr="0090146F" w:rsidRDefault="00B13777" w:rsidP="00CC49EF">
            <w:pPr>
              <w:keepNext/>
              <w:keepLines/>
              <w:spacing w:before="20" w:after="20"/>
              <w:ind w:right="342"/>
              <w:jc w:val="right"/>
              <w:rPr>
                <w:color w:val="191919" w:themeColor="text1"/>
                <w:sz w:val="20"/>
              </w:rPr>
            </w:pPr>
            <w:r w:rsidRPr="0090146F">
              <w:rPr>
                <w:color w:val="191919" w:themeColor="text1"/>
                <w:sz w:val="20"/>
              </w:rPr>
              <w:t>$</w:t>
            </w:r>
            <w:r w:rsidR="00012D12">
              <w:rPr>
                <w:color w:val="191919" w:themeColor="text1"/>
                <w:sz w:val="20"/>
                <w:szCs w:val="20"/>
              </w:rPr>
              <w:t>9</w:t>
            </w:r>
            <w:r w:rsidR="00A954EE" w:rsidRPr="0090146F">
              <w:rPr>
                <w:color w:val="191919" w:themeColor="text1"/>
                <w:sz w:val="20"/>
                <w:szCs w:val="20"/>
              </w:rPr>
              <w:t>.</w:t>
            </w:r>
            <w:r w:rsidR="00012D12">
              <w:rPr>
                <w:color w:val="191919" w:themeColor="text1"/>
                <w:sz w:val="20"/>
                <w:szCs w:val="20"/>
              </w:rPr>
              <w:t>92</w:t>
            </w:r>
          </w:p>
        </w:tc>
        <w:tc>
          <w:tcPr>
            <w:tcW w:w="4410" w:type="dxa"/>
            <w:vMerge w:val="restart"/>
            <w:vAlign w:val="center"/>
          </w:tcPr>
          <w:p w14:paraId="14A1DC1B" w14:textId="7AFD003E" w:rsidR="00B13777" w:rsidRPr="00B13777" w:rsidRDefault="00B13777" w:rsidP="00B13777">
            <w:pPr>
              <w:keepNext/>
              <w:keepLines/>
              <w:spacing w:before="20" w:after="20"/>
              <w:rPr>
                <w:sz w:val="18"/>
                <w:szCs w:val="20"/>
              </w:rPr>
            </w:pPr>
            <w:r w:rsidRPr="00B13777">
              <w:rPr>
                <w:sz w:val="18"/>
              </w:rPr>
              <w:t xml:space="preserve">Itron, Inc. 2014. </w:t>
            </w:r>
            <w:r w:rsidRPr="00B13777">
              <w:rPr>
                <w:i/>
                <w:sz w:val="18"/>
              </w:rPr>
              <w:t>2010-2012 WO017 Ex Ante Measure Cost Study Final Report.</w:t>
            </w:r>
            <w:r w:rsidRPr="00B13777">
              <w:rPr>
                <w:sz w:val="18"/>
              </w:rPr>
              <w:t xml:space="preserve"> Prepared for the California Public Utilities Commission.</w:t>
            </w:r>
          </w:p>
        </w:tc>
      </w:tr>
      <w:tr w:rsidR="00B13777" w:rsidRPr="00951869" w14:paraId="2CBA5202" w14:textId="77777777" w:rsidTr="00CC49EF">
        <w:trPr>
          <w:cantSplit/>
          <w:trHeight w:val="20"/>
        </w:trPr>
        <w:tc>
          <w:tcPr>
            <w:tcW w:w="3595" w:type="dxa"/>
            <w:vAlign w:val="center"/>
          </w:tcPr>
          <w:p w14:paraId="47905DA9" w14:textId="47B40853" w:rsidR="00B13777" w:rsidRDefault="00A954EE" w:rsidP="00CC49EF">
            <w:pPr>
              <w:keepNext/>
              <w:keepLines/>
              <w:spacing w:before="20" w:after="20"/>
              <w:rPr>
                <w:sz w:val="20"/>
                <w:szCs w:val="20"/>
              </w:rPr>
            </w:pPr>
            <w:r>
              <w:rPr>
                <w:sz w:val="20"/>
                <w:szCs w:val="20"/>
              </w:rPr>
              <w:t xml:space="preserve">Refrigerant Charge Adjustment Labor </w:t>
            </w:r>
            <w:r w:rsidR="00B13777">
              <w:rPr>
                <w:sz w:val="20"/>
                <w:szCs w:val="20"/>
              </w:rPr>
              <w:t>($/ton)</w:t>
            </w:r>
          </w:p>
        </w:tc>
        <w:tc>
          <w:tcPr>
            <w:tcW w:w="1440" w:type="dxa"/>
            <w:vAlign w:val="center"/>
          </w:tcPr>
          <w:p w14:paraId="0866054C" w14:textId="50EFC5E4" w:rsidR="00B13777" w:rsidRPr="0090146F" w:rsidRDefault="00B13777" w:rsidP="00CC49EF">
            <w:pPr>
              <w:keepNext/>
              <w:keepLines/>
              <w:spacing w:before="20" w:after="20"/>
              <w:ind w:right="342"/>
              <w:jc w:val="right"/>
              <w:rPr>
                <w:color w:val="191919" w:themeColor="text1"/>
                <w:sz w:val="20"/>
              </w:rPr>
            </w:pPr>
            <w:r w:rsidRPr="0090146F">
              <w:rPr>
                <w:color w:val="191919" w:themeColor="text1"/>
                <w:sz w:val="20"/>
              </w:rPr>
              <w:t>$</w:t>
            </w:r>
            <w:r w:rsidR="00012D12">
              <w:rPr>
                <w:color w:val="191919" w:themeColor="text1"/>
                <w:sz w:val="20"/>
                <w:szCs w:val="20"/>
              </w:rPr>
              <w:t>26</w:t>
            </w:r>
            <w:r w:rsidR="00A954EE" w:rsidRPr="0090146F">
              <w:rPr>
                <w:color w:val="191919" w:themeColor="text1"/>
                <w:sz w:val="20"/>
                <w:szCs w:val="20"/>
              </w:rPr>
              <w:t>.</w:t>
            </w:r>
            <w:r w:rsidR="00012D12">
              <w:rPr>
                <w:color w:val="191919" w:themeColor="text1"/>
                <w:sz w:val="20"/>
                <w:szCs w:val="20"/>
              </w:rPr>
              <w:t>78</w:t>
            </w:r>
          </w:p>
        </w:tc>
        <w:tc>
          <w:tcPr>
            <w:tcW w:w="4410" w:type="dxa"/>
            <w:vMerge/>
          </w:tcPr>
          <w:p w14:paraId="4CE5F379" w14:textId="77777777" w:rsidR="00B13777" w:rsidRPr="00951869" w:rsidRDefault="00B13777" w:rsidP="00723F41">
            <w:pPr>
              <w:keepNext/>
              <w:keepLines/>
              <w:spacing w:before="20" w:after="20"/>
              <w:jc w:val="center"/>
              <w:rPr>
                <w:sz w:val="20"/>
                <w:szCs w:val="20"/>
              </w:rPr>
            </w:pPr>
          </w:p>
        </w:tc>
      </w:tr>
      <w:tr w:rsidR="00674531" w:rsidRPr="00951869" w14:paraId="348CDA4A" w14:textId="77777777" w:rsidTr="00CC49EF">
        <w:trPr>
          <w:cantSplit/>
          <w:trHeight w:val="20"/>
        </w:trPr>
        <w:tc>
          <w:tcPr>
            <w:tcW w:w="3595" w:type="dxa"/>
            <w:vAlign w:val="center"/>
          </w:tcPr>
          <w:p w14:paraId="44EBCB77" w14:textId="7D8DCBBA" w:rsidR="00674531" w:rsidRPr="00951869" w:rsidRDefault="00674531" w:rsidP="00674531">
            <w:pPr>
              <w:keepNext/>
              <w:keepLines/>
              <w:spacing w:before="20" w:after="20"/>
              <w:rPr>
                <w:sz w:val="20"/>
                <w:szCs w:val="20"/>
              </w:rPr>
            </w:pPr>
            <w:r>
              <w:rPr>
                <w:sz w:val="20"/>
                <w:szCs w:val="20"/>
              </w:rPr>
              <w:t>Price index adjustment (%)</w:t>
            </w:r>
          </w:p>
        </w:tc>
        <w:tc>
          <w:tcPr>
            <w:tcW w:w="1440" w:type="dxa"/>
            <w:vAlign w:val="center"/>
          </w:tcPr>
          <w:p w14:paraId="24E96BD3" w14:textId="19879705" w:rsidR="00674531" w:rsidRPr="0090146F" w:rsidRDefault="00674531" w:rsidP="00674531">
            <w:pPr>
              <w:keepNext/>
              <w:keepLines/>
              <w:spacing w:before="20" w:after="20"/>
              <w:ind w:right="342"/>
              <w:jc w:val="right"/>
              <w:rPr>
                <w:sz w:val="20"/>
              </w:rPr>
            </w:pPr>
            <w:r w:rsidRPr="00FF0ABE">
              <w:rPr>
                <w:sz w:val="20"/>
                <w:szCs w:val="20"/>
              </w:rPr>
              <w:t>14.6</w:t>
            </w:r>
            <w:r w:rsidRPr="0090146F">
              <w:rPr>
                <w:sz w:val="20"/>
              </w:rPr>
              <w:t>%</w:t>
            </w:r>
          </w:p>
        </w:tc>
        <w:tc>
          <w:tcPr>
            <w:tcW w:w="4410" w:type="dxa"/>
            <w:vAlign w:val="center"/>
          </w:tcPr>
          <w:p w14:paraId="29DA3E18" w14:textId="77C64401" w:rsidR="00674531" w:rsidRPr="00C116C9" w:rsidRDefault="00A954EE" w:rsidP="00674531">
            <w:pPr>
              <w:keepNext/>
              <w:keepLines/>
              <w:spacing w:before="20" w:after="20"/>
              <w:rPr>
                <w:sz w:val="18"/>
                <w:szCs w:val="18"/>
                <w:highlight w:val="yellow"/>
              </w:rPr>
            </w:pPr>
            <w:r w:rsidRPr="00A954EE">
              <w:rPr>
                <w:sz w:val="18"/>
                <w:szCs w:val="18"/>
              </w:rPr>
              <w:t>RSMeans Historical Cost Index https://www.rsmeansonline.com/references/unit/refpdf/hci.pdf “RSMeans Cost Index.pdf”</w:t>
            </w:r>
          </w:p>
        </w:tc>
      </w:tr>
    </w:tbl>
    <w:p w14:paraId="3449A3CF" w14:textId="77777777" w:rsidR="007D230B" w:rsidRPr="008F4A04" w:rsidRDefault="007D230B" w:rsidP="004142EF"/>
    <w:p w14:paraId="02691007" w14:textId="3C007D4F" w:rsidR="007D230B" w:rsidRPr="008F4A04" w:rsidRDefault="002E5874" w:rsidP="00462BB6">
      <w:pPr>
        <w:pStyle w:val="eTRMHeading3"/>
      </w:pPr>
      <w:bookmarkStart w:id="70" w:name="_Toc486490862"/>
      <w:bookmarkStart w:id="71" w:name="_Toc486580933"/>
      <w:bookmarkStart w:id="72" w:name="_Toc525811645"/>
      <w:bookmarkStart w:id="73" w:name="_Toc6912259"/>
      <w:r w:rsidRPr="008F4A04">
        <w:t xml:space="preserve">Base Case </w:t>
      </w:r>
      <w:r w:rsidR="007D230B" w:rsidRPr="008F4A04">
        <w:t>Labor Cost ($/unit)</w:t>
      </w:r>
      <w:bookmarkEnd w:id="70"/>
      <w:bookmarkEnd w:id="71"/>
      <w:bookmarkEnd w:id="72"/>
      <w:bookmarkEnd w:id="73"/>
    </w:p>
    <w:p w14:paraId="41D62918" w14:textId="2F06B9DA" w:rsidR="008A294D" w:rsidRDefault="008A294D" w:rsidP="008A294D">
      <w:r>
        <w:t xml:space="preserve">The base case is defined as the existing equipment; </w:t>
      </w:r>
      <w:r w:rsidR="00B13777">
        <w:t>thus,</w:t>
      </w:r>
      <w:r>
        <w:t xml:space="preserve"> the base case labor cost is $0.00.</w:t>
      </w:r>
    </w:p>
    <w:p w14:paraId="0CB762B3" w14:textId="77777777" w:rsidR="002E5874" w:rsidRPr="008F4A04" w:rsidRDefault="002E5874" w:rsidP="002E5874"/>
    <w:p w14:paraId="5E89BC5E" w14:textId="22B628A3" w:rsidR="002E5874" w:rsidRPr="008F4A04" w:rsidRDefault="002E5874" w:rsidP="002E5874">
      <w:pPr>
        <w:pStyle w:val="eTRMHeading3"/>
      </w:pPr>
      <w:bookmarkStart w:id="74" w:name="_Toc525811646"/>
      <w:bookmarkStart w:id="75" w:name="_Toc6912260"/>
      <w:r w:rsidRPr="008F4A04">
        <w:t>Measure Case Labor Cost ($/unit)</w:t>
      </w:r>
      <w:bookmarkEnd w:id="74"/>
      <w:bookmarkEnd w:id="75"/>
    </w:p>
    <w:p w14:paraId="5FCE367F" w14:textId="46AD64C9" w:rsidR="007D230B" w:rsidRDefault="00B13777" w:rsidP="004142EF">
      <w:r>
        <w:t xml:space="preserve">See Measure Case Material Cost. </w:t>
      </w:r>
    </w:p>
    <w:p w14:paraId="05004632" w14:textId="77777777" w:rsidR="00B13777" w:rsidRPr="008F4A04" w:rsidRDefault="00B13777" w:rsidP="004142EF"/>
    <w:p w14:paraId="050D9183" w14:textId="7ABF5C13" w:rsidR="007D230B" w:rsidRPr="008F4A04" w:rsidRDefault="004B06E3" w:rsidP="00462BB6">
      <w:pPr>
        <w:pStyle w:val="eTRMHeading3"/>
      </w:pPr>
      <w:bookmarkStart w:id="76" w:name="_Toc486490863"/>
      <w:bookmarkStart w:id="77" w:name="_Toc486580934"/>
      <w:bookmarkStart w:id="78" w:name="_Toc525811647"/>
      <w:bookmarkStart w:id="79" w:name="_Toc6912261"/>
      <w:r w:rsidRPr="008F4A04">
        <w:t>Net-to-Gross</w:t>
      </w:r>
      <w:bookmarkEnd w:id="76"/>
      <w:bookmarkEnd w:id="77"/>
      <w:r w:rsidR="008D4652" w:rsidRPr="008F4A04">
        <w:t xml:space="preserve"> (NTG)</w:t>
      </w:r>
      <w:bookmarkEnd w:id="78"/>
      <w:bookmarkEnd w:id="79"/>
    </w:p>
    <w:p w14:paraId="670F05A1" w14:textId="1AECF525" w:rsidR="00964165" w:rsidRPr="004B06E3" w:rsidRDefault="00A954EE" w:rsidP="00964165">
      <w:r w:rsidRPr="008F4A04">
        <w:t xml:space="preserve">The net-to-gross (NTG) ratio represents the portion of gross impacts that are determined to be directly attributed to a specific program intervention. </w:t>
      </w:r>
      <w:r>
        <w:t>This sector average NTG</w:t>
      </w:r>
      <w:r w:rsidRPr="00AF3038">
        <w:t xml:space="preserve"> (“default NTG”) </w:t>
      </w:r>
      <w:r>
        <w:t>is</w:t>
      </w:r>
      <w:r w:rsidRPr="00AF3038">
        <w:t xml:space="preserve"> applicable </w:t>
      </w:r>
      <w:r>
        <w:t xml:space="preserve">to </w:t>
      </w:r>
      <w:r w:rsidRPr="00AF3038">
        <w:t xml:space="preserve">all energy efficiency measures that have been offered </w:t>
      </w:r>
      <w:r>
        <w:t>through</w:t>
      </w:r>
      <w:r w:rsidRPr="00AF3038">
        <w:t xml:space="preserve"> </w:t>
      </w:r>
      <w:r>
        <w:t>residential</w:t>
      </w:r>
      <w:r w:rsidRPr="00AF3038">
        <w:t xml:space="preserve"> </w:t>
      </w:r>
      <w:r>
        <w:t xml:space="preserve">sector </w:t>
      </w:r>
      <w:r w:rsidRPr="00AF3038">
        <w:t>programs for more than two years and for which impact evaluation results are not available.</w:t>
      </w:r>
      <w:r w:rsidRPr="00765218">
        <w:t> </w:t>
      </w:r>
      <w:r>
        <w:t>Resolution E-4952 provides the DEER2020 updated NTG values for airflow adjustment under the “All Other Residential HVAC Maintenance” measure column of Table 7.</w:t>
      </w:r>
    </w:p>
    <w:p w14:paraId="0D1CEED6" w14:textId="7936579E" w:rsidR="00DE1A0F" w:rsidRPr="008F4A04" w:rsidRDefault="00DE1A0F" w:rsidP="00EA057C">
      <w:pPr>
        <w:pStyle w:val="Caption"/>
      </w:pPr>
      <w:r w:rsidRPr="008F4A04">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875"/>
        <w:gridCol w:w="1170"/>
        <w:gridCol w:w="5490"/>
      </w:tblGrid>
      <w:tr w:rsidR="00AA3E2A" w:rsidRPr="008F4A04" w14:paraId="0D2B92AF" w14:textId="662FBAEE" w:rsidTr="00732238">
        <w:trPr>
          <w:cantSplit/>
          <w:trHeight w:val="20"/>
        </w:trPr>
        <w:tc>
          <w:tcPr>
            <w:tcW w:w="2875" w:type="dxa"/>
            <w:shd w:val="clear" w:color="000000" w:fill="F2F2F2" w:themeFill="background1" w:themeFillShade="F2"/>
            <w:vAlign w:val="bottom"/>
          </w:tcPr>
          <w:p w14:paraId="2A033AD8" w14:textId="3B553F77" w:rsidR="00AA3E2A" w:rsidRPr="008F4A04" w:rsidRDefault="00177EB6" w:rsidP="006D6644">
            <w:pPr>
              <w:keepNext/>
              <w:keepLines/>
              <w:spacing w:before="0" w:after="0" w:line="200" w:lineRule="atLeast"/>
              <w:jc w:val="center"/>
              <w:rPr>
                <w:rFonts w:cs="Arial"/>
                <w:b/>
                <w:color w:val="000000"/>
                <w:sz w:val="20"/>
                <w:szCs w:val="20"/>
              </w:rPr>
            </w:pPr>
            <w:r w:rsidRPr="008F4A04">
              <w:rPr>
                <w:rFonts w:cs="Arial"/>
                <w:b/>
                <w:color w:val="000000"/>
                <w:sz w:val="20"/>
                <w:szCs w:val="20"/>
              </w:rPr>
              <w:t>Parameter</w:t>
            </w:r>
          </w:p>
        </w:tc>
        <w:tc>
          <w:tcPr>
            <w:tcW w:w="1170" w:type="dxa"/>
            <w:shd w:val="clear" w:color="000000" w:fill="F2F2F2" w:themeFill="background1" w:themeFillShade="F2"/>
            <w:vAlign w:val="bottom"/>
          </w:tcPr>
          <w:p w14:paraId="547E5263" w14:textId="4D6989E1" w:rsidR="00AA3E2A" w:rsidRPr="008F4A04" w:rsidRDefault="00177EB6" w:rsidP="006D6644">
            <w:pPr>
              <w:keepNext/>
              <w:keepLines/>
              <w:spacing w:before="0" w:after="0" w:line="200" w:lineRule="atLeast"/>
              <w:jc w:val="center"/>
              <w:rPr>
                <w:rFonts w:cs="Arial"/>
                <w:b/>
                <w:color w:val="000000"/>
                <w:sz w:val="20"/>
                <w:szCs w:val="20"/>
              </w:rPr>
            </w:pPr>
            <w:r w:rsidRPr="008F4A04">
              <w:rPr>
                <w:rFonts w:cs="Arial"/>
                <w:b/>
                <w:color w:val="000000"/>
                <w:sz w:val="20"/>
                <w:szCs w:val="20"/>
              </w:rPr>
              <w:t>Value</w:t>
            </w:r>
          </w:p>
        </w:tc>
        <w:tc>
          <w:tcPr>
            <w:tcW w:w="5490" w:type="dxa"/>
            <w:shd w:val="clear" w:color="000000" w:fill="F2F2F2" w:themeFill="background1" w:themeFillShade="F2"/>
          </w:tcPr>
          <w:p w14:paraId="50233CF6" w14:textId="0C7F65AC" w:rsidR="00AA3E2A" w:rsidRPr="008F4A04" w:rsidRDefault="00AA3E2A" w:rsidP="006D6644">
            <w:pPr>
              <w:keepNext/>
              <w:keepLines/>
              <w:spacing w:before="0" w:after="0" w:line="200" w:lineRule="atLeast"/>
              <w:jc w:val="center"/>
              <w:rPr>
                <w:rFonts w:cs="Arial"/>
                <w:b/>
                <w:color w:val="000000"/>
                <w:sz w:val="20"/>
                <w:szCs w:val="20"/>
              </w:rPr>
            </w:pPr>
            <w:r w:rsidRPr="008F4A04">
              <w:rPr>
                <w:rFonts w:cs="Arial"/>
                <w:b/>
                <w:color w:val="000000"/>
                <w:sz w:val="20"/>
                <w:szCs w:val="20"/>
              </w:rPr>
              <w:t>Source</w:t>
            </w:r>
          </w:p>
        </w:tc>
      </w:tr>
      <w:tr w:rsidR="00A954EE" w:rsidRPr="008F4A04" w14:paraId="682BF062" w14:textId="72E696E9" w:rsidTr="00732238">
        <w:trPr>
          <w:cantSplit/>
          <w:trHeight w:val="20"/>
        </w:trPr>
        <w:tc>
          <w:tcPr>
            <w:tcW w:w="2875" w:type="dxa"/>
            <w:vAlign w:val="center"/>
          </w:tcPr>
          <w:p w14:paraId="5BA6FA92" w14:textId="2738F6D3" w:rsidR="00A954EE" w:rsidRPr="008F4A04" w:rsidRDefault="00A954EE" w:rsidP="00A954EE">
            <w:pPr>
              <w:keepNext/>
              <w:keepLines/>
              <w:spacing w:before="0" w:after="0" w:line="200" w:lineRule="atLeast"/>
              <w:rPr>
                <w:rFonts w:cstheme="minorHAnsi"/>
                <w:sz w:val="20"/>
                <w:szCs w:val="20"/>
              </w:rPr>
            </w:pPr>
            <w:r>
              <w:rPr>
                <w:rFonts w:cs="Arial"/>
                <w:color w:val="000000"/>
                <w:sz w:val="20"/>
                <w:szCs w:val="20"/>
              </w:rPr>
              <w:t>NTG - Res-Default&gt;2</w:t>
            </w:r>
          </w:p>
        </w:tc>
        <w:tc>
          <w:tcPr>
            <w:tcW w:w="1170" w:type="dxa"/>
            <w:shd w:val="clear" w:color="auto" w:fill="auto"/>
            <w:noWrap/>
            <w:vAlign w:val="center"/>
          </w:tcPr>
          <w:p w14:paraId="62F18FF1" w14:textId="4F61B90B" w:rsidR="00A954EE" w:rsidRPr="008F4A04" w:rsidRDefault="00A954EE" w:rsidP="00A954EE">
            <w:pPr>
              <w:keepNext/>
              <w:keepLines/>
              <w:spacing w:before="0" w:after="0" w:line="200" w:lineRule="atLeast"/>
              <w:jc w:val="center"/>
              <w:rPr>
                <w:color w:val="000000"/>
                <w:sz w:val="20"/>
                <w:szCs w:val="20"/>
              </w:rPr>
            </w:pPr>
            <w:r w:rsidRPr="00B37072">
              <w:rPr>
                <w:sz w:val="20"/>
                <w:szCs w:val="20"/>
              </w:rPr>
              <w:t>0.55</w:t>
            </w:r>
          </w:p>
        </w:tc>
        <w:tc>
          <w:tcPr>
            <w:tcW w:w="5490" w:type="dxa"/>
            <w:vAlign w:val="center"/>
          </w:tcPr>
          <w:p w14:paraId="133857EB" w14:textId="20C79849" w:rsidR="00A954EE" w:rsidRPr="008F4A04" w:rsidRDefault="00A954EE" w:rsidP="00A954EE">
            <w:pPr>
              <w:keepNext/>
              <w:keepLines/>
              <w:spacing w:before="0" w:after="0" w:line="200" w:lineRule="atLeast"/>
              <w:rPr>
                <w:color w:val="FF0000"/>
                <w:sz w:val="20"/>
                <w:szCs w:val="20"/>
              </w:rPr>
            </w:pPr>
            <w:r w:rsidRPr="00803BEF">
              <w:rPr>
                <w:sz w:val="18"/>
              </w:rPr>
              <w:t>California Public Utilities Commission (CPUC), Energy Division. 201</w:t>
            </w:r>
            <w:r>
              <w:rPr>
                <w:sz w:val="18"/>
              </w:rPr>
              <w:t xml:space="preserve">8. </w:t>
            </w:r>
            <w:r w:rsidRPr="00B0785C">
              <w:rPr>
                <w:i/>
                <w:sz w:val="18"/>
              </w:rPr>
              <w:t>DEER resolution E-4952</w:t>
            </w:r>
            <w:r>
              <w:rPr>
                <w:i/>
                <w:sz w:val="18"/>
              </w:rPr>
              <w:t xml:space="preserve">. </w:t>
            </w:r>
            <w:r w:rsidRPr="00B0785C">
              <w:rPr>
                <w:sz w:val="18"/>
              </w:rPr>
              <w:t>11 October 2018</w:t>
            </w:r>
            <w:r>
              <w:rPr>
                <w:sz w:val="18"/>
              </w:rPr>
              <w:t>. Table 7</w:t>
            </w:r>
          </w:p>
        </w:tc>
      </w:tr>
    </w:tbl>
    <w:p w14:paraId="6ECC6493" w14:textId="77777777" w:rsidR="007D230B" w:rsidRPr="008F4A04" w:rsidRDefault="007D230B" w:rsidP="004142EF"/>
    <w:p w14:paraId="323B5B02" w14:textId="4C4B13DC" w:rsidR="007D230B" w:rsidRPr="008F4A04" w:rsidRDefault="00D02C36" w:rsidP="00462BB6">
      <w:pPr>
        <w:pStyle w:val="eTRMHeading3"/>
      </w:pPr>
      <w:bookmarkStart w:id="80" w:name="_Toc486490864"/>
      <w:bookmarkStart w:id="81" w:name="_Toc486580935"/>
      <w:bookmarkStart w:id="82" w:name="_Toc525811648"/>
      <w:bookmarkStart w:id="83" w:name="_Toc6912262"/>
      <w:r w:rsidRPr="008F4A04">
        <w:t>Gross Savings Installation Adjustment (</w:t>
      </w:r>
      <w:r w:rsidR="007D230B" w:rsidRPr="008F4A04">
        <w:t>GSIA</w:t>
      </w:r>
      <w:bookmarkEnd w:id="80"/>
      <w:bookmarkEnd w:id="81"/>
      <w:r w:rsidRPr="008F4A04">
        <w:t>)</w:t>
      </w:r>
      <w:bookmarkEnd w:id="82"/>
      <w:bookmarkEnd w:id="83"/>
    </w:p>
    <w:p w14:paraId="4A9402D4" w14:textId="0C6AFD4B" w:rsidR="0082241E" w:rsidRPr="008F4A04" w:rsidRDefault="00AA3E2A" w:rsidP="0006424B">
      <w:r w:rsidRPr="008F4A04">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06424B">
        <w:t>The specified GSIA is in conformance to the installation rate specified by the California Public Utilities Commission (CPUC) Energy Division in the “Workpaper Disposition for Residential HVAC Quality Maintenance” issued in May 2013.</w:t>
      </w:r>
    </w:p>
    <w:p w14:paraId="022915CE" w14:textId="4D8D7AD0" w:rsidR="00DE1A0F" w:rsidRPr="008F4A04" w:rsidRDefault="002F78E9" w:rsidP="00EA057C">
      <w:pPr>
        <w:pStyle w:val="Caption"/>
      </w:pPr>
      <w:r w:rsidRPr="008F4A04">
        <w:t>Gross Savings Installation Adjustment Rates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326"/>
        <w:gridCol w:w="1171"/>
        <w:gridCol w:w="5038"/>
      </w:tblGrid>
      <w:tr w:rsidR="00AA3E2A" w:rsidRPr="008F4A04" w14:paraId="60BDA2BB" w14:textId="744FC0FC" w:rsidTr="00732238">
        <w:trPr>
          <w:cantSplit/>
          <w:trHeight w:val="206"/>
        </w:trPr>
        <w:tc>
          <w:tcPr>
            <w:tcW w:w="1744" w:type="pct"/>
            <w:shd w:val="clear" w:color="000000" w:fill="F2F2F2" w:themeFill="background1" w:themeFillShade="F2"/>
            <w:vAlign w:val="bottom"/>
          </w:tcPr>
          <w:p w14:paraId="7D363CC0" w14:textId="709302B7" w:rsidR="00AA3E2A" w:rsidRPr="008F4A04" w:rsidRDefault="00177EB6" w:rsidP="00BA3D7D">
            <w:pPr>
              <w:spacing w:before="0" w:after="0" w:line="200" w:lineRule="atLeast"/>
              <w:jc w:val="center"/>
              <w:rPr>
                <w:rFonts w:cs="Arial"/>
                <w:b/>
                <w:color w:val="000000"/>
                <w:sz w:val="20"/>
                <w:szCs w:val="20"/>
              </w:rPr>
            </w:pPr>
            <w:r w:rsidRPr="008F4A04">
              <w:rPr>
                <w:rFonts w:cs="Arial"/>
                <w:b/>
                <w:color w:val="000000"/>
                <w:sz w:val="20"/>
                <w:szCs w:val="20"/>
              </w:rPr>
              <w:t>Parameter</w:t>
            </w:r>
          </w:p>
        </w:tc>
        <w:tc>
          <w:tcPr>
            <w:tcW w:w="614" w:type="pct"/>
            <w:shd w:val="clear" w:color="000000" w:fill="F2F2F2" w:themeFill="background1" w:themeFillShade="F2"/>
            <w:vAlign w:val="center"/>
          </w:tcPr>
          <w:p w14:paraId="2A1AC9D4" w14:textId="350EDC90" w:rsidR="00AA3E2A" w:rsidRPr="008F4A04" w:rsidRDefault="0082241E" w:rsidP="006D6644">
            <w:pPr>
              <w:spacing w:before="0" w:after="0" w:line="200" w:lineRule="atLeast"/>
              <w:jc w:val="center"/>
              <w:rPr>
                <w:rFonts w:cs="Arial"/>
                <w:b/>
                <w:color w:val="000000"/>
                <w:sz w:val="20"/>
                <w:szCs w:val="20"/>
              </w:rPr>
            </w:pPr>
            <w:r w:rsidRPr="008F4A04">
              <w:rPr>
                <w:rFonts w:cs="Arial"/>
                <w:b/>
                <w:sz w:val="20"/>
                <w:szCs w:val="20"/>
              </w:rPr>
              <w:t>Value</w:t>
            </w:r>
          </w:p>
        </w:tc>
        <w:tc>
          <w:tcPr>
            <w:tcW w:w="2643" w:type="pct"/>
            <w:shd w:val="clear" w:color="000000" w:fill="F2F2F2" w:themeFill="background1" w:themeFillShade="F2"/>
          </w:tcPr>
          <w:p w14:paraId="32AB7FEE" w14:textId="77936D4E" w:rsidR="00AA3E2A" w:rsidRPr="008F4A04" w:rsidRDefault="00AA3E2A" w:rsidP="006D6644">
            <w:pPr>
              <w:spacing w:before="0" w:after="0" w:line="200" w:lineRule="atLeast"/>
              <w:jc w:val="center"/>
              <w:rPr>
                <w:rFonts w:cs="Arial"/>
                <w:b/>
                <w:sz w:val="20"/>
                <w:szCs w:val="20"/>
              </w:rPr>
            </w:pPr>
            <w:r w:rsidRPr="008F4A04">
              <w:rPr>
                <w:rFonts w:cs="Arial"/>
                <w:b/>
                <w:sz w:val="20"/>
                <w:szCs w:val="20"/>
              </w:rPr>
              <w:t>Source</w:t>
            </w:r>
          </w:p>
        </w:tc>
      </w:tr>
      <w:tr w:rsidR="0082241E" w:rsidRPr="008F4A04" w14:paraId="2209CD52" w14:textId="78579504" w:rsidTr="00732238">
        <w:trPr>
          <w:cantSplit/>
          <w:trHeight w:val="20"/>
        </w:trPr>
        <w:tc>
          <w:tcPr>
            <w:tcW w:w="1744" w:type="pct"/>
            <w:vAlign w:val="center"/>
          </w:tcPr>
          <w:p w14:paraId="6618BC2B" w14:textId="3CFC53B7" w:rsidR="0082241E" w:rsidRPr="008F4A04" w:rsidRDefault="0082241E" w:rsidP="00951869">
            <w:pPr>
              <w:spacing w:before="0" w:after="0" w:line="200" w:lineRule="atLeast"/>
              <w:rPr>
                <w:rFonts w:cstheme="minorHAnsi"/>
                <w:sz w:val="20"/>
                <w:szCs w:val="20"/>
              </w:rPr>
            </w:pPr>
            <w:r w:rsidRPr="008F4A04">
              <w:rPr>
                <w:rFonts w:cstheme="minorHAnsi"/>
                <w:sz w:val="20"/>
                <w:szCs w:val="20"/>
              </w:rPr>
              <w:t xml:space="preserve">GSIA </w:t>
            </w:r>
            <w:r w:rsidR="00732238">
              <w:rPr>
                <w:rFonts w:cstheme="minorHAnsi"/>
                <w:sz w:val="20"/>
                <w:szCs w:val="20"/>
              </w:rPr>
              <w:t>– Residential Refrigerant Charge &amp; Air</w:t>
            </w:r>
            <w:r w:rsidR="00CC49EF">
              <w:rPr>
                <w:rFonts w:cstheme="minorHAnsi"/>
                <w:sz w:val="20"/>
                <w:szCs w:val="20"/>
              </w:rPr>
              <w:t xml:space="preserve"> F</w:t>
            </w:r>
            <w:r w:rsidR="00732238">
              <w:rPr>
                <w:rFonts w:cstheme="minorHAnsi"/>
                <w:sz w:val="20"/>
                <w:szCs w:val="20"/>
              </w:rPr>
              <w:t>low Adjustment</w:t>
            </w:r>
          </w:p>
        </w:tc>
        <w:tc>
          <w:tcPr>
            <w:tcW w:w="614" w:type="pct"/>
            <w:vAlign w:val="center"/>
          </w:tcPr>
          <w:p w14:paraId="6D1D8F27" w14:textId="54E6C0A6" w:rsidR="0082241E" w:rsidRPr="008F4A04" w:rsidRDefault="00732238" w:rsidP="00D86E56">
            <w:pPr>
              <w:spacing w:before="0" w:after="0" w:line="200" w:lineRule="atLeast"/>
              <w:jc w:val="center"/>
              <w:rPr>
                <w:color w:val="000000"/>
                <w:sz w:val="20"/>
                <w:szCs w:val="20"/>
              </w:rPr>
            </w:pPr>
            <w:r w:rsidRPr="00301B36">
              <w:rPr>
                <w:sz w:val="20"/>
              </w:rPr>
              <w:t>0.568</w:t>
            </w:r>
          </w:p>
        </w:tc>
        <w:tc>
          <w:tcPr>
            <w:tcW w:w="2643" w:type="pct"/>
            <w:vAlign w:val="center"/>
          </w:tcPr>
          <w:p w14:paraId="52FCA633" w14:textId="596B0E49" w:rsidR="0006424B" w:rsidRPr="00817F4E" w:rsidRDefault="007B05B8" w:rsidP="00951869">
            <w:pPr>
              <w:spacing w:before="0" w:after="0" w:line="200" w:lineRule="atLeast"/>
              <w:rPr>
                <w:color w:val="FF0000"/>
                <w:sz w:val="18"/>
                <w:szCs w:val="18"/>
              </w:rPr>
            </w:pPr>
            <w:r>
              <w:rPr>
                <w:sz w:val="18"/>
                <w:szCs w:val="18"/>
              </w:rPr>
              <w:t>GSIA ID: “Res-RAC-All:</w:t>
            </w:r>
            <w:r>
              <w:rPr>
                <w:sz w:val="18"/>
                <w:szCs w:val="18"/>
              </w:rPr>
              <w:br/>
            </w:r>
            <w:r w:rsidR="0006424B" w:rsidRPr="00817F4E">
              <w:rPr>
                <w:sz w:val="18"/>
                <w:szCs w:val="18"/>
              </w:rPr>
              <w:t>California Public Utilities Commission (CPUC), Energy Division</w:t>
            </w:r>
            <w:r w:rsidR="00612C66">
              <w:rPr>
                <w:sz w:val="18"/>
                <w:szCs w:val="18"/>
              </w:rPr>
              <w:t>, Ex Ante Review Team</w:t>
            </w:r>
            <w:r w:rsidR="0006424B" w:rsidRPr="00817F4E">
              <w:rPr>
                <w:sz w:val="18"/>
                <w:szCs w:val="18"/>
              </w:rPr>
              <w:t xml:space="preserve">. 2013. “Workpaper Disposition for Residential HVAC Quality Maintenance.” May 2. Page </w:t>
            </w:r>
            <w:r w:rsidR="00817F4E" w:rsidRPr="00817F4E">
              <w:rPr>
                <w:sz w:val="18"/>
                <w:szCs w:val="18"/>
              </w:rPr>
              <w:t>7</w:t>
            </w:r>
            <w:r w:rsidR="0006424B" w:rsidRPr="00817F4E">
              <w:rPr>
                <w:sz w:val="18"/>
                <w:szCs w:val="18"/>
              </w:rPr>
              <w:t>.</w:t>
            </w:r>
          </w:p>
        </w:tc>
      </w:tr>
    </w:tbl>
    <w:p w14:paraId="08395124" w14:textId="77777777" w:rsidR="00DE1A0F" w:rsidRPr="008F4A04" w:rsidRDefault="00DE1A0F" w:rsidP="00DE1A0F">
      <w:pPr>
        <w:rPr>
          <w:rFonts w:cs="Arial"/>
          <w:sz w:val="20"/>
          <w:szCs w:val="20"/>
        </w:rPr>
      </w:pPr>
    </w:p>
    <w:p w14:paraId="498C05E5" w14:textId="232D8547" w:rsidR="002C67DF" w:rsidRPr="008F4A04" w:rsidRDefault="002C67DF" w:rsidP="00462BB6">
      <w:pPr>
        <w:pStyle w:val="eTRMHeading3"/>
      </w:pPr>
      <w:bookmarkStart w:id="84" w:name="_Toc486490865"/>
      <w:bookmarkStart w:id="85" w:name="_Toc486580936"/>
      <w:bookmarkStart w:id="86" w:name="_Toc525811649"/>
      <w:bookmarkStart w:id="87" w:name="_Toc6912263"/>
      <w:r w:rsidRPr="008F4A04">
        <w:t xml:space="preserve">Non-Energy </w:t>
      </w:r>
      <w:bookmarkEnd w:id="84"/>
      <w:bookmarkEnd w:id="85"/>
      <w:r w:rsidR="00DA6B7E" w:rsidRPr="008F4A04">
        <w:t>Impacts</w:t>
      </w:r>
      <w:bookmarkEnd w:id="86"/>
      <w:bookmarkEnd w:id="87"/>
    </w:p>
    <w:p w14:paraId="0D73FC70" w14:textId="27339D17" w:rsidR="00697A88" w:rsidRPr="008F4A04" w:rsidRDefault="00697A88" w:rsidP="00697A88">
      <w:pPr>
        <w:rPr>
          <w:rFonts w:cs="Arial"/>
          <w:szCs w:val="20"/>
        </w:rPr>
      </w:pPr>
      <w:r w:rsidRPr="008F4A04">
        <w:rPr>
          <w:rFonts w:cs="Arial"/>
          <w:szCs w:val="20"/>
        </w:rPr>
        <w:t xml:space="preserve">Non-energy benefits for this measure have not been </w:t>
      </w:r>
      <w:r w:rsidR="009D7F4D" w:rsidRPr="008F4A04">
        <w:rPr>
          <w:rFonts w:cs="Arial"/>
          <w:szCs w:val="20"/>
        </w:rPr>
        <w:t>quantified</w:t>
      </w:r>
      <w:r w:rsidRPr="008F4A04">
        <w:rPr>
          <w:rFonts w:cs="Arial"/>
          <w:szCs w:val="20"/>
        </w:rPr>
        <w:t>.</w:t>
      </w:r>
    </w:p>
    <w:p w14:paraId="0C37F289" w14:textId="77777777" w:rsidR="00697A88" w:rsidRPr="008F4A04" w:rsidRDefault="00697A88" w:rsidP="004142EF"/>
    <w:p w14:paraId="7D8551BB" w14:textId="760F7D39" w:rsidR="009C31A4" w:rsidRPr="008F4A04" w:rsidRDefault="009C31A4" w:rsidP="00462BB6">
      <w:pPr>
        <w:pStyle w:val="eTRMHeading3"/>
      </w:pPr>
      <w:bookmarkStart w:id="88" w:name="_Toc525811650"/>
      <w:bookmarkStart w:id="89" w:name="_Toc6912264"/>
      <w:r w:rsidRPr="008F4A04">
        <w:t>DEER Differences Analysis</w:t>
      </w:r>
      <w:bookmarkEnd w:id="88"/>
      <w:bookmarkEnd w:id="89"/>
    </w:p>
    <w:p w14:paraId="575E579E" w14:textId="53238BDE" w:rsidR="002C67DF" w:rsidRDefault="003F21D2" w:rsidP="004142EF">
      <w:r w:rsidRPr="008F4A04">
        <w:t>This section provides a summary of DEER-based inputs and methods, and the rationale for inputs and methods that are not DEER-based.</w:t>
      </w:r>
    </w:p>
    <w:p w14:paraId="0DFDE906" w14:textId="0F6C87F4" w:rsidR="002B5CAA" w:rsidRDefault="00A954EE" w:rsidP="002B5CAA">
      <w:bookmarkStart w:id="90" w:name="_Hlk6559047"/>
      <w:r>
        <w:rPr>
          <w:rFonts w:cstheme="minorHAnsi"/>
          <w:szCs w:val="22"/>
        </w:rPr>
        <w:t xml:space="preserve">DEER2020 </w:t>
      </w:r>
      <w:r w:rsidR="002B5CAA" w:rsidRPr="003863BE">
        <w:rPr>
          <w:rFonts w:cstheme="minorHAnsi"/>
          <w:szCs w:val="22"/>
        </w:rPr>
        <w:t xml:space="preserve">contains </w:t>
      </w:r>
      <w:r w:rsidR="002B5CAA">
        <w:rPr>
          <w:rFonts w:cstheme="minorHAnsi"/>
          <w:szCs w:val="22"/>
        </w:rPr>
        <w:t>quality maintenance (</w:t>
      </w:r>
      <w:r w:rsidR="002B5CAA" w:rsidRPr="003863BE">
        <w:rPr>
          <w:rFonts w:cstheme="minorHAnsi"/>
          <w:szCs w:val="22"/>
        </w:rPr>
        <w:t>QM</w:t>
      </w:r>
      <w:r w:rsidR="002B5CAA">
        <w:rPr>
          <w:rFonts w:cstheme="minorHAnsi"/>
          <w:szCs w:val="22"/>
        </w:rPr>
        <w:t>)</w:t>
      </w:r>
      <w:r w:rsidR="002B5CAA" w:rsidRPr="003863BE">
        <w:rPr>
          <w:rFonts w:cstheme="minorHAnsi"/>
          <w:szCs w:val="22"/>
        </w:rPr>
        <w:t xml:space="preserve"> treatments as standalone measures</w:t>
      </w:r>
      <w:r w:rsidR="002B5CAA">
        <w:rPr>
          <w:rFonts w:cstheme="minorHAnsi"/>
          <w:szCs w:val="22"/>
        </w:rPr>
        <w:t>,</w:t>
      </w:r>
      <w:r w:rsidR="002B5CAA" w:rsidRPr="003863BE">
        <w:rPr>
          <w:rFonts w:cstheme="minorHAnsi"/>
          <w:szCs w:val="22"/>
        </w:rPr>
        <w:t xml:space="preserve"> with the assumption that all other features of the prototype</w:t>
      </w:r>
      <w:r w:rsidR="002B5CAA">
        <w:rPr>
          <w:rFonts w:cstheme="minorHAnsi"/>
          <w:szCs w:val="22"/>
        </w:rPr>
        <w:t xml:space="preserve"> are</w:t>
      </w:r>
      <w:r w:rsidR="002B5CAA" w:rsidRPr="003863BE">
        <w:rPr>
          <w:rFonts w:cstheme="minorHAnsi"/>
          <w:szCs w:val="22"/>
        </w:rPr>
        <w:t xml:space="preserve"> held constant at an energy efficient baseline</w:t>
      </w:r>
      <w:r w:rsidR="002B5CAA">
        <w:rPr>
          <w:rFonts w:cstheme="minorHAnsi"/>
          <w:szCs w:val="22"/>
        </w:rPr>
        <w:t>; the standalone measures are:</w:t>
      </w:r>
      <w:r w:rsidR="002B5CAA" w:rsidRPr="0076798C">
        <w:rPr>
          <w:rFonts w:cstheme="minorHAnsi"/>
          <w:szCs w:val="22"/>
        </w:rPr>
        <w:t xml:space="preserve"> </w:t>
      </w:r>
      <w:r w:rsidR="002B5CAA" w:rsidRPr="003863BE">
        <w:rPr>
          <w:rFonts w:cstheme="minorHAnsi"/>
          <w:szCs w:val="22"/>
        </w:rPr>
        <w:t>refrigerant charge and adjustment, duct sealing, refrigerant charge with duct sealing, and condenser</w:t>
      </w:r>
      <w:r w:rsidR="005A2688">
        <w:rPr>
          <w:rFonts w:cstheme="minorHAnsi"/>
          <w:szCs w:val="22"/>
        </w:rPr>
        <w:t xml:space="preserve"> and evaporator</w:t>
      </w:r>
      <w:r w:rsidR="002B5CAA" w:rsidRPr="003863BE">
        <w:rPr>
          <w:rFonts w:cstheme="minorHAnsi"/>
          <w:szCs w:val="22"/>
        </w:rPr>
        <w:t xml:space="preserve"> coil cleaning.</w:t>
      </w:r>
      <w:r w:rsidR="002B5CAA">
        <w:rPr>
          <w:rFonts w:cstheme="minorHAnsi"/>
          <w:szCs w:val="22"/>
        </w:rPr>
        <w:t xml:space="preserve"> All measure impacts are adopted directly from referenced DEER versi</w:t>
      </w:r>
      <w:r>
        <w:rPr>
          <w:rFonts w:cstheme="minorHAnsi"/>
          <w:szCs w:val="22"/>
        </w:rPr>
        <w:t>on.</w:t>
      </w:r>
      <w:r w:rsidR="002B5CAA">
        <w:rPr>
          <w:rFonts w:cstheme="minorHAnsi"/>
          <w:szCs w:val="22"/>
        </w:rPr>
        <w:t xml:space="preserve">  </w:t>
      </w:r>
    </w:p>
    <w:bookmarkEnd w:id="90"/>
    <w:p w14:paraId="756C62FB" w14:textId="615AAC71" w:rsidR="00EA057C" w:rsidRPr="008F4A04" w:rsidRDefault="00EA057C" w:rsidP="00EA057C">
      <w:pPr>
        <w:pStyle w:val="Caption"/>
      </w:pPr>
      <w:r w:rsidRPr="008F4A04">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8F4A04" w14:paraId="59D017C8" w14:textId="77777777" w:rsidTr="00EA057C">
        <w:trPr>
          <w:trHeight w:val="20"/>
        </w:trPr>
        <w:tc>
          <w:tcPr>
            <w:tcW w:w="1730" w:type="pct"/>
            <w:shd w:val="clear" w:color="auto" w:fill="F2F2F2" w:themeFill="background1" w:themeFillShade="F2"/>
          </w:tcPr>
          <w:p w14:paraId="5A1E2CE5" w14:textId="77777777" w:rsidR="00EA057C" w:rsidRPr="008F4A04" w:rsidRDefault="00EA057C" w:rsidP="00EA057C">
            <w:pPr>
              <w:keepNext/>
              <w:keepLines/>
              <w:tabs>
                <w:tab w:val="right" w:pos="2957"/>
              </w:tabs>
              <w:spacing w:before="20" w:after="20"/>
              <w:rPr>
                <w:rFonts w:cs="Arial"/>
                <w:b/>
                <w:sz w:val="20"/>
                <w:szCs w:val="20"/>
              </w:rPr>
            </w:pPr>
            <w:r w:rsidRPr="008F4A04">
              <w:rPr>
                <w:rFonts w:cs="Arial"/>
                <w:b/>
                <w:sz w:val="20"/>
                <w:szCs w:val="20"/>
              </w:rPr>
              <w:t>DEER Item</w:t>
            </w:r>
          </w:p>
        </w:tc>
        <w:tc>
          <w:tcPr>
            <w:tcW w:w="3270" w:type="pct"/>
            <w:shd w:val="clear" w:color="auto" w:fill="F2F2F2" w:themeFill="background1" w:themeFillShade="F2"/>
          </w:tcPr>
          <w:p w14:paraId="52AD34D1" w14:textId="0CFF441B" w:rsidR="00EA057C" w:rsidRPr="008F4A04" w:rsidRDefault="00EA057C" w:rsidP="00EA057C">
            <w:pPr>
              <w:keepNext/>
              <w:keepLines/>
              <w:spacing w:before="20" w:after="20"/>
              <w:rPr>
                <w:rFonts w:cs="Arial"/>
                <w:b/>
                <w:sz w:val="20"/>
                <w:szCs w:val="20"/>
              </w:rPr>
            </w:pPr>
            <w:r w:rsidRPr="008F4A04">
              <w:rPr>
                <w:rFonts w:cs="Arial"/>
                <w:b/>
                <w:sz w:val="20"/>
                <w:szCs w:val="20"/>
              </w:rPr>
              <w:t>Comment / Used for Workpaper</w:t>
            </w:r>
          </w:p>
        </w:tc>
      </w:tr>
      <w:tr w:rsidR="002B5CAA" w:rsidRPr="008F4A04" w14:paraId="33003020" w14:textId="77777777" w:rsidTr="00EA057C">
        <w:trPr>
          <w:trHeight w:val="20"/>
        </w:trPr>
        <w:tc>
          <w:tcPr>
            <w:tcW w:w="1730" w:type="pct"/>
          </w:tcPr>
          <w:p w14:paraId="1F2D360A" w14:textId="77777777" w:rsidR="002B5CAA" w:rsidRPr="008F4A04" w:rsidRDefault="002B5CAA" w:rsidP="002B5CAA">
            <w:pPr>
              <w:keepNext/>
              <w:keepLines/>
              <w:spacing w:before="20" w:after="20"/>
              <w:rPr>
                <w:rFonts w:cs="Arial"/>
                <w:sz w:val="20"/>
                <w:szCs w:val="20"/>
              </w:rPr>
            </w:pPr>
            <w:r w:rsidRPr="008F4A04">
              <w:rPr>
                <w:rFonts w:cs="Arial"/>
                <w:sz w:val="20"/>
                <w:szCs w:val="20"/>
              </w:rPr>
              <w:t>Modified DEER methodology</w:t>
            </w:r>
          </w:p>
        </w:tc>
        <w:tc>
          <w:tcPr>
            <w:tcW w:w="3270" w:type="pct"/>
          </w:tcPr>
          <w:p w14:paraId="247EE411" w14:textId="15075878" w:rsidR="002B5CAA" w:rsidRPr="00301B36" w:rsidRDefault="00735119" w:rsidP="002B5CAA">
            <w:pPr>
              <w:keepNext/>
              <w:keepLines/>
              <w:spacing w:before="20" w:after="20"/>
              <w:rPr>
                <w:b/>
                <w:sz w:val="20"/>
              </w:rPr>
            </w:pPr>
            <w:r w:rsidRPr="00CD08C4">
              <w:rPr>
                <w:rFonts w:cs="Arial"/>
                <w:sz w:val="20"/>
                <w:szCs w:val="20"/>
              </w:rPr>
              <w:t>No</w:t>
            </w:r>
          </w:p>
        </w:tc>
      </w:tr>
      <w:tr w:rsidR="002B5CAA" w:rsidRPr="008F4A04" w14:paraId="507422EA" w14:textId="77777777" w:rsidTr="00EA057C">
        <w:trPr>
          <w:trHeight w:val="20"/>
        </w:trPr>
        <w:tc>
          <w:tcPr>
            <w:tcW w:w="1730" w:type="pct"/>
          </w:tcPr>
          <w:p w14:paraId="29430E33" w14:textId="77777777" w:rsidR="002B5CAA" w:rsidRPr="008F4A04" w:rsidRDefault="002B5CAA" w:rsidP="002B5CAA">
            <w:pPr>
              <w:keepNext/>
              <w:keepLines/>
              <w:spacing w:before="20" w:after="20"/>
              <w:rPr>
                <w:rFonts w:cs="Arial"/>
                <w:sz w:val="20"/>
                <w:szCs w:val="20"/>
              </w:rPr>
            </w:pPr>
            <w:r w:rsidRPr="008F4A04">
              <w:rPr>
                <w:rFonts w:cs="Arial"/>
                <w:sz w:val="20"/>
                <w:szCs w:val="20"/>
              </w:rPr>
              <w:t>Scaled DEER measure</w:t>
            </w:r>
          </w:p>
        </w:tc>
        <w:tc>
          <w:tcPr>
            <w:tcW w:w="3270" w:type="pct"/>
          </w:tcPr>
          <w:p w14:paraId="0C847473" w14:textId="55D9C03F" w:rsidR="002B5CAA" w:rsidRPr="00301B36" w:rsidRDefault="00735119" w:rsidP="002B5CAA">
            <w:pPr>
              <w:keepNext/>
              <w:keepLines/>
              <w:spacing w:before="20" w:after="20"/>
              <w:rPr>
                <w:sz w:val="20"/>
              </w:rPr>
            </w:pPr>
            <w:r w:rsidRPr="00CD08C4">
              <w:rPr>
                <w:rFonts w:cs="Arial"/>
                <w:sz w:val="20"/>
                <w:szCs w:val="20"/>
              </w:rPr>
              <w:t>No</w:t>
            </w:r>
          </w:p>
        </w:tc>
      </w:tr>
      <w:tr w:rsidR="002B5CAA" w:rsidRPr="008F4A04" w14:paraId="335CDE40" w14:textId="77777777" w:rsidTr="00EA057C">
        <w:trPr>
          <w:trHeight w:val="20"/>
        </w:trPr>
        <w:tc>
          <w:tcPr>
            <w:tcW w:w="1730" w:type="pct"/>
          </w:tcPr>
          <w:p w14:paraId="126C3B42" w14:textId="77777777" w:rsidR="002B5CAA" w:rsidRPr="008F4A04" w:rsidRDefault="002B5CAA" w:rsidP="002B5CAA">
            <w:pPr>
              <w:keepNext/>
              <w:keepLines/>
              <w:spacing w:before="20" w:after="20"/>
              <w:rPr>
                <w:rFonts w:cs="Arial"/>
                <w:sz w:val="20"/>
                <w:szCs w:val="20"/>
              </w:rPr>
            </w:pPr>
            <w:r w:rsidRPr="008F4A04">
              <w:rPr>
                <w:rFonts w:cs="Arial"/>
                <w:sz w:val="20"/>
                <w:szCs w:val="20"/>
              </w:rPr>
              <w:t>DEER Base Case</w:t>
            </w:r>
          </w:p>
        </w:tc>
        <w:tc>
          <w:tcPr>
            <w:tcW w:w="3270" w:type="pct"/>
          </w:tcPr>
          <w:p w14:paraId="5D2A1B0E" w14:textId="1E74D831" w:rsidR="002B5CAA" w:rsidRPr="00301B36" w:rsidRDefault="002B5CAA" w:rsidP="002B5CAA">
            <w:pPr>
              <w:keepNext/>
              <w:keepLines/>
              <w:spacing w:before="20" w:after="20"/>
              <w:rPr>
                <w:sz w:val="20"/>
              </w:rPr>
            </w:pPr>
            <w:r w:rsidRPr="00301B36">
              <w:rPr>
                <w:sz w:val="20"/>
              </w:rPr>
              <w:t xml:space="preserve">Yes </w:t>
            </w:r>
          </w:p>
        </w:tc>
      </w:tr>
      <w:tr w:rsidR="002B5CAA" w:rsidRPr="008F4A04" w14:paraId="1F8399E1" w14:textId="77777777" w:rsidTr="00EA057C">
        <w:trPr>
          <w:trHeight w:val="20"/>
        </w:trPr>
        <w:tc>
          <w:tcPr>
            <w:tcW w:w="1730" w:type="pct"/>
          </w:tcPr>
          <w:p w14:paraId="0CC701E3" w14:textId="77777777" w:rsidR="002B5CAA" w:rsidRPr="008F4A04" w:rsidRDefault="002B5CAA" w:rsidP="002B5CAA">
            <w:pPr>
              <w:keepNext/>
              <w:keepLines/>
              <w:spacing w:before="20" w:after="20"/>
              <w:rPr>
                <w:rFonts w:cs="Arial"/>
                <w:sz w:val="20"/>
                <w:szCs w:val="20"/>
              </w:rPr>
            </w:pPr>
            <w:r w:rsidRPr="008F4A04">
              <w:rPr>
                <w:rFonts w:cs="Arial"/>
                <w:sz w:val="20"/>
                <w:szCs w:val="20"/>
              </w:rPr>
              <w:t>DEER Measure Case</w:t>
            </w:r>
          </w:p>
        </w:tc>
        <w:tc>
          <w:tcPr>
            <w:tcW w:w="3270" w:type="pct"/>
          </w:tcPr>
          <w:p w14:paraId="49A023A0" w14:textId="039692DE" w:rsidR="002B5CAA" w:rsidRPr="00301B36" w:rsidRDefault="002B5CAA" w:rsidP="002B5CAA">
            <w:pPr>
              <w:keepNext/>
              <w:keepLines/>
              <w:spacing w:before="20" w:after="20"/>
              <w:rPr>
                <w:sz w:val="20"/>
              </w:rPr>
            </w:pPr>
            <w:r w:rsidRPr="00301B36">
              <w:rPr>
                <w:sz w:val="20"/>
              </w:rPr>
              <w:t xml:space="preserve">Yes </w:t>
            </w:r>
          </w:p>
        </w:tc>
      </w:tr>
      <w:tr w:rsidR="002B5CAA" w:rsidRPr="008F4A04" w14:paraId="663742C6" w14:textId="77777777" w:rsidTr="00EA057C">
        <w:trPr>
          <w:trHeight w:val="20"/>
        </w:trPr>
        <w:tc>
          <w:tcPr>
            <w:tcW w:w="1730" w:type="pct"/>
          </w:tcPr>
          <w:p w14:paraId="16B2FDAB" w14:textId="77777777" w:rsidR="002B5CAA" w:rsidRPr="008F4A04" w:rsidRDefault="002B5CAA" w:rsidP="002B5CAA">
            <w:pPr>
              <w:keepNext/>
              <w:keepLines/>
              <w:spacing w:before="20" w:after="20"/>
              <w:rPr>
                <w:rFonts w:cs="Arial"/>
                <w:sz w:val="20"/>
                <w:szCs w:val="20"/>
              </w:rPr>
            </w:pPr>
            <w:r w:rsidRPr="008F4A04">
              <w:rPr>
                <w:rFonts w:cs="Arial"/>
                <w:sz w:val="20"/>
                <w:szCs w:val="20"/>
              </w:rPr>
              <w:t>DEER Building Types</w:t>
            </w:r>
          </w:p>
        </w:tc>
        <w:tc>
          <w:tcPr>
            <w:tcW w:w="3270" w:type="pct"/>
          </w:tcPr>
          <w:p w14:paraId="6BBA540C" w14:textId="428CF191" w:rsidR="002B5CAA" w:rsidRPr="00301B36" w:rsidRDefault="002B5CAA" w:rsidP="002B5CAA">
            <w:pPr>
              <w:keepNext/>
              <w:keepLines/>
              <w:spacing w:before="20" w:after="20"/>
              <w:rPr>
                <w:sz w:val="20"/>
              </w:rPr>
            </w:pPr>
            <w:r w:rsidRPr="00301B36">
              <w:rPr>
                <w:sz w:val="20"/>
              </w:rPr>
              <w:t xml:space="preserve">Yes </w:t>
            </w:r>
          </w:p>
        </w:tc>
      </w:tr>
      <w:tr w:rsidR="002B5CAA" w:rsidRPr="008F4A04" w14:paraId="424F1325" w14:textId="77777777" w:rsidTr="00EA057C">
        <w:trPr>
          <w:trHeight w:val="20"/>
        </w:trPr>
        <w:tc>
          <w:tcPr>
            <w:tcW w:w="1730" w:type="pct"/>
          </w:tcPr>
          <w:p w14:paraId="71098DDA" w14:textId="77777777" w:rsidR="002B5CAA" w:rsidRPr="008F4A04" w:rsidRDefault="002B5CAA" w:rsidP="002B5CAA">
            <w:pPr>
              <w:keepNext/>
              <w:keepLines/>
              <w:spacing w:before="20" w:after="20"/>
              <w:rPr>
                <w:rFonts w:cs="Arial"/>
                <w:sz w:val="20"/>
                <w:szCs w:val="20"/>
              </w:rPr>
            </w:pPr>
            <w:r w:rsidRPr="008F4A04">
              <w:rPr>
                <w:rFonts w:cs="Arial"/>
                <w:sz w:val="20"/>
                <w:szCs w:val="20"/>
              </w:rPr>
              <w:t>DEER Operating Hours</w:t>
            </w:r>
          </w:p>
        </w:tc>
        <w:tc>
          <w:tcPr>
            <w:tcW w:w="3270" w:type="pct"/>
          </w:tcPr>
          <w:p w14:paraId="1693E1EE" w14:textId="341C13E1" w:rsidR="002B5CAA" w:rsidRPr="00301B36" w:rsidRDefault="002B5CAA" w:rsidP="002B5CAA">
            <w:pPr>
              <w:keepNext/>
              <w:keepLines/>
              <w:spacing w:before="20" w:after="20"/>
              <w:rPr>
                <w:sz w:val="20"/>
              </w:rPr>
            </w:pPr>
            <w:r w:rsidRPr="00301B36">
              <w:rPr>
                <w:sz w:val="20"/>
              </w:rPr>
              <w:t xml:space="preserve">Yes </w:t>
            </w:r>
          </w:p>
        </w:tc>
      </w:tr>
      <w:tr w:rsidR="002B5CAA" w:rsidRPr="008F4A04" w14:paraId="0B93AD47" w14:textId="77777777" w:rsidTr="00EA057C">
        <w:trPr>
          <w:trHeight w:val="20"/>
        </w:trPr>
        <w:tc>
          <w:tcPr>
            <w:tcW w:w="1730" w:type="pct"/>
          </w:tcPr>
          <w:p w14:paraId="6E9E484F" w14:textId="77777777" w:rsidR="002B5CAA" w:rsidRPr="008F4A04" w:rsidRDefault="002B5CAA" w:rsidP="002B5CAA">
            <w:pPr>
              <w:keepNext/>
              <w:keepLines/>
              <w:spacing w:before="20" w:after="20"/>
              <w:rPr>
                <w:rFonts w:cs="Arial"/>
                <w:sz w:val="20"/>
                <w:szCs w:val="20"/>
              </w:rPr>
            </w:pPr>
            <w:r w:rsidRPr="008F4A04">
              <w:rPr>
                <w:rFonts w:cs="Arial"/>
                <w:sz w:val="20"/>
                <w:szCs w:val="20"/>
              </w:rPr>
              <w:t>DEER eQUEST Prototypes</w:t>
            </w:r>
          </w:p>
        </w:tc>
        <w:tc>
          <w:tcPr>
            <w:tcW w:w="3270" w:type="pct"/>
          </w:tcPr>
          <w:p w14:paraId="4948DEAF" w14:textId="1DB103C3" w:rsidR="002B5CAA" w:rsidRPr="00301B36" w:rsidDel="00505CEC" w:rsidRDefault="00735119" w:rsidP="002B5CAA">
            <w:pPr>
              <w:keepNext/>
              <w:keepLines/>
              <w:spacing w:before="20" w:after="20"/>
              <w:rPr>
                <w:sz w:val="20"/>
              </w:rPr>
            </w:pPr>
            <w:r w:rsidRPr="00CD08C4">
              <w:rPr>
                <w:rFonts w:cs="Arial"/>
                <w:sz w:val="20"/>
                <w:szCs w:val="20"/>
              </w:rPr>
              <w:t>No</w:t>
            </w:r>
          </w:p>
        </w:tc>
      </w:tr>
      <w:tr w:rsidR="002B5CAA" w:rsidRPr="008F4A04" w14:paraId="2CFDE9D3" w14:textId="77777777" w:rsidTr="00EA057C">
        <w:trPr>
          <w:trHeight w:val="180"/>
        </w:trPr>
        <w:tc>
          <w:tcPr>
            <w:tcW w:w="1730" w:type="pct"/>
          </w:tcPr>
          <w:p w14:paraId="3B6B3E22" w14:textId="77777777" w:rsidR="002B5CAA" w:rsidRPr="008F4A04" w:rsidRDefault="002B5CAA" w:rsidP="002B5CAA">
            <w:pPr>
              <w:keepNext/>
              <w:keepLines/>
              <w:spacing w:before="20" w:after="20"/>
              <w:rPr>
                <w:rFonts w:cs="Arial"/>
                <w:sz w:val="20"/>
                <w:szCs w:val="20"/>
              </w:rPr>
            </w:pPr>
            <w:r w:rsidRPr="008F4A04">
              <w:rPr>
                <w:rFonts w:cs="Arial"/>
                <w:sz w:val="20"/>
                <w:szCs w:val="20"/>
              </w:rPr>
              <w:t>DEER Version</w:t>
            </w:r>
          </w:p>
        </w:tc>
        <w:tc>
          <w:tcPr>
            <w:tcW w:w="3270" w:type="pct"/>
          </w:tcPr>
          <w:p w14:paraId="1C3B60D1" w14:textId="7D4F6958" w:rsidR="002B5CAA" w:rsidRPr="00CD08C4" w:rsidRDefault="00A954EE" w:rsidP="002B5CAA">
            <w:pPr>
              <w:keepNext/>
              <w:keepLines/>
              <w:spacing w:before="20" w:after="20"/>
              <w:rPr>
                <w:rFonts w:cs="Arial"/>
                <w:sz w:val="20"/>
                <w:szCs w:val="20"/>
              </w:rPr>
            </w:pPr>
            <w:r>
              <w:rPr>
                <w:rFonts w:cstheme="minorHAnsi"/>
                <w:sz w:val="20"/>
                <w:szCs w:val="20"/>
              </w:rPr>
              <w:t xml:space="preserve">DEER2020 </w:t>
            </w:r>
            <w:r w:rsidR="002B5CAA" w:rsidRPr="00CD08C4">
              <w:rPr>
                <w:rFonts w:cstheme="minorHAnsi"/>
                <w:sz w:val="20"/>
                <w:szCs w:val="20"/>
              </w:rPr>
              <w:t xml:space="preserve">per READI </w:t>
            </w:r>
            <w:r w:rsidR="001F68F5" w:rsidRPr="00301B36">
              <w:rPr>
                <w:sz w:val="20"/>
              </w:rPr>
              <w:t>v2.</w:t>
            </w:r>
            <w:r w:rsidR="001F68F5" w:rsidRPr="00CD08C4">
              <w:rPr>
                <w:rFonts w:cstheme="minorHAnsi"/>
                <w:sz w:val="20"/>
                <w:szCs w:val="20"/>
              </w:rPr>
              <w:t>5.1</w:t>
            </w:r>
          </w:p>
        </w:tc>
      </w:tr>
      <w:tr w:rsidR="00735119" w:rsidRPr="008F4A04" w14:paraId="3B7464D7" w14:textId="77777777" w:rsidTr="00EA057C">
        <w:trPr>
          <w:trHeight w:val="20"/>
        </w:trPr>
        <w:tc>
          <w:tcPr>
            <w:tcW w:w="1730" w:type="pct"/>
          </w:tcPr>
          <w:p w14:paraId="24000A76" w14:textId="77777777" w:rsidR="00735119" w:rsidRPr="008F4A04" w:rsidRDefault="00735119" w:rsidP="00735119">
            <w:pPr>
              <w:keepNext/>
              <w:keepLines/>
              <w:spacing w:before="20" w:after="20"/>
              <w:rPr>
                <w:rFonts w:cs="Arial"/>
                <w:sz w:val="20"/>
                <w:szCs w:val="20"/>
              </w:rPr>
            </w:pPr>
            <w:r w:rsidRPr="008F4A04">
              <w:rPr>
                <w:rFonts w:cs="Arial"/>
                <w:sz w:val="20"/>
                <w:szCs w:val="20"/>
              </w:rPr>
              <w:t>Reason for Deviation from DEER</w:t>
            </w:r>
          </w:p>
        </w:tc>
        <w:tc>
          <w:tcPr>
            <w:tcW w:w="3270" w:type="pct"/>
          </w:tcPr>
          <w:p w14:paraId="125AAB90" w14:textId="156C0CC6" w:rsidR="00735119" w:rsidRPr="002B5CAA" w:rsidRDefault="00A954EE" w:rsidP="00735119">
            <w:pPr>
              <w:keepNext/>
              <w:keepLines/>
              <w:spacing w:before="20" w:after="20"/>
              <w:rPr>
                <w:rFonts w:cs="Arial"/>
                <w:sz w:val="20"/>
                <w:szCs w:val="20"/>
              </w:rPr>
            </w:pPr>
            <w:r>
              <w:rPr>
                <w:rFonts w:cs="Arial"/>
                <w:sz w:val="20"/>
                <w:szCs w:val="20"/>
              </w:rPr>
              <w:t>N/A</w:t>
            </w:r>
          </w:p>
        </w:tc>
      </w:tr>
      <w:tr w:rsidR="00735119" w:rsidRPr="008F4A04" w14:paraId="4A7EE859" w14:textId="77777777" w:rsidTr="006B1FD7">
        <w:trPr>
          <w:trHeight w:val="20"/>
        </w:trPr>
        <w:tc>
          <w:tcPr>
            <w:tcW w:w="1730" w:type="pct"/>
          </w:tcPr>
          <w:p w14:paraId="7B4D686A" w14:textId="77777777" w:rsidR="00735119" w:rsidRPr="008F4A04" w:rsidRDefault="00735119" w:rsidP="00735119">
            <w:pPr>
              <w:keepNext/>
              <w:keepLines/>
              <w:spacing w:before="20" w:after="20"/>
              <w:rPr>
                <w:rFonts w:cs="Arial"/>
                <w:sz w:val="20"/>
                <w:szCs w:val="20"/>
              </w:rPr>
            </w:pPr>
            <w:r w:rsidRPr="008F4A04">
              <w:rPr>
                <w:rFonts w:cs="Arial"/>
                <w:sz w:val="20"/>
                <w:szCs w:val="20"/>
              </w:rPr>
              <w:t>DEER Measure IDs Used</w:t>
            </w:r>
          </w:p>
        </w:tc>
        <w:tc>
          <w:tcPr>
            <w:tcW w:w="3270" w:type="pct"/>
            <w:vAlign w:val="center"/>
          </w:tcPr>
          <w:p w14:paraId="2682E44E" w14:textId="6D32CFEF" w:rsidR="00A954EE" w:rsidRDefault="00735119" w:rsidP="00735119">
            <w:pPr>
              <w:keepNext/>
              <w:keepLines/>
              <w:spacing w:before="20" w:after="20"/>
              <w:rPr>
                <w:rFonts w:cs="Arial"/>
                <w:sz w:val="20"/>
                <w:szCs w:val="20"/>
              </w:rPr>
            </w:pPr>
            <w:r w:rsidRPr="00735119">
              <w:rPr>
                <w:rFonts w:cs="Arial"/>
                <w:sz w:val="20"/>
                <w:szCs w:val="20"/>
              </w:rPr>
              <w:t>RE-HV-RefChrg-Dec-NoTXV-typ</w:t>
            </w:r>
            <w:r>
              <w:rPr>
                <w:rFonts w:cs="Arial"/>
                <w:sz w:val="20"/>
                <w:szCs w:val="20"/>
              </w:rPr>
              <w:t xml:space="preserve">, </w:t>
            </w:r>
          </w:p>
          <w:p w14:paraId="40856ECE" w14:textId="77777777" w:rsidR="00A954EE" w:rsidRDefault="00735119" w:rsidP="00735119">
            <w:pPr>
              <w:keepNext/>
              <w:keepLines/>
              <w:spacing w:before="20" w:after="20"/>
              <w:rPr>
                <w:rFonts w:cs="Arial"/>
                <w:sz w:val="20"/>
                <w:szCs w:val="20"/>
              </w:rPr>
            </w:pPr>
            <w:r w:rsidRPr="00735119">
              <w:rPr>
                <w:rFonts w:cs="Arial"/>
                <w:sz w:val="20"/>
                <w:szCs w:val="20"/>
              </w:rPr>
              <w:t>RE-HV-RefChrg-Dec-TXV-typ</w:t>
            </w:r>
            <w:r>
              <w:rPr>
                <w:rFonts w:cs="Arial"/>
                <w:sz w:val="20"/>
                <w:szCs w:val="20"/>
              </w:rPr>
              <w:t xml:space="preserve">, </w:t>
            </w:r>
          </w:p>
          <w:p w14:paraId="50854C99" w14:textId="77777777" w:rsidR="00A954EE" w:rsidRDefault="00735119" w:rsidP="00735119">
            <w:pPr>
              <w:keepNext/>
              <w:keepLines/>
              <w:spacing w:before="20" w:after="20"/>
              <w:rPr>
                <w:rFonts w:cs="Arial"/>
                <w:sz w:val="20"/>
                <w:szCs w:val="20"/>
              </w:rPr>
            </w:pPr>
            <w:r w:rsidRPr="00735119">
              <w:rPr>
                <w:rFonts w:cs="Arial"/>
                <w:sz w:val="20"/>
                <w:szCs w:val="20"/>
              </w:rPr>
              <w:t>RE-HV-RefChrg-Inc-NoTXV-typ</w:t>
            </w:r>
            <w:r>
              <w:rPr>
                <w:rFonts w:cs="Arial"/>
                <w:sz w:val="20"/>
                <w:szCs w:val="20"/>
              </w:rPr>
              <w:t xml:space="preserve">, </w:t>
            </w:r>
          </w:p>
          <w:p w14:paraId="39AD9F65" w14:textId="77777777" w:rsidR="00735119" w:rsidRDefault="00735119" w:rsidP="00735119">
            <w:pPr>
              <w:keepNext/>
              <w:keepLines/>
              <w:spacing w:before="20" w:after="20"/>
              <w:rPr>
                <w:rFonts w:cs="Arial"/>
                <w:sz w:val="20"/>
                <w:szCs w:val="20"/>
              </w:rPr>
            </w:pPr>
            <w:r w:rsidRPr="00735119">
              <w:rPr>
                <w:rFonts w:cs="Arial"/>
                <w:sz w:val="20"/>
                <w:szCs w:val="20"/>
              </w:rPr>
              <w:t>RE-HV-RefChrg-Inc-TXV-typ</w:t>
            </w:r>
          </w:p>
          <w:p w14:paraId="54C8C54D" w14:textId="77777777" w:rsidR="008279BC" w:rsidRPr="00351806" w:rsidRDefault="008279BC" w:rsidP="00351806">
            <w:pPr>
              <w:keepNext/>
              <w:keepLines/>
              <w:spacing w:before="20" w:after="20"/>
              <w:rPr>
                <w:rFonts w:cs="Arial"/>
                <w:sz w:val="20"/>
                <w:szCs w:val="20"/>
              </w:rPr>
            </w:pPr>
            <w:r w:rsidRPr="00351806">
              <w:rPr>
                <w:rFonts w:cs="Arial"/>
                <w:sz w:val="20"/>
                <w:szCs w:val="20"/>
              </w:rPr>
              <w:t xml:space="preserve">RE-HV-RefChrg-Inc-NTXV-typ -16pct </w:t>
            </w:r>
          </w:p>
          <w:p w14:paraId="3545EC1F" w14:textId="77777777" w:rsidR="008279BC" w:rsidRPr="00351806" w:rsidRDefault="008279BC" w:rsidP="00351806">
            <w:pPr>
              <w:keepNext/>
              <w:keepLines/>
              <w:spacing w:before="20" w:after="20"/>
              <w:rPr>
                <w:rFonts w:cs="Arial"/>
                <w:sz w:val="20"/>
                <w:szCs w:val="20"/>
              </w:rPr>
            </w:pPr>
            <w:r w:rsidRPr="00351806">
              <w:rPr>
                <w:rFonts w:cs="Arial"/>
                <w:sz w:val="20"/>
                <w:szCs w:val="20"/>
              </w:rPr>
              <w:t xml:space="preserve">RE-HV-RefChrg-Inc-TXV-typ-16pct </w:t>
            </w:r>
          </w:p>
          <w:p w14:paraId="5680303C" w14:textId="77777777" w:rsidR="008279BC" w:rsidRPr="00351806" w:rsidRDefault="008279BC" w:rsidP="00351806">
            <w:pPr>
              <w:keepNext/>
              <w:keepLines/>
              <w:spacing w:before="20" w:after="20"/>
              <w:rPr>
                <w:rFonts w:cs="Arial"/>
                <w:sz w:val="20"/>
                <w:szCs w:val="20"/>
              </w:rPr>
            </w:pPr>
            <w:r w:rsidRPr="00351806">
              <w:rPr>
                <w:rFonts w:cs="Arial"/>
                <w:sz w:val="20"/>
                <w:szCs w:val="20"/>
              </w:rPr>
              <w:t xml:space="preserve">RE-HV-RefChrg-Inc-NTXV-typ-4pct </w:t>
            </w:r>
          </w:p>
          <w:p w14:paraId="63ABA251" w14:textId="75F2086B" w:rsidR="008279BC" w:rsidRPr="002B5CAA" w:rsidRDefault="008279BC" w:rsidP="00735119">
            <w:pPr>
              <w:keepNext/>
              <w:keepLines/>
              <w:spacing w:before="20" w:after="20"/>
              <w:rPr>
                <w:rFonts w:cs="Arial"/>
                <w:sz w:val="20"/>
                <w:szCs w:val="20"/>
              </w:rPr>
            </w:pPr>
            <w:r w:rsidRPr="00351806">
              <w:rPr>
                <w:rFonts w:cs="Arial"/>
                <w:sz w:val="20"/>
                <w:szCs w:val="20"/>
              </w:rPr>
              <w:t xml:space="preserve">RE-HV-RefChrg-Inc-TXV-typ-4pct </w:t>
            </w:r>
          </w:p>
        </w:tc>
      </w:tr>
      <w:tr w:rsidR="00735119" w:rsidRPr="008F4A04" w14:paraId="5A83EC74" w14:textId="77777777" w:rsidTr="00EA057C">
        <w:trPr>
          <w:trHeight w:val="20"/>
        </w:trPr>
        <w:tc>
          <w:tcPr>
            <w:tcW w:w="1730" w:type="pct"/>
          </w:tcPr>
          <w:p w14:paraId="2C82A9E0" w14:textId="121308D7" w:rsidR="00735119" w:rsidRPr="008F4A04" w:rsidRDefault="00735119" w:rsidP="00735119">
            <w:pPr>
              <w:keepNext/>
              <w:keepLines/>
              <w:spacing w:before="20" w:after="20"/>
              <w:rPr>
                <w:rFonts w:cs="Arial"/>
                <w:sz w:val="20"/>
                <w:szCs w:val="20"/>
              </w:rPr>
            </w:pPr>
            <w:r w:rsidRPr="008F4A04">
              <w:rPr>
                <w:rFonts w:cs="Arial"/>
                <w:sz w:val="20"/>
                <w:szCs w:val="20"/>
              </w:rPr>
              <w:t>NTG</w:t>
            </w:r>
          </w:p>
        </w:tc>
        <w:tc>
          <w:tcPr>
            <w:tcW w:w="3270" w:type="pct"/>
          </w:tcPr>
          <w:p w14:paraId="2BBBB10C" w14:textId="17FC23C3" w:rsidR="00735119" w:rsidRPr="009B01A3" w:rsidRDefault="00A954EE" w:rsidP="00735119">
            <w:pPr>
              <w:keepNext/>
              <w:keepLines/>
              <w:spacing w:before="20" w:after="20"/>
              <w:rPr>
                <w:rFonts w:cs="Arial"/>
                <w:i/>
                <w:sz w:val="20"/>
                <w:szCs w:val="20"/>
              </w:rPr>
            </w:pPr>
            <w:r w:rsidRPr="002B5CAA">
              <w:rPr>
                <w:rFonts w:cs="Arial"/>
                <w:sz w:val="20"/>
                <w:szCs w:val="20"/>
              </w:rPr>
              <w:t xml:space="preserve">Source: </w:t>
            </w:r>
            <w:r>
              <w:rPr>
                <w:rFonts w:cs="Arial"/>
                <w:sz w:val="20"/>
                <w:szCs w:val="20"/>
              </w:rPr>
              <w:t>DEER</w:t>
            </w:r>
            <w:r w:rsidRPr="002B5CAA">
              <w:rPr>
                <w:rFonts w:cs="Arial"/>
                <w:sz w:val="20"/>
                <w:szCs w:val="20"/>
              </w:rPr>
              <w:t xml:space="preserve">. The NTG of </w:t>
            </w:r>
            <w:r w:rsidRPr="00831B05">
              <w:rPr>
                <w:rFonts w:cs="Arial"/>
                <w:sz w:val="20"/>
                <w:szCs w:val="20"/>
              </w:rPr>
              <w:t>0.</w:t>
            </w:r>
            <w:r>
              <w:rPr>
                <w:rFonts w:cs="Arial"/>
                <w:sz w:val="20"/>
                <w:szCs w:val="20"/>
              </w:rPr>
              <w:t>55</w:t>
            </w:r>
            <w:r w:rsidRPr="00831B05">
              <w:rPr>
                <w:rFonts w:cs="Arial"/>
                <w:sz w:val="20"/>
                <w:szCs w:val="20"/>
              </w:rPr>
              <w:t xml:space="preserve"> is associated with NTG ID:</w:t>
            </w:r>
            <w:r>
              <w:rPr>
                <w:rFonts w:cs="Arial"/>
                <w:i/>
                <w:sz w:val="20"/>
                <w:szCs w:val="20"/>
              </w:rPr>
              <w:t xml:space="preserve"> Res-Default&gt;2</w:t>
            </w:r>
          </w:p>
        </w:tc>
      </w:tr>
      <w:tr w:rsidR="00735119" w:rsidRPr="008F4A04" w14:paraId="131D1F9D" w14:textId="77777777" w:rsidTr="00EA057C">
        <w:trPr>
          <w:trHeight w:val="20"/>
        </w:trPr>
        <w:tc>
          <w:tcPr>
            <w:tcW w:w="1730" w:type="pct"/>
          </w:tcPr>
          <w:p w14:paraId="45FFA983" w14:textId="5F527A83" w:rsidR="00735119" w:rsidRPr="008F4A04" w:rsidRDefault="00735119" w:rsidP="00735119">
            <w:pPr>
              <w:keepNext/>
              <w:keepLines/>
              <w:spacing w:before="20" w:after="20"/>
              <w:rPr>
                <w:rFonts w:cs="Arial"/>
                <w:sz w:val="20"/>
                <w:szCs w:val="20"/>
              </w:rPr>
            </w:pPr>
            <w:r w:rsidRPr="008F4A04">
              <w:rPr>
                <w:rFonts w:cs="Arial"/>
                <w:sz w:val="20"/>
                <w:szCs w:val="20"/>
              </w:rPr>
              <w:t>GSIA</w:t>
            </w:r>
          </w:p>
        </w:tc>
        <w:tc>
          <w:tcPr>
            <w:tcW w:w="3270" w:type="pct"/>
          </w:tcPr>
          <w:p w14:paraId="7C16D603" w14:textId="7941FDED" w:rsidR="00735119" w:rsidRPr="00CC49EF" w:rsidRDefault="00735119" w:rsidP="00735119">
            <w:pPr>
              <w:keepNext/>
              <w:keepLines/>
              <w:spacing w:before="20" w:after="20"/>
              <w:rPr>
                <w:rFonts w:cs="Arial"/>
                <w:sz w:val="20"/>
                <w:szCs w:val="20"/>
              </w:rPr>
            </w:pPr>
            <w:r w:rsidRPr="00CC49EF">
              <w:rPr>
                <w:rFonts w:cs="Arial"/>
                <w:sz w:val="20"/>
                <w:szCs w:val="20"/>
              </w:rPr>
              <w:t xml:space="preserve">Source: DEER. The GSIA of 0.568 is associated with GSIA ID: </w:t>
            </w:r>
            <w:r w:rsidRPr="00CC49EF">
              <w:rPr>
                <w:rFonts w:cs="Arial"/>
                <w:i/>
                <w:sz w:val="20"/>
                <w:szCs w:val="20"/>
              </w:rPr>
              <w:t>Res-RCA-All</w:t>
            </w:r>
          </w:p>
        </w:tc>
      </w:tr>
      <w:tr w:rsidR="00735119" w:rsidRPr="008F4A04" w14:paraId="4D0F7E1B" w14:textId="77777777" w:rsidTr="00EA057C">
        <w:trPr>
          <w:trHeight w:val="20"/>
        </w:trPr>
        <w:tc>
          <w:tcPr>
            <w:tcW w:w="1730" w:type="pct"/>
          </w:tcPr>
          <w:p w14:paraId="103BA947" w14:textId="6665B2EA" w:rsidR="00735119" w:rsidRPr="008F4A04" w:rsidRDefault="00735119" w:rsidP="00735119">
            <w:pPr>
              <w:keepNext/>
              <w:keepLines/>
              <w:spacing w:before="20" w:after="20"/>
              <w:rPr>
                <w:rFonts w:cs="Arial"/>
                <w:sz w:val="20"/>
                <w:szCs w:val="20"/>
              </w:rPr>
            </w:pPr>
            <w:r w:rsidRPr="008F4A04">
              <w:rPr>
                <w:rFonts w:cs="Arial"/>
                <w:sz w:val="20"/>
                <w:szCs w:val="20"/>
              </w:rPr>
              <w:t>EUL/RUL</w:t>
            </w:r>
          </w:p>
        </w:tc>
        <w:tc>
          <w:tcPr>
            <w:tcW w:w="3270" w:type="pct"/>
          </w:tcPr>
          <w:p w14:paraId="2EA68643" w14:textId="32E2BBBB" w:rsidR="00121D87" w:rsidRDefault="00735119" w:rsidP="00735119">
            <w:pPr>
              <w:keepNext/>
              <w:keepLines/>
              <w:spacing w:before="20" w:after="20"/>
              <w:rPr>
                <w:rFonts w:cs="Arial"/>
                <w:sz w:val="20"/>
                <w:szCs w:val="20"/>
              </w:rPr>
            </w:pPr>
            <w:r w:rsidRPr="00CC49EF">
              <w:rPr>
                <w:rFonts w:cs="Arial"/>
                <w:sz w:val="20"/>
                <w:szCs w:val="20"/>
              </w:rPr>
              <w:t xml:space="preserve">Source: </w:t>
            </w:r>
            <w:r w:rsidRPr="00B37072">
              <w:rPr>
                <w:rFonts w:cs="Arial"/>
                <w:sz w:val="20"/>
                <w:szCs w:val="20"/>
              </w:rPr>
              <w:t>2018 Resolution E-4952</w:t>
            </w:r>
            <w:r w:rsidRPr="00CC49EF">
              <w:rPr>
                <w:rFonts w:cs="Arial"/>
                <w:sz w:val="20"/>
                <w:szCs w:val="20"/>
              </w:rPr>
              <w:t xml:space="preserve">. </w:t>
            </w:r>
            <w:r w:rsidRPr="00B37072">
              <w:rPr>
                <w:rFonts w:cs="Arial"/>
                <w:sz w:val="20"/>
                <w:szCs w:val="20"/>
              </w:rPr>
              <w:t xml:space="preserve">EUL values of one to three years with retrocommissioning assigned a three-year EUL. </w:t>
            </w:r>
          </w:p>
          <w:p w14:paraId="5BD9C961" w14:textId="18ABD941" w:rsidR="00735119" w:rsidRPr="00CC49EF" w:rsidRDefault="00121D87" w:rsidP="00735119">
            <w:pPr>
              <w:keepNext/>
              <w:keepLines/>
              <w:spacing w:before="20" w:after="20"/>
              <w:rPr>
                <w:rFonts w:cs="Arial"/>
                <w:sz w:val="20"/>
                <w:szCs w:val="20"/>
              </w:rPr>
            </w:pPr>
            <w:r>
              <w:rPr>
                <w:rFonts w:cs="Arial"/>
                <w:sz w:val="20"/>
                <w:szCs w:val="20"/>
              </w:rPr>
              <w:t>2019 Resolution E-5009. RUL value for BRO measures corrected to 0 years.</w:t>
            </w:r>
          </w:p>
        </w:tc>
      </w:tr>
    </w:tbl>
    <w:p w14:paraId="3D440479" w14:textId="77777777" w:rsidR="00EA057C" w:rsidRPr="008F4A04" w:rsidRDefault="00EA057C" w:rsidP="004142EF">
      <w:bookmarkStart w:id="91" w:name="_Hlk516051142"/>
    </w:p>
    <w:p w14:paraId="59542C0D" w14:textId="77777777" w:rsidR="007D230B" w:rsidRPr="008F4A04" w:rsidRDefault="007D230B" w:rsidP="00462BB6">
      <w:pPr>
        <w:pStyle w:val="eTRMHeading3"/>
      </w:pPr>
      <w:bookmarkStart w:id="92" w:name="_Toc486490866"/>
      <w:bookmarkStart w:id="93" w:name="_Toc486580937"/>
      <w:bookmarkStart w:id="94" w:name="_Toc6912265"/>
      <w:bookmarkStart w:id="95" w:name="_Hlk516047558"/>
      <w:r w:rsidRPr="008F4A04">
        <w:lastRenderedPageBreak/>
        <w:t>Revision History</w:t>
      </w:r>
      <w:bookmarkEnd w:id="92"/>
      <w:bookmarkEnd w:id="93"/>
      <w:bookmarkEnd w:id="94"/>
    </w:p>
    <w:p w14:paraId="3661732B" w14:textId="6E964483" w:rsidR="00CA1CB3" w:rsidRPr="008F4A04" w:rsidRDefault="00742F88" w:rsidP="00742F88">
      <w:pPr>
        <w:pStyle w:val="Caption"/>
      </w:pPr>
      <w:bookmarkStart w:id="96" w:name="_Hlk515959178"/>
      <w:r w:rsidRPr="008F4A04">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8F4A04" w14:paraId="1904D58C" w14:textId="6E96D877" w:rsidTr="00CA1CB3">
        <w:trPr>
          <w:trHeight w:val="20"/>
        </w:trPr>
        <w:tc>
          <w:tcPr>
            <w:tcW w:w="503" w:type="pct"/>
            <w:shd w:val="clear" w:color="auto" w:fill="F2F2F2" w:themeFill="background1" w:themeFillShade="F2"/>
            <w:vAlign w:val="bottom"/>
          </w:tcPr>
          <w:p w14:paraId="5365A71C" w14:textId="5EB86E00" w:rsidR="00CA1CB3" w:rsidRPr="008F4A04" w:rsidRDefault="00CA1CB3" w:rsidP="00871123">
            <w:pPr>
              <w:keepNext/>
              <w:keepLines/>
              <w:tabs>
                <w:tab w:val="right" w:pos="2957"/>
              </w:tabs>
              <w:spacing w:before="20" w:after="20"/>
              <w:rPr>
                <w:rFonts w:cs="Arial"/>
                <w:b/>
                <w:sz w:val="20"/>
                <w:szCs w:val="20"/>
              </w:rPr>
            </w:pPr>
            <w:r w:rsidRPr="008F4A04">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8F4A04" w:rsidRDefault="00CA1CB3" w:rsidP="00871123">
            <w:pPr>
              <w:keepNext/>
              <w:keepLines/>
              <w:spacing w:before="20" w:after="20"/>
              <w:rPr>
                <w:rFonts w:cs="Arial"/>
                <w:b/>
                <w:sz w:val="20"/>
                <w:szCs w:val="20"/>
              </w:rPr>
            </w:pPr>
            <w:r w:rsidRPr="008F4A04">
              <w:rPr>
                <w:rFonts w:cs="Arial"/>
                <w:b/>
                <w:sz w:val="20"/>
                <w:szCs w:val="20"/>
              </w:rPr>
              <w:t>Date</w:t>
            </w:r>
          </w:p>
        </w:tc>
        <w:tc>
          <w:tcPr>
            <w:tcW w:w="842" w:type="pct"/>
            <w:shd w:val="clear" w:color="auto" w:fill="F2F2F2" w:themeFill="background1" w:themeFillShade="F2"/>
            <w:vAlign w:val="bottom"/>
          </w:tcPr>
          <w:p w14:paraId="10DC2402" w14:textId="63223EB6" w:rsidR="00CA1CB3" w:rsidRPr="008F4A04" w:rsidRDefault="00CA1CB3" w:rsidP="00871123">
            <w:pPr>
              <w:keepNext/>
              <w:keepLines/>
              <w:spacing w:before="20" w:after="20"/>
              <w:rPr>
                <w:rFonts w:cs="Arial"/>
                <w:b/>
                <w:sz w:val="20"/>
                <w:szCs w:val="20"/>
              </w:rPr>
            </w:pPr>
            <w:r w:rsidRPr="008F4A04">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Pr="008F4A04" w:rsidRDefault="00CA1CB3" w:rsidP="00871123">
            <w:pPr>
              <w:keepNext/>
              <w:keepLines/>
              <w:spacing w:before="20" w:after="20"/>
              <w:rPr>
                <w:rFonts w:cs="Arial"/>
                <w:b/>
                <w:sz w:val="20"/>
                <w:szCs w:val="20"/>
              </w:rPr>
            </w:pPr>
            <w:r w:rsidRPr="008F4A04">
              <w:rPr>
                <w:rFonts w:cs="Arial"/>
                <w:b/>
                <w:sz w:val="20"/>
                <w:szCs w:val="20"/>
              </w:rPr>
              <w:t>Revision Summary and Rationale for Revision</w:t>
            </w:r>
          </w:p>
          <w:p w14:paraId="2BFB4352" w14:textId="49C04F88" w:rsidR="00CA1CB3" w:rsidRPr="008F4A04" w:rsidRDefault="00CA1CB3" w:rsidP="00871123">
            <w:pPr>
              <w:keepNext/>
              <w:keepLines/>
              <w:spacing w:before="20" w:after="20"/>
              <w:rPr>
                <w:rFonts w:cs="Arial"/>
                <w:b/>
                <w:sz w:val="20"/>
                <w:szCs w:val="20"/>
              </w:rPr>
            </w:pPr>
            <w:r w:rsidRPr="008F4A04">
              <w:rPr>
                <w:rFonts w:cs="Arial"/>
                <w:b/>
                <w:sz w:val="20"/>
                <w:szCs w:val="20"/>
              </w:rPr>
              <w:t>Effective Date and Approved By</w:t>
            </w:r>
          </w:p>
        </w:tc>
      </w:tr>
      <w:tr w:rsidR="005B4CE1" w:rsidRPr="00CA1CB3" w14:paraId="0A9DBD7D" w14:textId="04A29668" w:rsidTr="00CA1CB3">
        <w:trPr>
          <w:trHeight w:val="20"/>
        </w:trPr>
        <w:tc>
          <w:tcPr>
            <w:tcW w:w="503" w:type="pct"/>
            <w:vMerge w:val="restart"/>
          </w:tcPr>
          <w:p w14:paraId="1447697F" w14:textId="77777777" w:rsidR="005B4CE1" w:rsidRPr="008F4A04" w:rsidRDefault="005B4CE1" w:rsidP="00871123">
            <w:pPr>
              <w:keepNext/>
              <w:keepLines/>
              <w:spacing w:before="20" w:after="20"/>
              <w:rPr>
                <w:rFonts w:cs="Arial"/>
                <w:sz w:val="20"/>
                <w:szCs w:val="20"/>
              </w:rPr>
            </w:pPr>
            <w:r w:rsidRPr="008F4A04">
              <w:rPr>
                <w:rFonts w:cs="Arial"/>
                <w:sz w:val="20"/>
                <w:szCs w:val="20"/>
              </w:rPr>
              <w:t>01</w:t>
            </w:r>
          </w:p>
          <w:p w14:paraId="38788C98" w14:textId="521C520F" w:rsidR="005B4CE1" w:rsidRPr="008F4A04" w:rsidRDefault="005B4CE1" w:rsidP="00871123">
            <w:pPr>
              <w:keepNext/>
              <w:keepLines/>
              <w:spacing w:before="20" w:after="20"/>
              <w:rPr>
                <w:rFonts w:cs="Arial"/>
                <w:sz w:val="20"/>
                <w:szCs w:val="20"/>
              </w:rPr>
            </w:pPr>
          </w:p>
        </w:tc>
        <w:tc>
          <w:tcPr>
            <w:tcW w:w="722" w:type="pct"/>
          </w:tcPr>
          <w:p w14:paraId="03B67B1D" w14:textId="6CA1B23C" w:rsidR="005B4CE1" w:rsidRPr="008F4A04" w:rsidRDefault="005B4CE1" w:rsidP="00871123">
            <w:pPr>
              <w:keepNext/>
              <w:keepLines/>
              <w:spacing w:before="20" w:after="20"/>
              <w:rPr>
                <w:rFonts w:cs="Arial"/>
                <w:sz w:val="20"/>
                <w:szCs w:val="20"/>
              </w:rPr>
            </w:pPr>
            <w:r w:rsidRPr="008F4A04">
              <w:rPr>
                <w:rFonts w:cs="Arial"/>
                <w:sz w:val="20"/>
                <w:szCs w:val="20"/>
              </w:rPr>
              <w:t>09/30/2018</w:t>
            </w:r>
          </w:p>
        </w:tc>
        <w:tc>
          <w:tcPr>
            <w:tcW w:w="842" w:type="pct"/>
          </w:tcPr>
          <w:p w14:paraId="24160CE8" w14:textId="00333B8D" w:rsidR="005B4CE1" w:rsidRPr="008F4A04" w:rsidRDefault="005B4CE1" w:rsidP="00871123">
            <w:pPr>
              <w:keepNext/>
              <w:keepLines/>
              <w:spacing w:before="20" w:after="20"/>
              <w:rPr>
                <w:rFonts w:cs="Arial"/>
                <w:sz w:val="20"/>
                <w:szCs w:val="20"/>
              </w:rPr>
            </w:pPr>
            <w:r w:rsidRPr="008F4A04">
              <w:rPr>
                <w:rFonts w:cs="Arial"/>
                <w:sz w:val="20"/>
                <w:szCs w:val="20"/>
              </w:rPr>
              <w:t>Jennifer Holmes</w:t>
            </w:r>
          </w:p>
          <w:p w14:paraId="32D154D7" w14:textId="0FB8154E" w:rsidR="005B4CE1" w:rsidRPr="008F4A04" w:rsidRDefault="005B4CE1" w:rsidP="00871123">
            <w:pPr>
              <w:keepNext/>
              <w:keepLines/>
              <w:spacing w:before="20" w:after="20"/>
              <w:rPr>
                <w:rFonts w:cs="Arial"/>
                <w:sz w:val="20"/>
                <w:szCs w:val="20"/>
              </w:rPr>
            </w:pPr>
            <w:r w:rsidRPr="008F4A04">
              <w:rPr>
                <w:rFonts w:cs="Arial"/>
                <w:sz w:val="20"/>
                <w:szCs w:val="20"/>
              </w:rPr>
              <w:t>Cal TF Staff</w:t>
            </w:r>
          </w:p>
        </w:tc>
        <w:tc>
          <w:tcPr>
            <w:tcW w:w="2933" w:type="pct"/>
          </w:tcPr>
          <w:p w14:paraId="0C93091A" w14:textId="77777777" w:rsidR="005B4CE1" w:rsidRPr="008F4A04" w:rsidRDefault="005B4CE1" w:rsidP="00871123">
            <w:pPr>
              <w:keepNext/>
              <w:keepLines/>
              <w:spacing w:before="20" w:after="20"/>
              <w:rPr>
                <w:rFonts w:cs="Arial"/>
                <w:sz w:val="20"/>
                <w:szCs w:val="20"/>
              </w:rPr>
            </w:pPr>
            <w:r w:rsidRPr="008F4A04">
              <w:rPr>
                <w:rFonts w:cs="Arial"/>
                <w:sz w:val="20"/>
                <w:szCs w:val="20"/>
              </w:rPr>
              <w:t>Draft of consolidated text for this statewide measure is based upon:</w:t>
            </w:r>
          </w:p>
          <w:p w14:paraId="7349CC98" w14:textId="77777777" w:rsidR="005B4CE1" w:rsidRPr="008F4A04" w:rsidRDefault="005B4CE1" w:rsidP="008F4A04">
            <w:pPr>
              <w:keepNext/>
              <w:keepLines/>
              <w:spacing w:before="20" w:after="20"/>
              <w:rPr>
                <w:rFonts w:cs="Arial"/>
                <w:sz w:val="20"/>
                <w:szCs w:val="20"/>
              </w:rPr>
            </w:pPr>
            <w:r w:rsidRPr="008F4A04">
              <w:rPr>
                <w:rFonts w:cs="Arial"/>
                <w:sz w:val="20"/>
                <w:szCs w:val="20"/>
              </w:rPr>
              <w:t>SCE17HC029, Revision 1 (May 22, 2018)</w:t>
            </w:r>
          </w:p>
          <w:p w14:paraId="631B06C1" w14:textId="713ACB97" w:rsidR="005B4CE1" w:rsidRPr="008F4A04" w:rsidRDefault="005B4CE1" w:rsidP="00871123">
            <w:pPr>
              <w:keepNext/>
              <w:keepLines/>
              <w:spacing w:before="20" w:after="20"/>
              <w:rPr>
                <w:rFonts w:cs="Arial"/>
                <w:sz w:val="20"/>
                <w:szCs w:val="20"/>
              </w:rPr>
            </w:pPr>
            <w:r w:rsidRPr="008F4A04">
              <w:rPr>
                <w:rFonts w:cs="Arial"/>
                <w:sz w:val="20"/>
                <w:szCs w:val="20"/>
              </w:rPr>
              <w:t>WPSDGERERN001, Revision 3 (December 15, 2017) – short form</w:t>
            </w:r>
          </w:p>
          <w:p w14:paraId="77A1611B" w14:textId="366FCA53" w:rsidR="005B4CE1" w:rsidRPr="008F4A04" w:rsidRDefault="005B4CE1" w:rsidP="00871123">
            <w:pPr>
              <w:keepNext/>
              <w:keepLines/>
              <w:spacing w:before="20" w:after="20"/>
              <w:rPr>
                <w:rFonts w:cs="Arial"/>
                <w:sz w:val="20"/>
                <w:szCs w:val="20"/>
              </w:rPr>
            </w:pPr>
            <w:r w:rsidRPr="008F4A04">
              <w:rPr>
                <w:rFonts w:cs="Arial"/>
                <w:sz w:val="20"/>
                <w:szCs w:val="20"/>
              </w:rPr>
              <w:t>WPSDGERERN001, Revision 0.1 (July 27, 2014)</w:t>
            </w:r>
          </w:p>
          <w:p w14:paraId="6C70C36F" w14:textId="79B1B4AE" w:rsidR="005B4CE1" w:rsidRPr="00CA1CB3" w:rsidRDefault="005B4CE1" w:rsidP="008F4A04">
            <w:pPr>
              <w:keepNext/>
              <w:keepLines/>
              <w:spacing w:before="20" w:after="20"/>
              <w:rPr>
                <w:rFonts w:cs="Arial"/>
                <w:sz w:val="20"/>
                <w:szCs w:val="20"/>
              </w:rPr>
            </w:pPr>
            <w:r w:rsidRPr="008F4A04">
              <w:rPr>
                <w:rFonts w:cs="Arial"/>
                <w:sz w:val="20"/>
                <w:szCs w:val="20"/>
              </w:rPr>
              <w:t>Consensus reached among Cal TF members.</w:t>
            </w:r>
          </w:p>
        </w:tc>
      </w:tr>
      <w:tr w:rsidR="005B4CE1" w:rsidRPr="00CA1CB3" w14:paraId="5EC76499" w14:textId="77777777" w:rsidTr="00CA1CB3">
        <w:trPr>
          <w:trHeight w:val="20"/>
        </w:trPr>
        <w:tc>
          <w:tcPr>
            <w:tcW w:w="503" w:type="pct"/>
            <w:vMerge/>
          </w:tcPr>
          <w:p w14:paraId="1BFB2DF8" w14:textId="57C0A359" w:rsidR="005B4CE1" w:rsidRPr="008F4A04" w:rsidRDefault="005B4CE1" w:rsidP="00871123">
            <w:pPr>
              <w:keepNext/>
              <w:keepLines/>
              <w:spacing w:before="20" w:after="20"/>
              <w:rPr>
                <w:rFonts w:cs="Arial"/>
                <w:sz w:val="20"/>
                <w:szCs w:val="20"/>
              </w:rPr>
            </w:pPr>
          </w:p>
        </w:tc>
        <w:tc>
          <w:tcPr>
            <w:tcW w:w="722" w:type="pct"/>
          </w:tcPr>
          <w:p w14:paraId="0E1F4569" w14:textId="1EF0ECE8" w:rsidR="005B4CE1" w:rsidRPr="008F4A04" w:rsidRDefault="005B4CE1" w:rsidP="00871123">
            <w:pPr>
              <w:keepNext/>
              <w:keepLines/>
              <w:spacing w:before="20" w:after="20"/>
              <w:rPr>
                <w:rFonts w:cs="Arial"/>
                <w:sz w:val="20"/>
                <w:szCs w:val="20"/>
              </w:rPr>
            </w:pPr>
            <w:r>
              <w:rPr>
                <w:rFonts w:cs="Arial"/>
                <w:sz w:val="20"/>
                <w:szCs w:val="20"/>
              </w:rPr>
              <w:t>04/23/2019</w:t>
            </w:r>
          </w:p>
        </w:tc>
        <w:tc>
          <w:tcPr>
            <w:tcW w:w="842" w:type="pct"/>
          </w:tcPr>
          <w:p w14:paraId="10946382" w14:textId="77777777" w:rsidR="005B4CE1" w:rsidRDefault="005B4CE1" w:rsidP="00871123">
            <w:pPr>
              <w:keepNext/>
              <w:keepLines/>
              <w:spacing w:before="20" w:after="20"/>
              <w:rPr>
                <w:rFonts w:cs="Arial"/>
                <w:sz w:val="20"/>
                <w:szCs w:val="20"/>
              </w:rPr>
            </w:pPr>
            <w:r>
              <w:rPr>
                <w:rFonts w:cs="Arial"/>
                <w:sz w:val="20"/>
                <w:szCs w:val="20"/>
              </w:rPr>
              <w:t>Richard Williams</w:t>
            </w:r>
          </w:p>
          <w:p w14:paraId="60B6771A" w14:textId="7B34016E" w:rsidR="005B4CE1" w:rsidRPr="008F4A04" w:rsidRDefault="005B4CE1" w:rsidP="00871123">
            <w:pPr>
              <w:keepNext/>
              <w:keepLines/>
              <w:spacing w:before="20" w:after="20"/>
              <w:rPr>
                <w:rFonts w:cs="Arial"/>
                <w:sz w:val="20"/>
                <w:szCs w:val="20"/>
              </w:rPr>
            </w:pPr>
            <w:r>
              <w:rPr>
                <w:rFonts w:cs="Arial"/>
                <w:sz w:val="20"/>
                <w:szCs w:val="20"/>
              </w:rPr>
              <w:t>TRC Companies</w:t>
            </w:r>
          </w:p>
        </w:tc>
        <w:tc>
          <w:tcPr>
            <w:tcW w:w="2933" w:type="pct"/>
          </w:tcPr>
          <w:p w14:paraId="3A561FA7" w14:textId="77777777" w:rsidR="005B4CE1" w:rsidRDefault="005B4CE1" w:rsidP="00CD08C4">
            <w:pPr>
              <w:keepNext/>
              <w:keepLines/>
              <w:spacing w:before="20" w:after="20"/>
              <w:rPr>
                <w:rFonts w:cs="Arial"/>
                <w:sz w:val="20"/>
                <w:szCs w:val="20"/>
              </w:rPr>
            </w:pPr>
            <w:r>
              <w:rPr>
                <w:rFonts w:cs="Arial"/>
                <w:sz w:val="20"/>
                <w:szCs w:val="20"/>
              </w:rPr>
              <w:t>Updated Implementation Eligibility Table</w:t>
            </w:r>
          </w:p>
          <w:p w14:paraId="15092250" w14:textId="1BBD4E6F" w:rsidR="005B4CE1" w:rsidRDefault="005B4CE1" w:rsidP="00CD08C4">
            <w:pPr>
              <w:keepNext/>
              <w:keepLines/>
              <w:spacing w:before="20" w:after="20"/>
              <w:rPr>
                <w:rFonts w:cs="Arial"/>
                <w:sz w:val="20"/>
                <w:szCs w:val="20"/>
              </w:rPr>
            </w:pPr>
            <w:r>
              <w:rPr>
                <w:rFonts w:cs="Arial"/>
                <w:sz w:val="20"/>
                <w:szCs w:val="20"/>
              </w:rPr>
              <w:t>Updated DEER2020 for one measure</w:t>
            </w:r>
          </w:p>
          <w:p w14:paraId="241F8B0B" w14:textId="77777777" w:rsidR="005B4CE1" w:rsidRDefault="005B4CE1" w:rsidP="00CD08C4">
            <w:pPr>
              <w:keepNext/>
              <w:keepLines/>
              <w:spacing w:before="20" w:after="20"/>
              <w:rPr>
                <w:rFonts w:cs="Arial"/>
                <w:sz w:val="20"/>
                <w:szCs w:val="20"/>
              </w:rPr>
            </w:pPr>
            <w:r>
              <w:rPr>
                <w:rFonts w:cs="Arial"/>
                <w:sz w:val="20"/>
                <w:szCs w:val="20"/>
              </w:rPr>
              <w:t>Updated price index adjustment to include averages for state of CA</w:t>
            </w:r>
          </w:p>
          <w:p w14:paraId="67620DB0" w14:textId="77777777" w:rsidR="005B4CE1" w:rsidRDefault="005B4CE1" w:rsidP="00CD08C4">
            <w:pPr>
              <w:keepNext/>
              <w:keepLines/>
              <w:spacing w:before="20" w:after="20"/>
              <w:rPr>
                <w:rFonts w:cs="Arial"/>
                <w:sz w:val="20"/>
                <w:szCs w:val="20"/>
              </w:rPr>
            </w:pPr>
            <w:r>
              <w:rPr>
                <w:rFonts w:cs="Arial"/>
                <w:sz w:val="20"/>
                <w:szCs w:val="20"/>
              </w:rPr>
              <w:t>Updated NTG values based on E-4952</w:t>
            </w:r>
          </w:p>
          <w:p w14:paraId="530415DB" w14:textId="23D59D35" w:rsidR="005B4CE1" w:rsidRPr="008F4A04" w:rsidRDefault="005B4CE1" w:rsidP="00CD08C4">
            <w:pPr>
              <w:keepNext/>
              <w:keepLines/>
              <w:spacing w:before="20" w:after="20"/>
              <w:rPr>
                <w:rFonts w:cs="Arial"/>
                <w:sz w:val="20"/>
                <w:szCs w:val="20"/>
              </w:rPr>
            </w:pPr>
            <w:r>
              <w:rPr>
                <w:rFonts w:cs="Arial"/>
                <w:sz w:val="20"/>
                <w:szCs w:val="20"/>
              </w:rPr>
              <w:t>Updated RUL value based on E-5009</w:t>
            </w:r>
          </w:p>
        </w:tc>
      </w:tr>
      <w:tr w:rsidR="005B4CE1" w:rsidRPr="00CA1CB3" w14:paraId="75494407" w14:textId="77777777" w:rsidTr="00CA1CB3">
        <w:trPr>
          <w:trHeight w:val="20"/>
        </w:trPr>
        <w:tc>
          <w:tcPr>
            <w:tcW w:w="503" w:type="pct"/>
            <w:vMerge/>
          </w:tcPr>
          <w:p w14:paraId="693E1FA3" w14:textId="77777777" w:rsidR="005B4CE1" w:rsidRDefault="005B4CE1" w:rsidP="00871123">
            <w:pPr>
              <w:keepNext/>
              <w:keepLines/>
              <w:spacing w:before="20" w:after="20"/>
              <w:rPr>
                <w:rFonts w:cs="Arial"/>
                <w:sz w:val="20"/>
                <w:szCs w:val="20"/>
              </w:rPr>
            </w:pPr>
          </w:p>
        </w:tc>
        <w:tc>
          <w:tcPr>
            <w:tcW w:w="722" w:type="pct"/>
          </w:tcPr>
          <w:p w14:paraId="0F50A3FB" w14:textId="4AC05D93" w:rsidR="005B4CE1" w:rsidRDefault="005B4CE1" w:rsidP="00871123">
            <w:pPr>
              <w:keepNext/>
              <w:keepLines/>
              <w:spacing w:before="20" w:after="20"/>
              <w:rPr>
                <w:rFonts w:cs="Arial"/>
                <w:sz w:val="20"/>
                <w:szCs w:val="20"/>
              </w:rPr>
            </w:pPr>
            <w:r>
              <w:rPr>
                <w:rFonts w:cs="Arial"/>
                <w:sz w:val="20"/>
                <w:szCs w:val="20"/>
              </w:rPr>
              <w:t>8/26/2019</w:t>
            </w:r>
          </w:p>
        </w:tc>
        <w:tc>
          <w:tcPr>
            <w:tcW w:w="842" w:type="pct"/>
          </w:tcPr>
          <w:p w14:paraId="4344076C" w14:textId="77777777" w:rsidR="005B4CE1" w:rsidRDefault="005B4CE1" w:rsidP="00181055">
            <w:pPr>
              <w:keepNext/>
              <w:keepLines/>
              <w:spacing w:before="20" w:after="20"/>
              <w:rPr>
                <w:rFonts w:cs="Arial"/>
                <w:sz w:val="20"/>
                <w:szCs w:val="20"/>
              </w:rPr>
            </w:pPr>
            <w:r>
              <w:rPr>
                <w:rFonts w:cs="Arial"/>
                <w:sz w:val="20"/>
                <w:szCs w:val="20"/>
              </w:rPr>
              <w:t>Richard Williams</w:t>
            </w:r>
          </w:p>
          <w:p w14:paraId="23AFA003" w14:textId="23DD9CD8" w:rsidR="005B4CE1" w:rsidRDefault="005B4CE1" w:rsidP="00181055">
            <w:pPr>
              <w:keepNext/>
              <w:keepLines/>
              <w:spacing w:before="20" w:after="20"/>
              <w:rPr>
                <w:rFonts w:cs="Arial"/>
                <w:sz w:val="20"/>
                <w:szCs w:val="20"/>
              </w:rPr>
            </w:pPr>
            <w:r>
              <w:rPr>
                <w:rFonts w:cs="Arial"/>
                <w:sz w:val="20"/>
                <w:szCs w:val="20"/>
              </w:rPr>
              <w:t>TRC Companies</w:t>
            </w:r>
          </w:p>
        </w:tc>
        <w:tc>
          <w:tcPr>
            <w:tcW w:w="2933" w:type="pct"/>
          </w:tcPr>
          <w:p w14:paraId="4530115F" w14:textId="3441B593" w:rsidR="005B4CE1" w:rsidRDefault="005B4CE1" w:rsidP="00CD08C4">
            <w:pPr>
              <w:keepNext/>
              <w:keepLines/>
              <w:spacing w:before="20" w:after="20"/>
              <w:rPr>
                <w:rFonts w:cs="Arial"/>
                <w:sz w:val="20"/>
                <w:szCs w:val="20"/>
              </w:rPr>
            </w:pPr>
            <w:r>
              <w:rPr>
                <w:rFonts w:cs="Arial"/>
                <w:sz w:val="20"/>
                <w:szCs w:val="20"/>
              </w:rPr>
              <w:t>Updated measures to include TXV and NTXV Refrigerant undercharge states of 4% and 16% from DEER2020</w:t>
            </w:r>
          </w:p>
          <w:p w14:paraId="239A660A" w14:textId="2258D6AB" w:rsidR="005B4CE1" w:rsidRDefault="005B4CE1" w:rsidP="00CD08C4">
            <w:pPr>
              <w:keepNext/>
              <w:keepLines/>
              <w:spacing w:before="20" w:after="20"/>
              <w:rPr>
                <w:rFonts w:cs="Arial"/>
                <w:sz w:val="20"/>
                <w:szCs w:val="20"/>
              </w:rPr>
            </w:pPr>
          </w:p>
        </w:tc>
      </w:tr>
      <w:tr w:rsidR="005B4CE1" w:rsidRPr="00CA1CB3" w14:paraId="33856054" w14:textId="77777777" w:rsidTr="00CA1CB3">
        <w:trPr>
          <w:trHeight w:val="20"/>
        </w:trPr>
        <w:tc>
          <w:tcPr>
            <w:tcW w:w="503" w:type="pct"/>
            <w:vMerge/>
          </w:tcPr>
          <w:p w14:paraId="300DD30E" w14:textId="77777777" w:rsidR="005B4CE1" w:rsidRDefault="005B4CE1" w:rsidP="00871123">
            <w:pPr>
              <w:keepNext/>
              <w:keepLines/>
              <w:spacing w:before="20" w:after="20"/>
              <w:rPr>
                <w:rFonts w:cs="Arial"/>
                <w:sz w:val="20"/>
                <w:szCs w:val="20"/>
              </w:rPr>
            </w:pPr>
          </w:p>
        </w:tc>
        <w:tc>
          <w:tcPr>
            <w:tcW w:w="722" w:type="pct"/>
          </w:tcPr>
          <w:p w14:paraId="1D668C4A" w14:textId="33DD7B23" w:rsidR="005B4CE1" w:rsidRDefault="005B4CE1" w:rsidP="00871123">
            <w:pPr>
              <w:keepNext/>
              <w:keepLines/>
              <w:spacing w:before="20" w:after="20"/>
              <w:rPr>
                <w:rFonts w:cs="Arial"/>
                <w:sz w:val="20"/>
                <w:szCs w:val="20"/>
              </w:rPr>
            </w:pPr>
            <w:r>
              <w:rPr>
                <w:rFonts w:cs="Arial"/>
                <w:sz w:val="20"/>
                <w:szCs w:val="20"/>
              </w:rPr>
              <w:t>08/1</w:t>
            </w:r>
            <w:r w:rsidR="00D92CD3">
              <w:rPr>
                <w:rFonts w:cs="Arial"/>
                <w:sz w:val="20"/>
                <w:szCs w:val="20"/>
              </w:rPr>
              <w:t>3</w:t>
            </w:r>
            <w:r>
              <w:rPr>
                <w:rFonts w:cs="Arial"/>
                <w:sz w:val="20"/>
                <w:szCs w:val="20"/>
              </w:rPr>
              <w:t>/2021</w:t>
            </w:r>
          </w:p>
        </w:tc>
        <w:tc>
          <w:tcPr>
            <w:tcW w:w="842" w:type="pct"/>
          </w:tcPr>
          <w:p w14:paraId="5C12D5CA" w14:textId="77777777" w:rsidR="005B4CE1" w:rsidRDefault="005B4CE1" w:rsidP="00181055">
            <w:pPr>
              <w:keepNext/>
              <w:keepLines/>
              <w:spacing w:before="20" w:after="20"/>
              <w:rPr>
                <w:rFonts w:cs="Arial"/>
                <w:sz w:val="20"/>
                <w:szCs w:val="20"/>
              </w:rPr>
            </w:pPr>
            <w:r>
              <w:rPr>
                <w:rFonts w:cs="Arial"/>
                <w:sz w:val="20"/>
                <w:szCs w:val="20"/>
              </w:rPr>
              <w:t>Soe K Hla</w:t>
            </w:r>
          </w:p>
          <w:p w14:paraId="0220C250" w14:textId="6C3704CE" w:rsidR="005B4CE1" w:rsidRDefault="005B4CE1" w:rsidP="00181055">
            <w:pPr>
              <w:keepNext/>
              <w:keepLines/>
              <w:spacing w:before="20" w:after="20"/>
              <w:rPr>
                <w:rFonts w:cs="Arial"/>
                <w:sz w:val="20"/>
                <w:szCs w:val="20"/>
              </w:rPr>
            </w:pPr>
            <w:r>
              <w:rPr>
                <w:rFonts w:cs="Arial"/>
                <w:sz w:val="20"/>
                <w:szCs w:val="20"/>
              </w:rPr>
              <w:t>PG&amp;E</w:t>
            </w:r>
          </w:p>
        </w:tc>
        <w:tc>
          <w:tcPr>
            <w:tcW w:w="2933" w:type="pct"/>
          </w:tcPr>
          <w:p w14:paraId="3DCB18DB" w14:textId="74387DC3" w:rsidR="005B4CE1" w:rsidRDefault="005B4CE1" w:rsidP="00CD08C4">
            <w:pPr>
              <w:keepNext/>
              <w:keepLines/>
              <w:spacing w:before="20" w:after="20"/>
              <w:rPr>
                <w:rFonts w:cs="Arial"/>
                <w:sz w:val="20"/>
                <w:szCs w:val="20"/>
              </w:rPr>
            </w:pPr>
            <w:r>
              <w:rPr>
                <w:rFonts w:cs="Arial"/>
                <w:sz w:val="20"/>
                <w:szCs w:val="20"/>
              </w:rPr>
              <w:t>Adopted all measures for PG&amp;E</w:t>
            </w:r>
          </w:p>
        </w:tc>
      </w:tr>
      <w:bookmarkEnd w:id="91"/>
      <w:bookmarkEnd w:id="95"/>
      <w:bookmarkEnd w:id="96"/>
    </w:tbl>
    <w:p w14:paraId="5C9CAB2A" w14:textId="77777777" w:rsidR="00085726" w:rsidRDefault="00085726" w:rsidP="00387072"/>
    <w:sectPr w:rsidR="00085726"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45E61" w14:textId="77777777" w:rsidR="0042418D" w:rsidRDefault="0042418D" w:rsidP="00A2690C">
      <w:r>
        <w:separator/>
      </w:r>
    </w:p>
    <w:p w14:paraId="6725918B" w14:textId="77777777" w:rsidR="0042418D" w:rsidRDefault="0042418D"/>
  </w:endnote>
  <w:endnote w:type="continuationSeparator" w:id="0">
    <w:p w14:paraId="5F81AF38" w14:textId="77777777" w:rsidR="0042418D" w:rsidRDefault="0042418D" w:rsidP="00A2690C">
      <w:r>
        <w:continuationSeparator/>
      </w:r>
    </w:p>
    <w:p w14:paraId="0D2BEFE8" w14:textId="77777777" w:rsidR="0042418D" w:rsidRDefault="0042418D"/>
  </w:endnote>
  <w:endnote w:type="continuationNotice" w:id="1">
    <w:p w14:paraId="208214F3" w14:textId="77777777" w:rsidR="0042418D" w:rsidRDefault="0042418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194C43" w:rsidRDefault="00194C4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7" name="Picture 17"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194C43" w:rsidRPr="00B837C1" w:rsidRDefault="00194C4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194C43" w:rsidRDefault="00194C4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8" name="Picture 1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194C43" w:rsidRPr="00B837C1" w:rsidRDefault="00194C4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9</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194C43" w:rsidRDefault="00194C4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20" name="Picture 2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194C43" w:rsidRPr="005F505E" w:rsidRDefault="00194C4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C2E61" w14:textId="77777777" w:rsidR="0042418D" w:rsidRDefault="0042418D" w:rsidP="00A2690C">
      <w:r>
        <w:separator/>
      </w:r>
    </w:p>
    <w:p w14:paraId="486C02E6" w14:textId="77777777" w:rsidR="0042418D" w:rsidRDefault="0042418D"/>
  </w:footnote>
  <w:footnote w:type="continuationSeparator" w:id="0">
    <w:p w14:paraId="19B99D68" w14:textId="77777777" w:rsidR="0042418D" w:rsidRDefault="0042418D" w:rsidP="00A2690C">
      <w:r>
        <w:continuationSeparator/>
      </w:r>
    </w:p>
    <w:p w14:paraId="00D86957" w14:textId="77777777" w:rsidR="0042418D" w:rsidRDefault="0042418D"/>
  </w:footnote>
  <w:footnote w:type="continuationNotice" w:id="1">
    <w:p w14:paraId="0A5D4306" w14:textId="77777777" w:rsidR="0042418D" w:rsidRDefault="0042418D">
      <w:pPr>
        <w:spacing w:before="0" w:after="0" w:line="240" w:lineRule="auto"/>
      </w:pPr>
    </w:p>
  </w:footnote>
  <w:footnote w:id="2">
    <w:p w14:paraId="605DF47D" w14:textId="58101F12" w:rsidR="00194C43" w:rsidRDefault="00194C43">
      <w:pPr>
        <w:pStyle w:val="FootnoteText"/>
      </w:pPr>
      <w:r>
        <w:rPr>
          <w:rStyle w:val="FootnoteReference"/>
        </w:rPr>
        <w:footnoteRef/>
      </w:r>
      <w:r>
        <w:t xml:space="preserve"> </w:t>
      </w:r>
      <w:r w:rsidRPr="003414DB">
        <w:t>Air Conditioning Contractors of America (</w:t>
      </w:r>
      <w:r w:rsidRPr="003414DB">
        <w:rPr>
          <w:rStyle w:val="eTRMFootnoteTextChar"/>
        </w:rPr>
        <w:t xml:space="preserve">ACCA). </w:t>
      </w:r>
      <w:r w:rsidR="000F1F44" w:rsidRPr="003414DB">
        <w:rPr>
          <w:rStyle w:val="eTRMFootnoteTextChar"/>
        </w:rPr>
        <w:t>201</w:t>
      </w:r>
      <w:r w:rsidR="000F1F44">
        <w:rPr>
          <w:rStyle w:val="eTRMFootnoteTextChar"/>
        </w:rPr>
        <w:t>9</w:t>
      </w:r>
      <w:r w:rsidRPr="003414DB">
        <w:rPr>
          <w:rStyle w:val="eTRMFootnoteTextChar"/>
        </w:rPr>
        <w:t xml:space="preserve">. </w:t>
      </w:r>
      <w:r w:rsidRPr="003414DB">
        <w:rPr>
          <w:rStyle w:val="eTRMFootnoteTextChar"/>
          <w:i/>
        </w:rPr>
        <w:t>Maintenance of Residential HVAC Systems</w:t>
      </w:r>
      <w:r w:rsidRPr="003414DB">
        <w:rPr>
          <w:rStyle w:val="eTRMFootnoteTextChar"/>
        </w:rPr>
        <w:t xml:space="preserve">. ANSI/ACCA Standard 4 QM – </w:t>
      </w:r>
      <w:r w:rsidR="000F1F44" w:rsidRPr="003414DB">
        <w:rPr>
          <w:rStyle w:val="eTRMFootnoteTextChar"/>
        </w:rPr>
        <w:t>201</w:t>
      </w:r>
      <w:r w:rsidR="000F1F44">
        <w:rPr>
          <w:rStyle w:val="eTRMFootnoteTextChar"/>
        </w:rPr>
        <w:t>9</w:t>
      </w:r>
      <w:r w:rsidRPr="003414DB">
        <w:rPr>
          <w:rStyle w:val="eTRMFootnoteTextChar"/>
        </w:rPr>
        <w:t>.</w:t>
      </w:r>
    </w:p>
  </w:footnote>
  <w:footnote w:id="3">
    <w:p w14:paraId="5D437522" w14:textId="7F8B8F28" w:rsidR="00194C43" w:rsidRDefault="00194C43">
      <w:pPr>
        <w:pStyle w:val="FootnoteText"/>
      </w:pPr>
      <w:r w:rsidRPr="00B556D8">
        <w:rPr>
          <w:rStyle w:val="FootnoteReference"/>
        </w:rPr>
        <w:footnoteRef/>
      </w:r>
      <w:r w:rsidRPr="00B556D8">
        <w:t xml:space="preserve"> DNV GL. 2017. </w:t>
      </w:r>
      <w:r w:rsidRPr="00B556D8">
        <w:rPr>
          <w:i/>
        </w:rPr>
        <w:t>Impact Evaluation of 2015 Commercial Quality Maintenance Programs (HVAC3</w:t>
      </w:r>
      <w:r w:rsidRPr="00B556D8">
        <w:t>). Prepared for the California Public Utilities Commission. April 7.</w:t>
      </w:r>
    </w:p>
  </w:footnote>
  <w:footnote w:id="4">
    <w:p w14:paraId="07CC742B" w14:textId="73699B25" w:rsidR="00097266" w:rsidRDefault="00097266">
      <w:pPr>
        <w:pStyle w:val="FootnoteText"/>
      </w:pPr>
      <w:r>
        <w:rPr>
          <w:rStyle w:val="FootnoteReference"/>
        </w:rPr>
        <w:footnoteRef/>
      </w:r>
      <w:r>
        <w:t xml:space="preserve"> More information on refrigerant levels and their impact on energy efficiency available here: </w:t>
      </w:r>
      <w:hyperlink r:id="rId1" w:history="1">
        <w:r>
          <w:rPr>
            <w:rStyle w:val="Hyperlink"/>
          </w:rPr>
          <w:t>https://www.buildingscience.com/documents/information-sheets/refrigerant-charge</w:t>
        </w:r>
      </w:hyperlink>
    </w:p>
  </w:footnote>
  <w:footnote w:id="5">
    <w:p w14:paraId="5087F0ED" w14:textId="1DB8A975" w:rsidR="00194C43" w:rsidRDefault="00194C43" w:rsidP="002F739B">
      <w:pPr>
        <w:pStyle w:val="FootnoteText"/>
      </w:pPr>
      <w:r>
        <w:rPr>
          <w:rStyle w:val="FootnoteReference"/>
        </w:rPr>
        <w:footnoteRef/>
      </w:r>
      <w:r>
        <w:t xml:space="preserve"> </w:t>
      </w:r>
      <w:r w:rsidR="000F1F44" w:rsidRPr="003414DB">
        <w:t>Air Conditioning Contractors of America (</w:t>
      </w:r>
      <w:r w:rsidR="000F1F44" w:rsidRPr="003414DB">
        <w:rPr>
          <w:rStyle w:val="eTRMFootnoteTextChar"/>
        </w:rPr>
        <w:t>ACCA). 201</w:t>
      </w:r>
      <w:r w:rsidR="000F1F44">
        <w:rPr>
          <w:rStyle w:val="eTRMFootnoteTextChar"/>
        </w:rPr>
        <w:t>9</w:t>
      </w:r>
      <w:r w:rsidR="000F1F44" w:rsidRPr="003414DB">
        <w:rPr>
          <w:rStyle w:val="eTRMFootnoteTextChar"/>
        </w:rPr>
        <w:t xml:space="preserve">. </w:t>
      </w:r>
      <w:r w:rsidR="000F1F44" w:rsidRPr="003414DB">
        <w:rPr>
          <w:rStyle w:val="eTRMFootnoteTextChar"/>
          <w:i/>
        </w:rPr>
        <w:t>Maintenance of Residential HVAC Systems</w:t>
      </w:r>
      <w:r w:rsidR="000F1F44" w:rsidRPr="003414DB">
        <w:rPr>
          <w:rStyle w:val="eTRMFootnoteTextChar"/>
        </w:rPr>
        <w:t>. ANSI/ACCA Standard 4 QM – 201</w:t>
      </w:r>
      <w:r w:rsidR="000F1F44">
        <w:rPr>
          <w:rStyle w:val="eTRMFootnoteTextChar"/>
        </w:rPr>
        <w:t>9</w:t>
      </w:r>
      <w:r w:rsidR="000F1F44" w:rsidRPr="003414DB">
        <w:rPr>
          <w:rStyle w:val="eTRMFootnoteTextChar"/>
        </w:rPr>
        <w:t>.</w:t>
      </w:r>
    </w:p>
  </w:footnote>
  <w:footnote w:id="6">
    <w:p w14:paraId="18D2BF35" w14:textId="7F5630A7" w:rsidR="00194C43" w:rsidRPr="00674531" w:rsidRDefault="00194C43" w:rsidP="00674531">
      <w:pPr>
        <w:spacing w:before="0" w:after="0" w:line="240" w:lineRule="auto"/>
        <w:rPr>
          <w:rFonts w:cs="Calibri Light"/>
          <w:sz w:val="18"/>
          <w:szCs w:val="20"/>
        </w:rPr>
      </w:pPr>
      <w:r>
        <w:rPr>
          <w:rStyle w:val="FootnoteReference"/>
        </w:rPr>
        <w:footnoteRef/>
      </w:r>
      <w:r>
        <w:t xml:space="preserve"> </w:t>
      </w:r>
      <w:r w:rsidRPr="00803BEF">
        <w:rPr>
          <w:sz w:val="18"/>
        </w:rPr>
        <w:t>California Public Utilities Commission (CPUC), Energy Division. 201</w:t>
      </w:r>
      <w:r>
        <w:rPr>
          <w:sz w:val="18"/>
        </w:rPr>
        <w:t xml:space="preserve">8. </w:t>
      </w:r>
      <w:r w:rsidRPr="00B0785C">
        <w:rPr>
          <w:i/>
          <w:sz w:val="18"/>
        </w:rPr>
        <w:t>DEER resolution E-4952</w:t>
      </w:r>
      <w:r>
        <w:rPr>
          <w:i/>
          <w:sz w:val="18"/>
        </w:rPr>
        <w:t xml:space="preserve">. </w:t>
      </w:r>
      <w:r w:rsidRPr="00B0785C">
        <w:rPr>
          <w:sz w:val="18"/>
        </w:rPr>
        <w:t>11 October 2018</w:t>
      </w:r>
    </w:p>
  </w:footnote>
  <w:footnote w:id="7">
    <w:p w14:paraId="7BE7D94E" w14:textId="6FAFA6D1" w:rsidR="00194C43" w:rsidRDefault="00194C43">
      <w:pPr>
        <w:pStyle w:val="FootnoteText"/>
      </w:pPr>
      <w:r>
        <w:rPr>
          <w:rStyle w:val="FootnoteReference"/>
        </w:rPr>
        <w:footnoteRef/>
      </w:r>
      <w:r>
        <w:t xml:space="preserve"> </w:t>
      </w:r>
      <w:r w:rsidRPr="00803BEF">
        <w:t>California Public Utilities Commission (CPUC), Energy Division. 201</w:t>
      </w:r>
      <w:r>
        <w:t xml:space="preserve">9. </w:t>
      </w:r>
      <w:r w:rsidRPr="00935573">
        <w:rPr>
          <w:i/>
        </w:rPr>
        <w:t>Draft</w:t>
      </w:r>
      <w:r>
        <w:t xml:space="preserve"> </w:t>
      </w:r>
      <w:r w:rsidRPr="00B0785C">
        <w:rPr>
          <w:i/>
        </w:rPr>
        <w:t>DEER resolution E-</w:t>
      </w:r>
      <w:r>
        <w:rPr>
          <w:i/>
        </w:rPr>
        <w:t xml:space="preserve">5009. </w:t>
      </w:r>
      <w:r>
        <w:t>15 August 2019</w:t>
      </w:r>
    </w:p>
  </w:footnote>
  <w:footnote w:id="8">
    <w:p w14:paraId="0F44A50D" w14:textId="77777777" w:rsidR="00194C43" w:rsidRDefault="00194C43" w:rsidP="00674531">
      <w:pPr>
        <w:pStyle w:val="FootnoteText"/>
      </w:pPr>
      <w:r>
        <w:rPr>
          <w:rStyle w:val="FootnoteReference"/>
        </w:rPr>
        <w:footnoteRef/>
      </w:r>
      <w:r>
        <w:t xml:space="preserve"> </w:t>
      </w:r>
      <w:r w:rsidRPr="00D3709A">
        <w:t xml:space="preserve">Itron, Inc. 2014. </w:t>
      </w:r>
      <w:r w:rsidRPr="005035CE">
        <w:rPr>
          <w:i/>
        </w:rPr>
        <w:t>2010-2012 WO017 Ex Ante Measure Cost Study Final Report</w:t>
      </w:r>
      <w:r w:rsidRPr="00301B36">
        <w:t>.</w:t>
      </w:r>
      <w:r w:rsidRPr="00D3709A">
        <w:t xml:space="preserve"> Prepared for the California Public Utilities Commission.</w:t>
      </w:r>
    </w:p>
  </w:footnote>
  <w:footnote w:id="9">
    <w:p w14:paraId="577C99E5" w14:textId="170D56BF" w:rsidR="00194C43" w:rsidRDefault="00194C43" w:rsidP="00674531">
      <w:pPr>
        <w:pStyle w:val="FootnoteText"/>
      </w:pPr>
      <w:r>
        <w:rPr>
          <w:rStyle w:val="FootnoteReference"/>
        </w:rPr>
        <w:footnoteRef/>
      </w:r>
      <w:r>
        <w:t xml:space="preserve"> </w:t>
      </w:r>
      <w:r w:rsidRPr="005F1955">
        <w:t xml:space="preserve">RSMeans Historical Cost Index </w:t>
      </w:r>
      <w:r w:rsidRPr="005D5510">
        <w:rPr>
          <w:szCs w:val="18"/>
        </w:rPr>
        <w:t>https://www.rsmeansonline.com/References/CCI/3-Historical%20Cost%20Indexes/3-Historical%20Cost%20Indexes.PDF</w:t>
      </w:r>
      <w:r w:rsidRPr="005F195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194C43" w:rsidRPr="000220A0" w:rsidRDefault="00194C4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5D1011BB" w:rsidR="00194C43" w:rsidRDefault="00194C43">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5.10b Condenser Coil Cleaning, Residential</w:t>
    </w:r>
  </w:p>
  <w:p w14:paraId="0BBA2503" w14:textId="77777777" w:rsidR="00194C43" w:rsidRDefault="00194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194C43" w:rsidRDefault="00194C43" w:rsidP="00BD221D">
    <w:pPr>
      <w:jc w:val="center"/>
    </w:pPr>
  </w:p>
  <w:p w14:paraId="342310D5" w14:textId="5BACBCD8" w:rsidR="00194C43" w:rsidRDefault="00194C43" w:rsidP="00BD221D">
    <w:pPr>
      <w:jc w:val="center"/>
    </w:pPr>
    <w:r>
      <w:rPr>
        <w:noProof/>
      </w:rPr>
      <w:drawing>
        <wp:inline distT="0" distB="0" distL="0" distR="0" wp14:anchorId="4B2AF0A8" wp14:editId="7258E71E">
          <wp:extent cx="937307" cy="1405961"/>
          <wp:effectExtent l="0" t="0" r="2540" b="0"/>
          <wp:docPr id="19" name="Picture 1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13BA4292" w:rsidR="00194C43" w:rsidRDefault="00194C43"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SWSV006-01 Refrigerant Charge Adjustment, Residential</w:t>
    </w:r>
  </w:p>
  <w:p w14:paraId="2AC97B25" w14:textId="77777777" w:rsidR="00194C43" w:rsidRDefault="00194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194C43" w:rsidRDefault="00194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2A4ED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847D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9F4AA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7432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4E05A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3C9E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2C6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84E6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EEE8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8EB4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6F782A"/>
    <w:multiLevelType w:val="hybridMultilevel"/>
    <w:tmpl w:val="8CECA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304BE"/>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363789"/>
    <w:multiLevelType w:val="hybridMultilevel"/>
    <w:tmpl w:val="45040B4A"/>
    <w:lvl w:ilvl="0" w:tplc="4E9052B4">
      <w:start w:val="1"/>
      <w:numFmt w:val="decimal"/>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813E15"/>
    <w:multiLevelType w:val="hybridMultilevel"/>
    <w:tmpl w:val="DB34D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BA3853"/>
    <w:multiLevelType w:val="hybridMultilevel"/>
    <w:tmpl w:val="0C069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0E2FC4"/>
    <w:multiLevelType w:val="hybridMultilevel"/>
    <w:tmpl w:val="DB469D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1F71C6"/>
    <w:multiLevelType w:val="hybridMultilevel"/>
    <w:tmpl w:val="5A946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F4F21"/>
    <w:multiLevelType w:val="hybridMultilevel"/>
    <w:tmpl w:val="E8E8D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670826"/>
    <w:multiLevelType w:val="hybridMultilevel"/>
    <w:tmpl w:val="C64CD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966C22"/>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3"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5" w15:restartNumberingAfterBreak="0">
    <w:nsid w:val="7BBD464C"/>
    <w:multiLevelType w:val="hybridMultilevel"/>
    <w:tmpl w:val="8E2EF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2"/>
  </w:num>
  <w:num w:numId="3">
    <w:abstractNumId w:val="34"/>
  </w:num>
  <w:num w:numId="4">
    <w:abstractNumId w:val="34"/>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0"/>
  </w:num>
  <w:num w:numId="7">
    <w:abstractNumId w:val="18"/>
  </w:num>
  <w:num w:numId="8">
    <w:abstractNumId w:val="30"/>
  </w:num>
  <w:num w:numId="9">
    <w:abstractNumId w:val="9"/>
  </w:num>
  <w:num w:numId="10">
    <w:abstractNumId w:val="33"/>
  </w:num>
  <w:num w:numId="11">
    <w:abstractNumId w:val="19"/>
  </w:num>
  <w:num w:numId="12">
    <w:abstractNumId w:val="14"/>
  </w:num>
  <w:num w:numId="13">
    <w:abstractNumId w:val="28"/>
  </w:num>
  <w:num w:numId="14">
    <w:abstractNumId w:val="25"/>
  </w:num>
  <w:num w:numId="15">
    <w:abstractNumId w:val="15"/>
  </w:num>
  <w:num w:numId="16">
    <w:abstractNumId w:val="26"/>
  </w:num>
  <w:num w:numId="17">
    <w:abstractNumId w:val="31"/>
  </w:num>
  <w:num w:numId="18">
    <w:abstractNumId w:val="12"/>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7"/>
  </w:num>
  <w:num w:numId="29">
    <w:abstractNumId w:val="21"/>
  </w:num>
  <w:num w:numId="30">
    <w:abstractNumId w:val="11"/>
  </w:num>
  <w:num w:numId="31">
    <w:abstractNumId w:val="35"/>
  </w:num>
  <w:num w:numId="32">
    <w:abstractNumId w:val="16"/>
  </w:num>
  <w:num w:numId="33">
    <w:abstractNumId w:val="20"/>
  </w:num>
  <w:num w:numId="34">
    <w:abstractNumId w:val="13"/>
  </w:num>
  <w:num w:numId="35">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82"/>
    <w:rsid w:val="00005B06"/>
    <w:rsid w:val="00005FF8"/>
    <w:rsid w:val="000063B0"/>
    <w:rsid w:val="000110D9"/>
    <w:rsid w:val="000111AF"/>
    <w:rsid w:val="00012D12"/>
    <w:rsid w:val="00016928"/>
    <w:rsid w:val="000220A0"/>
    <w:rsid w:val="000229F1"/>
    <w:rsid w:val="0002389A"/>
    <w:rsid w:val="00026D58"/>
    <w:rsid w:val="000278CA"/>
    <w:rsid w:val="000302DF"/>
    <w:rsid w:val="00031184"/>
    <w:rsid w:val="00037A06"/>
    <w:rsid w:val="00046BB0"/>
    <w:rsid w:val="00051DBB"/>
    <w:rsid w:val="000521BA"/>
    <w:rsid w:val="00052C95"/>
    <w:rsid w:val="000530E4"/>
    <w:rsid w:val="0005587A"/>
    <w:rsid w:val="00061D34"/>
    <w:rsid w:val="000621A8"/>
    <w:rsid w:val="00063BE1"/>
    <w:rsid w:val="0006424B"/>
    <w:rsid w:val="0006517B"/>
    <w:rsid w:val="00065E54"/>
    <w:rsid w:val="000672E5"/>
    <w:rsid w:val="00072677"/>
    <w:rsid w:val="00074E3E"/>
    <w:rsid w:val="000767E9"/>
    <w:rsid w:val="0008108C"/>
    <w:rsid w:val="000841AA"/>
    <w:rsid w:val="00085726"/>
    <w:rsid w:val="0008754A"/>
    <w:rsid w:val="00087FD4"/>
    <w:rsid w:val="00090BBF"/>
    <w:rsid w:val="000910B7"/>
    <w:rsid w:val="00091581"/>
    <w:rsid w:val="00094517"/>
    <w:rsid w:val="0009512D"/>
    <w:rsid w:val="00095EAF"/>
    <w:rsid w:val="00096485"/>
    <w:rsid w:val="00097266"/>
    <w:rsid w:val="000978C8"/>
    <w:rsid w:val="000A1278"/>
    <w:rsid w:val="000A270E"/>
    <w:rsid w:val="000A4D3A"/>
    <w:rsid w:val="000A62EF"/>
    <w:rsid w:val="000A66B7"/>
    <w:rsid w:val="000A7058"/>
    <w:rsid w:val="000B139B"/>
    <w:rsid w:val="000B6004"/>
    <w:rsid w:val="000C36B4"/>
    <w:rsid w:val="000C72C1"/>
    <w:rsid w:val="000C7B77"/>
    <w:rsid w:val="000D0082"/>
    <w:rsid w:val="000E044A"/>
    <w:rsid w:val="000E1012"/>
    <w:rsid w:val="000E597C"/>
    <w:rsid w:val="000F1833"/>
    <w:rsid w:val="000F1F44"/>
    <w:rsid w:val="0010018B"/>
    <w:rsid w:val="00103399"/>
    <w:rsid w:val="0010471F"/>
    <w:rsid w:val="00104933"/>
    <w:rsid w:val="00111A53"/>
    <w:rsid w:val="0011498C"/>
    <w:rsid w:val="00120592"/>
    <w:rsid w:val="001217DF"/>
    <w:rsid w:val="0012187D"/>
    <w:rsid w:val="00121D87"/>
    <w:rsid w:val="00124BFE"/>
    <w:rsid w:val="00126809"/>
    <w:rsid w:val="00126B25"/>
    <w:rsid w:val="00131C5A"/>
    <w:rsid w:val="00142D3C"/>
    <w:rsid w:val="001451AB"/>
    <w:rsid w:val="001474D9"/>
    <w:rsid w:val="00151B9F"/>
    <w:rsid w:val="00153BB7"/>
    <w:rsid w:val="00154391"/>
    <w:rsid w:val="001564FC"/>
    <w:rsid w:val="00157985"/>
    <w:rsid w:val="00161DF1"/>
    <w:rsid w:val="00164494"/>
    <w:rsid w:val="001648F6"/>
    <w:rsid w:val="00166375"/>
    <w:rsid w:val="00171BB8"/>
    <w:rsid w:val="00174707"/>
    <w:rsid w:val="00177EB6"/>
    <w:rsid w:val="00180DAD"/>
    <w:rsid w:val="00181055"/>
    <w:rsid w:val="00181672"/>
    <w:rsid w:val="00181E01"/>
    <w:rsid w:val="00182775"/>
    <w:rsid w:val="001944A0"/>
    <w:rsid w:val="001944B4"/>
    <w:rsid w:val="00194C43"/>
    <w:rsid w:val="00195B03"/>
    <w:rsid w:val="00196649"/>
    <w:rsid w:val="001A11C7"/>
    <w:rsid w:val="001A4BE1"/>
    <w:rsid w:val="001A7A21"/>
    <w:rsid w:val="001B0D29"/>
    <w:rsid w:val="001B1D23"/>
    <w:rsid w:val="001B426F"/>
    <w:rsid w:val="001C2ACE"/>
    <w:rsid w:val="001C6C9B"/>
    <w:rsid w:val="001C7134"/>
    <w:rsid w:val="001D1787"/>
    <w:rsid w:val="001D656F"/>
    <w:rsid w:val="001D65A6"/>
    <w:rsid w:val="001D7A57"/>
    <w:rsid w:val="001E19A3"/>
    <w:rsid w:val="001E4C3F"/>
    <w:rsid w:val="001E6273"/>
    <w:rsid w:val="001F00E9"/>
    <w:rsid w:val="001F68F5"/>
    <w:rsid w:val="001F735E"/>
    <w:rsid w:val="002005A8"/>
    <w:rsid w:val="002006B6"/>
    <w:rsid w:val="00205BAF"/>
    <w:rsid w:val="00207F85"/>
    <w:rsid w:val="0021226A"/>
    <w:rsid w:val="0021230E"/>
    <w:rsid w:val="00214BAA"/>
    <w:rsid w:val="00224A16"/>
    <w:rsid w:val="00225142"/>
    <w:rsid w:val="002253B6"/>
    <w:rsid w:val="00226694"/>
    <w:rsid w:val="00227BDD"/>
    <w:rsid w:val="002318A4"/>
    <w:rsid w:val="002335FF"/>
    <w:rsid w:val="00233D87"/>
    <w:rsid w:val="002346E2"/>
    <w:rsid w:val="0023666C"/>
    <w:rsid w:val="00236692"/>
    <w:rsid w:val="00236E0A"/>
    <w:rsid w:val="00237964"/>
    <w:rsid w:val="00237FAE"/>
    <w:rsid w:val="002434DE"/>
    <w:rsid w:val="00245AFF"/>
    <w:rsid w:val="0024628D"/>
    <w:rsid w:val="0024690E"/>
    <w:rsid w:val="00251ABC"/>
    <w:rsid w:val="002524CF"/>
    <w:rsid w:val="00255E9F"/>
    <w:rsid w:val="00256400"/>
    <w:rsid w:val="002652D2"/>
    <w:rsid w:val="00271B18"/>
    <w:rsid w:val="00273571"/>
    <w:rsid w:val="00276F9B"/>
    <w:rsid w:val="002942B0"/>
    <w:rsid w:val="0029555D"/>
    <w:rsid w:val="0029781E"/>
    <w:rsid w:val="002A1953"/>
    <w:rsid w:val="002A2471"/>
    <w:rsid w:val="002A2A94"/>
    <w:rsid w:val="002B107C"/>
    <w:rsid w:val="002B2C97"/>
    <w:rsid w:val="002B3BF4"/>
    <w:rsid w:val="002B5CAA"/>
    <w:rsid w:val="002B6DED"/>
    <w:rsid w:val="002B6F2A"/>
    <w:rsid w:val="002C06FC"/>
    <w:rsid w:val="002C1117"/>
    <w:rsid w:val="002C67DF"/>
    <w:rsid w:val="002D0036"/>
    <w:rsid w:val="002D17CE"/>
    <w:rsid w:val="002D29F8"/>
    <w:rsid w:val="002D40EE"/>
    <w:rsid w:val="002D4993"/>
    <w:rsid w:val="002D50E9"/>
    <w:rsid w:val="002D5CFA"/>
    <w:rsid w:val="002D7AD6"/>
    <w:rsid w:val="002E5874"/>
    <w:rsid w:val="002F036B"/>
    <w:rsid w:val="002F739B"/>
    <w:rsid w:val="002F78E9"/>
    <w:rsid w:val="00301B36"/>
    <w:rsid w:val="00302A82"/>
    <w:rsid w:val="00304892"/>
    <w:rsid w:val="003103FB"/>
    <w:rsid w:val="00313E1D"/>
    <w:rsid w:val="00315C39"/>
    <w:rsid w:val="003247FA"/>
    <w:rsid w:val="003309DA"/>
    <w:rsid w:val="00333809"/>
    <w:rsid w:val="00336313"/>
    <w:rsid w:val="00337D1D"/>
    <w:rsid w:val="003414DB"/>
    <w:rsid w:val="0035060F"/>
    <w:rsid w:val="00351806"/>
    <w:rsid w:val="00352864"/>
    <w:rsid w:val="00362F9E"/>
    <w:rsid w:val="00363BE8"/>
    <w:rsid w:val="00370B5D"/>
    <w:rsid w:val="00372F61"/>
    <w:rsid w:val="00381DDF"/>
    <w:rsid w:val="00385069"/>
    <w:rsid w:val="00387072"/>
    <w:rsid w:val="00392097"/>
    <w:rsid w:val="00392684"/>
    <w:rsid w:val="003B7610"/>
    <w:rsid w:val="003C2CC3"/>
    <w:rsid w:val="003C42CD"/>
    <w:rsid w:val="003C7721"/>
    <w:rsid w:val="003D1FB8"/>
    <w:rsid w:val="003D6DFC"/>
    <w:rsid w:val="003D70D3"/>
    <w:rsid w:val="003D7104"/>
    <w:rsid w:val="003E2013"/>
    <w:rsid w:val="003E50CF"/>
    <w:rsid w:val="003E5605"/>
    <w:rsid w:val="003E7BC6"/>
    <w:rsid w:val="003F1C7A"/>
    <w:rsid w:val="003F21D2"/>
    <w:rsid w:val="003F269E"/>
    <w:rsid w:val="003F4964"/>
    <w:rsid w:val="003F65F3"/>
    <w:rsid w:val="00401C43"/>
    <w:rsid w:val="004046FF"/>
    <w:rsid w:val="00410790"/>
    <w:rsid w:val="00411002"/>
    <w:rsid w:val="00411EF4"/>
    <w:rsid w:val="004133BB"/>
    <w:rsid w:val="004142EF"/>
    <w:rsid w:val="00420958"/>
    <w:rsid w:val="00420EF1"/>
    <w:rsid w:val="0042134B"/>
    <w:rsid w:val="00421920"/>
    <w:rsid w:val="00423D33"/>
    <w:rsid w:val="0042418D"/>
    <w:rsid w:val="004249A0"/>
    <w:rsid w:val="0043155E"/>
    <w:rsid w:val="00432D49"/>
    <w:rsid w:val="004339EA"/>
    <w:rsid w:val="00433E8F"/>
    <w:rsid w:val="00434145"/>
    <w:rsid w:val="0044577B"/>
    <w:rsid w:val="00451588"/>
    <w:rsid w:val="004517F1"/>
    <w:rsid w:val="00451FF6"/>
    <w:rsid w:val="004556DF"/>
    <w:rsid w:val="00461AE3"/>
    <w:rsid w:val="00462BB6"/>
    <w:rsid w:val="00464A63"/>
    <w:rsid w:val="00466DD6"/>
    <w:rsid w:val="00470670"/>
    <w:rsid w:val="00472286"/>
    <w:rsid w:val="00475A47"/>
    <w:rsid w:val="00475D57"/>
    <w:rsid w:val="00482465"/>
    <w:rsid w:val="00484536"/>
    <w:rsid w:val="00486585"/>
    <w:rsid w:val="0049615E"/>
    <w:rsid w:val="00497289"/>
    <w:rsid w:val="004A06AE"/>
    <w:rsid w:val="004A510D"/>
    <w:rsid w:val="004B06E3"/>
    <w:rsid w:val="004B35DC"/>
    <w:rsid w:val="004B5888"/>
    <w:rsid w:val="004B6780"/>
    <w:rsid w:val="004B7CAA"/>
    <w:rsid w:val="004C2A36"/>
    <w:rsid w:val="004C3663"/>
    <w:rsid w:val="004C57EC"/>
    <w:rsid w:val="004C69F2"/>
    <w:rsid w:val="004D0C20"/>
    <w:rsid w:val="004D1461"/>
    <w:rsid w:val="004D3A71"/>
    <w:rsid w:val="004D3CE4"/>
    <w:rsid w:val="004D6511"/>
    <w:rsid w:val="004D7E51"/>
    <w:rsid w:val="004E04EE"/>
    <w:rsid w:val="004E1B37"/>
    <w:rsid w:val="004E2704"/>
    <w:rsid w:val="004E3F72"/>
    <w:rsid w:val="004E4D01"/>
    <w:rsid w:val="004F705B"/>
    <w:rsid w:val="00500964"/>
    <w:rsid w:val="00500C66"/>
    <w:rsid w:val="00505B94"/>
    <w:rsid w:val="00507690"/>
    <w:rsid w:val="005130EC"/>
    <w:rsid w:val="005146E6"/>
    <w:rsid w:val="0053212E"/>
    <w:rsid w:val="00535A42"/>
    <w:rsid w:val="0053748E"/>
    <w:rsid w:val="0054163E"/>
    <w:rsid w:val="005449C6"/>
    <w:rsid w:val="00560993"/>
    <w:rsid w:val="0056177B"/>
    <w:rsid w:val="00565740"/>
    <w:rsid w:val="00566B42"/>
    <w:rsid w:val="0057165C"/>
    <w:rsid w:val="00571D95"/>
    <w:rsid w:val="005722C6"/>
    <w:rsid w:val="00580FF8"/>
    <w:rsid w:val="00585C8D"/>
    <w:rsid w:val="005862CC"/>
    <w:rsid w:val="005911FE"/>
    <w:rsid w:val="0059312F"/>
    <w:rsid w:val="00593220"/>
    <w:rsid w:val="0059380C"/>
    <w:rsid w:val="00595758"/>
    <w:rsid w:val="00596081"/>
    <w:rsid w:val="005A053B"/>
    <w:rsid w:val="005A2688"/>
    <w:rsid w:val="005A3943"/>
    <w:rsid w:val="005A51E6"/>
    <w:rsid w:val="005A632E"/>
    <w:rsid w:val="005A74DC"/>
    <w:rsid w:val="005B4CE1"/>
    <w:rsid w:val="005B7418"/>
    <w:rsid w:val="005C03A9"/>
    <w:rsid w:val="005C0E8B"/>
    <w:rsid w:val="005C2BFC"/>
    <w:rsid w:val="005C324B"/>
    <w:rsid w:val="005C43E2"/>
    <w:rsid w:val="005C454A"/>
    <w:rsid w:val="005C74C9"/>
    <w:rsid w:val="005D1B14"/>
    <w:rsid w:val="005D257B"/>
    <w:rsid w:val="005D5A67"/>
    <w:rsid w:val="005D6D60"/>
    <w:rsid w:val="005E1D5C"/>
    <w:rsid w:val="005E25DC"/>
    <w:rsid w:val="005E52AE"/>
    <w:rsid w:val="005E5607"/>
    <w:rsid w:val="005E567C"/>
    <w:rsid w:val="005F505E"/>
    <w:rsid w:val="0060013E"/>
    <w:rsid w:val="00602976"/>
    <w:rsid w:val="0060388D"/>
    <w:rsid w:val="00604231"/>
    <w:rsid w:val="006068F3"/>
    <w:rsid w:val="00610C2F"/>
    <w:rsid w:val="00612C66"/>
    <w:rsid w:val="0062187C"/>
    <w:rsid w:val="006239BC"/>
    <w:rsid w:val="00625805"/>
    <w:rsid w:val="00627AC4"/>
    <w:rsid w:val="00630005"/>
    <w:rsid w:val="006314C9"/>
    <w:rsid w:val="0063253B"/>
    <w:rsid w:val="006363C8"/>
    <w:rsid w:val="00637AB8"/>
    <w:rsid w:val="0064021B"/>
    <w:rsid w:val="0064370D"/>
    <w:rsid w:val="00643771"/>
    <w:rsid w:val="00644946"/>
    <w:rsid w:val="00646AB8"/>
    <w:rsid w:val="00647BD9"/>
    <w:rsid w:val="00654A3E"/>
    <w:rsid w:val="006570F9"/>
    <w:rsid w:val="00657C37"/>
    <w:rsid w:val="006624A7"/>
    <w:rsid w:val="0066515F"/>
    <w:rsid w:val="006663E9"/>
    <w:rsid w:val="006668AF"/>
    <w:rsid w:val="00670A7E"/>
    <w:rsid w:val="0067278C"/>
    <w:rsid w:val="00674531"/>
    <w:rsid w:val="00676DAA"/>
    <w:rsid w:val="006811B5"/>
    <w:rsid w:val="00686439"/>
    <w:rsid w:val="00697A88"/>
    <w:rsid w:val="00697CF1"/>
    <w:rsid w:val="006A5606"/>
    <w:rsid w:val="006A6051"/>
    <w:rsid w:val="006B1FD7"/>
    <w:rsid w:val="006B31D9"/>
    <w:rsid w:val="006B6EB7"/>
    <w:rsid w:val="006C0102"/>
    <w:rsid w:val="006C07D4"/>
    <w:rsid w:val="006C41AD"/>
    <w:rsid w:val="006D04BD"/>
    <w:rsid w:val="006D47EF"/>
    <w:rsid w:val="006D6644"/>
    <w:rsid w:val="006D7180"/>
    <w:rsid w:val="006E433B"/>
    <w:rsid w:val="006E7899"/>
    <w:rsid w:val="006E7C78"/>
    <w:rsid w:val="006F27F4"/>
    <w:rsid w:val="006F2E23"/>
    <w:rsid w:val="006F4C30"/>
    <w:rsid w:val="006F7024"/>
    <w:rsid w:val="00703A7C"/>
    <w:rsid w:val="007044B3"/>
    <w:rsid w:val="007076DA"/>
    <w:rsid w:val="00707860"/>
    <w:rsid w:val="00717131"/>
    <w:rsid w:val="00717AA0"/>
    <w:rsid w:val="007207BF"/>
    <w:rsid w:val="007222D5"/>
    <w:rsid w:val="00723F41"/>
    <w:rsid w:val="00725CB0"/>
    <w:rsid w:val="00732238"/>
    <w:rsid w:val="00735119"/>
    <w:rsid w:val="0073517D"/>
    <w:rsid w:val="0073685C"/>
    <w:rsid w:val="00737EA5"/>
    <w:rsid w:val="007400AE"/>
    <w:rsid w:val="00741F3E"/>
    <w:rsid w:val="00742F88"/>
    <w:rsid w:val="00743AA8"/>
    <w:rsid w:val="00750840"/>
    <w:rsid w:val="00750899"/>
    <w:rsid w:val="00757617"/>
    <w:rsid w:val="00763AD8"/>
    <w:rsid w:val="00765016"/>
    <w:rsid w:val="007661A2"/>
    <w:rsid w:val="00767EDE"/>
    <w:rsid w:val="0077100C"/>
    <w:rsid w:val="00776C39"/>
    <w:rsid w:val="00781D00"/>
    <w:rsid w:val="00782054"/>
    <w:rsid w:val="007900F3"/>
    <w:rsid w:val="00791B69"/>
    <w:rsid w:val="0079498E"/>
    <w:rsid w:val="00796F10"/>
    <w:rsid w:val="007A017E"/>
    <w:rsid w:val="007A3530"/>
    <w:rsid w:val="007A6AB5"/>
    <w:rsid w:val="007A6C67"/>
    <w:rsid w:val="007B05B8"/>
    <w:rsid w:val="007B0B2F"/>
    <w:rsid w:val="007B14D9"/>
    <w:rsid w:val="007B2B46"/>
    <w:rsid w:val="007B30F2"/>
    <w:rsid w:val="007B377F"/>
    <w:rsid w:val="007B4274"/>
    <w:rsid w:val="007B443D"/>
    <w:rsid w:val="007B5117"/>
    <w:rsid w:val="007B599D"/>
    <w:rsid w:val="007B6650"/>
    <w:rsid w:val="007B6A74"/>
    <w:rsid w:val="007C0B13"/>
    <w:rsid w:val="007C2DC8"/>
    <w:rsid w:val="007C7DE2"/>
    <w:rsid w:val="007D097E"/>
    <w:rsid w:val="007D230B"/>
    <w:rsid w:val="007D2D80"/>
    <w:rsid w:val="007D3681"/>
    <w:rsid w:val="007D3824"/>
    <w:rsid w:val="007D49A1"/>
    <w:rsid w:val="007D59DD"/>
    <w:rsid w:val="007E1F66"/>
    <w:rsid w:val="007E2CB5"/>
    <w:rsid w:val="007E4C10"/>
    <w:rsid w:val="007E6501"/>
    <w:rsid w:val="007E6C25"/>
    <w:rsid w:val="007F32D7"/>
    <w:rsid w:val="007F4F97"/>
    <w:rsid w:val="007F669E"/>
    <w:rsid w:val="00801632"/>
    <w:rsid w:val="0080520B"/>
    <w:rsid w:val="00807B3E"/>
    <w:rsid w:val="00810D4A"/>
    <w:rsid w:val="00812F82"/>
    <w:rsid w:val="008139FB"/>
    <w:rsid w:val="008146FD"/>
    <w:rsid w:val="00816AAB"/>
    <w:rsid w:val="00817F4E"/>
    <w:rsid w:val="00820402"/>
    <w:rsid w:val="0082241E"/>
    <w:rsid w:val="008243B2"/>
    <w:rsid w:val="00824F08"/>
    <w:rsid w:val="00826BE0"/>
    <w:rsid w:val="008279BC"/>
    <w:rsid w:val="008310DF"/>
    <w:rsid w:val="00831105"/>
    <w:rsid w:val="00831B05"/>
    <w:rsid w:val="00835487"/>
    <w:rsid w:val="00835706"/>
    <w:rsid w:val="00844A4B"/>
    <w:rsid w:val="00854676"/>
    <w:rsid w:val="00862AC7"/>
    <w:rsid w:val="00865296"/>
    <w:rsid w:val="00867086"/>
    <w:rsid w:val="00867A5E"/>
    <w:rsid w:val="00870971"/>
    <w:rsid w:val="00871123"/>
    <w:rsid w:val="00874663"/>
    <w:rsid w:val="00881B95"/>
    <w:rsid w:val="008831CA"/>
    <w:rsid w:val="00887FDA"/>
    <w:rsid w:val="0089272A"/>
    <w:rsid w:val="00893E0E"/>
    <w:rsid w:val="00894890"/>
    <w:rsid w:val="00897247"/>
    <w:rsid w:val="008A114C"/>
    <w:rsid w:val="008A294D"/>
    <w:rsid w:val="008B08F0"/>
    <w:rsid w:val="008B262C"/>
    <w:rsid w:val="008B2DAD"/>
    <w:rsid w:val="008B6FC8"/>
    <w:rsid w:val="008C19E9"/>
    <w:rsid w:val="008C26E9"/>
    <w:rsid w:val="008C774E"/>
    <w:rsid w:val="008D4652"/>
    <w:rsid w:val="008D6D9D"/>
    <w:rsid w:val="008F1691"/>
    <w:rsid w:val="008F1EE2"/>
    <w:rsid w:val="008F22E2"/>
    <w:rsid w:val="008F2C36"/>
    <w:rsid w:val="008F4A04"/>
    <w:rsid w:val="008F5512"/>
    <w:rsid w:val="008F5698"/>
    <w:rsid w:val="008F639E"/>
    <w:rsid w:val="0090146F"/>
    <w:rsid w:val="00901EF2"/>
    <w:rsid w:val="00903EB6"/>
    <w:rsid w:val="00904906"/>
    <w:rsid w:val="0090702F"/>
    <w:rsid w:val="009079D0"/>
    <w:rsid w:val="00913D0A"/>
    <w:rsid w:val="009148A1"/>
    <w:rsid w:val="009179ED"/>
    <w:rsid w:val="00924972"/>
    <w:rsid w:val="009274A0"/>
    <w:rsid w:val="009309D7"/>
    <w:rsid w:val="00932E1E"/>
    <w:rsid w:val="00934068"/>
    <w:rsid w:val="00936348"/>
    <w:rsid w:val="00937854"/>
    <w:rsid w:val="009400F4"/>
    <w:rsid w:val="009469E0"/>
    <w:rsid w:val="00951869"/>
    <w:rsid w:val="00951C4D"/>
    <w:rsid w:val="00951D58"/>
    <w:rsid w:val="00952955"/>
    <w:rsid w:val="00952E03"/>
    <w:rsid w:val="0095396E"/>
    <w:rsid w:val="009547E2"/>
    <w:rsid w:val="00956488"/>
    <w:rsid w:val="00956F5F"/>
    <w:rsid w:val="009610DC"/>
    <w:rsid w:val="00964165"/>
    <w:rsid w:val="009669D2"/>
    <w:rsid w:val="00967385"/>
    <w:rsid w:val="0097154F"/>
    <w:rsid w:val="0098457F"/>
    <w:rsid w:val="00985996"/>
    <w:rsid w:val="00986978"/>
    <w:rsid w:val="00992EF7"/>
    <w:rsid w:val="00994F74"/>
    <w:rsid w:val="0099563A"/>
    <w:rsid w:val="00996F75"/>
    <w:rsid w:val="009A13F4"/>
    <w:rsid w:val="009A44BE"/>
    <w:rsid w:val="009B01A3"/>
    <w:rsid w:val="009B029F"/>
    <w:rsid w:val="009B27F8"/>
    <w:rsid w:val="009B4A8B"/>
    <w:rsid w:val="009B74FB"/>
    <w:rsid w:val="009C0660"/>
    <w:rsid w:val="009C31A4"/>
    <w:rsid w:val="009C4845"/>
    <w:rsid w:val="009C5E86"/>
    <w:rsid w:val="009C7314"/>
    <w:rsid w:val="009D2442"/>
    <w:rsid w:val="009D5D9F"/>
    <w:rsid w:val="009D7F4D"/>
    <w:rsid w:val="009E0FA2"/>
    <w:rsid w:val="009E1754"/>
    <w:rsid w:val="009E2244"/>
    <w:rsid w:val="009E2D42"/>
    <w:rsid w:val="009E57DF"/>
    <w:rsid w:val="009E6A95"/>
    <w:rsid w:val="009F2EAD"/>
    <w:rsid w:val="009F4968"/>
    <w:rsid w:val="009F57FD"/>
    <w:rsid w:val="009F7F9F"/>
    <w:rsid w:val="00A01E02"/>
    <w:rsid w:val="00A02E26"/>
    <w:rsid w:val="00A05BA0"/>
    <w:rsid w:val="00A10C74"/>
    <w:rsid w:val="00A159C9"/>
    <w:rsid w:val="00A167FB"/>
    <w:rsid w:val="00A21B70"/>
    <w:rsid w:val="00A21D02"/>
    <w:rsid w:val="00A21DDB"/>
    <w:rsid w:val="00A23CF6"/>
    <w:rsid w:val="00A25461"/>
    <w:rsid w:val="00A2690C"/>
    <w:rsid w:val="00A2792F"/>
    <w:rsid w:val="00A30970"/>
    <w:rsid w:val="00A315E4"/>
    <w:rsid w:val="00A31D96"/>
    <w:rsid w:val="00A31FEE"/>
    <w:rsid w:val="00A33722"/>
    <w:rsid w:val="00A33C55"/>
    <w:rsid w:val="00A406C3"/>
    <w:rsid w:val="00A42875"/>
    <w:rsid w:val="00A44DC1"/>
    <w:rsid w:val="00A4561D"/>
    <w:rsid w:val="00A47168"/>
    <w:rsid w:val="00A47A98"/>
    <w:rsid w:val="00A47EE7"/>
    <w:rsid w:val="00A50B43"/>
    <w:rsid w:val="00A51C87"/>
    <w:rsid w:val="00A54197"/>
    <w:rsid w:val="00A544AC"/>
    <w:rsid w:val="00A57E0C"/>
    <w:rsid w:val="00A61821"/>
    <w:rsid w:val="00A61E3A"/>
    <w:rsid w:val="00A631BA"/>
    <w:rsid w:val="00A65C27"/>
    <w:rsid w:val="00A67CA5"/>
    <w:rsid w:val="00A75CCD"/>
    <w:rsid w:val="00A80506"/>
    <w:rsid w:val="00A806AE"/>
    <w:rsid w:val="00A8118F"/>
    <w:rsid w:val="00A83458"/>
    <w:rsid w:val="00A86C41"/>
    <w:rsid w:val="00A90148"/>
    <w:rsid w:val="00A917F8"/>
    <w:rsid w:val="00A92196"/>
    <w:rsid w:val="00A954EE"/>
    <w:rsid w:val="00AA0D8C"/>
    <w:rsid w:val="00AA25BC"/>
    <w:rsid w:val="00AA3077"/>
    <w:rsid w:val="00AA3E2A"/>
    <w:rsid w:val="00AA46AF"/>
    <w:rsid w:val="00AA5AE7"/>
    <w:rsid w:val="00AB4E9E"/>
    <w:rsid w:val="00AB6C99"/>
    <w:rsid w:val="00AC11D5"/>
    <w:rsid w:val="00AC15E5"/>
    <w:rsid w:val="00AC22BB"/>
    <w:rsid w:val="00AC4080"/>
    <w:rsid w:val="00AC5A6D"/>
    <w:rsid w:val="00AC5D73"/>
    <w:rsid w:val="00AC73AD"/>
    <w:rsid w:val="00AC7BED"/>
    <w:rsid w:val="00AD067D"/>
    <w:rsid w:val="00AD548A"/>
    <w:rsid w:val="00AD5FFD"/>
    <w:rsid w:val="00AD705A"/>
    <w:rsid w:val="00AD78F9"/>
    <w:rsid w:val="00AE008D"/>
    <w:rsid w:val="00AE30E0"/>
    <w:rsid w:val="00AE346F"/>
    <w:rsid w:val="00AE3AD5"/>
    <w:rsid w:val="00AF097D"/>
    <w:rsid w:val="00AF2329"/>
    <w:rsid w:val="00AF3660"/>
    <w:rsid w:val="00AF7A20"/>
    <w:rsid w:val="00B01312"/>
    <w:rsid w:val="00B02D98"/>
    <w:rsid w:val="00B06685"/>
    <w:rsid w:val="00B13777"/>
    <w:rsid w:val="00B15D2F"/>
    <w:rsid w:val="00B16399"/>
    <w:rsid w:val="00B1760F"/>
    <w:rsid w:val="00B2586D"/>
    <w:rsid w:val="00B25AE4"/>
    <w:rsid w:val="00B265C9"/>
    <w:rsid w:val="00B26909"/>
    <w:rsid w:val="00B27664"/>
    <w:rsid w:val="00B31169"/>
    <w:rsid w:val="00B31828"/>
    <w:rsid w:val="00B41E25"/>
    <w:rsid w:val="00B42BEE"/>
    <w:rsid w:val="00B452B7"/>
    <w:rsid w:val="00B458E3"/>
    <w:rsid w:val="00B518FF"/>
    <w:rsid w:val="00B539D2"/>
    <w:rsid w:val="00B53D9A"/>
    <w:rsid w:val="00B54F17"/>
    <w:rsid w:val="00B556D8"/>
    <w:rsid w:val="00B561EE"/>
    <w:rsid w:val="00B57D47"/>
    <w:rsid w:val="00B6210E"/>
    <w:rsid w:val="00B632E3"/>
    <w:rsid w:val="00B64DC8"/>
    <w:rsid w:val="00B70688"/>
    <w:rsid w:val="00B73089"/>
    <w:rsid w:val="00B75FD9"/>
    <w:rsid w:val="00B77091"/>
    <w:rsid w:val="00B77C5A"/>
    <w:rsid w:val="00B837C1"/>
    <w:rsid w:val="00B841E0"/>
    <w:rsid w:val="00B860BA"/>
    <w:rsid w:val="00B865F5"/>
    <w:rsid w:val="00B870A0"/>
    <w:rsid w:val="00B90126"/>
    <w:rsid w:val="00B91DFE"/>
    <w:rsid w:val="00B92858"/>
    <w:rsid w:val="00B966E9"/>
    <w:rsid w:val="00B96BC7"/>
    <w:rsid w:val="00B97229"/>
    <w:rsid w:val="00BA08A3"/>
    <w:rsid w:val="00BA3D7D"/>
    <w:rsid w:val="00BA5AB3"/>
    <w:rsid w:val="00BB227E"/>
    <w:rsid w:val="00BB4F22"/>
    <w:rsid w:val="00BB7E3D"/>
    <w:rsid w:val="00BC3CD1"/>
    <w:rsid w:val="00BC5EC6"/>
    <w:rsid w:val="00BC5F0E"/>
    <w:rsid w:val="00BD2211"/>
    <w:rsid w:val="00BD221D"/>
    <w:rsid w:val="00BD3E65"/>
    <w:rsid w:val="00BD47C9"/>
    <w:rsid w:val="00BD5934"/>
    <w:rsid w:val="00BD7785"/>
    <w:rsid w:val="00BE299F"/>
    <w:rsid w:val="00BE3B2E"/>
    <w:rsid w:val="00BE7DE8"/>
    <w:rsid w:val="00BF1CBD"/>
    <w:rsid w:val="00BF52C4"/>
    <w:rsid w:val="00BF62EC"/>
    <w:rsid w:val="00BF7140"/>
    <w:rsid w:val="00C006BE"/>
    <w:rsid w:val="00C05B8E"/>
    <w:rsid w:val="00C1063D"/>
    <w:rsid w:val="00C116C9"/>
    <w:rsid w:val="00C15E0E"/>
    <w:rsid w:val="00C23FB5"/>
    <w:rsid w:val="00C24A1A"/>
    <w:rsid w:val="00C331BB"/>
    <w:rsid w:val="00C41A08"/>
    <w:rsid w:val="00C422B9"/>
    <w:rsid w:val="00C4240A"/>
    <w:rsid w:val="00C4241E"/>
    <w:rsid w:val="00C43665"/>
    <w:rsid w:val="00C44E8B"/>
    <w:rsid w:val="00C47F9D"/>
    <w:rsid w:val="00C504EC"/>
    <w:rsid w:val="00C50EFE"/>
    <w:rsid w:val="00C530B1"/>
    <w:rsid w:val="00C615A3"/>
    <w:rsid w:val="00C6198D"/>
    <w:rsid w:val="00C635DA"/>
    <w:rsid w:val="00C639E7"/>
    <w:rsid w:val="00C659BE"/>
    <w:rsid w:val="00C80300"/>
    <w:rsid w:val="00C82307"/>
    <w:rsid w:val="00C8613B"/>
    <w:rsid w:val="00C900DE"/>
    <w:rsid w:val="00C92622"/>
    <w:rsid w:val="00C97228"/>
    <w:rsid w:val="00C9780D"/>
    <w:rsid w:val="00CA02DA"/>
    <w:rsid w:val="00CA1A54"/>
    <w:rsid w:val="00CA1CB3"/>
    <w:rsid w:val="00CA34D8"/>
    <w:rsid w:val="00CA5D8C"/>
    <w:rsid w:val="00CA655A"/>
    <w:rsid w:val="00CC0983"/>
    <w:rsid w:val="00CC46B2"/>
    <w:rsid w:val="00CC49EF"/>
    <w:rsid w:val="00CC5718"/>
    <w:rsid w:val="00CD08C4"/>
    <w:rsid w:val="00CD1352"/>
    <w:rsid w:val="00CD1CBE"/>
    <w:rsid w:val="00CD1D98"/>
    <w:rsid w:val="00CD1E3E"/>
    <w:rsid w:val="00CD1E9A"/>
    <w:rsid w:val="00CD2EDC"/>
    <w:rsid w:val="00CD32E2"/>
    <w:rsid w:val="00CD4B0B"/>
    <w:rsid w:val="00CD6698"/>
    <w:rsid w:val="00CE1E5B"/>
    <w:rsid w:val="00CE2D39"/>
    <w:rsid w:val="00CE47AF"/>
    <w:rsid w:val="00CF1D92"/>
    <w:rsid w:val="00CF2D92"/>
    <w:rsid w:val="00CF5D91"/>
    <w:rsid w:val="00CF6FE5"/>
    <w:rsid w:val="00D0025C"/>
    <w:rsid w:val="00D004FB"/>
    <w:rsid w:val="00D02BBC"/>
    <w:rsid w:val="00D02C36"/>
    <w:rsid w:val="00D12172"/>
    <w:rsid w:val="00D12B8C"/>
    <w:rsid w:val="00D200F6"/>
    <w:rsid w:val="00D21646"/>
    <w:rsid w:val="00D2171F"/>
    <w:rsid w:val="00D227FA"/>
    <w:rsid w:val="00D305DF"/>
    <w:rsid w:val="00D3431F"/>
    <w:rsid w:val="00D36A3A"/>
    <w:rsid w:val="00D454F2"/>
    <w:rsid w:val="00D47CE9"/>
    <w:rsid w:val="00D52995"/>
    <w:rsid w:val="00D557A8"/>
    <w:rsid w:val="00D566C1"/>
    <w:rsid w:val="00D60383"/>
    <w:rsid w:val="00D60425"/>
    <w:rsid w:val="00D72ADE"/>
    <w:rsid w:val="00D75233"/>
    <w:rsid w:val="00D7728F"/>
    <w:rsid w:val="00D77696"/>
    <w:rsid w:val="00D81CC4"/>
    <w:rsid w:val="00D86E56"/>
    <w:rsid w:val="00D906E3"/>
    <w:rsid w:val="00D92CD3"/>
    <w:rsid w:val="00D9765E"/>
    <w:rsid w:val="00DA1473"/>
    <w:rsid w:val="00DA4591"/>
    <w:rsid w:val="00DA6430"/>
    <w:rsid w:val="00DA681A"/>
    <w:rsid w:val="00DA6B7E"/>
    <w:rsid w:val="00DA75E8"/>
    <w:rsid w:val="00DB63BE"/>
    <w:rsid w:val="00DB63DB"/>
    <w:rsid w:val="00DB7824"/>
    <w:rsid w:val="00DC308E"/>
    <w:rsid w:val="00DC5E0F"/>
    <w:rsid w:val="00DC6C76"/>
    <w:rsid w:val="00DC7F73"/>
    <w:rsid w:val="00DE034B"/>
    <w:rsid w:val="00DE191A"/>
    <w:rsid w:val="00DE1A0F"/>
    <w:rsid w:val="00DE3123"/>
    <w:rsid w:val="00DE339F"/>
    <w:rsid w:val="00DE65D3"/>
    <w:rsid w:val="00DF1535"/>
    <w:rsid w:val="00DF53F5"/>
    <w:rsid w:val="00DF61FD"/>
    <w:rsid w:val="00DF6D25"/>
    <w:rsid w:val="00E00FE3"/>
    <w:rsid w:val="00E03C6D"/>
    <w:rsid w:val="00E11EE3"/>
    <w:rsid w:val="00E135F9"/>
    <w:rsid w:val="00E14349"/>
    <w:rsid w:val="00E20C28"/>
    <w:rsid w:val="00E22A77"/>
    <w:rsid w:val="00E22E84"/>
    <w:rsid w:val="00E24B18"/>
    <w:rsid w:val="00E3016C"/>
    <w:rsid w:val="00E348BC"/>
    <w:rsid w:val="00E35B8D"/>
    <w:rsid w:val="00E36567"/>
    <w:rsid w:val="00E4307D"/>
    <w:rsid w:val="00E4318F"/>
    <w:rsid w:val="00E4392E"/>
    <w:rsid w:val="00E50B9E"/>
    <w:rsid w:val="00E54395"/>
    <w:rsid w:val="00E54741"/>
    <w:rsid w:val="00E55381"/>
    <w:rsid w:val="00E568E5"/>
    <w:rsid w:val="00E56A45"/>
    <w:rsid w:val="00E57AAD"/>
    <w:rsid w:val="00E6453F"/>
    <w:rsid w:val="00E659EF"/>
    <w:rsid w:val="00E677A6"/>
    <w:rsid w:val="00E70CBD"/>
    <w:rsid w:val="00E717E8"/>
    <w:rsid w:val="00E72BAF"/>
    <w:rsid w:val="00E73D81"/>
    <w:rsid w:val="00E754F4"/>
    <w:rsid w:val="00E865D1"/>
    <w:rsid w:val="00EA057C"/>
    <w:rsid w:val="00EA2D3D"/>
    <w:rsid w:val="00EA5B84"/>
    <w:rsid w:val="00EB20F9"/>
    <w:rsid w:val="00EB24EB"/>
    <w:rsid w:val="00EB34AF"/>
    <w:rsid w:val="00EC4235"/>
    <w:rsid w:val="00ED06CC"/>
    <w:rsid w:val="00ED2C8E"/>
    <w:rsid w:val="00ED379E"/>
    <w:rsid w:val="00ED7680"/>
    <w:rsid w:val="00EE0424"/>
    <w:rsid w:val="00EE0D47"/>
    <w:rsid w:val="00EE2E39"/>
    <w:rsid w:val="00EE5358"/>
    <w:rsid w:val="00EE7072"/>
    <w:rsid w:val="00EF1B6A"/>
    <w:rsid w:val="00EF3C59"/>
    <w:rsid w:val="00EF54D8"/>
    <w:rsid w:val="00EF71E9"/>
    <w:rsid w:val="00F006D2"/>
    <w:rsid w:val="00F00BD1"/>
    <w:rsid w:val="00F01FD9"/>
    <w:rsid w:val="00F04B07"/>
    <w:rsid w:val="00F05BA8"/>
    <w:rsid w:val="00F16F13"/>
    <w:rsid w:val="00F20AEA"/>
    <w:rsid w:val="00F219C3"/>
    <w:rsid w:val="00F23E9A"/>
    <w:rsid w:val="00F242D9"/>
    <w:rsid w:val="00F259FE"/>
    <w:rsid w:val="00F33A1B"/>
    <w:rsid w:val="00F35C08"/>
    <w:rsid w:val="00F3715D"/>
    <w:rsid w:val="00F44B62"/>
    <w:rsid w:val="00F5072C"/>
    <w:rsid w:val="00F51CBF"/>
    <w:rsid w:val="00F526D5"/>
    <w:rsid w:val="00F5411D"/>
    <w:rsid w:val="00F56D2B"/>
    <w:rsid w:val="00F57D2D"/>
    <w:rsid w:val="00F606D8"/>
    <w:rsid w:val="00F62A49"/>
    <w:rsid w:val="00F64F0D"/>
    <w:rsid w:val="00F7026A"/>
    <w:rsid w:val="00F71826"/>
    <w:rsid w:val="00F72B45"/>
    <w:rsid w:val="00F73B00"/>
    <w:rsid w:val="00F764EE"/>
    <w:rsid w:val="00F84737"/>
    <w:rsid w:val="00F87B69"/>
    <w:rsid w:val="00F90C95"/>
    <w:rsid w:val="00F9103E"/>
    <w:rsid w:val="00F9545E"/>
    <w:rsid w:val="00F95923"/>
    <w:rsid w:val="00F96A39"/>
    <w:rsid w:val="00F96DB3"/>
    <w:rsid w:val="00F97463"/>
    <w:rsid w:val="00FA44B6"/>
    <w:rsid w:val="00FA4B50"/>
    <w:rsid w:val="00FA4DC6"/>
    <w:rsid w:val="00FA5D99"/>
    <w:rsid w:val="00FB030E"/>
    <w:rsid w:val="00FB571F"/>
    <w:rsid w:val="00FC42BA"/>
    <w:rsid w:val="00FC6166"/>
    <w:rsid w:val="00FC77BB"/>
    <w:rsid w:val="00FD08C1"/>
    <w:rsid w:val="00FD2C54"/>
    <w:rsid w:val="00FD7A7A"/>
    <w:rsid w:val="00FE10C1"/>
    <w:rsid w:val="00FE190E"/>
    <w:rsid w:val="00FE20A9"/>
    <w:rsid w:val="00FE48A9"/>
    <w:rsid w:val="00FF08B7"/>
    <w:rsid w:val="00FF0ABE"/>
    <w:rsid w:val="00FF12B8"/>
    <w:rsid w:val="00FF171B"/>
    <w:rsid w:val="00FF37F2"/>
    <w:rsid w:val="00FF521D"/>
    <w:rsid w:val="00FF5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A544AC"/>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A544AC"/>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5321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248857">
      <w:bodyDiv w:val="1"/>
      <w:marLeft w:val="0"/>
      <w:marRight w:val="0"/>
      <w:marTop w:val="0"/>
      <w:marBottom w:val="0"/>
      <w:divBdr>
        <w:top w:val="none" w:sz="0" w:space="0" w:color="auto"/>
        <w:left w:val="none" w:sz="0" w:space="0" w:color="auto"/>
        <w:bottom w:val="none" w:sz="0" w:space="0" w:color="auto"/>
        <w:right w:val="none" w:sz="0" w:space="0" w:color="auto"/>
      </w:divBdr>
    </w:div>
    <w:div w:id="92812613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buildingscience.com/documents/information-sheets/refrigerant-charg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6A220-A323-4323-9133-A42E87EF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13</TotalTime>
  <Pages>10</Pages>
  <Words>2761</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18469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5</cp:revision>
  <cp:lastPrinted>2021-08-13T20:57:00Z</cp:lastPrinted>
  <dcterms:created xsi:type="dcterms:W3CDTF">2021-08-11T23:04:00Z</dcterms:created>
  <dcterms:modified xsi:type="dcterms:W3CDTF">2021-08-13T20:57:00Z</dcterms:modified>
  <cp:category/>
</cp:coreProperties>
</file>