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67881A82" w:rsidR="00BD221D" w:rsidRPr="0012470A" w:rsidRDefault="00B61584" w:rsidP="00BD221D">
            <w:pPr>
              <w:pStyle w:val="eTRMHeading1"/>
              <w:jc w:val="center"/>
              <w:rPr>
                <w:sz w:val="28"/>
              </w:rPr>
            </w:pPr>
            <w:r w:rsidRPr="0012470A">
              <w:rPr>
                <w:sz w:val="28"/>
              </w:rPr>
              <w:t>HVAC</w:t>
            </w:r>
          </w:p>
          <w:p w14:paraId="7F91A2D4" w14:textId="77777777" w:rsidR="00BD221D" w:rsidRPr="0012470A" w:rsidRDefault="00FC4CC7" w:rsidP="0012470A">
            <w:pPr>
              <w:pStyle w:val="eTRMHeading2"/>
              <w:rPr>
                <w:sz w:val="32"/>
              </w:rPr>
            </w:pPr>
            <w:r w:rsidRPr="0012470A">
              <w:rPr>
                <w:sz w:val="32"/>
              </w:rPr>
              <w:t xml:space="preserve">Duct </w:t>
            </w:r>
            <w:r w:rsidR="000A1437" w:rsidRPr="0012470A">
              <w:rPr>
                <w:sz w:val="32"/>
              </w:rPr>
              <w:t>Seal</w:t>
            </w:r>
            <w:r w:rsidRPr="0012470A">
              <w:rPr>
                <w:sz w:val="32"/>
              </w:rPr>
              <w:t>, Residential</w:t>
            </w:r>
          </w:p>
          <w:p w14:paraId="10BE1877" w14:textId="1BEE5C9D" w:rsidR="0012470A" w:rsidRPr="0012470A" w:rsidRDefault="0012470A" w:rsidP="0012470A">
            <w:pPr>
              <w:pStyle w:val="eTRMHeading2"/>
              <w:rPr>
                <w:spacing w:val="0"/>
              </w:rPr>
            </w:pPr>
            <w:r w:rsidRPr="0012470A">
              <w:rPr>
                <w:spacing w:val="0"/>
              </w:rPr>
              <w:t>SWSV001-</w:t>
            </w:r>
            <w:r w:rsidR="0006367A" w:rsidRPr="0012470A">
              <w:rPr>
                <w:spacing w:val="0"/>
              </w:rPr>
              <w:t>0</w:t>
            </w:r>
            <w:r w:rsidR="002A36A5">
              <w:rPr>
                <w:spacing w:val="0"/>
              </w:rPr>
              <w:t>3</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1C79FC16" w14:textId="06939261" w:rsidR="00B24BF9" w:rsidRDefault="001C6C9B">
      <w:pPr>
        <w:pStyle w:val="TOC3"/>
        <w:rPr>
          <w:rFonts w:asciiTheme="minorHAnsi" w:hAnsiTheme="minorHAnsi" w:hint="eastAsia"/>
          <w:noProof/>
          <w:szCs w:val="22"/>
        </w:rPr>
      </w:pPr>
      <w:r>
        <w:fldChar w:fldCharType="begin"/>
      </w:r>
      <w:r>
        <w:instrText xml:space="preserve"> TOC \t "eTRM Heading 3,3" </w:instrText>
      </w:r>
      <w:r>
        <w:fldChar w:fldCharType="separate"/>
      </w:r>
      <w:r w:rsidR="00B24BF9">
        <w:rPr>
          <w:noProof/>
        </w:rPr>
        <w:t>Measure Name</w:t>
      </w:r>
      <w:r w:rsidR="00B24BF9">
        <w:rPr>
          <w:noProof/>
        </w:rPr>
        <w:tab/>
      </w:r>
      <w:r w:rsidR="00B24BF9">
        <w:rPr>
          <w:noProof/>
        </w:rPr>
        <w:fldChar w:fldCharType="begin"/>
      </w:r>
      <w:r w:rsidR="00B24BF9">
        <w:rPr>
          <w:noProof/>
        </w:rPr>
        <w:instrText xml:space="preserve"> PAGEREF _Toc67405005 \h </w:instrText>
      </w:r>
      <w:r w:rsidR="00B24BF9">
        <w:rPr>
          <w:noProof/>
        </w:rPr>
      </w:r>
      <w:r w:rsidR="00B24BF9">
        <w:rPr>
          <w:noProof/>
        </w:rPr>
        <w:fldChar w:fldCharType="separate"/>
      </w:r>
      <w:r w:rsidR="00B24BF9">
        <w:rPr>
          <w:noProof/>
        </w:rPr>
        <w:t>2</w:t>
      </w:r>
      <w:r w:rsidR="00B24BF9">
        <w:rPr>
          <w:noProof/>
        </w:rPr>
        <w:fldChar w:fldCharType="end"/>
      </w:r>
    </w:p>
    <w:p w14:paraId="0EC89BF5" w14:textId="5840F22C" w:rsidR="00B24BF9" w:rsidRDefault="00B24BF9">
      <w:pPr>
        <w:pStyle w:val="TOC3"/>
        <w:rPr>
          <w:rFonts w:asciiTheme="minorHAnsi" w:hAnsiTheme="minorHAnsi" w:hint="eastAsia"/>
          <w:noProof/>
          <w:szCs w:val="22"/>
        </w:rPr>
      </w:pPr>
      <w:r>
        <w:rPr>
          <w:noProof/>
        </w:rPr>
        <w:t>Statewide Measure ID</w:t>
      </w:r>
      <w:r>
        <w:rPr>
          <w:noProof/>
        </w:rPr>
        <w:tab/>
      </w:r>
      <w:r>
        <w:rPr>
          <w:noProof/>
        </w:rPr>
        <w:fldChar w:fldCharType="begin"/>
      </w:r>
      <w:r>
        <w:rPr>
          <w:noProof/>
        </w:rPr>
        <w:instrText xml:space="preserve"> PAGEREF _Toc67405006 \h </w:instrText>
      </w:r>
      <w:r>
        <w:rPr>
          <w:noProof/>
        </w:rPr>
      </w:r>
      <w:r>
        <w:rPr>
          <w:noProof/>
        </w:rPr>
        <w:fldChar w:fldCharType="separate"/>
      </w:r>
      <w:r>
        <w:rPr>
          <w:noProof/>
        </w:rPr>
        <w:t>2</w:t>
      </w:r>
      <w:r>
        <w:rPr>
          <w:noProof/>
        </w:rPr>
        <w:fldChar w:fldCharType="end"/>
      </w:r>
    </w:p>
    <w:p w14:paraId="4113AFD0" w14:textId="0E185E8D" w:rsidR="00B24BF9" w:rsidRDefault="00B24BF9">
      <w:pPr>
        <w:pStyle w:val="TOC3"/>
        <w:rPr>
          <w:rFonts w:asciiTheme="minorHAnsi" w:hAnsiTheme="minorHAnsi" w:hint="eastAsia"/>
          <w:noProof/>
          <w:szCs w:val="22"/>
        </w:rPr>
      </w:pPr>
      <w:r>
        <w:rPr>
          <w:noProof/>
        </w:rPr>
        <w:t>Technology Summary</w:t>
      </w:r>
      <w:r>
        <w:rPr>
          <w:noProof/>
        </w:rPr>
        <w:tab/>
      </w:r>
      <w:r>
        <w:rPr>
          <w:noProof/>
        </w:rPr>
        <w:fldChar w:fldCharType="begin"/>
      </w:r>
      <w:r>
        <w:rPr>
          <w:noProof/>
        </w:rPr>
        <w:instrText xml:space="preserve"> PAGEREF _Toc67405007 \h </w:instrText>
      </w:r>
      <w:r>
        <w:rPr>
          <w:noProof/>
        </w:rPr>
      </w:r>
      <w:r>
        <w:rPr>
          <w:noProof/>
        </w:rPr>
        <w:fldChar w:fldCharType="separate"/>
      </w:r>
      <w:r>
        <w:rPr>
          <w:noProof/>
        </w:rPr>
        <w:t>2</w:t>
      </w:r>
      <w:r>
        <w:rPr>
          <w:noProof/>
        </w:rPr>
        <w:fldChar w:fldCharType="end"/>
      </w:r>
    </w:p>
    <w:p w14:paraId="2B4CA60A" w14:textId="76765F5E" w:rsidR="00B24BF9" w:rsidRDefault="00B24BF9">
      <w:pPr>
        <w:pStyle w:val="TOC3"/>
        <w:rPr>
          <w:rFonts w:asciiTheme="minorHAnsi" w:hAnsiTheme="minorHAnsi" w:hint="eastAsia"/>
          <w:noProof/>
          <w:szCs w:val="22"/>
        </w:rPr>
      </w:pPr>
      <w:r>
        <w:rPr>
          <w:noProof/>
        </w:rPr>
        <w:t>Measure Case Description</w:t>
      </w:r>
      <w:r>
        <w:rPr>
          <w:noProof/>
        </w:rPr>
        <w:tab/>
      </w:r>
      <w:r>
        <w:rPr>
          <w:noProof/>
        </w:rPr>
        <w:fldChar w:fldCharType="begin"/>
      </w:r>
      <w:r>
        <w:rPr>
          <w:noProof/>
        </w:rPr>
        <w:instrText xml:space="preserve"> PAGEREF _Toc67405008 \h </w:instrText>
      </w:r>
      <w:r>
        <w:rPr>
          <w:noProof/>
        </w:rPr>
      </w:r>
      <w:r>
        <w:rPr>
          <w:noProof/>
        </w:rPr>
        <w:fldChar w:fldCharType="separate"/>
      </w:r>
      <w:r>
        <w:rPr>
          <w:noProof/>
        </w:rPr>
        <w:t>3</w:t>
      </w:r>
      <w:r>
        <w:rPr>
          <w:noProof/>
        </w:rPr>
        <w:fldChar w:fldCharType="end"/>
      </w:r>
    </w:p>
    <w:p w14:paraId="368AA18E" w14:textId="3886521E" w:rsidR="00B24BF9" w:rsidRDefault="00B24BF9">
      <w:pPr>
        <w:pStyle w:val="TOC3"/>
        <w:rPr>
          <w:rFonts w:asciiTheme="minorHAnsi" w:hAnsiTheme="minorHAnsi" w:hint="eastAsia"/>
          <w:noProof/>
          <w:szCs w:val="22"/>
        </w:rPr>
      </w:pPr>
      <w:r>
        <w:rPr>
          <w:noProof/>
        </w:rPr>
        <w:t>Base Case Description</w:t>
      </w:r>
      <w:r>
        <w:rPr>
          <w:noProof/>
        </w:rPr>
        <w:tab/>
      </w:r>
      <w:r>
        <w:rPr>
          <w:noProof/>
        </w:rPr>
        <w:fldChar w:fldCharType="begin"/>
      </w:r>
      <w:r>
        <w:rPr>
          <w:noProof/>
        </w:rPr>
        <w:instrText xml:space="preserve"> PAGEREF _Toc67405009 \h </w:instrText>
      </w:r>
      <w:r>
        <w:rPr>
          <w:noProof/>
        </w:rPr>
      </w:r>
      <w:r>
        <w:rPr>
          <w:noProof/>
        </w:rPr>
        <w:fldChar w:fldCharType="separate"/>
      </w:r>
      <w:r>
        <w:rPr>
          <w:noProof/>
        </w:rPr>
        <w:t>4</w:t>
      </w:r>
      <w:r>
        <w:rPr>
          <w:noProof/>
        </w:rPr>
        <w:fldChar w:fldCharType="end"/>
      </w:r>
    </w:p>
    <w:p w14:paraId="7F6488D8" w14:textId="018E11D5" w:rsidR="00B24BF9" w:rsidRDefault="00B24BF9">
      <w:pPr>
        <w:pStyle w:val="TOC3"/>
        <w:rPr>
          <w:rFonts w:asciiTheme="minorHAnsi" w:hAnsiTheme="minorHAnsi" w:hint="eastAsia"/>
          <w:noProof/>
          <w:szCs w:val="22"/>
        </w:rPr>
      </w:pPr>
      <w:r>
        <w:rPr>
          <w:noProof/>
        </w:rPr>
        <w:t>Code Requirements</w:t>
      </w:r>
      <w:r>
        <w:rPr>
          <w:noProof/>
        </w:rPr>
        <w:tab/>
      </w:r>
      <w:r>
        <w:rPr>
          <w:noProof/>
        </w:rPr>
        <w:fldChar w:fldCharType="begin"/>
      </w:r>
      <w:r>
        <w:rPr>
          <w:noProof/>
        </w:rPr>
        <w:instrText xml:space="preserve"> PAGEREF _Toc67405010 \h </w:instrText>
      </w:r>
      <w:r>
        <w:rPr>
          <w:noProof/>
        </w:rPr>
      </w:r>
      <w:r>
        <w:rPr>
          <w:noProof/>
        </w:rPr>
        <w:fldChar w:fldCharType="separate"/>
      </w:r>
      <w:r>
        <w:rPr>
          <w:noProof/>
        </w:rPr>
        <w:t>5</w:t>
      </w:r>
      <w:r>
        <w:rPr>
          <w:noProof/>
        </w:rPr>
        <w:fldChar w:fldCharType="end"/>
      </w:r>
    </w:p>
    <w:p w14:paraId="4EE2B284" w14:textId="27418D0B" w:rsidR="00B24BF9" w:rsidRDefault="00B24BF9">
      <w:pPr>
        <w:pStyle w:val="TOC3"/>
        <w:rPr>
          <w:rFonts w:asciiTheme="minorHAnsi" w:hAnsiTheme="minorHAnsi" w:hint="eastAsia"/>
          <w:noProof/>
          <w:szCs w:val="22"/>
        </w:rPr>
      </w:pPr>
      <w:r>
        <w:rPr>
          <w:noProof/>
        </w:rPr>
        <w:t>Normalizing Unit</w:t>
      </w:r>
      <w:r>
        <w:rPr>
          <w:noProof/>
        </w:rPr>
        <w:tab/>
      </w:r>
      <w:r>
        <w:rPr>
          <w:noProof/>
        </w:rPr>
        <w:fldChar w:fldCharType="begin"/>
      </w:r>
      <w:r>
        <w:rPr>
          <w:noProof/>
        </w:rPr>
        <w:instrText xml:space="preserve"> PAGEREF _Toc67405011 \h </w:instrText>
      </w:r>
      <w:r>
        <w:rPr>
          <w:noProof/>
        </w:rPr>
      </w:r>
      <w:r>
        <w:rPr>
          <w:noProof/>
        </w:rPr>
        <w:fldChar w:fldCharType="separate"/>
      </w:r>
      <w:r>
        <w:rPr>
          <w:noProof/>
        </w:rPr>
        <w:t>5</w:t>
      </w:r>
      <w:r>
        <w:rPr>
          <w:noProof/>
        </w:rPr>
        <w:fldChar w:fldCharType="end"/>
      </w:r>
    </w:p>
    <w:p w14:paraId="69E74918" w14:textId="5F6AB561" w:rsidR="00B24BF9" w:rsidRDefault="00B24BF9">
      <w:pPr>
        <w:pStyle w:val="TOC3"/>
        <w:rPr>
          <w:rFonts w:asciiTheme="minorHAnsi" w:hAnsiTheme="minorHAnsi" w:hint="eastAsia"/>
          <w:noProof/>
          <w:szCs w:val="22"/>
        </w:rPr>
      </w:pPr>
      <w:r>
        <w:rPr>
          <w:noProof/>
        </w:rPr>
        <w:t>Program Requirements</w:t>
      </w:r>
      <w:r>
        <w:rPr>
          <w:noProof/>
        </w:rPr>
        <w:tab/>
      </w:r>
      <w:r>
        <w:rPr>
          <w:noProof/>
        </w:rPr>
        <w:fldChar w:fldCharType="begin"/>
      </w:r>
      <w:r>
        <w:rPr>
          <w:noProof/>
        </w:rPr>
        <w:instrText xml:space="preserve"> PAGEREF _Toc67405012 \h </w:instrText>
      </w:r>
      <w:r>
        <w:rPr>
          <w:noProof/>
        </w:rPr>
      </w:r>
      <w:r>
        <w:rPr>
          <w:noProof/>
        </w:rPr>
        <w:fldChar w:fldCharType="separate"/>
      </w:r>
      <w:r>
        <w:rPr>
          <w:noProof/>
        </w:rPr>
        <w:t>6</w:t>
      </w:r>
      <w:r>
        <w:rPr>
          <w:noProof/>
        </w:rPr>
        <w:fldChar w:fldCharType="end"/>
      </w:r>
    </w:p>
    <w:p w14:paraId="68EC0112" w14:textId="0BDB6B21" w:rsidR="00B24BF9" w:rsidRDefault="00B24BF9">
      <w:pPr>
        <w:pStyle w:val="TOC3"/>
        <w:rPr>
          <w:rFonts w:asciiTheme="minorHAnsi" w:hAnsiTheme="minorHAnsi" w:hint="eastAsia"/>
          <w:noProof/>
          <w:szCs w:val="22"/>
        </w:rPr>
      </w:pPr>
      <w:r>
        <w:rPr>
          <w:noProof/>
        </w:rPr>
        <w:t>Program Exclusions</w:t>
      </w:r>
      <w:r>
        <w:rPr>
          <w:noProof/>
        </w:rPr>
        <w:tab/>
      </w:r>
      <w:r>
        <w:rPr>
          <w:noProof/>
        </w:rPr>
        <w:fldChar w:fldCharType="begin"/>
      </w:r>
      <w:r>
        <w:rPr>
          <w:noProof/>
        </w:rPr>
        <w:instrText xml:space="preserve"> PAGEREF _Toc67405013 \h </w:instrText>
      </w:r>
      <w:r>
        <w:rPr>
          <w:noProof/>
        </w:rPr>
      </w:r>
      <w:r>
        <w:rPr>
          <w:noProof/>
        </w:rPr>
        <w:fldChar w:fldCharType="separate"/>
      </w:r>
      <w:r>
        <w:rPr>
          <w:noProof/>
        </w:rPr>
        <w:t>8</w:t>
      </w:r>
      <w:r>
        <w:rPr>
          <w:noProof/>
        </w:rPr>
        <w:fldChar w:fldCharType="end"/>
      </w:r>
    </w:p>
    <w:p w14:paraId="40F20A32" w14:textId="00E64C3A" w:rsidR="00B24BF9" w:rsidRDefault="00B24BF9">
      <w:pPr>
        <w:pStyle w:val="TOC3"/>
        <w:rPr>
          <w:rFonts w:asciiTheme="minorHAnsi" w:hAnsiTheme="minorHAnsi" w:hint="eastAsia"/>
          <w:noProof/>
          <w:szCs w:val="22"/>
        </w:rPr>
      </w:pPr>
      <w:r>
        <w:rPr>
          <w:noProof/>
        </w:rPr>
        <w:t>Data Collection Requirements</w:t>
      </w:r>
      <w:r>
        <w:rPr>
          <w:noProof/>
        </w:rPr>
        <w:tab/>
      </w:r>
      <w:r>
        <w:rPr>
          <w:noProof/>
        </w:rPr>
        <w:fldChar w:fldCharType="begin"/>
      </w:r>
      <w:r>
        <w:rPr>
          <w:noProof/>
        </w:rPr>
        <w:instrText xml:space="preserve"> PAGEREF _Toc67405014 \h </w:instrText>
      </w:r>
      <w:r>
        <w:rPr>
          <w:noProof/>
        </w:rPr>
      </w:r>
      <w:r>
        <w:rPr>
          <w:noProof/>
        </w:rPr>
        <w:fldChar w:fldCharType="separate"/>
      </w:r>
      <w:r>
        <w:rPr>
          <w:noProof/>
        </w:rPr>
        <w:t>8</w:t>
      </w:r>
      <w:r>
        <w:rPr>
          <w:noProof/>
        </w:rPr>
        <w:fldChar w:fldCharType="end"/>
      </w:r>
    </w:p>
    <w:p w14:paraId="207E0745" w14:textId="3399D337" w:rsidR="00B24BF9" w:rsidRDefault="00B24BF9">
      <w:pPr>
        <w:pStyle w:val="TOC3"/>
        <w:rPr>
          <w:rFonts w:asciiTheme="minorHAnsi" w:hAnsiTheme="minorHAnsi" w:hint="eastAsia"/>
          <w:noProof/>
          <w:szCs w:val="22"/>
        </w:rPr>
      </w:pPr>
      <w:r>
        <w:rPr>
          <w:noProof/>
        </w:rPr>
        <w:t>Use Category</w:t>
      </w:r>
      <w:r>
        <w:rPr>
          <w:noProof/>
        </w:rPr>
        <w:tab/>
      </w:r>
      <w:r>
        <w:rPr>
          <w:noProof/>
        </w:rPr>
        <w:fldChar w:fldCharType="begin"/>
      </w:r>
      <w:r>
        <w:rPr>
          <w:noProof/>
        </w:rPr>
        <w:instrText xml:space="preserve"> PAGEREF _Toc67405015 \h </w:instrText>
      </w:r>
      <w:r>
        <w:rPr>
          <w:noProof/>
        </w:rPr>
      </w:r>
      <w:r>
        <w:rPr>
          <w:noProof/>
        </w:rPr>
        <w:fldChar w:fldCharType="separate"/>
      </w:r>
      <w:r>
        <w:rPr>
          <w:noProof/>
        </w:rPr>
        <w:t>8</w:t>
      </w:r>
      <w:r>
        <w:rPr>
          <w:noProof/>
        </w:rPr>
        <w:fldChar w:fldCharType="end"/>
      </w:r>
    </w:p>
    <w:p w14:paraId="1DE99326" w14:textId="068D26EE" w:rsidR="00B24BF9" w:rsidRDefault="00B24BF9">
      <w:pPr>
        <w:pStyle w:val="TOC3"/>
        <w:rPr>
          <w:rFonts w:asciiTheme="minorHAnsi" w:hAnsiTheme="minorHAnsi" w:hint="eastAsia"/>
          <w:noProof/>
          <w:szCs w:val="22"/>
        </w:rPr>
      </w:pPr>
      <w:r>
        <w:rPr>
          <w:noProof/>
        </w:rPr>
        <w:t>Electric Savings (kWh)</w:t>
      </w:r>
      <w:r>
        <w:rPr>
          <w:noProof/>
        </w:rPr>
        <w:tab/>
      </w:r>
      <w:r>
        <w:rPr>
          <w:noProof/>
        </w:rPr>
        <w:fldChar w:fldCharType="begin"/>
      </w:r>
      <w:r>
        <w:rPr>
          <w:noProof/>
        </w:rPr>
        <w:instrText xml:space="preserve"> PAGEREF _Toc67405016 \h </w:instrText>
      </w:r>
      <w:r>
        <w:rPr>
          <w:noProof/>
        </w:rPr>
      </w:r>
      <w:r>
        <w:rPr>
          <w:noProof/>
        </w:rPr>
        <w:fldChar w:fldCharType="separate"/>
      </w:r>
      <w:r>
        <w:rPr>
          <w:noProof/>
        </w:rPr>
        <w:t>8</w:t>
      </w:r>
      <w:r>
        <w:rPr>
          <w:noProof/>
        </w:rPr>
        <w:fldChar w:fldCharType="end"/>
      </w:r>
    </w:p>
    <w:p w14:paraId="24BECB4F" w14:textId="33BE2945" w:rsidR="00B24BF9" w:rsidRDefault="00B24BF9">
      <w:pPr>
        <w:pStyle w:val="TOC3"/>
        <w:rPr>
          <w:rFonts w:asciiTheme="minorHAnsi" w:hAnsiTheme="minorHAnsi" w:hint="eastAsia"/>
          <w:noProof/>
          <w:szCs w:val="22"/>
        </w:rPr>
      </w:pPr>
      <w:r>
        <w:rPr>
          <w:noProof/>
        </w:rPr>
        <w:t>Peak Electric Demand Reduction (kW)</w:t>
      </w:r>
      <w:r>
        <w:rPr>
          <w:noProof/>
        </w:rPr>
        <w:tab/>
      </w:r>
      <w:r>
        <w:rPr>
          <w:noProof/>
        </w:rPr>
        <w:fldChar w:fldCharType="begin"/>
      </w:r>
      <w:r>
        <w:rPr>
          <w:noProof/>
        </w:rPr>
        <w:instrText xml:space="preserve"> PAGEREF _Toc67405017 \h </w:instrText>
      </w:r>
      <w:r>
        <w:rPr>
          <w:noProof/>
        </w:rPr>
      </w:r>
      <w:r>
        <w:rPr>
          <w:noProof/>
        </w:rPr>
        <w:fldChar w:fldCharType="separate"/>
      </w:r>
      <w:r>
        <w:rPr>
          <w:noProof/>
        </w:rPr>
        <w:t>10</w:t>
      </w:r>
      <w:r>
        <w:rPr>
          <w:noProof/>
        </w:rPr>
        <w:fldChar w:fldCharType="end"/>
      </w:r>
    </w:p>
    <w:p w14:paraId="468A5982" w14:textId="5859EAFA" w:rsidR="00B24BF9" w:rsidRDefault="00B24BF9">
      <w:pPr>
        <w:pStyle w:val="TOC3"/>
        <w:rPr>
          <w:rFonts w:asciiTheme="minorHAnsi" w:hAnsiTheme="minorHAnsi" w:hint="eastAsia"/>
          <w:noProof/>
          <w:szCs w:val="22"/>
        </w:rPr>
      </w:pPr>
      <w:r>
        <w:rPr>
          <w:noProof/>
        </w:rPr>
        <w:t>Gas Savings (Therms)</w:t>
      </w:r>
      <w:r>
        <w:rPr>
          <w:noProof/>
        </w:rPr>
        <w:tab/>
      </w:r>
      <w:r>
        <w:rPr>
          <w:noProof/>
        </w:rPr>
        <w:fldChar w:fldCharType="begin"/>
      </w:r>
      <w:r>
        <w:rPr>
          <w:noProof/>
        </w:rPr>
        <w:instrText xml:space="preserve"> PAGEREF _Toc67405018 \h </w:instrText>
      </w:r>
      <w:r>
        <w:rPr>
          <w:noProof/>
        </w:rPr>
      </w:r>
      <w:r>
        <w:rPr>
          <w:noProof/>
        </w:rPr>
        <w:fldChar w:fldCharType="separate"/>
      </w:r>
      <w:r>
        <w:rPr>
          <w:noProof/>
        </w:rPr>
        <w:t>10</w:t>
      </w:r>
      <w:r>
        <w:rPr>
          <w:noProof/>
        </w:rPr>
        <w:fldChar w:fldCharType="end"/>
      </w:r>
    </w:p>
    <w:p w14:paraId="4498B8D4" w14:textId="01F2EE13" w:rsidR="00B24BF9" w:rsidRDefault="00B24BF9">
      <w:pPr>
        <w:pStyle w:val="TOC3"/>
        <w:rPr>
          <w:rFonts w:asciiTheme="minorHAnsi" w:hAnsiTheme="minorHAnsi" w:hint="eastAsia"/>
          <w:noProof/>
          <w:szCs w:val="22"/>
        </w:rPr>
      </w:pPr>
      <w:r>
        <w:rPr>
          <w:noProof/>
        </w:rPr>
        <w:t>Life Cycle</w:t>
      </w:r>
      <w:r>
        <w:rPr>
          <w:noProof/>
        </w:rPr>
        <w:tab/>
      </w:r>
      <w:r>
        <w:rPr>
          <w:noProof/>
        </w:rPr>
        <w:fldChar w:fldCharType="begin"/>
      </w:r>
      <w:r>
        <w:rPr>
          <w:noProof/>
        </w:rPr>
        <w:instrText xml:space="preserve"> PAGEREF _Toc67405019 \h </w:instrText>
      </w:r>
      <w:r>
        <w:rPr>
          <w:noProof/>
        </w:rPr>
      </w:r>
      <w:r>
        <w:rPr>
          <w:noProof/>
        </w:rPr>
        <w:fldChar w:fldCharType="separate"/>
      </w:r>
      <w:r>
        <w:rPr>
          <w:noProof/>
        </w:rPr>
        <w:t>10</w:t>
      </w:r>
      <w:r>
        <w:rPr>
          <w:noProof/>
        </w:rPr>
        <w:fldChar w:fldCharType="end"/>
      </w:r>
    </w:p>
    <w:p w14:paraId="31F7665F" w14:textId="214BC57C" w:rsidR="00B24BF9" w:rsidRDefault="00B24BF9">
      <w:pPr>
        <w:pStyle w:val="TOC3"/>
        <w:rPr>
          <w:rFonts w:asciiTheme="minorHAnsi" w:hAnsiTheme="minorHAnsi" w:hint="eastAsia"/>
          <w:noProof/>
          <w:szCs w:val="22"/>
        </w:rPr>
      </w:pPr>
      <w:r>
        <w:rPr>
          <w:noProof/>
        </w:rPr>
        <w:t>Base Case Material Cost ($/unit)</w:t>
      </w:r>
      <w:r>
        <w:rPr>
          <w:noProof/>
        </w:rPr>
        <w:tab/>
      </w:r>
      <w:r>
        <w:rPr>
          <w:noProof/>
        </w:rPr>
        <w:fldChar w:fldCharType="begin"/>
      </w:r>
      <w:r>
        <w:rPr>
          <w:noProof/>
        </w:rPr>
        <w:instrText xml:space="preserve"> PAGEREF _Toc67405020 \h </w:instrText>
      </w:r>
      <w:r>
        <w:rPr>
          <w:noProof/>
        </w:rPr>
      </w:r>
      <w:r>
        <w:rPr>
          <w:noProof/>
        </w:rPr>
        <w:fldChar w:fldCharType="separate"/>
      </w:r>
      <w:r>
        <w:rPr>
          <w:noProof/>
        </w:rPr>
        <w:t>12</w:t>
      </w:r>
      <w:r>
        <w:rPr>
          <w:noProof/>
        </w:rPr>
        <w:fldChar w:fldCharType="end"/>
      </w:r>
    </w:p>
    <w:p w14:paraId="7B1F1DAE" w14:textId="2AB0B3A0" w:rsidR="00B24BF9" w:rsidRDefault="00B24BF9">
      <w:pPr>
        <w:pStyle w:val="TOC3"/>
        <w:rPr>
          <w:rFonts w:asciiTheme="minorHAnsi" w:hAnsiTheme="minorHAnsi" w:hint="eastAsia"/>
          <w:noProof/>
          <w:szCs w:val="22"/>
        </w:rPr>
      </w:pPr>
      <w:r>
        <w:rPr>
          <w:noProof/>
        </w:rPr>
        <w:t>Measure Case Material Cost ($/unit)</w:t>
      </w:r>
      <w:r>
        <w:rPr>
          <w:noProof/>
        </w:rPr>
        <w:tab/>
      </w:r>
      <w:r>
        <w:rPr>
          <w:noProof/>
        </w:rPr>
        <w:fldChar w:fldCharType="begin"/>
      </w:r>
      <w:r>
        <w:rPr>
          <w:noProof/>
        </w:rPr>
        <w:instrText xml:space="preserve"> PAGEREF _Toc67405021 \h </w:instrText>
      </w:r>
      <w:r>
        <w:rPr>
          <w:noProof/>
        </w:rPr>
      </w:r>
      <w:r>
        <w:rPr>
          <w:noProof/>
        </w:rPr>
        <w:fldChar w:fldCharType="separate"/>
      </w:r>
      <w:r>
        <w:rPr>
          <w:noProof/>
        </w:rPr>
        <w:t>12</w:t>
      </w:r>
      <w:r>
        <w:rPr>
          <w:noProof/>
        </w:rPr>
        <w:fldChar w:fldCharType="end"/>
      </w:r>
    </w:p>
    <w:p w14:paraId="73C28DE0" w14:textId="5A3DFEDB" w:rsidR="00B24BF9" w:rsidRDefault="00B24BF9">
      <w:pPr>
        <w:pStyle w:val="TOC3"/>
        <w:rPr>
          <w:rFonts w:asciiTheme="minorHAnsi" w:hAnsiTheme="minorHAnsi" w:hint="eastAsia"/>
          <w:noProof/>
          <w:szCs w:val="22"/>
        </w:rPr>
      </w:pPr>
      <w:r>
        <w:rPr>
          <w:noProof/>
        </w:rPr>
        <w:t>Base Case Labor Cost ($/unit)</w:t>
      </w:r>
      <w:r>
        <w:rPr>
          <w:noProof/>
        </w:rPr>
        <w:tab/>
      </w:r>
      <w:r>
        <w:rPr>
          <w:noProof/>
        </w:rPr>
        <w:fldChar w:fldCharType="begin"/>
      </w:r>
      <w:r>
        <w:rPr>
          <w:noProof/>
        </w:rPr>
        <w:instrText xml:space="preserve"> PAGEREF _Toc67405022 \h </w:instrText>
      </w:r>
      <w:r>
        <w:rPr>
          <w:noProof/>
        </w:rPr>
      </w:r>
      <w:r>
        <w:rPr>
          <w:noProof/>
        </w:rPr>
        <w:fldChar w:fldCharType="separate"/>
      </w:r>
      <w:r>
        <w:rPr>
          <w:noProof/>
        </w:rPr>
        <w:t>13</w:t>
      </w:r>
      <w:r>
        <w:rPr>
          <w:noProof/>
        </w:rPr>
        <w:fldChar w:fldCharType="end"/>
      </w:r>
    </w:p>
    <w:p w14:paraId="09C9B959" w14:textId="317A1E26" w:rsidR="00B24BF9" w:rsidRDefault="00B24BF9">
      <w:pPr>
        <w:pStyle w:val="TOC3"/>
        <w:rPr>
          <w:rFonts w:asciiTheme="minorHAnsi" w:hAnsiTheme="minorHAnsi" w:hint="eastAsia"/>
          <w:noProof/>
          <w:szCs w:val="22"/>
        </w:rPr>
      </w:pPr>
      <w:r>
        <w:rPr>
          <w:noProof/>
        </w:rPr>
        <w:t>Measure Case Labor Cost ($/unit)</w:t>
      </w:r>
      <w:r>
        <w:rPr>
          <w:noProof/>
        </w:rPr>
        <w:tab/>
      </w:r>
      <w:r>
        <w:rPr>
          <w:noProof/>
        </w:rPr>
        <w:fldChar w:fldCharType="begin"/>
      </w:r>
      <w:r>
        <w:rPr>
          <w:noProof/>
        </w:rPr>
        <w:instrText xml:space="preserve"> PAGEREF _Toc67405023 \h </w:instrText>
      </w:r>
      <w:r>
        <w:rPr>
          <w:noProof/>
        </w:rPr>
      </w:r>
      <w:r>
        <w:rPr>
          <w:noProof/>
        </w:rPr>
        <w:fldChar w:fldCharType="separate"/>
      </w:r>
      <w:r>
        <w:rPr>
          <w:noProof/>
        </w:rPr>
        <w:t>13</w:t>
      </w:r>
      <w:r>
        <w:rPr>
          <w:noProof/>
        </w:rPr>
        <w:fldChar w:fldCharType="end"/>
      </w:r>
    </w:p>
    <w:p w14:paraId="1AD83F43" w14:textId="72471E4E" w:rsidR="00B24BF9" w:rsidRDefault="00B24BF9">
      <w:pPr>
        <w:pStyle w:val="TOC3"/>
        <w:rPr>
          <w:rFonts w:asciiTheme="minorHAnsi" w:hAnsiTheme="minorHAnsi" w:hint="eastAsia"/>
          <w:noProof/>
          <w:szCs w:val="22"/>
        </w:rPr>
      </w:pPr>
      <w:r>
        <w:rPr>
          <w:noProof/>
        </w:rPr>
        <w:t>Net-to-Gross (NTG)</w:t>
      </w:r>
      <w:r>
        <w:rPr>
          <w:noProof/>
        </w:rPr>
        <w:tab/>
      </w:r>
      <w:r>
        <w:rPr>
          <w:noProof/>
        </w:rPr>
        <w:fldChar w:fldCharType="begin"/>
      </w:r>
      <w:r>
        <w:rPr>
          <w:noProof/>
        </w:rPr>
        <w:instrText xml:space="preserve"> PAGEREF _Toc67405024 \h </w:instrText>
      </w:r>
      <w:r>
        <w:rPr>
          <w:noProof/>
        </w:rPr>
      </w:r>
      <w:r>
        <w:rPr>
          <w:noProof/>
        </w:rPr>
        <w:fldChar w:fldCharType="separate"/>
      </w:r>
      <w:r>
        <w:rPr>
          <w:noProof/>
        </w:rPr>
        <w:t>13</w:t>
      </w:r>
      <w:r>
        <w:rPr>
          <w:noProof/>
        </w:rPr>
        <w:fldChar w:fldCharType="end"/>
      </w:r>
    </w:p>
    <w:p w14:paraId="74FF9C18" w14:textId="60AD917C" w:rsidR="00B24BF9" w:rsidRDefault="00B24BF9">
      <w:pPr>
        <w:pStyle w:val="TOC3"/>
        <w:rPr>
          <w:rFonts w:asciiTheme="minorHAnsi" w:hAnsiTheme="minorHAnsi" w:hint="eastAsia"/>
          <w:noProof/>
          <w:szCs w:val="22"/>
        </w:rPr>
      </w:pPr>
      <w:r>
        <w:rPr>
          <w:noProof/>
        </w:rPr>
        <w:t>Gross Savings Installation Adjustment (GSIA)</w:t>
      </w:r>
      <w:r>
        <w:rPr>
          <w:noProof/>
        </w:rPr>
        <w:tab/>
      </w:r>
      <w:r>
        <w:rPr>
          <w:noProof/>
        </w:rPr>
        <w:fldChar w:fldCharType="begin"/>
      </w:r>
      <w:r>
        <w:rPr>
          <w:noProof/>
        </w:rPr>
        <w:instrText xml:space="preserve"> PAGEREF _Toc67405025 \h </w:instrText>
      </w:r>
      <w:r>
        <w:rPr>
          <w:noProof/>
        </w:rPr>
      </w:r>
      <w:r>
        <w:rPr>
          <w:noProof/>
        </w:rPr>
        <w:fldChar w:fldCharType="separate"/>
      </w:r>
      <w:r>
        <w:rPr>
          <w:noProof/>
        </w:rPr>
        <w:t>14</w:t>
      </w:r>
      <w:r>
        <w:rPr>
          <w:noProof/>
        </w:rPr>
        <w:fldChar w:fldCharType="end"/>
      </w:r>
    </w:p>
    <w:p w14:paraId="0D142BC0" w14:textId="586D6644" w:rsidR="00B24BF9" w:rsidRDefault="00B24BF9">
      <w:pPr>
        <w:pStyle w:val="TOC3"/>
        <w:rPr>
          <w:rFonts w:asciiTheme="minorHAnsi" w:hAnsiTheme="minorHAnsi" w:hint="eastAsia"/>
          <w:noProof/>
          <w:szCs w:val="22"/>
        </w:rPr>
      </w:pPr>
      <w:r>
        <w:rPr>
          <w:noProof/>
        </w:rPr>
        <w:t>Non-Energy Impacts</w:t>
      </w:r>
      <w:r>
        <w:rPr>
          <w:noProof/>
        </w:rPr>
        <w:tab/>
      </w:r>
      <w:r>
        <w:rPr>
          <w:noProof/>
        </w:rPr>
        <w:fldChar w:fldCharType="begin"/>
      </w:r>
      <w:r>
        <w:rPr>
          <w:noProof/>
        </w:rPr>
        <w:instrText xml:space="preserve"> PAGEREF _Toc67405026 \h </w:instrText>
      </w:r>
      <w:r>
        <w:rPr>
          <w:noProof/>
        </w:rPr>
      </w:r>
      <w:r>
        <w:rPr>
          <w:noProof/>
        </w:rPr>
        <w:fldChar w:fldCharType="separate"/>
      </w:r>
      <w:r>
        <w:rPr>
          <w:noProof/>
        </w:rPr>
        <w:t>14</w:t>
      </w:r>
      <w:r>
        <w:rPr>
          <w:noProof/>
        </w:rPr>
        <w:fldChar w:fldCharType="end"/>
      </w:r>
    </w:p>
    <w:p w14:paraId="59DF0EEF" w14:textId="625DBCB2" w:rsidR="00B24BF9" w:rsidRDefault="00B24BF9">
      <w:pPr>
        <w:pStyle w:val="TOC3"/>
        <w:rPr>
          <w:rFonts w:asciiTheme="minorHAnsi" w:hAnsiTheme="minorHAnsi" w:hint="eastAsia"/>
          <w:noProof/>
          <w:szCs w:val="22"/>
        </w:rPr>
      </w:pPr>
      <w:r>
        <w:rPr>
          <w:noProof/>
        </w:rPr>
        <w:t>DEER Differences Analysis</w:t>
      </w:r>
      <w:r>
        <w:rPr>
          <w:noProof/>
        </w:rPr>
        <w:tab/>
      </w:r>
      <w:r>
        <w:rPr>
          <w:noProof/>
        </w:rPr>
        <w:fldChar w:fldCharType="begin"/>
      </w:r>
      <w:r>
        <w:rPr>
          <w:noProof/>
        </w:rPr>
        <w:instrText xml:space="preserve"> PAGEREF _Toc67405027 \h </w:instrText>
      </w:r>
      <w:r>
        <w:rPr>
          <w:noProof/>
        </w:rPr>
      </w:r>
      <w:r>
        <w:rPr>
          <w:noProof/>
        </w:rPr>
        <w:fldChar w:fldCharType="separate"/>
      </w:r>
      <w:r>
        <w:rPr>
          <w:noProof/>
        </w:rPr>
        <w:t>14</w:t>
      </w:r>
      <w:r>
        <w:rPr>
          <w:noProof/>
        </w:rPr>
        <w:fldChar w:fldCharType="end"/>
      </w:r>
    </w:p>
    <w:p w14:paraId="5D4CCAC7" w14:textId="37B6E601" w:rsidR="00B24BF9" w:rsidRDefault="00B24BF9">
      <w:pPr>
        <w:pStyle w:val="TOC3"/>
        <w:rPr>
          <w:rFonts w:asciiTheme="minorHAnsi" w:hAnsiTheme="minorHAnsi" w:hint="eastAsia"/>
          <w:noProof/>
          <w:szCs w:val="22"/>
        </w:rPr>
      </w:pPr>
      <w:r>
        <w:rPr>
          <w:noProof/>
        </w:rPr>
        <w:t>Revision History</w:t>
      </w:r>
      <w:r>
        <w:rPr>
          <w:noProof/>
        </w:rPr>
        <w:tab/>
      </w:r>
      <w:r>
        <w:rPr>
          <w:noProof/>
        </w:rPr>
        <w:fldChar w:fldCharType="begin"/>
      </w:r>
      <w:r>
        <w:rPr>
          <w:noProof/>
        </w:rPr>
        <w:instrText xml:space="preserve"> PAGEREF _Toc67405028 \h </w:instrText>
      </w:r>
      <w:r>
        <w:rPr>
          <w:noProof/>
        </w:rPr>
      </w:r>
      <w:r>
        <w:rPr>
          <w:noProof/>
        </w:rPr>
        <w:fldChar w:fldCharType="separate"/>
      </w:r>
      <w:r>
        <w:rPr>
          <w:noProof/>
        </w:rPr>
        <w:t>16</w:t>
      </w:r>
      <w:r>
        <w:rPr>
          <w:noProof/>
        </w:rPr>
        <w:fldChar w:fldCharType="end"/>
      </w:r>
    </w:p>
    <w:p w14:paraId="4C194BAF" w14:textId="6E5C049A" w:rsidR="001C6C9B" w:rsidRPr="00D12B8C" w:rsidRDefault="001C6C9B" w:rsidP="00B8721E">
      <w:pPr>
        <w:pStyle w:val="TOC3"/>
      </w:pPr>
      <w:r>
        <w:fldChar w:fldCharType="end"/>
      </w:r>
    </w:p>
    <w:p w14:paraId="7DD78D3A" w14:textId="77777777" w:rsidR="007E1F66" w:rsidRDefault="007E1F66">
      <w:pPr>
        <w:pStyle w:val="eTRMHeading3"/>
        <w:sectPr w:rsidR="007E1F66" w:rsidSect="00181E0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AB1382">
      <w:pPr>
        <w:pStyle w:val="eTRMHeading3"/>
      </w:pPr>
      <w:bookmarkStart w:id="0" w:name="_Toc486490839"/>
      <w:bookmarkStart w:id="1" w:name="_Toc486580912"/>
      <w:bookmarkStart w:id="2" w:name="_Toc67405005"/>
      <w:r w:rsidRPr="007E1F66">
        <w:lastRenderedPageBreak/>
        <w:t>Measure Name</w:t>
      </w:r>
      <w:bookmarkEnd w:id="0"/>
      <w:bookmarkEnd w:id="1"/>
      <w:bookmarkEnd w:id="2"/>
    </w:p>
    <w:p w14:paraId="3B952704" w14:textId="75191AE5" w:rsidR="00871123" w:rsidRDefault="00084EDF" w:rsidP="00462BB6">
      <w:pPr>
        <w:spacing w:before="20" w:after="20" w:line="280" w:lineRule="exact"/>
      </w:pPr>
      <w:r>
        <w:t xml:space="preserve">Duct </w:t>
      </w:r>
      <w:r w:rsidR="000A1437">
        <w:t>Seal</w:t>
      </w:r>
      <w:r>
        <w:t>, Residential</w:t>
      </w:r>
    </w:p>
    <w:p w14:paraId="4EAED972" w14:textId="77777777" w:rsidR="00871123" w:rsidRPr="00401C43" w:rsidRDefault="00871123" w:rsidP="00462BB6">
      <w:pPr>
        <w:spacing w:before="20" w:after="20" w:line="280" w:lineRule="exact"/>
      </w:pPr>
    </w:p>
    <w:p w14:paraId="6406A9D4" w14:textId="77777777" w:rsidR="00871123" w:rsidRPr="00074E3E" w:rsidRDefault="00871123" w:rsidP="00AB1382">
      <w:pPr>
        <w:pStyle w:val="eTRMHeading3"/>
        <w:spacing w:before="20" w:after="20"/>
      </w:pPr>
      <w:bookmarkStart w:id="3" w:name="_Toc486490840"/>
      <w:bookmarkStart w:id="4" w:name="_Toc486580913"/>
      <w:bookmarkStart w:id="5" w:name="_Toc67405006"/>
      <w:r>
        <w:t>Statewide Measure ID</w:t>
      </w:r>
      <w:bookmarkEnd w:id="3"/>
      <w:bookmarkEnd w:id="4"/>
      <w:bookmarkEnd w:id="5"/>
    </w:p>
    <w:p w14:paraId="6EAE2100" w14:textId="459B98A8" w:rsidR="00871123" w:rsidRDefault="2C6FE7E4" w:rsidP="000A1437">
      <w:r>
        <w:t>SW</w:t>
      </w:r>
      <w:r w:rsidR="0012470A">
        <w:t>SV001</w:t>
      </w:r>
      <w:r>
        <w:t>-</w:t>
      </w:r>
      <w:r w:rsidR="0006367A">
        <w:t>0</w:t>
      </w:r>
      <w:r w:rsidR="00621040">
        <w:t>3</w:t>
      </w:r>
    </w:p>
    <w:p w14:paraId="2B553EA2" w14:textId="77777777" w:rsidR="00871123" w:rsidRPr="00462BB6" w:rsidRDefault="00871123" w:rsidP="000A1437"/>
    <w:p w14:paraId="0F7CA2E6" w14:textId="77777777" w:rsidR="00E70CBD" w:rsidRPr="00154391" w:rsidRDefault="00E70CBD" w:rsidP="00975E33">
      <w:pPr>
        <w:pStyle w:val="eTRMHeading3"/>
      </w:pPr>
      <w:bookmarkStart w:id="6" w:name="_Toc486490847"/>
      <w:bookmarkStart w:id="7" w:name="_Toc486580918"/>
      <w:bookmarkStart w:id="8" w:name="_Toc67405007"/>
      <w:r w:rsidRPr="00154391">
        <w:t>Technology Summary</w:t>
      </w:r>
      <w:bookmarkEnd w:id="6"/>
      <w:bookmarkEnd w:id="7"/>
      <w:bookmarkEnd w:id="8"/>
      <w:r w:rsidRPr="00154391">
        <w:t xml:space="preserve"> </w:t>
      </w:r>
    </w:p>
    <w:p w14:paraId="336CD5F1" w14:textId="23C22951" w:rsidR="00C97228" w:rsidRDefault="00767F52" w:rsidP="00767F52">
      <w:r w:rsidRPr="002631DC">
        <w:t>The duct seal</w:t>
      </w:r>
      <w:r>
        <w:t xml:space="preserve">ing </w:t>
      </w:r>
      <w:r w:rsidRPr="002631DC">
        <w:t xml:space="preserve">measure involves duct tightness testing and sealing of central forced air residential, direct expansion (DX) </w:t>
      </w:r>
      <w:r w:rsidR="00425466" w:rsidRPr="00425466">
        <w:t xml:space="preserve">Heating, </w:t>
      </w:r>
      <w:r w:rsidR="000476F3">
        <w:t>V</w:t>
      </w:r>
      <w:r w:rsidR="00425466" w:rsidRPr="00425466">
        <w:t xml:space="preserve">entilation, and </w:t>
      </w:r>
      <w:r w:rsidR="000476F3">
        <w:t>A</w:t>
      </w:r>
      <w:r w:rsidR="00425466" w:rsidRPr="00425466">
        <w:t xml:space="preserve">ir </w:t>
      </w:r>
      <w:r w:rsidR="000476F3">
        <w:t>C</w:t>
      </w:r>
      <w:r w:rsidR="00425466" w:rsidRPr="00425466">
        <w:t>onditioning</w:t>
      </w:r>
      <w:r w:rsidR="00425466">
        <w:t xml:space="preserve"> (</w:t>
      </w:r>
      <w:r w:rsidRPr="002631DC">
        <w:t>HVAC</w:t>
      </w:r>
      <w:r w:rsidR="00425466">
        <w:t>)</w:t>
      </w:r>
      <w:r w:rsidRPr="002631DC">
        <w:t xml:space="preserve"> systems. When a HVAC duct system is leaky on the supply side it will fail to deliver conditioned air to the appropriate spaces, with much of that leakage going directly to the outdoors, thus wasting energy. Return air leakage brings in hot outdoor and attic air which reduces the cooling capacity of the system.</w:t>
      </w:r>
    </w:p>
    <w:p w14:paraId="2CE1CC8D" w14:textId="4141842A" w:rsidR="00846DD0" w:rsidRPr="002631DC" w:rsidRDefault="00846DD0" w:rsidP="00CB5AC3">
      <w:r w:rsidRPr="002631DC">
        <w:t xml:space="preserve">Several studies </w:t>
      </w:r>
      <w:r w:rsidR="00C06755">
        <w:t>have examined</w:t>
      </w:r>
      <w:r w:rsidRPr="002631DC">
        <w:t xml:space="preserve"> energy savings potential through </w:t>
      </w:r>
      <w:r w:rsidR="007C0BA4">
        <w:t>duct testing and sealing</w:t>
      </w:r>
      <w:r w:rsidR="000B4192">
        <w:t>:</w:t>
      </w:r>
    </w:p>
    <w:p w14:paraId="0D7CD107" w14:textId="3350D4F0" w:rsidR="00846DD0" w:rsidRPr="002631DC" w:rsidRDefault="00846DD0" w:rsidP="00EA3092">
      <w:r w:rsidRPr="000B4192">
        <w:rPr>
          <w:b/>
          <w:i/>
        </w:rPr>
        <w:t>Comparison between Predicted Duct Effectiveness from Proposed ASHRAE Standard 152 and Measured Field Data for Residential Forced Air Cooling Systems</w:t>
      </w:r>
      <w:r w:rsidR="00EA3092" w:rsidRPr="000B4192">
        <w:rPr>
          <w:b/>
          <w:i/>
        </w:rPr>
        <w:t xml:space="preserve"> (</w:t>
      </w:r>
      <w:r w:rsidRPr="000B4192">
        <w:rPr>
          <w:b/>
          <w:i/>
        </w:rPr>
        <w:t>Siegel, McWilliams,</w:t>
      </w:r>
      <w:r w:rsidR="00167E4C" w:rsidRPr="000B4192">
        <w:rPr>
          <w:b/>
          <w:i/>
        </w:rPr>
        <w:t xml:space="preserve"> and</w:t>
      </w:r>
      <w:r w:rsidRPr="000B4192">
        <w:rPr>
          <w:b/>
          <w:i/>
        </w:rPr>
        <w:t xml:space="preserve"> Walker; 2008</w:t>
      </w:r>
      <w:r w:rsidR="00EA3092" w:rsidRPr="000B4192">
        <w:rPr>
          <w:b/>
          <w:i/>
        </w:rPr>
        <w:t>)</w:t>
      </w:r>
      <w:r w:rsidRPr="000B4192">
        <w:rPr>
          <w:b/>
          <w:i/>
        </w:rPr>
        <w:t>.</w:t>
      </w:r>
      <w:bookmarkStart w:id="9" w:name="_Ref257279802"/>
      <w:r w:rsidR="00CB5AC3" w:rsidRPr="000B4192">
        <w:rPr>
          <w:rStyle w:val="FootnoteReference"/>
        </w:rPr>
        <w:footnoteReference w:id="2"/>
      </w:r>
      <w:bookmarkEnd w:id="9"/>
      <w:r w:rsidR="00EA3092">
        <w:t xml:space="preserve"> This</w:t>
      </w:r>
      <w:r w:rsidRPr="002631DC">
        <w:t xml:space="preserve"> study</w:t>
      </w:r>
      <w:r w:rsidR="00EA3092">
        <w:t xml:space="preserve">, conducted by </w:t>
      </w:r>
      <w:r w:rsidR="00EC51C0">
        <w:t>Lawrence Berkeley National Lab (</w:t>
      </w:r>
      <w:r w:rsidR="00EA3092">
        <w:t>LBNL</w:t>
      </w:r>
      <w:r w:rsidR="00EC51C0">
        <w:t>)</w:t>
      </w:r>
      <w:r w:rsidR="00EA3092">
        <w:t>,</w:t>
      </w:r>
      <w:r w:rsidRPr="002631DC">
        <w:t xml:space="preserve"> focused on comparing calculated results from the 2002 version of ASHRAE Standard 152P, “Method of Test for Determining the Design and Seasonal Efficiencies of Residential Thermal Distribution Systems</w:t>
      </w:r>
      <w:r w:rsidR="00C06755">
        <w:t>,</w:t>
      </w:r>
      <w:r w:rsidRPr="002631DC">
        <w:t>” with field test data. Field tests were performed on cooling systems in 11 homes in California, Nevada</w:t>
      </w:r>
      <w:r w:rsidR="00EA3092">
        <w:t>,</w:t>
      </w:r>
      <w:r w:rsidRPr="002631DC">
        <w:t xml:space="preserve"> and Texas. Some homes had vented attics with ceiling </w:t>
      </w:r>
      <w:r w:rsidR="00035C56" w:rsidRPr="002631DC">
        <w:t>insulation,</w:t>
      </w:r>
      <w:r w:rsidRPr="002631DC">
        <w:t xml:space="preserve"> and some had non-vented attics with roof insulation. The systems were tested under various summer conditions and with various amounts of duct leakage. In some cases</w:t>
      </w:r>
      <w:r w:rsidR="00EA3092">
        <w:t>,</w:t>
      </w:r>
      <w:r w:rsidRPr="002631DC">
        <w:t xml:space="preserve"> holes were cut in the duct work to simulate higher leakage rates.  </w:t>
      </w:r>
    </w:p>
    <w:p w14:paraId="086BADD9" w14:textId="6687359C" w:rsidR="00846DD0" w:rsidRDefault="00846DD0" w:rsidP="00EA3092">
      <w:r w:rsidRPr="002631DC">
        <w:t>ASHRAE Standard 152</w:t>
      </w:r>
      <w:r w:rsidR="00CB5AC3" w:rsidRPr="00EA3092">
        <w:rPr>
          <w:rStyle w:val="FootnoteReference"/>
        </w:rPr>
        <w:footnoteReference w:id="3"/>
      </w:r>
      <w:r w:rsidR="00CB5AC3" w:rsidRPr="002631DC">
        <w:t xml:space="preserve"> </w:t>
      </w:r>
      <w:r w:rsidRPr="002631DC">
        <w:t xml:space="preserve">gives a method for calculating overall duct distribution system efficiency for HVAC systems. The results of the </w:t>
      </w:r>
      <w:r w:rsidR="00EA3092">
        <w:t xml:space="preserve">2008 </w:t>
      </w:r>
      <w:r w:rsidRPr="002631DC">
        <w:t>LBNL study showed that the difference between measured duct system delivery effectiveness and that calculated per ASHRAE Standard 152 is approximately 5% if weather data, duct leakage</w:t>
      </w:r>
      <w:r w:rsidR="00EA3092">
        <w:t>,</w:t>
      </w:r>
      <w:r w:rsidRPr="002631DC">
        <w:t xml:space="preserve"> and air handler flow are well known.</w:t>
      </w:r>
    </w:p>
    <w:p w14:paraId="36E2D3D7" w14:textId="1AF9F760" w:rsidR="00846DD0" w:rsidRPr="001F6D59" w:rsidRDefault="00846DD0" w:rsidP="00EA3092">
      <w:r w:rsidRPr="000B4192">
        <w:rPr>
          <w:b/>
          <w:i/>
        </w:rPr>
        <w:t>National Energy Savings Potential from Addressing Residential HVAC Installation</w:t>
      </w:r>
      <w:r w:rsidR="00EA3092" w:rsidRPr="000B4192">
        <w:rPr>
          <w:b/>
          <w:i/>
        </w:rPr>
        <w:t xml:space="preserve"> (</w:t>
      </w:r>
      <w:r w:rsidRPr="000B4192">
        <w:rPr>
          <w:b/>
          <w:i/>
        </w:rPr>
        <w:t>Neme, Proctor,</w:t>
      </w:r>
      <w:r w:rsidR="00167E4C" w:rsidRPr="000B4192">
        <w:rPr>
          <w:b/>
          <w:i/>
        </w:rPr>
        <w:t xml:space="preserve"> and</w:t>
      </w:r>
      <w:r w:rsidRPr="000B4192">
        <w:rPr>
          <w:b/>
          <w:i/>
        </w:rPr>
        <w:t xml:space="preserve"> Nadel; 1999</w:t>
      </w:r>
      <w:r w:rsidR="00EA3092" w:rsidRPr="000B4192">
        <w:rPr>
          <w:b/>
          <w:i/>
        </w:rPr>
        <w:t>)</w:t>
      </w:r>
      <w:r w:rsidRPr="000B4192">
        <w:rPr>
          <w:b/>
          <w:i/>
        </w:rPr>
        <w:t>.</w:t>
      </w:r>
      <w:bookmarkStart w:id="10" w:name="_Ref257279837"/>
      <w:r w:rsidR="00EA3092" w:rsidRPr="00EA3092">
        <w:rPr>
          <w:rStyle w:val="FootnoteReference"/>
        </w:rPr>
        <w:footnoteReference w:id="4"/>
      </w:r>
      <w:bookmarkEnd w:id="10"/>
      <w:r w:rsidR="00EA3092">
        <w:t xml:space="preserve"> </w:t>
      </w:r>
      <w:r w:rsidRPr="002631DC">
        <w:t>This paper summarizes several studies on various HVAC unit installation problems.  For duct sealing, 19 separate studies are cited.  Sample sizes vary from three to over 10,000 units.  The methods of calculating savings and the sealed tightness of the duct systems vary between the studies.  Average duct leakage to outdoors is 270 cfm and energy savings potential is 17%.</w:t>
      </w:r>
    </w:p>
    <w:p w14:paraId="4E5657F8" w14:textId="1BCD2A87" w:rsidR="00846DD0" w:rsidRDefault="00846DD0" w:rsidP="00EA3092">
      <w:r w:rsidRPr="000B4192">
        <w:rPr>
          <w:b/>
          <w:i/>
        </w:rPr>
        <w:lastRenderedPageBreak/>
        <w:t xml:space="preserve">Field Investigation of Duct System Performance in California Light Commercial Buildings </w:t>
      </w:r>
      <w:r w:rsidR="00EA3092" w:rsidRPr="000B4192">
        <w:rPr>
          <w:b/>
          <w:i/>
        </w:rPr>
        <w:t>(</w:t>
      </w:r>
      <w:r w:rsidRPr="000B4192">
        <w:rPr>
          <w:b/>
          <w:i/>
        </w:rPr>
        <w:t>Delp, Matson, Tschudi, Modera,</w:t>
      </w:r>
      <w:r w:rsidR="000B4192">
        <w:rPr>
          <w:b/>
          <w:i/>
        </w:rPr>
        <w:t xml:space="preserve"> and</w:t>
      </w:r>
      <w:r w:rsidRPr="000B4192">
        <w:rPr>
          <w:b/>
          <w:i/>
        </w:rPr>
        <w:t xml:space="preserve"> Diamond</w:t>
      </w:r>
      <w:r w:rsidR="00EA3092" w:rsidRPr="000B4192">
        <w:rPr>
          <w:b/>
          <w:i/>
        </w:rPr>
        <w:t>;</w:t>
      </w:r>
      <w:r w:rsidRPr="000B4192">
        <w:rPr>
          <w:b/>
          <w:i/>
        </w:rPr>
        <w:t>1997</w:t>
      </w:r>
      <w:r w:rsidR="00EA3092" w:rsidRPr="000B4192">
        <w:rPr>
          <w:b/>
          <w:i/>
        </w:rPr>
        <w:t>)</w:t>
      </w:r>
      <w:r w:rsidRPr="000B4192">
        <w:rPr>
          <w:b/>
          <w:i/>
        </w:rPr>
        <w:t>.</w:t>
      </w:r>
      <w:bookmarkStart w:id="11" w:name="_Ref257279859"/>
      <w:r w:rsidR="00EA3092" w:rsidRPr="00EA3092">
        <w:rPr>
          <w:rStyle w:val="FootnoteReference"/>
        </w:rPr>
        <w:footnoteReference w:id="5"/>
      </w:r>
      <w:bookmarkEnd w:id="11"/>
      <w:r w:rsidR="00EA3092">
        <w:t xml:space="preserve"> </w:t>
      </w:r>
      <w:r w:rsidRPr="002631DC">
        <w:t xml:space="preserve">Duct system performance in </w:t>
      </w:r>
      <w:r w:rsidR="00EA3092">
        <w:t>15</w:t>
      </w:r>
      <w:r w:rsidRPr="002631DC">
        <w:t xml:space="preserve"> HVAC systems in eight Northern California buildings was evaluated. All of the buildings had ducts located in the cavity between the dropped ceiling and the roof deck. In 50% of the buildings, the cavity was functionally outside the building’s air and thermal barrier. The average leakage rate was determined to be 90 cfm/ton or 259 cfm/ft</w:t>
      </w:r>
      <w:r w:rsidR="00EA3092">
        <w:rPr>
          <w:vertAlign w:val="superscript"/>
        </w:rPr>
        <w:t>2</w:t>
      </w:r>
      <w:r w:rsidRPr="002631DC">
        <w:t xml:space="preserve"> of conditioned area.</w:t>
      </w:r>
    </w:p>
    <w:p w14:paraId="0335D3F5" w14:textId="62E42B4A" w:rsidR="00846DD0" w:rsidRDefault="00846DD0" w:rsidP="00EA3092">
      <w:r w:rsidRPr="000B4192">
        <w:rPr>
          <w:b/>
          <w:i/>
        </w:rPr>
        <w:t>A Campaign to Reduce Light Commercial Peak Load in the Southern California Edison Service Territory through Duct Sealing and A/C Tune-Ups</w:t>
      </w:r>
      <w:r w:rsidR="00EA3092" w:rsidRPr="000B4192">
        <w:rPr>
          <w:b/>
          <w:i/>
        </w:rPr>
        <w:t xml:space="preserve"> (</w:t>
      </w:r>
      <w:r w:rsidRPr="000B4192">
        <w:rPr>
          <w:b/>
          <w:i/>
        </w:rPr>
        <w:t>Modera</w:t>
      </w:r>
      <w:r w:rsidR="000B4192">
        <w:rPr>
          <w:b/>
          <w:i/>
        </w:rPr>
        <w:t xml:space="preserve"> and</w:t>
      </w:r>
      <w:r w:rsidRPr="000B4192">
        <w:rPr>
          <w:b/>
          <w:i/>
        </w:rPr>
        <w:t xml:space="preserve"> Proctor; 2002</w:t>
      </w:r>
      <w:r w:rsidR="00EA3092" w:rsidRPr="000B4192">
        <w:rPr>
          <w:b/>
          <w:i/>
        </w:rPr>
        <w:t>)</w:t>
      </w:r>
      <w:r w:rsidRPr="000B4192">
        <w:rPr>
          <w:b/>
          <w:i/>
        </w:rPr>
        <w:t>.</w:t>
      </w:r>
      <w:bookmarkStart w:id="12" w:name="_Ref257279879"/>
      <w:r w:rsidR="00CB5AC3" w:rsidRPr="002631DC">
        <w:rPr>
          <w:rStyle w:val="FootnoteReference"/>
          <w:rFonts w:ascii="Arial" w:hAnsi="Arial" w:cs="Arial"/>
          <w:szCs w:val="22"/>
        </w:rPr>
        <w:footnoteReference w:id="6"/>
      </w:r>
      <w:bookmarkEnd w:id="12"/>
      <w:r w:rsidR="00EA3092">
        <w:t xml:space="preserve"> </w:t>
      </w:r>
      <w:r w:rsidRPr="002631DC">
        <w:t xml:space="preserve">Light commercial duct systems </w:t>
      </w:r>
      <w:r w:rsidR="00EA3092">
        <w:t xml:space="preserve">of buildings in the Southern California Edison (SCE) service area </w:t>
      </w:r>
      <w:r w:rsidRPr="002631DC">
        <w:t>were tested and sealed. The study includes 447 units tested with 367 sealed. Tests show</w:t>
      </w:r>
      <w:r w:rsidR="00EA3092">
        <w:t>ed</w:t>
      </w:r>
      <w:r w:rsidRPr="002631DC">
        <w:t xml:space="preserve"> an average initial leakage rate of 36% with an average post</w:t>
      </w:r>
      <w:r w:rsidR="00EA3092">
        <w:t>-</w:t>
      </w:r>
      <w:r w:rsidRPr="002631DC">
        <w:t xml:space="preserve">retrofit leakage rate of 6%. Calculated savings per the ASHRAE Standard 152 method </w:t>
      </w:r>
      <w:r w:rsidR="00EA3092">
        <w:t>were</w:t>
      </w:r>
      <w:r w:rsidRPr="002631DC">
        <w:t xml:space="preserve"> 25% for cooling and 15% for heating.</w:t>
      </w:r>
    </w:p>
    <w:p w14:paraId="3650BCEE" w14:textId="77777777" w:rsidR="00846DD0" w:rsidRPr="00AB6C99" w:rsidRDefault="00846DD0" w:rsidP="00767F52"/>
    <w:p w14:paraId="5AF18021" w14:textId="77777777" w:rsidR="007D230B" w:rsidRPr="004B06E3" w:rsidRDefault="007D230B" w:rsidP="00975E33">
      <w:pPr>
        <w:pStyle w:val="eTRMHeading3"/>
      </w:pPr>
      <w:bookmarkStart w:id="13" w:name="_Toc486490848"/>
      <w:bookmarkStart w:id="14" w:name="_Toc486580919"/>
      <w:bookmarkStart w:id="15" w:name="_Toc67405008"/>
      <w:r w:rsidRPr="004B06E3">
        <w:t>Measure Case Description</w:t>
      </w:r>
      <w:bookmarkEnd w:id="13"/>
      <w:bookmarkEnd w:id="14"/>
      <w:bookmarkEnd w:id="15"/>
    </w:p>
    <w:p w14:paraId="3D05DD24" w14:textId="3D0A836A" w:rsidR="004666CC" w:rsidRDefault="004666CC" w:rsidP="004666CC">
      <w:r>
        <w:t>This measure is defined as duct sealing</w:t>
      </w:r>
      <w:r w:rsidR="00382298">
        <w:t xml:space="preserve"> </w:t>
      </w:r>
      <w:r>
        <w:t xml:space="preserve">to reduce total leakage from “high” </w:t>
      </w:r>
      <w:r w:rsidR="00A513C7">
        <w:t>or</w:t>
      </w:r>
      <w:r>
        <w:t xml:space="preserve"> “medium</w:t>
      </w:r>
      <w:r w:rsidR="00A513C7">
        <w:t>”</w:t>
      </w:r>
      <w:r w:rsidR="004E3F08">
        <w:t xml:space="preserve"> </w:t>
      </w:r>
      <w:r>
        <w:t>leakage rate to a “low” leakage rate, as specified by residence type</w:t>
      </w:r>
      <w:r w:rsidR="00953B06">
        <w:t xml:space="preserve"> (single family, multifamily, and double-wide mobile home)</w:t>
      </w:r>
      <w:r w:rsidR="004E3F08">
        <w:t xml:space="preserve">. </w:t>
      </w:r>
      <w:r w:rsidR="006A1C21">
        <w:t>Both</w:t>
      </w:r>
      <w:r w:rsidR="006573C4" w:rsidRPr="006573C4">
        <w:t xml:space="preserve"> measure </w:t>
      </w:r>
      <w:r w:rsidR="006A1C21">
        <w:t>cases</w:t>
      </w:r>
      <w:r w:rsidR="006573C4" w:rsidRPr="006573C4">
        <w:t xml:space="preserve"> </w:t>
      </w:r>
      <w:r w:rsidR="006A1C21">
        <w:t>are</w:t>
      </w:r>
      <w:r w:rsidR="006573C4" w:rsidRPr="006573C4">
        <w:t xml:space="preserve"> </w:t>
      </w:r>
      <w:r w:rsidR="006A1C21">
        <w:t>to</w:t>
      </w:r>
      <w:r w:rsidR="006573C4" w:rsidRPr="006573C4">
        <w:t xml:space="preserve"> go to a “low” leakage </w:t>
      </w:r>
      <w:r w:rsidR="006A1C21">
        <w:t xml:space="preserve">rate </w:t>
      </w:r>
      <w:r w:rsidR="006573C4" w:rsidRPr="006573C4">
        <w:t>after the duct is sealed</w:t>
      </w:r>
      <w:r w:rsidR="006A1C21">
        <w:t>. The “low” leakage rate is</w:t>
      </w:r>
      <w:r w:rsidR="006573C4" w:rsidRPr="006573C4">
        <w:t xml:space="preserve"> defined as </w:t>
      </w:r>
      <w:r w:rsidR="006A1C21">
        <w:t xml:space="preserve">a </w:t>
      </w:r>
      <w:r w:rsidR="006573C4" w:rsidRPr="006573C4">
        <w:t>12% leakage</w:t>
      </w:r>
      <w:r w:rsidR="006A1C21">
        <w:t xml:space="preserve"> rate</w:t>
      </w:r>
      <w:r w:rsidR="006573C4" w:rsidRPr="006573C4">
        <w:t xml:space="preserve"> for </w:t>
      </w:r>
      <w:r w:rsidR="006A1C21">
        <w:t>single family (</w:t>
      </w:r>
      <w:r w:rsidR="006573C4" w:rsidRPr="006573C4">
        <w:t>SFm</w:t>
      </w:r>
      <w:r w:rsidR="006A1C21">
        <w:t>) and multifamily (</w:t>
      </w:r>
      <w:r w:rsidR="006573C4" w:rsidRPr="006573C4">
        <w:t>MFm</w:t>
      </w:r>
      <w:r w:rsidR="006A1C21">
        <w:t>)</w:t>
      </w:r>
      <w:r w:rsidR="006573C4" w:rsidRPr="006573C4">
        <w:t xml:space="preserve">, and </w:t>
      </w:r>
      <w:r w:rsidR="006A1C21">
        <w:t xml:space="preserve">a </w:t>
      </w:r>
      <w:r w:rsidR="006573C4" w:rsidRPr="006573C4">
        <w:t>15% leakage</w:t>
      </w:r>
      <w:r w:rsidR="006A1C21">
        <w:t xml:space="preserve"> rate</w:t>
      </w:r>
      <w:r w:rsidR="006573C4" w:rsidRPr="006573C4">
        <w:t xml:space="preserve"> for </w:t>
      </w:r>
      <w:r w:rsidR="006A1C21">
        <w:t>double-wide mobile home (</w:t>
      </w:r>
      <w:r w:rsidR="006573C4" w:rsidRPr="006573C4">
        <w:t>DMo</w:t>
      </w:r>
      <w:r w:rsidR="006A1C21">
        <w:t>)</w:t>
      </w:r>
      <w:r w:rsidR="006573C4" w:rsidRPr="006573C4">
        <w:t xml:space="preserve">. </w:t>
      </w:r>
      <w:r w:rsidR="004E3F08">
        <w:t>T</w:t>
      </w:r>
      <w:r>
        <w:t>he energy and demand impacts of this measure also vary by climate zone.</w:t>
      </w:r>
    </w:p>
    <w:p w14:paraId="7E27084D" w14:textId="35F15321" w:rsidR="004E3F08" w:rsidRDefault="002A4675" w:rsidP="002A4675">
      <w:pPr>
        <w:pStyle w:val="Caption"/>
      </w:pPr>
      <w:r>
        <w:lastRenderedPageBreak/>
        <w:t>Measure Case Specification</w:t>
      </w:r>
    </w:p>
    <w:tbl>
      <w:tblPr>
        <w:tblW w:w="9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1710"/>
        <w:gridCol w:w="4140"/>
        <w:gridCol w:w="1525"/>
      </w:tblGrid>
      <w:tr w:rsidR="00497D39" w:rsidRPr="00154391" w14:paraId="5EDE3ABD" w14:textId="77777777" w:rsidTr="00C47BC8">
        <w:trPr>
          <w:cantSplit/>
          <w:trHeight w:val="20"/>
        </w:trPr>
        <w:tc>
          <w:tcPr>
            <w:tcW w:w="1885" w:type="dxa"/>
            <w:shd w:val="clear" w:color="auto" w:fill="F2F2F2" w:themeFill="background1" w:themeFillShade="F2"/>
          </w:tcPr>
          <w:p w14:paraId="2CAF0AE1" w14:textId="0B2F3E85" w:rsidR="00497D39" w:rsidRDefault="00F0073A" w:rsidP="00A513C7">
            <w:pPr>
              <w:keepNext/>
              <w:keepLines/>
              <w:spacing w:before="20" w:after="20"/>
              <w:jc w:val="center"/>
              <w:rPr>
                <w:b/>
                <w:sz w:val="20"/>
              </w:rPr>
            </w:pPr>
            <w:r w:rsidRPr="00F0073A">
              <w:rPr>
                <w:b/>
                <w:sz w:val="20"/>
              </w:rPr>
              <w:t>Statewide Measure Offering ID</w:t>
            </w:r>
          </w:p>
        </w:tc>
        <w:tc>
          <w:tcPr>
            <w:tcW w:w="1710" w:type="dxa"/>
            <w:shd w:val="clear" w:color="auto" w:fill="F2F2F2" w:themeFill="background1" w:themeFillShade="F2"/>
            <w:vAlign w:val="bottom"/>
          </w:tcPr>
          <w:p w14:paraId="20BBC574" w14:textId="451E0B94" w:rsidR="00497D39" w:rsidRDefault="00497D39" w:rsidP="00A513C7">
            <w:pPr>
              <w:keepNext/>
              <w:keepLines/>
              <w:spacing w:before="20" w:after="20"/>
              <w:jc w:val="center"/>
              <w:rPr>
                <w:b/>
                <w:sz w:val="20"/>
              </w:rPr>
            </w:pPr>
            <w:r>
              <w:rPr>
                <w:b/>
                <w:sz w:val="20"/>
              </w:rPr>
              <w:t>Base Case Leakage Rate Tier</w:t>
            </w:r>
          </w:p>
        </w:tc>
        <w:tc>
          <w:tcPr>
            <w:tcW w:w="4140" w:type="dxa"/>
            <w:shd w:val="clear" w:color="auto" w:fill="F2F2F2" w:themeFill="background1" w:themeFillShade="F2"/>
            <w:vAlign w:val="bottom"/>
          </w:tcPr>
          <w:p w14:paraId="4140AACB" w14:textId="6F28FBE8" w:rsidR="00497D39" w:rsidRDefault="00497D39" w:rsidP="00A513C7">
            <w:pPr>
              <w:keepNext/>
              <w:keepLines/>
              <w:spacing w:before="20" w:after="20"/>
              <w:jc w:val="center"/>
              <w:rPr>
                <w:b/>
                <w:sz w:val="20"/>
              </w:rPr>
            </w:pPr>
            <w:r>
              <w:rPr>
                <w:b/>
                <w:sz w:val="20"/>
              </w:rPr>
              <w:t>Residence Type</w:t>
            </w:r>
          </w:p>
        </w:tc>
        <w:tc>
          <w:tcPr>
            <w:tcW w:w="1525" w:type="dxa"/>
            <w:shd w:val="clear" w:color="auto" w:fill="F2F2F2" w:themeFill="background1" w:themeFillShade="F2"/>
            <w:vAlign w:val="bottom"/>
          </w:tcPr>
          <w:p w14:paraId="6F1DA20A" w14:textId="008AC62A" w:rsidR="00497D39" w:rsidRPr="00154391" w:rsidRDefault="00497D39" w:rsidP="00A513C7">
            <w:pPr>
              <w:keepNext/>
              <w:keepLines/>
              <w:spacing w:before="20" w:after="20"/>
              <w:jc w:val="center"/>
              <w:rPr>
                <w:b/>
                <w:sz w:val="20"/>
                <w:szCs w:val="20"/>
              </w:rPr>
            </w:pPr>
            <w:r>
              <w:rPr>
                <w:b/>
                <w:sz w:val="20"/>
                <w:szCs w:val="20"/>
              </w:rPr>
              <w:t>“Low” Measure Case</w:t>
            </w:r>
            <w:r>
              <w:rPr>
                <w:b/>
                <w:sz w:val="20"/>
                <w:szCs w:val="20"/>
              </w:rPr>
              <w:br/>
              <w:t xml:space="preserve"> Leakage Rate</w:t>
            </w:r>
          </w:p>
        </w:tc>
      </w:tr>
      <w:tr w:rsidR="004C6B6A" w:rsidRPr="00FB030E" w14:paraId="216028A2" w14:textId="77777777" w:rsidTr="00C47BC8">
        <w:trPr>
          <w:cantSplit/>
          <w:trHeight w:val="578"/>
        </w:trPr>
        <w:tc>
          <w:tcPr>
            <w:tcW w:w="1885" w:type="dxa"/>
          </w:tcPr>
          <w:p w14:paraId="570A1243" w14:textId="77777777" w:rsidR="004C6B6A" w:rsidRDefault="004C6B6A" w:rsidP="00182AB0">
            <w:pPr>
              <w:keepNext/>
              <w:keepLines/>
              <w:spacing w:before="20" w:after="20"/>
              <w:rPr>
                <w:sz w:val="20"/>
                <w:szCs w:val="20"/>
              </w:rPr>
            </w:pPr>
            <w:r w:rsidRPr="004C6B6A">
              <w:rPr>
                <w:sz w:val="20"/>
                <w:szCs w:val="20"/>
              </w:rPr>
              <w:t>SWSV001F</w:t>
            </w:r>
          </w:p>
          <w:p w14:paraId="2573BF58" w14:textId="0D599666" w:rsidR="004C6B6A" w:rsidRDefault="004C6B6A" w:rsidP="00182AB0">
            <w:pPr>
              <w:keepNext/>
              <w:keepLines/>
              <w:spacing w:before="20" w:after="20"/>
              <w:rPr>
                <w:sz w:val="20"/>
                <w:szCs w:val="20"/>
              </w:rPr>
            </w:pPr>
            <w:r w:rsidRPr="004C6B6A">
              <w:rPr>
                <w:sz w:val="20"/>
                <w:szCs w:val="20"/>
              </w:rPr>
              <w:t>SWSV001H</w:t>
            </w:r>
          </w:p>
        </w:tc>
        <w:tc>
          <w:tcPr>
            <w:tcW w:w="1710" w:type="dxa"/>
            <w:vMerge w:val="restart"/>
          </w:tcPr>
          <w:p w14:paraId="3BBB4550" w14:textId="442C0DC2" w:rsidR="004C6B6A" w:rsidRDefault="004C6B6A" w:rsidP="00182AB0">
            <w:pPr>
              <w:keepNext/>
              <w:keepLines/>
              <w:spacing w:before="20" w:after="20"/>
              <w:rPr>
                <w:sz w:val="20"/>
                <w:szCs w:val="20"/>
              </w:rPr>
            </w:pPr>
            <w:r w:rsidRPr="004C6B6A">
              <w:rPr>
                <w:sz w:val="20"/>
                <w:szCs w:val="20"/>
              </w:rPr>
              <w:t>High to Low</w:t>
            </w:r>
          </w:p>
        </w:tc>
        <w:tc>
          <w:tcPr>
            <w:tcW w:w="4140" w:type="dxa"/>
          </w:tcPr>
          <w:p w14:paraId="32D71E98" w14:textId="77777777" w:rsidR="004C6B6A" w:rsidRDefault="004C6B6A" w:rsidP="00182AB0">
            <w:pPr>
              <w:keepNext/>
              <w:keepLines/>
              <w:spacing w:before="20" w:after="20"/>
              <w:rPr>
                <w:sz w:val="20"/>
                <w:szCs w:val="20"/>
              </w:rPr>
            </w:pPr>
            <w:r>
              <w:rPr>
                <w:sz w:val="20"/>
                <w:szCs w:val="20"/>
              </w:rPr>
              <w:t>Single family</w:t>
            </w:r>
          </w:p>
          <w:p w14:paraId="32E2B3E0" w14:textId="01BD8078" w:rsidR="004C6B6A" w:rsidRDefault="004C6B6A" w:rsidP="00182AB0">
            <w:pPr>
              <w:keepNext/>
              <w:keepLines/>
              <w:spacing w:before="20" w:after="20"/>
              <w:rPr>
                <w:sz w:val="20"/>
                <w:szCs w:val="20"/>
              </w:rPr>
            </w:pPr>
            <w:r>
              <w:rPr>
                <w:sz w:val="20"/>
                <w:szCs w:val="20"/>
              </w:rPr>
              <w:t>Multifamily</w:t>
            </w:r>
          </w:p>
        </w:tc>
        <w:tc>
          <w:tcPr>
            <w:tcW w:w="1525" w:type="dxa"/>
            <w:shd w:val="clear" w:color="auto" w:fill="auto"/>
            <w:vAlign w:val="center"/>
          </w:tcPr>
          <w:p w14:paraId="6B406B45" w14:textId="63DEE2A6" w:rsidR="004C6B6A" w:rsidRPr="00FB030E" w:rsidRDefault="004C6B6A" w:rsidP="00211BC1">
            <w:pPr>
              <w:keepNext/>
              <w:keepLines/>
              <w:spacing w:before="20" w:after="20"/>
              <w:jc w:val="center"/>
              <w:rPr>
                <w:sz w:val="20"/>
                <w:szCs w:val="20"/>
              </w:rPr>
            </w:pPr>
            <w:r>
              <w:rPr>
                <w:sz w:val="20"/>
                <w:szCs w:val="20"/>
              </w:rPr>
              <w:t>12%</w:t>
            </w:r>
          </w:p>
        </w:tc>
      </w:tr>
      <w:tr w:rsidR="00497D39" w:rsidRPr="00FB030E" w14:paraId="7958EECF" w14:textId="77777777" w:rsidTr="00C47BC8">
        <w:trPr>
          <w:cantSplit/>
          <w:trHeight w:val="20"/>
        </w:trPr>
        <w:tc>
          <w:tcPr>
            <w:tcW w:w="1885" w:type="dxa"/>
            <w:tcBorders>
              <w:bottom w:val="single" w:sz="12" w:space="0" w:color="auto"/>
            </w:tcBorders>
          </w:tcPr>
          <w:p w14:paraId="186E6630" w14:textId="3795BAA8" w:rsidR="00497D39" w:rsidRDefault="004C6B6A" w:rsidP="00182AB0">
            <w:pPr>
              <w:keepNext/>
              <w:keepLines/>
              <w:spacing w:before="20" w:after="20"/>
              <w:rPr>
                <w:sz w:val="20"/>
                <w:szCs w:val="20"/>
              </w:rPr>
            </w:pPr>
            <w:r w:rsidRPr="004C6B6A">
              <w:rPr>
                <w:sz w:val="20"/>
                <w:szCs w:val="20"/>
              </w:rPr>
              <w:t>SWSV001D</w:t>
            </w:r>
          </w:p>
        </w:tc>
        <w:tc>
          <w:tcPr>
            <w:tcW w:w="1710" w:type="dxa"/>
            <w:vMerge/>
            <w:tcBorders>
              <w:bottom w:val="single" w:sz="12" w:space="0" w:color="auto"/>
            </w:tcBorders>
          </w:tcPr>
          <w:p w14:paraId="72D7EBA9" w14:textId="3B5DCC2B" w:rsidR="00497D39" w:rsidRDefault="00497D39" w:rsidP="00182AB0">
            <w:pPr>
              <w:keepNext/>
              <w:keepLines/>
              <w:spacing w:before="20" w:after="20"/>
              <w:rPr>
                <w:sz w:val="20"/>
                <w:szCs w:val="20"/>
              </w:rPr>
            </w:pPr>
          </w:p>
        </w:tc>
        <w:tc>
          <w:tcPr>
            <w:tcW w:w="4140" w:type="dxa"/>
            <w:tcBorders>
              <w:bottom w:val="single" w:sz="12" w:space="0" w:color="auto"/>
            </w:tcBorders>
          </w:tcPr>
          <w:p w14:paraId="5D1A9F26" w14:textId="318101CC" w:rsidR="00497D39" w:rsidRDefault="00497D39" w:rsidP="00182AB0">
            <w:pPr>
              <w:keepNext/>
              <w:keepLines/>
              <w:spacing w:before="20" w:after="20"/>
              <w:rPr>
                <w:sz w:val="20"/>
                <w:szCs w:val="20"/>
              </w:rPr>
            </w:pPr>
            <w:r>
              <w:rPr>
                <w:sz w:val="20"/>
                <w:szCs w:val="20"/>
              </w:rPr>
              <w:t>Double-wide mobile home</w:t>
            </w:r>
          </w:p>
        </w:tc>
        <w:tc>
          <w:tcPr>
            <w:tcW w:w="1525" w:type="dxa"/>
            <w:tcBorders>
              <w:bottom w:val="single" w:sz="12" w:space="0" w:color="auto"/>
            </w:tcBorders>
            <w:shd w:val="clear" w:color="auto" w:fill="auto"/>
            <w:vAlign w:val="center"/>
          </w:tcPr>
          <w:p w14:paraId="16F2BD68" w14:textId="33AD6BA2" w:rsidR="00497D39" w:rsidRDefault="00497D39" w:rsidP="00211BC1">
            <w:pPr>
              <w:keepNext/>
              <w:keepLines/>
              <w:spacing w:before="20" w:after="20"/>
              <w:jc w:val="center"/>
              <w:rPr>
                <w:sz w:val="20"/>
                <w:szCs w:val="20"/>
              </w:rPr>
            </w:pPr>
            <w:r>
              <w:rPr>
                <w:sz w:val="20"/>
                <w:szCs w:val="20"/>
              </w:rPr>
              <w:t>15%</w:t>
            </w:r>
          </w:p>
        </w:tc>
      </w:tr>
      <w:tr w:rsidR="004C6B6A" w:rsidRPr="00FB030E" w14:paraId="345897F0" w14:textId="77777777" w:rsidTr="00C47BC8">
        <w:trPr>
          <w:cantSplit/>
          <w:trHeight w:val="578"/>
        </w:trPr>
        <w:tc>
          <w:tcPr>
            <w:tcW w:w="1885" w:type="dxa"/>
            <w:tcBorders>
              <w:top w:val="single" w:sz="12" w:space="0" w:color="auto"/>
            </w:tcBorders>
          </w:tcPr>
          <w:p w14:paraId="37C4506A" w14:textId="77777777" w:rsidR="004C6B6A" w:rsidRDefault="004C6B6A" w:rsidP="00211BC1">
            <w:pPr>
              <w:keepNext/>
              <w:keepLines/>
              <w:spacing w:before="20" w:after="20"/>
              <w:rPr>
                <w:sz w:val="20"/>
                <w:szCs w:val="20"/>
              </w:rPr>
            </w:pPr>
            <w:r w:rsidRPr="004C6B6A">
              <w:rPr>
                <w:sz w:val="20"/>
                <w:szCs w:val="20"/>
              </w:rPr>
              <w:t>SWSV001E</w:t>
            </w:r>
          </w:p>
          <w:p w14:paraId="3342DE62" w14:textId="74595DEB" w:rsidR="004C6B6A" w:rsidRDefault="004C6B6A" w:rsidP="00211BC1">
            <w:pPr>
              <w:keepNext/>
              <w:keepLines/>
              <w:spacing w:before="20" w:after="20"/>
              <w:rPr>
                <w:sz w:val="20"/>
                <w:szCs w:val="20"/>
              </w:rPr>
            </w:pPr>
            <w:r w:rsidRPr="004C6B6A">
              <w:rPr>
                <w:sz w:val="20"/>
                <w:szCs w:val="20"/>
              </w:rPr>
              <w:t>SWSV001G</w:t>
            </w:r>
          </w:p>
        </w:tc>
        <w:tc>
          <w:tcPr>
            <w:tcW w:w="1710" w:type="dxa"/>
            <w:vMerge w:val="restart"/>
            <w:tcBorders>
              <w:top w:val="single" w:sz="12" w:space="0" w:color="auto"/>
            </w:tcBorders>
          </w:tcPr>
          <w:p w14:paraId="120F21D5" w14:textId="5E530DBC" w:rsidR="004C6B6A" w:rsidRDefault="004C6B6A" w:rsidP="00211BC1">
            <w:pPr>
              <w:keepNext/>
              <w:keepLines/>
              <w:spacing w:before="20" w:after="20"/>
              <w:rPr>
                <w:sz w:val="20"/>
                <w:szCs w:val="20"/>
              </w:rPr>
            </w:pPr>
            <w:r>
              <w:rPr>
                <w:sz w:val="20"/>
                <w:szCs w:val="20"/>
              </w:rPr>
              <w:t>Medium to Low</w:t>
            </w:r>
          </w:p>
        </w:tc>
        <w:tc>
          <w:tcPr>
            <w:tcW w:w="4140" w:type="dxa"/>
            <w:tcBorders>
              <w:top w:val="single" w:sz="12" w:space="0" w:color="auto"/>
            </w:tcBorders>
          </w:tcPr>
          <w:p w14:paraId="281B9AEE" w14:textId="77777777" w:rsidR="004C6B6A" w:rsidRDefault="004C6B6A" w:rsidP="00211BC1">
            <w:pPr>
              <w:keepNext/>
              <w:keepLines/>
              <w:spacing w:before="20" w:after="20"/>
              <w:rPr>
                <w:sz w:val="20"/>
                <w:szCs w:val="20"/>
              </w:rPr>
            </w:pPr>
            <w:r>
              <w:rPr>
                <w:sz w:val="20"/>
                <w:szCs w:val="20"/>
              </w:rPr>
              <w:t>Single family</w:t>
            </w:r>
          </w:p>
          <w:p w14:paraId="3D080484" w14:textId="46135495" w:rsidR="004C6B6A" w:rsidRDefault="004C6B6A" w:rsidP="00211BC1">
            <w:pPr>
              <w:keepNext/>
              <w:keepLines/>
              <w:spacing w:before="20" w:after="20"/>
              <w:rPr>
                <w:sz w:val="20"/>
                <w:szCs w:val="20"/>
              </w:rPr>
            </w:pPr>
            <w:r>
              <w:rPr>
                <w:sz w:val="20"/>
                <w:szCs w:val="20"/>
              </w:rPr>
              <w:t>Multifamily</w:t>
            </w:r>
          </w:p>
        </w:tc>
        <w:tc>
          <w:tcPr>
            <w:tcW w:w="1525" w:type="dxa"/>
            <w:tcBorders>
              <w:top w:val="single" w:sz="12" w:space="0" w:color="auto"/>
            </w:tcBorders>
            <w:shd w:val="clear" w:color="auto" w:fill="auto"/>
            <w:vAlign w:val="center"/>
          </w:tcPr>
          <w:p w14:paraId="02DEB1D3" w14:textId="51D9BD0E" w:rsidR="004C6B6A" w:rsidRPr="00FB030E" w:rsidRDefault="004C6B6A" w:rsidP="00211BC1">
            <w:pPr>
              <w:keepNext/>
              <w:keepLines/>
              <w:spacing w:before="20" w:after="20"/>
              <w:jc w:val="center"/>
              <w:rPr>
                <w:sz w:val="20"/>
                <w:szCs w:val="20"/>
              </w:rPr>
            </w:pPr>
            <w:r>
              <w:rPr>
                <w:sz w:val="20"/>
                <w:szCs w:val="20"/>
              </w:rPr>
              <w:t>12%</w:t>
            </w:r>
          </w:p>
        </w:tc>
      </w:tr>
      <w:tr w:rsidR="00497D39" w:rsidRPr="00FB030E" w14:paraId="2341BEF0" w14:textId="77777777" w:rsidTr="002C778F">
        <w:trPr>
          <w:cantSplit/>
          <w:trHeight w:val="20"/>
        </w:trPr>
        <w:tc>
          <w:tcPr>
            <w:tcW w:w="1885" w:type="dxa"/>
            <w:tcBorders>
              <w:bottom w:val="single" w:sz="12" w:space="0" w:color="auto"/>
            </w:tcBorders>
          </w:tcPr>
          <w:p w14:paraId="5E984024" w14:textId="3BFC3746" w:rsidR="00497D39" w:rsidRDefault="004C6B6A" w:rsidP="00211BC1">
            <w:pPr>
              <w:keepNext/>
              <w:keepLines/>
              <w:spacing w:before="20" w:after="20"/>
              <w:rPr>
                <w:sz w:val="20"/>
                <w:szCs w:val="20"/>
              </w:rPr>
            </w:pPr>
            <w:r w:rsidRPr="004C6B6A">
              <w:rPr>
                <w:sz w:val="20"/>
                <w:szCs w:val="20"/>
              </w:rPr>
              <w:t>SWSV001C</w:t>
            </w:r>
          </w:p>
        </w:tc>
        <w:tc>
          <w:tcPr>
            <w:tcW w:w="1710" w:type="dxa"/>
            <w:vMerge/>
            <w:tcBorders>
              <w:bottom w:val="single" w:sz="12" w:space="0" w:color="auto"/>
            </w:tcBorders>
          </w:tcPr>
          <w:p w14:paraId="60874DF0" w14:textId="08F5F3D7" w:rsidR="00497D39" w:rsidRDefault="00497D39" w:rsidP="00211BC1">
            <w:pPr>
              <w:keepNext/>
              <w:keepLines/>
              <w:spacing w:before="20" w:after="20"/>
              <w:rPr>
                <w:sz w:val="20"/>
                <w:szCs w:val="20"/>
              </w:rPr>
            </w:pPr>
          </w:p>
        </w:tc>
        <w:tc>
          <w:tcPr>
            <w:tcW w:w="4140" w:type="dxa"/>
            <w:tcBorders>
              <w:bottom w:val="single" w:sz="12" w:space="0" w:color="auto"/>
            </w:tcBorders>
          </w:tcPr>
          <w:p w14:paraId="41C5E513" w14:textId="74B3C132" w:rsidR="00497D39" w:rsidRDefault="00497D39" w:rsidP="00211BC1">
            <w:pPr>
              <w:keepNext/>
              <w:keepLines/>
              <w:spacing w:before="20" w:after="20"/>
              <w:rPr>
                <w:sz w:val="20"/>
                <w:szCs w:val="20"/>
              </w:rPr>
            </w:pPr>
            <w:r>
              <w:rPr>
                <w:sz w:val="20"/>
                <w:szCs w:val="20"/>
              </w:rPr>
              <w:t>Double-wide mobile home</w:t>
            </w:r>
          </w:p>
        </w:tc>
        <w:tc>
          <w:tcPr>
            <w:tcW w:w="1525" w:type="dxa"/>
            <w:tcBorders>
              <w:bottom w:val="single" w:sz="12" w:space="0" w:color="auto"/>
            </w:tcBorders>
            <w:shd w:val="clear" w:color="auto" w:fill="auto"/>
            <w:vAlign w:val="center"/>
          </w:tcPr>
          <w:p w14:paraId="5FCBA9E6" w14:textId="40F0E5FC" w:rsidR="00497D39" w:rsidRDefault="00497D39" w:rsidP="00211BC1">
            <w:pPr>
              <w:keepNext/>
              <w:keepLines/>
              <w:spacing w:before="20" w:after="20"/>
              <w:jc w:val="center"/>
              <w:rPr>
                <w:sz w:val="20"/>
                <w:szCs w:val="20"/>
              </w:rPr>
            </w:pPr>
            <w:r>
              <w:rPr>
                <w:sz w:val="20"/>
                <w:szCs w:val="20"/>
              </w:rPr>
              <w:t>15%</w:t>
            </w:r>
          </w:p>
        </w:tc>
      </w:tr>
      <w:tr w:rsidR="00235177" w:rsidRPr="00FB030E" w14:paraId="478A53E2" w14:textId="77777777" w:rsidTr="002C778F">
        <w:trPr>
          <w:cantSplit/>
          <w:trHeight w:val="578"/>
        </w:trPr>
        <w:tc>
          <w:tcPr>
            <w:tcW w:w="1885" w:type="dxa"/>
            <w:tcBorders>
              <w:top w:val="single" w:sz="12" w:space="0" w:color="auto"/>
            </w:tcBorders>
          </w:tcPr>
          <w:p w14:paraId="0CF38670" w14:textId="67A6405D" w:rsidR="00235177" w:rsidRDefault="00235177" w:rsidP="00C47BC8">
            <w:pPr>
              <w:keepNext/>
              <w:keepLines/>
              <w:spacing w:before="20" w:after="20"/>
              <w:rPr>
                <w:sz w:val="20"/>
                <w:szCs w:val="20"/>
              </w:rPr>
            </w:pPr>
            <w:r w:rsidRPr="004C6B6A">
              <w:rPr>
                <w:sz w:val="20"/>
                <w:szCs w:val="20"/>
              </w:rPr>
              <w:t>SWSV001</w:t>
            </w:r>
            <w:r>
              <w:rPr>
                <w:sz w:val="20"/>
                <w:szCs w:val="20"/>
              </w:rPr>
              <w:t>L</w:t>
            </w:r>
          </w:p>
          <w:p w14:paraId="75791C13" w14:textId="54361897" w:rsidR="00235177" w:rsidRDefault="00235177" w:rsidP="00C47BC8">
            <w:pPr>
              <w:keepNext/>
              <w:keepLines/>
              <w:spacing w:before="20" w:after="20"/>
              <w:rPr>
                <w:sz w:val="20"/>
                <w:szCs w:val="20"/>
              </w:rPr>
            </w:pPr>
            <w:r w:rsidRPr="004C6B6A">
              <w:rPr>
                <w:sz w:val="20"/>
                <w:szCs w:val="20"/>
              </w:rPr>
              <w:t>SWSV001</w:t>
            </w:r>
            <w:r>
              <w:rPr>
                <w:sz w:val="20"/>
                <w:szCs w:val="20"/>
              </w:rPr>
              <w:t>N</w:t>
            </w:r>
          </w:p>
        </w:tc>
        <w:tc>
          <w:tcPr>
            <w:tcW w:w="1710" w:type="dxa"/>
            <w:vMerge w:val="restart"/>
            <w:tcBorders>
              <w:top w:val="single" w:sz="12" w:space="0" w:color="auto"/>
            </w:tcBorders>
          </w:tcPr>
          <w:p w14:paraId="4236F73E" w14:textId="77777777" w:rsidR="00235177" w:rsidRDefault="00235177" w:rsidP="00C47BC8">
            <w:pPr>
              <w:keepNext/>
              <w:keepLines/>
              <w:spacing w:before="20" w:after="20"/>
              <w:rPr>
                <w:sz w:val="20"/>
                <w:szCs w:val="20"/>
              </w:rPr>
            </w:pPr>
            <w:r w:rsidRPr="004C6B6A">
              <w:rPr>
                <w:sz w:val="20"/>
                <w:szCs w:val="20"/>
              </w:rPr>
              <w:t>High to Low</w:t>
            </w:r>
          </w:p>
        </w:tc>
        <w:tc>
          <w:tcPr>
            <w:tcW w:w="4140" w:type="dxa"/>
            <w:tcBorders>
              <w:top w:val="single" w:sz="12" w:space="0" w:color="auto"/>
            </w:tcBorders>
          </w:tcPr>
          <w:p w14:paraId="51B7E68E" w14:textId="5376D512" w:rsidR="00235177" w:rsidRDefault="00235177" w:rsidP="00C47BC8">
            <w:pPr>
              <w:keepNext/>
              <w:keepLines/>
              <w:spacing w:before="20" w:after="20"/>
              <w:rPr>
                <w:sz w:val="20"/>
                <w:szCs w:val="20"/>
              </w:rPr>
            </w:pPr>
            <w:r>
              <w:rPr>
                <w:sz w:val="20"/>
                <w:szCs w:val="20"/>
              </w:rPr>
              <w:t xml:space="preserve">Single family </w:t>
            </w:r>
            <w:r w:rsidRPr="00235177">
              <w:rPr>
                <w:sz w:val="20"/>
                <w:szCs w:val="20"/>
              </w:rPr>
              <w:t>rNCGF System Only</w:t>
            </w:r>
          </w:p>
          <w:p w14:paraId="1714B80B" w14:textId="79168717" w:rsidR="00235177" w:rsidRDefault="00235177" w:rsidP="00C47BC8">
            <w:pPr>
              <w:keepNext/>
              <w:keepLines/>
              <w:spacing w:before="20" w:after="20"/>
              <w:rPr>
                <w:sz w:val="20"/>
                <w:szCs w:val="20"/>
              </w:rPr>
            </w:pPr>
            <w:r>
              <w:rPr>
                <w:sz w:val="20"/>
                <w:szCs w:val="20"/>
              </w:rPr>
              <w:t xml:space="preserve">Multifamily </w:t>
            </w:r>
            <w:r w:rsidRPr="00235177">
              <w:rPr>
                <w:sz w:val="20"/>
                <w:szCs w:val="20"/>
              </w:rPr>
              <w:t>rNCGF System Only</w:t>
            </w:r>
          </w:p>
        </w:tc>
        <w:tc>
          <w:tcPr>
            <w:tcW w:w="1525" w:type="dxa"/>
            <w:tcBorders>
              <w:top w:val="single" w:sz="12" w:space="0" w:color="auto"/>
            </w:tcBorders>
            <w:shd w:val="clear" w:color="auto" w:fill="auto"/>
            <w:vAlign w:val="center"/>
          </w:tcPr>
          <w:p w14:paraId="10E54B66" w14:textId="77777777" w:rsidR="00235177" w:rsidRPr="00FB030E" w:rsidRDefault="00235177" w:rsidP="00C47BC8">
            <w:pPr>
              <w:keepNext/>
              <w:keepLines/>
              <w:spacing w:before="20" w:after="20"/>
              <w:jc w:val="center"/>
              <w:rPr>
                <w:sz w:val="20"/>
                <w:szCs w:val="20"/>
              </w:rPr>
            </w:pPr>
            <w:r>
              <w:rPr>
                <w:sz w:val="20"/>
                <w:szCs w:val="20"/>
              </w:rPr>
              <w:t>12%</w:t>
            </w:r>
          </w:p>
        </w:tc>
      </w:tr>
      <w:tr w:rsidR="00235177" w14:paraId="044FE282" w14:textId="77777777" w:rsidTr="00C47BC8">
        <w:trPr>
          <w:cantSplit/>
          <w:trHeight w:val="20"/>
        </w:trPr>
        <w:tc>
          <w:tcPr>
            <w:tcW w:w="1885" w:type="dxa"/>
            <w:tcBorders>
              <w:bottom w:val="single" w:sz="12" w:space="0" w:color="auto"/>
            </w:tcBorders>
          </w:tcPr>
          <w:p w14:paraId="20C0D80D" w14:textId="1338BC0D" w:rsidR="00235177" w:rsidRDefault="00235177" w:rsidP="00C47BC8">
            <w:pPr>
              <w:keepNext/>
              <w:keepLines/>
              <w:spacing w:before="20" w:after="20"/>
              <w:rPr>
                <w:sz w:val="20"/>
                <w:szCs w:val="20"/>
              </w:rPr>
            </w:pPr>
            <w:r w:rsidRPr="004C6B6A">
              <w:rPr>
                <w:sz w:val="20"/>
                <w:szCs w:val="20"/>
              </w:rPr>
              <w:t>SWSV001</w:t>
            </w:r>
            <w:r>
              <w:rPr>
                <w:sz w:val="20"/>
                <w:szCs w:val="20"/>
              </w:rPr>
              <w:t>J</w:t>
            </w:r>
          </w:p>
        </w:tc>
        <w:tc>
          <w:tcPr>
            <w:tcW w:w="1710" w:type="dxa"/>
            <w:vMerge/>
            <w:tcBorders>
              <w:bottom w:val="single" w:sz="12" w:space="0" w:color="auto"/>
            </w:tcBorders>
          </w:tcPr>
          <w:p w14:paraId="212D211F" w14:textId="77777777" w:rsidR="00235177" w:rsidRDefault="00235177" w:rsidP="00C47BC8">
            <w:pPr>
              <w:keepNext/>
              <w:keepLines/>
              <w:spacing w:before="20" w:after="20"/>
              <w:rPr>
                <w:sz w:val="20"/>
                <w:szCs w:val="20"/>
              </w:rPr>
            </w:pPr>
          </w:p>
        </w:tc>
        <w:tc>
          <w:tcPr>
            <w:tcW w:w="4140" w:type="dxa"/>
            <w:tcBorders>
              <w:bottom w:val="single" w:sz="12" w:space="0" w:color="auto"/>
            </w:tcBorders>
          </w:tcPr>
          <w:p w14:paraId="5B5C7727" w14:textId="3899C96A" w:rsidR="00235177" w:rsidRDefault="00235177" w:rsidP="00C47BC8">
            <w:pPr>
              <w:keepNext/>
              <w:keepLines/>
              <w:spacing w:before="20" w:after="20"/>
              <w:rPr>
                <w:sz w:val="20"/>
                <w:szCs w:val="20"/>
              </w:rPr>
            </w:pPr>
            <w:r>
              <w:rPr>
                <w:sz w:val="20"/>
                <w:szCs w:val="20"/>
              </w:rPr>
              <w:t xml:space="preserve">Double-wide mobile home </w:t>
            </w:r>
            <w:r w:rsidRPr="00235177">
              <w:rPr>
                <w:sz w:val="20"/>
                <w:szCs w:val="20"/>
              </w:rPr>
              <w:t>rNCGF System Only</w:t>
            </w:r>
          </w:p>
        </w:tc>
        <w:tc>
          <w:tcPr>
            <w:tcW w:w="1525" w:type="dxa"/>
            <w:tcBorders>
              <w:bottom w:val="single" w:sz="12" w:space="0" w:color="auto"/>
            </w:tcBorders>
            <w:shd w:val="clear" w:color="auto" w:fill="auto"/>
            <w:vAlign w:val="center"/>
          </w:tcPr>
          <w:p w14:paraId="05540BA8" w14:textId="77777777" w:rsidR="00235177" w:rsidRDefault="00235177" w:rsidP="00C47BC8">
            <w:pPr>
              <w:keepNext/>
              <w:keepLines/>
              <w:spacing w:before="20" w:after="20"/>
              <w:jc w:val="center"/>
              <w:rPr>
                <w:sz w:val="20"/>
                <w:szCs w:val="20"/>
              </w:rPr>
            </w:pPr>
            <w:r>
              <w:rPr>
                <w:sz w:val="20"/>
                <w:szCs w:val="20"/>
              </w:rPr>
              <w:t>15%</w:t>
            </w:r>
          </w:p>
        </w:tc>
      </w:tr>
      <w:tr w:rsidR="00235177" w:rsidRPr="00FB030E" w14:paraId="27E9A5FF" w14:textId="77777777" w:rsidTr="00C47BC8">
        <w:trPr>
          <w:cantSplit/>
          <w:trHeight w:val="578"/>
        </w:trPr>
        <w:tc>
          <w:tcPr>
            <w:tcW w:w="1885" w:type="dxa"/>
            <w:tcBorders>
              <w:top w:val="single" w:sz="12" w:space="0" w:color="auto"/>
            </w:tcBorders>
          </w:tcPr>
          <w:p w14:paraId="07B14ABB" w14:textId="5BDDCF20" w:rsidR="00235177" w:rsidRDefault="00235177" w:rsidP="00C47BC8">
            <w:pPr>
              <w:keepNext/>
              <w:keepLines/>
              <w:spacing w:before="20" w:after="20"/>
              <w:rPr>
                <w:sz w:val="20"/>
                <w:szCs w:val="20"/>
              </w:rPr>
            </w:pPr>
            <w:r w:rsidRPr="004C6B6A">
              <w:rPr>
                <w:sz w:val="20"/>
                <w:szCs w:val="20"/>
              </w:rPr>
              <w:t>SWSV001</w:t>
            </w:r>
            <w:r>
              <w:rPr>
                <w:sz w:val="20"/>
                <w:szCs w:val="20"/>
              </w:rPr>
              <w:t>K</w:t>
            </w:r>
          </w:p>
          <w:p w14:paraId="378C8F92" w14:textId="4E191E4D" w:rsidR="00235177" w:rsidRDefault="00235177" w:rsidP="00C47BC8">
            <w:pPr>
              <w:keepNext/>
              <w:keepLines/>
              <w:spacing w:before="20" w:after="20"/>
              <w:rPr>
                <w:sz w:val="20"/>
                <w:szCs w:val="20"/>
              </w:rPr>
            </w:pPr>
            <w:r w:rsidRPr="004C6B6A">
              <w:rPr>
                <w:sz w:val="20"/>
                <w:szCs w:val="20"/>
              </w:rPr>
              <w:t>SWSV001</w:t>
            </w:r>
            <w:r>
              <w:rPr>
                <w:sz w:val="20"/>
                <w:szCs w:val="20"/>
              </w:rPr>
              <w:t>M</w:t>
            </w:r>
          </w:p>
        </w:tc>
        <w:tc>
          <w:tcPr>
            <w:tcW w:w="1710" w:type="dxa"/>
            <w:vMerge w:val="restart"/>
            <w:tcBorders>
              <w:top w:val="single" w:sz="12" w:space="0" w:color="auto"/>
            </w:tcBorders>
          </w:tcPr>
          <w:p w14:paraId="266CB140" w14:textId="77777777" w:rsidR="00235177" w:rsidRDefault="00235177" w:rsidP="00C47BC8">
            <w:pPr>
              <w:keepNext/>
              <w:keepLines/>
              <w:spacing w:before="20" w:after="20"/>
              <w:rPr>
                <w:sz w:val="20"/>
                <w:szCs w:val="20"/>
              </w:rPr>
            </w:pPr>
            <w:r>
              <w:rPr>
                <w:sz w:val="20"/>
                <w:szCs w:val="20"/>
              </w:rPr>
              <w:t>Medium to Low</w:t>
            </w:r>
          </w:p>
        </w:tc>
        <w:tc>
          <w:tcPr>
            <w:tcW w:w="4140" w:type="dxa"/>
            <w:tcBorders>
              <w:top w:val="single" w:sz="12" w:space="0" w:color="auto"/>
            </w:tcBorders>
          </w:tcPr>
          <w:p w14:paraId="32D8BC97" w14:textId="6749434A" w:rsidR="00235177" w:rsidRDefault="00235177" w:rsidP="00C47BC8">
            <w:pPr>
              <w:keepNext/>
              <w:keepLines/>
              <w:spacing w:before="20" w:after="20"/>
              <w:rPr>
                <w:sz w:val="20"/>
                <w:szCs w:val="20"/>
              </w:rPr>
            </w:pPr>
            <w:r>
              <w:rPr>
                <w:sz w:val="20"/>
                <w:szCs w:val="20"/>
              </w:rPr>
              <w:t xml:space="preserve">Single family </w:t>
            </w:r>
            <w:r w:rsidRPr="00235177">
              <w:rPr>
                <w:sz w:val="20"/>
                <w:szCs w:val="20"/>
              </w:rPr>
              <w:t>rNCGF System Only</w:t>
            </w:r>
          </w:p>
          <w:p w14:paraId="3FC7CC9D" w14:textId="2CA448BD" w:rsidR="00235177" w:rsidRDefault="00235177" w:rsidP="00C47BC8">
            <w:pPr>
              <w:keepNext/>
              <w:keepLines/>
              <w:spacing w:before="20" w:after="20"/>
              <w:rPr>
                <w:sz w:val="20"/>
                <w:szCs w:val="20"/>
              </w:rPr>
            </w:pPr>
            <w:r>
              <w:rPr>
                <w:sz w:val="20"/>
                <w:szCs w:val="20"/>
              </w:rPr>
              <w:t xml:space="preserve">Multifamily </w:t>
            </w:r>
            <w:r w:rsidRPr="00235177">
              <w:rPr>
                <w:sz w:val="20"/>
                <w:szCs w:val="20"/>
              </w:rPr>
              <w:t>rNCGF System Only</w:t>
            </w:r>
          </w:p>
        </w:tc>
        <w:tc>
          <w:tcPr>
            <w:tcW w:w="1525" w:type="dxa"/>
            <w:tcBorders>
              <w:top w:val="single" w:sz="12" w:space="0" w:color="auto"/>
            </w:tcBorders>
            <w:shd w:val="clear" w:color="auto" w:fill="auto"/>
            <w:vAlign w:val="center"/>
          </w:tcPr>
          <w:p w14:paraId="6F01821E" w14:textId="77777777" w:rsidR="00235177" w:rsidRPr="00FB030E" w:rsidRDefault="00235177" w:rsidP="00C47BC8">
            <w:pPr>
              <w:keepNext/>
              <w:keepLines/>
              <w:spacing w:before="20" w:after="20"/>
              <w:jc w:val="center"/>
              <w:rPr>
                <w:sz w:val="20"/>
                <w:szCs w:val="20"/>
              </w:rPr>
            </w:pPr>
            <w:r>
              <w:rPr>
                <w:sz w:val="20"/>
                <w:szCs w:val="20"/>
              </w:rPr>
              <w:t>12%</w:t>
            </w:r>
          </w:p>
        </w:tc>
      </w:tr>
      <w:tr w:rsidR="00235177" w14:paraId="407DA4CE" w14:textId="77777777" w:rsidTr="00C47BC8">
        <w:trPr>
          <w:cantSplit/>
          <w:trHeight w:val="20"/>
        </w:trPr>
        <w:tc>
          <w:tcPr>
            <w:tcW w:w="1885" w:type="dxa"/>
          </w:tcPr>
          <w:p w14:paraId="4991ED18" w14:textId="35EA735A" w:rsidR="00235177" w:rsidRDefault="00235177" w:rsidP="00C47BC8">
            <w:pPr>
              <w:keepNext/>
              <w:keepLines/>
              <w:spacing w:before="20" w:after="20"/>
              <w:rPr>
                <w:sz w:val="20"/>
                <w:szCs w:val="20"/>
              </w:rPr>
            </w:pPr>
            <w:r w:rsidRPr="004C6B6A">
              <w:rPr>
                <w:sz w:val="20"/>
                <w:szCs w:val="20"/>
              </w:rPr>
              <w:t>SWSV001</w:t>
            </w:r>
            <w:r>
              <w:rPr>
                <w:sz w:val="20"/>
                <w:szCs w:val="20"/>
              </w:rPr>
              <w:t>I</w:t>
            </w:r>
          </w:p>
        </w:tc>
        <w:tc>
          <w:tcPr>
            <w:tcW w:w="1710" w:type="dxa"/>
            <w:vMerge/>
          </w:tcPr>
          <w:p w14:paraId="7E419A2A" w14:textId="77777777" w:rsidR="00235177" w:rsidRDefault="00235177" w:rsidP="00C47BC8">
            <w:pPr>
              <w:keepNext/>
              <w:keepLines/>
              <w:spacing w:before="20" w:after="20"/>
              <w:rPr>
                <w:sz w:val="20"/>
                <w:szCs w:val="20"/>
              </w:rPr>
            </w:pPr>
          </w:p>
        </w:tc>
        <w:tc>
          <w:tcPr>
            <w:tcW w:w="4140" w:type="dxa"/>
          </w:tcPr>
          <w:p w14:paraId="35C44567" w14:textId="503C6920" w:rsidR="00235177" w:rsidRDefault="00235177" w:rsidP="00C47BC8">
            <w:pPr>
              <w:keepNext/>
              <w:keepLines/>
              <w:spacing w:before="20" w:after="20"/>
              <w:rPr>
                <w:sz w:val="20"/>
                <w:szCs w:val="20"/>
              </w:rPr>
            </w:pPr>
            <w:r>
              <w:rPr>
                <w:sz w:val="20"/>
                <w:szCs w:val="20"/>
              </w:rPr>
              <w:t xml:space="preserve">Double-wide mobile home </w:t>
            </w:r>
            <w:r w:rsidRPr="00235177">
              <w:rPr>
                <w:sz w:val="20"/>
                <w:szCs w:val="20"/>
              </w:rPr>
              <w:t>rNCGF System Only</w:t>
            </w:r>
          </w:p>
        </w:tc>
        <w:tc>
          <w:tcPr>
            <w:tcW w:w="1525" w:type="dxa"/>
            <w:shd w:val="clear" w:color="auto" w:fill="auto"/>
            <w:vAlign w:val="center"/>
          </w:tcPr>
          <w:p w14:paraId="45A75BE8" w14:textId="77777777" w:rsidR="00235177" w:rsidRDefault="00235177" w:rsidP="00C47BC8">
            <w:pPr>
              <w:keepNext/>
              <w:keepLines/>
              <w:spacing w:before="20" w:after="20"/>
              <w:jc w:val="center"/>
              <w:rPr>
                <w:sz w:val="20"/>
                <w:szCs w:val="20"/>
              </w:rPr>
            </w:pPr>
            <w:r>
              <w:rPr>
                <w:sz w:val="20"/>
                <w:szCs w:val="20"/>
              </w:rPr>
              <w:t>15%</w:t>
            </w:r>
          </w:p>
        </w:tc>
      </w:tr>
    </w:tbl>
    <w:p w14:paraId="35154AE9" w14:textId="77777777" w:rsidR="00D372CE" w:rsidRDefault="00D372CE" w:rsidP="00975E33">
      <w:pPr>
        <w:pStyle w:val="eTRMHeading3"/>
      </w:pPr>
      <w:bookmarkStart w:id="16" w:name="_Toc486490849"/>
      <w:bookmarkStart w:id="17" w:name="_Toc486580920"/>
    </w:p>
    <w:p w14:paraId="54FD79D6" w14:textId="3AF71CB6" w:rsidR="00E70CBD" w:rsidRPr="00171BB8" w:rsidRDefault="00E70CBD" w:rsidP="00975E33">
      <w:pPr>
        <w:pStyle w:val="eTRMHeading3"/>
      </w:pPr>
      <w:bookmarkStart w:id="18" w:name="_Toc67405009"/>
      <w:r w:rsidRPr="004B06E3">
        <w:t>Base Case Description</w:t>
      </w:r>
      <w:bookmarkEnd w:id="16"/>
      <w:bookmarkEnd w:id="17"/>
      <w:bookmarkEnd w:id="18"/>
      <w:r w:rsidRPr="00171BB8">
        <w:t xml:space="preserve"> </w:t>
      </w:r>
    </w:p>
    <w:p w14:paraId="6F67B976" w14:textId="33A15CE3" w:rsidR="004666CC" w:rsidRDefault="004666CC" w:rsidP="004666CC">
      <w:r>
        <w:t xml:space="preserve">The base case is defined as a single family, multifamily, or </w:t>
      </w:r>
      <w:r w:rsidR="00953B06">
        <w:t xml:space="preserve">double-wide </w:t>
      </w:r>
      <w:r>
        <w:t>mobile home</w:t>
      </w:r>
      <w:r w:rsidR="001E073F">
        <w:t xml:space="preserve"> </w:t>
      </w:r>
      <w:r>
        <w:t xml:space="preserve">with </w:t>
      </w:r>
      <w:r w:rsidR="004E3F08">
        <w:t xml:space="preserve">high or medium </w:t>
      </w:r>
      <w:r>
        <w:t xml:space="preserve">duct leakage </w:t>
      </w:r>
      <w:r w:rsidR="004E3F08">
        <w:t>rate</w:t>
      </w:r>
      <w:r w:rsidR="009C5BA1">
        <w:t xml:space="preserve"> as specified by residence type (single family, multifamily, and double-wide mobile home)</w:t>
      </w:r>
      <w:r w:rsidR="004E3F08">
        <w:t>.</w:t>
      </w:r>
      <w:r w:rsidR="00953B06">
        <w:t xml:space="preserve"> </w:t>
      </w:r>
      <w:r w:rsidR="006573C4">
        <w:t>T</w:t>
      </w:r>
      <w:r w:rsidR="006573C4" w:rsidRPr="006573C4">
        <w:t xml:space="preserve">he baseline for the “high” leakage rate of the existing duct </w:t>
      </w:r>
      <w:r w:rsidR="006A1C21">
        <w:t>is a</w:t>
      </w:r>
      <w:r w:rsidR="006573C4" w:rsidRPr="006573C4">
        <w:t xml:space="preserve"> 40% leakage </w:t>
      </w:r>
      <w:r w:rsidR="006A1C21">
        <w:t xml:space="preserve">rate </w:t>
      </w:r>
      <w:r w:rsidR="006573C4" w:rsidRPr="006573C4">
        <w:t xml:space="preserve">for SFm/MFm, and </w:t>
      </w:r>
      <w:r w:rsidR="006A1C21">
        <w:t xml:space="preserve">a </w:t>
      </w:r>
      <w:r w:rsidR="006573C4" w:rsidRPr="006573C4">
        <w:t xml:space="preserve">35% leakage </w:t>
      </w:r>
      <w:r w:rsidR="006A1C21">
        <w:t xml:space="preserve">rate </w:t>
      </w:r>
      <w:r w:rsidR="006573C4" w:rsidRPr="006573C4">
        <w:t xml:space="preserve">for DMo. The “medium” leakage rate of the existing duct is </w:t>
      </w:r>
      <w:r w:rsidR="006A1C21">
        <w:t xml:space="preserve">a </w:t>
      </w:r>
      <w:r w:rsidR="006573C4" w:rsidRPr="006573C4">
        <w:t>24% leakage</w:t>
      </w:r>
      <w:r w:rsidR="006A1C21">
        <w:t xml:space="preserve"> rate</w:t>
      </w:r>
      <w:r w:rsidR="006573C4" w:rsidRPr="006573C4">
        <w:t xml:space="preserve"> for SFm/MFm and </w:t>
      </w:r>
      <w:r w:rsidR="001F6DF2">
        <w:t xml:space="preserve">a </w:t>
      </w:r>
      <w:r w:rsidR="006573C4" w:rsidRPr="006573C4">
        <w:t>25% leakage for DMo.</w:t>
      </w:r>
    </w:p>
    <w:p w14:paraId="6DC905DD" w14:textId="4D5D7357" w:rsidR="002A4675" w:rsidRDefault="002A4675" w:rsidP="002A4675">
      <w:pPr>
        <w:pStyle w:val="Caption"/>
      </w:pPr>
      <w:r>
        <w:t>Base Case Specification</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95"/>
        <w:gridCol w:w="1710"/>
        <w:gridCol w:w="4050"/>
        <w:gridCol w:w="1800"/>
      </w:tblGrid>
      <w:tr w:rsidR="00F0073A" w:rsidRPr="00154391" w14:paraId="42EA84E0" w14:textId="77777777" w:rsidTr="00C47BC8">
        <w:trPr>
          <w:cantSplit/>
          <w:trHeight w:val="20"/>
        </w:trPr>
        <w:tc>
          <w:tcPr>
            <w:tcW w:w="1795" w:type="dxa"/>
            <w:shd w:val="clear" w:color="auto" w:fill="F2F2F2" w:themeFill="background1" w:themeFillShade="F2"/>
          </w:tcPr>
          <w:p w14:paraId="56FE48B6" w14:textId="391F50B9" w:rsidR="00F0073A" w:rsidRDefault="00F0073A" w:rsidP="00A513C7">
            <w:pPr>
              <w:keepNext/>
              <w:keepLines/>
              <w:spacing w:before="20" w:after="20"/>
              <w:jc w:val="center"/>
              <w:rPr>
                <w:b/>
                <w:sz w:val="20"/>
              </w:rPr>
            </w:pPr>
            <w:r w:rsidRPr="00F0073A">
              <w:rPr>
                <w:b/>
                <w:sz w:val="20"/>
              </w:rPr>
              <w:t>Statewide Measure Offering ID</w:t>
            </w:r>
          </w:p>
        </w:tc>
        <w:tc>
          <w:tcPr>
            <w:tcW w:w="1710" w:type="dxa"/>
            <w:shd w:val="clear" w:color="auto" w:fill="F2F2F2" w:themeFill="background1" w:themeFillShade="F2"/>
            <w:vAlign w:val="bottom"/>
          </w:tcPr>
          <w:p w14:paraId="3BE99E8A" w14:textId="432AAB66" w:rsidR="00F0073A" w:rsidRDefault="00F0073A" w:rsidP="00A513C7">
            <w:pPr>
              <w:keepNext/>
              <w:keepLines/>
              <w:spacing w:before="20" w:after="20"/>
              <w:jc w:val="center"/>
              <w:rPr>
                <w:b/>
                <w:sz w:val="20"/>
              </w:rPr>
            </w:pPr>
            <w:r>
              <w:rPr>
                <w:b/>
                <w:sz w:val="20"/>
              </w:rPr>
              <w:t>Base Case Leakage Rate Tier</w:t>
            </w:r>
          </w:p>
        </w:tc>
        <w:tc>
          <w:tcPr>
            <w:tcW w:w="4050" w:type="dxa"/>
            <w:shd w:val="clear" w:color="auto" w:fill="F2F2F2" w:themeFill="background1" w:themeFillShade="F2"/>
            <w:vAlign w:val="bottom"/>
          </w:tcPr>
          <w:p w14:paraId="0C73E6C8" w14:textId="1254D66A" w:rsidR="00F0073A" w:rsidRDefault="00F0073A" w:rsidP="00A513C7">
            <w:pPr>
              <w:keepNext/>
              <w:keepLines/>
              <w:spacing w:before="20" w:after="20"/>
              <w:jc w:val="center"/>
              <w:rPr>
                <w:b/>
                <w:sz w:val="20"/>
              </w:rPr>
            </w:pPr>
            <w:r>
              <w:rPr>
                <w:b/>
                <w:sz w:val="20"/>
              </w:rPr>
              <w:t>Residence Type</w:t>
            </w:r>
          </w:p>
        </w:tc>
        <w:tc>
          <w:tcPr>
            <w:tcW w:w="1800" w:type="dxa"/>
            <w:shd w:val="clear" w:color="auto" w:fill="F2F2F2" w:themeFill="background1" w:themeFillShade="F2"/>
            <w:vAlign w:val="bottom"/>
          </w:tcPr>
          <w:p w14:paraId="5569478B" w14:textId="77777777" w:rsidR="00F0073A" w:rsidRPr="00154391" w:rsidRDefault="00F0073A" w:rsidP="00A513C7">
            <w:pPr>
              <w:keepNext/>
              <w:keepLines/>
              <w:spacing w:before="20" w:after="20"/>
              <w:jc w:val="center"/>
              <w:rPr>
                <w:b/>
                <w:sz w:val="20"/>
                <w:szCs w:val="20"/>
              </w:rPr>
            </w:pPr>
            <w:r>
              <w:rPr>
                <w:b/>
                <w:sz w:val="20"/>
              </w:rPr>
              <w:t>Base Case Leakage Rate</w:t>
            </w:r>
          </w:p>
        </w:tc>
      </w:tr>
      <w:tr w:rsidR="00F0073A" w:rsidRPr="00BD6838" w14:paraId="7B1486BB" w14:textId="77777777" w:rsidTr="00C47BC8">
        <w:trPr>
          <w:cantSplit/>
          <w:trHeight w:val="578"/>
        </w:trPr>
        <w:tc>
          <w:tcPr>
            <w:tcW w:w="1795" w:type="dxa"/>
          </w:tcPr>
          <w:p w14:paraId="6ED1322D" w14:textId="77777777" w:rsidR="00F0073A" w:rsidRDefault="00F0073A" w:rsidP="00F0073A">
            <w:pPr>
              <w:keepNext/>
              <w:keepLines/>
              <w:spacing w:before="20" w:after="20"/>
              <w:rPr>
                <w:sz w:val="20"/>
                <w:szCs w:val="20"/>
              </w:rPr>
            </w:pPr>
            <w:r w:rsidRPr="004C6B6A">
              <w:rPr>
                <w:sz w:val="20"/>
                <w:szCs w:val="20"/>
              </w:rPr>
              <w:t>SWSV001F</w:t>
            </w:r>
          </w:p>
          <w:p w14:paraId="2FFEFEBA" w14:textId="6A7EC961" w:rsidR="00F0073A" w:rsidRDefault="00F0073A" w:rsidP="00F0073A">
            <w:pPr>
              <w:keepNext/>
              <w:keepLines/>
              <w:spacing w:before="20" w:after="20"/>
              <w:rPr>
                <w:sz w:val="20"/>
                <w:szCs w:val="20"/>
              </w:rPr>
            </w:pPr>
            <w:r w:rsidRPr="004C6B6A">
              <w:rPr>
                <w:sz w:val="20"/>
                <w:szCs w:val="20"/>
              </w:rPr>
              <w:t>SWSV001H</w:t>
            </w:r>
          </w:p>
        </w:tc>
        <w:tc>
          <w:tcPr>
            <w:tcW w:w="1710" w:type="dxa"/>
            <w:vMerge w:val="restart"/>
          </w:tcPr>
          <w:p w14:paraId="39F85600" w14:textId="74385417" w:rsidR="00F0073A" w:rsidRDefault="00F0073A" w:rsidP="00F0073A">
            <w:pPr>
              <w:keepNext/>
              <w:keepLines/>
              <w:spacing w:before="20" w:after="20"/>
              <w:rPr>
                <w:sz w:val="20"/>
                <w:szCs w:val="20"/>
              </w:rPr>
            </w:pPr>
            <w:r>
              <w:rPr>
                <w:sz w:val="20"/>
                <w:szCs w:val="20"/>
              </w:rPr>
              <w:t>High</w:t>
            </w:r>
          </w:p>
        </w:tc>
        <w:tc>
          <w:tcPr>
            <w:tcW w:w="4050" w:type="dxa"/>
          </w:tcPr>
          <w:p w14:paraId="5F2F61E3" w14:textId="77777777" w:rsidR="00F0073A" w:rsidRDefault="00F0073A" w:rsidP="00F0073A">
            <w:pPr>
              <w:keepNext/>
              <w:keepLines/>
              <w:spacing w:before="20" w:after="20"/>
              <w:rPr>
                <w:sz w:val="20"/>
                <w:szCs w:val="20"/>
              </w:rPr>
            </w:pPr>
            <w:r>
              <w:rPr>
                <w:sz w:val="20"/>
                <w:szCs w:val="20"/>
              </w:rPr>
              <w:t xml:space="preserve">Single family </w:t>
            </w:r>
          </w:p>
          <w:p w14:paraId="07080290" w14:textId="37CB2EB6" w:rsidR="00F0073A" w:rsidRDefault="00F0073A" w:rsidP="00F0073A">
            <w:pPr>
              <w:keepNext/>
              <w:keepLines/>
              <w:spacing w:before="20" w:after="20"/>
              <w:rPr>
                <w:sz w:val="20"/>
                <w:szCs w:val="20"/>
              </w:rPr>
            </w:pPr>
            <w:r>
              <w:rPr>
                <w:sz w:val="20"/>
                <w:szCs w:val="20"/>
              </w:rPr>
              <w:t>Multifamily</w:t>
            </w:r>
          </w:p>
        </w:tc>
        <w:tc>
          <w:tcPr>
            <w:tcW w:w="1800" w:type="dxa"/>
            <w:shd w:val="clear" w:color="auto" w:fill="auto"/>
            <w:vAlign w:val="center"/>
          </w:tcPr>
          <w:p w14:paraId="59570981" w14:textId="08E78DD5" w:rsidR="00F0073A" w:rsidRPr="00BD6838" w:rsidRDefault="00F0073A" w:rsidP="00F0073A">
            <w:pPr>
              <w:keepNext/>
              <w:keepLines/>
              <w:spacing w:before="20" w:after="20"/>
              <w:jc w:val="center"/>
              <w:rPr>
                <w:sz w:val="20"/>
                <w:szCs w:val="20"/>
              </w:rPr>
            </w:pPr>
            <w:r>
              <w:rPr>
                <w:sz w:val="20"/>
                <w:szCs w:val="20"/>
              </w:rPr>
              <w:t xml:space="preserve">40% </w:t>
            </w:r>
            <w:r>
              <w:rPr>
                <w:sz w:val="20"/>
                <w:szCs w:val="20"/>
              </w:rPr>
              <w:br/>
              <w:t>(20% supply/20% return)</w:t>
            </w:r>
          </w:p>
        </w:tc>
      </w:tr>
      <w:tr w:rsidR="00F0073A" w14:paraId="4947805B" w14:textId="77777777" w:rsidTr="00C47BC8">
        <w:trPr>
          <w:cantSplit/>
          <w:trHeight w:val="20"/>
        </w:trPr>
        <w:tc>
          <w:tcPr>
            <w:tcW w:w="1795" w:type="dxa"/>
            <w:tcBorders>
              <w:bottom w:val="single" w:sz="12" w:space="0" w:color="auto"/>
            </w:tcBorders>
          </w:tcPr>
          <w:p w14:paraId="388AD5BD" w14:textId="1D0070C5" w:rsidR="00F0073A" w:rsidRDefault="00F0073A" w:rsidP="00F0073A">
            <w:pPr>
              <w:keepNext/>
              <w:keepLines/>
              <w:spacing w:before="20" w:after="20"/>
              <w:rPr>
                <w:sz w:val="20"/>
                <w:szCs w:val="20"/>
              </w:rPr>
            </w:pPr>
            <w:r w:rsidRPr="004C6B6A">
              <w:rPr>
                <w:sz w:val="20"/>
                <w:szCs w:val="20"/>
              </w:rPr>
              <w:t>SWSV001D</w:t>
            </w:r>
          </w:p>
        </w:tc>
        <w:tc>
          <w:tcPr>
            <w:tcW w:w="1710" w:type="dxa"/>
            <w:vMerge/>
            <w:tcBorders>
              <w:bottom w:val="single" w:sz="12" w:space="0" w:color="auto"/>
            </w:tcBorders>
          </w:tcPr>
          <w:p w14:paraId="0211A4E3" w14:textId="4A22EA7F" w:rsidR="00F0073A" w:rsidRDefault="00F0073A" w:rsidP="00F0073A">
            <w:pPr>
              <w:keepNext/>
              <w:keepLines/>
              <w:spacing w:before="20" w:after="20"/>
              <w:rPr>
                <w:sz w:val="20"/>
                <w:szCs w:val="20"/>
              </w:rPr>
            </w:pPr>
          </w:p>
        </w:tc>
        <w:tc>
          <w:tcPr>
            <w:tcW w:w="4050" w:type="dxa"/>
            <w:tcBorders>
              <w:bottom w:val="single" w:sz="12" w:space="0" w:color="auto"/>
            </w:tcBorders>
          </w:tcPr>
          <w:p w14:paraId="79EF3C0D" w14:textId="77777777" w:rsidR="00F0073A" w:rsidRDefault="00F0073A" w:rsidP="00F0073A">
            <w:pPr>
              <w:keepNext/>
              <w:keepLines/>
              <w:spacing w:before="20" w:after="20"/>
              <w:rPr>
                <w:sz w:val="20"/>
                <w:szCs w:val="20"/>
              </w:rPr>
            </w:pPr>
            <w:r>
              <w:rPr>
                <w:sz w:val="20"/>
                <w:szCs w:val="20"/>
              </w:rPr>
              <w:t>Double-wide mobile home</w:t>
            </w:r>
          </w:p>
        </w:tc>
        <w:tc>
          <w:tcPr>
            <w:tcW w:w="1800" w:type="dxa"/>
            <w:tcBorders>
              <w:bottom w:val="single" w:sz="12" w:space="0" w:color="auto"/>
            </w:tcBorders>
            <w:shd w:val="clear" w:color="auto" w:fill="auto"/>
            <w:vAlign w:val="center"/>
          </w:tcPr>
          <w:p w14:paraId="69DFC9A4" w14:textId="3E13FA5A" w:rsidR="00F0073A" w:rsidRDefault="00F0073A" w:rsidP="00F0073A">
            <w:pPr>
              <w:keepNext/>
              <w:keepLines/>
              <w:spacing w:before="20" w:after="20"/>
              <w:jc w:val="center"/>
              <w:rPr>
                <w:sz w:val="20"/>
                <w:szCs w:val="20"/>
              </w:rPr>
            </w:pPr>
            <w:r>
              <w:rPr>
                <w:sz w:val="20"/>
                <w:szCs w:val="20"/>
              </w:rPr>
              <w:t>35% (supply)</w:t>
            </w:r>
          </w:p>
        </w:tc>
      </w:tr>
      <w:tr w:rsidR="00F0073A" w:rsidRPr="00BD6838" w14:paraId="0E6E3FB1" w14:textId="77777777" w:rsidTr="00C47BC8">
        <w:trPr>
          <w:cantSplit/>
          <w:trHeight w:val="578"/>
        </w:trPr>
        <w:tc>
          <w:tcPr>
            <w:tcW w:w="1795" w:type="dxa"/>
            <w:tcBorders>
              <w:top w:val="single" w:sz="12" w:space="0" w:color="auto"/>
            </w:tcBorders>
          </w:tcPr>
          <w:p w14:paraId="34F309F0" w14:textId="77777777" w:rsidR="00F0073A" w:rsidRDefault="00F0073A" w:rsidP="00F0073A">
            <w:pPr>
              <w:keepNext/>
              <w:keepLines/>
              <w:spacing w:before="20" w:after="20"/>
              <w:rPr>
                <w:sz w:val="20"/>
                <w:szCs w:val="20"/>
              </w:rPr>
            </w:pPr>
            <w:r w:rsidRPr="004C6B6A">
              <w:rPr>
                <w:sz w:val="20"/>
                <w:szCs w:val="20"/>
              </w:rPr>
              <w:t>SWSV001E</w:t>
            </w:r>
          </w:p>
          <w:p w14:paraId="667486EF" w14:textId="6AD103E4" w:rsidR="00F0073A" w:rsidRDefault="00F0073A" w:rsidP="00F0073A">
            <w:pPr>
              <w:keepNext/>
              <w:keepLines/>
              <w:spacing w:before="20" w:after="20"/>
              <w:rPr>
                <w:sz w:val="20"/>
                <w:szCs w:val="20"/>
              </w:rPr>
            </w:pPr>
            <w:r w:rsidRPr="004C6B6A">
              <w:rPr>
                <w:sz w:val="20"/>
                <w:szCs w:val="20"/>
              </w:rPr>
              <w:t>SWSV001G</w:t>
            </w:r>
          </w:p>
        </w:tc>
        <w:tc>
          <w:tcPr>
            <w:tcW w:w="1710" w:type="dxa"/>
            <w:vMerge w:val="restart"/>
            <w:tcBorders>
              <w:top w:val="single" w:sz="12" w:space="0" w:color="auto"/>
            </w:tcBorders>
          </w:tcPr>
          <w:p w14:paraId="5713EC7D" w14:textId="41369810" w:rsidR="00F0073A" w:rsidRDefault="00F0073A" w:rsidP="00F0073A">
            <w:pPr>
              <w:keepNext/>
              <w:keepLines/>
              <w:spacing w:before="20" w:after="20"/>
              <w:rPr>
                <w:sz w:val="20"/>
                <w:szCs w:val="20"/>
              </w:rPr>
            </w:pPr>
            <w:r>
              <w:rPr>
                <w:sz w:val="20"/>
                <w:szCs w:val="20"/>
              </w:rPr>
              <w:t>Medium</w:t>
            </w:r>
          </w:p>
        </w:tc>
        <w:tc>
          <w:tcPr>
            <w:tcW w:w="4050" w:type="dxa"/>
            <w:tcBorders>
              <w:top w:val="single" w:sz="12" w:space="0" w:color="auto"/>
            </w:tcBorders>
          </w:tcPr>
          <w:p w14:paraId="6831A802" w14:textId="77777777" w:rsidR="00F0073A" w:rsidRDefault="00F0073A" w:rsidP="00F0073A">
            <w:pPr>
              <w:keepNext/>
              <w:keepLines/>
              <w:spacing w:before="20" w:after="20"/>
              <w:rPr>
                <w:sz w:val="20"/>
                <w:szCs w:val="20"/>
              </w:rPr>
            </w:pPr>
            <w:r>
              <w:rPr>
                <w:sz w:val="20"/>
                <w:szCs w:val="20"/>
              </w:rPr>
              <w:t>Single family</w:t>
            </w:r>
          </w:p>
          <w:p w14:paraId="3264518D" w14:textId="54074019" w:rsidR="00F0073A" w:rsidRDefault="00F0073A" w:rsidP="00F0073A">
            <w:pPr>
              <w:keepNext/>
              <w:keepLines/>
              <w:spacing w:before="20" w:after="20"/>
              <w:rPr>
                <w:sz w:val="20"/>
                <w:szCs w:val="20"/>
              </w:rPr>
            </w:pPr>
            <w:r>
              <w:rPr>
                <w:sz w:val="20"/>
                <w:szCs w:val="20"/>
              </w:rPr>
              <w:t>Multifamily</w:t>
            </w:r>
          </w:p>
        </w:tc>
        <w:tc>
          <w:tcPr>
            <w:tcW w:w="1800" w:type="dxa"/>
            <w:tcBorders>
              <w:top w:val="single" w:sz="12" w:space="0" w:color="auto"/>
            </w:tcBorders>
            <w:shd w:val="clear" w:color="auto" w:fill="auto"/>
            <w:vAlign w:val="center"/>
          </w:tcPr>
          <w:p w14:paraId="4D995567" w14:textId="0657DD55" w:rsidR="00F0073A" w:rsidRPr="00BD6838" w:rsidRDefault="00F0073A" w:rsidP="00F0073A">
            <w:pPr>
              <w:keepNext/>
              <w:keepLines/>
              <w:spacing w:before="20" w:after="20"/>
              <w:jc w:val="center"/>
              <w:rPr>
                <w:sz w:val="20"/>
                <w:szCs w:val="20"/>
              </w:rPr>
            </w:pPr>
            <w:r>
              <w:rPr>
                <w:sz w:val="20"/>
                <w:szCs w:val="20"/>
              </w:rPr>
              <w:t>24%</w:t>
            </w:r>
          </w:p>
        </w:tc>
      </w:tr>
      <w:tr w:rsidR="00F0073A" w14:paraId="5BB8A1FB" w14:textId="77777777" w:rsidTr="002C778F">
        <w:trPr>
          <w:cantSplit/>
          <w:trHeight w:val="20"/>
        </w:trPr>
        <w:tc>
          <w:tcPr>
            <w:tcW w:w="1795" w:type="dxa"/>
            <w:tcBorders>
              <w:bottom w:val="single" w:sz="12" w:space="0" w:color="auto"/>
            </w:tcBorders>
          </w:tcPr>
          <w:p w14:paraId="5A19CE50" w14:textId="6F8F3B82" w:rsidR="00F0073A" w:rsidRDefault="00F0073A" w:rsidP="00F0073A">
            <w:pPr>
              <w:keepNext/>
              <w:keepLines/>
              <w:spacing w:before="20" w:after="20"/>
              <w:rPr>
                <w:sz w:val="20"/>
                <w:szCs w:val="20"/>
              </w:rPr>
            </w:pPr>
            <w:r w:rsidRPr="004C6B6A">
              <w:rPr>
                <w:sz w:val="20"/>
                <w:szCs w:val="20"/>
              </w:rPr>
              <w:t>SWSV001C</w:t>
            </w:r>
          </w:p>
        </w:tc>
        <w:tc>
          <w:tcPr>
            <w:tcW w:w="1710" w:type="dxa"/>
            <w:vMerge/>
            <w:tcBorders>
              <w:bottom w:val="single" w:sz="12" w:space="0" w:color="auto"/>
            </w:tcBorders>
          </w:tcPr>
          <w:p w14:paraId="7D7C4B58" w14:textId="6762F339" w:rsidR="00F0073A" w:rsidRDefault="00F0073A" w:rsidP="00F0073A">
            <w:pPr>
              <w:keepNext/>
              <w:keepLines/>
              <w:spacing w:before="20" w:after="20"/>
              <w:rPr>
                <w:sz w:val="20"/>
                <w:szCs w:val="20"/>
              </w:rPr>
            </w:pPr>
          </w:p>
        </w:tc>
        <w:tc>
          <w:tcPr>
            <w:tcW w:w="4050" w:type="dxa"/>
            <w:tcBorders>
              <w:bottom w:val="single" w:sz="12" w:space="0" w:color="auto"/>
            </w:tcBorders>
          </w:tcPr>
          <w:p w14:paraId="246374DE" w14:textId="77777777" w:rsidR="00F0073A" w:rsidRDefault="00F0073A" w:rsidP="00F0073A">
            <w:pPr>
              <w:keepNext/>
              <w:keepLines/>
              <w:spacing w:before="20" w:after="20"/>
              <w:rPr>
                <w:sz w:val="20"/>
                <w:szCs w:val="20"/>
              </w:rPr>
            </w:pPr>
            <w:r>
              <w:rPr>
                <w:sz w:val="20"/>
                <w:szCs w:val="20"/>
              </w:rPr>
              <w:t>Double-wide mobile home</w:t>
            </w:r>
          </w:p>
        </w:tc>
        <w:tc>
          <w:tcPr>
            <w:tcW w:w="1800" w:type="dxa"/>
            <w:tcBorders>
              <w:bottom w:val="single" w:sz="12" w:space="0" w:color="auto"/>
            </w:tcBorders>
            <w:shd w:val="clear" w:color="auto" w:fill="auto"/>
            <w:vAlign w:val="center"/>
          </w:tcPr>
          <w:p w14:paraId="168732E8" w14:textId="77777777" w:rsidR="00F0073A" w:rsidRDefault="00F0073A" w:rsidP="00F0073A">
            <w:pPr>
              <w:keepNext/>
              <w:keepLines/>
              <w:spacing w:before="20" w:after="20"/>
              <w:jc w:val="center"/>
              <w:rPr>
                <w:sz w:val="20"/>
                <w:szCs w:val="20"/>
              </w:rPr>
            </w:pPr>
            <w:r>
              <w:rPr>
                <w:sz w:val="20"/>
                <w:szCs w:val="20"/>
              </w:rPr>
              <w:t>25%</w:t>
            </w:r>
          </w:p>
        </w:tc>
      </w:tr>
      <w:tr w:rsidR="00C47BC8" w:rsidRPr="00BD6838" w14:paraId="5D0517C2" w14:textId="77777777" w:rsidTr="002C778F">
        <w:trPr>
          <w:cantSplit/>
          <w:trHeight w:val="578"/>
        </w:trPr>
        <w:tc>
          <w:tcPr>
            <w:tcW w:w="1795" w:type="dxa"/>
            <w:tcBorders>
              <w:top w:val="single" w:sz="12" w:space="0" w:color="auto"/>
            </w:tcBorders>
          </w:tcPr>
          <w:p w14:paraId="1764521D" w14:textId="1DC5F6E5" w:rsidR="00C47BC8" w:rsidRDefault="00C47BC8" w:rsidP="00C47BC8">
            <w:pPr>
              <w:keepNext/>
              <w:keepLines/>
              <w:spacing w:before="20" w:after="20"/>
              <w:rPr>
                <w:sz w:val="20"/>
                <w:szCs w:val="20"/>
              </w:rPr>
            </w:pPr>
            <w:r w:rsidRPr="004C6B6A">
              <w:rPr>
                <w:sz w:val="20"/>
                <w:szCs w:val="20"/>
              </w:rPr>
              <w:t>SWSV001</w:t>
            </w:r>
            <w:r>
              <w:rPr>
                <w:sz w:val="20"/>
                <w:szCs w:val="20"/>
              </w:rPr>
              <w:t>L</w:t>
            </w:r>
          </w:p>
          <w:p w14:paraId="7EAEF195" w14:textId="06EA8B48" w:rsidR="00C47BC8" w:rsidRDefault="00C47BC8" w:rsidP="00C47BC8">
            <w:pPr>
              <w:keepNext/>
              <w:keepLines/>
              <w:spacing w:before="20" w:after="20"/>
              <w:rPr>
                <w:sz w:val="20"/>
                <w:szCs w:val="20"/>
              </w:rPr>
            </w:pPr>
            <w:r w:rsidRPr="004C6B6A">
              <w:rPr>
                <w:sz w:val="20"/>
                <w:szCs w:val="20"/>
              </w:rPr>
              <w:t>SWSV001</w:t>
            </w:r>
            <w:r>
              <w:rPr>
                <w:sz w:val="20"/>
                <w:szCs w:val="20"/>
              </w:rPr>
              <w:t>N</w:t>
            </w:r>
          </w:p>
        </w:tc>
        <w:tc>
          <w:tcPr>
            <w:tcW w:w="1710" w:type="dxa"/>
            <w:vMerge w:val="restart"/>
            <w:tcBorders>
              <w:top w:val="single" w:sz="12" w:space="0" w:color="auto"/>
            </w:tcBorders>
          </w:tcPr>
          <w:p w14:paraId="1876D32C" w14:textId="77777777" w:rsidR="00C47BC8" w:rsidRDefault="00C47BC8" w:rsidP="00C47BC8">
            <w:pPr>
              <w:keepNext/>
              <w:keepLines/>
              <w:spacing w:before="20" w:after="20"/>
              <w:rPr>
                <w:sz w:val="20"/>
                <w:szCs w:val="20"/>
              </w:rPr>
            </w:pPr>
            <w:r>
              <w:rPr>
                <w:sz w:val="20"/>
                <w:szCs w:val="20"/>
              </w:rPr>
              <w:t>High</w:t>
            </w:r>
          </w:p>
        </w:tc>
        <w:tc>
          <w:tcPr>
            <w:tcW w:w="4050" w:type="dxa"/>
            <w:tcBorders>
              <w:top w:val="single" w:sz="12" w:space="0" w:color="auto"/>
            </w:tcBorders>
          </w:tcPr>
          <w:p w14:paraId="21900425" w14:textId="1BEE4C7C" w:rsidR="00C47BC8" w:rsidRDefault="00C47BC8" w:rsidP="00C47BC8">
            <w:pPr>
              <w:keepNext/>
              <w:keepLines/>
              <w:spacing w:before="20" w:after="20"/>
              <w:rPr>
                <w:sz w:val="20"/>
                <w:szCs w:val="20"/>
              </w:rPr>
            </w:pPr>
            <w:r>
              <w:rPr>
                <w:sz w:val="20"/>
                <w:szCs w:val="20"/>
              </w:rPr>
              <w:t xml:space="preserve">Single family </w:t>
            </w:r>
            <w:r w:rsidRPr="00C47BC8">
              <w:rPr>
                <w:sz w:val="20"/>
                <w:szCs w:val="20"/>
              </w:rPr>
              <w:t>rNCGF System Only</w:t>
            </w:r>
          </w:p>
          <w:p w14:paraId="2CFBCC05" w14:textId="3AEA2162" w:rsidR="00C47BC8" w:rsidRDefault="00C47BC8" w:rsidP="00C47BC8">
            <w:pPr>
              <w:keepNext/>
              <w:keepLines/>
              <w:spacing w:before="20" w:after="20"/>
              <w:rPr>
                <w:sz w:val="20"/>
                <w:szCs w:val="20"/>
              </w:rPr>
            </w:pPr>
            <w:r>
              <w:rPr>
                <w:sz w:val="20"/>
                <w:szCs w:val="20"/>
              </w:rPr>
              <w:t xml:space="preserve">Multifamily </w:t>
            </w:r>
            <w:r w:rsidRPr="00C47BC8">
              <w:rPr>
                <w:sz w:val="20"/>
                <w:szCs w:val="20"/>
              </w:rPr>
              <w:t>rNCGF System Only</w:t>
            </w:r>
          </w:p>
        </w:tc>
        <w:tc>
          <w:tcPr>
            <w:tcW w:w="1800" w:type="dxa"/>
            <w:tcBorders>
              <w:top w:val="single" w:sz="12" w:space="0" w:color="auto"/>
            </w:tcBorders>
            <w:shd w:val="clear" w:color="auto" w:fill="auto"/>
            <w:vAlign w:val="center"/>
          </w:tcPr>
          <w:p w14:paraId="52CEA7B8" w14:textId="77777777" w:rsidR="00C47BC8" w:rsidRPr="00BD6838" w:rsidRDefault="00C47BC8" w:rsidP="00C47BC8">
            <w:pPr>
              <w:keepNext/>
              <w:keepLines/>
              <w:spacing w:before="20" w:after="20"/>
              <w:jc w:val="center"/>
              <w:rPr>
                <w:sz w:val="20"/>
                <w:szCs w:val="20"/>
              </w:rPr>
            </w:pPr>
            <w:r>
              <w:rPr>
                <w:sz w:val="20"/>
                <w:szCs w:val="20"/>
              </w:rPr>
              <w:t xml:space="preserve">40% </w:t>
            </w:r>
            <w:r>
              <w:rPr>
                <w:sz w:val="20"/>
                <w:szCs w:val="20"/>
              </w:rPr>
              <w:br/>
              <w:t>(20% supply/20% return)</w:t>
            </w:r>
          </w:p>
        </w:tc>
      </w:tr>
      <w:tr w:rsidR="00C47BC8" w14:paraId="08CFA8ED" w14:textId="77777777" w:rsidTr="00C47BC8">
        <w:trPr>
          <w:cantSplit/>
          <w:trHeight w:val="20"/>
        </w:trPr>
        <w:tc>
          <w:tcPr>
            <w:tcW w:w="1795" w:type="dxa"/>
            <w:tcBorders>
              <w:bottom w:val="single" w:sz="12" w:space="0" w:color="auto"/>
            </w:tcBorders>
          </w:tcPr>
          <w:p w14:paraId="276D461E" w14:textId="387801C0" w:rsidR="00C47BC8" w:rsidRDefault="00C47BC8" w:rsidP="00C47BC8">
            <w:pPr>
              <w:keepNext/>
              <w:keepLines/>
              <w:spacing w:before="20" w:after="20"/>
              <w:rPr>
                <w:sz w:val="20"/>
                <w:szCs w:val="20"/>
              </w:rPr>
            </w:pPr>
            <w:r w:rsidRPr="004C6B6A">
              <w:rPr>
                <w:sz w:val="20"/>
                <w:szCs w:val="20"/>
              </w:rPr>
              <w:t>SWSV001</w:t>
            </w:r>
            <w:r>
              <w:rPr>
                <w:sz w:val="20"/>
                <w:szCs w:val="20"/>
              </w:rPr>
              <w:t>J</w:t>
            </w:r>
          </w:p>
        </w:tc>
        <w:tc>
          <w:tcPr>
            <w:tcW w:w="1710" w:type="dxa"/>
            <w:vMerge/>
            <w:tcBorders>
              <w:bottom w:val="single" w:sz="12" w:space="0" w:color="auto"/>
            </w:tcBorders>
          </w:tcPr>
          <w:p w14:paraId="2627C22B" w14:textId="77777777" w:rsidR="00C47BC8" w:rsidRDefault="00C47BC8" w:rsidP="00C47BC8">
            <w:pPr>
              <w:keepNext/>
              <w:keepLines/>
              <w:spacing w:before="20" w:after="20"/>
              <w:rPr>
                <w:sz w:val="20"/>
                <w:szCs w:val="20"/>
              </w:rPr>
            </w:pPr>
          </w:p>
        </w:tc>
        <w:tc>
          <w:tcPr>
            <w:tcW w:w="4050" w:type="dxa"/>
            <w:tcBorders>
              <w:bottom w:val="single" w:sz="12" w:space="0" w:color="auto"/>
            </w:tcBorders>
          </w:tcPr>
          <w:p w14:paraId="5E50BA38" w14:textId="02F6144C" w:rsidR="00C47BC8" w:rsidRDefault="00C47BC8" w:rsidP="00C47BC8">
            <w:pPr>
              <w:keepNext/>
              <w:keepLines/>
              <w:spacing w:before="20" w:after="20"/>
              <w:rPr>
                <w:sz w:val="20"/>
                <w:szCs w:val="20"/>
              </w:rPr>
            </w:pPr>
            <w:r>
              <w:rPr>
                <w:sz w:val="20"/>
                <w:szCs w:val="20"/>
              </w:rPr>
              <w:t xml:space="preserve">Double-wide mobile home </w:t>
            </w:r>
            <w:r w:rsidRPr="00C47BC8">
              <w:rPr>
                <w:sz w:val="20"/>
                <w:szCs w:val="20"/>
              </w:rPr>
              <w:t>rNCGF System Only</w:t>
            </w:r>
          </w:p>
        </w:tc>
        <w:tc>
          <w:tcPr>
            <w:tcW w:w="1800" w:type="dxa"/>
            <w:tcBorders>
              <w:bottom w:val="single" w:sz="12" w:space="0" w:color="auto"/>
            </w:tcBorders>
            <w:shd w:val="clear" w:color="auto" w:fill="auto"/>
            <w:vAlign w:val="center"/>
          </w:tcPr>
          <w:p w14:paraId="5A04E4F0" w14:textId="77777777" w:rsidR="00C47BC8" w:rsidRDefault="00C47BC8" w:rsidP="00C47BC8">
            <w:pPr>
              <w:keepNext/>
              <w:keepLines/>
              <w:spacing w:before="20" w:after="20"/>
              <w:jc w:val="center"/>
              <w:rPr>
                <w:sz w:val="20"/>
                <w:szCs w:val="20"/>
              </w:rPr>
            </w:pPr>
            <w:r>
              <w:rPr>
                <w:sz w:val="20"/>
                <w:szCs w:val="20"/>
              </w:rPr>
              <w:t>35% (supply)</w:t>
            </w:r>
          </w:p>
        </w:tc>
      </w:tr>
      <w:tr w:rsidR="00C47BC8" w:rsidRPr="00BD6838" w14:paraId="089516FD" w14:textId="77777777" w:rsidTr="00C47BC8">
        <w:trPr>
          <w:cantSplit/>
          <w:trHeight w:val="578"/>
        </w:trPr>
        <w:tc>
          <w:tcPr>
            <w:tcW w:w="1795" w:type="dxa"/>
            <w:tcBorders>
              <w:top w:val="single" w:sz="12" w:space="0" w:color="auto"/>
            </w:tcBorders>
          </w:tcPr>
          <w:p w14:paraId="2190487E" w14:textId="5658ECF0" w:rsidR="00C47BC8" w:rsidRDefault="00C47BC8" w:rsidP="00C47BC8">
            <w:pPr>
              <w:keepNext/>
              <w:keepLines/>
              <w:spacing w:before="20" w:after="20"/>
              <w:rPr>
                <w:sz w:val="20"/>
                <w:szCs w:val="20"/>
              </w:rPr>
            </w:pPr>
            <w:r w:rsidRPr="004C6B6A">
              <w:rPr>
                <w:sz w:val="20"/>
                <w:szCs w:val="20"/>
              </w:rPr>
              <w:t>SWSV001</w:t>
            </w:r>
            <w:r>
              <w:rPr>
                <w:sz w:val="20"/>
                <w:szCs w:val="20"/>
              </w:rPr>
              <w:t>K</w:t>
            </w:r>
          </w:p>
          <w:p w14:paraId="3739CCAF" w14:textId="43107DDE" w:rsidR="00C47BC8" w:rsidRDefault="00C47BC8" w:rsidP="00C47BC8">
            <w:pPr>
              <w:keepNext/>
              <w:keepLines/>
              <w:spacing w:before="20" w:after="20"/>
              <w:rPr>
                <w:sz w:val="20"/>
                <w:szCs w:val="20"/>
              </w:rPr>
            </w:pPr>
            <w:r w:rsidRPr="004C6B6A">
              <w:rPr>
                <w:sz w:val="20"/>
                <w:szCs w:val="20"/>
              </w:rPr>
              <w:t>SWSV001</w:t>
            </w:r>
            <w:r>
              <w:rPr>
                <w:sz w:val="20"/>
                <w:szCs w:val="20"/>
              </w:rPr>
              <w:t>M</w:t>
            </w:r>
          </w:p>
        </w:tc>
        <w:tc>
          <w:tcPr>
            <w:tcW w:w="1710" w:type="dxa"/>
            <w:vMerge w:val="restart"/>
            <w:tcBorders>
              <w:top w:val="single" w:sz="12" w:space="0" w:color="auto"/>
            </w:tcBorders>
          </w:tcPr>
          <w:p w14:paraId="3F6E3748" w14:textId="77777777" w:rsidR="00C47BC8" w:rsidRDefault="00C47BC8" w:rsidP="00C47BC8">
            <w:pPr>
              <w:keepNext/>
              <w:keepLines/>
              <w:spacing w:before="20" w:after="20"/>
              <w:rPr>
                <w:sz w:val="20"/>
                <w:szCs w:val="20"/>
              </w:rPr>
            </w:pPr>
            <w:r>
              <w:rPr>
                <w:sz w:val="20"/>
                <w:szCs w:val="20"/>
              </w:rPr>
              <w:t>Medium</w:t>
            </w:r>
          </w:p>
        </w:tc>
        <w:tc>
          <w:tcPr>
            <w:tcW w:w="4050" w:type="dxa"/>
            <w:tcBorders>
              <w:top w:val="single" w:sz="12" w:space="0" w:color="auto"/>
            </w:tcBorders>
          </w:tcPr>
          <w:p w14:paraId="024B999B" w14:textId="77BCDD28" w:rsidR="00C47BC8" w:rsidRDefault="00C47BC8" w:rsidP="00C47BC8">
            <w:pPr>
              <w:keepNext/>
              <w:keepLines/>
              <w:spacing w:before="20" w:after="20"/>
              <w:rPr>
                <w:sz w:val="20"/>
                <w:szCs w:val="20"/>
              </w:rPr>
            </w:pPr>
            <w:r>
              <w:rPr>
                <w:sz w:val="20"/>
                <w:szCs w:val="20"/>
              </w:rPr>
              <w:t xml:space="preserve">Single family </w:t>
            </w:r>
            <w:r w:rsidRPr="00C47BC8">
              <w:rPr>
                <w:sz w:val="20"/>
                <w:szCs w:val="20"/>
              </w:rPr>
              <w:t>rNCGF System Only</w:t>
            </w:r>
          </w:p>
          <w:p w14:paraId="2950779F" w14:textId="6D368553" w:rsidR="00C47BC8" w:rsidRDefault="00C47BC8" w:rsidP="00C47BC8">
            <w:pPr>
              <w:keepNext/>
              <w:keepLines/>
              <w:spacing w:before="20" w:after="20"/>
              <w:rPr>
                <w:sz w:val="20"/>
                <w:szCs w:val="20"/>
              </w:rPr>
            </w:pPr>
            <w:r>
              <w:rPr>
                <w:sz w:val="20"/>
                <w:szCs w:val="20"/>
              </w:rPr>
              <w:t xml:space="preserve">Multifamily </w:t>
            </w:r>
            <w:r w:rsidRPr="00C47BC8">
              <w:rPr>
                <w:sz w:val="20"/>
                <w:szCs w:val="20"/>
              </w:rPr>
              <w:t>rNCGF System Only</w:t>
            </w:r>
          </w:p>
        </w:tc>
        <w:tc>
          <w:tcPr>
            <w:tcW w:w="1800" w:type="dxa"/>
            <w:tcBorders>
              <w:top w:val="single" w:sz="12" w:space="0" w:color="auto"/>
            </w:tcBorders>
            <w:shd w:val="clear" w:color="auto" w:fill="auto"/>
            <w:vAlign w:val="center"/>
          </w:tcPr>
          <w:p w14:paraId="0F09DDF7" w14:textId="77777777" w:rsidR="00C47BC8" w:rsidRPr="00BD6838" w:rsidRDefault="00C47BC8" w:rsidP="00C47BC8">
            <w:pPr>
              <w:keepNext/>
              <w:keepLines/>
              <w:spacing w:before="20" w:after="20"/>
              <w:jc w:val="center"/>
              <w:rPr>
                <w:sz w:val="20"/>
                <w:szCs w:val="20"/>
              </w:rPr>
            </w:pPr>
            <w:r>
              <w:rPr>
                <w:sz w:val="20"/>
                <w:szCs w:val="20"/>
              </w:rPr>
              <w:t>24%</w:t>
            </w:r>
          </w:p>
        </w:tc>
      </w:tr>
      <w:tr w:rsidR="00C47BC8" w14:paraId="4DE985B4" w14:textId="77777777" w:rsidTr="00C47BC8">
        <w:trPr>
          <w:cantSplit/>
          <w:trHeight w:val="20"/>
        </w:trPr>
        <w:tc>
          <w:tcPr>
            <w:tcW w:w="1795" w:type="dxa"/>
          </w:tcPr>
          <w:p w14:paraId="5A9F9B9C" w14:textId="6A2DDC7A" w:rsidR="00C47BC8" w:rsidRDefault="00C47BC8" w:rsidP="00C47BC8">
            <w:pPr>
              <w:keepNext/>
              <w:keepLines/>
              <w:spacing w:before="20" w:after="20"/>
              <w:rPr>
                <w:sz w:val="20"/>
                <w:szCs w:val="20"/>
              </w:rPr>
            </w:pPr>
            <w:r w:rsidRPr="004C6B6A">
              <w:rPr>
                <w:sz w:val="20"/>
                <w:szCs w:val="20"/>
              </w:rPr>
              <w:t>SWSV001</w:t>
            </w:r>
            <w:r>
              <w:rPr>
                <w:sz w:val="20"/>
                <w:szCs w:val="20"/>
              </w:rPr>
              <w:t>I</w:t>
            </w:r>
          </w:p>
        </w:tc>
        <w:tc>
          <w:tcPr>
            <w:tcW w:w="1710" w:type="dxa"/>
            <w:vMerge/>
          </w:tcPr>
          <w:p w14:paraId="38219640" w14:textId="77777777" w:rsidR="00C47BC8" w:rsidRDefault="00C47BC8" w:rsidP="00C47BC8">
            <w:pPr>
              <w:keepNext/>
              <w:keepLines/>
              <w:spacing w:before="20" w:after="20"/>
              <w:rPr>
                <w:sz w:val="20"/>
                <w:szCs w:val="20"/>
              </w:rPr>
            </w:pPr>
          </w:p>
        </w:tc>
        <w:tc>
          <w:tcPr>
            <w:tcW w:w="4050" w:type="dxa"/>
          </w:tcPr>
          <w:p w14:paraId="7B8DE246" w14:textId="01B815BA" w:rsidR="00C47BC8" w:rsidRDefault="00C47BC8" w:rsidP="00C47BC8">
            <w:pPr>
              <w:keepNext/>
              <w:keepLines/>
              <w:spacing w:before="20" w:after="20"/>
              <w:rPr>
                <w:sz w:val="20"/>
                <w:szCs w:val="20"/>
              </w:rPr>
            </w:pPr>
            <w:r>
              <w:rPr>
                <w:sz w:val="20"/>
                <w:szCs w:val="20"/>
              </w:rPr>
              <w:t xml:space="preserve">Double-wide mobile home </w:t>
            </w:r>
            <w:r w:rsidRPr="00C47BC8">
              <w:rPr>
                <w:sz w:val="20"/>
                <w:szCs w:val="20"/>
              </w:rPr>
              <w:t>rNCGF System Only</w:t>
            </w:r>
          </w:p>
        </w:tc>
        <w:tc>
          <w:tcPr>
            <w:tcW w:w="1800" w:type="dxa"/>
            <w:shd w:val="clear" w:color="auto" w:fill="auto"/>
            <w:vAlign w:val="center"/>
          </w:tcPr>
          <w:p w14:paraId="0D2E8D25" w14:textId="77777777" w:rsidR="00C47BC8" w:rsidRDefault="00C47BC8" w:rsidP="00C47BC8">
            <w:pPr>
              <w:keepNext/>
              <w:keepLines/>
              <w:spacing w:before="20" w:after="20"/>
              <w:jc w:val="center"/>
              <w:rPr>
                <w:sz w:val="20"/>
                <w:szCs w:val="20"/>
              </w:rPr>
            </w:pPr>
            <w:r>
              <w:rPr>
                <w:sz w:val="20"/>
                <w:szCs w:val="20"/>
              </w:rPr>
              <w:t>25%</w:t>
            </w:r>
          </w:p>
        </w:tc>
      </w:tr>
    </w:tbl>
    <w:p w14:paraId="31229FBE" w14:textId="77777777" w:rsidR="002942B0" w:rsidRPr="002942B0" w:rsidRDefault="002942B0" w:rsidP="002942B0"/>
    <w:p w14:paraId="7D9DA4A6" w14:textId="77777777" w:rsidR="007D230B" w:rsidRPr="00171BB8" w:rsidRDefault="007D230B" w:rsidP="00975E33">
      <w:pPr>
        <w:pStyle w:val="eTRMHeading3"/>
      </w:pPr>
      <w:bookmarkStart w:id="19" w:name="_Toc486490850"/>
      <w:bookmarkStart w:id="20" w:name="_Toc486580921"/>
      <w:bookmarkStart w:id="21" w:name="_Toc67405010"/>
      <w:r w:rsidRPr="004B06E3">
        <w:lastRenderedPageBreak/>
        <w:t>Code Requirements</w:t>
      </w:r>
      <w:bookmarkEnd w:id="19"/>
      <w:bookmarkEnd w:id="20"/>
      <w:bookmarkEnd w:id="21"/>
    </w:p>
    <w:p w14:paraId="2BAD25B2" w14:textId="4880F68B" w:rsidR="008E5BB6" w:rsidRPr="008E5BB6" w:rsidRDefault="00D52FA2" w:rsidP="008E5BB6">
      <w:r>
        <w:t>This</w:t>
      </w:r>
      <w:r w:rsidR="008E5BB6" w:rsidRPr="008E5BB6">
        <w:t xml:space="preserve"> measure</w:t>
      </w:r>
      <w:r>
        <w:t xml:space="preserve"> is subject to</w:t>
      </w:r>
      <w:r w:rsidR="008E5BB6" w:rsidRPr="008E5BB6">
        <w:t xml:space="preserve"> the California</w:t>
      </w:r>
      <w:r>
        <w:t xml:space="preserve"> Building </w:t>
      </w:r>
      <w:r w:rsidR="008E5BB6" w:rsidRPr="008E5BB6">
        <w:t xml:space="preserve">Energy </w:t>
      </w:r>
      <w:r>
        <w:t>Efficiency Standards (Title 24)</w:t>
      </w:r>
      <w:r w:rsidR="00167E4C" w:rsidRPr="00167E4C">
        <w:rPr>
          <w:rStyle w:val="FootnoteReference"/>
          <w:sz w:val="20"/>
        </w:rPr>
        <w:t xml:space="preserve"> </w:t>
      </w:r>
      <w:r w:rsidR="00167E4C">
        <w:rPr>
          <w:rStyle w:val="FootnoteReference"/>
          <w:sz w:val="20"/>
        </w:rPr>
        <w:footnoteReference w:id="7"/>
      </w:r>
      <w:r w:rsidR="00167E4C">
        <w:t xml:space="preserve"> </w:t>
      </w:r>
      <w:r w:rsidR="00543EA9">
        <w:t>which</w:t>
      </w:r>
      <w:r>
        <w:t xml:space="preserve"> stipulates the following duct system requirement</w:t>
      </w:r>
      <w:r w:rsidR="00543EA9">
        <w:t>s</w:t>
      </w:r>
      <w:r w:rsidR="008E5BB6" w:rsidRPr="008E5BB6">
        <w:t xml:space="preserve"> for any </w:t>
      </w:r>
      <w:r w:rsidR="008E5BB6" w:rsidRPr="00465A9B">
        <w:rPr>
          <w:i/>
        </w:rPr>
        <w:t>new</w:t>
      </w:r>
      <w:r w:rsidR="008E5BB6" w:rsidRPr="008E5BB6">
        <w:t xml:space="preserve"> installation of air-cooled air conditioners and air-source heat pumps:</w:t>
      </w:r>
    </w:p>
    <w:p w14:paraId="2C8BE213" w14:textId="5166A627" w:rsidR="008E5BB6" w:rsidRPr="008E5BB6" w:rsidRDefault="00267A1F" w:rsidP="00543EA9">
      <w:pPr>
        <w:pStyle w:val="eTRMBulletedText"/>
      </w:pPr>
      <w:r>
        <w:t>F</w:t>
      </w:r>
      <w:r w:rsidRPr="00267A1F">
        <w:t>or alterations and extensions of existing duct work duct</w:t>
      </w:r>
      <w:r w:rsidR="008E5BB6" w:rsidRPr="008E5BB6">
        <w:t xml:space="preserve"> systems must be sealed and verified if &gt;</w:t>
      </w:r>
      <w:r w:rsidR="00465A9B">
        <w:t xml:space="preserve"> </w:t>
      </w:r>
      <w:r w:rsidR="008E5BB6" w:rsidRPr="008E5BB6">
        <w:t>40 feet of ducts in unconditioned space.  Duct system leakage must be ≤</w:t>
      </w:r>
      <w:r w:rsidR="00465A9B">
        <w:t xml:space="preserve"> </w:t>
      </w:r>
      <w:r w:rsidR="008E5BB6" w:rsidRPr="008E5BB6">
        <w:t>15% in total, or ≤</w:t>
      </w:r>
      <w:r w:rsidR="00465A9B">
        <w:t xml:space="preserve"> </w:t>
      </w:r>
      <w:r w:rsidR="008E5BB6" w:rsidRPr="008E5BB6">
        <w:t xml:space="preserve">10% to the outside. Or, if unable to meet the sealing requirements, all accessible leaks must be sealed and verified by a </w:t>
      </w:r>
      <w:r w:rsidR="00D52FA2">
        <w:t>Home Energy Rating System (</w:t>
      </w:r>
      <w:r w:rsidR="00D52FA2" w:rsidRPr="008E5BB6">
        <w:t>HERS</w:t>
      </w:r>
      <w:r w:rsidR="00D52FA2">
        <w:t>)</w:t>
      </w:r>
      <w:r w:rsidR="00D52FA2" w:rsidRPr="008E5BB6">
        <w:t xml:space="preserve"> </w:t>
      </w:r>
      <w:r w:rsidR="008E5BB6" w:rsidRPr="008E5BB6">
        <w:t>rater</w:t>
      </w:r>
      <w:r w:rsidR="00EF5BCE">
        <w:t>.</w:t>
      </w:r>
    </w:p>
    <w:p w14:paraId="31A3FD88" w14:textId="77777777" w:rsidR="00D52FA2" w:rsidRDefault="008E5BB6" w:rsidP="00543EA9">
      <w:pPr>
        <w:pStyle w:val="eTRMBulletedText"/>
      </w:pPr>
      <w:r w:rsidRPr="008E5BB6">
        <w:t xml:space="preserve">Mandatory duct insulation requirements (R-6) apply to all new or replacement ducts (not existing or unaltered ducts). </w:t>
      </w:r>
    </w:p>
    <w:p w14:paraId="04DF3208" w14:textId="149EFC06" w:rsidR="00D52FA2" w:rsidRDefault="008E5BB6" w:rsidP="00D52FA2">
      <w:pPr>
        <w:pStyle w:val="eTRMSub-bulletedText"/>
      </w:pPr>
      <w:r w:rsidRPr="008E5BB6">
        <w:t>When replacing &gt;</w:t>
      </w:r>
      <w:r w:rsidR="00D52FA2">
        <w:t xml:space="preserve"> </w:t>
      </w:r>
      <w:r w:rsidRPr="008E5BB6">
        <w:t>40 feet of ducts in unconditioned spac</w:t>
      </w:r>
      <w:r w:rsidR="00AE3C6E">
        <w:t>e in</w:t>
      </w:r>
      <w:r w:rsidRPr="008E5BB6">
        <w:t xml:space="preserve"> </w:t>
      </w:r>
      <w:r w:rsidR="00AE3C6E">
        <w:t xml:space="preserve">climate zones </w:t>
      </w:r>
      <w:r w:rsidRPr="008E5BB6">
        <w:t>1</w:t>
      </w:r>
      <w:r w:rsidR="00AE3C6E">
        <w:t xml:space="preserve"> through</w:t>
      </w:r>
      <w:r w:rsidRPr="008E5BB6">
        <w:t xml:space="preserve">10 and </w:t>
      </w:r>
      <w:r w:rsidR="00AE3C6E">
        <w:t xml:space="preserve">in climate zones </w:t>
      </w:r>
      <w:r w:rsidRPr="008E5BB6">
        <w:t>12</w:t>
      </w:r>
      <w:r w:rsidR="00AE3C6E">
        <w:t xml:space="preserve"> and </w:t>
      </w:r>
      <w:r w:rsidRPr="008E5BB6">
        <w:t>13</w:t>
      </w:r>
      <w:r w:rsidR="00AE3C6E">
        <w:t>,</w:t>
      </w:r>
      <w:r w:rsidRPr="008E5BB6">
        <w:t xml:space="preserve"> R-6 </w:t>
      </w:r>
      <w:r w:rsidR="00AE3C6E">
        <w:t>is required.</w:t>
      </w:r>
    </w:p>
    <w:p w14:paraId="65A89179" w14:textId="54135CF4" w:rsidR="00D52FA2" w:rsidRDefault="00AE3C6E" w:rsidP="00D52FA2">
      <w:pPr>
        <w:pStyle w:val="eTRMSub-bulletedText"/>
      </w:pPr>
      <w:r w:rsidRPr="008E5BB6">
        <w:t>When replacing &gt;</w:t>
      </w:r>
      <w:r>
        <w:t xml:space="preserve"> </w:t>
      </w:r>
      <w:r w:rsidRPr="008E5BB6">
        <w:t>40 feet of ducts in unconditioned spac</w:t>
      </w:r>
      <w:r>
        <w:t>e in</w:t>
      </w:r>
      <w:r w:rsidRPr="008E5BB6">
        <w:t xml:space="preserve"> </w:t>
      </w:r>
      <w:r>
        <w:t xml:space="preserve">climate zones in climate zones </w:t>
      </w:r>
      <w:r w:rsidR="008E5BB6" w:rsidRPr="008E5BB6">
        <w:t>11 and 14-16</w:t>
      </w:r>
      <w:r>
        <w:t>,</w:t>
      </w:r>
      <w:r w:rsidR="008E5BB6" w:rsidRPr="008E5BB6">
        <w:t xml:space="preserve"> R-8</w:t>
      </w:r>
      <w:r>
        <w:t xml:space="preserve"> is required.</w:t>
      </w:r>
      <w:r w:rsidR="008E5BB6" w:rsidRPr="008E5BB6">
        <w:t xml:space="preserve"> </w:t>
      </w:r>
    </w:p>
    <w:p w14:paraId="0D6CC687" w14:textId="018EFDBB" w:rsidR="008E5BB6" w:rsidRPr="008E5BB6" w:rsidRDefault="00D52FA2" w:rsidP="00543EA9">
      <w:pPr>
        <w:pStyle w:val="eTRMBulletedText"/>
      </w:pPr>
      <w:r>
        <w:t xml:space="preserve">HERS </w:t>
      </w:r>
      <w:r w:rsidR="008E5BB6" w:rsidRPr="008E5BB6">
        <w:t xml:space="preserve">verification is required for insulated ducts </w:t>
      </w:r>
      <w:r>
        <w:t>i</w:t>
      </w:r>
      <w:r w:rsidR="008E5BB6" w:rsidRPr="008E5BB6">
        <w:t>n conditioned space.</w:t>
      </w:r>
    </w:p>
    <w:p w14:paraId="2108D16E" w14:textId="6A00F6CA" w:rsidR="008E5BB6" w:rsidRDefault="008E5BB6" w:rsidP="00543EA9">
      <w:pPr>
        <w:pStyle w:val="eTRMBulletedText"/>
      </w:pPr>
      <w:r w:rsidRPr="008E5BB6">
        <w:t xml:space="preserve">In all climate zones, </w:t>
      </w:r>
      <w:r w:rsidR="00AE3C6E">
        <w:t>where</w:t>
      </w:r>
      <w:r w:rsidRPr="008E5BB6">
        <w:t xml:space="preserve"> new duct systems are installed in unconditioned space, leakage must be ≤</w:t>
      </w:r>
      <w:r w:rsidR="00D52FA2">
        <w:t xml:space="preserve"> </w:t>
      </w:r>
      <w:r w:rsidR="00920CC3">
        <w:t>5</w:t>
      </w:r>
      <w:r w:rsidRPr="008E5BB6">
        <w:t>% of the air handler air</w:t>
      </w:r>
      <w:r w:rsidR="00465A9B">
        <w:t xml:space="preserve"> </w:t>
      </w:r>
      <w:r w:rsidRPr="008E5BB6">
        <w:t>flow.</w:t>
      </w:r>
    </w:p>
    <w:p w14:paraId="5D76E23A" w14:textId="77777777" w:rsidR="00465A9B" w:rsidRDefault="00465A9B" w:rsidP="002E1961">
      <w:pPr>
        <w:pStyle w:val="eTRMBulletedText"/>
        <w:numPr>
          <w:ilvl w:val="0"/>
          <w:numId w:val="0"/>
        </w:numPr>
        <w:ind w:left="720" w:hanging="360"/>
      </w:pPr>
    </w:p>
    <w:p w14:paraId="777240C5" w14:textId="2AA39F7B" w:rsidR="002E1961" w:rsidRPr="008E5BB6" w:rsidRDefault="002E1961" w:rsidP="003F051C">
      <w:r>
        <w:t>This measure does not fall under federal regulations.</w:t>
      </w:r>
    </w:p>
    <w:p w14:paraId="7E96141F" w14:textId="1B038E3D" w:rsidR="00FD2C54" w:rsidRDefault="00FD2C54" w:rsidP="000B4192">
      <w:pPr>
        <w:pStyle w:val="Caption"/>
        <w:keepNext w:val="0"/>
        <w:keepLines w:val="0"/>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3510"/>
        <w:gridCol w:w="2430"/>
      </w:tblGrid>
      <w:tr w:rsidR="00FC77BB" w:rsidRPr="00154391" w14:paraId="4623D54B" w14:textId="689B6080" w:rsidTr="000B4192">
        <w:trPr>
          <w:cantSplit/>
          <w:trHeight w:val="20"/>
          <w:tblHeader/>
        </w:trPr>
        <w:tc>
          <w:tcPr>
            <w:tcW w:w="3595" w:type="dxa"/>
            <w:shd w:val="clear" w:color="auto" w:fill="F2F2F2" w:themeFill="background1" w:themeFillShade="F2"/>
            <w:vAlign w:val="bottom"/>
          </w:tcPr>
          <w:p w14:paraId="5E8EE0C5" w14:textId="77777777" w:rsidR="00FC77BB" w:rsidRPr="00154391" w:rsidRDefault="00FC77BB" w:rsidP="000B4192">
            <w:pPr>
              <w:spacing w:before="20" w:after="20"/>
              <w:rPr>
                <w:b/>
                <w:sz w:val="20"/>
                <w:szCs w:val="20"/>
              </w:rPr>
            </w:pPr>
            <w:r w:rsidRPr="0079498E">
              <w:rPr>
                <w:b/>
                <w:sz w:val="20"/>
              </w:rPr>
              <w:t>Code</w:t>
            </w:r>
          </w:p>
        </w:tc>
        <w:tc>
          <w:tcPr>
            <w:tcW w:w="3510" w:type="dxa"/>
            <w:shd w:val="clear" w:color="auto" w:fill="F2F2F2" w:themeFill="background1" w:themeFillShade="F2"/>
            <w:vAlign w:val="bottom"/>
          </w:tcPr>
          <w:p w14:paraId="2A51DAFB" w14:textId="77777777" w:rsidR="00FC77BB" w:rsidRPr="00154391" w:rsidRDefault="00FC77BB" w:rsidP="000B4192">
            <w:pPr>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0B4192">
            <w:pPr>
              <w:spacing w:before="20" w:after="20"/>
              <w:jc w:val="center"/>
              <w:rPr>
                <w:b/>
                <w:sz w:val="20"/>
                <w:szCs w:val="20"/>
              </w:rPr>
            </w:pPr>
            <w:r w:rsidRPr="0079498E">
              <w:rPr>
                <w:b/>
                <w:sz w:val="20"/>
              </w:rPr>
              <w:t>Effective Date</w:t>
            </w:r>
          </w:p>
        </w:tc>
      </w:tr>
      <w:tr w:rsidR="00FC77BB" w:rsidRPr="00FB030E" w14:paraId="782F7264" w14:textId="345CFA23" w:rsidTr="00D52FA2">
        <w:trPr>
          <w:cantSplit/>
          <w:trHeight w:val="20"/>
        </w:trPr>
        <w:tc>
          <w:tcPr>
            <w:tcW w:w="3595" w:type="dxa"/>
            <w:shd w:val="clear" w:color="auto" w:fill="auto"/>
          </w:tcPr>
          <w:p w14:paraId="67BA833F" w14:textId="0FA193AE" w:rsidR="00FC77BB" w:rsidRPr="00BD6838" w:rsidRDefault="00FC77BB" w:rsidP="000B4192">
            <w:pPr>
              <w:spacing w:before="20" w:after="20"/>
              <w:rPr>
                <w:sz w:val="20"/>
                <w:szCs w:val="20"/>
              </w:rPr>
            </w:pPr>
            <w:r w:rsidRPr="00BD6838">
              <w:rPr>
                <w:sz w:val="20"/>
              </w:rPr>
              <w:t xml:space="preserve">CA Appliance Efficiency Regulations – Title 20 </w:t>
            </w:r>
          </w:p>
        </w:tc>
        <w:tc>
          <w:tcPr>
            <w:tcW w:w="3510" w:type="dxa"/>
            <w:shd w:val="clear" w:color="auto" w:fill="auto"/>
          </w:tcPr>
          <w:p w14:paraId="794A0264" w14:textId="7035C464" w:rsidR="00FC77BB" w:rsidRPr="00FB030E" w:rsidRDefault="00EF5BCE" w:rsidP="000B4192">
            <w:pPr>
              <w:spacing w:before="20" w:after="20"/>
              <w:rPr>
                <w:sz w:val="20"/>
                <w:szCs w:val="20"/>
              </w:rPr>
            </w:pPr>
            <w:r>
              <w:rPr>
                <w:sz w:val="20"/>
                <w:szCs w:val="20"/>
              </w:rPr>
              <w:t>None.</w:t>
            </w:r>
          </w:p>
        </w:tc>
        <w:tc>
          <w:tcPr>
            <w:tcW w:w="2430" w:type="dxa"/>
            <w:shd w:val="clear" w:color="auto" w:fill="auto"/>
          </w:tcPr>
          <w:p w14:paraId="274AB5DC" w14:textId="163D45AE" w:rsidR="00FC77BB" w:rsidRPr="00FB030E" w:rsidRDefault="00EF5BCE" w:rsidP="000B4192">
            <w:pPr>
              <w:spacing w:before="20" w:after="20"/>
              <w:rPr>
                <w:sz w:val="20"/>
                <w:szCs w:val="20"/>
              </w:rPr>
            </w:pPr>
            <w:r>
              <w:rPr>
                <w:sz w:val="20"/>
                <w:szCs w:val="20"/>
              </w:rPr>
              <w:t>n/a</w:t>
            </w:r>
          </w:p>
        </w:tc>
      </w:tr>
      <w:tr w:rsidR="00FC77BB" w:rsidRPr="00FB030E" w14:paraId="1238F946" w14:textId="64CC1E4E" w:rsidTr="00D52FA2">
        <w:trPr>
          <w:cantSplit/>
          <w:trHeight w:val="20"/>
        </w:trPr>
        <w:tc>
          <w:tcPr>
            <w:tcW w:w="3595" w:type="dxa"/>
            <w:shd w:val="clear" w:color="auto" w:fill="auto"/>
          </w:tcPr>
          <w:p w14:paraId="4F444C61" w14:textId="780EF35B" w:rsidR="00FC77BB" w:rsidRPr="00BD6838" w:rsidRDefault="00FC77BB" w:rsidP="000B4192">
            <w:pPr>
              <w:spacing w:before="20" w:after="20"/>
              <w:rPr>
                <w:sz w:val="20"/>
                <w:szCs w:val="20"/>
              </w:rPr>
            </w:pPr>
            <w:r w:rsidRPr="00BD6838">
              <w:rPr>
                <w:sz w:val="20"/>
              </w:rPr>
              <w:t xml:space="preserve">CA Building Energy Efficiency Standards – Title 24 </w:t>
            </w:r>
            <w:r w:rsidR="00EF5BCE">
              <w:rPr>
                <w:sz w:val="20"/>
              </w:rPr>
              <w:t>(</w:t>
            </w:r>
            <w:r w:rsidR="00436DB8">
              <w:rPr>
                <w:sz w:val="20"/>
              </w:rPr>
              <w:t>2019</w:t>
            </w:r>
            <w:r w:rsidR="00EF5BCE">
              <w:rPr>
                <w:sz w:val="20"/>
              </w:rPr>
              <w:t>)</w:t>
            </w:r>
          </w:p>
        </w:tc>
        <w:tc>
          <w:tcPr>
            <w:tcW w:w="3510" w:type="dxa"/>
            <w:shd w:val="clear" w:color="auto" w:fill="auto"/>
          </w:tcPr>
          <w:p w14:paraId="0A330E5E" w14:textId="709AD37B" w:rsidR="00FC77BB" w:rsidRPr="00FB030E" w:rsidRDefault="00EF5BCE" w:rsidP="000B4192">
            <w:pPr>
              <w:spacing w:before="20" w:after="20"/>
              <w:rPr>
                <w:sz w:val="20"/>
                <w:szCs w:val="20"/>
              </w:rPr>
            </w:pPr>
            <w:r>
              <w:rPr>
                <w:rFonts w:cs="Arial"/>
                <w:sz w:val="18"/>
                <w:szCs w:val="18"/>
              </w:rPr>
              <w:t>Section 120.4, 140.4(1), and RA3.1.</w:t>
            </w:r>
          </w:p>
        </w:tc>
        <w:tc>
          <w:tcPr>
            <w:tcW w:w="2430" w:type="dxa"/>
            <w:shd w:val="clear" w:color="auto" w:fill="auto"/>
          </w:tcPr>
          <w:p w14:paraId="63BAD98E" w14:textId="41CC13AA" w:rsidR="00FC77BB" w:rsidRPr="00FB030E" w:rsidRDefault="00EF5BCE" w:rsidP="000B4192">
            <w:pPr>
              <w:spacing w:before="20" w:after="20"/>
              <w:rPr>
                <w:sz w:val="20"/>
                <w:szCs w:val="20"/>
              </w:rPr>
            </w:pPr>
            <w:r>
              <w:rPr>
                <w:sz w:val="20"/>
                <w:szCs w:val="20"/>
              </w:rPr>
              <w:t xml:space="preserve">January 1, </w:t>
            </w:r>
            <w:r w:rsidR="00436DB8">
              <w:rPr>
                <w:sz w:val="20"/>
                <w:szCs w:val="20"/>
              </w:rPr>
              <w:t>2020</w:t>
            </w:r>
          </w:p>
        </w:tc>
      </w:tr>
      <w:tr w:rsidR="00465A9B" w:rsidRPr="00FB030E" w14:paraId="726530CE" w14:textId="77777777" w:rsidTr="00D52FA2">
        <w:trPr>
          <w:cantSplit/>
          <w:trHeight w:val="20"/>
        </w:trPr>
        <w:tc>
          <w:tcPr>
            <w:tcW w:w="3595" w:type="dxa"/>
            <w:shd w:val="clear" w:color="auto" w:fill="auto"/>
          </w:tcPr>
          <w:p w14:paraId="4112CE8E" w14:textId="4D1B331B" w:rsidR="00465A9B" w:rsidRPr="00BD6838" w:rsidRDefault="00465A9B" w:rsidP="000B4192">
            <w:pPr>
              <w:spacing w:before="20" w:after="20"/>
              <w:rPr>
                <w:sz w:val="20"/>
              </w:rPr>
            </w:pPr>
            <w:r w:rsidRPr="00BD6838">
              <w:rPr>
                <w:sz w:val="20"/>
              </w:rPr>
              <w:t xml:space="preserve">CA Building Energy Efficiency Standards – Title 24 </w:t>
            </w:r>
            <w:r>
              <w:rPr>
                <w:sz w:val="20"/>
              </w:rPr>
              <w:t>(</w:t>
            </w:r>
            <w:r w:rsidR="00436DB8">
              <w:rPr>
                <w:sz w:val="20"/>
              </w:rPr>
              <w:t>2019</w:t>
            </w:r>
            <w:r>
              <w:rPr>
                <w:sz w:val="20"/>
              </w:rPr>
              <w:t>)</w:t>
            </w:r>
          </w:p>
        </w:tc>
        <w:tc>
          <w:tcPr>
            <w:tcW w:w="3510" w:type="dxa"/>
            <w:shd w:val="clear" w:color="auto" w:fill="auto"/>
          </w:tcPr>
          <w:p w14:paraId="098B0644" w14:textId="5AD12761" w:rsidR="00465A9B" w:rsidRDefault="00465A9B" w:rsidP="000B4192">
            <w:pPr>
              <w:spacing w:before="20" w:after="20"/>
              <w:rPr>
                <w:rFonts w:cs="Arial"/>
                <w:sz w:val="18"/>
                <w:szCs w:val="18"/>
              </w:rPr>
            </w:pPr>
            <w:r>
              <w:rPr>
                <w:rFonts w:cs="Arial"/>
                <w:sz w:val="18"/>
                <w:szCs w:val="18"/>
              </w:rPr>
              <w:t>Section 150.2(b) 1D Altered Duct Systems – Duct Sealing</w:t>
            </w:r>
          </w:p>
        </w:tc>
        <w:tc>
          <w:tcPr>
            <w:tcW w:w="2430" w:type="dxa"/>
            <w:shd w:val="clear" w:color="auto" w:fill="auto"/>
          </w:tcPr>
          <w:p w14:paraId="357C08AA" w14:textId="27845E30" w:rsidR="00465A9B" w:rsidRDefault="00465A9B" w:rsidP="000B4192">
            <w:pPr>
              <w:spacing w:before="20" w:after="20"/>
              <w:rPr>
                <w:sz w:val="20"/>
                <w:szCs w:val="20"/>
              </w:rPr>
            </w:pPr>
            <w:r>
              <w:rPr>
                <w:sz w:val="20"/>
                <w:szCs w:val="20"/>
              </w:rPr>
              <w:t xml:space="preserve">January 1, </w:t>
            </w:r>
            <w:r w:rsidR="00436DB8">
              <w:rPr>
                <w:sz w:val="20"/>
                <w:szCs w:val="20"/>
              </w:rPr>
              <w:t>2020</w:t>
            </w:r>
          </w:p>
        </w:tc>
      </w:tr>
      <w:tr w:rsidR="00465A9B" w:rsidRPr="00FB030E" w14:paraId="60633AC6" w14:textId="77777777" w:rsidTr="004E2F5A">
        <w:trPr>
          <w:cantSplit/>
          <w:trHeight w:val="20"/>
        </w:trPr>
        <w:tc>
          <w:tcPr>
            <w:tcW w:w="3595" w:type="dxa"/>
            <w:shd w:val="clear" w:color="auto" w:fill="auto"/>
          </w:tcPr>
          <w:p w14:paraId="77B1DDED" w14:textId="1C1E26F0" w:rsidR="00465A9B" w:rsidRPr="00BD6838" w:rsidRDefault="00465A9B" w:rsidP="000B4192">
            <w:pPr>
              <w:spacing w:before="20" w:after="20"/>
              <w:rPr>
                <w:sz w:val="20"/>
              </w:rPr>
            </w:pPr>
            <w:r w:rsidRPr="00BD6838">
              <w:rPr>
                <w:sz w:val="20"/>
              </w:rPr>
              <w:t xml:space="preserve">CA Building Energy Efficiency Standards – Title 24 </w:t>
            </w:r>
            <w:r>
              <w:rPr>
                <w:sz w:val="20"/>
              </w:rPr>
              <w:t>(</w:t>
            </w:r>
            <w:r w:rsidR="00047B8F">
              <w:rPr>
                <w:sz w:val="20"/>
              </w:rPr>
              <w:t>2019</w:t>
            </w:r>
            <w:r>
              <w:rPr>
                <w:sz w:val="20"/>
              </w:rPr>
              <w:t>)</w:t>
            </w:r>
          </w:p>
        </w:tc>
        <w:tc>
          <w:tcPr>
            <w:tcW w:w="3510" w:type="dxa"/>
            <w:shd w:val="clear" w:color="auto" w:fill="auto"/>
            <w:vAlign w:val="center"/>
          </w:tcPr>
          <w:p w14:paraId="7D9BCAE6" w14:textId="23A56E02" w:rsidR="00465A9B" w:rsidRPr="00465A9B" w:rsidRDefault="00465A9B" w:rsidP="000B4192">
            <w:pPr>
              <w:spacing w:before="20" w:after="20"/>
              <w:rPr>
                <w:rFonts w:cs="Arial"/>
                <w:sz w:val="20"/>
                <w:szCs w:val="18"/>
              </w:rPr>
            </w:pPr>
            <w:r w:rsidRPr="00465A9B">
              <w:rPr>
                <w:rFonts w:cstheme="minorHAnsi"/>
                <w:sz w:val="20"/>
                <w:szCs w:val="20"/>
              </w:rPr>
              <w:t xml:space="preserve">Section </w:t>
            </w:r>
            <w:r w:rsidR="00F313B1">
              <w:rPr>
                <w:rFonts w:cstheme="minorHAnsi"/>
                <w:sz w:val="20"/>
                <w:szCs w:val="20"/>
              </w:rPr>
              <w:t>10</w:t>
            </w:r>
            <w:r w:rsidRPr="00465A9B">
              <w:rPr>
                <w:rFonts w:cstheme="minorHAnsi"/>
                <w:sz w:val="20"/>
                <w:szCs w:val="20"/>
              </w:rPr>
              <w:t>.</w:t>
            </w:r>
            <w:r w:rsidR="00F313B1">
              <w:rPr>
                <w:rFonts w:cstheme="minorHAnsi"/>
                <w:sz w:val="20"/>
                <w:szCs w:val="20"/>
              </w:rPr>
              <w:t>103</w:t>
            </w:r>
            <w:r w:rsidRPr="00465A9B">
              <w:rPr>
                <w:rFonts w:cstheme="minorHAnsi"/>
                <w:sz w:val="20"/>
                <w:szCs w:val="20"/>
              </w:rPr>
              <w:t xml:space="preserve"> Permits, Fees, Applications, and Inspections</w:t>
            </w:r>
          </w:p>
        </w:tc>
        <w:tc>
          <w:tcPr>
            <w:tcW w:w="2430" w:type="dxa"/>
            <w:shd w:val="clear" w:color="auto" w:fill="auto"/>
          </w:tcPr>
          <w:p w14:paraId="5CC3D8DB" w14:textId="1C7A01BE" w:rsidR="00465A9B" w:rsidRPr="00465A9B" w:rsidRDefault="00465A9B" w:rsidP="000B4192">
            <w:pPr>
              <w:spacing w:before="20" w:after="20"/>
              <w:rPr>
                <w:sz w:val="20"/>
                <w:szCs w:val="20"/>
              </w:rPr>
            </w:pPr>
            <w:r>
              <w:rPr>
                <w:sz w:val="20"/>
                <w:szCs w:val="20"/>
              </w:rPr>
              <w:t xml:space="preserve">January 1, </w:t>
            </w:r>
            <w:r w:rsidR="00047B8F">
              <w:rPr>
                <w:sz w:val="20"/>
                <w:szCs w:val="20"/>
              </w:rPr>
              <w:t>2020</w:t>
            </w:r>
          </w:p>
        </w:tc>
      </w:tr>
      <w:tr w:rsidR="00465A9B" w:rsidRPr="00FB030E" w14:paraId="23FB50B6" w14:textId="5078B94B" w:rsidTr="00D52FA2">
        <w:trPr>
          <w:cantSplit/>
          <w:trHeight w:val="20"/>
        </w:trPr>
        <w:tc>
          <w:tcPr>
            <w:tcW w:w="3595" w:type="dxa"/>
            <w:shd w:val="clear" w:color="auto" w:fill="auto"/>
          </w:tcPr>
          <w:p w14:paraId="2EBFC05B" w14:textId="77777777" w:rsidR="00465A9B" w:rsidRPr="00BD6838" w:rsidRDefault="00465A9B" w:rsidP="000B4192">
            <w:pPr>
              <w:spacing w:before="20" w:after="20"/>
              <w:rPr>
                <w:sz w:val="20"/>
                <w:szCs w:val="20"/>
              </w:rPr>
            </w:pPr>
            <w:r w:rsidRPr="00BD6838">
              <w:rPr>
                <w:sz w:val="20"/>
              </w:rPr>
              <w:t>Federal Standards</w:t>
            </w:r>
          </w:p>
        </w:tc>
        <w:tc>
          <w:tcPr>
            <w:tcW w:w="3510" w:type="dxa"/>
            <w:shd w:val="clear" w:color="auto" w:fill="auto"/>
          </w:tcPr>
          <w:p w14:paraId="0D43394E" w14:textId="2444BF7C" w:rsidR="00465A9B" w:rsidRPr="00FB030E" w:rsidRDefault="00465A9B" w:rsidP="000B4192">
            <w:pPr>
              <w:spacing w:before="20" w:after="20"/>
              <w:rPr>
                <w:sz w:val="20"/>
                <w:szCs w:val="20"/>
              </w:rPr>
            </w:pPr>
            <w:r>
              <w:rPr>
                <w:sz w:val="20"/>
                <w:szCs w:val="20"/>
              </w:rPr>
              <w:t>None.</w:t>
            </w:r>
          </w:p>
        </w:tc>
        <w:tc>
          <w:tcPr>
            <w:tcW w:w="2430" w:type="dxa"/>
            <w:shd w:val="clear" w:color="auto" w:fill="auto"/>
          </w:tcPr>
          <w:p w14:paraId="66FA1B6F" w14:textId="23BFC7E6" w:rsidR="00465A9B" w:rsidRPr="00FB030E" w:rsidRDefault="00465A9B" w:rsidP="000B4192">
            <w:pPr>
              <w:spacing w:before="20" w:after="20"/>
              <w:rPr>
                <w:sz w:val="20"/>
                <w:szCs w:val="20"/>
              </w:rPr>
            </w:pPr>
            <w:r>
              <w:rPr>
                <w:sz w:val="20"/>
                <w:szCs w:val="20"/>
              </w:rPr>
              <w:t>n/a</w:t>
            </w:r>
          </w:p>
        </w:tc>
      </w:tr>
    </w:tbl>
    <w:p w14:paraId="28A93655" w14:textId="77777777" w:rsidR="00FD2C54" w:rsidRDefault="00FD2C54" w:rsidP="0011498C"/>
    <w:p w14:paraId="1EE16D20" w14:textId="77777777" w:rsidR="007D230B" w:rsidRPr="00171BB8" w:rsidRDefault="007D230B" w:rsidP="00975E33">
      <w:pPr>
        <w:pStyle w:val="eTRMHeading3"/>
      </w:pPr>
      <w:bookmarkStart w:id="23" w:name="_Toc486490851"/>
      <w:bookmarkStart w:id="24" w:name="_Toc486580922"/>
      <w:bookmarkStart w:id="25" w:name="_Toc67405011"/>
      <w:r w:rsidRPr="00A83458">
        <w:t>Normalizing</w:t>
      </w:r>
      <w:r w:rsidRPr="00171BB8">
        <w:t xml:space="preserve"> Unit</w:t>
      </w:r>
      <w:bookmarkEnd w:id="23"/>
      <w:bookmarkEnd w:id="24"/>
      <w:bookmarkEnd w:id="25"/>
    </w:p>
    <w:p w14:paraId="171ACD9D" w14:textId="77777777" w:rsidR="00913087" w:rsidRDefault="00913087" w:rsidP="00913087">
      <w:r>
        <w:t>Tons of cooling capacity (Cap-Tons)</w:t>
      </w:r>
    </w:p>
    <w:p w14:paraId="4F4A0E29" w14:textId="363A315F" w:rsidR="00337357" w:rsidRPr="007D230B" w:rsidRDefault="00C47BC8" w:rsidP="00486585">
      <w:r>
        <w:t>No Cooling Gas Furnace (rNCGF) (</w:t>
      </w:r>
      <w:r w:rsidRPr="00C47BC8">
        <w:t>Cap-kBTUh</w:t>
      </w:r>
      <w:r>
        <w:t>)</w:t>
      </w:r>
    </w:p>
    <w:p w14:paraId="2F4904E6" w14:textId="77777777" w:rsidR="007D230B" w:rsidRPr="004B06E3" w:rsidRDefault="007D230B" w:rsidP="00975E33">
      <w:pPr>
        <w:pStyle w:val="eTRMHeading3"/>
      </w:pPr>
      <w:bookmarkStart w:id="26" w:name="_Toc486490852"/>
      <w:bookmarkStart w:id="27" w:name="_Toc486580923"/>
      <w:bookmarkStart w:id="28" w:name="_Toc67405012"/>
      <w:bookmarkStart w:id="29" w:name="_Hlk515365299"/>
      <w:bookmarkStart w:id="30" w:name="_Hlk515878271"/>
      <w:r w:rsidRPr="004B06E3">
        <w:lastRenderedPageBreak/>
        <w:t>Program Requirements</w:t>
      </w:r>
      <w:bookmarkEnd w:id="26"/>
      <w:bookmarkEnd w:id="27"/>
      <w:bookmarkEnd w:id="28"/>
      <w:r w:rsidRPr="004B06E3">
        <w:t xml:space="preserve"> </w:t>
      </w:r>
    </w:p>
    <w:p w14:paraId="3BBB87E5" w14:textId="77777777" w:rsidR="000A1437" w:rsidRDefault="000A1437" w:rsidP="000A1437">
      <w:pPr>
        <w:pStyle w:val="eTRMHeading5"/>
        <w:keepNext/>
        <w:keepLines/>
      </w:pPr>
      <w:bookmarkStart w:id="31" w:name="_Hlk516047641"/>
      <w:r>
        <w:t>Measure Implementation Eligibility</w:t>
      </w:r>
    </w:p>
    <w:p w14:paraId="24592C97" w14:textId="77777777" w:rsidR="000A1437" w:rsidRDefault="000A1437" w:rsidP="000A1437">
      <w:bookmarkStart w:id="32" w:name="_Hlk527543844"/>
      <w:bookmarkStart w:id="33"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2"/>
    </w:p>
    <w:bookmarkEnd w:id="33"/>
    <w:p w14:paraId="0C1072E0" w14:textId="77777777" w:rsidR="000A1437" w:rsidRPr="00CC4643" w:rsidRDefault="000A1437" w:rsidP="000A143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bookmarkEnd w:id="29"/>
    <w:p w14:paraId="4C20D576" w14:textId="35E88C02" w:rsidR="001B426F" w:rsidRDefault="001B426F" w:rsidP="001B426F">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1831"/>
        <w:gridCol w:w="4217"/>
      </w:tblGrid>
      <w:tr w:rsidR="001B426F" w:rsidRPr="00A47168" w14:paraId="40946250" w14:textId="77777777" w:rsidTr="00782E92">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1831"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4217"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782E92">
        <w:trPr>
          <w:trHeight w:val="290"/>
        </w:trPr>
        <w:tc>
          <w:tcPr>
            <w:tcW w:w="3024" w:type="dxa"/>
            <w:noWrap/>
            <w:tcMar>
              <w:top w:w="0" w:type="dxa"/>
              <w:left w:w="108" w:type="dxa"/>
              <w:bottom w:w="0" w:type="dxa"/>
              <w:right w:w="108" w:type="dxa"/>
            </w:tcMar>
            <w:vAlign w:val="bottom"/>
          </w:tcPr>
          <w:p w14:paraId="178C5C26" w14:textId="44DF76C1" w:rsidR="001B426F" w:rsidRPr="00A47168" w:rsidRDefault="00831072" w:rsidP="001B426F">
            <w:pPr>
              <w:keepNext/>
              <w:spacing w:before="0" w:after="0"/>
              <w:rPr>
                <w:color w:val="000000"/>
                <w:sz w:val="20"/>
              </w:rPr>
            </w:pPr>
            <w:bookmarkStart w:id="34" w:name="_Hlk50976412"/>
            <w:r>
              <w:t>BRO-RCx</w:t>
            </w:r>
          </w:p>
        </w:tc>
        <w:tc>
          <w:tcPr>
            <w:tcW w:w="1831" w:type="dxa"/>
            <w:noWrap/>
            <w:tcMar>
              <w:top w:w="0" w:type="dxa"/>
              <w:left w:w="108" w:type="dxa"/>
              <w:bottom w:w="0" w:type="dxa"/>
              <w:right w:w="108" w:type="dxa"/>
            </w:tcMar>
            <w:vAlign w:val="bottom"/>
          </w:tcPr>
          <w:p w14:paraId="7EB7E369" w14:textId="4BBD294B" w:rsidR="001B426F" w:rsidRPr="00A47168" w:rsidRDefault="00441D91" w:rsidP="001B426F">
            <w:pPr>
              <w:keepNext/>
              <w:spacing w:before="0" w:after="0"/>
              <w:rPr>
                <w:color w:val="000000"/>
                <w:sz w:val="20"/>
              </w:rPr>
            </w:pPr>
            <w:r>
              <w:rPr>
                <w:color w:val="000000"/>
                <w:sz w:val="20"/>
              </w:rPr>
              <w:t>DnDeemDI</w:t>
            </w:r>
          </w:p>
        </w:tc>
        <w:tc>
          <w:tcPr>
            <w:tcW w:w="4217" w:type="dxa"/>
            <w:noWrap/>
            <w:tcMar>
              <w:top w:w="0" w:type="dxa"/>
              <w:left w:w="108" w:type="dxa"/>
              <w:bottom w:w="0" w:type="dxa"/>
              <w:right w:w="108" w:type="dxa"/>
            </w:tcMar>
            <w:vAlign w:val="bottom"/>
          </w:tcPr>
          <w:p w14:paraId="6F9C2987" w14:textId="38B4123B" w:rsidR="001B426F" w:rsidRPr="00A47168" w:rsidRDefault="00441D91" w:rsidP="001B426F">
            <w:pPr>
              <w:keepNext/>
              <w:spacing w:before="0" w:after="0"/>
              <w:rPr>
                <w:color w:val="000000"/>
                <w:sz w:val="20"/>
              </w:rPr>
            </w:pPr>
            <w:r>
              <w:rPr>
                <w:color w:val="000000"/>
                <w:sz w:val="20"/>
              </w:rPr>
              <w:t>Res</w:t>
            </w:r>
            <w:r w:rsidR="00DE4053">
              <w:rPr>
                <w:color w:val="000000"/>
                <w:sz w:val="20"/>
              </w:rPr>
              <w:t xml:space="preserve"> (SFm &amp; MFm 2006 &amp; post)</w:t>
            </w:r>
          </w:p>
        </w:tc>
      </w:tr>
      <w:tr w:rsidR="00535228" w:rsidRPr="00A47168" w14:paraId="130AEB1F" w14:textId="77777777" w:rsidTr="00DE4053">
        <w:trPr>
          <w:trHeight w:val="290"/>
        </w:trPr>
        <w:tc>
          <w:tcPr>
            <w:tcW w:w="3024" w:type="dxa"/>
            <w:noWrap/>
            <w:tcMar>
              <w:top w:w="0" w:type="dxa"/>
              <w:left w:w="108" w:type="dxa"/>
              <w:bottom w:w="0" w:type="dxa"/>
              <w:right w:w="108" w:type="dxa"/>
            </w:tcMar>
            <w:vAlign w:val="bottom"/>
          </w:tcPr>
          <w:p w14:paraId="6B76D7CE" w14:textId="5EEA848D" w:rsidR="00535228" w:rsidRDefault="00535228" w:rsidP="00DE4053">
            <w:pPr>
              <w:keepNext/>
              <w:spacing w:before="0" w:after="0"/>
              <w:rPr>
                <w:color w:val="000000"/>
                <w:sz w:val="20"/>
              </w:rPr>
            </w:pPr>
            <w:r>
              <w:rPr>
                <w:color w:val="000000"/>
                <w:sz w:val="20"/>
              </w:rPr>
              <w:t>BW</w:t>
            </w:r>
          </w:p>
        </w:tc>
        <w:tc>
          <w:tcPr>
            <w:tcW w:w="1831" w:type="dxa"/>
            <w:noWrap/>
            <w:tcMar>
              <w:top w:w="0" w:type="dxa"/>
              <w:left w:w="108" w:type="dxa"/>
              <w:bottom w:w="0" w:type="dxa"/>
              <w:right w:w="108" w:type="dxa"/>
            </w:tcMar>
            <w:vAlign w:val="bottom"/>
          </w:tcPr>
          <w:p w14:paraId="4941EA9A" w14:textId="082EFDAA" w:rsidR="00535228" w:rsidRDefault="00535228" w:rsidP="00DE4053">
            <w:pPr>
              <w:keepNext/>
              <w:spacing w:before="0" w:after="0"/>
              <w:rPr>
                <w:color w:val="000000"/>
                <w:sz w:val="20"/>
              </w:rPr>
            </w:pPr>
            <w:r>
              <w:rPr>
                <w:color w:val="000000"/>
                <w:sz w:val="20"/>
              </w:rPr>
              <w:t>DnDeemDI</w:t>
            </w:r>
          </w:p>
        </w:tc>
        <w:tc>
          <w:tcPr>
            <w:tcW w:w="4217" w:type="dxa"/>
            <w:noWrap/>
            <w:tcMar>
              <w:top w:w="0" w:type="dxa"/>
              <w:left w:w="108" w:type="dxa"/>
              <w:bottom w:w="0" w:type="dxa"/>
              <w:right w:w="108" w:type="dxa"/>
            </w:tcMar>
            <w:vAlign w:val="bottom"/>
          </w:tcPr>
          <w:p w14:paraId="00D1FE06" w14:textId="11BF33AE" w:rsidR="00535228" w:rsidRDefault="00535228" w:rsidP="00DE4053">
            <w:pPr>
              <w:keepNext/>
              <w:spacing w:before="0" w:after="0"/>
              <w:rPr>
                <w:color w:val="000000"/>
                <w:sz w:val="20"/>
              </w:rPr>
            </w:pPr>
            <w:r>
              <w:rPr>
                <w:color w:val="000000"/>
                <w:sz w:val="20"/>
              </w:rPr>
              <w:t>Res (DMo)</w:t>
            </w:r>
          </w:p>
        </w:tc>
      </w:tr>
      <w:bookmarkEnd w:id="34"/>
      <w:tr w:rsidR="00DE4053" w:rsidRPr="00A47168" w14:paraId="1FD96344" w14:textId="77777777" w:rsidTr="00782E92">
        <w:trPr>
          <w:trHeight w:val="290"/>
        </w:trPr>
        <w:tc>
          <w:tcPr>
            <w:tcW w:w="3024" w:type="dxa"/>
            <w:noWrap/>
            <w:tcMar>
              <w:top w:w="0" w:type="dxa"/>
              <w:left w:w="108" w:type="dxa"/>
              <w:bottom w:w="0" w:type="dxa"/>
              <w:right w:w="108" w:type="dxa"/>
            </w:tcMar>
            <w:vAlign w:val="bottom"/>
          </w:tcPr>
          <w:p w14:paraId="646F09EC" w14:textId="70E0EC7A" w:rsidR="00DE4053" w:rsidRDefault="00DE4053" w:rsidP="00DE4053">
            <w:pPr>
              <w:keepNext/>
              <w:spacing w:before="0" w:after="0"/>
              <w:rPr>
                <w:color w:val="000000"/>
                <w:sz w:val="20"/>
              </w:rPr>
            </w:pPr>
            <w:r>
              <w:rPr>
                <w:color w:val="000000"/>
                <w:sz w:val="20"/>
              </w:rPr>
              <w:t>BW</w:t>
            </w:r>
          </w:p>
        </w:tc>
        <w:tc>
          <w:tcPr>
            <w:tcW w:w="1831" w:type="dxa"/>
            <w:noWrap/>
            <w:tcMar>
              <w:top w:w="0" w:type="dxa"/>
              <w:left w:w="108" w:type="dxa"/>
              <w:bottom w:w="0" w:type="dxa"/>
              <w:right w:w="108" w:type="dxa"/>
            </w:tcMar>
            <w:vAlign w:val="bottom"/>
          </w:tcPr>
          <w:p w14:paraId="12DC84D2" w14:textId="71B5EF1C" w:rsidR="00DE4053" w:rsidRDefault="00DE4053" w:rsidP="00DE4053">
            <w:pPr>
              <w:keepNext/>
              <w:spacing w:before="0" w:after="0"/>
              <w:rPr>
                <w:color w:val="000000"/>
                <w:sz w:val="20"/>
              </w:rPr>
            </w:pPr>
            <w:r>
              <w:rPr>
                <w:color w:val="000000"/>
                <w:sz w:val="20"/>
              </w:rPr>
              <w:t>DnDeemDI</w:t>
            </w:r>
          </w:p>
        </w:tc>
        <w:tc>
          <w:tcPr>
            <w:tcW w:w="4217" w:type="dxa"/>
            <w:noWrap/>
            <w:tcMar>
              <w:top w:w="0" w:type="dxa"/>
              <w:left w:w="108" w:type="dxa"/>
              <w:bottom w:w="0" w:type="dxa"/>
              <w:right w:w="108" w:type="dxa"/>
            </w:tcMar>
            <w:vAlign w:val="bottom"/>
          </w:tcPr>
          <w:p w14:paraId="30E016D9" w14:textId="58302F72" w:rsidR="00DE4053" w:rsidRDefault="00DE4053" w:rsidP="00DE4053">
            <w:pPr>
              <w:keepNext/>
              <w:spacing w:before="0" w:after="0"/>
              <w:rPr>
                <w:color w:val="000000"/>
                <w:sz w:val="20"/>
              </w:rPr>
            </w:pPr>
            <w:r>
              <w:rPr>
                <w:color w:val="000000"/>
                <w:sz w:val="20"/>
              </w:rPr>
              <w:t>Res (SFm &amp; MFm  pre-2006)</w:t>
            </w:r>
          </w:p>
        </w:tc>
      </w:tr>
    </w:tbl>
    <w:p w14:paraId="73035A5C" w14:textId="77777777" w:rsidR="001B426F" w:rsidRDefault="001B426F" w:rsidP="001B426F"/>
    <w:bookmarkEnd w:id="30"/>
    <w:bookmarkEnd w:id="31"/>
    <w:p w14:paraId="50711562" w14:textId="13A54246" w:rsidR="00AA46AF" w:rsidRDefault="00196649" w:rsidP="00154391">
      <w:pPr>
        <w:pStyle w:val="eTRMHeading5"/>
      </w:pPr>
      <w:r>
        <w:t>Eligible Products</w:t>
      </w:r>
    </w:p>
    <w:p w14:paraId="454F21D0" w14:textId="119876A5" w:rsidR="002942B0" w:rsidRDefault="004666CC" w:rsidP="002942B0">
      <w:r w:rsidRPr="002631DC">
        <w:rPr>
          <w:rFonts w:cs="Arial"/>
        </w:rPr>
        <w:t xml:space="preserve">The </w:t>
      </w:r>
      <w:r w:rsidR="00916DFA">
        <w:rPr>
          <w:rFonts w:cs="Arial"/>
        </w:rPr>
        <w:t>duct test and seal programs</w:t>
      </w:r>
      <w:r w:rsidRPr="002631DC">
        <w:rPr>
          <w:rFonts w:cs="Arial"/>
        </w:rPr>
        <w:t xml:space="preserve"> for residential mobile homes, multifamily homes, and single-family homes </w:t>
      </w:r>
      <w:r w:rsidR="00916DFA">
        <w:rPr>
          <w:rFonts w:cs="Arial"/>
        </w:rPr>
        <w:t>eligible for</w:t>
      </w:r>
      <w:r w:rsidRPr="002631DC">
        <w:rPr>
          <w:rFonts w:cs="Arial"/>
        </w:rPr>
        <w:t xml:space="preserve"> </w:t>
      </w:r>
      <w:r w:rsidR="00916DFA">
        <w:rPr>
          <w:rFonts w:cs="Arial"/>
        </w:rPr>
        <w:t xml:space="preserve">a </w:t>
      </w:r>
      <w:r w:rsidRPr="002631DC">
        <w:rPr>
          <w:rFonts w:cs="Arial"/>
        </w:rPr>
        <w:t xml:space="preserve">direct-install </w:t>
      </w:r>
      <w:r w:rsidR="00916DFA">
        <w:rPr>
          <w:rFonts w:cs="Arial"/>
        </w:rPr>
        <w:t>delivery approach</w:t>
      </w:r>
      <w:r w:rsidRPr="002631DC">
        <w:rPr>
          <w:rFonts w:cs="Arial"/>
        </w:rPr>
        <w:t xml:space="preserve">. Up to two duct tests </w:t>
      </w:r>
      <w:r w:rsidR="00916DFA">
        <w:rPr>
          <w:rFonts w:cs="Arial"/>
        </w:rPr>
        <w:t>must be</w:t>
      </w:r>
      <w:r w:rsidRPr="002631DC">
        <w:rPr>
          <w:rFonts w:cs="Arial"/>
        </w:rPr>
        <w:t xml:space="preserve"> conducted</w:t>
      </w:r>
      <w:r w:rsidR="00916DFA">
        <w:rPr>
          <w:rFonts w:cs="Arial"/>
        </w:rPr>
        <w:t>:</w:t>
      </w:r>
      <w:r w:rsidRPr="002631DC">
        <w:rPr>
          <w:rFonts w:cs="Arial"/>
        </w:rPr>
        <w:t xml:space="preserve"> the first or “</w:t>
      </w:r>
      <w:r w:rsidR="00916DFA">
        <w:rPr>
          <w:rFonts w:cs="Arial"/>
        </w:rPr>
        <w:t>t</w:t>
      </w:r>
      <w:r w:rsidRPr="002631DC">
        <w:rPr>
          <w:rFonts w:cs="Arial"/>
        </w:rPr>
        <w:t xml:space="preserve">est-in” is a system check to determine whether the duct system tightness meets the California Title 24 specifications. </w:t>
      </w:r>
      <w:r w:rsidR="00C50808" w:rsidRPr="00C50808">
        <w:rPr>
          <w:rFonts w:cs="Arial"/>
        </w:rPr>
        <w:t xml:space="preserve">If the Test-in shows that duct leakage exceeds minimum tightness specifications, and the technicians correct the situation, then a second test or “test-out” must be conducted to verify proper duct tightness was achieved. </w:t>
      </w:r>
      <w:r w:rsidR="00CB5AC3">
        <w:rPr>
          <w:rFonts w:cs="Arial"/>
        </w:rPr>
        <w:t>Energy savings are associated with t</w:t>
      </w:r>
      <w:r w:rsidRPr="002631DC">
        <w:rPr>
          <w:rFonts w:cs="Arial"/>
        </w:rPr>
        <w:t>h</w:t>
      </w:r>
      <w:r>
        <w:rPr>
          <w:rFonts w:cs="Arial"/>
        </w:rPr>
        <w:t xml:space="preserve">e </w:t>
      </w:r>
      <w:r w:rsidR="00916DFA">
        <w:rPr>
          <w:rFonts w:cs="Arial"/>
        </w:rPr>
        <w:t>t</w:t>
      </w:r>
      <w:r w:rsidRPr="002631DC">
        <w:rPr>
          <w:rFonts w:cs="Arial"/>
        </w:rPr>
        <w:t xml:space="preserve">est-out </w:t>
      </w:r>
      <w:r>
        <w:rPr>
          <w:rFonts w:cs="Arial"/>
        </w:rPr>
        <w:t>procedure</w:t>
      </w:r>
      <w:r w:rsidR="00CB5AC3">
        <w:rPr>
          <w:rFonts w:cs="Arial"/>
        </w:rPr>
        <w:t>;</w:t>
      </w:r>
      <w:r>
        <w:rPr>
          <w:rFonts w:cs="Arial"/>
        </w:rPr>
        <w:t xml:space="preserve"> </w:t>
      </w:r>
      <w:r w:rsidRPr="002631DC">
        <w:rPr>
          <w:rFonts w:cs="Arial"/>
        </w:rPr>
        <w:t>energy savings</w:t>
      </w:r>
      <w:r w:rsidR="00CB5AC3">
        <w:rPr>
          <w:rFonts w:cs="Arial"/>
        </w:rPr>
        <w:t xml:space="preserve"> are not assigned to the</w:t>
      </w:r>
      <w:r w:rsidRPr="002631DC">
        <w:rPr>
          <w:rFonts w:cs="Arial"/>
        </w:rPr>
        <w:t xml:space="preserve"> “</w:t>
      </w:r>
      <w:r w:rsidR="00916DFA">
        <w:rPr>
          <w:rFonts w:cs="Arial"/>
        </w:rPr>
        <w:t>t</w:t>
      </w:r>
      <w:r w:rsidRPr="002631DC">
        <w:rPr>
          <w:rFonts w:cs="Arial"/>
        </w:rPr>
        <w:t>est-in” procedure.</w:t>
      </w:r>
    </w:p>
    <w:p w14:paraId="6257D8F4" w14:textId="1C006678" w:rsidR="00CA3CED" w:rsidRDefault="00CA3CED" w:rsidP="00767F52">
      <w:r w:rsidRPr="00CA3CED">
        <w:t xml:space="preserve">To identify these measures as part of an existing HVAC system, the program implementer must record existing duct leakage through comprehensive field testing. The testing can be performed while the system is pressurized using a duct </w:t>
      </w:r>
      <w:r w:rsidR="005F1E7B">
        <w:t>blower</w:t>
      </w:r>
      <w:r w:rsidRPr="00CA3CED">
        <w:t xml:space="preserve"> fan to ensure the target leakage thresholds are achieved. </w:t>
      </w:r>
      <w:r w:rsidR="00CE42DB" w:rsidRPr="00CE42DB">
        <w:t xml:space="preserve">Duct sealing shall be performed on the unpressurized system. After installation, testing shall be performed to ensure the target leakage thresholds are </w:t>
      </w:r>
      <w:r w:rsidR="00CE42DB" w:rsidRPr="00B13C06">
        <w:t xml:space="preserve">achieved. </w:t>
      </w:r>
      <w:r w:rsidR="003952D4" w:rsidRPr="00B13C06">
        <w:t xml:space="preserve">Any test </w:t>
      </w:r>
      <w:r w:rsidR="00302E15" w:rsidRPr="001C0FC7">
        <w:t>compliant with</w:t>
      </w:r>
      <w:r w:rsidR="003952D4" w:rsidRPr="00B13C06">
        <w:t xml:space="preserve"> the </w:t>
      </w:r>
      <w:r w:rsidR="006D533B" w:rsidRPr="001C0FC7">
        <w:t xml:space="preserve">Title 24 </w:t>
      </w:r>
      <w:r w:rsidR="00711B3A">
        <w:t xml:space="preserve">2019 </w:t>
      </w:r>
      <w:r w:rsidR="006D533B" w:rsidRPr="001C0FC7">
        <w:t xml:space="preserve">Residential </w:t>
      </w:r>
      <w:r w:rsidR="00690A87" w:rsidRPr="001C0FC7">
        <w:t>Compliance Manual</w:t>
      </w:r>
      <w:r w:rsidR="00690A87" w:rsidRPr="001C0FC7">
        <w:rPr>
          <w:rStyle w:val="FootnoteReference"/>
        </w:rPr>
        <w:footnoteReference w:id="8"/>
      </w:r>
      <w:r w:rsidR="0068420F" w:rsidRPr="00B13C06">
        <w:t xml:space="preserve"> can be used to justify duct leakage for this measure, </w:t>
      </w:r>
      <w:r w:rsidR="00175035" w:rsidRPr="001C0FC7">
        <w:t xml:space="preserve">such </w:t>
      </w:r>
      <w:r w:rsidR="00B13C06" w:rsidRPr="001C0FC7">
        <w:t>as the</w:t>
      </w:r>
      <w:r w:rsidR="0068420F" w:rsidRPr="00B13C06">
        <w:t xml:space="preserve"> </w:t>
      </w:r>
      <w:r w:rsidR="00BC2F8C" w:rsidRPr="00B13C06">
        <w:t>total leakage</w:t>
      </w:r>
      <w:r w:rsidR="00B13C06">
        <w:t xml:space="preserve"> or the</w:t>
      </w:r>
      <w:r w:rsidR="0068420F">
        <w:t xml:space="preserve"> </w:t>
      </w:r>
      <w:r w:rsidR="00175035">
        <w:t>leakage to outsid</w:t>
      </w:r>
      <w:r w:rsidR="00B13C06">
        <w:t>e tests</w:t>
      </w:r>
      <w:r w:rsidR="00175035">
        <w:t xml:space="preserve">. </w:t>
      </w:r>
      <w:r w:rsidRPr="00CA3CED">
        <w:t>Photos and test results can serve as documentation that the work was performed on an existing HVAC system.</w:t>
      </w:r>
      <w:r w:rsidR="00CE42DB">
        <w:t xml:space="preserve"> </w:t>
      </w:r>
    </w:p>
    <w:p w14:paraId="0404C294" w14:textId="045DD257" w:rsidR="0055038F" w:rsidRDefault="0055038F" w:rsidP="00767F52">
      <w:r>
        <w:lastRenderedPageBreak/>
        <w:t>Per Resolution E-5082 “</w:t>
      </w:r>
      <w:r w:rsidRPr="004B039F">
        <w:t>duct connections must not be sealed with duct tape (cloth-backed rubber adhesive tapes). Mastic or aerosol sealant materials are preferred, and butyl tape can be used where mastic or aerosol are impractical.</w:t>
      </w:r>
      <w:r>
        <w:t>”</w:t>
      </w:r>
      <w:r>
        <w:rPr>
          <w:rStyle w:val="FootnoteReference"/>
        </w:rPr>
        <w:footnoteReference w:id="9"/>
      </w:r>
    </w:p>
    <w:p w14:paraId="37AF7C8A" w14:textId="0CC4919E" w:rsidR="00CA3CED" w:rsidRPr="003863BE" w:rsidRDefault="00B62CE6" w:rsidP="2C6FE7E4">
      <w:r w:rsidRPr="00B62CE6">
        <w:t>Programs often bundle Quality Maintenance (QM) measures. The following prerequisites must be met before the QM treatments, such as airflow adjustments, can be implemented to ensure an HVAC system is running optimally.</w:t>
      </w:r>
    </w:p>
    <w:p w14:paraId="7A72144F" w14:textId="77777777" w:rsidR="00465A9B" w:rsidRPr="003863BE" w:rsidRDefault="00465A9B" w:rsidP="00465A9B">
      <w:pPr>
        <w:pStyle w:val="eTRMBulletedText"/>
      </w:pPr>
      <w:r>
        <w:t>The u</w:t>
      </w:r>
      <w:r w:rsidRPr="003863BE">
        <w:t>nit and system must be capable of delivering a supply air flow rate of at least 350 cfm/ton after treatments related to air</w:t>
      </w:r>
      <w:r>
        <w:t xml:space="preserve"> </w:t>
      </w:r>
      <w:r w:rsidRPr="003863BE">
        <w:t>flow are completed and before refrigerant charge is tested and/or adjusted.</w:t>
      </w:r>
    </w:p>
    <w:p w14:paraId="058206F9" w14:textId="77777777" w:rsidR="00465A9B" w:rsidRPr="003863BE" w:rsidRDefault="00465A9B" w:rsidP="00465A9B">
      <w:pPr>
        <w:pStyle w:val="eTRMBulletedText"/>
      </w:pPr>
      <w:r>
        <w:t>The u</w:t>
      </w:r>
      <w:r w:rsidRPr="003863BE">
        <w:t>nit must be drawing power</w:t>
      </w:r>
      <w:r>
        <w:t>.</w:t>
      </w:r>
    </w:p>
    <w:p w14:paraId="68524410" w14:textId="77777777" w:rsidR="00465A9B" w:rsidRDefault="00465A9B" w:rsidP="00465A9B">
      <w:pPr>
        <w:pStyle w:val="eTRMBulletedText"/>
      </w:pPr>
      <w:r>
        <w:t>The u</w:t>
      </w:r>
      <w:r w:rsidRPr="003863BE">
        <w:t>nit must have a condenser over ambient temperature (COAT) of at least 3 degrees</w:t>
      </w:r>
      <w:r>
        <w:t>.</w:t>
      </w:r>
    </w:p>
    <w:p w14:paraId="370A1033" w14:textId="7C2FB5D4" w:rsidR="00465A9B" w:rsidRPr="00920905" w:rsidRDefault="00465A9B" w:rsidP="00465A9B">
      <w:pPr>
        <w:pStyle w:val="eTRMBulletedText"/>
      </w:pPr>
      <w:r w:rsidRPr="00C47F9D">
        <w:t xml:space="preserve">An assessment and report </w:t>
      </w:r>
      <w:r>
        <w:t>are</w:t>
      </w:r>
      <w:r w:rsidRPr="00C47F9D">
        <w:t xml:space="preserve"> required in accordance with </w:t>
      </w:r>
      <w:r w:rsidR="00BE447F" w:rsidRPr="00BE447F">
        <w:t>Air Conditioning Contractors of America</w:t>
      </w:r>
      <w:r w:rsidR="00BE447F">
        <w:t xml:space="preserve"> (</w:t>
      </w:r>
      <w:r w:rsidRPr="00C47F9D">
        <w:t>ACCA</w:t>
      </w:r>
      <w:r w:rsidR="00BE447F">
        <w:t>)</w:t>
      </w:r>
      <w:r w:rsidRPr="00C47F9D">
        <w:t xml:space="preserve"> Standard 4</w:t>
      </w:r>
      <w:r>
        <w:rPr>
          <w:rStyle w:val="FootnoteReference"/>
        </w:rPr>
        <w:footnoteReference w:id="10"/>
      </w:r>
      <w:r w:rsidRPr="00C47F9D">
        <w:t xml:space="preserve"> prior to any treatments being applied to determine the baseline conditions and to develop QM treatment recommendations. </w:t>
      </w:r>
    </w:p>
    <w:p w14:paraId="10EBBE57" w14:textId="77777777" w:rsidR="00465A9B" w:rsidRPr="003863BE" w:rsidRDefault="00465A9B" w:rsidP="00465A9B">
      <w:pPr>
        <w:rPr>
          <w:rFonts w:cstheme="minorHAnsi"/>
          <w:szCs w:val="22"/>
        </w:rPr>
      </w:pPr>
      <w:r w:rsidRPr="003863BE">
        <w:rPr>
          <w:rFonts w:cstheme="minorHAnsi"/>
          <w:szCs w:val="22"/>
        </w:rPr>
        <w:t>The 350 cfm/ton air</w:t>
      </w:r>
      <w:r>
        <w:rPr>
          <w:rFonts w:cstheme="minorHAnsi"/>
          <w:szCs w:val="22"/>
        </w:rPr>
        <w:t xml:space="preserve"> </w:t>
      </w:r>
      <w:r w:rsidRPr="003863BE">
        <w:rPr>
          <w:rFonts w:cstheme="minorHAnsi"/>
          <w:szCs w:val="22"/>
        </w:rPr>
        <w:t>flow requirement ensures that the refrigerant system can be properly diagnosed and charged. If the system is not delivering 350 cfm/ton upon initial inspection, an assessment should be made to determine if the system will be able to deliver 350 cfm/ton by implementing some or all of the QM treatments related to air</w:t>
      </w:r>
      <w:r>
        <w:rPr>
          <w:rFonts w:cstheme="minorHAnsi"/>
          <w:szCs w:val="22"/>
        </w:rPr>
        <w:t xml:space="preserve"> </w:t>
      </w:r>
      <w:r w:rsidRPr="003863BE">
        <w:rPr>
          <w:rFonts w:cstheme="minorHAnsi"/>
          <w:szCs w:val="22"/>
        </w:rPr>
        <w:t>flow. If it is determined that the supply fan and duct system in place do not have the capability to deliver 350 cfm/ton after the air</w:t>
      </w:r>
      <w:r>
        <w:rPr>
          <w:rFonts w:cstheme="minorHAnsi"/>
          <w:szCs w:val="22"/>
        </w:rPr>
        <w:t xml:space="preserve"> </w:t>
      </w:r>
      <w:r w:rsidRPr="003863BE">
        <w:rPr>
          <w:rFonts w:cstheme="minorHAnsi"/>
          <w:szCs w:val="22"/>
        </w:rPr>
        <w:t>flow treatments have been performed, refrigerant charge cannot be properly diagnosed, rendering the QM process incomplete and the savings in this work paper invalid.</w:t>
      </w:r>
    </w:p>
    <w:p w14:paraId="3EF1D31E" w14:textId="754596AA" w:rsidR="00465A9B" w:rsidRDefault="00465A9B" w:rsidP="2C6FE7E4">
      <w:r w:rsidRPr="2C6FE7E4">
        <w:t xml:space="preserve">If some or all of the existing ductwork is beyond repair and sections must be replaced, the sections that must be replaced must be less than 40 linear feet in total per Section 150.2(b) of the </w:t>
      </w:r>
      <w:r w:rsidR="00AB38FD" w:rsidRPr="2C6FE7E4">
        <w:t>201</w:t>
      </w:r>
      <w:r w:rsidR="00AB38FD">
        <w:t>9</w:t>
      </w:r>
      <w:r w:rsidR="00AB38FD" w:rsidRPr="2C6FE7E4">
        <w:t xml:space="preserve"> </w:t>
      </w:r>
      <w:r w:rsidRPr="2C6FE7E4">
        <w:t>California Building Energy Efficiency Standards (Title 24),</w:t>
      </w:r>
      <w:r w:rsidRPr="2C6FE7E4">
        <w:rPr>
          <w:rStyle w:val="FootnoteReference"/>
        </w:rPr>
        <w:footnoteReference w:id="11"/>
      </w:r>
      <w:r w:rsidRPr="2C6FE7E4">
        <w:t xml:space="preserve"> or the replaced ductwork must be installed and tested in accordance with the applicable requirements in </w:t>
      </w:r>
      <w:r w:rsidR="00CA3CED" w:rsidRPr="2C6FE7E4">
        <w:t>20</w:t>
      </w:r>
      <w:r w:rsidR="00CA3CED">
        <w:t>19</w:t>
      </w:r>
      <w:r w:rsidR="00CA3CED" w:rsidRPr="2C6FE7E4">
        <w:t xml:space="preserve"> </w:t>
      </w:r>
      <w:r w:rsidRPr="2C6FE7E4">
        <w:t>Title 24 Section 150.2(b)1D.</w:t>
      </w:r>
    </w:p>
    <w:p w14:paraId="1D62512A" w14:textId="77777777" w:rsidR="002942B0" w:rsidRDefault="002942B0"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6DAED7F7" w14:textId="1FB34C81" w:rsidR="004666CC" w:rsidRDefault="00337357" w:rsidP="004666CC">
      <w:r>
        <w:t xml:space="preserve">This measure is applicable for </w:t>
      </w:r>
      <w:r w:rsidR="00767F52">
        <w:t>any</w:t>
      </w:r>
      <w:r>
        <w:t xml:space="preserve"> existing single family, multifamily</w:t>
      </w:r>
      <w:r w:rsidR="004666CC">
        <w:t xml:space="preserve"> with </w:t>
      </w:r>
      <w:r w:rsidR="00BB3485">
        <w:t>two</w:t>
      </w:r>
      <w:r w:rsidR="004666CC">
        <w:t xml:space="preserve"> or more units</w:t>
      </w:r>
      <w:r>
        <w:t xml:space="preserve">, </w:t>
      </w:r>
      <w:r w:rsidR="00767F52">
        <w:t>or</w:t>
      </w:r>
      <w:r>
        <w:t xml:space="preserve"> mobile home</w:t>
      </w:r>
      <w:r w:rsidR="00767F52">
        <w:t xml:space="preserve"> </w:t>
      </w:r>
      <w:r w:rsidR="004666CC" w:rsidRPr="002631DC">
        <w:t>that uses air-cooled, direct expansion</w:t>
      </w:r>
      <w:r w:rsidR="00465A9B">
        <w:t xml:space="preserve"> (DX)</w:t>
      </w:r>
      <w:r w:rsidR="004666CC" w:rsidRPr="002631DC">
        <w:t xml:space="preserve"> cooling</w:t>
      </w:r>
      <w:r w:rsidR="00465A9B">
        <w:t xml:space="preserve"> and gas heating</w:t>
      </w:r>
      <w:r w:rsidR="005953F8">
        <w:t xml:space="preserve">, </w:t>
      </w:r>
      <w:r w:rsidR="001B174C">
        <w:t>heat pump, or gas heating with no cooling</w:t>
      </w:r>
      <w:r w:rsidR="004666CC" w:rsidRPr="002631DC">
        <w:t xml:space="preserve">.  </w:t>
      </w:r>
      <w:r w:rsidR="00332920">
        <w:t xml:space="preserve">To confirm that the </w:t>
      </w:r>
      <w:r w:rsidR="008B09A3">
        <w:t xml:space="preserve">correct vintage savings are being used, the building </w:t>
      </w:r>
      <w:r w:rsidR="004743AE">
        <w:t>age</w:t>
      </w:r>
      <w:r w:rsidR="008B09A3">
        <w:t xml:space="preserve"> should be veri</w:t>
      </w:r>
      <w:r w:rsidR="004743AE">
        <w:t xml:space="preserve">fied. See below for details on DEER 2020 vintage years for Old and </w:t>
      </w:r>
      <w:r w:rsidR="00764CCD">
        <w:t>Median</w:t>
      </w:r>
      <w:r w:rsidR="004743AE">
        <w:t xml:space="preserve"> (</w:t>
      </w:r>
      <w:r w:rsidR="00764CCD">
        <w:t>Existing</w:t>
      </w:r>
      <w:r w:rsidR="004743AE">
        <w:t>)</w:t>
      </w:r>
      <w:r w:rsidR="00413DCE">
        <w:t xml:space="preserve"> vintage buildings</w:t>
      </w:r>
      <w:r w:rsidR="00A12643">
        <w:rPr>
          <w:rStyle w:val="FootnoteReference"/>
        </w:rPr>
        <w:footnoteReference w:id="12"/>
      </w:r>
      <w:r w:rsidR="004743AE">
        <w:t xml:space="preserve">: </w:t>
      </w:r>
    </w:p>
    <w:p w14:paraId="0B3B9D53" w14:textId="77777777" w:rsidR="00764CCD" w:rsidRDefault="00764CCD" w:rsidP="001C0FC7">
      <w:pPr>
        <w:pStyle w:val="ListParagraph"/>
        <w:numPr>
          <w:ilvl w:val="0"/>
          <w:numId w:val="23"/>
        </w:numPr>
      </w:pPr>
      <w:r>
        <w:lastRenderedPageBreak/>
        <w:t>Old: Before 2002 for non-mobile homes, before 1995 for mobile homes</w:t>
      </w:r>
    </w:p>
    <w:p w14:paraId="7E93AB59" w14:textId="530DD2B6" w:rsidR="004743AE" w:rsidRPr="004666CC" w:rsidRDefault="00764CCD" w:rsidP="001C0FC7">
      <w:pPr>
        <w:pStyle w:val="ListParagraph"/>
        <w:numPr>
          <w:ilvl w:val="0"/>
          <w:numId w:val="23"/>
        </w:numPr>
      </w:pPr>
      <w:r>
        <w:t>Median (Existing): 2002 to 2016 for non-mobile homes, 1995 to 2005 for mobile homes</w:t>
      </w:r>
    </w:p>
    <w:p w14:paraId="7AB8B346" w14:textId="77777777" w:rsidR="004666CC" w:rsidRDefault="004666CC" w:rsidP="00571D95"/>
    <w:p w14:paraId="1A3705F3" w14:textId="4BC0985D" w:rsidR="007B6A74" w:rsidRPr="004B06E3" w:rsidRDefault="00196649" w:rsidP="00154391">
      <w:pPr>
        <w:pStyle w:val="eTRMHeading5"/>
      </w:pPr>
      <w:r>
        <w:t>Eligible Climate Zones</w:t>
      </w:r>
    </w:p>
    <w:p w14:paraId="1310AE0E" w14:textId="6CFD6232" w:rsidR="004666CC" w:rsidRPr="004666CC" w:rsidRDefault="004B6780" w:rsidP="004666CC">
      <w:r>
        <w:t xml:space="preserve">This measure is applicable </w:t>
      </w:r>
      <w:r w:rsidR="00337357">
        <w:t>in all</w:t>
      </w:r>
      <w:r>
        <w:t xml:space="preserve"> California climate zones</w:t>
      </w:r>
      <w:r w:rsidRPr="004666CC">
        <w:t>.</w:t>
      </w:r>
      <w:r w:rsidR="004666CC" w:rsidRPr="004666CC">
        <w:t xml:space="preserve"> In coastal climates (i.e. climate zone 1, 3 &amp; 5) cooling requirements will generally be less than the inland zones (i.e. climate zone 2, 4, 11, 12 &amp; 13).</w:t>
      </w:r>
    </w:p>
    <w:p w14:paraId="34FF761D" w14:textId="77777777" w:rsidR="006C41AD" w:rsidRPr="004B06E3" w:rsidRDefault="006C41AD" w:rsidP="004B06E3"/>
    <w:p w14:paraId="47630D60" w14:textId="77777777" w:rsidR="007D230B" w:rsidRPr="00975E33" w:rsidRDefault="007D230B" w:rsidP="00975E33">
      <w:pPr>
        <w:pStyle w:val="eTRMHeading3"/>
      </w:pPr>
      <w:bookmarkStart w:id="35" w:name="_Toc486490853"/>
      <w:bookmarkStart w:id="36" w:name="_Toc486580924"/>
      <w:bookmarkStart w:id="37" w:name="_Toc67405013"/>
      <w:r w:rsidRPr="00975E33">
        <w:t>Program Exclusions</w:t>
      </w:r>
      <w:bookmarkEnd w:id="35"/>
      <w:bookmarkEnd w:id="36"/>
      <w:bookmarkEnd w:id="37"/>
      <w:r w:rsidRPr="00975E33">
        <w:t xml:space="preserve"> </w:t>
      </w:r>
    </w:p>
    <w:p w14:paraId="58015471" w14:textId="76DC11AD" w:rsidR="00065E54" w:rsidRDefault="008D49B9" w:rsidP="00065E54">
      <w:r>
        <w:t>None.</w:t>
      </w:r>
    </w:p>
    <w:p w14:paraId="76A9A64F" w14:textId="77777777" w:rsidR="007B6A74" w:rsidRPr="004B06E3" w:rsidRDefault="007B6A74" w:rsidP="004B06E3"/>
    <w:p w14:paraId="655E299F" w14:textId="77777777" w:rsidR="007D230B" w:rsidRPr="004B06E3" w:rsidRDefault="007D230B" w:rsidP="00975E33">
      <w:pPr>
        <w:pStyle w:val="eTRMHeading3"/>
      </w:pPr>
      <w:bookmarkStart w:id="38" w:name="_Toc486490854"/>
      <w:bookmarkStart w:id="39" w:name="_Toc486580925"/>
      <w:bookmarkStart w:id="40" w:name="_Toc67405014"/>
      <w:r w:rsidRPr="004B06E3">
        <w:t>Data Collection Requirements</w:t>
      </w:r>
      <w:bookmarkEnd w:id="38"/>
      <w:bookmarkEnd w:id="39"/>
      <w:bookmarkEnd w:id="40"/>
      <w:r w:rsidRPr="004B06E3">
        <w:t xml:space="preserve"> </w:t>
      </w:r>
    </w:p>
    <w:p w14:paraId="0A4589A4" w14:textId="05A25449" w:rsidR="0025014C" w:rsidRDefault="0025014C" w:rsidP="004B06E3">
      <w:r>
        <w:t xml:space="preserve">In order to verify </w:t>
      </w:r>
      <w:r w:rsidR="003A3988">
        <w:t>compliance with measure requirements and the correct measure</w:t>
      </w:r>
      <w:r w:rsidR="00466EFA">
        <w:t xml:space="preserve"> selection</w:t>
      </w:r>
      <w:r w:rsidR="003A3988">
        <w:t xml:space="preserve">, the following information must be collected for each installation: </w:t>
      </w:r>
    </w:p>
    <w:p w14:paraId="4B7D707E" w14:textId="40125939" w:rsidR="003A3988" w:rsidRDefault="00453483" w:rsidP="003A3988">
      <w:pPr>
        <w:pStyle w:val="ListParagraph"/>
        <w:numPr>
          <w:ilvl w:val="0"/>
          <w:numId w:val="22"/>
        </w:numPr>
      </w:pPr>
      <w:r>
        <w:t xml:space="preserve">Building information such as: </w:t>
      </w:r>
      <w:r w:rsidR="00B55468">
        <w:t>building type, vintage (year), and climate zone</w:t>
      </w:r>
    </w:p>
    <w:p w14:paraId="2E06BC4A" w14:textId="78E0D718" w:rsidR="00B55468" w:rsidRDefault="00B55468" w:rsidP="003A3988">
      <w:pPr>
        <w:pStyle w:val="ListParagraph"/>
        <w:numPr>
          <w:ilvl w:val="0"/>
          <w:numId w:val="22"/>
        </w:numPr>
      </w:pPr>
      <w:r>
        <w:t>HVAC System type</w:t>
      </w:r>
      <w:r w:rsidR="00C50294">
        <w:t xml:space="preserve">, </w:t>
      </w:r>
      <w:r>
        <w:t xml:space="preserve">capacity in tons (for systems with cooling) or </w:t>
      </w:r>
      <w:r w:rsidR="00EE29AC">
        <w:t xml:space="preserve">kBTUh (for </w:t>
      </w:r>
      <w:proofErr w:type="spellStart"/>
      <w:r w:rsidR="00EE29AC">
        <w:t>sytems</w:t>
      </w:r>
      <w:proofErr w:type="spellEnd"/>
      <w:r w:rsidR="00EE29AC">
        <w:t xml:space="preserve"> with no heating</w:t>
      </w:r>
      <w:r w:rsidR="00C50294">
        <w:t xml:space="preserve">), </w:t>
      </w:r>
      <w:r w:rsidR="00025656">
        <w:t xml:space="preserve">make </w:t>
      </w:r>
      <w:r w:rsidR="00C50294">
        <w:t>and model number</w:t>
      </w:r>
    </w:p>
    <w:p w14:paraId="5F04CD1A" w14:textId="55ECBFA6" w:rsidR="00B55468" w:rsidRDefault="008E6794" w:rsidP="003A3988">
      <w:pPr>
        <w:pStyle w:val="ListParagraph"/>
        <w:numPr>
          <w:ilvl w:val="0"/>
          <w:numId w:val="22"/>
        </w:numPr>
      </w:pPr>
      <w:r>
        <w:t xml:space="preserve">Duct testing information include: </w:t>
      </w:r>
    </w:p>
    <w:p w14:paraId="662D839E" w14:textId="17BA5AC7" w:rsidR="008E6794" w:rsidRDefault="00D84544" w:rsidP="008E6794">
      <w:pPr>
        <w:pStyle w:val="ListParagraph"/>
        <w:numPr>
          <w:ilvl w:val="1"/>
          <w:numId w:val="22"/>
        </w:numPr>
      </w:pPr>
      <w:r>
        <w:t>Type of</w:t>
      </w:r>
      <w:r w:rsidR="00BD0749">
        <w:t xml:space="preserve"> duct</w:t>
      </w:r>
      <w:r>
        <w:t xml:space="preserve"> test </w:t>
      </w:r>
      <w:r w:rsidR="00306F60">
        <w:t>conducted</w:t>
      </w:r>
    </w:p>
    <w:p w14:paraId="4A5AC38A" w14:textId="5E98A32D" w:rsidR="00D84544" w:rsidRDefault="00BD0749" w:rsidP="008E6794">
      <w:pPr>
        <w:pStyle w:val="ListParagraph"/>
        <w:numPr>
          <w:ilvl w:val="1"/>
          <w:numId w:val="22"/>
        </w:numPr>
      </w:pPr>
      <w:r>
        <w:t xml:space="preserve">Pre and post install </w:t>
      </w:r>
      <w:r w:rsidR="00BD44B8">
        <w:t xml:space="preserve">duct </w:t>
      </w:r>
      <w:r>
        <w:t xml:space="preserve">leakage </w:t>
      </w:r>
      <w:r w:rsidR="00FB496A">
        <w:t xml:space="preserve">rate </w:t>
      </w:r>
      <w:r>
        <w:t>percent</w:t>
      </w:r>
      <w:r w:rsidR="00BD44B8">
        <w:t>ages</w:t>
      </w:r>
    </w:p>
    <w:p w14:paraId="2964CA36" w14:textId="2EDEBB3C" w:rsidR="0052372C" w:rsidRDefault="0052372C" w:rsidP="001C0FC7">
      <w:pPr>
        <w:pStyle w:val="ListParagraph"/>
        <w:numPr>
          <w:ilvl w:val="1"/>
          <w:numId w:val="22"/>
        </w:numPr>
      </w:pPr>
      <w:r>
        <w:t xml:space="preserve">Duct sealing </w:t>
      </w:r>
      <w:r w:rsidR="00306F60">
        <w:t>material used</w:t>
      </w:r>
    </w:p>
    <w:p w14:paraId="7642E55F" w14:textId="77777777" w:rsidR="004E2F5A" w:rsidRPr="004B06E3" w:rsidRDefault="004E2F5A" w:rsidP="004B06E3"/>
    <w:p w14:paraId="4891FCAB" w14:textId="77777777" w:rsidR="007D230B" w:rsidRPr="004B06E3" w:rsidRDefault="007D230B" w:rsidP="00975E33">
      <w:pPr>
        <w:pStyle w:val="eTRMHeading3"/>
      </w:pPr>
      <w:bookmarkStart w:id="41" w:name="_Toc486490855"/>
      <w:bookmarkStart w:id="42" w:name="_Toc486580926"/>
      <w:bookmarkStart w:id="43" w:name="_Toc67405015"/>
      <w:r w:rsidRPr="004B06E3">
        <w:t>Use Category</w:t>
      </w:r>
      <w:bookmarkEnd w:id="41"/>
      <w:bookmarkEnd w:id="42"/>
      <w:bookmarkEnd w:id="43"/>
    </w:p>
    <w:p w14:paraId="13382FF9" w14:textId="0EB9CFF1" w:rsidR="004142EF" w:rsidRDefault="00D70F2A" w:rsidP="004B06E3">
      <w:r>
        <w:t>Service</w:t>
      </w:r>
    </w:p>
    <w:p w14:paraId="69458728" w14:textId="77777777" w:rsidR="00132E1A" w:rsidRPr="004B06E3" w:rsidRDefault="00132E1A" w:rsidP="004B06E3"/>
    <w:p w14:paraId="4B62D367" w14:textId="370A839E" w:rsidR="007D230B" w:rsidRPr="004B06E3" w:rsidRDefault="007D230B" w:rsidP="00975E33">
      <w:pPr>
        <w:pStyle w:val="eTRMHeading3"/>
      </w:pPr>
      <w:bookmarkStart w:id="44" w:name="_Toc486490857"/>
      <w:bookmarkStart w:id="45" w:name="_Toc486580928"/>
      <w:bookmarkStart w:id="46" w:name="_Toc67405016"/>
      <w:r w:rsidRPr="004B06E3">
        <w:t>Electric Savings</w:t>
      </w:r>
      <w:r w:rsidR="00245AFF" w:rsidRPr="004B06E3">
        <w:t xml:space="preserve"> (</w:t>
      </w:r>
      <w:r w:rsidR="00E14349" w:rsidRPr="00D70F2A">
        <w:t>k</w:t>
      </w:r>
      <w:r w:rsidR="00245AFF" w:rsidRPr="00D70F2A">
        <w:t>Wh)</w:t>
      </w:r>
      <w:bookmarkEnd w:id="44"/>
      <w:bookmarkEnd w:id="45"/>
      <w:bookmarkEnd w:id="46"/>
    </w:p>
    <w:p w14:paraId="0384BE31" w14:textId="4D4788D2" w:rsidR="00A306C7" w:rsidRPr="00A5340A" w:rsidRDefault="00A306C7" w:rsidP="00A5340A">
      <w:pPr>
        <w:rPr>
          <w:rFonts w:cs="Arial"/>
          <w:szCs w:val="22"/>
        </w:rPr>
      </w:pPr>
      <w:r>
        <w:t>The electric</w:t>
      </w:r>
      <w:r w:rsidRPr="00370595">
        <w:t xml:space="preserve"> energy savings </w:t>
      </w:r>
      <w:r>
        <w:t>from the residential duct testing and sealing measure were</w:t>
      </w:r>
      <w:r w:rsidRPr="00370595">
        <w:t xml:space="preserve"> </w:t>
      </w:r>
      <w:r>
        <w:t>drawn</w:t>
      </w:r>
      <w:r w:rsidRPr="00370595">
        <w:t xml:space="preserve"> directly </w:t>
      </w:r>
      <w:r>
        <w:t>from</w:t>
      </w:r>
      <w:r w:rsidRPr="00370595">
        <w:t xml:space="preserve"> </w:t>
      </w:r>
      <w:r>
        <w:t xml:space="preserve">the </w:t>
      </w:r>
      <w:r w:rsidR="00831AC5" w:rsidRPr="00831AC5">
        <w:t>2021 DEER energy impact data released on 11/19/2020</w:t>
      </w:r>
      <w:r w:rsidR="007D4EFD">
        <w:t xml:space="preserve">, version DEER </w:t>
      </w:r>
      <w:r w:rsidR="003F6B8F">
        <w:t>2021</w:t>
      </w:r>
      <w:r w:rsidR="007D4EFD">
        <w:t xml:space="preserve"> (D20v</w:t>
      </w:r>
      <w:r w:rsidR="0044090F">
        <w:t>0</w:t>
      </w:r>
      <w:r w:rsidR="004A1670">
        <w:t xml:space="preserve"> &amp; D20v1</w:t>
      </w:r>
      <w:r w:rsidR="007D4EFD">
        <w:t>)</w:t>
      </w:r>
      <w:r w:rsidRPr="00006F8E">
        <w:t xml:space="preserve">. </w:t>
      </w:r>
      <w:r w:rsidR="005C0F68" w:rsidRPr="005C0F68">
        <w:rPr>
          <w:rFonts w:cs="Calibri Light"/>
          <w:color w:val="000000"/>
        </w:rPr>
        <w:t xml:space="preserve">Created DEER2021 EnergyImpact records for two residential duct sealing measures so that BldgHVAC=rNCGF uses </w:t>
      </w:r>
      <w:proofErr w:type="spellStart"/>
      <w:r w:rsidR="005C0F68" w:rsidRPr="005C0F68">
        <w:rPr>
          <w:rFonts w:cs="Calibri Light"/>
          <w:color w:val="000000"/>
        </w:rPr>
        <w:t>NormUnit</w:t>
      </w:r>
      <w:proofErr w:type="spellEnd"/>
      <w:r w:rsidR="005C0F68" w:rsidRPr="005C0F68">
        <w:rPr>
          <w:rFonts w:cs="Calibri Light"/>
          <w:color w:val="000000"/>
        </w:rPr>
        <w:t xml:space="preserve">=kBTUh (corrected from </w:t>
      </w:r>
      <w:proofErr w:type="spellStart"/>
      <w:r w:rsidR="005C0F68" w:rsidRPr="005C0F68">
        <w:rPr>
          <w:rFonts w:cs="Calibri Light"/>
          <w:color w:val="000000"/>
        </w:rPr>
        <w:t>NormUnit</w:t>
      </w:r>
      <w:proofErr w:type="spellEnd"/>
      <w:r w:rsidR="005C0F68" w:rsidRPr="005C0F68">
        <w:rPr>
          <w:rFonts w:cs="Calibri Light"/>
          <w:color w:val="000000"/>
        </w:rPr>
        <w:t>=Tons). See </w:t>
      </w:r>
      <w:hyperlink r:id="rId18" w:history="1">
        <w:r w:rsidR="005C0F68" w:rsidRPr="005C0F68">
          <w:rPr>
            <w:rStyle w:val="Hyperlink"/>
            <w:rFonts w:ascii="Calibri" w:hAnsi="Calibri" w:cs="Calibri"/>
            <w:i/>
            <w:iCs/>
          </w:rPr>
          <w:t>Res_Duct-Sealing_NormUnit=kBtuh_rNCGF_2020-11-19.xlsx</w:t>
        </w:r>
      </w:hyperlink>
      <w:r w:rsidR="005C0F68" w:rsidRPr="005C0F68">
        <w:rPr>
          <w:rFonts w:cs="Calibri Light"/>
          <w:color w:val="000000"/>
        </w:rPr>
        <w:t> for conversion factors used.</w:t>
      </w:r>
      <w:r w:rsidR="004F7D44">
        <w:t xml:space="preserve"> </w:t>
      </w:r>
      <w:r w:rsidR="008D49B9" w:rsidRPr="002631DC">
        <w:rPr>
          <w:rFonts w:cs="Arial"/>
          <w:szCs w:val="22"/>
        </w:rPr>
        <w:t>Th</w:t>
      </w:r>
      <w:r w:rsidR="008D49B9">
        <w:rPr>
          <w:rFonts w:cs="Arial"/>
          <w:szCs w:val="22"/>
        </w:rPr>
        <w:t xml:space="preserve">e savings of this </w:t>
      </w:r>
      <w:r w:rsidR="008D49B9" w:rsidRPr="002631DC">
        <w:rPr>
          <w:rFonts w:cs="Arial"/>
          <w:szCs w:val="22"/>
        </w:rPr>
        <w:t>measure includes HVAC interactive effects savings.</w:t>
      </w:r>
      <w:r w:rsidR="008D49B9">
        <w:rPr>
          <w:rFonts w:cs="Arial"/>
          <w:szCs w:val="22"/>
        </w:rPr>
        <w:t xml:space="preserve"> </w:t>
      </w:r>
      <w:r w:rsidR="00D76998" w:rsidRPr="00D76998">
        <w:t>The results were reported for the following DEER Impact IDs:</w:t>
      </w:r>
    </w:p>
    <w:tbl>
      <w:tblPr>
        <w:tblStyle w:val="TableGrid1"/>
        <w:tblW w:w="4858"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1345"/>
        <w:gridCol w:w="1711"/>
        <w:gridCol w:w="2969"/>
        <w:gridCol w:w="810"/>
        <w:gridCol w:w="1081"/>
        <w:gridCol w:w="1168"/>
      </w:tblGrid>
      <w:tr w:rsidR="009A00F3" w:rsidRPr="008C7649" w14:paraId="2F792DB6" w14:textId="77777777" w:rsidTr="001C0FC7">
        <w:trPr>
          <w:tblHeader/>
        </w:trPr>
        <w:tc>
          <w:tcPr>
            <w:tcW w:w="740" w:type="pct"/>
            <w:shd w:val="clear" w:color="auto" w:fill="F2F2F2" w:themeFill="background1" w:themeFillShade="F2"/>
          </w:tcPr>
          <w:p w14:paraId="369D8167" w14:textId="77777777" w:rsidR="0082626D" w:rsidRPr="008C7649" w:rsidRDefault="0082626D" w:rsidP="005915AA">
            <w:pPr>
              <w:spacing w:before="0" w:after="0" w:line="240" w:lineRule="auto"/>
              <w:rPr>
                <w:rFonts w:cs="Calibri Light"/>
                <w:b/>
                <w:sz w:val="20"/>
              </w:rPr>
            </w:pPr>
            <w:r>
              <w:rPr>
                <w:rFonts w:cs="Calibri Light"/>
                <w:b/>
                <w:sz w:val="20"/>
              </w:rPr>
              <w:t>Statewide Measure Offering ID</w:t>
            </w:r>
          </w:p>
        </w:tc>
        <w:tc>
          <w:tcPr>
            <w:tcW w:w="942" w:type="pct"/>
            <w:shd w:val="clear" w:color="auto" w:fill="F2F2F2" w:themeFill="background1" w:themeFillShade="F2"/>
          </w:tcPr>
          <w:p w14:paraId="537A2163" w14:textId="77777777" w:rsidR="0082626D" w:rsidRPr="008C7649" w:rsidRDefault="0082626D" w:rsidP="005915AA">
            <w:pPr>
              <w:spacing w:before="0" w:after="0" w:line="240" w:lineRule="auto"/>
              <w:rPr>
                <w:rFonts w:cs="Calibri Light"/>
                <w:b/>
                <w:sz w:val="20"/>
              </w:rPr>
            </w:pPr>
            <w:r>
              <w:rPr>
                <w:rFonts w:cs="Calibri Light"/>
                <w:b/>
                <w:sz w:val="20"/>
              </w:rPr>
              <w:t>Energy Impact ID</w:t>
            </w:r>
          </w:p>
        </w:tc>
        <w:tc>
          <w:tcPr>
            <w:tcW w:w="1634" w:type="pct"/>
            <w:shd w:val="clear" w:color="auto" w:fill="F2F2F2" w:themeFill="background1" w:themeFillShade="F2"/>
          </w:tcPr>
          <w:p w14:paraId="0F5FAC0F" w14:textId="77777777" w:rsidR="0082626D" w:rsidRPr="008C7649" w:rsidRDefault="0082626D" w:rsidP="005915AA">
            <w:pPr>
              <w:spacing w:before="0" w:after="0" w:line="240" w:lineRule="auto"/>
              <w:rPr>
                <w:rFonts w:cs="Calibri Light"/>
                <w:b/>
                <w:sz w:val="20"/>
              </w:rPr>
            </w:pPr>
            <w:r w:rsidRPr="008C7649">
              <w:rPr>
                <w:rFonts w:cs="Calibri Light"/>
                <w:b/>
                <w:sz w:val="20"/>
              </w:rPr>
              <w:t>Measure Description</w:t>
            </w:r>
          </w:p>
        </w:tc>
        <w:tc>
          <w:tcPr>
            <w:tcW w:w="446" w:type="pct"/>
            <w:shd w:val="clear" w:color="auto" w:fill="F2F2F2" w:themeFill="background1" w:themeFillShade="F2"/>
          </w:tcPr>
          <w:p w14:paraId="6C291912" w14:textId="45D5458F" w:rsidR="0082626D" w:rsidRDefault="0082626D" w:rsidP="005915AA">
            <w:pPr>
              <w:spacing w:before="0" w:after="0" w:line="240" w:lineRule="auto"/>
              <w:rPr>
                <w:rFonts w:cs="Calibri Light"/>
                <w:b/>
                <w:sz w:val="20"/>
              </w:rPr>
            </w:pPr>
            <w:r>
              <w:rPr>
                <w:rFonts w:cs="Calibri Light"/>
                <w:b/>
                <w:sz w:val="20"/>
              </w:rPr>
              <w:t>MAT</w:t>
            </w:r>
          </w:p>
        </w:tc>
        <w:tc>
          <w:tcPr>
            <w:tcW w:w="595" w:type="pct"/>
            <w:shd w:val="clear" w:color="auto" w:fill="F2F2F2" w:themeFill="background1" w:themeFillShade="F2"/>
          </w:tcPr>
          <w:p w14:paraId="3C1265F3" w14:textId="26648DAF" w:rsidR="0082626D" w:rsidRDefault="0082626D" w:rsidP="005915AA">
            <w:pPr>
              <w:spacing w:before="0" w:after="0" w:line="240" w:lineRule="auto"/>
              <w:rPr>
                <w:rFonts w:cs="Calibri Light"/>
                <w:b/>
                <w:sz w:val="20"/>
              </w:rPr>
            </w:pPr>
            <w:r>
              <w:rPr>
                <w:rFonts w:cs="Calibri Light"/>
                <w:b/>
                <w:sz w:val="20"/>
              </w:rPr>
              <w:t>Vintage</w:t>
            </w:r>
            <w:r w:rsidR="00460C30">
              <w:rPr>
                <w:rFonts w:cs="Calibri Light"/>
                <w:b/>
                <w:sz w:val="20"/>
              </w:rPr>
              <w:t>(s)</w:t>
            </w:r>
          </w:p>
        </w:tc>
        <w:tc>
          <w:tcPr>
            <w:tcW w:w="643" w:type="pct"/>
            <w:shd w:val="clear" w:color="auto" w:fill="F2F2F2" w:themeFill="background1" w:themeFillShade="F2"/>
          </w:tcPr>
          <w:p w14:paraId="64586DCD" w14:textId="645A31C5" w:rsidR="0082626D" w:rsidRPr="008C7649" w:rsidRDefault="009A00F3" w:rsidP="005915AA">
            <w:pPr>
              <w:spacing w:before="0" w:after="0" w:line="240" w:lineRule="auto"/>
              <w:rPr>
                <w:rFonts w:cs="Calibri Light"/>
                <w:b/>
                <w:sz w:val="20"/>
                <w:highlight w:val="yellow"/>
              </w:rPr>
            </w:pPr>
            <w:r>
              <w:rPr>
                <w:rFonts w:cs="Calibri Light"/>
                <w:b/>
                <w:sz w:val="20"/>
              </w:rPr>
              <w:t>HVAC Type</w:t>
            </w:r>
            <w:r w:rsidR="00941D26">
              <w:rPr>
                <w:rFonts w:cs="Calibri Light"/>
                <w:b/>
                <w:sz w:val="20"/>
              </w:rPr>
              <w:t>(s)</w:t>
            </w:r>
          </w:p>
        </w:tc>
      </w:tr>
      <w:tr w:rsidR="00941D26" w:rsidRPr="008C7649" w14:paraId="65014800" w14:textId="77777777" w:rsidTr="001C0FC7">
        <w:tc>
          <w:tcPr>
            <w:tcW w:w="740" w:type="pct"/>
          </w:tcPr>
          <w:p w14:paraId="56DB6998" w14:textId="4DEC543B" w:rsidR="00941D26" w:rsidRPr="00D372CE" w:rsidRDefault="00941D26" w:rsidP="00941D26">
            <w:pPr>
              <w:spacing w:before="0" w:after="0" w:line="240" w:lineRule="auto"/>
              <w:rPr>
                <w:rFonts w:cs="Calibri Light"/>
                <w:color w:val="000000"/>
                <w:szCs w:val="22"/>
              </w:rPr>
            </w:pPr>
            <w:r w:rsidRPr="00806A4F">
              <w:t>SWSV001C</w:t>
            </w:r>
          </w:p>
        </w:tc>
        <w:tc>
          <w:tcPr>
            <w:tcW w:w="942" w:type="pct"/>
          </w:tcPr>
          <w:p w14:paraId="3A6EDB30" w14:textId="0203CB3F" w:rsidR="00941D26" w:rsidRPr="00FF0AE0"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49DB9AA7" w14:textId="6698F1BF" w:rsidR="00941D26" w:rsidRPr="00B4363C" w:rsidRDefault="00941D26" w:rsidP="00941D26">
            <w:pPr>
              <w:spacing w:before="0" w:after="0" w:line="240" w:lineRule="auto"/>
              <w:rPr>
                <w:rFonts w:cs="Calibri Light"/>
                <w:color w:val="000000"/>
                <w:sz w:val="20"/>
              </w:rPr>
            </w:pPr>
            <w:r w:rsidRPr="009F37E6">
              <w:t>Duct Seal and Test, Residential, Medium (25% to 15%) for DMo</w:t>
            </w:r>
          </w:p>
        </w:tc>
        <w:tc>
          <w:tcPr>
            <w:tcW w:w="446" w:type="pct"/>
          </w:tcPr>
          <w:p w14:paraId="4A3B0619" w14:textId="147F1FA2" w:rsidR="00941D26" w:rsidRPr="008C7649" w:rsidRDefault="00941D26" w:rsidP="00941D26">
            <w:pPr>
              <w:spacing w:before="0" w:after="0" w:line="240" w:lineRule="auto"/>
              <w:rPr>
                <w:rFonts w:cs="Calibri Light"/>
                <w:sz w:val="20"/>
              </w:rPr>
            </w:pPr>
            <w:r w:rsidRPr="00120C22">
              <w:t>BW</w:t>
            </w:r>
          </w:p>
        </w:tc>
        <w:tc>
          <w:tcPr>
            <w:tcW w:w="595" w:type="pct"/>
          </w:tcPr>
          <w:p w14:paraId="09C506F5" w14:textId="3C080CC8" w:rsidR="00941D26" w:rsidRPr="008C7649" w:rsidRDefault="00941D26" w:rsidP="00941D26">
            <w:pPr>
              <w:spacing w:before="0" w:after="0" w:line="240" w:lineRule="auto"/>
              <w:rPr>
                <w:rFonts w:cs="Calibri Light"/>
                <w:sz w:val="20"/>
              </w:rPr>
            </w:pPr>
            <w:r w:rsidRPr="0076513D">
              <w:t>Ex, Old</w:t>
            </w:r>
          </w:p>
        </w:tc>
        <w:tc>
          <w:tcPr>
            <w:tcW w:w="643" w:type="pct"/>
          </w:tcPr>
          <w:p w14:paraId="19802B13" w14:textId="074DFA43"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7DDCDFA9" w14:textId="77777777" w:rsidTr="001C0FC7">
        <w:tc>
          <w:tcPr>
            <w:tcW w:w="740" w:type="pct"/>
          </w:tcPr>
          <w:p w14:paraId="7D340881" w14:textId="0519ADAB" w:rsidR="00941D26" w:rsidRPr="00D372CE" w:rsidRDefault="00941D26" w:rsidP="00941D26">
            <w:pPr>
              <w:spacing w:before="0" w:after="0" w:line="240" w:lineRule="auto"/>
              <w:rPr>
                <w:rFonts w:cs="Calibri Light"/>
                <w:color w:val="000000"/>
                <w:szCs w:val="22"/>
              </w:rPr>
            </w:pPr>
            <w:r w:rsidRPr="00806A4F">
              <w:lastRenderedPageBreak/>
              <w:t>SWSV001D</w:t>
            </w:r>
          </w:p>
        </w:tc>
        <w:tc>
          <w:tcPr>
            <w:tcW w:w="942" w:type="pct"/>
          </w:tcPr>
          <w:p w14:paraId="50373B44" w14:textId="31A296FD" w:rsidR="00941D26" w:rsidRPr="00FF0AE0" w:rsidRDefault="00941D26" w:rsidP="00941D26">
            <w:pPr>
              <w:spacing w:before="0" w:after="0" w:line="240" w:lineRule="auto"/>
              <w:rPr>
                <w:rFonts w:cs="Calibri Light"/>
                <w:color w:val="000000"/>
                <w:sz w:val="20"/>
              </w:rPr>
            </w:pPr>
            <w:r w:rsidRPr="00ED7A6A">
              <w:t>RB-HV-DuctSeal-HighToLow</w:t>
            </w:r>
          </w:p>
        </w:tc>
        <w:tc>
          <w:tcPr>
            <w:tcW w:w="1634" w:type="pct"/>
          </w:tcPr>
          <w:p w14:paraId="71E98A06" w14:textId="45872C65" w:rsidR="00941D26" w:rsidRPr="00B4363C" w:rsidRDefault="00941D26" w:rsidP="00941D26">
            <w:pPr>
              <w:spacing w:before="0" w:after="0" w:line="240" w:lineRule="auto"/>
              <w:rPr>
                <w:rFonts w:cs="Calibri Light"/>
                <w:color w:val="000000"/>
                <w:sz w:val="20"/>
              </w:rPr>
            </w:pPr>
            <w:r w:rsidRPr="009F37E6">
              <w:t>Duct Seal and Test, Residential, High (35% to 15%) for DMo</w:t>
            </w:r>
          </w:p>
        </w:tc>
        <w:tc>
          <w:tcPr>
            <w:tcW w:w="446" w:type="pct"/>
          </w:tcPr>
          <w:p w14:paraId="13706E11" w14:textId="6DBEF947" w:rsidR="00941D26" w:rsidRPr="008C7649" w:rsidRDefault="00941D26" w:rsidP="00941D26">
            <w:pPr>
              <w:spacing w:before="0" w:after="0" w:line="240" w:lineRule="auto"/>
              <w:rPr>
                <w:rFonts w:cs="Calibri Light"/>
                <w:sz w:val="20"/>
              </w:rPr>
            </w:pPr>
            <w:r w:rsidRPr="00120C22">
              <w:t>BW</w:t>
            </w:r>
          </w:p>
        </w:tc>
        <w:tc>
          <w:tcPr>
            <w:tcW w:w="595" w:type="pct"/>
          </w:tcPr>
          <w:p w14:paraId="35D3887A" w14:textId="1BDF2548" w:rsidR="00941D26" w:rsidRPr="008C7649" w:rsidRDefault="00941D26" w:rsidP="00941D26">
            <w:pPr>
              <w:spacing w:before="0" w:after="0" w:line="240" w:lineRule="auto"/>
              <w:rPr>
                <w:rFonts w:cs="Calibri Light"/>
                <w:sz w:val="20"/>
              </w:rPr>
            </w:pPr>
            <w:r w:rsidRPr="0076513D">
              <w:t>Ex, Old</w:t>
            </w:r>
          </w:p>
        </w:tc>
        <w:tc>
          <w:tcPr>
            <w:tcW w:w="643" w:type="pct"/>
          </w:tcPr>
          <w:p w14:paraId="4F189A1B" w14:textId="0625784A"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345EB416" w14:textId="77777777" w:rsidTr="001C0FC7">
        <w:tc>
          <w:tcPr>
            <w:tcW w:w="740" w:type="pct"/>
          </w:tcPr>
          <w:p w14:paraId="257D95E2" w14:textId="5ADF4F12" w:rsidR="00941D26" w:rsidRPr="00D372CE" w:rsidRDefault="00941D26" w:rsidP="00941D26">
            <w:pPr>
              <w:spacing w:before="0" w:after="0" w:line="240" w:lineRule="auto"/>
              <w:rPr>
                <w:rFonts w:cs="Calibri Light"/>
                <w:color w:val="000000"/>
                <w:szCs w:val="22"/>
              </w:rPr>
            </w:pPr>
            <w:r w:rsidRPr="00806A4F">
              <w:t>SWSV001E</w:t>
            </w:r>
          </w:p>
        </w:tc>
        <w:tc>
          <w:tcPr>
            <w:tcW w:w="942" w:type="pct"/>
          </w:tcPr>
          <w:p w14:paraId="5DEBC2AF" w14:textId="67C3ABCD" w:rsidR="00941D26" w:rsidRPr="00BC7F41" w:rsidRDefault="00941D26" w:rsidP="00941D26">
            <w:pPr>
              <w:spacing w:before="0" w:after="0" w:line="240" w:lineRule="auto"/>
              <w:rPr>
                <w:rFonts w:cs="Calibri Light"/>
                <w:i/>
                <w:iCs/>
                <w:color w:val="000000"/>
                <w:sz w:val="20"/>
              </w:rPr>
            </w:pPr>
            <w:r w:rsidRPr="00ED7A6A">
              <w:t>RB-HV-DuctSeal-</w:t>
            </w:r>
            <w:proofErr w:type="spellStart"/>
            <w:r w:rsidRPr="00ED7A6A">
              <w:t>MedToLow</w:t>
            </w:r>
            <w:proofErr w:type="spellEnd"/>
          </w:p>
        </w:tc>
        <w:tc>
          <w:tcPr>
            <w:tcW w:w="1634" w:type="pct"/>
          </w:tcPr>
          <w:p w14:paraId="3898ADA2" w14:textId="58A2D5BA" w:rsidR="00941D26" w:rsidRPr="001C0FC7" w:rsidRDefault="00941D26" w:rsidP="00941D26">
            <w:pPr>
              <w:spacing w:before="0" w:after="0" w:line="240" w:lineRule="auto"/>
              <w:rPr>
                <w:rFonts w:cs="Calibri Light"/>
                <w:color w:val="000000"/>
                <w:sz w:val="20"/>
                <w:highlight w:val="yellow"/>
              </w:rPr>
            </w:pPr>
            <w:r w:rsidRPr="009F37E6">
              <w:t>Duct Seal and Test, Residential, Medium (24% to 12%) for SFm MFm Pre 2006</w:t>
            </w:r>
          </w:p>
        </w:tc>
        <w:tc>
          <w:tcPr>
            <w:tcW w:w="446" w:type="pct"/>
          </w:tcPr>
          <w:p w14:paraId="381FBC9E" w14:textId="79EE1CE1" w:rsidR="00941D26" w:rsidRPr="008C7649" w:rsidRDefault="00941D26" w:rsidP="00941D26">
            <w:pPr>
              <w:spacing w:before="0" w:after="0" w:line="240" w:lineRule="auto"/>
              <w:rPr>
                <w:rFonts w:cs="Calibri Light"/>
                <w:sz w:val="20"/>
              </w:rPr>
            </w:pPr>
            <w:r w:rsidRPr="00120C22">
              <w:t>BW</w:t>
            </w:r>
          </w:p>
        </w:tc>
        <w:tc>
          <w:tcPr>
            <w:tcW w:w="595" w:type="pct"/>
          </w:tcPr>
          <w:p w14:paraId="359605DF" w14:textId="3E182685" w:rsidR="00941D26" w:rsidRPr="008C7649" w:rsidRDefault="003B559F" w:rsidP="00941D26">
            <w:pPr>
              <w:spacing w:before="0" w:after="0" w:line="240" w:lineRule="auto"/>
              <w:rPr>
                <w:rFonts w:cs="Calibri Light"/>
                <w:sz w:val="20"/>
              </w:rPr>
            </w:pPr>
            <w:r>
              <w:t xml:space="preserve">Ex, </w:t>
            </w:r>
            <w:r w:rsidR="00941D26" w:rsidRPr="0076513D">
              <w:t>Old</w:t>
            </w:r>
          </w:p>
        </w:tc>
        <w:tc>
          <w:tcPr>
            <w:tcW w:w="643" w:type="pct"/>
          </w:tcPr>
          <w:p w14:paraId="5449F592" w14:textId="59D9FE36"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09AE6F78" w14:textId="77777777" w:rsidTr="001C0FC7">
        <w:tc>
          <w:tcPr>
            <w:tcW w:w="740" w:type="pct"/>
          </w:tcPr>
          <w:p w14:paraId="556BF21C" w14:textId="526388F7" w:rsidR="00941D26" w:rsidRPr="00D372CE" w:rsidRDefault="00941D26" w:rsidP="00941D26">
            <w:pPr>
              <w:spacing w:before="0" w:after="0" w:line="240" w:lineRule="auto"/>
              <w:rPr>
                <w:rFonts w:cs="Calibri Light"/>
                <w:color w:val="000000"/>
                <w:szCs w:val="22"/>
              </w:rPr>
            </w:pPr>
            <w:r w:rsidRPr="00806A4F">
              <w:t>SWSV001F</w:t>
            </w:r>
          </w:p>
        </w:tc>
        <w:tc>
          <w:tcPr>
            <w:tcW w:w="942" w:type="pct"/>
          </w:tcPr>
          <w:p w14:paraId="29340107" w14:textId="07A157F2" w:rsidR="00941D26" w:rsidRPr="00BC7F41" w:rsidRDefault="00941D26" w:rsidP="00941D26">
            <w:pPr>
              <w:spacing w:before="0" w:after="0" w:line="240" w:lineRule="auto"/>
              <w:rPr>
                <w:rFonts w:cs="Calibri Light"/>
                <w:i/>
                <w:iCs/>
                <w:color w:val="000000"/>
                <w:sz w:val="20"/>
              </w:rPr>
            </w:pPr>
            <w:r w:rsidRPr="00ED7A6A">
              <w:t>RB-HV-DuctSeal-HighToLow</w:t>
            </w:r>
          </w:p>
        </w:tc>
        <w:tc>
          <w:tcPr>
            <w:tcW w:w="1634" w:type="pct"/>
          </w:tcPr>
          <w:p w14:paraId="4B182FC0" w14:textId="53B79A8E" w:rsidR="00941D26" w:rsidRPr="001C0FC7" w:rsidRDefault="00941D26" w:rsidP="00941D26">
            <w:pPr>
              <w:spacing w:before="0" w:after="0" w:line="240" w:lineRule="auto"/>
              <w:rPr>
                <w:rFonts w:cs="Calibri Light"/>
                <w:color w:val="000000"/>
                <w:sz w:val="20"/>
                <w:highlight w:val="yellow"/>
              </w:rPr>
            </w:pPr>
            <w:r w:rsidRPr="009F37E6">
              <w:t>Duct Seal and Test, Residential, High (40% to 12%) for SFm MFm Pre 2006</w:t>
            </w:r>
          </w:p>
        </w:tc>
        <w:tc>
          <w:tcPr>
            <w:tcW w:w="446" w:type="pct"/>
          </w:tcPr>
          <w:p w14:paraId="7CDF4E55" w14:textId="45B129E7" w:rsidR="00941D26" w:rsidRPr="008C7649" w:rsidRDefault="00941D26" w:rsidP="00941D26">
            <w:pPr>
              <w:spacing w:before="0" w:after="0" w:line="240" w:lineRule="auto"/>
              <w:rPr>
                <w:rFonts w:cs="Calibri Light"/>
                <w:sz w:val="20"/>
              </w:rPr>
            </w:pPr>
            <w:r w:rsidRPr="00120C22">
              <w:t>BW</w:t>
            </w:r>
          </w:p>
        </w:tc>
        <w:tc>
          <w:tcPr>
            <w:tcW w:w="595" w:type="pct"/>
          </w:tcPr>
          <w:p w14:paraId="760A5E09" w14:textId="343ABDD4" w:rsidR="00941D26" w:rsidRPr="008C7649" w:rsidRDefault="003B559F" w:rsidP="00941D26">
            <w:pPr>
              <w:spacing w:before="0" w:after="0" w:line="240" w:lineRule="auto"/>
              <w:rPr>
                <w:rFonts w:cs="Calibri Light"/>
                <w:sz w:val="20"/>
              </w:rPr>
            </w:pPr>
            <w:r>
              <w:t xml:space="preserve">Ex, </w:t>
            </w:r>
            <w:r w:rsidR="00941D26" w:rsidRPr="0076513D">
              <w:t>Old</w:t>
            </w:r>
          </w:p>
        </w:tc>
        <w:tc>
          <w:tcPr>
            <w:tcW w:w="643" w:type="pct"/>
          </w:tcPr>
          <w:p w14:paraId="79ECBA27" w14:textId="0614C190"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1684E331" w14:textId="77777777" w:rsidTr="001C0FC7">
        <w:tc>
          <w:tcPr>
            <w:tcW w:w="740" w:type="pct"/>
          </w:tcPr>
          <w:p w14:paraId="174ECFF7" w14:textId="09D8AC3B" w:rsidR="00941D26" w:rsidRPr="00D372CE" w:rsidRDefault="00941D26" w:rsidP="00941D26">
            <w:pPr>
              <w:spacing w:before="0" w:after="0" w:line="240" w:lineRule="auto"/>
              <w:rPr>
                <w:rFonts w:cs="Calibri Light"/>
                <w:color w:val="000000"/>
                <w:szCs w:val="22"/>
              </w:rPr>
            </w:pPr>
            <w:r w:rsidRPr="00806A4F">
              <w:t>SWSV001G</w:t>
            </w:r>
          </w:p>
        </w:tc>
        <w:tc>
          <w:tcPr>
            <w:tcW w:w="942" w:type="pct"/>
          </w:tcPr>
          <w:p w14:paraId="458CE8EF" w14:textId="2B8E3F53" w:rsidR="00941D26" w:rsidRPr="00BC7F41" w:rsidRDefault="00941D26" w:rsidP="00941D26">
            <w:pPr>
              <w:spacing w:before="0" w:after="0" w:line="240" w:lineRule="auto"/>
              <w:rPr>
                <w:rFonts w:cs="Calibri Light"/>
                <w:i/>
                <w:iCs/>
                <w:color w:val="000000"/>
                <w:sz w:val="20"/>
              </w:rPr>
            </w:pPr>
            <w:r w:rsidRPr="00ED7A6A">
              <w:t>RB-HV-DuctSeal-</w:t>
            </w:r>
            <w:proofErr w:type="spellStart"/>
            <w:r w:rsidRPr="00ED7A6A">
              <w:t>MedToLow</w:t>
            </w:r>
            <w:proofErr w:type="spellEnd"/>
          </w:p>
        </w:tc>
        <w:tc>
          <w:tcPr>
            <w:tcW w:w="1634" w:type="pct"/>
          </w:tcPr>
          <w:p w14:paraId="49D0E720" w14:textId="6B990762" w:rsidR="00941D26" w:rsidRPr="00A5340A" w:rsidRDefault="00941D26" w:rsidP="00941D26">
            <w:pPr>
              <w:spacing w:before="0" w:after="0" w:line="240" w:lineRule="auto"/>
              <w:rPr>
                <w:rFonts w:cs="Calibri Light"/>
                <w:color w:val="000000"/>
                <w:sz w:val="20"/>
              </w:rPr>
            </w:pPr>
            <w:r w:rsidRPr="009F37E6">
              <w:t>Duct Seal and Test, Residential, Medium (24% to 12%) for SFm MFm 2006 and post 2006</w:t>
            </w:r>
          </w:p>
        </w:tc>
        <w:tc>
          <w:tcPr>
            <w:tcW w:w="446" w:type="pct"/>
          </w:tcPr>
          <w:p w14:paraId="5935DE4D" w14:textId="68BD3448" w:rsidR="00941D26" w:rsidRPr="008C7649" w:rsidRDefault="00941D26" w:rsidP="00941D26">
            <w:pPr>
              <w:spacing w:before="0" w:after="0" w:line="240" w:lineRule="auto"/>
              <w:rPr>
                <w:rFonts w:cs="Calibri Light"/>
                <w:sz w:val="20"/>
              </w:rPr>
            </w:pPr>
            <w:r w:rsidRPr="00120C22">
              <w:t>BRO-RCx</w:t>
            </w:r>
          </w:p>
        </w:tc>
        <w:tc>
          <w:tcPr>
            <w:tcW w:w="595" w:type="pct"/>
          </w:tcPr>
          <w:p w14:paraId="6280D171" w14:textId="6EDED323" w:rsidR="00941D26" w:rsidRPr="008C7649" w:rsidRDefault="00941D26" w:rsidP="00941D26">
            <w:pPr>
              <w:spacing w:before="0" w:after="0" w:line="240" w:lineRule="auto"/>
              <w:rPr>
                <w:rFonts w:cs="Calibri Light"/>
                <w:sz w:val="20"/>
              </w:rPr>
            </w:pPr>
            <w:r w:rsidRPr="0076513D">
              <w:t>Ex</w:t>
            </w:r>
          </w:p>
        </w:tc>
        <w:tc>
          <w:tcPr>
            <w:tcW w:w="643" w:type="pct"/>
          </w:tcPr>
          <w:p w14:paraId="6E3F8958" w14:textId="38AB0FFC"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216F9B37" w14:textId="77777777" w:rsidTr="001C0FC7">
        <w:tc>
          <w:tcPr>
            <w:tcW w:w="740" w:type="pct"/>
          </w:tcPr>
          <w:p w14:paraId="549BD4DC" w14:textId="070DD8EE" w:rsidR="00941D26" w:rsidRPr="00D372CE" w:rsidRDefault="00941D26" w:rsidP="00941D26">
            <w:pPr>
              <w:spacing w:before="0" w:after="0" w:line="240" w:lineRule="auto"/>
              <w:rPr>
                <w:rFonts w:cs="Calibri Light"/>
                <w:color w:val="000000"/>
                <w:szCs w:val="22"/>
              </w:rPr>
            </w:pPr>
            <w:r w:rsidRPr="00806A4F">
              <w:t>SWSV001H</w:t>
            </w:r>
          </w:p>
        </w:tc>
        <w:tc>
          <w:tcPr>
            <w:tcW w:w="942" w:type="pct"/>
          </w:tcPr>
          <w:p w14:paraId="7941D3CF" w14:textId="12BC3750" w:rsidR="00941D26" w:rsidRPr="00BC7F41" w:rsidRDefault="00941D26" w:rsidP="00941D26">
            <w:pPr>
              <w:spacing w:before="0" w:after="0" w:line="240" w:lineRule="auto"/>
              <w:rPr>
                <w:rFonts w:cs="Calibri Light"/>
                <w:i/>
                <w:iCs/>
                <w:color w:val="000000"/>
                <w:sz w:val="20"/>
              </w:rPr>
            </w:pPr>
            <w:r w:rsidRPr="00ED7A6A">
              <w:t>RB-HV-DuctSeal-HighToLow</w:t>
            </w:r>
          </w:p>
        </w:tc>
        <w:tc>
          <w:tcPr>
            <w:tcW w:w="1634" w:type="pct"/>
          </w:tcPr>
          <w:p w14:paraId="6D67AEDF" w14:textId="51875433" w:rsidR="00941D26" w:rsidRPr="00A5340A" w:rsidRDefault="00941D26" w:rsidP="00941D26">
            <w:pPr>
              <w:spacing w:before="0" w:after="0" w:line="240" w:lineRule="auto"/>
              <w:rPr>
                <w:rFonts w:cs="Calibri Light"/>
                <w:color w:val="000000"/>
                <w:sz w:val="20"/>
              </w:rPr>
            </w:pPr>
            <w:r w:rsidRPr="009F37E6">
              <w:t>Duct Seal and Test, Residential, High (40% to 12%) for SFm MFm 2006 and post 2006</w:t>
            </w:r>
          </w:p>
        </w:tc>
        <w:tc>
          <w:tcPr>
            <w:tcW w:w="446" w:type="pct"/>
          </w:tcPr>
          <w:p w14:paraId="5AD26DD0" w14:textId="4FB60942" w:rsidR="00941D26" w:rsidRPr="008C7649" w:rsidRDefault="00941D26" w:rsidP="00941D26">
            <w:pPr>
              <w:spacing w:before="0" w:after="0" w:line="240" w:lineRule="auto"/>
              <w:rPr>
                <w:rFonts w:cs="Calibri Light"/>
                <w:sz w:val="20"/>
              </w:rPr>
            </w:pPr>
            <w:r w:rsidRPr="00120C22">
              <w:t>BRO-RCx</w:t>
            </w:r>
          </w:p>
        </w:tc>
        <w:tc>
          <w:tcPr>
            <w:tcW w:w="595" w:type="pct"/>
          </w:tcPr>
          <w:p w14:paraId="0EBAAB1A" w14:textId="7556E2FE" w:rsidR="00941D26" w:rsidRPr="008C7649" w:rsidRDefault="00941D26" w:rsidP="00941D26">
            <w:pPr>
              <w:spacing w:before="0" w:after="0" w:line="240" w:lineRule="auto"/>
              <w:rPr>
                <w:rFonts w:cs="Calibri Light"/>
                <w:sz w:val="20"/>
              </w:rPr>
            </w:pPr>
            <w:r w:rsidRPr="0076513D">
              <w:t>Ex</w:t>
            </w:r>
          </w:p>
        </w:tc>
        <w:tc>
          <w:tcPr>
            <w:tcW w:w="643" w:type="pct"/>
          </w:tcPr>
          <w:p w14:paraId="3DAC98D3" w14:textId="217B8A18"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6A9E3267" w14:textId="77777777" w:rsidTr="001C0FC7">
        <w:tc>
          <w:tcPr>
            <w:tcW w:w="740" w:type="pct"/>
          </w:tcPr>
          <w:p w14:paraId="4C618C25" w14:textId="7404F8DD" w:rsidR="00941D26" w:rsidRDefault="00941D26" w:rsidP="00941D26">
            <w:pPr>
              <w:spacing w:before="0" w:after="0" w:line="240" w:lineRule="auto"/>
            </w:pPr>
            <w:r w:rsidRPr="00806A4F">
              <w:t>SWSV001I</w:t>
            </w:r>
          </w:p>
        </w:tc>
        <w:tc>
          <w:tcPr>
            <w:tcW w:w="942" w:type="pct"/>
          </w:tcPr>
          <w:p w14:paraId="554A57E8" w14:textId="4826A05A" w:rsidR="00941D26"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201B51C6" w14:textId="7043A4AF" w:rsidR="00941D26" w:rsidRDefault="00941D26" w:rsidP="00941D26">
            <w:pPr>
              <w:spacing w:before="0" w:after="0" w:line="240" w:lineRule="auto"/>
            </w:pPr>
            <w:r w:rsidRPr="009F37E6">
              <w:t xml:space="preserve">Duct Seal and Test, Residential, Medium (25% to 15%) for </w:t>
            </w:r>
            <w:proofErr w:type="spellStart"/>
            <w:r w:rsidRPr="009F37E6">
              <w:t>Dmo</w:t>
            </w:r>
            <w:proofErr w:type="spellEnd"/>
            <w:r w:rsidRPr="009F37E6">
              <w:t xml:space="preserve"> with rNCGF System Only</w:t>
            </w:r>
          </w:p>
        </w:tc>
        <w:tc>
          <w:tcPr>
            <w:tcW w:w="446" w:type="pct"/>
          </w:tcPr>
          <w:p w14:paraId="531CE162" w14:textId="664D5457" w:rsidR="00941D26" w:rsidRPr="00831072" w:rsidRDefault="00941D26" w:rsidP="00941D26">
            <w:pPr>
              <w:spacing w:before="0" w:after="0" w:line="240" w:lineRule="auto"/>
              <w:rPr>
                <w:rFonts w:cs="Calibri Light"/>
                <w:sz w:val="20"/>
              </w:rPr>
            </w:pPr>
            <w:r w:rsidRPr="00120C22">
              <w:t>BW</w:t>
            </w:r>
          </w:p>
        </w:tc>
        <w:tc>
          <w:tcPr>
            <w:tcW w:w="595" w:type="pct"/>
          </w:tcPr>
          <w:p w14:paraId="15FF5F3F" w14:textId="214F1F17" w:rsidR="00941D26" w:rsidRDefault="00941D26" w:rsidP="00941D26">
            <w:pPr>
              <w:spacing w:before="0" w:after="0" w:line="240" w:lineRule="auto"/>
              <w:rPr>
                <w:rFonts w:cs="Calibri Light"/>
                <w:sz w:val="20"/>
              </w:rPr>
            </w:pPr>
            <w:r w:rsidRPr="0076513D">
              <w:t>Ex, Old</w:t>
            </w:r>
          </w:p>
        </w:tc>
        <w:tc>
          <w:tcPr>
            <w:tcW w:w="643" w:type="pct"/>
          </w:tcPr>
          <w:p w14:paraId="00F5A3EC" w14:textId="593C012F" w:rsidR="00941D26" w:rsidRPr="008C7649" w:rsidRDefault="00941D26" w:rsidP="00941D26">
            <w:pPr>
              <w:spacing w:before="0" w:after="0" w:line="240" w:lineRule="auto"/>
              <w:rPr>
                <w:rFonts w:cs="Calibri Light"/>
                <w:sz w:val="20"/>
              </w:rPr>
            </w:pPr>
            <w:r w:rsidRPr="00F1547B">
              <w:t>rNCGF</w:t>
            </w:r>
          </w:p>
        </w:tc>
      </w:tr>
      <w:tr w:rsidR="00941D26" w:rsidRPr="008C7649" w14:paraId="0F89804C" w14:textId="77777777" w:rsidTr="001C0FC7">
        <w:tc>
          <w:tcPr>
            <w:tcW w:w="740" w:type="pct"/>
          </w:tcPr>
          <w:p w14:paraId="59C7CA11" w14:textId="7DCC2C4B" w:rsidR="00941D26" w:rsidRDefault="00941D26" w:rsidP="00941D26">
            <w:pPr>
              <w:spacing w:before="0" w:after="0" w:line="240" w:lineRule="auto"/>
            </w:pPr>
            <w:r w:rsidRPr="00806A4F">
              <w:t>SWSV001J</w:t>
            </w:r>
          </w:p>
        </w:tc>
        <w:tc>
          <w:tcPr>
            <w:tcW w:w="942" w:type="pct"/>
          </w:tcPr>
          <w:p w14:paraId="609FCB76" w14:textId="0CE268C0" w:rsidR="00941D26" w:rsidRDefault="00941D26" w:rsidP="00941D26">
            <w:pPr>
              <w:spacing w:before="0" w:after="0" w:line="240" w:lineRule="auto"/>
              <w:rPr>
                <w:rFonts w:cs="Calibri Light"/>
                <w:color w:val="000000"/>
                <w:sz w:val="20"/>
              </w:rPr>
            </w:pPr>
            <w:r w:rsidRPr="00ED7A6A">
              <w:t>RB-HV-DuctSeal-HighToLow</w:t>
            </w:r>
          </w:p>
        </w:tc>
        <w:tc>
          <w:tcPr>
            <w:tcW w:w="1634" w:type="pct"/>
          </w:tcPr>
          <w:p w14:paraId="6D4D4D2C" w14:textId="6E11BD4A" w:rsidR="00941D26" w:rsidRDefault="00941D26" w:rsidP="00941D26">
            <w:pPr>
              <w:spacing w:before="0" w:after="0" w:line="240" w:lineRule="auto"/>
            </w:pPr>
            <w:r w:rsidRPr="009F37E6">
              <w:t xml:space="preserve">Duct Seal and Test, Residential, High (35% to 15%) for </w:t>
            </w:r>
            <w:proofErr w:type="spellStart"/>
            <w:r w:rsidRPr="009F37E6">
              <w:t>Dmo</w:t>
            </w:r>
            <w:proofErr w:type="spellEnd"/>
            <w:r w:rsidRPr="009F37E6">
              <w:t xml:space="preserve"> with rNCGF System Only</w:t>
            </w:r>
          </w:p>
        </w:tc>
        <w:tc>
          <w:tcPr>
            <w:tcW w:w="446" w:type="pct"/>
          </w:tcPr>
          <w:p w14:paraId="499692FC" w14:textId="3FA981BF" w:rsidR="00941D26" w:rsidRPr="00831072" w:rsidRDefault="00941D26" w:rsidP="00941D26">
            <w:pPr>
              <w:spacing w:before="0" w:after="0" w:line="240" w:lineRule="auto"/>
              <w:rPr>
                <w:rFonts w:cs="Calibri Light"/>
                <w:sz w:val="20"/>
              </w:rPr>
            </w:pPr>
            <w:r w:rsidRPr="00120C22">
              <w:t>BW</w:t>
            </w:r>
          </w:p>
        </w:tc>
        <w:tc>
          <w:tcPr>
            <w:tcW w:w="595" w:type="pct"/>
          </w:tcPr>
          <w:p w14:paraId="3091AD15" w14:textId="73686FB9" w:rsidR="00941D26" w:rsidRDefault="00941D26" w:rsidP="00941D26">
            <w:pPr>
              <w:spacing w:before="0" w:after="0" w:line="240" w:lineRule="auto"/>
              <w:rPr>
                <w:rFonts w:cs="Calibri Light"/>
                <w:sz w:val="20"/>
              </w:rPr>
            </w:pPr>
            <w:r w:rsidRPr="0076513D">
              <w:t>Ex, Old</w:t>
            </w:r>
          </w:p>
        </w:tc>
        <w:tc>
          <w:tcPr>
            <w:tcW w:w="643" w:type="pct"/>
          </w:tcPr>
          <w:p w14:paraId="5FA9C8CE" w14:textId="6E06429F" w:rsidR="00941D26" w:rsidRPr="008C7649" w:rsidRDefault="00941D26" w:rsidP="00941D26">
            <w:pPr>
              <w:spacing w:before="0" w:after="0" w:line="240" w:lineRule="auto"/>
              <w:rPr>
                <w:rFonts w:cs="Calibri Light"/>
                <w:sz w:val="20"/>
              </w:rPr>
            </w:pPr>
            <w:r w:rsidRPr="00F1547B">
              <w:t>rNCGF</w:t>
            </w:r>
          </w:p>
        </w:tc>
      </w:tr>
      <w:tr w:rsidR="00941D26" w:rsidRPr="008C7649" w14:paraId="15516560" w14:textId="77777777" w:rsidTr="001C0FC7">
        <w:tc>
          <w:tcPr>
            <w:tcW w:w="740" w:type="pct"/>
          </w:tcPr>
          <w:p w14:paraId="49A317B5" w14:textId="1CCC3CBF" w:rsidR="00941D26" w:rsidRDefault="00941D26" w:rsidP="00941D26">
            <w:pPr>
              <w:spacing w:before="0" w:after="0" w:line="240" w:lineRule="auto"/>
            </w:pPr>
            <w:r w:rsidRPr="00806A4F">
              <w:t>SWSV001K</w:t>
            </w:r>
          </w:p>
        </w:tc>
        <w:tc>
          <w:tcPr>
            <w:tcW w:w="942" w:type="pct"/>
          </w:tcPr>
          <w:p w14:paraId="10D15E7D" w14:textId="64D94F3C" w:rsidR="00941D26"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4B228BD2" w14:textId="3997B97E" w:rsidR="00941D26" w:rsidRDefault="00941D26" w:rsidP="00941D26">
            <w:pPr>
              <w:spacing w:before="0" w:after="0" w:line="240" w:lineRule="auto"/>
            </w:pPr>
            <w:r w:rsidRPr="009F37E6">
              <w:t>Duct Seal and Test, Residential, Medium (24% to 12%) for SFm MFm Pre 2006 with rNCGF System Only</w:t>
            </w:r>
          </w:p>
        </w:tc>
        <w:tc>
          <w:tcPr>
            <w:tcW w:w="446" w:type="pct"/>
          </w:tcPr>
          <w:p w14:paraId="075AC9CA" w14:textId="64E344B1" w:rsidR="00941D26" w:rsidRPr="00831072" w:rsidRDefault="00941D26" w:rsidP="00941D26">
            <w:pPr>
              <w:spacing w:before="0" w:after="0" w:line="240" w:lineRule="auto"/>
              <w:rPr>
                <w:rFonts w:cs="Calibri Light"/>
                <w:sz w:val="20"/>
              </w:rPr>
            </w:pPr>
            <w:r w:rsidRPr="00120C22">
              <w:t>BW</w:t>
            </w:r>
          </w:p>
        </w:tc>
        <w:tc>
          <w:tcPr>
            <w:tcW w:w="595" w:type="pct"/>
          </w:tcPr>
          <w:p w14:paraId="40FBFD56" w14:textId="55C4A0DC" w:rsidR="00941D26" w:rsidRDefault="005C0F68" w:rsidP="00941D26">
            <w:pPr>
              <w:spacing w:before="0" w:after="0" w:line="240" w:lineRule="auto"/>
              <w:rPr>
                <w:rFonts w:cs="Calibri Light"/>
                <w:sz w:val="20"/>
              </w:rPr>
            </w:pPr>
            <w:r w:rsidRPr="005C0F68">
              <w:t>Ex, Old</w:t>
            </w:r>
          </w:p>
        </w:tc>
        <w:tc>
          <w:tcPr>
            <w:tcW w:w="643" w:type="pct"/>
          </w:tcPr>
          <w:p w14:paraId="1E329380" w14:textId="0136CE7E" w:rsidR="00941D26" w:rsidRPr="008C7649" w:rsidRDefault="00941D26" w:rsidP="00941D26">
            <w:pPr>
              <w:spacing w:before="0" w:after="0" w:line="240" w:lineRule="auto"/>
              <w:rPr>
                <w:rFonts w:cs="Calibri Light"/>
                <w:sz w:val="20"/>
              </w:rPr>
            </w:pPr>
            <w:r w:rsidRPr="00F1547B">
              <w:t>rNCGF</w:t>
            </w:r>
          </w:p>
        </w:tc>
      </w:tr>
      <w:tr w:rsidR="00941D26" w:rsidRPr="008C7649" w14:paraId="46072A5F" w14:textId="77777777" w:rsidTr="001C0FC7">
        <w:tc>
          <w:tcPr>
            <w:tcW w:w="740" w:type="pct"/>
          </w:tcPr>
          <w:p w14:paraId="5DFFF9CB" w14:textId="62433CD5" w:rsidR="00941D26" w:rsidRDefault="00941D26" w:rsidP="00941D26">
            <w:pPr>
              <w:spacing w:before="0" w:after="0" w:line="240" w:lineRule="auto"/>
            </w:pPr>
            <w:r w:rsidRPr="00806A4F">
              <w:t>SWSV001L</w:t>
            </w:r>
          </w:p>
        </w:tc>
        <w:tc>
          <w:tcPr>
            <w:tcW w:w="942" w:type="pct"/>
          </w:tcPr>
          <w:p w14:paraId="401EC959" w14:textId="7FC1A78E" w:rsidR="00941D26" w:rsidRDefault="00941D26" w:rsidP="00941D26">
            <w:pPr>
              <w:spacing w:before="0" w:after="0" w:line="240" w:lineRule="auto"/>
              <w:rPr>
                <w:rFonts w:cs="Calibri Light"/>
                <w:color w:val="000000"/>
                <w:sz w:val="20"/>
              </w:rPr>
            </w:pPr>
            <w:r w:rsidRPr="00ED7A6A">
              <w:t>RB-HV-DuctSeal-HighToLow</w:t>
            </w:r>
          </w:p>
        </w:tc>
        <w:tc>
          <w:tcPr>
            <w:tcW w:w="1634" w:type="pct"/>
          </w:tcPr>
          <w:p w14:paraId="781F24AF" w14:textId="0CB3E920" w:rsidR="00941D26" w:rsidRDefault="00941D26" w:rsidP="00941D26">
            <w:pPr>
              <w:spacing w:before="0" w:after="0" w:line="240" w:lineRule="auto"/>
            </w:pPr>
            <w:r w:rsidRPr="009F37E6">
              <w:t>Duct Seal and Test, Residential, High (40% to 12%) for SFm MFm Pre 2006 with rNCGF System Only</w:t>
            </w:r>
          </w:p>
        </w:tc>
        <w:tc>
          <w:tcPr>
            <w:tcW w:w="446" w:type="pct"/>
          </w:tcPr>
          <w:p w14:paraId="5DCF471B" w14:textId="7DCF1F00" w:rsidR="00941D26" w:rsidRPr="00831072" w:rsidRDefault="00941D26" w:rsidP="00941D26">
            <w:pPr>
              <w:spacing w:before="0" w:after="0" w:line="240" w:lineRule="auto"/>
              <w:rPr>
                <w:rFonts w:cs="Calibri Light"/>
                <w:sz w:val="20"/>
              </w:rPr>
            </w:pPr>
            <w:r w:rsidRPr="00120C22">
              <w:t>BW</w:t>
            </w:r>
          </w:p>
        </w:tc>
        <w:tc>
          <w:tcPr>
            <w:tcW w:w="595" w:type="pct"/>
          </w:tcPr>
          <w:p w14:paraId="73E7C89F" w14:textId="2D1F4BEE" w:rsidR="00941D26" w:rsidRDefault="005C0F68" w:rsidP="00941D26">
            <w:pPr>
              <w:spacing w:before="0" w:after="0" w:line="240" w:lineRule="auto"/>
              <w:rPr>
                <w:rFonts w:cs="Calibri Light"/>
                <w:sz w:val="20"/>
              </w:rPr>
            </w:pPr>
            <w:r w:rsidRPr="005C0F68">
              <w:t>Ex, Old</w:t>
            </w:r>
          </w:p>
        </w:tc>
        <w:tc>
          <w:tcPr>
            <w:tcW w:w="643" w:type="pct"/>
          </w:tcPr>
          <w:p w14:paraId="1E087898" w14:textId="2E9C6DA6" w:rsidR="00941D26" w:rsidRPr="008C7649" w:rsidRDefault="00941D26" w:rsidP="00941D26">
            <w:pPr>
              <w:spacing w:before="0" w:after="0" w:line="240" w:lineRule="auto"/>
              <w:rPr>
                <w:rFonts w:cs="Calibri Light"/>
                <w:sz w:val="20"/>
              </w:rPr>
            </w:pPr>
            <w:r w:rsidRPr="00F1547B">
              <w:t>rNCGF</w:t>
            </w:r>
          </w:p>
        </w:tc>
      </w:tr>
      <w:tr w:rsidR="00941D26" w:rsidRPr="008C7649" w14:paraId="3885E87C" w14:textId="77777777" w:rsidTr="001C0FC7">
        <w:tc>
          <w:tcPr>
            <w:tcW w:w="740" w:type="pct"/>
          </w:tcPr>
          <w:p w14:paraId="50CE47C7" w14:textId="4881A23A" w:rsidR="00941D26" w:rsidRDefault="00941D26" w:rsidP="00941D26">
            <w:pPr>
              <w:spacing w:before="0" w:after="0" w:line="240" w:lineRule="auto"/>
            </w:pPr>
            <w:r w:rsidRPr="00806A4F">
              <w:t>SWSV001M</w:t>
            </w:r>
          </w:p>
        </w:tc>
        <w:tc>
          <w:tcPr>
            <w:tcW w:w="942" w:type="pct"/>
          </w:tcPr>
          <w:p w14:paraId="14A483F3" w14:textId="4345EEF8" w:rsidR="00941D26"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0666AEEA" w14:textId="6D0315A3" w:rsidR="00941D26" w:rsidRDefault="00941D26" w:rsidP="00941D26">
            <w:pPr>
              <w:spacing w:before="0" w:after="0" w:line="240" w:lineRule="auto"/>
            </w:pPr>
            <w:r w:rsidRPr="009F37E6">
              <w:t>Duct Seal and Test, Residential, Medium (24% to 12%) for SFm MFm 2006 and post 2006 with rNCGF System Only</w:t>
            </w:r>
          </w:p>
        </w:tc>
        <w:tc>
          <w:tcPr>
            <w:tcW w:w="446" w:type="pct"/>
          </w:tcPr>
          <w:p w14:paraId="2C50EBE0" w14:textId="0DE54800" w:rsidR="00941D26" w:rsidRPr="00831072" w:rsidRDefault="00941D26" w:rsidP="00941D26">
            <w:pPr>
              <w:spacing w:before="0" w:after="0" w:line="240" w:lineRule="auto"/>
              <w:rPr>
                <w:rFonts w:cs="Calibri Light"/>
                <w:sz w:val="20"/>
              </w:rPr>
            </w:pPr>
            <w:r w:rsidRPr="00120C22">
              <w:t>BRO-RCx</w:t>
            </w:r>
          </w:p>
        </w:tc>
        <w:tc>
          <w:tcPr>
            <w:tcW w:w="595" w:type="pct"/>
          </w:tcPr>
          <w:p w14:paraId="3775B1F0" w14:textId="3C1F4228" w:rsidR="00941D26" w:rsidRDefault="00941D26" w:rsidP="00941D26">
            <w:pPr>
              <w:spacing w:before="0" w:after="0" w:line="240" w:lineRule="auto"/>
              <w:rPr>
                <w:rFonts w:cs="Calibri Light"/>
                <w:sz w:val="20"/>
              </w:rPr>
            </w:pPr>
            <w:r w:rsidRPr="0076513D">
              <w:t>Ex</w:t>
            </w:r>
          </w:p>
        </w:tc>
        <w:tc>
          <w:tcPr>
            <w:tcW w:w="643" w:type="pct"/>
          </w:tcPr>
          <w:p w14:paraId="39381B8E" w14:textId="422743C9" w:rsidR="00941D26" w:rsidRPr="008C7649" w:rsidRDefault="00941D26" w:rsidP="00941D26">
            <w:pPr>
              <w:spacing w:before="0" w:after="0" w:line="240" w:lineRule="auto"/>
              <w:rPr>
                <w:rFonts w:cs="Calibri Light"/>
                <w:sz w:val="20"/>
              </w:rPr>
            </w:pPr>
            <w:r w:rsidRPr="00F1547B">
              <w:t>rNCGF</w:t>
            </w:r>
          </w:p>
        </w:tc>
      </w:tr>
      <w:tr w:rsidR="00941D26" w:rsidRPr="008C7649" w14:paraId="1A133294" w14:textId="77777777" w:rsidTr="001C0FC7">
        <w:tc>
          <w:tcPr>
            <w:tcW w:w="740" w:type="pct"/>
          </w:tcPr>
          <w:p w14:paraId="4C4A8E62" w14:textId="303965A9" w:rsidR="00941D26" w:rsidRDefault="00941D26" w:rsidP="00941D26">
            <w:pPr>
              <w:spacing w:before="0" w:after="0" w:line="240" w:lineRule="auto"/>
            </w:pPr>
            <w:r w:rsidRPr="00806A4F">
              <w:t>SWSV001N</w:t>
            </w:r>
          </w:p>
        </w:tc>
        <w:tc>
          <w:tcPr>
            <w:tcW w:w="942" w:type="pct"/>
          </w:tcPr>
          <w:p w14:paraId="63451B78" w14:textId="6CED67A6" w:rsidR="00941D26" w:rsidRDefault="00941D26" w:rsidP="00941D26">
            <w:pPr>
              <w:spacing w:before="0" w:after="0" w:line="240" w:lineRule="auto"/>
              <w:rPr>
                <w:rFonts w:cs="Calibri Light"/>
                <w:color w:val="000000"/>
                <w:sz w:val="20"/>
              </w:rPr>
            </w:pPr>
            <w:r w:rsidRPr="00ED7A6A">
              <w:t>RB-HV-DuctSeal-HighToLow</w:t>
            </w:r>
          </w:p>
        </w:tc>
        <w:tc>
          <w:tcPr>
            <w:tcW w:w="1634" w:type="pct"/>
          </w:tcPr>
          <w:p w14:paraId="6D3BAA93" w14:textId="2A620414" w:rsidR="00941D26" w:rsidRDefault="00941D26" w:rsidP="00941D26">
            <w:pPr>
              <w:spacing w:before="0" w:after="0" w:line="240" w:lineRule="auto"/>
            </w:pPr>
            <w:r w:rsidRPr="009F37E6">
              <w:t>Duct Seal and Test, Residential, High (40% to 12%) for SFm MFm 2006 and post 2006 with rNCGF System Only</w:t>
            </w:r>
          </w:p>
        </w:tc>
        <w:tc>
          <w:tcPr>
            <w:tcW w:w="446" w:type="pct"/>
          </w:tcPr>
          <w:p w14:paraId="250BBD65" w14:textId="3007EB5D" w:rsidR="00941D26" w:rsidRPr="00831072" w:rsidRDefault="00941D26" w:rsidP="00941D26">
            <w:pPr>
              <w:spacing w:before="0" w:after="0" w:line="240" w:lineRule="auto"/>
              <w:rPr>
                <w:rFonts w:cs="Calibri Light"/>
                <w:sz w:val="20"/>
              </w:rPr>
            </w:pPr>
            <w:r w:rsidRPr="00120C22">
              <w:t>BRO-RCx</w:t>
            </w:r>
          </w:p>
        </w:tc>
        <w:tc>
          <w:tcPr>
            <w:tcW w:w="595" w:type="pct"/>
          </w:tcPr>
          <w:p w14:paraId="4E6D860F" w14:textId="1639D153" w:rsidR="00941D26" w:rsidRDefault="00941D26" w:rsidP="00941D26">
            <w:pPr>
              <w:spacing w:before="0" w:after="0" w:line="240" w:lineRule="auto"/>
              <w:rPr>
                <w:rFonts w:cs="Calibri Light"/>
                <w:sz w:val="20"/>
              </w:rPr>
            </w:pPr>
            <w:r w:rsidRPr="0076513D">
              <w:t>Ex</w:t>
            </w:r>
          </w:p>
        </w:tc>
        <w:tc>
          <w:tcPr>
            <w:tcW w:w="643" w:type="pct"/>
          </w:tcPr>
          <w:p w14:paraId="5ABCDA65" w14:textId="77604A20" w:rsidR="00941D26" w:rsidRPr="008C7649" w:rsidRDefault="00941D26" w:rsidP="00941D26">
            <w:pPr>
              <w:spacing w:before="0" w:after="0" w:line="240" w:lineRule="auto"/>
              <w:rPr>
                <w:rFonts w:cs="Calibri Light"/>
                <w:sz w:val="20"/>
              </w:rPr>
            </w:pPr>
            <w:r w:rsidRPr="00F1547B">
              <w:t>rNCGF</w:t>
            </w:r>
          </w:p>
        </w:tc>
      </w:tr>
    </w:tbl>
    <w:p w14:paraId="6070B9CB" w14:textId="77777777" w:rsidR="00E37687" w:rsidRDefault="00E37687" w:rsidP="005915AA"/>
    <w:p w14:paraId="7EEA407D" w14:textId="1CD6CF41" w:rsidR="007F3E75" w:rsidRPr="002631DC" w:rsidRDefault="005915AA" w:rsidP="007F3E75">
      <w:pPr>
        <w:rPr>
          <w:rFonts w:cs="Arial"/>
          <w:szCs w:val="22"/>
        </w:rPr>
      </w:pPr>
      <w:r>
        <w:lastRenderedPageBreak/>
        <w:t>Note that the measure impacts are based on recent DEER</w:t>
      </w:r>
      <w:r w:rsidR="003F6B8F">
        <w:t>2021</w:t>
      </w:r>
      <w:r>
        <w:t xml:space="preserve"> updates that affect “</w:t>
      </w:r>
      <w:proofErr w:type="spellStart"/>
      <w:r>
        <w:t>APreWBkWh</w:t>
      </w:r>
      <w:proofErr w:type="spellEnd"/>
      <w:r>
        <w:t>” for energy, “</w:t>
      </w:r>
      <w:proofErr w:type="spellStart"/>
      <w:r>
        <w:t>APreWBkW</w:t>
      </w:r>
      <w:proofErr w:type="spellEnd"/>
      <w:r>
        <w:t>” for peak demand and “</w:t>
      </w:r>
      <w:proofErr w:type="spellStart"/>
      <w:r>
        <w:t>APreWBtherm</w:t>
      </w:r>
      <w:proofErr w:type="spellEnd"/>
      <w:r>
        <w:t>”.</w:t>
      </w:r>
      <w:r w:rsidR="00816FD9">
        <w:t xml:space="preserve"> </w:t>
      </w:r>
      <w:r w:rsidR="00B570D2">
        <w:rPr>
          <w:rFonts w:cs="Arial"/>
          <w:szCs w:val="22"/>
        </w:rPr>
        <w:t>Savings</w:t>
      </w:r>
      <w:r w:rsidR="007F3E75" w:rsidRPr="002631DC">
        <w:rPr>
          <w:rFonts w:cs="Arial"/>
          <w:szCs w:val="22"/>
        </w:rPr>
        <w:t xml:space="preserve"> values </w:t>
      </w:r>
      <w:r w:rsidR="002621E3">
        <w:rPr>
          <w:rFonts w:cs="Arial"/>
          <w:szCs w:val="22"/>
        </w:rPr>
        <w:t>were reported</w:t>
      </w:r>
      <w:r w:rsidR="007F3E75" w:rsidRPr="002631DC">
        <w:rPr>
          <w:rFonts w:cs="Arial"/>
          <w:szCs w:val="22"/>
        </w:rPr>
        <w:t xml:space="preserve"> by building type</w:t>
      </w:r>
      <w:r w:rsidR="007F3E75">
        <w:rPr>
          <w:rFonts w:cs="Arial"/>
          <w:szCs w:val="22"/>
        </w:rPr>
        <w:t xml:space="preserve"> (</w:t>
      </w:r>
      <w:r w:rsidR="007F3E75" w:rsidRPr="002631DC">
        <w:rPr>
          <w:rFonts w:cs="Arial"/>
          <w:szCs w:val="22"/>
        </w:rPr>
        <w:t>residential single family, multifamily, and mobile home</w:t>
      </w:r>
      <w:r w:rsidR="007F3E75">
        <w:rPr>
          <w:rFonts w:cs="Arial"/>
          <w:szCs w:val="22"/>
        </w:rPr>
        <w:t>)</w:t>
      </w:r>
      <w:r w:rsidR="007A59EA">
        <w:rPr>
          <w:rFonts w:cs="Arial"/>
          <w:szCs w:val="22"/>
        </w:rPr>
        <w:t xml:space="preserve">, </w:t>
      </w:r>
      <w:r w:rsidR="007F3E75" w:rsidRPr="002631DC">
        <w:rPr>
          <w:rFonts w:cs="Arial"/>
          <w:szCs w:val="22"/>
        </w:rPr>
        <w:t>climate zone</w:t>
      </w:r>
      <w:r w:rsidR="007A59EA">
        <w:rPr>
          <w:rFonts w:cs="Arial"/>
          <w:szCs w:val="22"/>
        </w:rPr>
        <w:t>, and HVAC system type</w:t>
      </w:r>
      <w:r w:rsidR="007F3E75" w:rsidRPr="002631DC">
        <w:rPr>
          <w:rFonts w:cs="Arial"/>
          <w:szCs w:val="22"/>
        </w:rPr>
        <w:t xml:space="preserve">. </w:t>
      </w:r>
      <w:r w:rsidR="0025376A">
        <w:rPr>
          <w:rFonts w:cs="Arial"/>
          <w:szCs w:val="22"/>
        </w:rPr>
        <w:t>Both Old and Existing vintage</w:t>
      </w:r>
      <w:r w:rsidR="00460C30">
        <w:rPr>
          <w:rFonts w:cs="Arial"/>
          <w:szCs w:val="22"/>
        </w:rPr>
        <w:t xml:space="preserve"> impacts </w:t>
      </w:r>
      <w:r w:rsidR="0025376A">
        <w:rPr>
          <w:rFonts w:cs="Arial"/>
          <w:szCs w:val="22"/>
        </w:rPr>
        <w:t>are available for all mobile home measures</w:t>
      </w:r>
      <w:r w:rsidR="007F64A4">
        <w:rPr>
          <w:rFonts w:cs="Arial"/>
          <w:szCs w:val="22"/>
        </w:rPr>
        <w:t xml:space="preserve">. Single family and multifamily </w:t>
      </w:r>
      <w:r w:rsidR="00515D64">
        <w:rPr>
          <w:rFonts w:cs="Arial"/>
          <w:szCs w:val="22"/>
        </w:rPr>
        <w:t>buildings</w:t>
      </w:r>
      <w:r w:rsidR="007F64A4">
        <w:rPr>
          <w:rFonts w:cs="Arial"/>
          <w:szCs w:val="22"/>
        </w:rPr>
        <w:t xml:space="preserve"> must select </w:t>
      </w:r>
      <w:r w:rsidR="00515D64">
        <w:rPr>
          <w:rFonts w:cs="Arial"/>
          <w:szCs w:val="22"/>
        </w:rPr>
        <w:t>the correct measure for</w:t>
      </w:r>
      <w:r w:rsidR="007F64A4">
        <w:rPr>
          <w:rFonts w:cs="Arial"/>
          <w:szCs w:val="22"/>
        </w:rPr>
        <w:t xml:space="preserve"> Old or Existing vintages</w:t>
      </w:r>
      <w:r w:rsidR="0025376A">
        <w:rPr>
          <w:rFonts w:cs="Arial"/>
          <w:szCs w:val="22"/>
        </w:rPr>
        <w:t xml:space="preserve"> </w:t>
      </w:r>
      <w:r w:rsidR="0048520F">
        <w:rPr>
          <w:rFonts w:cs="Arial"/>
          <w:szCs w:val="22"/>
        </w:rPr>
        <w:t xml:space="preserve">due to the impacts of code </w:t>
      </w:r>
      <w:r w:rsidR="004642BB">
        <w:rPr>
          <w:rFonts w:cs="Arial"/>
          <w:szCs w:val="22"/>
        </w:rPr>
        <w:t>on the approved</w:t>
      </w:r>
      <w:r w:rsidR="0048520F">
        <w:rPr>
          <w:rFonts w:cs="Arial"/>
          <w:szCs w:val="22"/>
        </w:rPr>
        <w:t xml:space="preserve"> measure application type (MAT)</w:t>
      </w:r>
      <w:r w:rsidR="00460C30">
        <w:rPr>
          <w:rFonts w:cs="Arial"/>
          <w:szCs w:val="22"/>
        </w:rPr>
        <w:t xml:space="preserve"> for those building types</w:t>
      </w:r>
      <w:r w:rsidR="0048520F">
        <w:rPr>
          <w:rFonts w:cs="Arial"/>
          <w:szCs w:val="22"/>
        </w:rPr>
        <w:t xml:space="preserve">. </w:t>
      </w:r>
    </w:p>
    <w:p w14:paraId="69389ED1" w14:textId="77777777" w:rsidR="007F3E75" w:rsidRDefault="007F3E75" w:rsidP="007F3E75">
      <w:pPr>
        <w:tabs>
          <w:tab w:val="left" w:pos="2074"/>
        </w:tabs>
      </w:pPr>
    </w:p>
    <w:p w14:paraId="46B7702E" w14:textId="77777777" w:rsidR="00BB4F22" w:rsidRPr="004B06E3" w:rsidRDefault="00BB4F22" w:rsidP="00975E33">
      <w:pPr>
        <w:pStyle w:val="eTRMHeading3"/>
      </w:pPr>
      <w:bookmarkStart w:id="47" w:name="_Toc486490856"/>
      <w:bookmarkStart w:id="48" w:name="_Toc486580927"/>
      <w:bookmarkStart w:id="49" w:name="_Toc67405017"/>
      <w:r w:rsidRPr="004B06E3">
        <w:t>Peak Electric Demand Reduction (</w:t>
      </w:r>
      <w:r w:rsidRPr="00D70F2A">
        <w:t>kW</w:t>
      </w:r>
      <w:r w:rsidRPr="004B06E3">
        <w:t>)</w:t>
      </w:r>
      <w:bookmarkEnd w:id="47"/>
      <w:bookmarkEnd w:id="48"/>
      <w:bookmarkEnd w:id="49"/>
    </w:p>
    <w:p w14:paraId="1D7A8119" w14:textId="20F0BE3E" w:rsidR="007F3E75" w:rsidRDefault="00B570D2" w:rsidP="00D76998">
      <w:pPr>
        <w:spacing w:before="0" w:after="0" w:line="240" w:lineRule="auto"/>
        <w:rPr>
          <w:rFonts w:cs="Arial"/>
          <w:szCs w:val="22"/>
        </w:rPr>
      </w:pPr>
      <w:r>
        <w:t>The peak demand reduction</w:t>
      </w:r>
      <w:r w:rsidRPr="00370595">
        <w:t xml:space="preserve"> </w:t>
      </w:r>
      <w:r>
        <w:t>for the residential duct testing and sealing measure were</w:t>
      </w:r>
      <w:r w:rsidRPr="00370595">
        <w:t xml:space="preserve"> </w:t>
      </w:r>
      <w:r>
        <w:t>drawn</w:t>
      </w:r>
      <w:r w:rsidRPr="00370595">
        <w:t xml:space="preserve"> directly </w:t>
      </w:r>
      <w:r>
        <w:t>from</w:t>
      </w:r>
      <w:r w:rsidRPr="00370595">
        <w:t xml:space="preserve"> </w:t>
      </w:r>
      <w:r>
        <w:t xml:space="preserve">the </w:t>
      </w:r>
      <w:r w:rsidR="00D76998" w:rsidRPr="00D76998">
        <w:t>2021 DEER energy impact data released on 11/19/2020</w:t>
      </w:r>
      <w:r w:rsidR="007A59EA">
        <w:t xml:space="preserve">, version DEER </w:t>
      </w:r>
      <w:r w:rsidR="003F6B8F">
        <w:t>2021</w:t>
      </w:r>
      <w:r w:rsidR="007A59EA">
        <w:t xml:space="preserve"> (</w:t>
      </w:r>
      <w:r w:rsidR="004A1670">
        <w:t xml:space="preserve">D20v0 &amp; </w:t>
      </w:r>
      <w:r w:rsidR="007A59EA">
        <w:t>D20v1)</w:t>
      </w:r>
      <w:r w:rsidRPr="00006F8E">
        <w:t xml:space="preserve">. </w:t>
      </w:r>
      <w:r w:rsidR="008D49B9" w:rsidRPr="002631DC">
        <w:t>Th</w:t>
      </w:r>
      <w:r w:rsidR="008D49B9">
        <w:t xml:space="preserve">e impacts of this </w:t>
      </w:r>
      <w:r w:rsidR="008D49B9" w:rsidRPr="002631DC">
        <w:t xml:space="preserve">measure </w:t>
      </w:r>
      <w:r w:rsidR="008D49B9">
        <w:t>account for</w:t>
      </w:r>
      <w:r w:rsidR="008D49B9" w:rsidRPr="002631DC">
        <w:t xml:space="preserve"> HVAC interactive effects savings.</w:t>
      </w:r>
      <w:r w:rsidR="008D49B9">
        <w:t xml:space="preserve"> </w:t>
      </w:r>
      <w:r w:rsidR="00D76998" w:rsidRPr="00D76998">
        <w:rPr>
          <w:rFonts w:cs="Arial"/>
          <w:szCs w:val="22"/>
        </w:rPr>
        <w:t>The results were reported for the following DEER Impact IDs:</w:t>
      </w:r>
    </w:p>
    <w:p w14:paraId="30BA1299" w14:textId="06F916E2" w:rsidR="000B4192" w:rsidRDefault="000B4192" w:rsidP="000B4192">
      <w:pPr>
        <w:pStyle w:val="eTRMBulletedText"/>
        <w:numPr>
          <w:ilvl w:val="0"/>
          <w:numId w:val="0"/>
        </w:numPr>
        <w:ind w:left="360"/>
      </w:pPr>
      <w:r w:rsidRPr="002631DC">
        <w:t>Res-DuctSeal-</w:t>
      </w:r>
      <w:proofErr w:type="spellStart"/>
      <w:r w:rsidRPr="002631DC">
        <w:t>MedToLow</w:t>
      </w:r>
      <w:proofErr w:type="spellEnd"/>
    </w:p>
    <w:p w14:paraId="6D685610" w14:textId="1CEF9A4B" w:rsidR="000B4192" w:rsidRDefault="000B4192" w:rsidP="000B4192">
      <w:pPr>
        <w:pStyle w:val="eTRMBulletedText"/>
        <w:numPr>
          <w:ilvl w:val="0"/>
          <w:numId w:val="0"/>
        </w:numPr>
        <w:ind w:left="360"/>
      </w:pPr>
      <w:r w:rsidRPr="002631DC">
        <w:t>Res-DuctSeal-HighToLow</w:t>
      </w:r>
    </w:p>
    <w:p w14:paraId="3B929EE2" w14:textId="77777777" w:rsidR="00B570D2" w:rsidRDefault="00B570D2" w:rsidP="00B570D2"/>
    <w:p w14:paraId="6544115B" w14:textId="61F6B948" w:rsidR="00BB4F22" w:rsidRDefault="002621E3" w:rsidP="00BB4F22">
      <w:r>
        <w:rPr>
          <w:rFonts w:cs="Arial"/>
          <w:szCs w:val="22"/>
        </w:rPr>
        <w:t>Peak demand reduction was reported</w:t>
      </w:r>
      <w:r w:rsidR="007F3E75" w:rsidRPr="002631DC">
        <w:rPr>
          <w:rFonts w:cs="Arial"/>
          <w:szCs w:val="22"/>
        </w:rPr>
        <w:t xml:space="preserve"> by building type</w:t>
      </w:r>
      <w:r w:rsidR="007F3E75">
        <w:rPr>
          <w:rFonts w:cs="Arial"/>
          <w:szCs w:val="22"/>
        </w:rPr>
        <w:t xml:space="preserve"> (</w:t>
      </w:r>
      <w:r w:rsidR="007F3E75" w:rsidRPr="002631DC">
        <w:rPr>
          <w:rFonts w:cs="Arial"/>
          <w:szCs w:val="22"/>
        </w:rPr>
        <w:t>residential single family, multifamily, and mobile home</w:t>
      </w:r>
      <w:r w:rsidR="007F3E75">
        <w:rPr>
          <w:rFonts w:cs="Arial"/>
          <w:szCs w:val="22"/>
        </w:rPr>
        <w:t>)</w:t>
      </w:r>
      <w:r w:rsidR="00B76C71">
        <w:rPr>
          <w:rFonts w:cs="Arial"/>
          <w:szCs w:val="22"/>
        </w:rPr>
        <w:t xml:space="preserve">, </w:t>
      </w:r>
      <w:r w:rsidR="007F3E75" w:rsidRPr="002631DC">
        <w:rPr>
          <w:rFonts w:cs="Arial"/>
          <w:szCs w:val="22"/>
        </w:rPr>
        <w:t>climate zone</w:t>
      </w:r>
      <w:r w:rsidR="00B76C71">
        <w:rPr>
          <w:rFonts w:cs="Arial"/>
          <w:szCs w:val="22"/>
        </w:rPr>
        <w:t>, and HVAC system type</w:t>
      </w:r>
      <w:r w:rsidR="007F3E75" w:rsidRPr="002631DC">
        <w:rPr>
          <w:rFonts w:cs="Arial"/>
          <w:szCs w:val="22"/>
        </w:rPr>
        <w:t xml:space="preserve">. </w:t>
      </w:r>
      <w:r w:rsidR="00460C30">
        <w:rPr>
          <w:rFonts w:cs="Arial"/>
          <w:szCs w:val="22"/>
        </w:rPr>
        <w:t xml:space="preserve">Both Old and Existing vintage impacts are available for all mobile home measures. Single family and multifamily buildings must select the correct measure for Old or Existing vintages due to the impacts of code on the approved measure application type (MAT) for those building types. </w:t>
      </w:r>
    </w:p>
    <w:p w14:paraId="02E97124" w14:textId="77777777" w:rsidR="00177EB6" w:rsidRPr="004B06E3" w:rsidRDefault="00177EB6" w:rsidP="00975E33">
      <w:pPr>
        <w:pStyle w:val="eTRMHeading3"/>
      </w:pPr>
      <w:bookmarkStart w:id="50" w:name="_Toc486490858"/>
      <w:bookmarkStart w:id="51" w:name="_Toc486580929"/>
      <w:bookmarkStart w:id="52" w:name="_Toc67405018"/>
      <w:r w:rsidRPr="004B06E3">
        <w:t>Gas Savings (</w:t>
      </w:r>
      <w:r w:rsidRPr="00D70F2A">
        <w:t>Therms</w:t>
      </w:r>
      <w:r w:rsidRPr="004B06E3">
        <w:t>)</w:t>
      </w:r>
      <w:bookmarkEnd w:id="50"/>
      <w:bookmarkEnd w:id="51"/>
      <w:bookmarkEnd w:id="52"/>
    </w:p>
    <w:p w14:paraId="36F9CFD2" w14:textId="25C072C5" w:rsidR="00B570D2" w:rsidRPr="00CC3DC4" w:rsidRDefault="00B570D2" w:rsidP="00B570D2">
      <w:pPr>
        <w:spacing w:before="0" w:after="0" w:line="240" w:lineRule="auto"/>
        <w:rPr>
          <w:rFonts w:cs="Arial"/>
          <w:szCs w:val="22"/>
        </w:rPr>
      </w:pPr>
      <w:r w:rsidRPr="00CC3DC4">
        <w:t xml:space="preserve">The gas energy savings for the residential duct testing and sealing measure were drawn directly from </w:t>
      </w:r>
      <w:proofErr w:type="gramStart"/>
      <w:r w:rsidRPr="00CC3DC4">
        <w:t xml:space="preserve">the </w:t>
      </w:r>
      <w:r w:rsidR="00CC3DC4" w:rsidRPr="00CC3DC4">
        <w:t xml:space="preserve"> </w:t>
      </w:r>
      <w:bookmarkStart w:id="53" w:name="_Hlk67403984"/>
      <w:r w:rsidR="00CC3DC4" w:rsidRPr="00CC3DC4">
        <w:t>2021</w:t>
      </w:r>
      <w:proofErr w:type="gramEnd"/>
      <w:r w:rsidR="00CC3DC4" w:rsidRPr="00CC3DC4">
        <w:t xml:space="preserve"> DEER energy impact data released on 11/19/2020</w:t>
      </w:r>
      <w:bookmarkEnd w:id="53"/>
      <w:r w:rsidR="00A94015" w:rsidRPr="00CC3DC4">
        <w:t xml:space="preserve">, version DEER </w:t>
      </w:r>
      <w:r w:rsidR="003F6B8F" w:rsidRPr="00CC3DC4">
        <w:t>2021</w:t>
      </w:r>
      <w:r w:rsidR="00A94015" w:rsidRPr="00CC3DC4">
        <w:t xml:space="preserve"> (</w:t>
      </w:r>
      <w:r w:rsidR="004A1670" w:rsidRPr="00CC3DC4">
        <w:t xml:space="preserve">D20v0 &amp; </w:t>
      </w:r>
      <w:r w:rsidR="00A94015" w:rsidRPr="00CC3DC4">
        <w:t>D20v1)</w:t>
      </w:r>
      <w:r w:rsidRPr="00CC3DC4">
        <w:t xml:space="preserve">. The results were reported </w:t>
      </w:r>
      <w:r w:rsidR="00D70F2A" w:rsidRPr="00CC3DC4">
        <w:t xml:space="preserve">for the following DEER </w:t>
      </w:r>
      <w:r w:rsidRPr="00CC3DC4">
        <w:rPr>
          <w:rFonts w:cs="Arial"/>
          <w:szCs w:val="22"/>
        </w:rPr>
        <w:t>Impact IDs:</w:t>
      </w:r>
    </w:p>
    <w:p w14:paraId="56BAA5E3" w14:textId="71DBBF04" w:rsidR="000B4192" w:rsidRDefault="000B4192" w:rsidP="000B4192">
      <w:pPr>
        <w:pStyle w:val="eTRMBulletedText"/>
        <w:numPr>
          <w:ilvl w:val="0"/>
          <w:numId w:val="0"/>
        </w:numPr>
        <w:ind w:left="360"/>
      </w:pPr>
      <w:r w:rsidRPr="002631DC">
        <w:t>Res-DuctSeal-</w:t>
      </w:r>
      <w:proofErr w:type="spellStart"/>
      <w:r w:rsidRPr="002631DC">
        <w:t>MedToLow</w:t>
      </w:r>
      <w:proofErr w:type="spellEnd"/>
    </w:p>
    <w:p w14:paraId="517ADBE4" w14:textId="163BE4FB" w:rsidR="000B4192" w:rsidRDefault="000B4192" w:rsidP="000B4192">
      <w:pPr>
        <w:pStyle w:val="eTRMBulletedText"/>
        <w:numPr>
          <w:ilvl w:val="0"/>
          <w:numId w:val="0"/>
        </w:numPr>
        <w:ind w:left="360"/>
      </w:pPr>
      <w:r w:rsidRPr="002631DC">
        <w:t>Res-DuctSeal-HighToLow</w:t>
      </w:r>
    </w:p>
    <w:p w14:paraId="60EC6E7F" w14:textId="77777777" w:rsidR="00B570D2" w:rsidRDefault="00B570D2" w:rsidP="00B570D2"/>
    <w:p w14:paraId="20A2A164" w14:textId="684D86F8" w:rsidR="00177EB6" w:rsidRDefault="00D70F2A" w:rsidP="00177EB6">
      <w:r>
        <w:rPr>
          <w:rFonts w:cs="Arial"/>
          <w:szCs w:val="22"/>
        </w:rPr>
        <w:t>Savings</w:t>
      </w:r>
      <w:r w:rsidR="00B570D2" w:rsidRPr="002631DC">
        <w:rPr>
          <w:rFonts w:cs="Arial"/>
          <w:szCs w:val="22"/>
        </w:rPr>
        <w:t xml:space="preserve"> values </w:t>
      </w:r>
      <w:r w:rsidR="002621E3">
        <w:rPr>
          <w:rFonts w:cs="Arial"/>
          <w:szCs w:val="22"/>
        </w:rPr>
        <w:t>were reported</w:t>
      </w:r>
      <w:r w:rsidR="00B570D2" w:rsidRPr="002631DC">
        <w:rPr>
          <w:rFonts w:cs="Arial"/>
          <w:szCs w:val="22"/>
        </w:rPr>
        <w:t xml:space="preserve"> by building type</w:t>
      </w:r>
      <w:r w:rsidR="00B570D2">
        <w:rPr>
          <w:rFonts w:cs="Arial"/>
          <w:szCs w:val="22"/>
        </w:rPr>
        <w:t xml:space="preserve"> (</w:t>
      </w:r>
      <w:r w:rsidR="00B570D2" w:rsidRPr="002631DC">
        <w:rPr>
          <w:rFonts w:cs="Arial"/>
          <w:szCs w:val="22"/>
        </w:rPr>
        <w:t>residential single family, multifamily, and mobile home</w:t>
      </w:r>
      <w:r w:rsidR="00B570D2">
        <w:rPr>
          <w:rFonts w:cs="Arial"/>
          <w:szCs w:val="22"/>
        </w:rPr>
        <w:t>)</w:t>
      </w:r>
      <w:r w:rsidR="00A94015">
        <w:rPr>
          <w:rFonts w:cs="Arial"/>
          <w:szCs w:val="22"/>
        </w:rPr>
        <w:t xml:space="preserve">, </w:t>
      </w:r>
      <w:r w:rsidR="00B570D2" w:rsidRPr="002631DC">
        <w:rPr>
          <w:rFonts w:cs="Arial"/>
          <w:szCs w:val="22"/>
        </w:rPr>
        <w:t>climate zone</w:t>
      </w:r>
      <w:r w:rsidR="00A94015">
        <w:rPr>
          <w:rFonts w:cs="Arial"/>
          <w:szCs w:val="22"/>
        </w:rPr>
        <w:t>, and HVAC system type</w:t>
      </w:r>
      <w:r w:rsidR="00B570D2" w:rsidRPr="002631DC">
        <w:rPr>
          <w:rFonts w:cs="Arial"/>
          <w:szCs w:val="22"/>
        </w:rPr>
        <w:t xml:space="preserve">. </w:t>
      </w:r>
      <w:r w:rsidR="00460C30">
        <w:rPr>
          <w:rFonts w:cs="Arial"/>
          <w:szCs w:val="22"/>
        </w:rPr>
        <w:t xml:space="preserve">Both Old and Existing vintage impacts are available for all mobile home measures. Single family and multifamily buildings must select the correct measure for Old or Existing vintages due to the impacts of code on the approved measure application type (MAT) for those building types. </w:t>
      </w:r>
    </w:p>
    <w:p w14:paraId="4DDCD51F" w14:textId="4F2BBAD7" w:rsidR="007D230B" w:rsidRPr="004B06E3" w:rsidRDefault="00245AFF" w:rsidP="00975E33">
      <w:pPr>
        <w:pStyle w:val="eTRMHeading3"/>
      </w:pPr>
      <w:bookmarkStart w:id="54" w:name="_Toc67405019"/>
      <w:bookmarkStart w:id="55" w:name="_Toc486490859"/>
      <w:bookmarkStart w:id="56" w:name="_Toc486580930"/>
      <w:r w:rsidRPr="004B06E3">
        <w:t>Life Cycle</w:t>
      </w:r>
      <w:bookmarkEnd w:id="54"/>
      <w:r w:rsidR="007D230B" w:rsidRPr="004B06E3">
        <w:t xml:space="preserve"> </w:t>
      </w:r>
      <w:bookmarkEnd w:id="55"/>
      <w:bookmarkEnd w:id="56"/>
    </w:p>
    <w:p w14:paraId="6459579D" w14:textId="7D2F0A02"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64A07B22" w14:textId="40FD45FA" w:rsidR="00CF0487" w:rsidRDefault="00CF0487" w:rsidP="00CF0487">
      <w:r>
        <w:lastRenderedPageBreak/>
        <w:t>The EUL and RUL specified for duct testing and sealing are presented below. Th</w:t>
      </w:r>
      <w:r w:rsidR="00A8193D">
        <w:t>e</w:t>
      </w:r>
      <w:r>
        <w:t xml:space="preserve"> </w:t>
      </w:r>
      <w:r w:rsidR="00EC74D1">
        <w:t xml:space="preserve">EUL </w:t>
      </w:r>
      <w:r>
        <w:t xml:space="preserve">value </w:t>
      </w:r>
      <w:r w:rsidR="00996BE4">
        <w:t xml:space="preserve">for the </w:t>
      </w:r>
      <w:r w:rsidR="00831072">
        <w:t>BRO-RCx</w:t>
      </w:r>
      <w:r w:rsidR="00996BE4">
        <w:t xml:space="preserve"> MAT </w:t>
      </w:r>
      <w:r>
        <w:t>was stipulated in Resolution E-4952,</w:t>
      </w:r>
      <w:r w:rsidR="0085413A">
        <w:rPr>
          <w:rStyle w:val="FootnoteReference"/>
        </w:rPr>
        <w:footnoteReference w:id="13"/>
      </w:r>
      <w:r>
        <w:t xml:space="preserve"> which updated the Database for Energy Efficient Resources (DEER) for 2019 and 2020. </w:t>
      </w:r>
      <w:r w:rsidR="00CF48C5">
        <w:t>The EUL updates in Resolution E-4952 complies with Decision 16-08-019</w:t>
      </w:r>
      <w:r w:rsidR="00CF48C5">
        <w:rPr>
          <w:rStyle w:val="FootnoteReference"/>
        </w:rPr>
        <w:footnoteReference w:id="14"/>
      </w:r>
      <w:r w:rsidR="00CF48C5">
        <w:t xml:space="preserve"> issued by the California Public Utilities Commission in 2016, which created the Behavioral, Operational, and Retrocommissioning (BRO) measure classification and the associated EUL values of one to three years; this Decision assigned an EUL of three years for BRO retrocommissioning measures (BRO-RCx). </w:t>
      </w:r>
    </w:p>
    <w:p w14:paraId="75184728" w14:textId="06352BE8" w:rsidR="00EC74D1" w:rsidRDefault="00EC74D1" w:rsidP="00CF0487">
      <w:r>
        <w:t xml:space="preserve">The EUL value for the </w:t>
      </w:r>
      <w:r w:rsidR="00DD7B9A">
        <w:t>building weatherization (</w:t>
      </w:r>
      <w:r w:rsidR="000F7922">
        <w:t>BW</w:t>
      </w:r>
      <w:r w:rsidR="00DD7B9A">
        <w:t>)</w:t>
      </w:r>
      <w:r w:rsidR="000F7922">
        <w:t xml:space="preserve"> </w:t>
      </w:r>
      <w:r w:rsidR="00DD7B9A">
        <w:t>measure application type (</w:t>
      </w:r>
      <w:r w:rsidR="000F7922">
        <w:t>MAT</w:t>
      </w:r>
      <w:r w:rsidR="00DD7B9A">
        <w:t>)</w:t>
      </w:r>
      <w:r w:rsidR="000F7922">
        <w:t xml:space="preserve"> was stipulated in Resolution E-5082</w:t>
      </w:r>
      <w:r w:rsidR="002F1FA3">
        <w:t xml:space="preserve">, which reclassified duct sealing for pre-2006 buildings. </w:t>
      </w:r>
      <w:r w:rsidR="00C144EF">
        <w:t xml:space="preserve">Per Resolution E-5082, the BW MAT shall only </w:t>
      </w:r>
      <w:r w:rsidR="00A3657F">
        <w:t>be eligible for measures installed in buildings constructed pre-2006.</w:t>
      </w:r>
      <w:r w:rsidR="00C015E4">
        <w:rPr>
          <w:rStyle w:val="FootnoteReference"/>
        </w:rPr>
        <w:footnoteReference w:id="15"/>
      </w:r>
      <w:r w:rsidR="003826C2">
        <w:t xml:space="preserve"> </w:t>
      </w:r>
      <w:r w:rsidR="00211A74">
        <w:t xml:space="preserve">For buildings constructed after January 1, 2006, the </w:t>
      </w:r>
      <w:r w:rsidR="00180F57">
        <w:t>BRO EUL of three years per Resolution E-4952 will remain in effect.</w:t>
      </w:r>
      <w:r w:rsidR="00703115">
        <w:t xml:space="preserve"> </w:t>
      </w:r>
      <w:r w:rsidR="00707180">
        <w:t xml:space="preserve">Furthermore, Resolution E-5082 stipulates that duct sealing in all mobile homes </w:t>
      </w:r>
      <w:r w:rsidR="00D14A27">
        <w:t>shall</w:t>
      </w:r>
      <w:r w:rsidR="00707180">
        <w:t xml:space="preserve"> be classified as BW types, since mobile homes do not have a requirement for duct sealing under the U.S. Department of Housing and Urban Development code.</w:t>
      </w:r>
    </w:p>
    <w:p w14:paraId="5E1D144E" w14:textId="130846C1" w:rsidR="00266357" w:rsidRDefault="00CF48C5" w:rsidP="004142EF">
      <w:r>
        <w:t>T</w:t>
      </w:r>
      <w:r w:rsidR="00266357" w:rsidRPr="00266357">
        <w:t xml:space="preserve">he RUL </w:t>
      </w:r>
      <w:r>
        <w:t xml:space="preserve">for this measure </w:t>
      </w:r>
      <w:r w:rsidR="00266357" w:rsidRPr="00266357">
        <w:t>conforms with Version 5 of the Energy Efficiency Policy Manual, which recommends “one-third of the effective useful life in DEER as the remaining useful life until further study results are available to establish more accurate values.”</w:t>
      </w:r>
      <w:r w:rsidR="00266357" w:rsidRPr="00266357">
        <w:rPr>
          <w:vertAlign w:val="superscript"/>
        </w:rPr>
        <w:footnoteReference w:id="16"/>
      </w:r>
      <w:r w:rsidR="00266357" w:rsidRPr="00266357">
        <w:t xml:space="preserve"> This approach provides a reasonable RUL estimate without the requiring any a priori knowledge about the age of the equipment being replaced.</w:t>
      </w:r>
      <w:r w:rsidR="00266357" w:rsidRPr="00266357">
        <w:rPr>
          <w:vertAlign w:val="superscript"/>
        </w:rPr>
        <w:footnoteReference w:id="17"/>
      </w:r>
      <w:r w:rsidR="00266357" w:rsidRPr="00266357">
        <w:t> Further, as per Resolution E-4807, the California Public Utilities Commission (CPUC) revised retrofit add-on (REA) measures so that the EUL of the measure is equal to the lower of the RUL of the modified system or equipment or the EUL of the add-on component.”</w:t>
      </w:r>
      <w:r w:rsidR="00266357" w:rsidRPr="00266357">
        <w:rPr>
          <w:vertAlign w:val="superscript"/>
        </w:rPr>
        <w:footnoteReference w:id="18"/>
      </w:r>
    </w:p>
    <w:p w14:paraId="2BE8EC3E" w14:textId="1AA24AD5" w:rsidR="007D230B" w:rsidRDefault="00CF0487" w:rsidP="004142EF">
      <w:r>
        <w:t>Prior to issuance of Resolution E-4952, the EUL of residential duct sealing was based upon s</w:t>
      </w:r>
      <w:r w:rsidR="00266357" w:rsidRPr="00266357">
        <w:t xml:space="preserve">everal retention studies </w:t>
      </w:r>
      <w:r>
        <w:t>d</w:t>
      </w:r>
      <w:r w:rsidR="00A306C7">
        <w:t xml:space="preserve">ocumented </w:t>
      </w:r>
      <w:r>
        <w:t>for</w:t>
      </w:r>
      <w:r w:rsidR="00A306C7">
        <w:t xml:space="preserve"> the DEER 2014 update.</w:t>
      </w:r>
      <w:r w:rsidR="00A306C7">
        <w:rPr>
          <w:rStyle w:val="FootnoteReference"/>
        </w:rPr>
        <w:footnoteReference w:id="19"/>
      </w:r>
    </w:p>
    <w:p w14:paraId="7D542FEF" w14:textId="20A5E526" w:rsidR="00FD2C54" w:rsidRPr="00920905" w:rsidRDefault="00FD2C54" w:rsidP="00EA057C">
      <w:pPr>
        <w:pStyle w:val="Caption"/>
      </w:pPr>
      <w:r>
        <w:lastRenderedPageBreak/>
        <w:t>Effective Useful Life</w:t>
      </w:r>
      <w:r w:rsidR="00BB4F22">
        <w:t xml:space="preserve"> and Remaining Useful Life</w:t>
      </w:r>
    </w:p>
    <w:tbl>
      <w:tblPr>
        <w:tblW w:w="97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260"/>
        <w:gridCol w:w="1440"/>
        <w:gridCol w:w="4770"/>
      </w:tblGrid>
      <w:tr w:rsidR="00AA2A33" w:rsidRPr="00500C4E" w14:paraId="1FE81044" w14:textId="0C091959" w:rsidTr="00C9044F">
        <w:trPr>
          <w:cantSplit/>
          <w:trHeight w:val="20"/>
        </w:trPr>
        <w:tc>
          <w:tcPr>
            <w:tcW w:w="2245" w:type="dxa"/>
            <w:shd w:val="clear" w:color="auto" w:fill="F2F2F2" w:themeFill="background1" w:themeFillShade="F2"/>
            <w:vAlign w:val="bottom"/>
          </w:tcPr>
          <w:p w14:paraId="1666F440" w14:textId="31AB2C31" w:rsidR="00C9044F" w:rsidRPr="00694410" w:rsidRDefault="00C9044F" w:rsidP="009C31A4">
            <w:pPr>
              <w:keepNext/>
              <w:keepLines/>
              <w:spacing w:before="20" w:after="20"/>
              <w:jc w:val="center"/>
              <w:rPr>
                <w:rFonts w:cstheme="minorHAnsi"/>
                <w:b/>
                <w:sz w:val="20"/>
                <w:szCs w:val="20"/>
              </w:rPr>
            </w:pPr>
            <w:r>
              <w:rPr>
                <w:rFonts w:cstheme="minorHAnsi"/>
                <w:b/>
                <w:sz w:val="20"/>
                <w:szCs w:val="20"/>
              </w:rPr>
              <w:t>Parameter</w:t>
            </w:r>
          </w:p>
        </w:tc>
        <w:tc>
          <w:tcPr>
            <w:tcW w:w="1260" w:type="dxa"/>
            <w:shd w:val="clear" w:color="auto" w:fill="F2F2F2" w:themeFill="background1" w:themeFillShade="F2"/>
          </w:tcPr>
          <w:p w14:paraId="045F5FC0" w14:textId="56A286D0" w:rsidR="00C9044F" w:rsidRDefault="00C9044F" w:rsidP="009C31A4">
            <w:pPr>
              <w:keepNext/>
              <w:keepLines/>
              <w:spacing w:before="20" w:after="20"/>
              <w:jc w:val="center"/>
              <w:rPr>
                <w:rFonts w:cstheme="minorHAnsi"/>
                <w:b/>
                <w:sz w:val="20"/>
                <w:szCs w:val="20"/>
              </w:rPr>
            </w:pPr>
            <w:r>
              <w:rPr>
                <w:rFonts w:cstheme="minorHAnsi"/>
                <w:b/>
                <w:sz w:val="20"/>
                <w:szCs w:val="20"/>
              </w:rPr>
              <w:t>MAT</w:t>
            </w:r>
          </w:p>
        </w:tc>
        <w:tc>
          <w:tcPr>
            <w:tcW w:w="1440" w:type="dxa"/>
            <w:shd w:val="clear" w:color="auto" w:fill="F2F2F2" w:themeFill="background1" w:themeFillShade="F2"/>
          </w:tcPr>
          <w:p w14:paraId="18E57BF8" w14:textId="2D3C7B9F" w:rsidR="00C9044F" w:rsidRPr="00694410" w:rsidRDefault="00C9044F" w:rsidP="009C31A4">
            <w:pPr>
              <w:keepNext/>
              <w:keepLines/>
              <w:spacing w:before="20" w:after="20"/>
              <w:jc w:val="center"/>
              <w:rPr>
                <w:rFonts w:cstheme="minorHAnsi"/>
                <w:b/>
                <w:sz w:val="20"/>
                <w:szCs w:val="20"/>
              </w:rPr>
            </w:pPr>
            <w:r>
              <w:rPr>
                <w:rFonts w:cstheme="minorHAnsi"/>
                <w:b/>
                <w:sz w:val="20"/>
                <w:szCs w:val="20"/>
              </w:rPr>
              <w:t>Value</w:t>
            </w:r>
          </w:p>
        </w:tc>
        <w:tc>
          <w:tcPr>
            <w:tcW w:w="4770" w:type="dxa"/>
            <w:shd w:val="clear" w:color="auto" w:fill="F2F2F2" w:themeFill="background1" w:themeFillShade="F2"/>
          </w:tcPr>
          <w:p w14:paraId="541E1750" w14:textId="139E5C00" w:rsidR="00C9044F" w:rsidRPr="00694410" w:rsidRDefault="00C9044F" w:rsidP="009C31A4">
            <w:pPr>
              <w:keepNext/>
              <w:keepLines/>
              <w:spacing w:before="20" w:after="20"/>
              <w:jc w:val="center"/>
              <w:rPr>
                <w:rFonts w:cstheme="minorHAnsi"/>
                <w:b/>
                <w:sz w:val="20"/>
                <w:szCs w:val="20"/>
              </w:rPr>
            </w:pPr>
            <w:r>
              <w:rPr>
                <w:rFonts w:cstheme="minorHAnsi"/>
                <w:b/>
                <w:sz w:val="20"/>
                <w:szCs w:val="20"/>
              </w:rPr>
              <w:t>Source</w:t>
            </w:r>
          </w:p>
        </w:tc>
      </w:tr>
      <w:tr w:rsidR="00C9044F" w:rsidRPr="00500C4E" w14:paraId="7B636A73" w14:textId="217149CE" w:rsidTr="00782E92">
        <w:trPr>
          <w:cantSplit/>
          <w:trHeight w:val="20"/>
        </w:trPr>
        <w:tc>
          <w:tcPr>
            <w:tcW w:w="2245" w:type="dxa"/>
          </w:tcPr>
          <w:p w14:paraId="64E6D65F" w14:textId="63968C12" w:rsidR="00C9044F" w:rsidRPr="00177EB6" w:rsidRDefault="00C9044F" w:rsidP="00CF48C5">
            <w:pPr>
              <w:keepNext/>
              <w:keepLines/>
              <w:spacing w:before="0" w:after="0" w:line="240" w:lineRule="auto"/>
              <w:rPr>
                <w:sz w:val="20"/>
                <w:szCs w:val="20"/>
              </w:rPr>
            </w:pPr>
            <w:r w:rsidRPr="00177EB6">
              <w:rPr>
                <w:rFonts w:cstheme="minorHAnsi"/>
                <w:sz w:val="20"/>
                <w:szCs w:val="20"/>
              </w:rPr>
              <w:t>EUL (</w:t>
            </w:r>
            <w:r>
              <w:rPr>
                <w:rFonts w:cstheme="minorHAnsi"/>
                <w:sz w:val="20"/>
                <w:szCs w:val="20"/>
              </w:rPr>
              <w:t>yrs</w:t>
            </w:r>
            <w:r w:rsidRPr="00177EB6">
              <w:rPr>
                <w:rFonts w:cstheme="minorHAnsi"/>
                <w:sz w:val="20"/>
                <w:szCs w:val="20"/>
              </w:rPr>
              <w:t>)</w:t>
            </w:r>
          </w:p>
        </w:tc>
        <w:tc>
          <w:tcPr>
            <w:tcW w:w="1260" w:type="dxa"/>
          </w:tcPr>
          <w:p w14:paraId="771433EB" w14:textId="1CECAF43" w:rsidR="00C9044F" w:rsidRDefault="00831072" w:rsidP="00CF48C5">
            <w:pPr>
              <w:keepNext/>
              <w:keepLines/>
              <w:spacing w:before="0" w:after="0" w:line="240" w:lineRule="auto"/>
              <w:jc w:val="center"/>
              <w:rPr>
                <w:sz w:val="20"/>
                <w:szCs w:val="20"/>
              </w:rPr>
            </w:pPr>
            <w:r>
              <w:rPr>
                <w:rFonts w:cs="Calibri Light"/>
                <w:sz w:val="20"/>
              </w:rPr>
              <w:t>BRO-RCx</w:t>
            </w:r>
          </w:p>
        </w:tc>
        <w:tc>
          <w:tcPr>
            <w:tcW w:w="1440" w:type="dxa"/>
          </w:tcPr>
          <w:p w14:paraId="636160CC" w14:textId="01D58321" w:rsidR="00C9044F" w:rsidRPr="00B45167" w:rsidRDefault="00C9044F" w:rsidP="00CF48C5">
            <w:pPr>
              <w:keepNext/>
              <w:keepLines/>
              <w:spacing w:before="0" w:after="0" w:line="240" w:lineRule="auto"/>
              <w:jc w:val="center"/>
              <w:rPr>
                <w:sz w:val="20"/>
                <w:szCs w:val="20"/>
              </w:rPr>
            </w:pPr>
            <w:r>
              <w:rPr>
                <w:sz w:val="20"/>
                <w:szCs w:val="20"/>
              </w:rPr>
              <w:t>3</w:t>
            </w:r>
            <w:r w:rsidRPr="00B45167">
              <w:rPr>
                <w:sz w:val="20"/>
                <w:szCs w:val="20"/>
              </w:rPr>
              <w:t>.0</w:t>
            </w:r>
          </w:p>
        </w:tc>
        <w:tc>
          <w:tcPr>
            <w:tcW w:w="4770" w:type="dxa"/>
            <w:vMerge w:val="restart"/>
            <w:vAlign w:val="center"/>
          </w:tcPr>
          <w:p w14:paraId="12293357" w14:textId="66C1FA7D" w:rsidR="00C9044F" w:rsidRPr="00CF48C5" w:rsidRDefault="00C9044F" w:rsidP="00CF48C5">
            <w:pPr>
              <w:spacing w:before="0" w:after="0" w:line="240" w:lineRule="auto"/>
              <w:rPr>
                <w:sz w:val="18"/>
              </w:rPr>
            </w:pPr>
            <w:r w:rsidRPr="00CF48C5">
              <w:rPr>
                <w:sz w:val="18"/>
              </w:rPr>
              <w:t xml:space="preserve">California Public Utilities Commission (CPUC). 2018. </w:t>
            </w:r>
            <w:r w:rsidRPr="00CF48C5">
              <w:rPr>
                <w:rStyle w:val="Emphasis"/>
                <w:sz w:val="18"/>
              </w:rPr>
              <w:t>Resolution E-4952.</w:t>
            </w:r>
            <w:r w:rsidRPr="00CF48C5">
              <w:rPr>
                <w:sz w:val="18"/>
              </w:rPr>
              <w:t xml:space="preserve"> October 11. Page A-36, A-37.</w:t>
            </w:r>
          </w:p>
        </w:tc>
      </w:tr>
      <w:tr w:rsidR="00C9044F" w:rsidRPr="00500C4E" w14:paraId="71871DE1" w14:textId="51A3395E" w:rsidTr="00782E92">
        <w:trPr>
          <w:cantSplit/>
          <w:trHeight w:val="20"/>
        </w:trPr>
        <w:tc>
          <w:tcPr>
            <w:tcW w:w="2245" w:type="dxa"/>
          </w:tcPr>
          <w:p w14:paraId="4BA48D82" w14:textId="5EFD77B9" w:rsidR="00C9044F" w:rsidRPr="00177EB6" w:rsidRDefault="00C9044F" w:rsidP="00CF48C5">
            <w:pPr>
              <w:keepNext/>
              <w:keepLines/>
              <w:spacing w:before="0" w:after="0" w:line="240" w:lineRule="auto"/>
              <w:rPr>
                <w:sz w:val="20"/>
                <w:szCs w:val="20"/>
              </w:rPr>
            </w:pPr>
            <w:r w:rsidRPr="00177EB6">
              <w:rPr>
                <w:rFonts w:cstheme="minorHAnsi"/>
                <w:sz w:val="20"/>
                <w:szCs w:val="20"/>
              </w:rPr>
              <w:t>RUL (</w:t>
            </w:r>
            <w:r>
              <w:rPr>
                <w:rFonts w:cstheme="minorHAnsi"/>
                <w:sz w:val="20"/>
                <w:szCs w:val="20"/>
              </w:rPr>
              <w:t>yrs</w:t>
            </w:r>
            <w:r w:rsidRPr="00177EB6">
              <w:rPr>
                <w:rFonts w:cstheme="minorHAnsi"/>
                <w:sz w:val="20"/>
                <w:szCs w:val="20"/>
              </w:rPr>
              <w:t>)</w:t>
            </w:r>
          </w:p>
        </w:tc>
        <w:tc>
          <w:tcPr>
            <w:tcW w:w="1260" w:type="dxa"/>
          </w:tcPr>
          <w:p w14:paraId="27A50B1C" w14:textId="02D01D6B" w:rsidR="00C9044F" w:rsidRDefault="00831072" w:rsidP="00CF48C5">
            <w:pPr>
              <w:keepNext/>
              <w:keepLines/>
              <w:spacing w:before="0" w:after="0" w:line="240" w:lineRule="auto"/>
              <w:jc w:val="center"/>
              <w:rPr>
                <w:sz w:val="20"/>
                <w:szCs w:val="20"/>
              </w:rPr>
            </w:pPr>
            <w:r>
              <w:rPr>
                <w:rFonts w:cs="Calibri Light"/>
                <w:sz w:val="20"/>
              </w:rPr>
              <w:t>BRO-RCx</w:t>
            </w:r>
          </w:p>
        </w:tc>
        <w:tc>
          <w:tcPr>
            <w:tcW w:w="1440" w:type="dxa"/>
          </w:tcPr>
          <w:p w14:paraId="012CC38D" w14:textId="6E5E02F9" w:rsidR="00C9044F" w:rsidRPr="00B45167" w:rsidRDefault="00C9044F" w:rsidP="00CF48C5">
            <w:pPr>
              <w:keepNext/>
              <w:keepLines/>
              <w:spacing w:before="0" w:after="0" w:line="240" w:lineRule="auto"/>
              <w:jc w:val="center"/>
              <w:rPr>
                <w:sz w:val="20"/>
                <w:szCs w:val="20"/>
              </w:rPr>
            </w:pPr>
            <w:r>
              <w:rPr>
                <w:sz w:val="20"/>
                <w:szCs w:val="20"/>
              </w:rPr>
              <w:t>1</w:t>
            </w:r>
            <w:r w:rsidRPr="00B45167">
              <w:rPr>
                <w:sz w:val="20"/>
                <w:szCs w:val="20"/>
              </w:rPr>
              <w:t>.0</w:t>
            </w:r>
          </w:p>
        </w:tc>
        <w:tc>
          <w:tcPr>
            <w:tcW w:w="4770" w:type="dxa"/>
            <w:vMerge/>
          </w:tcPr>
          <w:p w14:paraId="7DDC9DCA" w14:textId="1ABDB7BA" w:rsidR="00C9044F" w:rsidRPr="00F20E7A" w:rsidRDefault="00C9044F" w:rsidP="00CF48C5">
            <w:pPr>
              <w:keepNext/>
              <w:keepLines/>
              <w:spacing w:before="0" w:after="0" w:line="240" w:lineRule="auto"/>
              <w:rPr>
                <w:sz w:val="20"/>
                <w:szCs w:val="20"/>
              </w:rPr>
            </w:pPr>
          </w:p>
        </w:tc>
      </w:tr>
      <w:tr w:rsidR="003A1728" w:rsidRPr="00500C4E" w14:paraId="69E3E874" w14:textId="77777777" w:rsidTr="00C9044F">
        <w:trPr>
          <w:cantSplit/>
          <w:trHeight w:val="20"/>
        </w:trPr>
        <w:tc>
          <w:tcPr>
            <w:tcW w:w="2245" w:type="dxa"/>
          </w:tcPr>
          <w:p w14:paraId="254A6C9F" w14:textId="78F89C0E" w:rsidR="003A1728" w:rsidRPr="00177EB6" w:rsidRDefault="003A1728" w:rsidP="003A1728">
            <w:pPr>
              <w:keepNext/>
              <w:keepLines/>
              <w:spacing w:before="0" w:after="0" w:line="240" w:lineRule="auto"/>
              <w:rPr>
                <w:rFonts w:cstheme="minorHAnsi"/>
                <w:sz w:val="20"/>
                <w:szCs w:val="20"/>
              </w:rPr>
            </w:pPr>
            <w:r w:rsidRPr="00177EB6">
              <w:rPr>
                <w:rFonts w:cstheme="minorHAnsi"/>
                <w:sz w:val="20"/>
                <w:szCs w:val="20"/>
              </w:rPr>
              <w:t>EUL (</w:t>
            </w:r>
            <w:r>
              <w:rPr>
                <w:rFonts w:cstheme="minorHAnsi"/>
                <w:sz w:val="20"/>
                <w:szCs w:val="20"/>
              </w:rPr>
              <w:t>yrs</w:t>
            </w:r>
            <w:r w:rsidRPr="00177EB6">
              <w:rPr>
                <w:rFonts w:cstheme="minorHAnsi"/>
                <w:sz w:val="20"/>
                <w:szCs w:val="20"/>
              </w:rPr>
              <w:t>)</w:t>
            </w:r>
          </w:p>
        </w:tc>
        <w:tc>
          <w:tcPr>
            <w:tcW w:w="1260" w:type="dxa"/>
          </w:tcPr>
          <w:p w14:paraId="3335C4F6" w14:textId="4CDFF2C7" w:rsidR="003A1728" w:rsidRDefault="003A1728" w:rsidP="003A1728">
            <w:pPr>
              <w:keepNext/>
              <w:keepLines/>
              <w:spacing w:before="0" w:after="0" w:line="240" w:lineRule="auto"/>
              <w:jc w:val="center"/>
              <w:rPr>
                <w:sz w:val="20"/>
                <w:szCs w:val="20"/>
              </w:rPr>
            </w:pPr>
            <w:r>
              <w:rPr>
                <w:sz w:val="20"/>
                <w:szCs w:val="20"/>
              </w:rPr>
              <w:t>BW</w:t>
            </w:r>
          </w:p>
        </w:tc>
        <w:tc>
          <w:tcPr>
            <w:tcW w:w="1440" w:type="dxa"/>
          </w:tcPr>
          <w:p w14:paraId="30D1E9DC" w14:textId="72C2610F" w:rsidR="003A1728" w:rsidRDefault="009A5889" w:rsidP="003A1728">
            <w:pPr>
              <w:keepNext/>
              <w:keepLines/>
              <w:spacing w:before="0" w:after="0" w:line="240" w:lineRule="auto"/>
              <w:jc w:val="center"/>
              <w:rPr>
                <w:sz w:val="20"/>
                <w:szCs w:val="20"/>
              </w:rPr>
            </w:pPr>
            <w:r>
              <w:rPr>
                <w:sz w:val="20"/>
                <w:szCs w:val="20"/>
              </w:rPr>
              <w:t>18.0</w:t>
            </w:r>
          </w:p>
        </w:tc>
        <w:tc>
          <w:tcPr>
            <w:tcW w:w="4770" w:type="dxa"/>
            <w:vMerge w:val="restart"/>
          </w:tcPr>
          <w:p w14:paraId="00056442" w14:textId="7302AB70" w:rsidR="003A1728" w:rsidRPr="00561162" w:rsidRDefault="009A5889" w:rsidP="003A1728">
            <w:pPr>
              <w:keepNext/>
              <w:keepLines/>
              <w:spacing w:before="0" w:after="0" w:line="240" w:lineRule="auto"/>
              <w:rPr>
                <w:sz w:val="20"/>
                <w:szCs w:val="20"/>
              </w:rPr>
            </w:pPr>
            <w:r>
              <w:rPr>
                <w:sz w:val="20"/>
                <w:szCs w:val="20"/>
              </w:rPr>
              <w:t xml:space="preserve">California Public Utilities Commission (CPUC). 2020. </w:t>
            </w:r>
            <w:r>
              <w:rPr>
                <w:i/>
                <w:iCs/>
                <w:sz w:val="20"/>
                <w:szCs w:val="20"/>
              </w:rPr>
              <w:t>Resolution E-</w:t>
            </w:r>
            <w:r w:rsidR="00561162">
              <w:rPr>
                <w:i/>
                <w:iCs/>
                <w:sz w:val="20"/>
                <w:szCs w:val="20"/>
              </w:rPr>
              <w:t>5082</w:t>
            </w:r>
            <w:r w:rsidR="00561162">
              <w:rPr>
                <w:sz w:val="20"/>
                <w:szCs w:val="20"/>
              </w:rPr>
              <w:t>. August 27. Page 13.</w:t>
            </w:r>
          </w:p>
        </w:tc>
      </w:tr>
      <w:tr w:rsidR="003A1728" w:rsidRPr="00500C4E" w14:paraId="35809A8E" w14:textId="77777777" w:rsidTr="00C9044F">
        <w:trPr>
          <w:cantSplit/>
          <w:trHeight w:val="20"/>
        </w:trPr>
        <w:tc>
          <w:tcPr>
            <w:tcW w:w="2245" w:type="dxa"/>
          </w:tcPr>
          <w:p w14:paraId="554C8098" w14:textId="7487B76C" w:rsidR="003A1728" w:rsidRPr="00177EB6" w:rsidRDefault="003A1728" w:rsidP="003A1728">
            <w:pPr>
              <w:keepNext/>
              <w:keepLines/>
              <w:spacing w:before="0" w:after="0" w:line="240" w:lineRule="auto"/>
              <w:rPr>
                <w:rFonts w:cstheme="minorHAnsi"/>
                <w:sz w:val="20"/>
                <w:szCs w:val="20"/>
              </w:rPr>
            </w:pPr>
            <w:r w:rsidRPr="00177EB6">
              <w:rPr>
                <w:rFonts w:cstheme="minorHAnsi"/>
                <w:sz w:val="20"/>
                <w:szCs w:val="20"/>
              </w:rPr>
              <w:t>RUL (</w:t>
            </w:r>
            <w:r>
              <w:rPr>
                <w:rFonts w:cstheme="minorHAnsi"/>
                <w:sz w:val="20"/>
                <w:szCs w:val="20"/>
              </w:rPr>
              <w:t>yrs</w:t>
            </w:r>
            <w:r w:rsidRPr="00177EB6">
              <w:rPr>
                <w:rFonts w:cstheme="minorHAnsi"/>
                <w:sz w:val="20"/>
                <w:szCs w:val="20"/>
              </w:rPr>
              <w:t>)</w:t>
            </w:r>
          </w:p>
        </w:tc>
        <w:tc>
          <w:tcPr>
            <w:tcW w:w="1260" w:type="dxa"/>
          </w:tcPr>
          <w:p w14:paraId="72EE2D7E" w14:textId="0FDB708C" w:rsidR="003A1728" w:rsidRDefault="003A1728" w:rsidP="003A1728">
            <w:pPr>
              <w:keepNext/>
              <w:keepLines/>
              <w:spacing w:before="0" w:after="0" w:line="240" w:lineRule="auto"/>
              <w:jc w:val="center"/>
              <w:rPr>
                <w:sz w:val="20"/>
                <w:szCs w:val="20"/>
              </w:rPr>
            </w:pPr>
            <w:r>
              <w:rPr>
                <w:sz w:val="20"/>
                <w:szCs w:val="20"/>
              </w:rPr>
              <w:t>BW</w:t>
            </w:r>
          </w:p>
        </w:tc>
        <w:tc>
          <w:tcPr>
            <w:tcW w:w="1440" w:type="dxa"/>
          </w:tcPr>
          <w:p w14:paraId="365438A7" w14:textId="4B3C8B36" w:rsidR="003A1728" w:rsidRDefault="009A5889" w:rsidP="003A1728">
            <w:pPr>
              <w:keepNext/>
              <w:keepLines/>
              <w:spacing w:before="0" w:after="0" w:line="240" w:lineRule="auto"/>
              <w:jc w:val="center"/>
              <w:rPr>
                <w:sz w:val="20"/>
                <w:szCs w:val="20"/>
              </w:rPr>
            </w:pPr>
            <w:r>
              <w:rPr>
                <w:sz w:val="20"/>
                <w:szCs w:val="20"/>
              </w:rPr>
              <w:t>6.0</w:t>
            </w:r>
          </w:p>
        </w:tc>
        <w:tc>
          <w:tcPr>
            <w:tcW w:w="4770" w:type="dxa"/>
            <w:vMerge/>
          </w:tcPr>
          <w:p w14:paraId="580E3E80" w14:textId="77777777" w:rsidR="003A1728" w:rsidRPr="00F20E7A" w:rsidRDefault="003A1728" w:rsidP="003A1728">
            <w:pPr>
              <w:keepNext/>
              <w:keepLines/>
              <w:spacing w:before="0" w:after="0" w:line="240" w:lineRule="auto"/>
              <w:rPr>
                <w:sz w:val="20"/>
                <w:szCs w:val="20"/>
              </w:rPr>
            </w:pPr>
          </w:p>
        </w:tc>
      </w:tr>
    </w:tbl>
    <w:p w14:paraId="21BBC22B" w14:textId="77777777" w:rsidR="007D230B" w:rsidRPr="004B06E3" w:rsidRDefault="007D230B" w:rsidP="004142EF"/>
    <w:p w14:paraId="3B14B593" w14:textId="77777777" w:rsidR="007D230B" w:rsidRPr="004B06E3" w:rsidRDefault="007D230B" w:rsidP="00975E33">
      <w:pPr>
        <w:pStyle w:val="eTRMHeading3"/>
      </w:pPr>
      <w:bookmarkStart w:id="57" w:name="_Toc486490860"/>
      <w:bookmarkStart w:id="58" w:name="_Toc486580931"/>
      <w:bookmarkStart w:id="59" w:name="_Toc67405020"/>
      <w:r w:rsidRPr="004B06E3">
        <w:t>Base Case Material Cost ($/unit)</w:t>
      </w:r>
      <w:bookmarkEnd w:id="57"/>
      <w:bookmarkEnd w:id="58"/>
      <w:bookmarkEnd w:id="59"/>
    </w:p>
    <w:p w14:paraId="2486ACF5" w14:textId="4E55008D" w:rsidR="007D230B" w:rsidRDefault="004B5172" w:rsidP="004142EF">
      <w:r>
        <w:t>Because duct testing and sealing is a service measure, the base case material cost is $0.00.</w:t>
      </w:r>
    </w:p>
    <w:p w14:paraId="2E030195" w14:textId="77777777" w:rsidR="00075189" w:rsidRPr="004B06E3" w:rsidRDefault="00075189" w:rsidP="004142EF"/>
    <w:p w14:paraId="44E8DBEB" w14:textId="77777777" w:rsidR="007D230B" w:rsidRPr="004B06E3" w:rsidRDefault="007D230B" w:rsidP="00975E33">
      <w:pPr>
        <w:pStyle w:val="eTRMHeading3"/>
      </w:pPr>
      <w:bookmarkStart w:id="60" w:name="_Toc486490861"/>
      <w:bookmarkStart w:id="61" w:name="_Toc486580932"/>
      <w:bookmarkStart w:id="62" w:name="_Toc67405021"/>
      <w:r w:rsidRPr="004B06E3">
        <w:t>Measure Case Material Cost ($/unit)</w:t>
      </w:r>
      <w:bookmarkEnd w:id="60"/>
      <w:bookmarkEnd w:id="61"/>
      <w:bookmarkEnd w:id="62"/>
    </w:p>
    <w:p w14:paraId="01CDD4A7" w14:textId="0E57559E" w:rsidR="00962483" w:rsidRDefault="00962483" w:rsidP="004B5172">
      <w:r>
        <w:t>The m</w:t>
      </w:r>
      <w:r w:rsidR="004B5172">
        <w:t>easure case material</w:t>
      </w:r>
      <w:r w:rsidR="00845536">
        <w:t xml:space="preserve"> and labor</w:t>
      </w:r>
      <w:r w:rsidR="004B5172">
        <w:t xml:space="preserve"> cost for </w:t>
      </w:r>
      <w:r w:rsidR="00F67BAE">
        <w:t xml:space="preserve">residential duct </w:t>
      </w:r>
      <w:r w:rsidR="00F5672D">
        <w:t xml:space="preserve">testing and </w:t>
      </w:r>
      <w:r w:rsidR="00F67BAE">
        <w:t xml:space="preserve">sealing </w:t>
      </w:r>
      <w:r w:rsidR="004B5172">
        <w:t>were drawn from 2010-2012 WO017 Ex-Ante Measure Cost Study conducted by Itron, Inc.</w:t>
      </w:r>
      <w:r w:rsidR="00F5672D">
        <w:rPr>
          <w:rStyle w:val="FootnoteReference"/>
          <w:rFonts w:cs="Arial"/>
        </w:rPr>
        <w:footnoteReference w:id="20"/>
      </w:r>
      <w:r w:rsidR="00F5672D">
        <w:t xml:space="preserve"> </w:t>
      </w:r>
      <w:r w:rsidR="00A02D69">
        <w:t xml:space="preserve">This study reports costs for a “typical” duct sealing measure and does not distinguish between “high to low” and “medium to low” leakage as is defined for this measure. Therefore, the material cost for both measure offerings are assumed to be the same. </w:t>
      </w:r>
      <w:r w:rsidR="00F5672D">
        <w:t>The equipment cost documented in this study was developed from data from two direct installation contractors and benchmarked against RSMeans data.</w:t>
      </w:r>
    </w:p>
    <w:p w14:paraId="4FF05B61" w14:textId="0CA32841" w:rsidR="00182AB0" w:rsidRDefault="00182AB0" w:rsidP="00182AB0">
      <w:pPr>
        <w:rPr>
          <w:b/>
          <w:bCs/>
        </w:rPr>
      </w:pPr>
      <w:r>
        <w:t>The cost data were updated to 20</w:t>
      </w:r>
      <w:r w:rsidR="005313BC">
        <w:t>20</w:t>
      </w:r>
      <w:r>
        <w:t xml:space="preserve"> values </w:t>
      </w:r>
      <w:r w:rsidRPr="00924028">
        <w:t>using RSMeans Historical Cost Index</w:t>
      </w:r>
      <w:r>
        <w:t>. The RSMeans Historical Cost Index can be used to compare costs of projects between different cities and years. The ratio of cost indexes provides the percent change expected in the price between the specified years. A comparison of the cost indexes for 2012 and 20</w:t>
      </w:r>
      <w:r w:rsidR="005313BC">
        <w:t>20</w:t>
      </w:r>
      <w:r>
        <w:t xml:space="preserve"> for Los Angeles (207.2 and 2</w:t>
      </w:r>
      <w:r w:rsidR="00034A73">
        <w:t>51.5</w:t>
      </w:r>
      <w:r>
        <w:t xml:space="preserve">, respectively) reveals a cost </w:t>
      </w:r>
      <w:r w:rsidR="00034A73">
        <w:t xml:space="preserve">increase </w:t>
      </w:r>
      <w:r>
        <w:t xml:space="preserve">of </w:t>
      </w:r>
      <w:r w:rsidR="00034A73">
        <w:t>21.4</w:t>
      </w:r>
      <w:r>
        <w:t>%. This percentage increase value was applied to the WO017 data to reflect 20</w:t>
      </w:r>
      <w:r w:rsidR="00034A73">
        <w:t>20</w:t>
      </w:r>
      <w:r>
        <w:t xml:space="preserve"> costs. </w:t>
      </w:r>
    </w:p>
    <w:p w14:paraId="52EE6796" w14:textId="2B3858D5" w:rsidR="00182AB0" w:rsidRDefault="00A02D69" w:rsidP="00182AB0">
      <w:pPr>
        <w:rPr>
          <w:noProof/>
        </w:rPr>
      </w:pPr>
      <w:r>
        <w:rPr>
          <w:noProof/>
        </w:rPr>
        <w:t xml:space="preserve">Finally, duct sealing costs per dwelling are converted to system capacity tons. The average system capacity is based upon a single family residence and is weighted by climate zone and vintage. </w:t>
      </w:r>
      <w:r w:rsidR="00182AB0">
        <w:rPr>
          <w:noProof/>
        </w:rPr>
        <w:t>Inputs to develop the measure case material costs are specified below.</w:t>
      </w:r>
    </w:p>
    <w:p w14:paraId="2BB4B919" w14:textId="742E0C14" w:rsidR="00234E2A" w:rsidRDefault="00234E2A" w:rsidP="00182AB0">
      <w:pPr>
        <w:rPr>
          <w:noProof/>
        </w:rPr>
      </w:pPr>
      <w:r>
        <w:rPr>
          <w:noProof/>
        </w:rPr>
        <w:t xml:space="preserve">The rNCGF cost is based on the table </w:t>
      </w:r>
      <w:r w:rsidR="00346B1D">
        <w:rPr>
          <w:noProof/>
        </w:rPr>
        <w:t>“</w:t>
      </w:r>
      <w:r w:rsidR="00346B1D" w:rsidRPr="00346B1D">
        <w:rPr>
          <w:noProof/>
        </w:rPr>
        <w:t>Ratio of Res Heat/Cool Cap, kBtuh/ton</w:t>
      </w:r>
      <w:r w:rsidR="00346B1D">
        <w:rPr>
          <w:noProof/>
        </w:rPr>
        <w:t>” provided by CPUC on 11/</w:t>
      </w:r>
      <w:r w:rsidR="001214AB">
        <w:rPr>
          <w:noProof/>
        </w:rPr>
        <w:t>19</w:t>
      </w:r>
      <w:r w:rsidR="00346B1D">
        <w:rPr>
          <w:noProof/>
        </w:rPr>
        <w:t>/2020.</w:t>
      </w:r>
    </w:p>
    <w:p w14:paraId="1F08CD0C" w14:textId="6A4C0C1E" w:rsidR="00182AB0" w:rsidRDefault="00182AB0" w:rsidP="00182AB0">
      <w:pPr>
        <w:pStyle w:val="Caption"/>
        <w:rPr>
          <w:noProof/>
        </w:rPr>
      </w:pPr>
      <w:r>
        <w:rPr>
          <w:noProof/>
        </w:rPr>
        <w:lastRenderedPageBreak/>
        <w:t>Measure Case Material and Labor Cost Inputs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425"/>
        <w:gridCol w:w="2520"/>
        <w:gridCol w:w="4500"/>
      </w:tblGrid>
      <w:tr w:rsidR="00182AB0" w:rsidRPr="00951869" w14:paraId="458DAA9E" w14:textId="77777777" w:rsidTr="00782E92">
        <w:trPr>
          <w:cantSplit/>
          <w:trHeight w:val="20"/>
        </w:trPr>
        <w:tc>
          <w:tcPr>
            <w:tcW w:w="2425" w:type="dxa"/>
            <w:shd w:val="clear" w:color="auto" w:fill="F2F2F2" w:themeFill="background1" w:themeFillShade="F2"/>
            <w:vAlign w:val="bottom"/>
          </w:tcPr>
          <w:p w14:paraId="2FAEF9E3" w14:textId="77777777" w:rsidR="00182AB0" w:rsidRPr="00951869" w:rsidRDefault="00182AB0" w:rsidP="00182AB0">
            <w:pPr>
              <w:keepNext/>
              <w:keepLines/>
              <w:spacing w:before="20" w:after="20"/>
              <w:jc w:val="center"/>
              <w:rPr>
                <w:rFonts w:cstheme="minorHAnsi"/>
                <w:b/>
                <w:sz w:val="20"/>
                <w:szCs w:val="20"/>
              </w:rPr>
            </w:pPr>
            <w:r>
              <w:rPr>
                <w:rFonts w:cstheme="minorHAnsi"/>
                <w:b/>
                <w:sz w:val="20"/>
                <w:szCs w:val="20"/>
              </w:rPr>
              <w:t>Input</w:t>
            </w:r>
          </w:p>
        </w:tc>
        <w:tc>
          <w:tcPr>
            <w:tcW w:w="2520" w:type="dxa"/>
            <w:shd w:val="clear" w:color="auto" w:fill="F2F2F2" w:themeFill="background1" w:themeFillShade="F2"/>
          </w:tcPr>
          <w:p w14:paraId="66B5399A" w14:textId="6F3332E5" w:rsidR="00182AB0" w:rsidRPr="00951869" w:rsidRDefault="00182AB0" w:rsidP="00182AB0">
            <w:pPr>
              <w:keepNext/>
              <w:keepLines/>
              <w:spacing w:before="20" w:after="20"/>
              <w:jc w:val="center"/>
              <w:rPr>
                <w:rFonts w:cstheme="minorHAnsi"/>
                <w:b/>
                <w:sz w:val="20"/>
                <w:szCs w:val="20"/>
              </w:rPr>
            </w:pPr>
            <w:r w:rsidRPr="00951869">
              <w:rPr>
                <w:rFonts w:cstheme="minorHAnsi"/>
                <w:b/>
                <w:sz w:val="20"/>
                <w:szCs w:val="20"/>
              </w:rPr>
              <w:t>Value</w:t>
            </w:r>
          </w:p>
        </w:tc>
        <w:tc>
          <w:tcPr>
            <w:tcW w:w="4500" w:type="dxa"/>
            <w:shd w:val="clear" w:color="auto" w:fill="F2F2F2" w:themeFill="background1" w:themeFillShade="F2"/>
          </w:tcPr>
          <w:p w14:paraId="516FB55E" w14:textId="77777777" w:rsidR="00182AB0" w:rsidRPr="00951869" w:rsidRDefault="00182AB0" w:rsidP="00182AB0">
            <w:pPr>
              <w:keepNext/>
              <w:keepLines/>
              <w:spacing w:before="20" w:after="20"/>
              <w:jc w:val="center"/>
              <w:rPr>
                <w:rFonts w:cstheme="minorHAnsi"/>
                <w:b/>
                <w:sz w:val="20"/>
                <w:szCs w:val="20"/>
              </w:rPr>
            </w:pPr>
            <w:r w:rsidRPr="00951869">
              <w:rPr>
                <w:rFonts w:cstheme="minorHAnsi"/>
                <w:b/>
                <w:sz w:val="20"/>
                <w:szCs w:val="20"/>
              </w:rPr>
              <w:t>Source</w:t>
            </w:r>
          </w:p>
        </w:tc>
      </w:tr>
      <w:tr w:rsidR="00182AB0" w:rsidRPr="00951869" w14:paraId="0DF015F6" w14:textId="77777777" w:rsidTr="00782E92">
        <w:trPr>
          <w:cantSplit/>
          <w:trHeight w:val="20"/>
        </w:trPr>
        <w:tc>
          <w:tcPr>
            <w:tcW w:w="2425" w:type="dxa"/>
            <w:vAlign w:val="center"/>
          </w:tcPr>
          <w:p w14:paraId="66D75693" w14:textId="4C71739A" w:rsidR="00182AB0" w:rsidRPr="00951869" w:rsidRDefault="00A02D69" w:rsidP="00182AB0">
            <w:pPr>
              <w:keepNext/>
              <w:keepLines/>
              <w:spacing w:before="20" w:after="20"/>
              <w:rPr>
                <w:sz w:val="20"/>
                <w:szCs w:val="20"/>
              </w:rPr>
            </w:pPr>
            <w:r>
              <w:rPr>
                <w:sz w:val="20"/>
                <w:szCs w:val="20"/>
              </w:rPr>
              <w:t>Duct sealing material cost</w:t>
            </w:r>
            <w:r w:rsidR="00182AB0">
              <w:rPr>
                <w:sz w:val="20"/>
                <w:szCs w:val="20"/>
              </w:rPr>
              <w:t xml:space="preserve"> ($/</w:t>
            </w:r>
            <w:r>
              <w:rPr>
                <w:sz w:val="20"/>
                <w:szCs w:val="20"/>
              </w:rPr>
              <w:t>dwelling</w:t>
            </w:r>
            <w:r w:rsidR="00182AB0">
              <w:rPr>
                <w:sz w:val="20"/>
                <w:szCs w:val="20"/>
              </w:rPr>
              <w:t>)</w:t>
            </w:r>
          </w:p>
        </w:tc>
        <w:tc>
          <w:tcPr>
            <w:tcW w:w="2520" w:type="dxa"/>
            <w:vAlign w:val="center"/>
          </w:tcPr>
          <w:p w14:paraId="6E2123CF" w14:textId="6BEFA48D" w:rsidR="00182AB0" w:rsidRPr="00981243" w:rsidRDefault="00A02D69" w:rsidP="00782E92">
            <w:pPr>
              <w:keepNext/>
              <w:keepLines/>
              <w:spacing w:before="20" w:after="20"/>
              <w:ind w:right="160"/>
              <w:jc w:val="center"/>
              <w:rPr>
                <w:sz w:val="20"/>
                <w:szCs w:val="20"/>
              </w:rPr>
            </w:pPr>
            <w:r w:rsidRPr="00981243">
              <w:rPr>
                <w:sz w:val="20"/>
                <w:szCs w:val="20"/>
              </w:rPr>
              <w:t>$</w:t>
            </w:r>
            <w:r w:rsidR="00A11C09">
              <w:rPr>
                <w:sz w:val="20"/>
                <w:szCs w:val="20"/>
              </w:rPr>
              <w:t>71</w:t>
            </w:r>
            <w:r w:rsidR="2C6FE7E4" w:rsidRPr="00981243">
              <w:rPr>
                <w:sz w:val="20"/>
                <w:szCs w:val="20"/>
              </w:rPr>
              <w:t>.</w:t>
            </w:r>
            <w:r w:rsidR="00A11C09">
              <w:rPr>
                <w:sz w:val="20"/>
                <w:szCs w:val="20"/>
              </w:rPr>
              <w:t>45</w:t>
            </w:r>
          </w:p>
        </w:tc>
        <w:tc>
          <w:tcPr>
            <w:tcW w:w="4500" w:type="dxa"/>
            <w:vMerge w:val="restart"/>
            <w:vAlign w:val="center"/>
          </w:tcPr>
          <w:p w14:paraId="0867B74F" w14:textId="77777777" w:rsidR="00182AB0" w:rsidRPr="00B13777" w:rsidRDefault="00182AB0" w:rsidP="00182AB0">
            <w:pPr>
              <w:keepNext/>
              <w:keepLines/>
              <w:spacing w:before="20" w:after="20"/>
              <w:rPr>
                <w:sz w:val="18"/>
                <w:szCs w:val="20"/>
              </w:rPr>
            </w:pPr>
            <w:r w:rsidRPr="00B13777">
              <w:rPr>
                <w:sz w:val="18"/>
              </w:rPr>
              <w:t xml:space="preserve">Itron, Inc. 2014. </w:t>
            </w:r>
            <w:r w:rsidRPr="00B13777">
              <w:rPr>
                <w:i/>
                <w:sz w:val="18"/>
              </w:rPr>
              <w:t>2010-2012 WO017 Ex Ante Measure Cost Study Final Report.</w:t>
            </w:r>
            <w:r w:rsidRPr="00B13777">
              <w:rPr>
                <w:sz w:val="18"/>
              </w:rPr>
              <w:t xml:space="preserve"> Prepared for the California Public Utilities Commission.</w:t>
            </w:r>
          </w:p>
        </w:tc>
      </w:tr>
      <w:tr w:rsidR="00182AB0" w:rsidRPr="00951869" w14:paraId="543A1617" w14:textId="77777777" w:rsidTr="00782E92">
        <w:trPr>
          <w:cantSplit/>
          <w:trHeight w:val="20"/>
        </w:trPr>
        <w:tc>
          <w:tcPr>
            <w:tcW w:w="2425" w:type="dxa"/>
            <w:vAlign w:val="center"/>
          </w:tcPr>
          <w:p w14:paraId="4E87440D" w14:textId="2AC83696" w:rsidR="00182AB0" w:rsidRDefault="00A02D69" w:rsidP="00182AB0">
            <w:pPr>
              <w:keepNext/>
              <w:keepLines/>
              <w:spacing w:before="20" w:after="20"/>
              <w:rPr>
                <w:sz w:val="20"/>
                <w:szCs w:val="20"/>
              </w:rPr>
            </w:pPr>
            <w:r>
              <w:rPr>
                <w:sz w:val="20"/>
                <w:szCs w:val="20"/>
              </w:rPr>
              <w:t xml:space="preserve">Duct sealing </w:t>
            </w:r>
            <w:r w:rsidR="00182AB0">
              <w:rPr>
                <w:sz w:val="20"/>
                <w:szCs w:val="20"/>
              </w:rPr>
              <w:t>labor cost ($/</w:t>
            </w:r>
            <w:r>
              <w:rPr>
                <w:sz w:val="20"/>
                <w:szCs w:val="20"/>
              </w:rPr>
              <w:t>dwelling</w:t>
            </w:r>
            <w:r w:rsidR="00182AB0">
              <w:rPr>
                <w:sz w:val="20"/>
                <w:szCs w:val="20"/>
              </w:rPr>
              <w:t>)</w:t>
            </w:r>
          </w:p>
        </w:tc>
        <w:tc>
          <w:tcPr>
            <w:tcW w:w="2520" w:type="dxa"/>
            <w:vAlign w:val="center"/>
          </w:tcPr>
          <w:p w14:paraId="364A7DB7" w14:textId="0E294DD5" w:rsidR="00182AB0" w:rsidRPr="00981243" w:rsidRDefault="00A02D69" w:rsidP="00782E92">
            <w:pPr>
              <w:keepNext/>
              <w:keepLines/>
              <w:spacing w:before="20" w:after="20"/>
              <w:ind w:right="160"/>
              <w:jc w:val="center"/>
              <w:rPr>
                <w:sz w:val="20"/>
                <w:szCs w:val="20"/>
              </w:rPr>
            </w:pPr>
            <w:r w:rsidRPr="00981243">
              <w:rPr>
                <w:sz w:val="20"/>
                <w:szCs w:val="20"/>
              </w:rPr>
              <w:t>$</w:t>
            </w:r>
            <w:r w:rsidR="00A11C09">
              <w:rPr>
                <w:sz w:val="20"/>
                <w:szCs w:val="20"/>
              </w:rPr>
              <w:t>181.24</w:t>
            </w:r>
          </w:p>
        </w:tc>
        <w:tc>
          <w:tcPr>
            <w:tcW w:w="4500" w:type="dxa"/>
            <w:vMerge/>
          </w:tcPr>
          <w:p w14:paraId="62C5AAE6" w14:textId="77777777" w:rsidR="00182AB0" w:rsidRPr="00951869" w:rsidRDefault="00182AB0" w:rsidP="00182AB0">
            <w:pPr>
              <w:keepNext/>
              <w:keepLines/>
              <w:spacing w:before="20" w:after="20"/>
              <w:jc w:val="center"/>
              <w:rPr>
                <w:sz w:val="20"/>
                <w:szCs w:val="20"/>
              </w:rPr>
            </w:pPr>
          </w:p>
        </w:tc>
      </w:tr>
      <w:tr w:rsidR="00182AB0" w:rsidRPr="00951869" w14:paraId="474A1070" w14:textId="77777777" w:rsidTr="00782E92">
        <w:trPr>
          <w:cantSplit/>
          <w:trHeight w:val="20"/>
        </w:trPr>
        <w:tc>
          <w:tcPr>
            <w:tcW w:w="2425" w:type="dxa"/>
            <w:vAlign w:val="center"/>
          </w:tcPr>
          <w:p w14:paraId="536E56B5" w14:textId="77777777" w:rsidR="00182AB0" w:rsidRPr="00951869" w:rsidRDefault="00182AB0" w:rsidP="00182AB0">
            <w:pPr>
              <w:keepNext/>
              <w:keepLines/>
              <w:spacing w:before="20" w:after="20"/>
              <w:rPr>
                <w:sz w:val="20"/>
                <w:szCs w:val="20"/>
              </w:rPr>
            </w:pPr>
            <w:r>
              <w:rPr>
                <w:sz w:val="20"/>
                <w:szCs w:val="20"/>
              </w:rPr>
              <w:t>Price index adjustment (%)</w:t>
            </w:r>
          </w:p>
        </w:tc>
        <w:tc>
          <w:tcPr>
            <w:tcW w:w="2520" w:type="dxa"/>
            <w:vAlign w:val="center"/>
          </w:tcPr>
          <w:p w14:paraId="4B013C3D" w14:textId="619BAF28" w:rsidR="00182AB0" w:rsidRPr="00981243" w:rsidRDefault="00034A73" w:rsidP="00782E92">
            <w:pPr>
              <w:keepNext/>
              <w:keepLines/>
              <w:spacing w:before="20" w:after="20"/>
              <w:ind w:right="160"/>
              <w:jc w:val="center"/>
              <w:rPr>
                <w:sz w:val="20"/>
                <w:szCs w:val="20"/>
              </w:rPr>
            </w:pPr>
            <w:r>
              <w:rPr>
                <w:sz w:val="20"/>
                <w:szCs w:val="20"/>
              </w:rPr>
              <w:t>21.4</w:t>
            </w:r>
            <w:r w:rsidR="00182AB0" w:rsidRPr="00981243">
              <w:rPr>
                <w:sz w:val="20"/>
                <w:szCs w:val="20"/>
              </w:rPr>
              <w:t>%</w:t>
            </w:r>
          </w:p>
        </w:tc>
        <w:tc>
          <w:tcPr>
            <w:tcW w:w="4500" w:type="dxa"/>
            <w:vAlign w:val="center"/>
          </w:tcPr>
          <w:p w14:paraId="0970CBE0" w14:textId="1FA088C9" w:rsidR="00182AB0" w:rsidRPr="00981243" w:rsidRDefault="00981243" w:rsidP="00182AB0">
            <w:pPr>
              <w:keepNext/>
              <w:keepLines/>
              <w:spacing w:before="20" w:after="20"/>
              <w:rPr>
                <w:sz w:val="18"/>
                <w:szCs w:val="18"/>
                <w:highlight w:val="yellow"/>
              </w:rPr>
            </w:pPr>
            <w:r w:rsidRPr="00981243">
              <w:rPr>
                <w:sz w:val="18"/>
              </w:rPr>
              <w:t>Gordian. (n.d.) “RSMeans Cost Index.pdf.”</w:t>
            </w:r>
          </w:p>
        </w:tc>
      </w:tr>
      <w:tr w:rsidR="00A02D69" w:rsidRPr="00951869" w14:paraId="76026841" w14:textId="77777777" w:rsidTr="00782E92">
        <w:trPr>
          <w:cantSplit/>
          <w:trHeight w:val="20"/>
        </w:trPr>
        <w:tc>
          <w:tcPr>
            <w:tcW w:w="2425" w:type="dxa"/>
            <w:vAlign w:val="center"/>
          </w:tcPr>
          <w:p w14:paraId="4B2D46A1" w14:textId="7F3D23F1" w:rsidR="00A02D69" w:rsidRDefault="00A02D69" w:rsidP="00182AB0">
            <w:pPr>
              <w:keepNext/>
              <w:keepLines/>
              <w:spacing w:before="20" w:after="20"/>
              <w:rPr>
                <w:sz w:val="20"/>
                <w:szCs w:val="20"/>
              </w:rPr>
            </w:pPr>
            <w:r>
              <w:rPr>
                <w:sz w:val="20"/>
                <w:szCs w:val="20"/>
              </w:rPr>
              <w:t>Average system capacity (tons/dwelling)</w:t>
            </w:r>
          </w:p>
        </w:tc>
        <w:tc>
          <w:tcPr>
            <w:tcW w:w="2520" w:type="dxa"/>
            <w:vAlign w:val="center"/>
          </w:tcPr>
          <w:p w14:paraId="22FB59A5" w14:textId="331E1960" w:rsidR="00A02D69" w:rsidRPr="00916DFA" w:rsidRDefault="00A02D69" w:rsidP="00782E92">
            <w:pPr>
              <w:keepNext/>
              <w:keepLines/>
              <w:spacing w:before="20" w:after="20"/>
              <w:ind w:right="160"/>
              <w:jc w:val="center"/>
              <w:rPr>
                <w:sz w:val="20"/>
                <w:szCs w:val="20"/>
              </w:rPr>
            </w:pPr>
            <w:r w:rsidRPr="00916DFA">
              <w:rPr>
                <w:sz w:val="20"/>
                <w:szCs w:val="20"/>
              </w:rPr>
              <w:t>3.27</w:t>
            </w:r>
          </w:p>
        </w:tc>
        <w:tc>
          <w:tcPr>
            <w:tcW w:w="4500" w:type="dxa"/>
            <w:vAlign w:val="center"/>
          </w:tcPr>
          <w:p w14:paraId="1FAAC98A" w14:textId="144D039F" w:rsidR="00A02D69" w:rsidRPr="00916DFA" w:rsidRDefault="00916DFA" w:rsidP="2C6FE7E4">
            <w:pPr>
              <w:keepNext/>
              <w:keepLines/>
              <w:spacing w:before="20" w:after="20"/>
              <w:rPr>
                <w:sz w:val="18"/>
                <w:szCs w:val="18"/>
              </w:rPr>
            </w:pPr>
            <w:r w:rsidRPr="00916DFA">
              <w:rPr>
                <w:sz w:val="18"/>
                <w:szCs w:val="18"/>
              </w:rPr>
              <w:t>Program data (proprietary).</w:t>
            </w:r>
          </w:p>
        </w:tc>
      </w:tr>
    </w:tbl>
    <w:p w14:paraId="68731FC1" w14:textId="61FE2F40" w:rsidR="004B5172" w:rsidRDefault="004B5172" w:rsidP="004142EF"/>
    <w:p w14:paraId="6F679E3D" w14:textId="192FB51C" w:rsidR="0086431C" w:rsidRPr="00782E92" w:rsidRDefault="0086431C" w:rsidP="004142EF">
      <w:pPr>
        <w:rPr>
          <w:b/>
          <w:bCs/>
          <w:sz w:val="20"/>
          <w:szCs w:val="20"/>
        </w:rPr>
      </w:pPr>
      <w:r w:rsidRPr="00782E92">
        <w:rPr>
          <w:b/>
          <w:bCs/>
          <w:sz w:val="20"/>
          <w:szCs w:val="20"/>
        </w:rPr>
        <w:t>Measure Case</w:t>
      </w:r>
      <w:r w:rsidR="00DB07B7" w:rsidRPr="00782E92">
        <w:rPr>
          <w:b/>
          <w:bCs/>
          <w:sz w:val="20"/>
          <w:szCs w:val="20"/>
        </w:rPr>
        <w:t xml:space="preserve"> Material and Labor Cost Outputs</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75"/>
        <w:gridCol w:w="2140"/>
        <w:gridCol w:w="2075"/>
        <w:gridCol w:w="2695"/>
      </w:tblGrid>
      <w:tr w:rsidR="00AC1486" w14:paraId="72EBD7FA" w14:textId="77777777" w:rsidTr="00234E2A">
        <w:trPr>
          <w:trHeight w:val="20"/>
        </w:trPr>
        <w:tc>
          <w:tcPr>
            <w:tcW w:w="1275" w:type="dxa"/>
            <w:shd w:val="clear" w:color="auto" w:fill="F2F2F2" w:themeFill="background1" w:themeFillShade="F2"/>
            <w:vAlign w:val="bottom"/>
          </w:tcPr>
          <w:p w14:paraId="5579AE01" w14:textId="77777777" w:rsidR="00AC1486" w:rsidRDefault="00AC1486" w:rsidP="00047B8F">
            <w:pPr>
              <w:spacing w:before="20" w:after="20"/>
              <w:rPr>
                <w:b/>
                <w:bCs/>
                <w:sz w:val="20"/>
                <w:szCs w:val="20"/>
              </w:rPr>
            </w:pPr>
            <w:r w:rsidRPr="43412CC0">
              <w:rPr>
                <w:b/>
                <w:sz w:val="20"/>
                <w:szCs w:val="20"/>
              </w:rPr>
              <w:t xml:space="preserve">Measure </w:t>
            </w:r>
            <w:r>
              <w:rPr>
                <w:b/>
                <w:sz w:val="20"/>
                <w:szCs w:val="20"/>
              </w:rPr>
              <w:t>Description</w:t>
            </w:r>
          </w:p>
        </w:tc>
        <w:tc>
          <w:tcPr>
            <w:tcW w:w="2140" w:type="dxa"/>
            <w:shd w:val="clear" w:color="auto" w:fill="F2F2F2" w:themeFill="background1" w:themeFillShade="F2"/>
            <w:vAlign w:val="bottom"/>
          </w:tcPr>
          <w:p w14:paraId="3815353B" w14:textId="630B1AD1" w:rsidR="00AC1486" w:rsidRDefault="00A875EE" w:rsidP="00047B8F">
            <w:pPr>
              <w:spacing w:before="20" w:after="20"/>
              <w:jc w:val="center"/>
              <w:rPr>
                <w:b/>
                <w:bCs/>
                <w:sz w:val="20"/>
                <w:szCs w:val="20"/>
              </w:rPr>
            </w:pPr>
            <w:r>
              <w:rPr>
                <w:b/>
                <w:bCs/>
                <w:sz w:val="20"/>
                <w:szCs w:val="20"/>
              </w:rPr>
              <w:t>Material Cost ($/ton)</w:t>
            </w:r>
          </w:p>
        </w:tc>
        <w:tc>
          <w:tcPr>
            <w:tcW w:w="2075" w:type="dxa"/>
            <w:shd w:val="clear" w:color="auto" w:fill="F2F2F2" w:themeFill="background1" w:themeFillShade="F2"/>
            <w:vAlign w:val="bottom"/>
          </w:tcPr>
          <w:p w14:paraId="20A7DC3F" w14:textId="68BA093F" w:rsidR="00AC1486" w:rsidRDefault="00A875EE" w:rsidP="00047B8F">
            <w:pPr>
              <w:spacing w:before="20" w:after="20"/>
              <w:jc w:val="center"/>
              <w:rPr>
                <w:b/>
                <w:bCs/>
                <w:sz w:val="20"/>
                <w:szCs w:val="20"/>
              </w:rPr>
            </w:pPr>
            <w:r>
              <w:rPr>
                <w:b/>
                <w:bCs/>
                <w:sz w:val="20"/>
                <w:szCs w:val="20"/>
              </w:rPr>
              <w:t>Labor Cost ($/ton)</w:t>
            </w:r>
          </w:p>
        </w:tc>
        <w:tc>
          <w:tcPr>
            <w:tcW w:w="2695" w:type="dxa"/>
            <w:shd w:val="clear" w:color="auto" w:fill="F2F2F2" w:themeFill="background1" w:themeFillShade="F2"/>
            <w:vAlign w:val="bottom"/>
          </w:tcPr>
          <w:p w14:paraId="62B91F1F" w14:textId="0E633CAC" w:rsidR="00AC1486" w:rsidRDefault="00A875EE" w:rsidP="00047B8F">
            <w:pPr>
              <w:spacing w:before="20" w:after="20"/>
              <w:jc w:val="center"/>
              <w:rPr>
                <w:b/>
                <w:bCs/>
                <w:sz w:val="20"/>
                <w:szCs w:val="20"/>
              </w:rPr>
            </w:pPr>
            <w:r>
              <w:rPr>
                <w:b/>
                <w:bCs/>
                <w:sz w:val="20"/>
                <w:szCs w:val="20"/>
              </w:rPr>
              <w:t>Total Cost ($/ton)</w:t>
            </w:r>
          </w:p>
        </w:tc>
      </w:tr>
      <w:tr w:rsidR="00AC1486" w14:paraId="72FCF89F" w14:textId="77777777" w:rsidTr="00234E2A">
        <w:trPr>
          <w:trHeight w:val="20"/>
        </w:trPr>
        <w:tc>
          <w:tcPr>
            <w:tcW w:w="1275" w:type="dxa"/>
            <w:shd w:val="clear" w:color="auto" w:fill="auto"/>
            <w:vAlign w:val="center"/>
          </w:tcPr>
          <w:p w14:paraId="3AF3ED83" w14:textId="71975D9E" w:rsidR="00AC1486" w:rsidRDefault="00AC1486" w:rsidP="00047B8F">
            <w:pPr>
              <w:spacing w:before="20" w:after="20"/>
              <w:rPr>
                <w:sz w:val="20"/>
                <w:szCs w:val="20"/>
              </w:rPr>
            </w:pPr>
            <w:r>
              <w:rPr>
                <w:sz w:val="20"/>
                <w:szCs w:val="20"/>
              </w:rPr>
              <w:t>Duct Seal</w:t>
            </w:r>
          </w:p>
        </w:tc>
        <w:tc>
          <w:tcPr>
            <w:tcW w:w="2140" w:type="dxa"/>
            <w:vAlign w:val="center"/>
          </w:tcPr>
          <w:p w14:paraId="3AEB910F" w14:textId="4DBA0CBB" w:rsidR="00AC1486" w:rsidRDefault="00830977" w:rsidP="00047B8F">
            <w:pPr>
              <w:spacing w:before="20" w:after="20"/>
              <w:jc w:val="center"/>
              <w:rPr>
                <w:sz w:val="20"/>
                <w:szCs w:val="20"/>
              </w:rPr>
            </w:pPr>
            <w:r>
              <w:rPr>
                <w:sz w:val="20"/>
                <w:szCs w:val="20"/>
              </w:rPr>
              <w:t>$26.5</w:t>
            </w:r>
            <w:r w:rsidR="00CC6650">
              <w:rPr>
                <w:sz w:val="20"/>
                <w:szCs w:val="20"/>
              </w:rPr>
              <w:t>2</w:t>
            </w:r>
          </w:p>
        </w:tc>
        <w:tc>
          <w:tcPr>
            <w:tcW w:w="2075" w:type="dxa"/>
            <w:vAlign w:val="center"/>
          </w:tcPr>
          <w:p w14:paraId="7A28B773" w14:textId="5C28AD69" w:rsidR="00AC1486" w:rsidRDefault="00830977" w:rsidP="00047B8F">
            <w:pPr>
              <w:spacing w:before="20" w:after="20"/>
              <w:jc w:val="center"/>
              <w:rPr>
                <w:sz w:val="20"/>
                <w:szCs w:val="20"/>
              </w:rPr>
            </w:pPr>
            <w:r>
              <w:rPr>
                <w:sz w:val="20"/>
                <w:szCs w:val="20"/>
              </w:rPr>
              <w:t>$67.29</w:t>
            </w:r>
          </w:p>
        </w:tc>
        <w:tc>
          <w:tcPr>
            <w:tcW w:w="2695" w:type="dxa"/>
            <w:vAlign w:val="center"/>
          </w:tcPr>
          <w:p w14:paraId="0712B02A" w14:textId="6B4563BF" w:rsidR="00AC1486" w:rsidRDefault="00830977" w:rsidP="00047B8F">
            <w:pPr>
              <w:spacing w:before="20" w:after="20"/>
              <w:jc w:val="center"/>
              <w:rPr>
                <w:sz w:val="20"/>
                <w:szCs w:val="20"/>
              </w:rPr>
            </w:pPr>
            <w:r>
              <w:rPr>
                <w:sz w:val="20"/>
                <w:szCs w:val="20"/>
              </w:rPr>
              <w:t>$93.8</w:t>
            </w:r>
            <w:r w:rsidR="00CC6650">
              <w:rPr>
                <w:sz w:val="20"/>
                <w:szCs w:val="20"/>
              </w:rPr>
              <w:t>1</w:t>
            </w:r>
          </w:p>
        </w:tc>
      </w:tr>
      <w:tr w:rsidR="00A62DDC" w14:paraId="3A4D2D12" w14:textId="77777777" w:rsidTr="00234E2A">
        <w:trPr>
          <w:trHeight w:val="20"/>
        </w:trPr>
        <w:tc>
          <w:tcPr>
            <w:tcW w:w="1275" w:type="dxa"/>
            <w:shd w:val="clear" w:color="auto" w:fill="F2F2F2" w:themeFill="background1" w:themeFillShade="F2"/>
            <w:vAlign w:val="bottom"/>
          </w:tcPr>
          <w:p w14:paraId="1436F8C0" w14:textId="69AB2568" w:rsidR="00A62DDC" w:rsidRDefault="00A62DDC" w:rsidP="00711B3A">
            <w:pPr>
              <w:spacing w:before="20" w:after="20"/>
              <w:rPr>
                <w:b/>
                <w:bCs/>
                <w:sz w:val="20"/>
                <w:szCs w:val="20"/>
              </w:rPr>
            </w:pPr>
            <w:r>
              <w:rPr>
                <w:b/>
                <w:sz w:val="20"/>
                <w:szCs w:val="20"/>
              </w:rPr>
              <w:t>rNCGF only</w:t>
            </w:r>
          </w:p>
        </w:tc>
        <w:tc>
          <w:tcPr>
            <w:tcW w:w="2140" w:type="dxa"/>
            <w:shd w:val="clear" w:color="auto" w:fill="F2F2F2" w:themeFill="background1" w:themeFillShade="F2"/>
            <w:vAlign w:val="bottom"/>
          </w:tcPr>
          <w:p w14:paraId="1BF18F81" w14:textId="6E4331B7" w:rsidR="00A62DDC" w:rsidRDefault="00A62DDC" w:rsidP="00711B3A">
            <w:pPr>
              <w:spacing w:before="20" w:after="20"/>
              <w:jc w:val="center"/>
              <w:rPr>
                <w:b/>
                <w:bCs/>
                <w:sz w:val="20"/>
                <w:szCs w:val="20"/>
              </w:rPr>
            </w:pPr>
            <w:r>
              <w:rPr>
                <w:b/>
                <w:bCs/>
                <w:sz w:val="20"/>
                <w:szCs w:val="20"/>
              </w:rPr>
              <w:t>Material Cost ($/</w:t>
            </w:r>
            <w:r w:rsidRPr="00A62DDC">
              <w:rPr>
                <w:b/>
                <w:bCs/>
                <w:sz w:val="20"/>
                <w:szCs w:val="20"/>
              </w:rPr>
              <w:t>kBTUh</w:t>
            </w:r>
            <w:r>
              <w:rPr>
                <w:b/>
                <w:bCs/>
                <w:sz w:val="20"/>
                <w:szCs w:val="20"/>
              </w:rPr>
              <w:t>)</w:t>
            </w:r>
          </w:p>
        </w:tc>
        <w:tc>
          <w:tcPr>
            <w:tcW w:w="2075" w:type="dxa"/>
            <w:shd w:val="clear" w:color="auto" w:fill="F2F2F2" w:themeFill="background1" w:themeFillShade="F2"/>
            <w:vAlign w:val="bottom"/>
          </w:tcPr>
          <w:p w14:paraId="1D1B12B8" w14:textId="29E5FCCF" w:rsidR="00A62DDC" w:rsidRDefault="00A62DDC" w:rsidP="00711B3A">
            <w:pPr>
              <w:spacing w:before="20" w:after="20"/>
              <w:jc w:val="center"/>
              <w:rPr>
                <w:b/>
                <w:bCs/>
                <w:sz w:val="20"/>
                <w:szCs w:val="20"/>
              </w:rPr>
            </w:pPr>
            <w:r>
              <w:rPr>
                <w:b/>
                <w:bCs/>
                <w:sz w:val="20"/>
                <w:szCs w:val="20"/>
              </w:rPr>
              <w:t>Labor Cost ($/</w:t>
            </w:r>
            <w:r w:rsidRPr="00A62DDC">
              <w:rPr>
                <w:b/>
                <w:bCs/>
                <w:sz w:val="20"/>
                <w:szCs w:val="20"/>
              </w:rPr>
              <w:t>kBTUh</w:t>
            </w:r>
            <w:r>
              <w:rPr>
                <w:b/>
                <w:bCs/>
                <w:sz w:val="20"/>
                <w:szCs w:val="20"/>
              </w:rPr>
              <w:t>)</w:t>
            </w:r>
          </w:p>
        </w:tc>
        <w:tc>
          <w:tcPr>
            <w:tcW w:w="2695" w:type="dxa"/>
            <w:shd w:val="clear" w:color="auto" w:fill="F2F2F2" w:themeFill="background1" w:themeFillShade="F2"/>
            <w:vAlign w:val="bottom"/>
          </w:tcPr>
          <w:p w14:paraId="32A9E1EE" w14:textId="09C5107F" w:rsidR="00A62DDC" w:rsidRDefault="00A62DDC" w:rsidP="00711B3A">
            <w:pPr>
              <w:spacing w:before="20" w:after="20"/>
              <w:jc w:val="center"/>
              <w:rPr>
                <w:b/>
                <w:bCs/>
                <w:sz w:val="20"/>
                <w:szCs w:val="20"/>
              </w:rPr>
            </w:pPr>
            <w:r>
              <w:rPr>
                <w:b/>
                <w:bCs/>
                <w:sz w:val="20"/>
                <w:szCs w:val="20"/>
              </w:rPr>
              <w:t>Total Cost ($/</w:t>
            </w:r>
            <w:r w:rsidRPr="00A62DDC">
              <w:rPr>
                <w:b/>
                <w:bCs/>
                <w:sz w:val="20"/>
                <w:szCs w:val="20"/>
              </w:rPr>
              <w:t>kBTUh</w:t>
            </w:r>
            <w:r>
              <w:rPr>
                <w:b/>
                <w:bCs/>
                <w:sz w:val="20"/>
                <w:szCs w:val="20"/>
              </w:rPr>
              <w:t>)</w:t>
            </w:r>
          </w:p>
        </w:tc>
      </w:tr>
      <w:tr w:rsidR="00A62DDC" w14:paraId="2651648D" w14:textId="77777777" w:rsidTr="00234E2A">
        <w:trPr>
          <w:trHeight w:val="20"/>
        </w:trPr>
        <w:tc>
          <w:tcPr>
            <w:tcW w:w="1275" w:type="dxa"/>
            <w:shd w:val="clear" w:color="auto" w:fill="auto"/>
            <w:vAlign w:val="center"/>
          </w:tcPr>
          <w:p w14:paraId="3DC6DB90" w14:textId="77777777" w:rsidR="00A62DDC" w:rsidRDefault="00A62DDC" w:rsidP="00711B3A">
            <w:pPr>
              <w:spacing w:before="20" w:after="20"/>
              <w:rPr>
                <w:sz w:val="20"/>
                <w:szCs w:val="20"/>
              </w:rPr>
            </w:pPr>
            <w:r>
              <w:rPr>
                <w:sz w:val="20"/>
                <w:szCs w:val="20"/>
              </w:rPr>
              <w:t>Duct Seal</w:t>
            </w:r>
          </w:p>
        </w:tc>
        <w:tc>
          <w:tcPr>
            <w:tcW w:w="2140" w:type="dxa"/>
            <w:vAlign w:val="center"/>
          </w:tcPr>
          <w:p w14:paraId="10E1FCDB" w14:textId="5B4E48E1" w:rsidR="00A62DDC" w:rsidRDefault="00A62DDC" w:rsidP="00711B3A">
            <w:pPr>
              <w:spacing w:before="20" w:after="20"/>
              <w:jc w:val="center"/>
              <w:rPr>
                <w:sz w:val="20"/>
                <w:szCs w:val="20"/>
              </w:rPr>
            </w:pPr>
            <w:r>
              <w:rPr>
                <w:sz w:val="20"/>
                <w:szCs w:val="20"/>
              </w:rPr>
              <w:t>$</w:t>
            </w:r>
            <w:r w:rsidR="00234E2A">
              <w:rPr>
                <w:sz w:val="20"/>
                <w:szCs w:val="20"/>
              </w:rPr>
              <w:t>1.50</w:t>
            </w:r>
          </w:p>
        </w:tc>
        <w:tc>
          <w:tcPr>
            <w:tcW w:w="2075" w:type="dxa"/>
            <w:vAlign w:val="center"/>
          </w:tcPr>
          <w:p w14:paraId="48AE135B" w14:textId="2EE33560" w:rsidR="00A62DDC" w:rsidRDefault="00A62DDC" w:rsidP="00711B3A">
            <w:pPr>
              <w:spacing w:before="20" w:after="20"/>
              <w:jc w:val="center"/>
              <w:rPr>
                <w:sz w:val="20"/>
                <w:szCs w:val="20"/>
              </w:rPr>
            </w:pPr>
            <w:r>
              <w:rPr>
                <w:sz w:val="20"/>
                <w:szCs w:val="20"/>
              </w:rPr>
              <w:t>$</w:t>
            </w:r>
            <w:r w:rsidR="00234E2A">
              <w:rPr>
                <w:sz w:val="20"/>
                <w:szCs w:val="20"/>
              </w:rPr>
              <w:t>3.81</w:t>
            </w:r>
          </w:p>
        </w:tc>
        <w:tc>
          <w:tcPr>
            <w:tcW w:w="2695" w:type="dxa"/>
            <w:vAlign w:val="center"/>
          </w:tcPr>
          <w:p w14:paraId="592973EE" w14:textId="28F9A9DE" w:rsidR="00A62DDC" w:rsidRDefault="00A62DDC" w:rsidP="00711B3A">
            <w:pPr>
              <w:spacing w:before="20" w:after="20"/>
              <w:jc w:val="center"/>
              <w:rPr>
                <w:sz w:val="20"/>
                <w:szCs w:val="20"/>
              </w:rPr>
            </w:pPr>
            <w:r>
              <w:rPr>
                <w:sz w:val="20"/>
                <w:szCs w:val="20"/>
              </w:rPr>
              <w:t>$</w:t>
            </w:r>
            <w:r w:rsidR="00234E2A">
              <w:rPr>
                <w:sz w:val="20"/>
                <w:szCs w:val="20"/>
              </w:rPr>
              <w:t>5.31</w:t>
            </w:r>
          </w:p>
        </w:tc>
      </w:tr>
    </w:tbl>
    <w:p w14:paraId="5332DE79" w14:textId="77777777" w:rsidR="00AD53CF" w:rsidRDefault="00AD53CF" w:rsidP="00975E33">
      <w:pPr>
        <w:pStyle w:val="eTRMHeading3"/>
      </w:pPr>
      <w:bookmarkStart w:id="63" w:name="_Toc486490862"/>
      <w:bookmarkStart w:id="64" w:name="_Toc486580933"/>
    </w:p>
    <w:p w14:paraId="02691007" w14:textId="49D6DEEC" w:rsidR="007D230B" w:rsidRPr="004B06E3" w:rsidRDefault="002E5874" w:rsidP="00975E33">
      <w:pPr>
        <w:pStyle w:val="eTRMHeading3"/>
      </w:pPr>
      <w:bookmarkStart w:id="65" w:name="_Toc67405022"/>
      <w:r>
        <w:t xml:space="preserve">Base Case </w:t>
      </w:r>
      <w:r w:rsidR="007D230B" w:rsidRPr="004B06E3">
        <w:t>Labor Cost ($/unit)</w:t>
      </w:r>
      <w:bookmarkEnd w:id="63"/>
      <w:bookmarkEnd w:id="64"/>
      <w:bookmarkEnd w:id="65"/>
    </w:p>
    <w:p w14:paraId="5C10524C" w14:textId="15D065CE" w:rsidR="004B5172" w:rsidRPr="004B06E3" w:rsidRDefault="004B5172" w:rsidP="004B5172">
      <w:r>
        <w:t>Because duct testing and sealing is a service measure, the base case labor cost is $0.</w:t>
      </w:r>
    </w:p>
    <w:p w14:paraId="115402FC" w14:textId="77777777" w:rsidR="00AD53CF" w:rsidRDefault="00AD53CF" w:rsidP="00975E33">
      <w:pPr>
        <w:pStyle w:val="eTRMHeading3"/>
      </w:pPr>
    </w:p>
    <w:p w14:paraId="5E89BC5E" w14:textId="618DA085" w:rsidR="002E5874" w:rsidRPr="004B06E3" w:rsidRDefault="002E5874" w:rsidP="00975E33">
      <w:pPr>
        <w:pStyle w:val="eTRMHeading3"/>
      </w:pPr>
      <w:bookmarkStart w:id="66" w:name="_Toc67405023"/>
      <w:r>
        <w:t xml:space="preserve">Measure Case </w:t>
      </w:r>
      <w:r w:rsidRPr="004B06E3">
        <w:t>Labor Cost ($/unit)</w:t>
      </w:r>
      <w:bookmarkEnd w:id="66"/>
    </w:p>
    <w:p w14:paraId="7FDBEC90" w14:textId="7FD3FA96" w:rsidR="00F5672D" w:rsidRDefault="00845536" w:rsidP="00F5672D">
      <w:r>
        <w:t>See Measure Case Material Cost.</w:t>
      </w:r>
    </w:p>
    <w:p w14:paraId="176B7124" w14:textId="77777777" w:rsidR="00AD53CF" w:rsidRDefault="00AD53CF" w:rsidP="00975E33">
      <w:pPr>
        <w:pStyle w:val="eTRMHeading3"/>
      </w:pPr>
      <w:bookmarkStart w:id="67" w:name="_Toc486490863"/>
      <w:bookmarkStart w:id="68" w:name="_Toc486580934"/>
    </w:p>
    <w:p w14:paraId="050D9183" w14:textId="5F0329E7" w:rsidR="007D230B" w:rsidRPr="004B06E3" w:rsidRDefault="004B06E3" w:rsidP="00975E33">
      <w:pPr>
        <w:pStyle w:val="eTRMHeading3"/>
      </w:pPr>
      <w:bookmarkStart w:id="69" w:name="_Toc67405024"/>
      <w:r>
        <w:t>Net-to-Gross</w:t>
      </w:r>
      <w:bookmarkEnd w:id="67"/>
      <w:bookmarkEnd w:id="68"/>
      <w:r w:rsidR="008D4652">
        <w:t xml:space="preserve"> (NTG)</w:t>
      </w:r>
      <w:bookmarkEnd w:id="69"/>
    </w:p>
    <w:p w14:paraId="74940D3A" w14:textId="61D88DE9" w:rsidR="007D230B" w:rsidRDefault="00AA3E2A" w:rsidP="004142EF">
      <w:r w:rsidRPr="00860FEC">
        <w:t xml:space="preserve">The net-to-gross (NTG) ratio represents the portion of gross impacts that are determined to be directly attributed to a specific program intervention. </w:t>
      </w:r>
      <w:r w:rsidR="00C7634F">
        <w:t xml:space="preserve">The NTG value for this measure, documented in the DEER Database 2011 Update study conducted by Itron, Inc., can be traced to the 2008 version of DEER. While the </w:t>
      </w:r>
      <w:r w:rsidR="00C7634F" w:rsidRPr="00CD6273">
        <w:rPr>
          <w:i/>
        </w:rPr>
        <w:t>original</w:t>
      </w:r>
      <w:r w:rsidR="00C7634F">
        <w:t xml:space="preserve"> source of this NTG value remains unknown, </w:t>
      </w:r>
      <w:r w:rsidR="00CA75CF">
        <w:t>an evaluation of the 2006 – 2008 California programs estimated NTG for residential duct sealing that varied across the investor-owned utility programs from 0.54 to 0.96.</w:t>
      </w:r>
      <w:r w:rsidR="00CA75CF">
        <w:rPr>
          <w:rStyle w:val="FootnoteReference"/>
        </w:rPr>
        <w:footnoteReference w:id="21"/>
      </w:r>
      <w:r w:rsidR="00CA75CF">
        <w:t xml:space="preserve">  </w:t>
      </w:r>
    </w:p>
    <w:p w14:paraId="0D1CEED6" w14:textId="06E757BA" w:rsidR="00DE1A0F" w:rsidRPr="0059426D" w:rsidRDefault="00DE1A0F" w:rsidP="00EA057C">
      <w:pPr>
        <w:pStyle w:val="Caption"/>
      </w:pPr>
      <w:r>
        <w:lastRenderedPageBreak/>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5"/>
        <w:gridCol w:w="1440"/>
        <w:gridCol w:w="5940"/>
      </w:tblGrid>
      <w:tr w:rsidR="00AA3E2A" w:rsidRPr="0059426D" w14:paraId="0D2B92AF" w14:textId="662FBAEE" w:rsidTr="00B45167">
        <w:trPr>
          <w:cantSplit/>
          <w:trHeight w:val="20"/>
        </w:trPr>
        <w:tc>
          <w:tcPr>
            <w:tcW w:w="206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44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177EB6" w:rsidRPr="0059426D" w14:paraId="682BF062" w14:textId="72E696E9" w:rsidTr="00B45167">
        <w:trPr>
          <w:cantSplit/>
          <w:trHeight w:val="20"/>
        </w:trPr>
        <w:tc>
          <w:tcPr>
            <w:tcW w:w="2065" w:type="dxa"/>
            <w:vAlign w:val="center"/>
          </w:tcPr>
          <w:p w14:paraId="5BA6FA92" w14:textId="4BC91E3A" w:rsidR="00177EB6" w:rsidRPr="00177EB6" w:rsidRDefault="00177EB6" w:rsidP="00E62BEA">
            <w:pPr>
              <w:keepNext/>
              <w:keepLines/>
              <w:spacing w:before="0" w:after="0" w:line="200" w:lineRule="atLeast"/>
              <w:rPr>
                <w:rFonts w:cstheme="minorHAnsi"/>
                <w:sz w:val="20"/>
                <w:szCs w:val="20"/>
              </w:rPr>
            </w:pPr>
            <w:r w:rsidRPr="00177EB6">
              <w:rPr>
                <w:rFonts w:cs="Arial"/>
                <w:color w:val="000000"/>
                <w:sz w:val="20"/>
                <w:szCs w:val="20"/>
              </w:rPr>
              <w:t xml:space="preserve">NTG </w:t>
            </w:r>
          </w:p>
        </w:tc>
        <w:tc>
          <w:tcPr>
            <w:tcW w:w="1440" w:type="dxa"/>
            <w:shd w:val="clear" w:color="auto" w:fill="auto"/>
            <w:noWrap/>
            <w:vAlign w:val="center"/>
          </w:tcPr>
          <w:p w14:paraId="62F18FF1" w14:textId="60107F23" w:rsidR="00177EB6" w:rsidRPr="00B45167" w:rsidRDefault="00EC46A1" w:rsidP="00E62BEA">
            <w:pPr>
              <w:keepNext/>
              <w:keepLines/>
              <w:spacing w:before="0" w:after="0" w:line="200" w:lineRule="atLeast"/>
              <w:jc w:val="center"/>
              <w:rPr>
                <w:sz w:val="20"/>
                <w:szCs w:val="20"/>
              </w:rPr>
            </w:pPr>
            <w:r w:rsidRPr="00B45167">
              <w:rPr>
                <w:sz w:val="20"/>
                <w:szCs w:val="20"/>
              </w:rPr>
              <w:t>0</w:t>
            </w:r>
            <w:r w:rsidR="00177EB6" w:rsidRPr="00B45167">
              <w:rPr>
                <w:sz w:val="20"/>
                <w:szCs w:val="20"/>
              </w:rPr>
              <w:t>.</w:t>
            </w:r>
            <w:r w:rsidR="00D53025">
              <w:rPr>
                <w:sz w:val="20"/>
                <w:szCs w:val="20"/>
              </w:rPr>
              <w:t>55</w:t>
            </w:r>
          </w:p>
        </w:tc>
        <w:tc>
          <w:tcPr>
            <w:tcW w:w="5940" w:type="dxa"/>
            <w:vAlign w:val="center"/>
          </w:tcPr>
          <w:p w14:paraId="133857EB" w14:textId="68C733EE" w:rsidR="00177EB6" w:rsidRPr="00A45BE2" w:rsidRDefault="00A0166F" w:rsidP="00E62BEA">
            <w:pPr>
              <w:keepNext/>
              <w:keepLines/>
              <w:spacing w:before="0" w:after="0" w:line="200" w:lineRule="atLeast"/>
              <w:rPr>
                <w:sz w:val="18"/>
                <w:szCs w:val="20"/>
              </w:rPr>
            </w:pPr>
            <w:r>
              <w:rPr>
                <w:sz w:val="18"/>
              </w:rPr>
              <w:t>DEER2019</w:t>
            </w:r>
            <w:r w:rsidR="00374225">
              <w:rPr>
                <w:sz w:val="18"/>
              </w:rPr>
              <w:t xml:space="preserve"> -</w:t>
            </w:r>
            <w:r w:rsidR="00AC4DE3">
              <w:rPr>
                <w:sz w:val="18"/>
              </w:rPr>
              <w:t xml:space="preserve"> </w:t>
            </w:r>
            <w:r w:rsidR="004B153D">
              <w:rPr>
                <w:sz w:val="18"/>
              </w:rPr>
              <w:t xml:space="preserve"> </w:t>
            </w:r>
            <w:r w:rsidR="0098172D" w:rsidRPr="0098172D">
              <w:rPr>
                <w:sz w:val="18"/>
              </w:rPr>
              <w:t xml:space="preserve">exante database tables: NTG2020 </w:t>
            </w:r>
            <w:r w:rsidR="00374225">
              <w:rPr>
                <w:sz w:val="18"/>
              </w:rPr>
              <w:t xml:space="preserve">- </w:t>
            </w:r>
            <w:r w:rsidR="00AC4DE3" w:rsidRPr="00AC4DE3">
              <w:rPr>
                <w:sz w:val="18"/>
              </w:rPr>
              <w:t xml:space="preserve">Res-Default&gt;2 </w:t>
            </w:r>
          </w:p>
        </w:tc>
      </w:tr>
    </w:tbl>
    <w:p w14:paraId="6ECC6493" w14:textId="77777777" w:rsidR="007D230B" w:rsidRPr="004B06E3" w:rsidRDefault="007D230B" w:rsidP="004142EF"/>
    <w:p w14:paraId="323B5B02" w14:textId="4C4B13DC" w:rsidR="007D230B" w:rsidRPr="004B06E3" w:rsidRDefault="00D02C36" w:rsidP="00975E33">
      <w:pPr>
        <w:pStyle w:val="eTRMHeading3"/>
      </w:pPr>
      <w:bookmarkStart w:id="70" w:name="_Toc486490864"/>
      <w:bookmarkStart w:id="71" w:name="_Toc486580935"/>
      <w:bookmarkStart w:id="72" w:name="_Toc67405025"/>
      <w:r>
        <w:t>Gross Savings Installation Adjustment (</w:t>
      </w:r>
      <w:r w:rsidR="007D230B" w:rsidRPr="004B06E3">
        <w:t>GSIA</w:t>
      </w:r>
      <w:bookmarkEnd w:id="70"/>
      <w:bookmarkEnd w:id="71"/>
      <w:r>
        <w:t>)</w:t>
      </w:r>
      <w:bookmarkEnd w:id="72"/>
    </w:p>
    <w:p w14:paraId="7F3A77CE" w14:textId="0FC846F5" w:rsidR="00782B4A" w:rsidRDefault="00782B4A" w:rsidP="00782B4A">
      <w:bookmarkStart w:id="73" w:name="_Hlk494309006"/>
      <w: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bookmarkEnd w:id="73"/>
      <w:r>
        <w:t>This GSIA rate is the current “default” rate specified for measures for which an alternative GSIA has not been estimated and approved.</w:t>
      </w:r>
    </w:p>
    <w:p w14:paraId="1156E512" w14:textId="39B8C1CD" w:rsidR="006D5039" w:rsidRDefault="001B7346" w:rsidP="00782B4A">
      <w:r>
        <w:t xml:space="preserve">This default GSIA is supported </w:t>
      </w:r>
      <w:r w:rsidR="004C6721">
        <w:t xml:space="preserve">by the </w:t>
      </w:r>
      <w:r w:rsidR="003555D8">
        <w:t>HVAC sector impact evaluation for program year 2018</w:t>
      </w:r>
      <w:r w:rsidR="004F0037">
        <w:rPr>
          <w:rStyle w:val="FootnoteReference"/>
        </w:rPr>
        <w:footnoteReference w:id="22"/>
      </w:r>
      <w:r w:rsidR="004C6721">
        <w:t xml:space="preserve"> which showed a </w:t>
      </w:r>
      <w:r w:rsidR="00980F65">
        <w:t>gross realization rate (GRR)</w:t>
      </w:r>
      <w:r w:rsidR="004C6721">
        <w:t xml:space="preserve"> of 9</w:t>
      </w:r>
      <w:r w:rsidR="00370F29">
        <w:t>8% for electric kWh and 130% for</w:t>
      </w:r>
      <w:r w:rsidR="00980F65">
        <w:t xml:space="preserve"> natural gas </w:t>
      </w:r>
      <w:proofErr w:type="gramStart"/>
      <w:r w:rsidR="00980F65">
        <w:t>therms</w:t>
      </w:r>
      <w:r w:rsidR="004C6721">
        <w:t xml:space="preserve">, </w:t>
      </w:r>
      <w:r w:rsidR="003555D8">
        <w:t>and</w:t>
      </w:r>
      <w:proofErr w:type="gramEnd"/>
      <w:r w:rsidR="003555D8">
        <w:t xml:space="preserve"> </w:t>
      </w:r>
      <w:r w:rsidR="004C6721">
        <w:t xml:space="preserve">has been </w:t>
      </w:r>
      <w:r w:rsidR="004573F5">
        <w:t>directed for us</w:t>
      </w:r>
      <w:r w:rsidR="003555D8">
        <w:t>e</w:t>
      </w:r>
      <w:r w:rsidR="004573F5">
        <w:t xml:space="preserve"> by the CPUC.</w:t>
      </w:r>
      <w:r w:rsidR="009D3796">
        <w:rPr>
          <w:rStyle w:val="FootnoteReference"/>
        </w:rPr>
        <w:footnoteReference w:id="23"/>
      </w:r>
    </w:p>
    <w:p w14:paraId="022915CE" w14:textId="3D6258CC" w:rsidR="00DE1A0F" w:rsidRPr="0059426D" w:rsidRDefault="00A958AC" w:rsidP="00A410C2">
      <w:pPr>
        <w:pStyle w:val="Caption"/>
      </w:pPr>
      <w:r>
        <w:t xml:space="preserve">Gross Savings </w:t>
      </w:r>
      <w:r w:rsidR="00DE1A0F">
        <w:t xml:space="preserve">Installation </w:t>
      </w:r>
      <w:r>
        <w:t>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25"/>
        <w:gridCol w:w="1441"/>
        <w:gridCol w:w="6479"/>
      </w:tblGrid>
      <w:tr w:rsidR="00AA3E2A" w:rsidRPr="0059426D" w14:paraId="60BDA2BB" w14:textId="744FC0FC" w:rsidTr="00F22F49">
        <w:trPr>
          <w:cantSplit/>
          <w:trHeight w:val="20"/>
        </w:trPr>
        <w:tc>
          <w:tcPr>
            <w:tcW w:w="807" w:type="pct"/>
            <w:shd w:val="clear" w:color="000000" w:fill="F2F2F2" w:themeFill="background1" w:themeFillShade="F2"/>
            <w:vAlign w:val="bottom"/>
          </w:tcPr>
          <w:p w14:paraId="7D363CC0" w14:textId="709302B7" w:rsidR="00AA3E2A" w:rsidRPr="0059426D" w:rsidRDefault="00177EB6" w:rsidP="00A410C2">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59426D" w:rsidRDefault="00AA3E2A" w:rsidP="00A410C2">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430" w:type="pct"/>
            <w:shd w:val="clear" w:color="000000" w:fill="F2F2F2" w:themeFill="background1" w:themeFillShade="F2"/>
          </w:tcPr>
          <w:p w14:paraId="32AB7FEE" w14:textId="77936D4E" w:rsidR="00AA3E2A" w:rsidRPr="00D02DA8" w:rsidRDefault="00AA3E2A" w:rsidP="00A410C2">
            <w:pPr>
              <w:keepNext/>
              <w:keepLines/>
              <w:spacing w:before="0" w:after="0" w:line="200" w:lineRule="atLeast"/>
              <w:jc w:val="center"/>
              <w:rPr>
                <w:rFonts w:cs="Arial"/>
                <w:b/>
                <w:sz w:val="20"/>
                <w:szCs w:val="20"/>
              </w:rPr>
            </w:pPr>
            <w:r>
              <w:rPr>
                <w:rFonts w:cs="Arial"/>
                <w:b/>
                <w:sz w:val="20"/>
                <w:szCs w:val="20"/>
              </w:rPr>
              <w:t>Source</w:t>
            </w:r>
          </w:p>
        </w:tc>
      </w:tr>
      <w:tr w:rsidR="006D5039" w:rsidRPr="0059426D" w14:paraId="5C741D7F" w14:textId="77777777" w:rsidTr="001C0FC7">
        <w:trPr>
          <w:cantSplit/>
          <w:trHeight w:val="20"/>
        </w:trPr>
        <w:tc>
          <w:tcPr>
            <w:tcW w:w="807" w:type="pct"/>
            <w:vAlign w:val="center"/>
          </w:tcPr>
          <w:p w14:paraId="689B84E7" w14:textId="66678B61" w:rsidR="006D5039" w:rsidRPr="00441D91" w:rsidRDefault="006D5039" w:rsidP="006D5039">
            <w:pPr>
              <w:keepNext/>
              <w:keepLines/>
              <w:spacing w:before="0" w:after="0" w:line="200" w:lineRule="atLeast"/>
              <w:rPr>
                <w:rFonts w:cstheme="minorHAnsi"/>
                <w:sz w:val="20"/>
                <w:szCs w:val="20"/>
              </w:rPr>
            </w:pPr>
            <w:r>
              <w:rPr>
                <w:sz w:val="20"/>
              </w:rPr>
              <w:t>Def-GSIA</w:t>
            </w:r>
          </w:p>
        </w:tc>
        <w:tc>
          <w:tcPr>
            <w:tcW w:w="763" w:type="pct"/>
            <w:vAlign w:val="center"/>
          </w:tcPr>
          <w:p w14:paraId="31467892" w14:textId="2D5AEE4B" w:rsidR="006D5039" w:rsidRPr="00441D91" w:rsidRDefault="006D5039" w:rsidP="006D5039">
            <w:pPr>
              <w:keepNext/>
              <w:keepLines/>
              <w:spacing w:before="0" w:after="0" w:line="200" w:lineRule="atLeast"/>
              <w:jc w:val="center"/>
              <w:rPr>
                <w:sz w:val="20"/>
                <w:szCs w:val="20"/>
              </w:rPr>
            </w:pPr>
            <w:r>
              <w:rPr>
                <w:sz w:val="20"/>
                <w:szCs w:val="20"/>
              </w:rPr>
              <w:t>1.0</w:t>
            </w:r>
          </w:p>
        </w:tc>
        <w:tc>
          <w:tcPr>
            <w:tcW w:w="3430" w:type="pct"/>
            <w:vAlign w:val="center"/>
          </w:tcPr>
          <w:p w14:paraId="778C4D08" w14:textId="33FDB560" w:rsidR="006D5039" w:rsidRPr="00642A96" w:rsidRDefault="006D5039" w:rsidP="006D5039">
            <w:pPr>
              <w:keepNext/>
              <w:keepLines/>
              <w:spacing w:before="0" w:after="0" w:line="200" w:lineRule="atLeast"/>
              <w:rPr>
                <w:sz w:val="18"/>
                <w:szCs w:val="18"/>
                <w:highlight w:val="yellow"/>
              </w:rPr>
            </w:pPr>
            <w:r>
              <w:rPr>
                <w:rFonts w:eastAsia="Times New Roman" w:cs="Times New Roman"/>
                <w:color w:val="000000"/>
                <w:sz w:val="18"/>
                <w:szCs w:val="18"/>
              </w:rPr>
              <w:t xml:space="preserve">California Public Utilities Commission (CPUC), Energy Division. 2013. </w:t>
            </w:r>
            <w:r>
              <w:rPr>
                <w:rFonts w:eastAsia="Times New Roman" w:cs="Times New Roman"/>
                <w:i/>
                <w:color w:val="000000"/>
                <w:sz w:val="18"/>
                <w:szCs w:val="18"/>
              </w:rPr>
              <w:t>Energy Efficiency Policy Manual Version 5</w:t>
            </w:r>
            <w:r>
              <w:rPr>
                <w:rFonts w:eastAsia="Times New Roman" w:cs="Times New Roman"/>
                <w:color w:val="000000"/>
                <w:sz w:val="18"/>
                <w:szCs w:val="18"/>
              </w:rPr>
              <w:t>.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975E33">
      <w:pPr>
        <w:pStyle w:val="eTRMHeading3"/>
      </w:pPr>
      <w:bookmarkStart w:id="74" w:name="_Toc486490865"/>
      <w:bookmarkStart w:id="75" w:name="_Toc486580936"/>
      <w:bookmarkStart w:id="76" w:name="_Toc67405026"/>
      <w:r w:rsidRPr="004B06E3">
        <w:t xml:space="preserve">Non-Energy </w:t>
      </w:r>
      <w:bookmarkEnd w:id="74"/>
      <w:bookmarkEnd w:id="75"/>
      <w:r w:rsidR="00DA6B7E">
        <w:t>Impacts</w:t>
      </w:r>
      <w:bookmarkEnd w:id="76"/>
    </w:p>
    <w:p w14:paraId="0D73FC70" w14:textId="7C985074" w:rsidR="00697A88" w:rsidRDefault="00697A88" w:rsidP="00BD72C2">
      <w:r>
        <w:t xml:space="preserve">Non-energy </w:t>
      </w:r>
      <w:r w:rsidR="00B8721E">
        <w:t>impacts</w:t>
      </w:r>
      <w:r>
        <w:t xml:space="preserve"> for this measure have not been </w:t>
      </w:r>
      <w:r w:rsidR="009D7F4D">
        <w:t>quantified</w:t>
      </w:r>
      <w:r>
        <w:t>.</w:t>
      </w:r>
    </w:p>
    <w:p w14:paraId="0C37F289" w14:textId="1C9969C3" w:rsidR="00697A88" w:rsidRDefault="00697A88" w:rsidP="004142EF"/>
    <w:p w14:paraId="7D8551BB" w14:textId="760F7D39" w:rsidR="009C31A4" w:rsidRPr="004B06E3" w:rsidRDefault="009C31A4" w:rsidP="00975E33">
      <w:pPr>
        <w:pStyle w:val="eTRMHeading3"/>
      </w:pPr>
      <w:bookmarkStart w:id="77" w:name="_Toc67405027"/>
      <w:r>
        <w:t>DEER Differences Analysis</w:t>
      </w:r>
      <w:bookmarkEnd w:id="77"/>
    </w:p>
    <w:p w14:paraId="575E579E" w14:textId="49454516" w:rsidR="002C67DF" w:rsidRDefault="003F21D2" w:rsidP="004142EF">
      <w:r>
        <w:t xml:space="preserve">This section provides a summary of </w:t>
      </w:r>
      <w:r w:rsidR="00E62BEA">
        <w:t>inputs and methods from the Database of Energy Efficient Resources (</w:t>
      </w:r>
      <w:r>
        <w:t>DEER</w:t>
      </w:r>
      <w:r w:rsidR="00E62BEA">
        <w:t>)</w:t>
      </w:r>
      <w:r>
        <w:t>, and the rationale for inputs and methods that are not DEER-based.</w:t>
      </w:r>
    </w:p>
    <w:p w14:paraId="756C62FB" w14:textId="0B4381C5" w:rsidR="00EA057C" w:rsidRPr="00920905" w:rsidRDefault="00EA057C" w:rsidP="00EA057C">
      <w:pPr>
        <w:pStyle w:val="Caption"/>
      </w:pPr>
      <w:r>
        <w:lastRenderedPageBreak/>
        <w:t xml:space="preserve">Table </w:t>
      </w:r>
      <w:r w:rsidR="00BF62EC">
        <w:rPr>
          <w:noProof/>
        </w:rPr>
        <w:fldChar w:fldCharType="begin"/>
      </w:r>
      <w:r w:rsidR="00BF62EC">
        <w:rPr>
          <w:noProof/>
        </w:rPr>
        <w:instrText xml:space="preserve"> SEQ Table \* ARABIC </w:instrText>
      </w:r>
      <w:r w:rsidR="00BF62EC">
        <w:rPr>
          <w:noProof/>
        </w:rPr>
        <w:fldChar w:fldCharType="separate"/>
      </w:r>
      <w:r w:rsidR="00D22270">
        <w:rPr>
          <w:noProof/>
        </w:rPr>
        <w:t>1</w:t>
      </w:r>
      <w:r w:rsidR="00BF62EC">
        <w:rPr>
          <w:noProof/>
        </w:rPr>
        <w:fldChar w:fldCharType="end"/>
      </w:r>
      <w:r>
        <w:t xml:space="preserve">. </w:t>
      </w: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337357" w:rsidRPr="00500C4E" w14:paraId="33003020" w14:textId="77777777" w:rsidTr="00337357">
        <w:trPr>
          <w:trHeight w:val="20"/>
        </w:trPr>
        <w:tc>
          <w:tcPr>
            <w:tcW w:w="1730" w:type="pct"/>
          </w:tcPr>
          <w:p w14:paraId="1F2D360A" w14:textId="77777777" w:rsidR="00337357" w:rsidRPr="00EA057C" w:rsidRDefault="00337357" w:rsidP="00EA057C">
            <w:pPr>
              <w:keepNext/>
              <w:keepLines/>
              <w:spacing w:before="20" w:after="20"/>
              <w:rPr>
                <w:rFonts w:cs="Arial"/>
                <w:sz w:val="20"/>
                <w:szCs w:val="20"/>
              </w:rPr>
            </w:pPr>
            <w:r w:rsidRPr="00EA057C">
              <w:rPr>
                <w:rFonts w:cs="Arial"/>
                <w:sz w:val="20"/>
                <w:szCs w:val="20"/>
              </w:rPr>
              <w:t>Modified DEER methodology</w:t>
            </w:r>
          </w:p>
        </w:tc>
        <w:tc>
          <w:tcPr>
            <w:tcW w:w="3270" w:type="pct"/>
            <w:vAlign w:val="center"/>
          </w:tcPr>
          <w:p w14:paraId="247EE411" w14:textId="79ADC5E7" w:rsidR="00337357" w:rsidRPr="00E62BEA" w:rsidRDefault="00E62BEA" w:rsidP="00E62BEA">
            <w:pPr>
              <w:keepNext/>
              <w:keepLines/>
              <w:spacing w:before="20" w:after="20"/>
              <w:rPr>
                <w:rFonts w:cs="Arial"/>
                <w:sz w:val="20"/>
                <w:szCs w:val="20"/>
              </w:rPr>
            </w:pPr>
            <w:r w:rsidRPr="00E62BEA">
              <w:rPr>
                <w:rFonts w:cs="Arial"/>
                <w:sz w:val="20"/>
                <w:szCs w:val="20"/>
              </w:rPr>
              <w:t>No</w:t>
            </w:r>
          </w:p>
        </w:tc>
      </w:tr>
      <w:tr w:rsidR="00337357" w:rsidRPr="00500C4E" w14:paraId="507422EA" w14:textId="77777777" w:rsidTr="00EA057C">
        <w:trPr>
          <w:trHeight w:val="20"/>
        </w:trPr>
        <w:tc>
          <w:tcPr>
            <w:tcW w:w="1730" w:type="pct"/>
          </w:tcPr>
          <w:p w14:paraId="29430E33" w14:textId="77777777" w:rsidR="00337357" w:rsidRPr="00EA057C" w:rsidRDefault="00337357"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17603575" w:rsidR="00337357" w:rsidRPr="00E62BEA" w:rsidRDefault="004B1AF1" w:rsidP="00EA057C">
            <w:pPr>
              <w:keepNext/>
              <w:keepLines/>
              <w:spacing w:before="20" w:after="20"/>
              <w:rPr>
                <w:rFonts w:cs="Arial"/>
                <w:sz w:val="20"/>
                <w:szCs w:val="20"/>
              </w:rPr>
            </w:pPr>
            <w:r>
              <w:rPr>
                <w:rFonts w:cs="Arial"/>
                <w:sz w:val="20"/>
                <w:szCs w:val="20"/>
              </w:rPr>
              <w:t>No</w:t>
            </w:r>
          </w:p>
        </w:tc>
      </w:tr>
      <w:tr w:rsidR="00337357" w:rsidRPr="00500C4E" w14:paraId="335CDE40" w14:textId="77777777" w:rsidTr="00EA057C">
        <w:trPr>
          <w:trHeight w:val="20"/>
        </w:trPr>
        <w:tc>
          <w:tcPr>
            <w:tcW w:w="1730" w:type="pct"/>
          </w:tcPr>
          <w:p w14:paraId="126C3B42" w14:textId="77777777" w:rsidR="00337357" w:rsidRPr="00EA057C" w:rsidRDefault="00337357" w:rsidP="00EA057C">
            <w:pPr>
              <w:keepNext/>
              <w:keepLines/>
              <w:spacing w:before="20" w:after="20"/>
              <w:rPr>
                <w:rFonts w:cs="Arial"/>
                <w:sz w:val="20"/>
                <w:szCs w:val="20"/>
              </w:rPr>
            </w:pPr>
            <w:r w:rsidRPr="00EA057C">
              <w:rPr>
                <w:rFonts w:cs="Arial"/>
                <w:sz w:val="20"/>
                <w:szCs w:val="20"/>
              </w:rPr>
              <w:t>DEER Base Case</w:t>
            </w:r>
          </w:p>
        </w:tc>
        <w:tc>
          <w:tcPr>
            <w:tcW w:w="3270" w:type="pct"/>
          </w:tcPr>
          <w:p w14:paraId="5D2A1B0E" w14:textId="7B0A0474" w:rsidR="00337357" w:rsidRPr="00E62BEA" w:rsidRDefault="007545B5" w:rsidP="00EA057C">
            <w:pPr>
              <w:keepNext/>
              <w:keepLines/>
              <w:spacing w:before="20" w:after="20"/>
              <w:rPr>
                <w:rFonts w:cs="Arial"/>
                <w:sz w:val="20"/>
                <w:szCs w:val="20"/>
              </w:rPr>
            </w:pPr>
            <w:r>
              <w:rPr>
                <w:rFonts w:cs="Arial"/>
                <w:sz w:val="20"/>
                <w:szCs w:val="20"/>
              </w:rPr>
              <w:t>n/a</w:t>
            </w:r>
          </w:p>
        </w:tc>
      </w:tr>
      <w:tr w:rsidR="00337357" w:rsidRPr="00500C4E" w14:paraId="1F8399E1" w14:textId="77777777" w:rsidTr="00EA057C">
        <w:trPr>
          <w:trHeight w:val="20"/>
        </w:trPr>
        <w:tc>
          <w:tcPr>
            <w:tcW w:w="1730" w:type="pct"/>
          </w:tcPr>
          <w:p w14:paraId="0CC701E3" w14:textId="77777777" w:rsidR="00337357" w:rsidRPr="00EA057C" w:rsidRDefault="00337357" w:rsidP="00EA057C">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5CA0A8DE" w:rsidR="00337357" w:rsidRPr="00E62BEA" w:rsidRDefault="007545B5" w:rsidP="00EA057C">
            <w:pPr>
              <w:keepNext/>
              <w:keepLines/>
              <w:spacing w:before="20" w:after="20"/>
              <w:rPr>
                <w:rFonts w:cs="Arial"/>
                <w:sz w:val="20"/>
                <w:szCs w:val="20"/>
              </w:rPr>
            </w:pPr>
            <w:r>
              <w:rPr>
                <w:rFonts w:cs="Arial"/>
                <w:sz w:val="20"/>
                <w:szCs w:val="20"/>
              </w:rPr>
              <w:t>n/a</w:t>
            </w:r>
          </w:p>
        </w:tc>
      </w:tr>
      <w:tr w:rsidR="00337357" w:rsidRPr="00500C4E" w14:paraId="663742C6" w14:textId="77777777" w:rsidTr="00EA057C">
        <w:trPr>
          <w:trHeight w:val="20"/>
        </w:trPr>
        <w:tc>
          <w:tcPr>
            <w:tcW w:w="1730" w:type="pct"/>
          </w:tcPr>
          <w:p w14:paraId="16B2FDAB" w14:textId="77777777" w:rsidR="00337357" w:rsidRPr="00EA057C" w:rsidRDefault="00337357"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128077C9" w:rsidR="00337357" w:rsidRPr="00E62BEA" w:rsidRDefault="00E62BEA" w:rsidP="00EA057C">
            <w:pPr>
              <w:keepNext/>
              <w:keepLines/>
              <w:spacing w:before="20" w:after="20"/>
              <w:rPr>
                <w:rFonts w:cs="Arial"/>
                <w:sz w:val="20"/>
                <w:szCs w:val="20"/>
              </w:rPr>
            </w:pPr>
            <w:r w:rsidRPr="00E62BEA">
              <w:rPr>
                <w:rFonts w:cs="Arial"/>
                <w:sz w:val="20"/>
                <w:szCs w:val="20"/>
              </w:rPr>
              <w:t>Yes</w:t>
            </w:r>
          </w:p>
        </w:tc>
      </w:tr>
      <w:tr w:rsidR="00337357" w:rsidRPr="00500C4E" w14:paraId="424F1325" w14:textId="77777777" w:rsidTr="00EA057C">
        <w:trPr>
          <w:trHeight w:val="20"/>
        </w:trPr>
        <w:tc>
          <w:tcPr>
            <w:tcW w:w="1730" w:type="pct"/>
          </w:tcPr>
          <w:p w14:paraId="71098DDA" w14:textId="77777777" w:rsidR="00337357" w:rsidRPr="00EA057C" w:rsidRDefault="00337357"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3800D626" w:rsidR="00337357" w:rsidRPr="00E62BEA" w:rsidRDefault="007545B5" w:rsidP="00EA057C">
            <w:pPr>
              <w:keepNext/>
              <w:keepLines/>
              <w:spacing w:before="20" w:after="20"/>
              <w:rPr>
                <w:rFonts w:cs="Arial"/>
                <w:sz w:val="20"/>
                <w:szCs w:val="20"/>
              </w:rPr>
            </w:pPr>
            <w:r>
              <w:rPr>
                <w:rFonts w:cs="Arial"/>
                <w:sz w:val="20"/>
                <w:szCs w:val="20"/>
              </w:rPr>
              <w:t>n/a</w:t>
            </w:r>
          </w:p>
        </w:tc>
      </w:tr>
      <w:tr w:rsidR="00337357" w:rsidRPr="00500C4E" w14:paraId="0B93AD47" w14:textId="77777777" w:rsidTr="00EA057C">
        <w:trPr>
          <w:trHeight w:val="20"/>
        </w:trPr>
        <w:tc>
          <w:tcPr>
            <w:tcW w:w="1730" w:type="pct"/>
          </w:tcPr>
          <w:p w14:paraId="6E9E484F" w14:textId="77777777" w:rsidR="00337357" w:rsidRPr="00EA057C" w:rsidRDefault="00337357" w:rsidP="00EA057C">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17CDAC4A" w:rsidR="00337357" w:rsidRPr="00E62BEA" w:rsidDel="00505CEC" w:rsidRDefault="007545B5" w:rsidP="00EA057C">
            <w:pPr>
              <w:keepNext/>
              <w:keepLines/>
              <w:spacing w:before="20" w:after="20"/>
              <w:rPr>
                <w:rFonts w:cs="Arial"/>
                <w:sz w:val="20"/>
                <w:szCs w:val="20"/>
              </w:rPr>
            </w:pPr>
            <w:r>
              <w:rPr>
                <w:rFonts w:cs="Arial"/>
                <w:sz w:val="20"/>
                <w:szCs w:val="20"/>
              </w:rPr>
              <w:t>n/a</w:t>
            </w:r>
          </w:p>
        </w:tc>
      </w:tr>
      <w:tr w:rsidR="00337357" w:rsidRPr="00500C4E" w14:paraId="2CFDE9D3" w14:textId="77777777" w:rsidTr="00EA057C">
        <w:trPr>
          <w:trHeight w:val="180"/>
        </w:trPr>
        <w:tc>
          <w:tcPr>
            <w:tcW w:w="1730" w:type="pct"/>
          </w:tcPr>
          <w:p w14:paraId="3B6B3E22" w14:textId="77777777" w:rsidR="00337357" w:rsidRPr="00EA057C" w:rsidRDefault="00337357"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1368A741" w:rsidR="00337357" w:rsidRPr="00E62BEA" w:rsidRDefault="00E62BEA" w:rsidP="00EA057C">
            <w:pPr>
              <w:keepNext/>
              <w:keepLines/>
              <w:spacing w:before="20" w:after="20"/>
              <w:rPr>
                <w:rFonts w:cs="Arial"/>
                <w:sz w:val="20"/>
                <w:szCs w:val="20"/>
              </w:rPr>
            </w:pPr>
            <w:r w:rsidRPr="00E62BEA">
              <w:rPr>
                <w:rFonts w:cs="Arial"/>
                <w:sz w:val="20"/>
                <w:szCs w:val="20"/>
              </w:rPr>
              <w:t>DEER</w:t>
            </w:r>
            <w:r w:rsidR="003F6B8F">
              <w:rPr>
                <w:rFonts w:cs="Arial"/>
                <w:sz w:val="20"/>
                <w:szCs w:val="20"/>
              </w:rPr>
              <w:t>2021</w:t>
            </w:r>
            <w:r w:rsidRPr="00E62BEA">
              <w:rPr>
                <w:rFonts w:cs="Arial"/>
                <w:sz w:val="20"/>
                <w:szCs w:val="20"/>
              </w:rPr>
              <w:t xml:space="preserve"> </w:t>
            </w:r>
            <w:r w:rsidR="006334FE">
              <w:rPr>
                <w:rFonts w:cs="Arial"/>
                <w:sz w:val="20"/>
                <w:szCs w:val="20"/>
              </w:rPr>
              <w:t>(</w:t>
            </w:r>
            <w:proofErr w:type="spellStart"/>
            <w:r w:rsidR="006334FE" w:rsidRPr="006334FE">
              <w:rPr>
                <w:rFonts w:cs="Arial"/>
                <w:sz w:val="20"/>
                <w:szCs w:val="20"/>
              </w:rPr>
              <w:t>Res_Duct-Sealing_NormUnit</w:t>
            </w:r>
            <w:proofErr w:type="spellEnd"/>
            <w:r w:rsidR="006334FE" w:rsidRPr="006334FE">
              <w:rPr>
                <w:rFonts w:cs="Arial"/>
                <w:sz w:val="20"/>
                <w:szCs w:val="20"/>
              </w:rPr>
              <w:t>=kBtuh_rNCGF_2020-11-19</w:t>
            </w:r>
            <w:r w:rsidR="006334FE">
              <w:rPr>
                <w:rFonts w:cs="Arial"/>
                <w:sz w:val="20"/>
                <w:szCs w:val="20"/>
              </w:rPr>
              <w:t>.xlsx)</w:t>
            </w:r>
          </w:p>
        </w:tc>
      </w:tr>
      <w:tr w:rsidR="00337357" w:rsidRPr="00500C4E" w14:paraId="3B7464D7" w14:textId="77777777" w:rsidTr="00EA057C">
        <w:trPr>
          <w:trHeight w:val="20"/>
        </w:trPr>
        <w:tc>
          <w:tcPr>
            <w:tcW w:w="1730" w:type="pct"/>
          </w:tcPr>
          <w:p w14:paraId="24000A76" w14:textId="77777777" w:rsidR="00337357" w:rsidRPr="00EA057C" w:rsidRDefault="00337357"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342C1D5F" w:rsidR="00337357" w:rsidRPr="00E62BEA" w:rsidRDefault="00E62BEA" w:rsidP="00EA057C">
            <w:pPr>
              <w:keepNext/>
              <w:keepLines/>
              <w:spacing w:before="20" w:after="20"/>
              <w:rPr>
                <w:rFonts w:cs="Arial"/>
                <w:sz w:val="20"/>
                <w:szCs w:val="20"/>
              </w:rPr>
            </w:pPr>
            <w:r w:rsidRPr="00E62BEA">
              <w:rPr>
                <w:rFonts w:cs="Arial"/>
                <w:sz w:val="20"/>
                <w:szCs w:val="20"/>
              </w:rPr>
              <w:t>n/a</w:t>
            </w:r>
          </w:p>
        </w:tc>
      </w:tr>
      <w:tr w:rsidR="00337357" w:rsidRPr="00500C4E" w14:paraId="4A7EE859" w14:textId="77777777" w:rsidTr="00EA057C">
        <w:trPr>
          <w:trHeight w:val="20"/>
        </w:trPr>
        <w:tc>
          <w:tcPr>
            <w:tcW w:w="1730" w:type="pct"/>
          </w:tcPr>
          <w:p w14:paraId="7B4D686A" w14:textId="77777777" w:rsidR="00337357" w:rsidRPr="00EA057C" w:rsidRDefault="00337357"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5F80CD40" w14:textId="77777777" w:rsidR="00E62BEA" w:rsidRPr="00E62BEA" w:rsidRDefault="00E62BEA" w:rsidP="00EA057C">
            <w:pPr>
              <w:keepNext/>
              <w:keepLines/>
              <w:spacing w:before="20" w:after="20"/>
              <w:rPr>
                <w:rFonts w:cs="Arial"/>
                <w:sz w:val="20"/>
                <w:szCs w:val="20"/>
              </w:rPr>
            </w:pPr>
            <w:r w:rsidRPr="00E62BEA">
              <w:rPr>
                <w:rFonts w:cs="Arial"/>
                <w:sz w:val="20"/>
                <w:szCs w:val="20"/>
              </w:rPr>
              <w:t>Res-DuctSeal-HighToLow-wtd</w:t>
            </w:r>
          </w:p>
          <w:p w14:paraId="63ABA251" w14:textId="0F3E2E3F" w:rsidR="00337357" w:rsidRPr="00E62BEA" w:rsidRDefault="00E62BEA" w:rsidP="00EA057C">
            <w:pPr>
              <w:keepNext/>
              <w:keepLines/>
              <w:spacing w:before="20" w:after="20"/>
              <w:rPr>
                <w:rFonts w:cs="Arial"/>
                <w:color w:val="FF0000"/>
                <w:sz w:val="20"/>
                <w:szCs w:val="20"/>
              </w:rPr>
            </w:pPr>
            <w:r w:rsidRPr="00E62BEA">
              <w:rPr>
                <w:rFonts w:cs="Arial"/>
                <w:sz w:val="20"/>
                <w:szCs w:val="20"/>
              </w:rPr>
              <w:t>Res-DuctSeal-</w:t>
            </w:r>
            <w:proofErr w:type="spellStart"/>
            <w:r w:rsidRPr="00E62BEA">
              <w:rPr>
                <w:rFonts w:cs="Arial"/>
                <w:sz w:val="20"/>
                <w:szCs w:val="20"/>
              </w:rPr>
              <w:t>MedToLow</w:t>
            </w:r>
            <w:proofErr w:type="spellEnd"/>
            <w:r w:rsidRPr="00E62BEA">
              <w:rPr>
                <w:rFonts w:cs="Arial"/>
                <w:sz w:val="20"/>
                <w:szCs w:val="20"/>
              </w:rPr>
              <w:t>-wtd</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0E4B99FA" w:rsidR="0099177E" w:rsidRPr="00E62BEA" w:rsidRDefault="005A74DC" w:rsidP="005A74DC">
            <w:pPr>
              <w:keepNext/>
              <w:keepLines/>
              <w:spacing w:before="20" w:after="20"/>
              <w:rPr>
                <w:rFonts w:cs="Arial"/>
                <w:color w:val="000000"/>
                <w:sz w:val="20"/>
                <w:szCs w:val="20"/>
              </w:rPr>
            </w:pPr>
            <w:r w:rsidRPr="00E62BEA">
              <w:rPr>
                <w:rFonts w:cs="Arial"/>
                <w:sz w:val="20"/>
                <w:szCs w:val="20"/>
              </w:rPr>
              <w:t xml:space="preserve">The NTG of </w:t>
            </w:r>
            <w:r w:rsidR="0099177E" w:rsidRPr="00E62BEA">
              <w:rPr>
                <w:rFonts w:cs="Arial"/>
                <w:sz w:val="20"/>
                <w:szCs w:val="20"/>
              </w:rPr>
              <w:t>0.</w:t>
            </w:r>
            <w:r w:rsidR="00AA2A33">
              <w:rPr>
                <w:rFonts w:cs="Arial"/>
                <w:sz w:val="20"/>
                <w:szCs w:val="20"/>
              </w:rPr>
              <w:t>55</w:t>
            </w:r>
            <w:r w:rsidR="00AA2A33" w:rsidRPr="00E62BEA">
              <w:rPr>
                <w:rFonts w:cs="Arial"/>
                <w:sz w:val="20"/>
                <w:szCs w:val="20"/>
              </w:rPr>
              <w:t xml:space="preserve"> </w:t>
            </w:r>
            <w:r w:rsidRPr="00E62BEA">
              <w:rPr>
                <w:rFonts w:cs="Arial"/>
                <w:sz w:val="20"/>
                <w:szCs w:val="20"/>
              </w:rPr>
              <w:t xml:space="preserve">is associated with NTG ID: </w:t>
            </w:r>
            <w:r w:rsidR="0053018B" w:rsidRPr="0053018B">
              <w:rPr>
                <w:rFonts w:cs="Arial"/>
                <w:i/>
                <w:color w:val="000000"/>
                <w:sz w:val="20"/>
                <w:szCs w:val="20"/>
              </w:rPr>
              <w:t xml:space="preserve">Res-Default&gt;2 </w:t>
            </w:r>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2B0E240D" w:rsidR="00EA057C" w:rsidRPr="00441D91" w:rsidRDefault="00757DD8" w:rsidP="005A74DC">
            <w:pPr>
              <w:keepNext/>
              <w:keepLines/>
              <w:spacing w:before="20" w:after="20"/>
              <w:rPr>
                <w:rFonts w:cs="Arial"/>
                <w:sz w:val="20"/>
                <w:szCs w:val="20"/>
              </w:rPr>
            </w:pPr>
            <w:r>
              <w:rPr>
                <w:rFonts w:cs="Arial"/>
                <w:sz w:val="20"/>
                <w:szCs w:val="20"/>
              </w:rPr>
              <w:t xml:space="preserve">DEER2011.  </w:t>
            </w:r>
            <w:r w:rsidR="00A410C2" w:rsidRPr="00441D91">
              <w:rPr>
                <w:rFonts w:cs="Arial"/>
                <w:sz w:val="20"/>
                <w:szCs w:val="20"/>
              </w:rPr>
              <w:t>The GSIA value of</w:t>
            </w:r>
            <w:r w:rsidR="00A06EBC">
              <w:rPr>
                <w:rFonts w:cs="Arial"/>
                <w:sz w:val="20"/>
                <w:szCs w:val="20"/>
              </w:rPr>
              <w:t xml:space="preserve"> </w:t>
            </w:r>
            <w:proofErr w:type="gramStart"/>
            <w:r w:rsidR="00A06EBC">
              <w:rPr>
                <w:rFonts w:cs="Arial"/>
                <w:sz w:val="20"/>
                <w:szCs w:val="20"/>
              </w:rPr>
              <w:t>1.0</w:t>
            </w:r>
            <w:r w:rsidR="00A410C2" w:rsidRPr="00441D91">
              <w:rPr>
                <w:rFonts w:cs="Arial"/>
                <w:sz w:val="20"/>
                <w:szCs w:val="20"/>
              </w:rPr>
              <w:t xml:space="preserve">  is</w:t>
            </w:r>
            <w:proofErr w:type="gramEnd"/>
            <w:r w:rsidR="00A410C2" w:rsidRPr="00441D91">
              <w:rPr>
                <w:rFonts w:cs="Arial"/>
                <w:sz w:val="20"/>
                <w:szCs w:val="20"/>
              </w:rPr>
              <w:t xml:space="preserve"> associated with GSIA ID</w:t>
            </w:r>
            <w:r w:rsidR="00441D91">
              <w:rPr>
                <w:rFonts w:cs="Arial"/>
                <w:sz w:val="20"/>
                <w:szCs w:val="20"/>
              </w:rPr>
              <w:t xml:space="preserve">: </w:t>
            </w:r>
            <w:r w:rsidR="00A06EBC" w:rsidRPr="00A06EBC">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2A9DB00B" w14:textId="447ECBD7" w:rsidR="00EA057C" w:rsidRDefault="005A74DC" w:rsidP="00EA057C">
            <w:pPr>
              <w:keepNext/>
              <w:keepLines/>
              <w:spacing w:before="20" w:after="20"/>
              <w:rPr>
                <w:rFonts w:cs="Arial"/>
                <w:sz w:val="20"/>
                <w:szCs w:val="20"/>
              </w:rPr>
            </w:pPr>
            <w:r w:rsidRPr="00E62BEA">
              <w:rPr>
                <w:rFonts w:cs="Arial"/>
                <w:sz w:val="20"/>
                <w:szCs w:val="20"/>
              </w:rPr>
              <w:t xml:space="preserve">The value of </w:t>
            </w:r>
            <w:r w:rsidR="00F40947">
              <w:rPr>
                <w:rFonts w:cs="Arial"/>
                <w:sz w:val="20"/>
                <w:szCs w:val="20"/>
              </w:rPr>
              <w:t>3</w:t>
            </w:r>
            <w:r w:rsidRPr="00E62BEA">
              <w:rPr>
                <w:rFonts w:cs="Arial"/>
                <w:sz w:val="20"/>
                <w:szCs w:val="20"/>
              </w:rPr>
              <w:t xml:space="preserve"> years is associated with EUL ID:</w:t>
            </w:r>
            <w:r w:rsidR="0099177E" w:rsidRPr="00E62BEA">
              <w:rPr>
                <w:rFonts w:ascii="Arial" w:eastAsia="Times New Roman" w:hAnsi="Arial" w:cs="Arial"/>
                <w:bCs/>
                <w:sz w:val="20"/>
                <w:szCs w:val="20"/>
              </w:rPr>
              <w:t xml:space="preserve"> </w:t>
            </w:r>
            <w:r w:rsidR="00831072">
              <w:rPr>
                <w:rFonts w:cs="Calibri Light"/>
                <w:sz w:val="20"/>
              </w:rPr>
              <w:t>BRO-RCx</w:t>
            </w:r>
            <w:r w:rsidRPr="00E62BEA">
              <w:rPr>
                <w:rFonts w:cs="Calibri Light"/>
                <w:i/>
                <w:sz w:val="20"/>
                <w:szCs w:val="20"/>
              </w:rPr>
              <w:t>.</w:t>
            </w:r>
            <w:r w:rsidR="0095396E" w:rsidRPr="00E62BEA">
              <w:rPr>
                <w:rFonts w:cs="Arial"/>
                <w:sz w:val="20"/>
                <w:szCs w:val="20"/>
              </w:rPr>
              <w:t xml:space="preserve"> </w:t>
            </w:r>
          </w:p>
          <w:p w14:paraId="5BD9C961" w14:textId="1CA555DB" w:rsidR="00204A52" w:rsidRPr="00E62BEA" w:rsidRDefault="00204A52" w:rsidP="00EA057C">
            <w:pPr>
              <w:keepNext/>
              <w:keepLines/>
              <w:spacing w:before="20" w:after="20"/>
              <w:rPr>
                <w:rFonts w:cs="Arial"/>
                <w:sz w:val="20"/>
                <w:szCs w:val="20"/>
              </w:rPr>
            </w:pPr>
            <w:bookmarkStart w:id="78" w:name="_Hlk51064627"/>
            <w:r w:rsidRPr="00E62BEA">
              <w:rPr>
                <w:rFonts w:cs="Arial"/>
                <w:sz w:val="20"/>
                <w:szCs w:val="20"/>
              </w:rPr>
              <w:t xml:space="preserve">The value of </w:t>
            </w:r>
            <w:r>
              <w:rPr>
                <w:rFonts w:cs="Arial"/>
                <w:sz w:val="20"/>
                <w:szCs w:val="20"/>
              </w:rPr>
              <w:t>18</w:t>
            </w:r>
            <w:r w:rsidRPr="00E62BEA">
              <w:rPr>
                <w:rFonts w:cs="Arial"/>
                <w:sz w:val="20"/>
                <w:szCs w:val="20"/>
              </w:rPr>
              <w:t xml:space="preserve"> years is associated with EUL ID:</w:t>
            </w:r>
            <w:r w:rsidRPr="00E62BEA">
              <w:rPr>
                <w:rFonts w:ascii="Arial" w:eastAsia="Times New Roman" w:hAnsi="Arial" w:cs="Arial"/>
                <w:bCs/>
                <w:sz w:val="20"/>
                <w:szCs w:val="20"/>
              </w:rPr>
              <w:t xml:space="preserve"> </w:t>
            </w:r>
            <w:r>
              <w:rPr>
                <w:rFonts w:eastAsia="Times New Roman" w:cs="Calibri Light"/>
                <w:bCs/>
                <w:i/>
                <w:sz w:val="20"/>
                <w:szCs w:val="20"/>
              </w:rPr>
              <w:t>BW per E-5082.</w:t>
            </w:r>
            <w:bookmarkEnd w:id="78"/>
          </w:p>
        </w:tc>
      </w:tr>
    </w:tbl>
    <w:p w14:paraId="3D440479" w14:textId="77777777" w:rsidR="00EA057C" w:rsidRDefault="00EA057C" w:rsidP="004142EF">
      <w:bookmarkStart w:id="79" w:name="_Hlk516051142"/>
    </w:p>
    <w:p w14:paraId="59542C0D" w14:textId="77777777" w:rsidR="007D230B" w:rsidRDefault="007D230B" w:rsidP="00975E33">
      <w:pPr>
        <w:pStyle w:val="eTRMHeading3"/>
      </w:pPr>
      <w:bookmarkStart w:id="80" w:name="_Toc486490866"/>
      <w:bookmarkStart w:id="81" w:name="_Toc486580937"/>
      <w:bookmarkStart w:id="82" w:name="_Toc67405028"/>
      <w:bookmarkStart w:id="83" w:name="_Hlk516047558"/>
      <w:r w:rsidRPr="004B06E3">
        <w:lastRenderedPageBreak/>
        <w:t>Revision History</w:t>
      </w:r>
      <w:bookmarkEnd w:id="80"/>
      <w:bookmarkEnd w:id="81"/>
      <w:bookmarkEnd w:id="82"/>
    </w:p>
    <w:p w14:paraId="3661732B" w14:textId="3E5BF4C0" w:rsidR="00CA1CB3" w:rsidRDefault="00742F88" w:rsidP="00742F88">
      <w:pPr>
        <w:pStyle w:val="Caption"/>
      </w:pPr>
      <w:bookmarkStart w:id="84"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9B3637" w:rsidRPr="00500C4E" w14:paraId="30EF66AF" w14:textId="77777777" w:rsidTr="00AA302D">
        <w:trPr>
          <w:trHeight w:val="20"/>
        </w:trPr>
        <w:tc>
          <w:tcPr>
            <w:tcW w:w="503" w:type="pct"/>
            <w:shd w:val="clear" w:color="auto" w:fill="F2F2F2" w:themeFill="background1" w:themeFillShade="F2"/>
            <w:vAlign w:val="bottom"/>
          </w:tcPr>
          <w:p w14:paraId="14096F7C" w14:textId="77777777" w:rsidR="009B3637" w:rsidRPr="00EA057C" w:rsidRDefault="009B3637" w:rsidP="00AA302D">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4906AA0F" w14:textId="77777777" w:rsidR="009B3637" w:rsidRPr="00EA057C" w:rsidRDefault="009B3637" w:rsidP="00AA302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FB6DC44" w14:textId="77777777" w:rsidR="009B3637" w:rsidRDefault="009B3637" w:rsidP="00AA302D">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452CD5E0" w14:textId="77777777" w:rsidR="009B3637" w:rsidRDefault="009B3637" w:rsidP="00AA302D">
            <w:pPr>
              <w:keepNext/>
              <w:keepLines/>
              <w:spacing w:before="20" w:after="20"/>
              <w:rPr>
                <w:rFonts w:cs="Arial"/>
                <w:b/>
                <w:sz w:val="20"/>
                <w:szCs w:val="20"/>
              </w:rPr>
            </w:pPr>
            <w:r>
              <w:rPr>
                <w:rFonts w:cs="Arial"/>
                <w:b/>
                <w:sz w:val="20"/>
                <w:szCs w:val="20"/>
              </w:rPr>
              <w:t>Revision Summary and Rationale for Revision</w:t>
            </w:r>
          </w:p>
          <w:p w14:paraId="6415BC8D" w14:textId="77777777" w:rsidR="009B3637" w:rsidRDefault="009B3637" w:rsidP="00AA302D">
            <w:pPr>
              <w:keepNext/>
              <w:keepLines/>
              <w:spacing w:before="20" w:after="20"/>
              <w:rPr>
                <w:rFonts w:cs="Arial"/>
                <w:b/>
                <w:sz w:val="20"/>
                <w:szCs w:val="20"/>
              </w:rPr>
            </w:pPr>
            <w:r>
              <w:rPr>
                <w:rFonts w:cs="Arial"/>
                <w:b/>
                <w:sz w:val="20"/>
                <w:szCs w:val="20"/>
              </w:rPr>
              <w:t>Effective Date and Approved By</w:t>
            </w:r>
          </w:p>
        </w:tc>
      </w:tr>
      <w:tr w:rsidR="009B3637" w:rsidRPr="00CA1CB3" w14:paraId="1985D57E" w14:textId="77777777" w:rsidTr="00AA302D">
        <w:trPr>
          <w:trHeight w:val="20"/>
        </w:trPr>
        <w:tc>
          <w:tcPr>
            <w:tcW w:w="503" w:type="pct"/>
          </w:tcPr>
          <w:p w14:paraId="6B430BE8" w14:textId="77777777" w:rsidR="009B3637" w:rsidRPr="00CA1CB3" w:rsidRDefault="009B3637" w:rsidP="00AA302D">
            <w:pPr>
              <w:keepNext/>
              <w:keepLines/>
              <w:spacing w:before="20" w:after="20"/>
              <w:rPr>
                <w:rFonts w:cs="Arial"/>
                <w:sz w:val="20"/>
                <w:szCs w:val="20"/>
              </w:rPr>
            </w:pPr>
            <w:r w:rsidRPr="00CA1CB3">
              <w:rPr>
                <w:rFonts w:cs="Arial"/>
                <w:sz w:val="20"/>
                <w:szCs w:val="20"/>
              </w:rPr>
              <w:t>0</w:t>
            </w:r>
            <w:r>
              <w:rPr>
                <w:rFonts w:cs="Arial"/>
                <w:sz w:val="20"/>
                <w:szCs w:val="20"/>
              </w:rPr>
              <w:t>1</w:t>
            </w:r>
          </w:p>
        </w:tc>
        <w:tc>
          <w:tcPr>
            <w:tcW w:w="722" w:type="pct"/>
          </w:tcPr>
          <w:p w14:paraId="062CB64D" w14:textId="77777777" w:rsidR="009B3637" w:rsidRPr="009B610A" w:rsidRDefault="009B3637" w:rsidP="00AA302D">
            <w:pPr>
              <w:keepNext/>
              <w:keepLines/>
              <w:spacing w:before="20" w:after="20"/>
              <w:rPr>
                <w:rFonts w:cs="Arial"/>
                <w:sz w:val="20"/>
                <w:szCs w:val="20"/>
              </w:rPr>
            </w:pPr>
            <w:r w:rsidRPr="009B610A">
              <w:rPr>
                <w:rFonts w:cs="Arial"/>
                <w:sz w:val="20"/>
                <w:szCs w:val="20"/>
              </w:rPr>
              <w:t>06/30/2018</w:t>
            </w:r>
          </w:p>
        </w:tc>
        <w:tc>
          <w:tcPr>
            <w:tcW w:w="842" w:type="pct"/>
          </w:tcPr>
          <w:p w14:paraId="7C5A548D" w14:textId="77777777" w:rsidR="009B3637" w:rsidRPr="009B610A" w:rsidRDefault="009B3637" w:rsidP="00AA302D">
            <w:pPr>
              <w:keepNext/>
              <w:keepLines/>
              <w:spacing w:before="20" w:after="20"/>
              <w:rPr>
                <w:rFonts w:cs="Arial"/>
                <w:sz w:val="20"/>
                <w:szCs w:val="20"/>
              </w:rPr>
            </w:pPr>
            <w:r w:rsidRPr="009B610A">
              <w:rPr>
                <w:rFonts w:cs="Arial"/>
                <w:sz w:val="20"/>
                <w:szCs w:val="20"/>
              </w:rPr>
              <w:t>Jennifer Holmes</w:t>
            </w:r>
          </w:p>
          <w:p w14:paraId="306AA859" w14:textId="77777777" w:rsidR="009B3637" w:rsidRPr="009B610A" w:rsidRDefault="009B3637" w:rsidP="00AA302D">
            <w:pPr>
              <w:keepNext/>
              <w:keepLines/>
              <w:spacing w:before="20" w:after="20"/>
              <w:rPr>
                <w:rFonts w:cs="Arial"/>
                <w:sz w:val="20"/>
                <w:szCs w:val="20"/>
              </w:rPr>
            </w:pPr>
            <w:r w:rsidRPr="009B610A">
              <w:rPr>
                <w:rFonts w:cs="Arial"/>
                <w:sz w:val="20"/>
                <w:szCs w:val="20"/>
              </w:rPr>
              <w:t>Cal TF Staff</w:t>
            </w:r>
          </w:p>
        </w:tc>
        <w:tc>
          <w:tcPr>
            <w:tcW w:w="2933" w:type="pct"/>
          </w:tcPr>
          <w:p w14:paraId="06C93361" w14:textId="77777777" w:rsidR="009B3637" w:rsidRDefault="009B3637" w:rsidP="00AA302D">
            <w:pPr>
              <w:keepNext/>
              <w:keepLines/>
              <w:spacing w:before="20" w:after="20"/>
              <w:rPr>
                <w:rFonts w:cs="Arial"/>
                <w:sz w:val="20"/>
                <w:szCs w:val="20"/>
              </w:rPr>
            </w:pPr>
            <w:r>
              <w:rPr>
                <w:rFonts w:cs="Arial"/>
                <w:sz w:val="20"/>
                <w:szCs w:val="20"/>
              </w:rPr>
              <w:t>Draft of consolidated text for this statewide measure is based upon:</w:t>
            </w:r>
          </w:p>
          <w:p w14:paraId="5546A7D0" w14:textId="67604123" w:rsidR="00812904" w:rsidRDefault="00812904" w:rsidP="00AA302D">
            <w:pPr>
              <w:keepNext/>
              <w:keepLines/>
              <w:spacing w:before="20" w:after="20"/>
              <w:rPr>
                <w:rFonts w:cs="Arial"/>
                <w:sz w:val="20"/>
                <w:szCs w:val="20"/>
              </w:rPr>
            </w:pPr>
            <w:r w:rsidRPr="00496B69">
              <w:rPr>
                <w:rFonts w:cs="Arial"/>
                <w:sz w:val="20"/>
                <w:szCs w:val="20"/>
              </w:rPr>
              <w:t>SCE17HC029, Revision 1 (May 22, 2018)</w:t>
            </w:r>
          </w:p>
          <w:p w14:paraId="352DA78F" w14:textId="263B8AC0" w:rsidR="009B3637" w:rsidRDefault="009B3637" w:rsidP="00AA302D">
            <w:pPr>
              <w:keepNext/>
              <w:keepLines/>
              <w:spacing w:before="20" w:after="20"/>
              <w:rPr>
                <w:rFonts w:cs="Arial"/>
                <w:sz w:val="20"/>
                <w:szCs w:val="20"/>
              </w:rPr>
            </w:pPr>
            <w:r>
              <w:rPr>
                <w:rFonts w:cs="Arial"/>
                <w:sz w:val="20"/>
                <w:szCs w:val="20"/>
              </w:rPr>
              <w:t>PGE3PH</w:t>
            </w:r>
            <w:r w:rsidR="00E1123A">
              <w:rPr>
                <w:rFonts w:cs="Arial"/>
                <w:sz w:val="20"/>
                <w:szCs w:val="20"/>
              </w:rPr>
              <w:t>V</w:t>
            </w:r>
            <w:r>
              <w:rPr>
                <w:rFonts w:cs="Arial"/>
                <w:sz w:val="20"/>
                <w:szCs w:val="20"/>
              </w:rPr>
              <w:t>C159, Revision 5 (June 2, 2017)</w:t>
            </w:r>
          </w:p>
          <w:p w14:paraId="5224DD1C" w14:textId="38A6CF2E" w:rsidR="00E1123A" w:rsidRDefault="00E1123A" w:rsidP="00E1123A">
            <w:pPr>
              <w:keepNext/>
              <w:keepLines/>
              <w:spacing w:before="20" w:after="20"/>
              <w:rPr>
                <w:rFonts w:cs="Arial"/>
                <w:sz w:val="20"/>
                <w:szCs w:val="20"/>
              </w:rPr>
            </w:pPr>
            <w:r>
              <w:rPr>
                <w:rFonts w:cs="Arial"/>
                <w:sz w:val="20"/>
                <w:szCs w:val="20"/>
              </w:rPr>
              <w:t>PGE3PHVC159, Revision 4 (December 1, 2016)</w:t>
            </w:r>
          </w:p>
          <w:p w14:paraId="386289EE" w14:textId="5DB40778" w:rsidR="00E1123A" w:rsidRDefault="00E1123A" w:rsidP="00E1123A">
            <w:pPr>
              <w:keepNext/>
              <w:keepLines/>
              <w:spacing w:before="20" w:after="20"/>
              <w:rPr>
                <w:rFonts w:cs="Arial"/>
                <w:sz w:val="20"/>
                <w:szCs w:val="20"/>
              </w:rPr>
            </w:pPr>
            <w:r>
              <w:rPr>
                <w:rFonts w:cs="Arial"/>
                <w:sz w:val="20"/>
                <w:szCs w:val="20"/>
              </w:rPr>
              <w:t>PGE3PHVC159, Revision 2 (March 9, 2015)</w:t>
            </w:r>
          </w:p>
          <w:p w14:paraId="3381E6F3" w14:textId="77777777" w:rsidR="009B3637" w:rsidRPr="00CA1CB3" w:rsidRDefault="009B3637" w:rsidP="00AA302D">
            <w:pPr>
              <w:keepNext/>
              <w:keepLines/>
              <w:spacing w:before="20" w:after="20"/>
              <w:rPr>
                <w:rFonts w:cs="Arial"/>
                <w:sz w:val="20"/>
                <w:szCs w:val="20"/>
              </w:rPr>
            </w:pPr>
            <w:r>
              <w:rPr>
                <w:rFonts w:cs="Arial"/>
                <w:sz w:val="20"/>
                <w:szCs w:val="20"/>
              </w:rPr>
              <w:t>Consensus reached among Cal TF members.</w:t>
            </w:r>
          </w:p>
        </w:tc>
      </w:tr>
      <w:tr w:rsidR="000D5485" w:rsidRPr="00CA1CB3" w14:paraId="2A7C6362" w14:textId="77777777" w:rsidTr="00AA302D">
        <w:trPr>
          <w:trHeight w:val="20"/>
        </w:trPr>
        <w:tc>
          <w:tcPr>
            <w:tcW w:w="503" w:type="pct"/>
          </w:tcPr>
          <w:p w14:paraId="7245EFA4" w14:textId="39CB1AC9" w:rsidR="000D5485" w:rsidRPr="00CA1CB3" w:rsidRDefault="000D5485" w:rsidP="000D5485">
            <w:pPr>
              <w:keepNext/>
              <w:keepLines/>
              <w:spacing w:before="20" w:after="20"/>
              <w:rPr>
                <w:rFonts w:cs="Arial"/>
                <w:sz w:val="20"/>
                <w:szCs w:val="20"/>
              </w:rPr>
            </w:pPr>
          </w:p>
        </w:tc>
        <w:tc>
          <w:tcPr>
            <w:tcW w:w="722" w:type="pct"/>
          </w:tcPr>
          <w:p w14:paraId="0007522E" w14:textId="3CDBE3EA" w:rsidR="000D5485" w:rsidRPr="009B610A" w:rsidRDefault="000D5485" w:rsidP="000D5485">
            <w:pPr>
              <w:keepNext/>
              <w:keepLines/>
              <w:spacing w:before="20" w:after="20"/>
              <w:rPr>
                <w:rFonts w:cs="Arial"/>
                <w:sz w:val="20"/>
                <w:szCs w:val="20"/>
              </w:rPr>
            </w:pPr>
            <w:r>
              <w:rPr>
                <w:rFonts w:cs="Arial"/>
                <w:sz w:val="20"/>
                <w:szCs w:val="20"/>
              </w:rPr>
              <w:t>04/29/2019</w:t>
            </w:r>
          </w:p>
        </w:tc>
        <w:tc>
          <w:tcPr>
            <w:tcW w:w="842" w:type="pct"/>
          </w:tcPr>
          <w:p w14:paraId="1D96D18B" w14:textId="4381976B" w:rsidR="000D5485" w:rsidRDefault="000D5485" w:rsidP="000D5485">
            <w:pPr>
              <w:keepNext/>
              <w:keepLines/>
              <w:spacing w:before="20" w:after="20"/>
              <w:rPr>
                <w:rFonts w:cs="Arial"/>
                <w:sz w:val="20"/>
                <w:szCs w:val="20"/>
              </w:rPr>
            </w:pPr>
            <w:r>
              <w:rPr>
                <w:rFonts w:cs="Arial"/>
                <w:sz w:val="20"/>
                <w:szCs w:val="20"/>
              </w:rPr>
              <w:t>Adan Rosillo, PG&amp;E</w:t>
            </w:r>
          </w:p>
          <w:p w14:paraId="5D9ABF96" w14:textId="77777777" w:rsidR="000D5485" w:rsidRDefault="000D5485" w:rsidP="000D5485">
            <w:pPr>
              <w:keepNext/>
              <w:keepLines/>
              <w:spacing w:before="20" w:after="20"/>
              <w:rPr>
                <w:rFonts w:cs="Arial"/>
                <w:sz w:val="20"/>
                <w:szCs w:val="20"/>
              </w:rPr>
            </w:pPr>
          </w:p>
          <w:p w14:paraId="037B23EC" w14:textId="00DC46DA" w:rsidR="000D5485" w:rsidRPr="009B610A" w:rsidRDefault="000D5485" w:rsidP="000D5485">
            <w:pPr>
              <w:keepNext/>
              <w:keepLines/>
              <w:spacing w:before="20" w:after="20"/>
              <w:rPr>
                <w:rFonts w:cs="Arial"/>
                <w:sz w:val="20"/>
                <w:szCs w:val="20"/>
              </w:rPr>
            </w:pPr>
            <w:r w:rsidRPr="009B610A">
              <w:rPr>
                <w:rFonts w:cs="Arial"/>
                <w:sz w:val="20"/>
                <w:szCs w:val="20"/>
              </w:rPr>
              <w:t>Jennifer Holmes</w:t>
            </w:r>
          </w:p>
          <w:p w14:paraId="33E85BE5" w14:textId="261DBD33" w:rsidR="000D5485" w:rsidRPr="009B610A" w:rsidRDefault="000D5485" w:rsidP="000D5485">
            <w:pPr>
              <w:keepNext/>
              <w:keepLines/>
              <w:spacing w:before="20" w:after="20"/>
              <w:rPr>
                <w:rFonts w:cs="Arial"/>
                <w:sz w:val="20"/>
                <w:szCs w:val="20"/>
              </w:rPr>
            </w:pPr>
            <w:r w:rsidRPr="009B610A">
              <w:rPr>
                <w:rFonts w:cs="Arial"/>
                <w:sz w:val="20"/>
                <w:szCs w:val="20"/>
              </w:rPr>
              <w:t>Cal TF Staff</w:t>
            </w:r>
          </w:p>
        </w:tc>
        <w:tc>
          <w:tcPr>
            <w:tcW w:w="2933" w:type="pct"/>
          </w:tcPr>
          <w:p w14:paraId="741A27F9" w14:textId="00B7B073" w:rsidR="000D5485" w:rsidRDefault="000D5485" w:rsidP="000D5485">
            <w:pPr>
              <w:keepNext/>
              <w:keepLines/>
              <w:spacing w:before="20" w:after="20"/>
              <w:rPr>
                <w:rFonts w:cs="Arial"/>
                <w:sz w:val="20"/>
                <w:szCs w:val="20"/>
              </w:rPr>
            </w:pPr>
            <w:r>
              <w:rPr>
                <w:rFonts w:cs="Arial"/>
                <w:sz w:val="20"/>
                <w:szCs w:val="20"/>
              </w:rPr>
              <w:t>Revisions for submittal of version 01.</w:t>
            </w:r>
          </w:p>
        </w:tc>
      </w:tr>
      <w:tr w:rsidR="009B3838" w:rsidRPr="00CA1CB3" w14:paraId="5F19A59D" w14:textId="77777777" w:rsidTr="00AA302D">
        <w:trPr>
          <w:trHeight w:val="20"/>
        </w:trPr>
        <w:tc>
          <w:tcPr>
            <w:tcW w:w="503" w:type="pct"/>
          </w:tcPr>
          <w:p w14:paraId="7E486F8D" w14:textId="33AAC818" w:rsidR="009B3838" w:rsidRPr="00CA1CB3" w:rsidRDefault="009B3838" w:rsidP="000D5485">
            <w:pPr>
              <w:keepNext/>
              <w:keepLines/>
              <w:spacing w:before="20" w:after="20"/>
              <w:rPr>
                <w:rFonts w:cs="Arial"/>
                <w:sz w:val="20"/>
                <w:szCs w:val="20"/>
              </w:rPr>
            </w:pPr>
            <w:bookmarkStart w:id="85" w:name="_Hlk55475255"/>
          </w:p>
        </w:tc>
        <w:tc>
          <w:tcPr>
            <w:tcW w:w="722" w:type="pct"/>
          </w:tcPr>
          <w:p w14:paraId="3BEC7B05" w14:textId="2E0E0ECA" w:rsidR="009B3838" w:rsidRDefault="009B3838" w:rsidP="000D5485">
            <w:pPr>
              <w:keepNext/>
              <w:keepLines/>
              <w:spacing w:before="20" w:after="20"/>
              <w:rPr>
                <w:rFonts w:cs="Arial"/>
                <w:sz w:val="20"/>
                <w:szCs w:val="20"/>
              </w:rPr>
            </w:pPr>
            <w:r>
              <w:rPr>
                <w:rFonts w:cs="Arial"/>
                <w:sz w:val="20"/>
                <w:szCs w:val="20"/>
              </w:rPr>
              <w:t>07/02/2019</w:t>
            </w:r>
          </w:p>
        </w:tc>
        <w:tc>
          <w:tcPr>
            <w:tcW w:w="842" w:type="pct"/>
          </w:tcPr>
          <w:p w14:paraId="7A383FF6" w14:textId="182E6720" w:rsidR="009B3838" w:rsidRDefault="009B3838" w:rsidP="000D5485">
            <w:pPr>
              <w:keepNext/>
              <w:keepLines/>
              <w:spacing w:before="20" w:after="20"/>
              <w:rPr>
                <w:rFonts w:cs="Arial"/>
                <w:sz w:val="20"/>
                <w:szCs w:val="20"/>
              </w:rPr>
            </w:pPr>
            <w:r>
              <w:rPr>
                <w:rFonts w:cs="Arial"/>
                <w:sz w:val="20"/>
                <w:szCs w:val="20"/>
              </w:rPr>
              <w:t>Ayad Al-Shaikh, Cal TF Staff</w:t>
            </w:r>
          </w:p>
        </w:tc>
        <w:tc>
          <w:tcPr>
            <w:tcW w:w="2933" w:type="pct"/>
          </w:tcPr>
          <w:p w14:paraId="5AFAB5B4" w14:textId="14753C98" w:rsidR="009B3838" w:rsidRDefault="009B3838" w:rsidP="000D5485">
            <w:pPr>
              <w:keepNext/>
              <w:keepLines/>
              <w:spacing w:before="20" w:after="20"/>
              <w:rPr>
                <w:rFonts w:cs="Arial"/>
                <w:sz w:val="20"/>
                <w:szCs w:val="20"/>
              </w:rPr>
            </w:pPr>
            <w:r>
              <w:rPr>
                <w:rFonts w:cs="Arial"/>
                <w:sz w:val="20"/>
                <w:szCs w:val="20"/>
              </w:rPr>
              <w:t>Update DEER IDs</w:t>
            </w:r>
          </w:p>
        </w:tc>
      </w:tr>
      <w:bookmarkEnd w:id="85"/>
      <w:tr w:rsidR="00221C5A" w:rsidRPr="00CA1CB3" w14:paraId="3FFF7207" w14:textId="77777777" w:rsidTr="00AA302D">
        <w:trPr>
          <w:trHeight w:val="20"/>
        </w:trPr>
        <w:tc>
          <w:tcPr>
            <w:tcW w:w="503" w:type="pct"/>
          </w:tcPr>
          <w:p w14:paraId="328E4985" w14:textId="62B92046" w:rsidR="00221C5A" w:rsidRPr="00CA1CB3" w:rsidRDefault="00221C5A" w:rsidP="000D5485">
            <w:pPr>
              <w:keepNext/>
              <w:keepLines/>
              <w:spacing w:before="20" w:after="20"/>
              <w:rPr>
                <w:rFonts w:cs="Arial"/>
                <w:sz w:val="20"/>
                <w:szCs w:val="20"/>
              </w:rPr>
            </w:pPr>
            <w:r>
              <w:rPr>
                <w:rFonts w:cs="Arial"/>
                <w:sz w:val="20"/>
                <w:szCs w:val="20"/>
              </w:rPr>
              <w:t>02</w:t>
            </w:r>
          </w:p>
        </w:tc>
        <w:tc>
          <w:tcPr>
            <w:tcW w:w="722" w:type="pct"/>
          </w:tcPr>
          <w:p w14:paraId="17A748F6" w14:textId="608B244B" w:rsidR="00221C5A" w:rsidRDefault="00221C5A" w:rsidP="000D5485">
            <w:pPr>
              <w:keepNext/>
              <w:keepLines/>
              <w:spacing w:before="20" w:after="20"/>
              <w:rPr>
                <w:rFonts w:cs="Arial"/>
                <w:sz w:val="20"/>
                <w:szCs w:val="20"/>
              </w:rPr>
            </w:pPr>
            <w:r>
              <w:rPr>
                <w:rFonts w:cs="Arial"/>
                <w:sz w:val="20"/>
                <w:szCs w:val="20"/>
              </w:rPr>
              <w:t>09/18/2020</w:t>
            </w:r>
          </w:p>
        </w:tc>
        <w:tc>
          <w:tcPr>
            <w:tcW w:w="842" w:type="pct"/>
          </w:tcPr>
          <w:p w14:paraId="6A1AD110" w14:textId="057EF747" w:rsidR="00221C5A" w:rsidRDefault="00221C5A" w:rsidP="000D5485">
            <w:pPr>
              <w:keepNext/>
              <w:keepLines/>
              <w:spacing w:before="20" w:after="20"/>
              <w:rPr>
                <w:rFonts w:cs="Arial"/>
                <w:sz w:val="20"/>
                <w:szCs w:val="20"/>
              </w:rPr>
            </w:pPr>
            <w:r>
              <w:rPr>
                <w:rFonts w:cs="Arial"/>
                <w:sz w:val="20"/>
                <w:szCs w:val="20"/>
              </w:rPr>
              <w:t>Phil Jordan</w:t>
            </w:r>
            <w:r w:rsidR="00FC5345">
              <w:rPr>
                <w:rFonts w:cs="Arial"/>
                <w:sz w:val="20"/>
                <w:szCs w:val="20"/>
              </w:rPr>
              <w:t>,</w:t>
            </w:r>
          </w:p>
          <w:p w14:paraId="514125B9" w14:textId="77777777" w:rsidR="00221C5A" w:rsidRDefault="00221C5A" w:rsidP="000D5485">
            <w:pPr>
              <w:keepNext/>
              <w:keepLines/>
              <w:spacing w:before="20" w:after="20"/>
              <w:rPr>
                <w:rFonts w:cs="Arial"/>
                <w:sz w:val="20"/>
                <w:szCs w:val="20"/>
              </w:rPr>
            </w:pPr>
            <w:r>
              <w:rPr>
                <w:rFonts w:cs="Arial"/>
                <w:sz w:val="20"/>
                <w:szCs w:val="20"/>
              </w:rPr>
              <w:t>CLEAResult</w:t>
            </w:r>
          </w:p>
          <w:p w14:paraId="07A6D073" w14:textId="72E10F0B" w:rsidR="00221C5A" w:rsidRDefault="00221C5A" w:rsidP="000D5485">
            <w:pPr>
              <w:keepNext/>
              <w:keepLines/>
              <w:spacing w:before="20" w:after="20"/>
              <w:rPr>
                <w:rFonts w:cs="Arial"/>
                <w:sz w:val="20"/>
                <w:szCs w:val="20"/>
              </w:rPr>
            </w:pPr>
            <w:r>
              <w:rPr>
                <w:rFonts w:cs="Arial"/>
                <w:sz w:val="20"/>
                <w:szCs w:val="20"/>
              </w:rPr>
              <w:t>Tai Voong</w:t>
            </w:r>
            <w:r w:rsidR="00FC5345">
              <w:rPr>
                <w:rFonts w:cs="Arial"/>
                <w:sz w:val="20"/>
                <w:szCs w:val="20"/>
              </w:rPr>
              <w:t>,</w:t>
            </w:r>
            <w:r>
              <w:rPr>
                <w:rFonts w:cs="Arial"/>
                <w:sz w:val="20"/>
                <w:szCs w:val="20"/>
              </w:rPr>
              <w:t xml:space="preserve"> PG&amp;E</w:t>
            </w:r>
          </w:p>
        </w:tc>
        <w:tc>
          <w:tcPr>
            <w:tcW w:w="2933" w:type="pct"/>
          </w:tcPr>
          <w:p w14:paraId="3FC10802" w14:textId="32C30712" w:rsidR="00383A98" w:rsidRDefault="00383A98" w:rsidP="00383A98">
            <w:pPr>
              <w:keepNext/>
              <w:keepLines/>
              <w:spacing w:before="20" w:after="20"/>
              <w:rPr>
                <w:rFonts w:cs="Arial"/>
                <w:sz w:val="20"/>
                <w:szCs w:val="20"/>
              </w:rPr>
            </w:pPr>
            <w:r>
              <w:rPr>
                <w:rFonts w:cs="Arial"/>
                <w:sz w:val="20"/>
                <w:szCs w:val="20"/>
              </w:rPr>
              <w:t xml:space="preserve">Update per Resolution E-5082 (MAT &amp; EUL) &amp; CPUC’s comments. </w:t>
            </w:r>
          </w:p>
          <w:p w14:paraId="4C70841B" w14:textId="77777777" w:rsidR="00A94A1A" w:rsidRDefault="00A94A1A" w:rsidP="00383A98">
            <w:pPr>
              <w:keepNext/>
              <w:keepLines/>
              <w:spacing w:before="20" w:after="20"/>
              <w:rPr>
                <w:rFonts w:cs="Arial"/>
                <w:sz w:val="20"/>
                <w:szCs w:val="20"/>
              </w:rPr>
            </w:pPr>
          </w:p>
          <w:p w14:paraId="5AC8550E" w14:textId="1388D741" w:rsidR="00383A98" w:rsidRDefault="00383A98" w:rsidP="00383A98">
            <w:pPr>
              <w:keepNext/>
              <w:keepLines/>
              <w:spacing w:before="20" w:after="20"/>
              <w:rPr>
                <w:rFonts w:cs="Arial"/>
                <w:sz w:val="20"/>
                <w:szCs w:val="20"/>
              </w:rPr>
            </w:pPr>
            <w:r>
              <w:rPr>
                <w:rFonts w:cs="Arial"/>
                <w:sz w:val="20"/>
                <w:szCs w:val="20"/>
              </w:rPr>
              <w:t>DMo &amp; pre</w:t>
            </w:r>
            <w:r w:rsidR="00A94A1A">
              <w:rPr>
                <w:rFonts w:cs="Arial"/>
                <w:sz w:val="20"/>
                <w:szCs w:val="20"/>
              </w:rPr>
              <w:t>-</w:t>
            </w:r>
            <w:r>
              <w:rPr>
                <w:rFonts w:cs="Arial"/>
                <w:sz w:val="20"/>
                <w:szCs w:val="20"/>
              </w:rPr>
              <w:t>vintages of 2006 for SFm &amp;</w:t>
            </w:r>
            <w:r w:rsidR="00A94A1A">
              <w:rPr>
                <w:rFonts w:cs="Arial"/>
                <w:sz w:val="20"/>
                <w:szCs w:val="20"/>
              </w:rPr>
              <w:t xml:space="preserve"> </w:t>
            </w:r>
            <w:r>
              <w:rPr>
                <w:rFonts w:cs="Arial"/>
                <w:sz w:val="20"/>
                <w:szCs w:val="20"/>
              </w:rPr>
              <w:t>MFm</w:t>
            </w:r>
          </w:p>
          <w:p w14:paraId="390B7D2E" w14:textId="7AEEFEAD" w:rsidR="00383A98" w:rsidRDefault="00383A98" w:rsidP="00383A98">
            <w:pPr>
              <w:keepNext/>
              <w:keepLines/>
              <w:spacing w:before="20" w:after="20"/>
              <w:rPr>
                <w:rFonts w:cs="Arial"/>
                <w:sz w:val="20"/>
                <w:szCs w:val="20"/>
              </w:rPr>
            </w:pPr>
            <w:r>
              <w:rPr>
                <w:rFonts w:cs="Arial"/>
                <w:sz w:val="20"/>
                <w:szCs w:val="20"/>
              </w:rPr>
              <w:t>(MAT=BW, EUL=18 years, &amp; EUL ID=</w:t>
            </w:r>
            <w:r>
              <w:rPr>
                <w:rFonts w:cstheme="minorHAnsi"/>
                <w:sz w:val="20"/>
                <w:szCs w:val="20"/>
              </w:rPr>
              <w:t>HV-Duc</w:t>
            </w:r>
            <w:r w:rsidR="00A94A1A">
              <w:rPr>
                <w:rFonts w:cstheme="minorHAnsi"/>
                <w:sz w:val="20"/>
                <w:szCs w:val="20"/>
              </w:rPr>
              <w:t>t</w:t>
            </w:r>
            <w:r>
              <w:rPr>
                <w:rFonts w:cstheme="minorHAnsi"/>
                <w:sz w:val="20"/>
                <w:szCs w:val="20"/>
              </w:rPr>
              <w:t>Seal-BW)</w:t>
            </w:r>
          </w:p>
          <w:p w14:paraId="37AA34FA" w14:textId="77777777" w:rsidR="00383A98" w:rsidRDefault="00383A98" w:rsidP="000D5485">
            <w:pPr>
              <w:keepNext/>
              <w:keepLines/>
              <w:spacing w:before="20" w:after="20"/>
              <w:rPr>
                <w:rFonts w:cs="Arial"/>
                <w:sz w:val="20"/>
                <w:szCs w:val="20"/>
              </w:rPr>
            </w:pPr>
          </w:p>
          <w:p w14:paraId="53F55811" w14:textId="4CA042D3" w:rsidR="00204A52" w:rsidRDefault="00A94A1A" w:rsidP="000D5485">
            <w:pPr>
              <w:keepNext/>
              <w:keepLines/>
              <w:spacing w:before="20" w:after="20"/>
              <w:rPr>
                <w:rFonts w:cs="Arial"/>
                <w:sz w:val="20"/>
                <w:szCs w:val="20"/>
              </w:rPr>
            </w:pPr>
            <w:r>
              <w:rPr>
                <w:rFonts w:cs="Arial"/>
                <w:sz w:val="20"/>
                <w:szCs w:val="20"/>
              </w:rPr>
              <w:t>2006 &amp; p</w:t>
            </w:r>
            <w:r w:rsidR="00221C5A">
              <w:rPr>
                <w:rFonts w:cs="Arial"/>
                <w:sz w:val="20"/>
                <w:szCs w:val="20"/>
              </w:rPr>
              <w:t>ost</w:t>
            </w:r>
            <w:r>
              <w:rPr>
                <w:rFonts w:cs="Arial"/>
                <w:sz w:val="20"/>
                <w:szCs w:val="20"/>
              </w:rPr>
              <w:t>-</w:t>
            </w:r>
            <w:r w:rsidR="00221C5A">
              <w:rPr>
                <w:rFonts w:cs="Arial"/>
                <w:sz w:val="20"/>
                <w:szCs w:val="20"/>
              </w:rPr>
              <w:t>vintages of 2006 for SFm &amp;MFm</w:t>
            </w:r>
          </w:p>
          <w:p w14:paraId="5F28214F" w14:textId="3FD7C6CA" w:rsidR="00A94A1A" w:rsidRDefault="00A94A1A" w:rsidP="00A94A1A">
            <w:pPr>
              <w:keepNext/>
              <w:keepLines/>
              <w:spacing w:before="20" w:after="20"/>
              <w:rPr>
                <w:rFonts w:cs="Arial"/>
                <w:sz w:val="20"/>
                <w:szCs w:val="20"/>
              </w:rPr>
            </w:pPr>
            <w:r>
              <w:rPr>
                <w:rFonts w:cs="Arial"/>
                <w:sz w:val="20"/>
                <w:szCs w:val="20"/>
              </w:rPr>
              <w:t>(MAT=</w:t>
            </w:r>
            <w:r w:rsidR="00831072">
              <w:rPr>
                <w:rFonts w:cs="Calibri Light"/>
                <w:sz w:val="20"/>
              </w:rPr>
              <w:t xml:space="preserve"> BRO-RCx</w:t>
            </w:r>
            <w:r>
              <w:rPr>
                <w:rFonts w:cs="Arial"/>
                <w:sz w:val="20"/>
                <w:szCs w:val="20"/>
              </w:rPr>
              <w:t>, EUL=3 years, &amp; EUL ID=</w:t>
            </w:r>
            <w:r>
              <w:rPr>
                <w:rFonts w:cstheme="minorHAnsi"/>
                <w:sz w:val="20"/>
                <w:szCs w:val="20"/>
              </w:rPr>
              <w:t>HV-DuctSeal)</w:t>
            </w:r>
          </w:p>
          <w:p w14:paraId="3B30885F" w14:textId="4FEC77AE" w:rsidR="00A94A1A" w:rsidRDefault="00A94A1A" w:rsidP="000D5485">
            <w:pPr>
              <w:keepNext/>
              <w:keepLines/>
              <w:spacing w:before="20" w:after="20"/>
              <w:rPr>
                <w:rFonts w:cs="Arial"/>
                <w:sz w:val="20"/>
                <w:szCs w:val="20"/>
              </w:rPr>
            </w:pPr>
          </w:p>
          <w:p w14:paraId="5E72EBAC" w14:textId="0400EE4F" w:rsidR="00383A98" w:rsidRDefault="00383A98" w:rsidP="00383A98">
            <w:pPr>
              <w:keepNext/>
              <w:keepLines/>
              <w:spacing w:before="20" w:after="20"/>
              <w:rPr>
                <w:rFonts w:cs="Arial"/>
                <w:sz w:val="20"/>
                <w:szCs w:val="20"/>
              </w:rPr>
            </w:pPr>
            <w:r>
              <w:rPr>
                <w:rFonts w:cs="Arial"/>
                <w:sz w:val="20"/>
                <w:szCs w:val="20"/>
              </w:rPr>
              <w:t>Update energy impact for Res-DuctSeal-HighToLow-wtd &amp; Res-DuctSeal-</w:t>
            </w:r>
            <w:proofErr w:type="spellStart"/>
            <w:r>
              <w:rPr>
                <w:rFonts w:cs="Arial"/>
                <w:sz w:val="20"/>
                <w:szCs w:val="20"/>
              </w:rPr>
              <w:t>MedToLow</w:t>
            </w:r>
            <w:proofErr w:type="spellEnd"/>
            <w:r>
              <w:rPr>
                <w:rFonts w:cs="Arial"/>
                <w:sz w:val="20"/>
                <w:szCs w:val="20"/>
              </w:rPr>
              <w:t>-wtd by DEER dated September 2020</w:t>
            </w:r>
          </w:p>
          <w:p w14:paraId="44675269" w14:textId="77777777" w:rsidR="00383A98" w:rsidRDefault="00383A98" w:rsidP="000D5485">
            <w:pPr>
              <w:keepNext/>
              <w:keepLines/>
              <w:spacing w:before="20" w:after="20"/>
              <w:rPr>
                <w:rFonts w:cs="Arial"/>
                <w:sz w:val="20"/>
                <w:szCs w:val="20"/>
              </w:rPr>
            </w:pPr>
          </w:p>
          <w:p w14:paraId="69AE0ED2" w14:textId="54C77C85" w:rsidR="00221C5A" w:rsidRDefault="00204A52" w:rsidP="000D5485">
            <w:pPr>
              <w:keepNext/>
              <w:keepLines/>
              <w:spacing w:before="20" w:after="20"/>
              <w:rPr>
                <w:rFonts w:cs="Arial"/>
                <w:sz w:val="20"/>
                <w:szCs w:val="20"/>
              </w:rPr>
            </w:pPr>
            <w:bookmarkStart w:id="86" w:name="_Hlk51064458"/>
            <w:r>
              <w:rPr>
                <w:rFonts w:cs="Arial"/>
                <w:sz w:val="20"/>
                <w:szCs w:val="20"/>
              </w:rPr>
              <w:t>Update cost using RSMeans Cost Index</w:t>
            </w:r>
            <w:bookmarkEnd w:id="86"/>
          </w:p>
          <w:p w14:paraId="25977F68" w14:textId="045F114C" w:rsidR="00F2195D" w:rsidRDefault="00F2195D" w:rsidP="000D5485">
            <w:pPr>
              <w:keepNext/>
              <w:keepLines/>
              <w:spacing w:before="20" w:after="20"/>
              <w:rPr>
                <w:rFonts w:cs="Arial"/>
                <w:sz w:val="20"/>
                <w:szCs w:val="20"/>
              </w:rPr>
            </w:pPr>
            <w:r>
              <w:rPr>
                <w:rFonts w:cs="Arial"/>
                <w:sz w:val="20"/>
                <w:szCs w:val="20"/>
              </w:rPr>
              <w:t>DEER data</w:t>
            </w:r>
            <w:r w:rsidR="0001397F">
              <w:rPr>
                <w:rFonts w:cs="Arial"/>
                <w:sz w:val="20"/>
                <w:szCs w:val="20"/>
              </w:rPr>
              <w:t xml:space="preserve"> energy impact</w:t>
            </w:r>
            <w:r>
              <w:rPr>
                <w:rFonts w:cs="Arial"/>
                <w:sz w:val="20"/>
                <w:szCs w:val="20"/>
              </w:rPr>
              <w:t xml:space="preserve"> 9/17/2020</w:t>
            </w:r>
          </w:p>
        </w:tc>
      </w:tr>
      <w:tr w:rsidR="00D1016D" w:rsidRPr="00CA1CB3" w14:paraId="1742F453" w14:textId="77777777" w:rsidTr="00AA302D">
        <w:trPr>
          <w:trHeight w:val="20"/>
        </w:trPr>
        <w:tc>
          <w:tcPr>
            <w:tcW w:w="503" w:type="pct"/>
          </w:tcPr>
          <w:p w14:paraId="5893357B" w14:textId="52498BA2" w:rsidR="00D1016D" w:rsidRPr="00D1016D" w:rsidRDefault="00697411" w:rsidP="00D1016D">
            <w:pPr>
              <w:keepNext/>
              <w:keepLines/>
              <w:spacing w:before="20" w:after="20"/>
              <w:rPr>
                <w:rFonts w:cs="Arial"/>
                <w:sz w:val="20"/>
                <w:szCs w:val="20"/>
              </w:rPr>
            </w:pPr>
            <w:bookmarkStart w:id="87" w:name="_Hlk71732288"/>
            <w:r>
              <w:rPr>
                <w:rFonts w:cs="Arial"/>
                <w:sz w:val="20"/>
                <w:szCs w:val="20"/>
              </w:rPr>
              <w:t>03</w:t>
            </w:r>
          </w:p>
        </w:tc>
        <w:tc>
          <w:tcPr>
            <w:tcW w:w="722" w:type="pct"/>
          </w:tcPr>
          <w:p w14:paraId="227786FA" w14:textId="210E4777" w:rsidR="00D1016D" w:rsidRPr="00D1016D" w:rsidRDefault="003F6B8F" w:rsidP="00D1016D">
            <w:pPr>
              <w:keepNext/>
              <w:keepLines/>
              <w:spacing w:before="20" w:after="20"/>
              <w:rPr>
                <w:rFonts w:cs="Arial"/>
                <w:sz w:val="20"/>
                <w:szCs w:val="20"/>
              </w:rPr>
            </w:pPr>
            <w:r>
              <w:rPr>
                <w:rFonts w:cs="Arial"/>
                <w:sz w:val="20"/>
                <w:szCs w:val="20"/>
              </w:rPr>
              <w:t>12</w:t>
            </w:r>
            <w:r w:rsidR="00D1016D" w:rsidRPr="00D1016D">
              <w:rPr>
                <w:rFonts w:cs="Arial"/>
                <w:sz w:val="20"/>
                <w:szCs w:val="20"/>
              </w:rPr>
              <w:t>/</w:t>
            </w:r>
            <w:r w:rsidR="00582F08">
              <w:rPr>
                <w:rFonts w:cs="Arial"/>
                <w:sz w:val="20"/>
                <w:szCs w:val="20"/>
              </w:rPr>
              <w:t>11</w:t>
            </w:r>
            <w:r w:rsidR="00D1016D" w:rsidRPr="00D1016D">
              <w:rPr>
                <w:rFonts w:cs="Arial"/>
                <w:sz w:val="20"/>
                <w:szCs w:val="20"/>
              </w:rPr>
              <w:t>/20</w:t>
            </w:r>
            <w:r w:rsidR="00D1016D">
              <w:rPr>
                <w:rFonts w:cs="Arial"/>
                <w:sz w:val="20"/>
                <w:szCs w:val="20"/>
              </w:rPr>
              <w:t>20</w:t>
            </w:r>
          </w:p>
        </w:tc>
        <w:tc>
          <w:tcPr>
            <w:tcW w:w="842" w:type="pct"/>
          </w:tcPr>
          <w:p w14:paraId="5E81EFBF" w14:textId="4FBF6ED3" w:rsidR="00D1016D" w:rsidRPr="002A6ED0" w:rsidRDefault="002A6ED0" w:rsidP="00D1016D">
            <w:pPr>
              <w:keepNext/>
              <w:keepLines/>
              <w:spacing w:before="20" w:after="20"/>
              <w:rPr>
                <w:rFonts w:cs="Arial"/>
                <w:sz w:val="20"/>
                <w:szCs w:val="20"/>
              </w:rPr>
            </w:pPr>
            <w:r>
              <w:rPr>
                <w:rFonts w:cs="Arial"/>
                <w:sz w:val="20"/>
                <w:szCs w:val="20"/>
              </w:rPr>
              <w:t>Tai Voong, PG&amp;E</w:t>
            </w:r>
          </w:p>
        </w:tc>
        <w:tc>
          <w:tcPr>
            <w:tcW w:w="2933" w:type="pct"/>
          </w:tcPr>
          <w:p w14:paraId="634CA893" w14:textId="77777777" w:rsidR="00D1016D" w:rsidRDefault="00D1016D" w:rsidP="00D1016D">
            <w:pPr>
              <w:keepNext/>
              <w:keepLines/>
              <w:spacing w:before="20" w:after="20"/>
              <w:rPr>
                <w:rFonts w:cs="Arial"/>
                <w:sz w:val="20"/>
                <w:szCs w:val="20"/>
              </w:rPr>
            </w:pPr>
            <w:r w:rsidRPr="002A6ED0">
              <w:rPr>
                <w:rFonts w:cs="Arial"/>
                <w:sz w:val="20"/>
                <w:szCs w:val="20"/>
              </w:rPr>
              <w:t xml:space="preserve">Update </w:t>
            </w:r>
            <w:r w:rsidR="002A6ED0">
              <w:rPr>
                <w:rFonts w:cs="Arial"/>
                <w:sz w:val="20"/>
                <w:szCs w:val="20"/>
              </w:rPr>
              <w:t>per CPUC Comments on 10/5/2020</w:t>
            </w:r>
          </w:p>
          <w:p w14:paraId="58BBD4C8" w14:textId="1409F066" w:rsidR="003F6B8F" w:rsidRDefault="003F6B8F" w:rsidP="00D1016D">
            <w:pPr>
              <w:keepNext/>
              <w:keepLines/>
              <w:spacing w:before="20" w:after="20"/>
              <w:rPr>
                <w:rFonts w:cs="Arial"/>
                <w:sz w:val="20"/>
                <w:szCs w:val="20"/>
              </w:rPr>
            </w:pPr>
            <w:r>
              <w:rPr>
                <w:rFonts w:cs="Arial"/>
                <w:sz w:val="20"/>
                <w:szCs w:val="20"/>
              </w:rPr>
              <w:t>Use 2021 DEER energy impact data released on 11/</w:t>
            </w:r>
            <w:r w:rsidR="006334FE">
              <w:rPr>
                <w:rFonts w:cs="Arial"/>
                <w:sz w:val="20"/>
                <w:szCs w:val="20"/>
              </w:rPr>
              <w:t>19</w:t>
            </w:r>
            <w:r>
              <w:rPr>
                <w:rFonts w:cs="Arial"/>
                <w:sz w:val="20"/>
                <w:szCs w:val="20"/>
              </w:rPr>
              <w:t>/2020</w:t>
            </w:r>
          </w:p>
          <w:p w14:paraId="39D764CE" w14:textId="5A3B2D12" w:rsidR="003F6B8F" w:rsidRPr="002A6ED0" w:rsidRDefault="003F6B8F" w:rsidP="00D1016D">
            <w:pPr>
              <w:keepNext/>
              <w:keepLines/>
              <w:spacing w:before="20" w:after="20"/>
              <w:rPr>
                <w:rFonts w:cs="Arial"/>
                <w:sz w:val="20"/>
                <w:szCs w:val="20"/>
              </w:rPr>
            </w:pPr>
            <w:r>
              <w:rPr>
                <w:rFonts w:cs="Arial"/>
                <w:sz w:val="20"/>
                <w:szCs w:val="20"/>
              </w:rPr>
              <w:t>Add measure codes for rNCGF</w:t>
            </w:r>
          </w:p>
        </w:tc>
      </w:tr>
      <w:bookmarkEnd w:id="87"/>
      <w:tr w:rsidR="0023617D" w:rsidRPr="00CA1CB3" w14:paraId="7B23763B" w14:textId="77777777" w:rsidTr="00AA302D">
        <w:trPr>
          <w:trHeight w:val="20"/>
        </w:trPr>
        <w:tc>
          <w:tcPr>
            <w:tcW w:w="503" w:type="pct"/>
          </w:tcPr>
          <w:p w14:paraId="1560C8C3" w14:textId="77777777" w:rsidR="0023617D" w:rsidRPr="00D1016D" w:rsidRDefault="0023617D" w:rsidP="00D1016D">
            <w:pPr>
              <w:keepNext/>
              <w:keepLines/>
              <w:spacing w:before="20" w:after="20"/>
              <w:rPr>
                <w:rFonts w:cs="Arial"/>
                <w:sz w:val="20"/>
                <w:szCs w:val="20"/>
              </w:rPr>
            </w:pPr>
          </w:p>
        </w:tc>
        <w:tc>
          <w:tcPr>
            <w:tcW w:w="722" w:type="pct"/>
          </w:tcPr>
          <w:p w14:paraId="3D02B0CA" w14:textId="0FF5B21F" w:rsidR="0023617D" w:rsidRDefault="00697411" w:rsidP="00D1016D">
            <w:pPr>
              <w:keepNext/>
              <w:keepLines/>
              <w:spacing w:before="20" w:after="20"/>
              <w:rPr>
                <w:rFonts w:cs="Arial"/>
                <w:sz w:val="20"/>
                <w:szCs w:val="20"/>
              </w:rPr>
            </w:pPr>
            <w:r>
              <w:rPr>
                <w:rFonts w:cs="Arial"/>
                <w:sz w:val="20"/>
                <w:szCs w:val="20"/>
              </w:rPr>
              <w:t>0</w:t>
            </w:r>
            <w:r w:rsidR="0023617D">
              <w:rPr>
                <w:rFonts w:cs="Arial"/>
                <w:sz w:val="20"/>
                <w:szCs w:val="20"/>
              </w:rPr>
              <w:t>3/</w:t>
            </w:r>
            <w:r w:rsidR="009C767C">
              <w:rPr>
                <w:rFonts w:cs="Arial"/>
                <w:sz w:val="20"/>
                <w:szCs w:val="20"/>
              </w:rPr>
              <w:t>1</w:t>
            </w:r>
            <w:r w:rsidR="001C0FC7">
              <w:rPr>
                <w:rFonts w:cs="Arial"/>
                <w:sz w:val="20"/>
                <w:szCs w:val="20"/>
              </w:rPr>
              <w:t>9</w:t>
            </w:r>
            <w:r w:rsidR="00066271">
              <w:rPr>
                <w:rFonts w:cs="Arial"/>
                <w:sz w:val="20"/>
                <w:szCs w:val="20"/>
              </w:rPr>
              <w:t>/2021</w:t>
            </w:r>
          </w:p>
        </w:tc>
        <w:tc>
          <w:tcPr>
            <w:tcW w:w="842" w:type="pct"/>
          </w:tcPr>
          <w:p w14:paraId="3EBBAB5B" w14:textId="77777777" w:rsidR="0023617D" w:rsidRDefault="00066271" w:rsidP="00D1016D">
            <w:pPr>
              <w:keepNext/>
              <w:keepLines/>
              <w:spacing w:before="20" w:after="20"/>
              <w:rPr>
                <w:rFonts w:cs="Arial"/>
                <w:sz w:val="20"/>
                <w:szCs w:val="20"/>
              </w:rPr>
            </w:pPr>
            <w:r>
              <w:rPr>
                <w:rFonts w:cs="Arial"/>
                <w:sz w:val="20"/>
                <w:szCs w:val="20"/>
              </w:rPr>
              <w:t>Lake Caso, PE</w:t>
            </w:r>
          </w:p>
          <w:p w14:paraId="7A9510D0" w14:textId="77777777" w:rsidR="00066271" w:rsidRDefault="00066271" w:rsidP="00D1016D">
            <w:pPr>
              <w:keepNext/>
              <w:keepLines/>
              <w:spacing w:before="20" w:after="20"/>
              <w:rPr>
                <w:rFonts w:cs="Arial"/>
                <w:sz w:val="20"/>
                <w:szCs w:val="20"/>
              </w:rPr>
            </w:pPr>
            <w:r>
              <w:rPr>
                <w:rFonts w:cs="Arial"/>
                <w:sz w:val="20"/>
                <w:szCs w:val="20"/>
              </w:rPr>
              <w:t>TRC</w:t>
            </w:r>
          </w:p>
          <w:p w14:paraId="2C3A2BC1" w14:textId="77777777" w:rsidR="001C0FC7" w:rsidRDefault="001C0FC7" w:rsidP="00D1016D">
            <w:pPr>
              <w:keepNext/>
              <w:keepLines/>
              <w:spacing w:before="20" w:after="20"/>
              <w:rPr>
                <w:rFonts w:cs="Arial"/>
                <w:sz w:val="20"/>
                <w:szCs w:val="20"/>
              </w:rPr>
            </w:pPr>
          </w:p>
          <w:p w14:paraId="72C3140F" w14:textId="77777777" w:rsidR="001C0FC7" w:rsidRDefault="001C0FC7" w:rsidP="00D1016D">
            <w:pPr>
              <w:keepNext/>
              <w:keepLines/>
              <w:spacing w:before="20" w:after="20"/>
              <w:rPr>
                <w:rFonts w:cs="Arial"/>
                <w:sz w:val="20"/>
                <w:szCs w:val="20"/>
              </w:rPr>
            </w:pPr>
            <w:r>
              <w:rPr>
                <w:rFonts w:cs="Arial"/>
                <w:sz w:val="20"/>
                <w:szCs w:val="20"/>
              </w:rPr>
              <w:t>Tai Voong,</w:t>
            </w:r>
          </w:p>
          <w:p w14:paraId="2B4507F5" w14:textId="495BEC0E" w:rsidR="001C0FC7" w:rsidRDefault="001C0FC7" w:rsidP="00D1016D">
            <w:pPr>
              <w:keepNext/>
              <w:keepLines/>
              <w:spacing w:before="20" w:after="20"/>
              <w:rPr>
                <w:rFonts w:cs="Arial"/>
                <w:sz w:val="20"/>
                <w:szCs w:val="20"/>
              </w:rPr>
            </w:pPr>
            <w:r>
              <w:rPr>
                <w:rFonts w:cs="Arial"/>
                <w:sz w:val="20"/>
                <w:szCs w:val="20"/>
              </w:rPr>
              <w:t>PG&amp;E</w:t>
            </w:r>
          </w:p>
        </w:tc>
        <w:tc>
          <w:tcPr>
            <w:tcW w:w="2933" w:type="pct"/>
          </w:tcPr>
          <w:p w14:paraId="47DC1AFA" w14:textId="77777777" w:rsidR="0023617D" w:rsidRDefault="00066271" w:rsidP="00D1016D">
            <w:pPr>
              <w:keepNext/>
              <w:keepLines/>
              <w:spacing w:before="20" w:after="20"/>
              <w:rPr>
                <w:rFonts w:cs="Arial"/>
                <w:sz w:val="20"/>
                <w:szCs w:val="20"/>
              </w:rPr>
            </w:pPr>
            <w:r>
              <w:rPr>
                <w:rFonts w:cs="Arial"/>
                <w:sz w:val="20"/>
                <w:szCs w:val="20"/>
              </w:rPr>
              <w:t>Update per CPUC Comments on 2/4/2021</w:t>
            </w:r>
          </w:p>
          <w:p w14:paraId="74DB6F3B" w14:textId="5D66FE78" w:rsidR="009C767C" w:rsidRDefault="004E7045" w:rsidP="00D1016D">
            <w:pPr>
              <w:keepNext/>
              <w:keepLines/>
              <w:spacing w:before="20" w:after="20"/>
              <w:rPr>
                <w:rFonts w:cs="Arial"/>
                <w:sz w:val="20"/>
                <w:szCs w:val="20"/>
              </w:rPr>
            </w:pPr>
            <w:r>
              <w:rPr>
                <w:rFonts w:cs="Arial"/>
                <w:sz w:val="20"/>
                <w:szCs w:val="20"/>
              </w:rPr>
              <w:t>Use “Old” vintage savings for BW measures for SFm</w:t>
            </w:r>
            <w:r w:rsidR="00A01AC6">
              <w:rPr>
                <w:rFonts w:cs="Arial"/>
                <w:sz w:val="20"/>
                <w:szCs w:val="20"/>
              </w:rPr>
              <w:t xml:space="preserve">, </w:t>
            </w:r>
            <w:r>
              <w:rPr>
                <w:rFonts w:cs="Arial"/>
                <w:sz w:val="20"/>
                <w:szCs w:val="20"/>
              </w:rPr>
              <w:t>MFm</w:t>
            </w:r>
            <w:r w:rsidR="00A01AC6">
              <w:rPr>
                <w:rFonts w:cs="Arial"/>
                <w:sz w:val="20"/>
                <w:szCs w:val="20"/>
              </w:rPr>
              <w:t xml:space="preserve">, and DMo </w:t>
            </w:r>
            <w:r>
              <w:rPr>
                <w:rFonts w:cs="Arial"/>
                <w:sz w:val="20"/>
                <w:szCs w:val="20"/>
              </w:rPr>
              <w:t>buildings</w:t>
            </w:r>
          </w:p>
          <w:p w14:paraId="7FBD8776" w14:textId="4E3891E1" w:rsidR="004E7045" w:rsidRDefault="00EB60AD" w:rsidP="00D1016D">
            <w:pPr>
              <w:keepNext/>
              <w:keepLines/>
              <w:spacing w:before="20" w:after="20"/>
              <w:rPr>
                <w:rFonts w:cs="Arial"/>
                <w:sz w:val="20"/>
                <w:szCs w:val="20"/>
              </w:rPr>
            </w:pPr>
            <w:r>
              <w:rPr>
                <w:rFonts w:cs="Arial"/>
                <w:sz w:val="20"/>
                <w:szCs w:val="20"/>
              </w:rPr>
              <w:t>Added eligibility requirements for duct sealing materials per E-5082</w:t>
            </w:r>
            <w:r w:rsidR="009C767C">
              <w:rPr>
                <w:rFonts w:cs="Arial"/>
                <w:sz w:val="20"/>
                <w:szCs w:val="20"/>
              </w:rPr>
              <w:t xml:space="preserve">, </w:t>
            </w:r>
            <w:r>
              <w:rPr>
                <w:rFonts w:cs="Arial"/>
                <w:sz w:val="20"/>
                <w:szCs w:val="20"/>
              </w:rPr>
              <w:t>clarified duct testing type requir</w:t>
            </w:r>
            <w:r w:rsidR="00F10C2B">
              <w:rPr>
                <w:rFonts w:cs="Arial"/>
                <w:sz w:val="20"/>
                <w:szCs w:val="20"/>
              </w:rPr>
              <w:t>e</w:t>
            </w:r>
            <w:r>
              <w:rPr>
                <w:rFonts w:cs="Arial"/>
                <w:sz w:val="20"/>
                <w:szCs w:val="20"/>
              </w:rPr>
              <w:t>ments</w:t>
            </w:r>
            <w:r w:rsidR="009C767C">
              <w:rPr>
                <w:rFonts w:cs="Arial"/>
                <w:sz w:val="20"/>
                <w:szCs w:val="20"/>
              </w:rPr>
              <w:t xml:space="preserve">, and vintage eligibility </w:t>
            </w:r>
          </w:p>
          <w:p w14:paraId="24DAA7FC" w14:textId="77777777" w:rsidR="00EB60AD" w:rsidRDefault="00EB60AD" w:rsidP="00D1016D">
            <w:pPr>
              <w:keepNext/>
              <w:keepLines/>
              <w:spacing w:before="20" w:after="20"/>
              <w:rPr>
                <w:rFonts w:cs="Arial"/>
                <w:sz w:val="20"/>
                <w:szCs w:val="20"/>
              </w:rPr>
            </w:pPr>
            <w:r>
              <w:rPr>
                <w:rFonts w:cs="Arial"/>
                <w:sz w:val="20"/>
                <w:szCs w:val="20"/>
              </w:rPr>
              <w:t xml:space="preserve">Added data collection </w:t>
            </w:r>
            <w:r w:rsidR="00E4348C">
              <w:rPr>
                <w:rFonts w:cs="Arial"/>
                <w:sz w:val="20"/>
                <w:szCs w:val="20"/>
              </w:rPr>
              <w:t>for installations</w:t>
            </w:r>
          </w:p>
          <w:p w14:paraId="124EFBED" w14:textId="070FB261" w:rsidR="00E4348C" w:rsidRPr="002A6ED0" w:rsidRDefault="00E4348C" w:rsidP="00D1016D">
            <w:pPr>
              <w:keepNext/>
              <w:keepLines/>
              <w:spacing w:before="20" w:after="20"/>
              <w:rPr>
                <w:rFonts w:cs="Arial"/>
                <w:sz w:val="20"/>
                <w:szCs w:val="20"/>
              </w:rPr>
            </w:pPr>
            <w:r>
              <w:rPr>
                <w:rFonts w:cs="Arial"/>
                <w:sz w:val="20"/>
                <w:szCs w:val="20"/>
              </w:rPr>
              <w:t>Adopted Def-GSIA value based on PY2018 EM&amp;V report</w:t>
            </w:r>
          </w:p>
        </w:tc>
      </w:tr>
      <w:tr w:rsidR="00697411" w:rsidRPr="00CA1CB3" w14:paraId="3AE8388D" w14:textId="77777777" w:rsidTr="00AA302D">
        <w:trPr>
          <w:trHeight w:val="20"/>
        </w:trPr>
        <w:tc>
          <w:tcPr>
            <w:tcW w:w="503" w:type="pct"/>
          </w:tcPr>
          <w:p w14:paraId="0D0B7C41" w14:textId="77777777" w:rsidR="00697411" w:rsidRPr="00D1016D" w:rsidRDefault="00697411" w:rsidP="00697411">
            <w:pPr>
              <w:keepNext/>
              <w:keepLines/>
              <w:spacing w:before="20" w:after="20"/>
              <w:rPr>
                <w:rFonts w:cs="Arial"/>
                <w:sz w:val="20"/>
                <w:szCs w:val="20"/>
              </w:rPr>
            </w:pPr>
          </w:p>
        </w:tc>
        <w:tc>
          <w:tcPr>
            <w:tcW w:w="722" w:type="pct"/>
          </w:tcPr>
          <w:p w14:paraId="0CAA9020" w14:textId="557964A2" w:rsidR="00697411" w:rsidRDefault="00697411" w:rsidP="00697411">
            <w:pPr>
              <w:keepNext/>
              <w:keepLines/>
              <w:spacing w:before="20" w:after="20"/>
              <w:rPr>
                <w:rFonts w:cs="Arial"/>
                <w:sz w:val="20"/>
                <w:szCs w:val="20"/>
              </w:rPr>
            </w:pPr>
            <w:r>
              <w:rPr>
                <w:rFonts w:cs="Arial"/>
                <w:sz w:val="20"/>
                <w:szCs w:val="20"/>
              </w:rPr>
              <w:t>05</w:t>
            </w:r>
            <w:r w:rsidRPr="00D1016D">
              <w:rPr>
                <w:rFonts w:cs="Arial"/>
                <w:sz w:val="20"/>
                <w:szCs w:val="20"/>
              </w:rPr>
              <w:t>/</w:t>
            </w:r>
            <w:r>
              <w:rPr>
                <w:rFonts w:cs="Arial"/>
                <w:sz w:val="20"/>
                <w:szCs w:val="20"/>
              </w:rPr>
              <w:t>2</w:t>
            </w:r>
            <w:r w:rsidR="00621040">
              <w:rPr>
                <w:rFonts w:cs="Arial"/>
                <w:sz w:val="20"/>
                <w:szCs w:val="20"/>
              </w:rPr>
              <w:t>8</w:t>
            </w:r>
            <w:r w:rsidRPr="00D1016D">
              <w:rPr>
                <w:rFonts w:cs="Arial"/>
                <w:sz w:val="20"/>
                <w:szCs w:val="20"/>
              </w:rPr>
              <w:t>/20</w:t>
            </w:r>
            <w:r>
              <w:rPr>
                <w:rFonts w:cs="Arial"/>
                <w:sz w:val="20"/>
                <w:szCs w:val="20"/>
              </w:rPr>
              <w:t>2</w:t>
            </w:r>
            <w:r w:rsidR="007069E6">
              <w:rPr>
                <w:rFonts w:cs="Arial"/>
                <w:sz w:val="20"/>
                <w:szCs w:val="20"/>
              </w:rPr>
              <w:t>1</w:t>
            </w:r>
          </w:p>
        </w:tc>
        <w:tc>
          <w:tcPr>
            <w:tcW w:w="842" w:type="pct"/>
          </w:tcPr>
          <w:p w14:paraId="0667CC2F" w14:textId="41C33269" w:rsidR="00697411" w:rsidRDefault="00697411" w:rsidP="00697411">
            <w:pPr>
              <w:keepNext/>
              <w:keepLines/>
              <w:spacing w:before="20" w:after="20"/>
              <w:rPr>
                <w:rFonts w:cs="Arial"/>
                <w:sz w:val="20"/>
                <w:szCs w:val="20"/>
              </w:rPr>
            </w:pPr>
            <w:r>
              <w:rPr>
                <w:rFonts w:cs="Arial"/>
                <w:sz w:val="20"/>
                <w:szCs w:val="20"/>
              </w:rPr>
              <w:t>Tai Voong, PG&amp;E</w:t>
            </w:r>
          </w:p>
        </w:tc>
        <w:tc>
          <w:tcPr>
            <w:tcW w:w="2933" w:type="pct"/>
          </w:tcPr>
          <w:p w14:paraId="5710CF29" w14:textId="5ED73AEF" w:rsidR="00697411" w:rsidRDefault="00697411" w:rsidP="00697411">
            <w:pPr>
              <w:keepNext/>
              <w:keepLines/>
              <w:spacing w:before="20" w:after="20"/>
              <w:rPr>
                <w:rFonts w:cs="Arial"/>
                <w:sz w:val="20"/>
                <w:szCs w:val="20"/>
              </w:rPr>
            </w:pPr>
            <w:r>
              <w:rPr>
                <w:rFonts w:cs="Arial"/>
                <w:sz w:val="20"/>
                <w:szCs w:val="20"/>
              </w:rPr>
              <w:t>Change Revision 02 to Revision 03 per CPUC.</w:t>
            </w:r>
          </w:p>
        </w:tc>
      </w:tr>
      <w:bookmarkEnd w:id="79"/>
      <w:bookmarkEnd w:id="83"/>
      <w:bookmarkEnd w:id="84"/>
    </w:tbl>
    <w:p w14:paraId="26B1F4CF" w14:textId="77777777" w:rsidR="009B3637" w:rsidRPr="009B3637" w:rsidRDefault="009B3637" w:rsidP="009B3637"/>
    <w:sectPr w:rsidR="009B3637" w:rsidRPr="009B3637"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E6C22" w14:textId="77777777" w:rsidR="00F728C3" w:rsidRDefault="00F728C3" w:rsidP="00A2690C">
      <w:r>
        <w:separator/>
      </w:r>
    </w:p>
    <w:p w14:paraId="11D71983" w14:textId="77777777" w:rsidR="00F728C3" w:rsidRDefault="00F728C3"/>
  </w:endnote>
  <w:endnote w:type="continuationSeparator" w:id="0">
    <w:p w14:paraId="3C86D486" w14:textId="77777777" w:rsidR="00F728C3" w:rsidRDefault="00F728C3" w:rsidP="00A2690C">
      <w:r>
        <w:continuationSeparator/>
      </w:r>
    </w:p>
    <w:p w14:paraId="1B93F299" w14:textId="77777777" w:rsidR="00F728C3" w:rsidRDefault="00F728C3"/>
  </w:endnote>
  <w:endnote w:type="continuationNotice" w:id="1">
    <w:p w14:paraId="2F8B9231" w14:textId="77777777" w:rsidR="00F728C3" w:rsidRDefault="00F728C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panose1 w:val="00000000000000000000"/>
    <w:charset w:val="00"/>
    <w:family w:val="roman"/>
    <w:notTrueType/>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697411" w:rsidRDefault="00697411"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2" name="Picture 12"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697411" w:rsidRPr="00B837C1" w:rsidRDefault="00697411"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697411" w:rsidRDefault="00697411"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3" name="Picture 1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697411" w:rsidRPr="00B837C1" w:rsidRDefault="00697411"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697411" w:rsidRDefault="00697411"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5" name="Picture 15"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697411" w:rsidRPr="005F505E" w:rsidRDefault="00697411"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4160CF" w14:textId="77777777" w:rsidR="00F728C3" w:rsidRDefault="00F728C3" w:rsidP="00A2690C">
      <w:r>
        <w:separator/>
      </w:r>
    </w:p>
    <w:p w14:paraId="152B8A84" w14:textId="77777777" w:rsidR="00F728C3" w:rsidRDefault="00F728C3"/>
  </w:footnote>
  <w:footnote w:type="continuationSeparator" w:id="0">
    <w:p w14:paraId="04DDF860" w14:textId="77777777" w:rsidR="00F728C3" w:rsidRDefault="00F728C3" w:rsidP="00A2690C">
      <w:r>
        <w:continuationSeparator/>
      </w:r>
    </w:p>
    <w:p w14:paraId="528E28A8" w14:textId="77777777" w:rsidR="00F728C3" w:rsidRDefault="00F728C3"/>
  </w:footnote>
  <w:footnote w:type="continuationNotice" w:id="1">
    <w:p w14:paraId="39EDF3D9" w14:textId="77777777" w:rsidR="00F728C3" w:rsidRDefault="00F728C3">
      <w:pPr>
        <w:spacing w:before="0" w:after="0" w:line="240" w:lineRule="auto"/>
      </w:pPr>
    </w:p>
  </w:footnote>
  <w:footnote w:id="2">
    <w:p w14:paraId="0367CFE0" w14:textId="1ED7A86D"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w:t>
      </w:r>
      <w:r w:rsidRPr="007A5AC6">
        <w:rPr>
          <w:rFonts w:cs="Arial"/>
        </w:rPr>
        <w:t xml:space="preserve">Siegel J., J. McWilliams, and I. Walker. 2002. “Comparison Between Predicted Duct Effectiveness from Proposed ASHRAE Standard 152 and Measured Field Data for Residential Forced </w:t>
      </w:r>
      <w:proofErr w:type="gramStart"/>
      <w:r w:rsidRPr="007A5AC6">
        <w:rPr>
          <w:rFonts w:cs="Arial"/>
        </w:rPr>
        <w:t>Air Cooling</w:t>
      </w:r>
      <w:proofErr w:type="gramEnd"/>
      <w:r w:rsidRPr="007A5AC6">
        <w:rPr>
          <w:rFonts w:cs="Arial"/>
        </w:rPr>
        <w:t xml:space="preserve"> Systems.” </w:t>
      </w:r>
      <w:r w:rsidRPr="007A5AC6">
        <w:rPr>
          <w:rFonts w:cs="Arial"/>
          <w:i/>
        </w:rPr>
        <w:t>ASHRAE Transactions.</w:t>
      </w:r>
      <w:r>
        <w:rPr>
          <w:rFonts w:cs="Arial"/>
        </w:rPr>
        <w:t xml:space="preserve"> Vol. 109. </w:t>
      </w:r>
      <w:r w:rsidRPr="007A5AC6">
        <w:rPr>
          <w:rFonts w:cs="Arial"/>
        </w:rPr>
        <w:t>LBNL-50008</w:t>
      </w:r>
      <w:r>
        <w:rPr>
          <w:rFonts w:cs="Arial"/>
        </w:rPr>
        <w:t>.</w:t>
      </w:r>
    </w:p>
  </w:footnote>
  <w:footnote w:id="3">
    <w:p w14:paraId="1AF59188" w14:textId="01ECB2D4"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American Society of Heating, Refrigerating, and Air-Conditioning Engineers, “Method of Test for Determining the Design and Seasonal Efficiencies of Residential Thermal Distribution Systems.” ISSN 1041-2336, ANSI/ASHRAE Standard 152-2004.</w:t>
      </w:r>
    </w:p>
  </w:footnote>
  <w:footnote w:id="4">
    <w:p w14:paraId="09313CCC" w14:textId="3622995D"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w:t>
      </w:r>
      <w:r w:rsidRPr="00227DFF">
        <w:rPr>
          <w:rFonts w:cs="Arial"/>
        </w:rPr>
        <w:t xml:space="preserve">Neme, C., J. Proctor, and S. Nadel. 1999. </w:t>
      </w:r>
      <w:r w:rsidRPr="000A1437">
        <w:rPr>
          <w:rFonts w:cs="Arial"/>
          <w:i/>
        </w:rPr>
        <w:t xml:space="preserve">Energy Savings Potential </w:t>
      </w:r>
      <w:proofErr w:type="gramStart"/>
      <w:r w:rsidRPr="000A1437">
        <w:rPr>
          <w:rFonts w:cs="Arial"/>
          <w:i/>
        </w:rPr>
        <w:t>From</w:t>
      </w:r>
      <w:proofErr w:type="gramEnd"/>
      <w:r w:rsidRPr="000A1437">
        <w:rPr>
          <w:rFonts w:cs="Arial"/>
          <w:i/>
        </w:rPr>
        <w:t xml:space="preserve"> Addressing Residential Air Conditioner and Heat Pump Installation Problems</w:t>
      </w:r>
      <w:r w:rsidRPr="00227DFF">
        <w:rPr>
          <w:rFonts w:cs="Arial"/>
        </w:rPr>
        <w:t>. Report Number A992. February.</w:t>
      </w:r>
    </w:p>
  </w:footnote>
  <w:footnote w:id="5">
    <w:p w14:paraId="40F616C1" w14:textId="5589B4E8" w:rsidR="00697411" w:rsidRPr="005F497E" w:rsidRDefault="00697411" w:rsidP="00846DD0">
      <w:pPr>
        <w:pStyle w:val="BodyText"/>
        <w:rPr>
          <w:rFonts w:ascii="Arial" w:hAnsi="Arial" w:cs="Arial"/>
          <w:sz w:val="20"/>
          <w:szCs w:val="20"/>
        </w:rPr>
      </w:pPr>
      <w:r w:rsidRPr="005F497E">
        <w:rPr>
          <w:rStyle w:val="FootnoteReference"/>
          <w:rFonts w:ascii="Arial" w:hAnsi="Arial" w:cs="Arial"/>
        </w:rPr>
        <w:footnoteRef/>
      </w:r>
      <w:r w:rsidRPr="005F497E">
        <w:rPr>
          <w:rFonts w:ascii="Arial" w:hAnsi="Arial" w:cs="Arial"/>
          <w:sz w:val="20"/>
          <w:szCs w:val="20"/>
        </w:rPr>
        <w:t xml:space="preserve"> </w:t>
      </w:r>
      <w:r w:rsidRPr="000A1437">
        <w:rPr>
          <w:rStyle w:val="eTRMFootnoteTextChar"/>
        </w:rPr>
        <w:t xml:space="preserve">Delp, Matson, Tschudy, Modera, Diamond. 1997. </w:t>
      </w:r>
      <w:r w:rsidRPr="000A1437">
        <w:rPr>
          <w:rStyle w:val="eTRMFootnoteTextChar"/>
          <w:i/>
        </w:rPr>
        <w:t>Field Investigation of Duct System Performance in California Light Commercial Buildings</w:t>
      </w:r>
      <w:r w:rsidRPr="000A1437">
        <w:rPr>
          <w:rStyle w:val="eTRMFootnoteTextChar"/>
        </w:rPr>
        <w:t>. LBNL-40102.</w:t>
      </w:r>
    </w:p>
  </w:footnote>
  <w:footnote w:id="6">
    <w:p w14:paraId="3BD3D03E" w14:textId="424D57A4"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w:t>
      </w:r>
      <w:r>
        <w:t xml:space="preserve">Modera, M. and Proctor, J. 2002. </w:t>
      </w:r>
      <w:r w:rsidRPr="00167E4C">
        <w:rPr>
          <w:i/>
        </w:rPr>
        <w:t>A Campaign to Reduce Light Commercial Peak Load in the Southern California Edison Service Territory Through Duct Sealing and A/C Tune-Ups</w:t>
      </w:r>
      <w:r>
        <w:t>. Prepared for Southern California Edison. October.</w:t>
      </w:r>
    </w:p>
    <w:p w14:paraId="47E8A41A" w14:textId="77777777" w:rsidR="00697411" w:rsidRPr="005F497E" w:rsidRDefault="00697411" w:rsidP="00846DD0">
      <w:pPr>
        <w:pStyle w:val="FootnoteText"/>
        <w:rPr>
          <w:rFonts w:cs="Arial"/>
        </w:rPr>
      </w:pPr>
    </w:p>
  </w:footnote>
  <w:footnote w:id="7">
    <w:p w14:paraId="649AFAF8" w14:textId="141EA3F2" w:rsidR="00697411" w:rsidRDefault="00697411" w:rsidP="00167E4C">
      <w:pPr>
        <w:pStyle w:val="FootnoteText"/>
      </w:pPr>
      <w:r>
        <w:rPr>
          <w:rStyle w:val="FootnoteReference"/>
        </w:rPr>
        <w:footnoteRef/>
      </w:r>
      <w:r>
        <w:t xml:space="preserve"> </w:t>
      </w:r>
      <w:bookmarkStart w:id="22" w:name="_Hlk52374143"/>
      <w:r w:rsidRPr="008043E6">
        <w:t>California Energy Commission (CEC). 201</w:t>
      </w:r>
      <w:r>
        <w:t>8</w:t>
      </w:r>
      <w:r w:rsidRPr="008043E6">
        <w:t xml:space="preserve">. </w:t>
      </w:r>
      <w:r w:rsidRPr="000A1437">
        <w:rPr>
          <w:i/>
        </w:rPr>
        <w:t>201</w:t>
      </w:r>
      <w:r>
        <w:rPr>
          <w:i/>
        </w:rPr>
        <w:t>9</w:t>
      </w:r>
      <w:r w:rsidRPr="000A1437">
        <w:rPr>
          <w:i/>
        </w:rPr>
        <w:t xml:space="preserve"> Building Energy Efficiency Standards for Residential and Nonresidential Buildings</w:t>
      </w:r>
      <w:r w:rsidRPr="008043E6">
        <w:t>. CEC-400-20</w:t>
      </w:r>
      <w:r>
        <w:t>18</w:t>
      </w:r>
      <w:r w:rsidRPr="008043E6">
        <w:t>-0</w:t>
      </w:r>
      <w:r>
        <w:t>20</w:t>
      </w:r>
      <w:r w:rsidRPr="008043E6">
        <w:t>-CMF.</w:t>
      </w:r>
      <w:bookmarkEnd w:id="22"/>
    </w:p>
  </w:footnote>
  <w:footnote w:id="8">
    <w:p w14:paraId="26BC56F1" w14:textId="5667D592" w:rsidR="00697411" w:rsidRDefault="00697411">
      <w:pPr>
        <w:pStyle w:val="FootnoteText"/>
      </w:pPr>
      <w:r>
        <w:rPr>
          <w:rStyle w:val="FootnoteReference"/>
        </w:rPr>
        <w:footnoteRef/>
      </w:r>
      <w:r>
        <w:t xml:space="preserve"> </w:t>
      </w:r>
      <w:r w:rsidRPr="008043E6">
        <w:t>California Energy Commission (CEC). 201</w:t>
      </w:r>
      <w:r>
        <w:t>8</w:t>
      </w:r>
      <w:r w:rsidRPr="008043E6">
        <w:t xml:space="preserve">. </w:t>
      </w:r>
      <w:r>
        <w:t xml:space="preserve">Title 24 </w:t>
      </w:r>
      <w:r w:rsidRPr="001C0FC7">
        <w:rPr>
          <w:i/>
          <w:iCs/>
        </w:rPr>
        <w:t xml:space="preserve">2019 </w:t>
      </w:r>
      <w:r>
        <w:rPr>
          <w:i/>
          <w:iCs/>
        </w:rPr>
        <w:t xml:space="preserve">Compliance Manual </w:t>
      </w:r>
      <w:r w:rsidRPr="001C0FC7">
        <w:rPr>
          <w:i/>
          <w:iCs/>
        </w:rPr>
        <w:t>Residential</w:t>
      </w:r>
      <w:r>
        <w:t xml:space="preserve">. </w:t>
      </w:r>
      <w:r w:rsidRPr="0000694F">
        <w:rPr>
          <w:i/>
        </w:rPr>
        <w:t>Appendix RA3 – Residential Field Verification and Diagnostic Test Protocols</w:t>
      </w:r>
      <w:r w:rsidRPr="008043E6">
        <w:t>. CEC-400-20</w:t>
      </w:r>
      <w:r>
        <w:t>18</w:t>
      </w:r>
      <w:r w:rsidRPr="008043E6">
        <w:t>-</w:t>
      </w:r>
      <w:r>
        <w:t>017</w:t>
      </w:r>
      <w:r w:rsidRPr="008043E6">
        <w:t>-CMF.</w:t>
      </w:r>
    </w:p>
  </w:footnote>
  <w:footnote w:id="9">
    <w:p w14:paraId="0C0D177C" w14:textId="77777777" w:rsidR="00697411" w:rsidRDefault="00697411" w:rsidP="0055038F">
      <w:pPr>
        <w:pStyle w:val="FootnoteText"/>
      </w:pPr>
      <w:r>
        <w:rPr>
          <w:rStyle w:val="FootnoteReference"/>
        </w:rPr>
        <w:footnoteRef/>
      </w:r>
      <w:r>
        <w:t xml:space="preserve"> California Public Utilities Commission (CPUC), 2020. </w:t>
      </w:r>
      <w:r>
        <w:rPr>
          <w:i/>
          <w:iCs/>
        </w:rPr>
        <w:t>Resolution E-5082</w:t>
      </w:r>
      <w:r>
        <w:t>. August 27. Page 46.</w:t>
      </w:r>
    </w:p>
  </w:footnote>
  <w:footnote w:id="10">
    <w:p w14:paraId="5E3CF2A0" w14:textId="3FF72FFC" w:rsidR="00697411" w:rsidRDefault="00697411" w:rsidP="00465A9B">
      <w:pPr>
        <w:pStyle w:val="FootnoteText"/>
      </w:pPr>
      <w:r>
        <w:rPr>
          <w:rStyle w:val="FootnoteReference"/>
        </w:rPr>
        <w:footnoteRef/>
      </w:r>
      <w:r>
        <w:t xml:space="preserve"> </w:t>
      </w:r>
      <w:r w:rsidRPr="00CD5E53">
        <w:rPr>
          <w:rStyle w:val="eTRMFootnoteTextChar"/>
        </w:rPr>
        <w:t>Air Conditioning Contractors of America (ACCA). 2013. Maintenance of Residential HVAC Systems. ANSI/ACCA Standard 4 QM – 2013.</w:t>
      </w:r>
    </w:p>
  </w:footnote>
  <w:footnote w:id="11">
    <w:p w14:paraId="6334BDF6" w14:textId="2C085B38" w:rsidR="00697411" w:rsidRDefault="00697411" w:rsidP="00465A9B">
      <w:pPr>
        <w:pStyle w:val="FootnoteText"/>
      </w:pPr>
      <w:r>
        <w:rPr>
          <w:rStyle w:val="FootnoteReference"/>
        </w:rPr>
        <w:footnoteRef/>
      </w:r>
      <w:r>
        <w:t xml:space="preserve"> </w:t>
      </w:r>
      <w:r w:rsidRPr="00AB38FD">
        <w:t>California Energy Commission (CEC). 2018. 2019 Building Energy Efficiency Standards for Residential and Nonresidential Buildings. CEC-400-2018-020-CMF.</w:t>
      </w:r>
    </w:p>
  </w:footnote>
  <w:footnote w:id="12">
    <w:p w14:paraId="04D380EF" w14:textId="24238558" w:rsidR="00697411" w:rsidRDefault="00697411" w:rsidP="004C7F89">
      <w:pPr>
        <w:pStyle w:val="FootnoteText"/>
      </w:pPr>
      <w:r>
        <w:rPr>
          <w:rStyle w:val="FootnoteReference"/>
        </w:rPr>
        <w:footnoteRef/>
      </w:r>
      <w:r>
        <w:t xml:space="preserve"> California Public Utilities Commission (CPUC), 2020. “Database for Energy-Efficient Resources, DEER2020 Update.” </w:t>
      </w:r>
      <w:hyperlink r:id="rId1" w:anchor="BldgVint" w:history="1">
        <w:r w:rsidRPr="00C70D30">
          <w:rPr>
            <w:rStyle w:val="Hyperlink"/>
          </w:rPr>
          <w:t>http://deeresources.com/index.php/deer-versions/deer2020#BldgVint</w:t>
        </w:r>
      </w:hyperlink>
      <w:r>
        <w:t xml:space="preserve">. </w:t>
      </w:r>
    </w:p>
    <w:p w14:paraId="3C8AA1DE" w14:textId="79229C13" w:rsidR="00697411" w:rsidRDefault="00697411" w:rsidP="004C7F89">
      <w:pPr>
        <w:pStyle w:val="FootnoteText"/>
      </w:pPr>
    </w:p>
  </w:footnote>
  <w:footnote w:id="13">
    <w:p w14:paraId="4BCB4DD2" w14:textId="2F55F047" w:rsidR="00697411" w:rsidRDefault="00697411">
      <w:pPr>
        <w:pStyle w:val="FootnoteText"/>
      </w:pPr>
      <w:r>
        <w:rPr>
          <w:rStyle w:val="FootnoteReference"/>
        </w:rPr>
        <w:footnoteRef/>
      </w:r>
      <w:r>
        <w:t xml:space="preserve"> California Public Utilities Commission (CPUC). 2018. </w:t>
      </w:r>
      <w:r>
        <w:rPr>
          <w:rStyle w:val="Emphasis"/>
        </w:rPr>
        <w:t>Resolution E-4952.</w:t>
      </w:r>
      <w:r>
        <w:t xml:space="preserve"> October 11. Page A-36, A-37.</w:t>
      </w:r>
    </w:p>
  </w:footnote>
  <w:footnote w:id="14">
    <w:p w14:paraId="122ABA30" w14:textId="11489401" w:rsidR="00697411" w:rsidRDefault="00697411">
      <w:pPr>
        <w:pStyle w:val="FootnoteText"/>
      </w:pPr>
      <w:r>
        <w:rPr>
          <w:rStyle w:val="FootnoteReference"/>
        </w:rPr>
        <w:footnoteRef/>
      </w:r>
      <w:r>
        <w:t xml:space="preserve"> California Public Utilities Commission (CPUC). 2016. </w:t>
      </w:r>
      <w:r>
        <w:rPr>
          <w:rStyle w:val="Emphasis"/>
        </w:rPr>
        <w:t xml:space="preserve">Decision 16-08-019 in the Order Instituting Rulemaking Concerning Energy Efficiency Rolling Portfolios, Policies, Programs, Evaluation, and Related Issues (R.13-11-005). </w:t>
      </w:r>
      <w:r>
        <w:t>August 18.</w:t>
      </w:r>
    </w:p>
  </w:footnote>
  <w:footnote w:id="15">
    <w:p w14:paraId="074FBDE1" w14:textId="1FE73D6E" w:rsidR="00697411" w:rsidRPr="00C015E4" w:rsidRDefault="00697411">
      <w:pPr>
        <w:pStyle w:val="FootnoteText"/>
      </w:pPr>
      <w:r>
        <w:rPr>
          <w:rStyle w:val="FootnoteReference"/>
        </w:rPr>
        <w:footnoteRef/>
      </w:r>
      <w:r>
        <w:t xml:space="preserve"> California Public Utilities Commission (CPUC), 2020. </w:t>
      </w:r>
      <w:r>
        <w:rPr>
          <w:i/>
          <w:iCs/>
        </w:rPr>
        <w:t>Resolution E-5082</w:t>
      </w:r>
      <w:r>
        <w:t>. August 27. Page 13.</w:t>
      </w:r>
    </w:p>
  </w:footnote>
  <w:footnote w:id="16">
    <w:p w14:paraId="2BDDEC1A" w14:textId="77777777" w:rsidR="00697411" w:rsidRDefault="00697411" w:rsidP="00266357">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7">
    <w:p w14:paraId="7BB77762" w14:textId="77777777" w:rsidR="00697411" w:rsidRDefault="00697411" w:rsidP="00266357">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8">
    <w:p w14:paraId="486BF7EB" w14:textId="77777777" w:rsidR="00697411" w:rsidRDefault="00697411" w:rsidP="00266357">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9">
    <w:p w14:paraId="799F50BD" w14:textId="05CB2352" w:rsidR="00697411" w:rsidRDefault="00697411">
      <w:pPr>
        <w:pStyle w:val="FootnoteText"/>
      </w:pPr>
      <w:r>
        <w:rPr>
          <w:rStyle w:val="FootnoteReference"/>
        </w:rPr>
        <w:footnoteRef/>
      </w:r>
      <w:r>
        <w:t xml:space="preserve"> California Public Utilities Commission (CPUC), Energy Division. 2014. “</w:t>
      </w:r>
      <w:r w:rsidRPr="00586939">
        <w:t>DEER2014-EUL-table-update_2014-02-05.xlsx</w:t>
      </w:r>
      <w:r>
        <w:t>”</w:t>
      </w:r>
    </w:p>
    <w:p w14:paraId="4D7B4A71" w14:textId="77777777" w:rsidR="00697411" w:rsidRDefault="00697411" w:rsidP="00CF0487">
      <w:pPr>
        <w:rPr>
          <w:sz w:val="18"/>
        </w:rPr>
      </w:pPr>
      <w:r>
        <w:rPr>
          <w:sz w:val="18"/>
        </w:rPr>
        <w:t xml:space="preserve">Pacific Gas &amp; Electric Company. 2006. </w:t>
      </w:r>
      <w:r w:rsidRPr="00EC46A1">
        <w:rPr>
          <w:i/>
          <w:sz w:val="18"/>
        </w:rPr>
        <w:t>Retention Study of Pacific Gas &amp; Electric Company’s 1996 and 1997 Residential New Construction Energy Efficiency Programs</w:t>
      </w:r>
      <w:r>
        <w:rPr>
          <w:sz w:val="18"/>
        </w:rPr>
        <w:t>. PG&amp;E Study ID number: 386R2 CALMAC Study ID number: PGE0247.01.</w:t>
      </w:r>
    </w:p>
    <w:p w14:paraId="0DE3A2A7" w14:textId="77777777" w:rsidR="00697411" w:rsidRDefault="00697411" w:rsidP="00CF0487">
      <w:pPr>
        <w:rPr>
          <w:sz w:val="18"/>
        </w:rPr>
      </w:pPr>
      <w:r>
        <w:rPr>
          <w:sz w:val="18"/>
        </w:rPr>
        <w:t xml:space="preserve">Itron, Inc. 2004. </w:t>
      </w:r>
      <w:r w:rsidRPr="00B45167">
        <w:rPr>
          <w:i/>
          <w:sz w:val="18"/>
        </w:rPr>
        <w:t>1994 Residential New Construction Ninth-Year Retention Evaluation (Energy Advantage Home Program) Study Number 716A</w:t>
      </w:r>
      <w:r>
        <w:rPr>
          <w:sz w:val="18"/>
        </w:rPr>
        <w:t>. Prepared for Southern California Gas Company.</w:t>
      </w:r>
    </w:p>
    <w:p w14:paraId="5D16C473" w14:textId="70E38CB9" w:rsidR="00697411" w:rsidRDefault="00697411" w:rsidP="00CF0487">
      <w:pPr>
        <w:pStyle w:val="FootnoteText"/>
      </w:pPr>
      <w:r w:rsidRPr="00266357">
        <w:t xml:space="preserve">GDS Associates, Inc. 2007. </w:t>
      </w:r>
      <w:r w:rsidRPr="00266357">
        <w:rPr>
          <w:i/>
        </w:rPr>
        <w:t>Measure Life Report Residential and Commercial/Industrial Lighting and HVAC Measures</w:t>
      </w:r>
      <w:r w:rsidRPr="00266357">
        <w:t>. Prepared for The New England State Program Working Group (SPWG).</w:t>
      </w:r>
    </w:p>
  </w:footnote>
  <w:footnote w:id="20">
    <w:p w14:paraId="20205C5A" w14:textId="34ACBCED" w:rsidR="00697411" w:rsidRDefault="00697411" w:rsidP="00F67BAE">
      <w:pPr>
        <w:pStyle w:val="FootnoteText"/>
      </w:pPr>
      <w:r>
        <w:rPr>
          <w:rStyle w:val="FootnoteReference"/>
        </w:rPr>
        <w:footnoteRef/>
      </w:r>
      <w:r>
        <w:t xml:space="preserve"> </w:t>
      </w:r>
      <w:r w:rsidRPr="00D3709A">
        <w:t xml:space="preserve">Itron, Inc. 2014. </w:t>
      </w:r>
      <w:r w:rsidRPr="00B45167">
        <w:rPr>
          <w:i/>
        </w:rPr>
        <w:t>2010-2012 WO017 Ex Ante Measure Cost Study Final Report</w:t>
      </w:r>
      <w:r w:rsidRPr="00D3709A">
        <w:t>. Prepared for the California Public Utilities Commission.</w:t>
      </w:r>
    </w:p>
  </w:footnote>
  <w:footnote w:id="21">
    <w:p w14:paraId="071D0BDF" w14:textId="4B93EF44" w:rsidR="00697411" w:rsidRDefault="00697411">
      <w:pPr>
        <w:pStyle w:val="FootnoteText"/>
      </w:pPr>
      <w:r>
        <w:rPr>
          <w:rStyle w:val="FootnoteReference"/>
        </w:rPr>
        <w:footnoteRef/>
      </w:r>
      <w:r>
        <w:t xml:space="preserve"> </w:t>
      </w:r>
      <w:r w:rsidRPr="00E62BEA">
        <w:t xml:space="preserve">Itron, Inc. 2011. </w:t>
      </w:r>
      <w:r w:rsidRPr="00E62BEA">
        <w:rPr>
          <w:i/>
        </w:rPr>
        <w:t>DEER Database 2011 Update Documentation.</w:t>
      </w:r>
      <w:r w:rsidRPr="00E62BEA">
        <w:t xml:space="preserve"> Prepared for the California Public Utilities Commission. </w:t>
      </w:r>
      <w:r>
        <w:t>Page 12-3 Table 12-1.</w:t>
      </w:r>
    </w:p>
    <w:p w14:paraId="3828219E" w14:textId="0E394C07" w:rsidR="00697411" w:rsidRPr="00CA75CF" w:rsidRDefault="00697411" w:rsidP="00CA75CF">
      <w:pPr>
        <w:pStyle w:val="eTRMFootnoteText"/>
      </w:pPr>
      <w:r w:rsidRPr="00D3709A">
        <w:t xml:space="preserve">KEMA, Inc., The Cadmus Group, Inc., and Summit Blue Consulting, LLC. 2010. </w:t>
      </w:r>
      <w:r w:rsidRPr="00B45167">
        <w:rPr>
          <w:i/>
        </w:rPr>
        <w:t>Evaluation Measurement and Verification of the California Public Utilities Commission HVAC High Impact Measures and Specialized Commercial Contract Group Programs. 2006 – 2008 Program Year. Final Consultant Report. Volume 1</w:t>
      </w:r>
      <w:r w:rsidRPr="00D3709A">
        <w:t>. Prepared for the California Public Utilities Commission. February 10.</w:t>
      </w:r>
    </w:p>
  </w:footnote>
  <w:footnote w:id="22">
    <w:p w14:paraId="2DF7DD34" w14:textId="0837908C" w:rsidR="00697411" w:rsidRDefault="00697411">
      <w:pPr>
        <w:pStyle w:val="FootnoteText"/>
      </w:pPr>
      <w:r>
        <w:rPr>
          <w:rStyle w:val="FootnoteReference"/>
        </w:rPr>
        <w:footnoteRef/>
      </w:r>
      <w:r>
        <w:t xml:space="preserve"> DNV GL. </w:t>
      </w:r>
      <w:r w:rsidRPr="00D3709A">
        <w:t xml:space="preserve"> </w:t>
      </w:r>
      <w:r>
        <w:t>2020</w:t>
      </w:r>
      <w:r w:rsidRPr="00D3709A">
        <w:t xml:space="preserve">. </w:t>
      </w:r>
      <w:r>
        <w:rPr>
          <w:i/>
        </w:rPr>
        <w:t xml:space="preserve">Impact Evaluation Report, HVAC Sector – Program Year 2018, EMV&amp;V Group A. CALMAC Study ID: CPUC0209.01. </w:t>
      </w:r>
      <w:r w:rsidRPr="00D3709A">
        <w:t xml:space="preserve">Prepared for the California Public Utilities Commission. </w:t>
      </w:r>
      <w:r>
        <w:t>April 20</w:t>
      </w:r>
      <w:r w:rsidRPr="00D3709A">
        <w:t>.</w:t>
      </w:r>
    </w:p>
  </w:footnote>
  <w:footnote w:id="23">
    <w:p w14:paraId="7FEFA26C" w14:textId="6BF547A8" w:rsidR="00697411" w:rsidRPr="0023617D" w:rsidRDefault="00697411">
      <w:pPr>
        <w:pStyle w:val="FootnoteText"/>
      </w:pPr>
      <w:r>
        <w:rPr>
          <w:rStyle w:val="FootnoteReference"/>
        </w:rPr>
        <w:footnoteRef/>
      </w:r>
      <w:r>
        <w:t xml:space="preserve"> California Public Utilities Commission. 2021. </w:t>
      </w:r>
      <w:r w:rsidRPr="001C0FC7">
        <w:rPr>
          <w:i/>
          <w:iCs/>
        </w:rPr>
        <w:t>CPUC Comments on SWSV001-02 Duct Seal, Residential</w:t>
      </w:r>
      <w:r>
        <w:rPr>
          <w:i/>
          <w:iCs/>
        </w:rPr>
        <w:t xml:space="preserve">. </w:t>
      </w:r>
      <w:r>
        <w:t>Comments dated 02/04/2021.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697411" w:rsidRPr="000220A0" w:rsidRDefault="00697411"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697411" w:rsidRDefault="00697411">
    <w:pPr>
      <w:pStyle w:val="Header"/>
    </w:pPr>
    <w:r>
      <w:rPr>
        <w:rFonts w:ascii="Calibri Light" w:hAnsi="Calibri Light"/>
      </w:rPr>
      <w:t xml:space="preserve">MEASURE  END USE </w:t>
    </w:r>
    <w:r w:rsidRPr="000220A0">
      <w:rPr>
        <w:rFonts w:ascii="Calibri Light" w:hAnsi="Calibri Light"/>
      </w:rPr>
      <w:t xml:space="preserve"> </w:t>
    </w:r>
    <w:r w:rsidRPr="00181E01">
      <w:rPr>
        <w:rFonts w:ascii="Wingdings" w:eastAsia="Wingdings" w:hAnsi="Wingdings" w:cs="Wingdings"/>
        <w:color w:val="8DC63F"/>
      </w:rPr>
      <w:t></w:t>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697411" w:rsidRDefault="006974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697411" w:rsidRDefault="00697411" w:rsidP="00BD221D">
    <w:pPr>
      <w:jc w:val="center"/>
    </w:pPr>
  </w:p>
  <w:p w14:paraId="342310D5" w14:textId="5BACBCD8" w:rsidR="00697411" w:rsidRDefault="00697411" w:rsidP="00BD221D">
    <w:pPr>
      <w:jc w:val="center"/>
    </w:pPr>
    <w:r>
      <w:rPr>
        <w:noProof/>
      </w:rPr>
      <w:drawing>
        <wp:inline distT="0" distB="0" distL="0" distR="0" wp14:anchorId="4B2AF0A8" wp14:editId="7258E71E">
          <wp:extent cx="937307" cy="1405961"/>
          <wp:effectExtent l="0" t="0" r="2540" b="0"/>
          <wp:docPr id="14" name="Picture 1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7FFCA24E" w:rsidR="00697411" w:rsidRDefault="00697411" w:rsidP="001D7A57">
    <w:pPr>
      <w:pStyle w:val="Header"/>
    </w:pPr>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w:t>
    </w:r>
    <w:r w:rsidRPr="000220A0">
      <w:rPr>
        <w:rFonts w:ascii="Calibri Light" w:hAnsi="Calibri Light"/>
      </w:rPr>
      <w:t xml:space="preserve">  </w:t>
    </w:r>
    <w:r>
      <w:rPr>
        <w:rFonts w:ascii="Calibri Light" w:hAnsi="Calibri Light"/>
        <w:b/>
      </w:rPr>
      <w:t>Duct Seal, Residential</w:t>
    </w:r>
  </w:p>
  <w:p w14:paraId="2AC97B25" w14:textId="77777777" w:rsidR="00697411" w:rsidRDefault="006974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697411" w:rsidRDefault="006974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B44B5"/>
    <w:multiLevelType w:val="hybridMultilevel"/>
    <w:tmpl w:val="408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D56E0"/>
    <w:multiLevelType w:val="hybridMultilevel"/>
    <w:tmpl w:val="3506B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F90076"/>
    <w:multiLevelType w:val="hybridMultilevel"/>
    <w:tmpl w:val="22C8B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5D3D8E"/>
    <w:multiLevelType w:val="hybridMultilevel"/>
    <w:tmpl w:val="675EF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3DEB1794"/>
    <w:multiLevelType w:val="hybridMultilevel"/>
    <w:tmpl w:val="81760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7" w15:restartNumberingAfterBreak="0">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07B80"/>
    <w:multiLevelType w:val="hybridMultilevel"/>
    <w:tmpl w:val="7854AB9C"/>
    <w:lvl w:ilvl="0" w:tplc="1A50F078">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2F1086"/>
    <w:multiLevelType w:val="hybridMultilevel"/>
    <w:tmpl w:val="36D85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2"/>
  </w:num>
  <w:num w:numId="2">
    <w:abstractNumId w:val="20"/>
  </w:num>
  <w:num w:numId="3">
    <w:abstractNumId w:val="23"/>
  </w:num>
  <w:num w:numId="4">
    <w:abstractNumId w:val="23"/>
  </w:num>
  <w:num w:numId="5">
    <w:abstractNumId w:val="1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8"/>
  </w:num>
  <w:num w:numId="8">
    <w:abstractNumId w:val="19"/>
  </w:num>
  <w:num w:numId="9">
    <w:abstractNumId w:val="0"/>
  </w:num>
  <w:num w:numId="10">
    <w:abstractNumId w:val="21"/>
  </w:num>
  <w:num w:numId="11">
    <w:abstractNumId w:val="9"/>
  </w:num>
  <w:num w:numId="12">
    <w:abstractNumId w:val="5"/>
  </w:num>
  <w:num w:numId="13">
    <w:abstractNumId w:val="18"/>
  </w:num>
  <w:num w:numId="14">
    <w:abstractNumId w:val="15"/>
  </w:num>
  <w:num w:numId="15">
    <w:abstractNumId w:val="6"/>
  </w:num>
  <w:num w:numId="16">
    <w:abstractNumId w:val="2"/>
  </w:num>
  <w:num w:numId="17">
    <w:abstractNumId w:val="13"/>
  </w:num>
  <w:num w:numId="18">
    <w:abstractNumId w:val="4"/>
  </w:num>
  <w:num w:numId="19">
    <w:abstractNumId w:val="17"/>
  </w:num>
  <w:num w:numId="20">
    <w:abstractNumId w:val="3"/>
  </w:num>
  <w:num w:numId="21">
    <w:abstractNumId w:val="7"/>
  </w:num>
  <w:num w:numId="22">
    <w:abstractNumId w:val="22"/>
  </w:num>
  <w:num w:numId="2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45A"/>
    <w:rsid w:val="00005B06"/>
    <w:rsid w:val="00005DFF"/>
    <w:rsid w:val="000063B0"/>
    <w:rsid w:val="0000694F"/>
    <w:rsid w:val="00007946"/>
    <w:rsid w:val="000110D9"/>
    <w:rsid w:val="000111AF"/>
    <w:rsid w:val="0001397F"/>
    <w:rsid w:val="0001433E"/>
    <w:rsid w:val="0001565E"/>
    <w:rsid w:val="00016928"/>
    <w:rsid w:val="000200CB"/>
    <w:rsid w:val="000218CE"/>
    <w:rsid w:val="000220A0"/>
    <w:rsid w:val="000229F1"/>
    <w:rsid w:val="0002389A"/>
    <w:rsid w:val="00024318"/>
    <w:rsid w:val="00025656"/>
    <w:rsid w:val="00025862"/>
    <w:rsid w:val="00026D58"/>
    <w:rsid w:val="00027FA4"/>
    <w:rsid w:val="000302DF"/>
    <w:rsid w:val="00031184"/>
    <w:rsid w:val="00031E5C"/>
    <w:rsid w:val="00034A73"/>
    <w:rsid w:val="00035C56"/>
    <w:rsid w:val="00037A06"/>
    <w:rsid w:val="000448DF"/>
    <w:rsid w:val="00046A33"/>
    <w:rsid w:val="00046BB0"/>
    <w:rsid w:val="000476F3"/>
    <w:rsid w:val="00047B8F"/>
    <w:rsid w:val="00051DBB"/>
    <w:rsid w:val="00052C95"/>
    <w:rsid w:val="000530E4"/>
    <w:rsid w:val="0005587A"/>
    <w:rsid w:val="000564CE"/>
    <w:rsid w:val="00061D34"/>
    <w:rsid w:val="000621A8"/>
    <w:rsid w:val="0006367A"/>
    <w:rsid w:val="00065E54"/>
    <w:rsid w:val="00066271"/>
    <w:rsid w:val="000672E5"/>
    <w:rsid w:val="00074E3E"/>
    <w:rsid w:val="00075189"/>
    <w:rsid w:val="000767E9"/>
    <w:rsid w:val="0008108C"/>
    <w:rsid w:val="000837DE"/>
    <w:rsid w:val="000841AA"/>
    <w:rsid w:val="00084EDF"/>
    <w:rsid w:val="00085726"/>
    <w:rsid w:val="00087FD4"/>
    <w:rsid w:val="00090BBF"/>
    <w:rsid w:val="000910B7"/>
    <w:rsid w:val="00091268"/>
    <w:rsid w:val="00091581"/>
    <w:rsid w:val="00094517"/>
    <w:rsid w:val="00096485"/>
    <w:rsid w:val="000978C8"/>
    <w:rsid w:val="000A1437"/>
    <w:rsid w:val="000A270E"/>
    <w:rsid w:val="000A4D3A"/>
    <w:rsid w:val="000A62EF"/>
    <w:rsid w:val="000A66B7"/>
    <w:rsid w:val="000A7058"/>
    <w:rsid w:val="000B139B"/>
    <w:rsid w:val="000B4192"/>
    <w:rsid w:val="000B6004"/>
    <w:rsid w:val="000C26E4"/>
    <w:rsid w:val="000C36B4"/>
    <w:rsid w:val="000C72C1"/>
    <w:rsid w:val="000C7B77"/>
    <w:rsid w:val="000D17FF"/>
    <w:rsid w:val="000D5485"/>
    <w:rsid w:val="000D6A1A"/>
    <w:rsid w:val="000E044A"/>
    <w:rsid w:val="000F1833"/>
    <w:rsid w:val="000F21EB"/>
    <w:rsid w:val="000F7922"/>
    <w:rsid w:val="0010032B"/>
    <w:rsid w:val="00103399"/>
    <w:rsid w:val="0010471F"/>
    <w:rsid w:val="00104933"/>
    <w:rsid w:val="0010640F"/>
    <w:rsid w:val="00111A53"/>
    <w:rsid w:val="0011498C"/>
    <w:rsid w:val="0011761D"/>
    <w:rsid w:val="00117B1D"/>
    <w:rsid w:val="00120592"/>
    <w:rsid w:val="00120DC1"/>
    <w:rsid w:val="001214AB"/>
    <w:rsid w:val="001217DF"/>
    <w:rsid w:val="0012187D"/>
    <w:rsid w:val="0012470A"/>
    <w:rsid w:val="00124BFE"/>
    <w:rsid w:val="00126809"/>
    <w:rsid w:val="00126B25"/>
    <w:rsid w:val="00131C5A"/>
    <w:rsid w:val="00131EF0"/>
    <w:rsid w:val="00132E1A"/>
    <w:rsid w:val="00140D0F"/>
    <w:rsid w:val="00142D3C"/>
    <w:rsid w:val="00143ED6"/>
    <w:rsid w:val="001451AB"/>
    <w:rsid w:val="0014624F"/>
    <w:rsid w:val="00151B9F"/>
    <w:rsid w:val="00152F68"/>
    <w:rsid w:val="00153BB7"/>
    <w:rsid w:val="00154391"/>
    <w:rsid w:val="001564FC"/>
    <w:rsid w:val="00157985"/>
    <w:rsid w:val="00160514"/>
    <w:rsid w:val="00161CED"/>
    <w:rsid w:val="00161DF1"/>
    <w:rsid w:val="001648F6"/>
    <w:rsid w:val="001663A0"/>
    <w:rsid w:val="00167E4C"/>
    <w:rsid w:val="00171BB8"/>
    <w:rsid w:val="00173DC1"/>
    <w:rsid w:val="00174707"/>
    <w:rsid w:val="00175035"/>
    <w:rsid w:val="00176CAB"/>
    <w:rsid w:val="00177EB6"/>
    <w:rsid w:val="00180DAD"/>
    <w:rsid w:val="00180F57"/>
    <w:rsid w:val="00181672"/>
    <w:rsid w:val="00181E01"/>
    <w:rsid w:val="00182AB0"/>
    <w:rsid w:val="00184FED"/>
    <w:rsid w:val="001944A0"/>
    <w:rsid w:val="001944B4"/>
    <w:rsid w:val="00195B03"/>
    <w:rsid w:val="00196649"/>
    <w:rsid w:val="001A11C7"/>
    <w:rsid w:val="001A170E"/>
    <w:rsid w:val="001A4BE1"/>
    <w:rsid w:val="001A4E6B"/>
    <w:rsid w:val="001A7A21"/>
    <w:rsid w:val="001B0D29"/>
    <w:rsid w:val="001B174C"/>
    <w:rsid w:val="001B1D23"/>
    <w:rsid w:val="001B426F"/>
    <w:rsid w:val="001B7346"/>
    <w:rsid w:val="001C0FC7"/>
    <w:rsid w:val="001C22C1"/>
    <w:rsid w:val="001C2ACE"/>
    <w:rsid w:val="001C4919"/>
    <w:rsid w:val="001C6C9B"/>
    <w:rsid w:val="001C7134"/>
    <w:rsid w:val="001D3196"/>
    <w:rsid w:val="001D48F0"/>
    <w:rsid w:val="001D656F"/>
    <w:rsid w:val="001D65A6"/>
    <w:rsid w:val="001D7A57"/>
    <w:rsid w:val="001E073F"/>
    <w:rsid w:val="001E19A3"/>
    <w:rsid w:val="001E4C3F"/>
    <w:rsid w:val="001E6273"/>
    <w:rsid w:val="001F00E9"/>
    <w:rsid w:val="001F6DF2"/>
    <w:rsid w:val="001F735E"/>
    <w:rsid w:val="002005A8"/>
    <w:rsid w:val="002006B6"/>
    <w:rsid w:val="00204A52"/>
    <w:rsid w:val="00205BAF"/>
    <w:rsid w:val="002070A2"/>
    <w:rsid w:val="00207F85"/>
    <w:rsid w:val="00211A74"/>
    <w:rsid w:val="00211BC1"/>
    <w:rsid w:val="0021226A"/>
    <w:rsid w:val="0021230E"/>
    <w:rsid w:val="00221C5A"/>
    <w:rsid w:val="00224A16"/>
    <w:rsid w:val="00225142"/>
    <w:rsid w:val="00226694"/>
    <w:rsid w:val="00227BDD"/>
    <w:rsid w:val="00227DFF"/>
    <w:rsid w:val="002318A4"/>
    <w:rsid w:val="002335FF"/>
    <w:rsid w:val="00233D87"/>
    <w:rsid w:val="00234E2A"/>
    <w:rsid w:val="00235177"/>
    <w:rsid w:val="0023617D"/>
    <w:rsid w:val="0023666C"/>
    <w:rsid w:val="00236692"/>
    <w:rsid w:val="00236E0A"/>
    <w:rsid w:val="00236E96"/>
    <w:rsid w:val="00237964"/>
    <w:rsid w:val="002434DE"/>
    <w:rsid w:val="00243566"/>
    <w:rsid w:val="00245AFF"/>
    <w:rsid w:val="0024628D"/>
    <w:rsid w:val="0024690E"/>
    <w:rsid w:val="0025014C"/>
    <w:rsid w:val="00251ABC"/>
    <w:rsid w:val="002524CF"/>
    <w:rsid w:val="0025376A"/>
    <w:rsid w:val="00256400"/>
    <w:rsid w:val="002621E3"/>
    <w:rsid w:val="002652D2"/>
    <w:rsid w:val="00266357"/>
    <w:rsid w:val="00267A1F"/>
    <w:rsid w:val="00271B18"/>
    <w:rsid w:val="00276E2A"/>
    <w:rsid w:val="00276F9B"/>
    <w:rsid w:val="00277369"/>
    <w:rsid w:val="00277F94"/>
    <w:rsid w:val="002942B0"/>
    <w:rsid w:val="0029555D"/>
    <w:rsid w:val="0029781E"/>
    <w:rsid w:val="002A0186"/>
    <w:rsid w:val="002A0EF4"/>
    <w:rsid w:val="002A10C9"/>
    <w:rsid w:val="002A1953"/>
    <w:rsid w:val="002A2471"/>
    <w:rsid w:val="002A2A94"/>
    <w:rsid w:val="002A36A5"/>
    <w:rsid w:val="002A4675"/>
    <w:rsid w:val="002A6ED0"/>
    <w:rsid w:val="002B107C"/>
    <w:rsid w:val="002B2C97"/>
    <w:rsid w:val="002B3BF4"/>
    <w:rsid w:val="002B6DED"/>
    <w:rsid w:val="002B6F2A"/>
    <w:rsid w:val="002C06FC"/>
    <w:rsid w:val="002C0DBA"/>
    <w:rsid w:val="002C1117"/>
    <w:rsid w:val="002C67DF"/>
    <w:rsid w:val="002C778F"/>
    <w:rsid w:val="002D0036"/>
    <w:rsid w:val="002D17CE"/>
    <w:rsid w:val="002D29F8"/>
    <w:rsid w:val="002D40EE"/>
    <w:rsid w:val="002D4993"/>
    <w:rsid w:val="002D50E9"/>
    <w:rsid w:val="002D5643"/>
    <w:rsid w:val="002D5CFA"/>
    <w:rsid w:val="002E1961"/>
    <w:rsid w:val="002E304F"/>
    <w:rsid w:val="002E5874"/>
    <w:rsid w:val="002F0044"/>
    <w:rsid w:val="002F036B"/>
    <w:rsid w:val="002F1FA3"/>
    <w:rsid w:val="002F372B"/>
    <w:rsid w:val="002F546B"/>
    <w:rsid w:val="002F5CBE"/>
    <w:rsid w:val="00300653"/>
    <w:rsid w:val="00302A82"/>
    <w:rsid w:val="00302E15"/>
    <w:rsid w:val="00304892"/>
    <w:rsid w:val="00306F60"/>
    <w:rsid w:val="003103FB"/>
    <w:rsid w:val="00313E1D"/>
    <w:rsid w:val="00314564"/>
    <w:rsid w:val="003247FA"/>
    <w:rsid w:val="003309DA"/>
    <w:rsid w:val="00332920"/>
    <w:rsid w:val="00333809"/>
    <w:rsid w:val="00336313"/>
    <w:rsid w:val="00337357"/>
    <w:rsid w:val="00337D1D"/>
    <w:rsid w:val="00346B1D"/>
    <w:rsid w:val="003504FB"/>
    <w:rsid w:val="0035060F"/>
    <w:rsid w:val="00352864"/>
    <w:rsid w:val="003532B1"/>
    <w:rsid w:val="003555D8"/>
    <w:rsid w:val="003623B1"/>
    <w:rsid w:val="00362F9E"/>
    <w:rsid w:val="00363BE8"/>
    <w:rsid w:val="00370B5D"/>
    <w:rsid w:val="00370F29"/>
    <w:rsid w:val="00372F61"/>
    <w:rsid w:val="00374225"/>
    <w:rsid w:val="003758C9"/>
    <w:rsid w:val="00382298"/>
    <w:rsid w:val="003826C2"/>
    <w:rsid w:val="00383A98"/>
    <w:rsid w:val="00385069"/>
    <w:rsid w:val="00387072"/>
    <w:rsid w:val="00392097"/>
    <w:rsid w:val="00392684"/>
    <w:rsid w:val="00394679"/>
    <w:rsid w:val="003952D4"/>
    <w:rsid w:val="00395EDE"/>
    <w:rsid w:val="003A1728"/>
    <w:rsid w:val="003A3988"/>
    <w:rsid w:val="003A745F"/>
    <w:rsid w:val="003B1170"/>
    <w:rsid w:val="003B3697"/>
    <w:rsid w:val="003B559F"/>
    <w:rsid w:val="003B7610"/>
    <w:rsid w:val="003C0E4B"/>
    <w:rsid w:val="003C169C"/>
    <w:rsid w:val="003C2CC3"/>
    <w:rsid w:val="003C7721"/>
    <w:rsid w:val="003D1FB8"/>
    <w:rsid w:val="003D7104"/>
    <w:rsid w:val="003E2013"/>
    <w:rsid w:val="003E50CF"/>
    <w:rsid w:val="003E5605"/>
    <w:rsid w:val="003E7BC6"/>
    <w:rsid w:val="003F051C"/>
    <w:rsid w:val="003F0CB2"/>
    <w:rsid w:val="003F21D2"/>
    <w:rsid w:val="003F269E"/>
    <w:rsid w:val="003F433D"/>
    <w:rsid w:val="003F4964"/>
    <w:rsid w:val="003F65F3"/>
    <w:rsid w:val="003F6B8F"/>
    <w:rsid w:val="00401C43"/>
    <w:rsid w:val="00403274"/>
    <w:rsid w:val="004046FF"/>
    <w:rsid w:val="00405D79"/>
    <w:rsid w:val="00410790"/>
    <w:rsid w:val="00411EF4"/>
    <w:rsid w:val="004133BB"/>
    <w:rsid w:val="00413DCE"/>
    <w:rsid w:val="004142EF"/>
    <w:rsid w:val="0041480A"/>
    <w:rsid w:val="00415350"/>
    <w:rsid w:val="00420958"/>
    <w:rsid w:val="00420EF1"/>
    <w:rsid w:val="00421920"/>
    <w:rsid w:val="00422500"/>
    <w:rsid w:val="004228E6"/>
    <w:rsid w:val="00423D33"/>
    <w:rsid w:val="004249A0"/>
    <w:rsid w:val="00425466"/>
    <w:rsid w:val="0043155E"/>
    <w:rsid w:val="00431D9F"/>
    <w:rsid w:val="00432D49"/>
    <w:rsid w:val="004339EA"/>
    <w:rsid w:val="00433E8F"/>
    <w:rsid w:val="00434145"/>
    <w:rsid w:val="00436DB8"/>
    <w:rsid w:val="0044090F"/>
    <w:rsid w:val="0044102A"/>
    <w:rsid w:val="00441D53"/>
    <w:rsid w:val="00441D91"/>
    <w:rsid w:val="0044577B"/>
    <w:rsid w:val="00450A38"/>
    <w:rsid w:val="00451588"/>
    <w:rsid w:val="004517F1"/>
    <w:rsid w:val="00451FF6"/>
    <w:rsid w:val="00453483"/>
    <w:rsid w:val="004556DF"/>
    <w:rsid w:val="004573F5"/>
    <w:rsid w:val="00457E96"/>
    <w:rsid w:val="00460C30"/>
    <w:rsid w:val="00461AE3"/>
    <w:rsid w:val="00462BB6"/>
    <w:rsid w:val="004642BB"/>
    <w:rsid w:val="00464A63"/>
    <w:rsid w:val="00465A9B"/>
    <w:rsid w:val="004666CC"/>
    <w:rsid w:val="00466DD6"/>
    <w:rsid w:val="00466EFA"/>
    <w:rsid w:val="00467331"/>
    <w:rsid w:val="00470670"/>
    <w:rsid w:val="0047086E"/>
    <w:rsid w:val="00472286"/>
    <w:rsid w:val="004743AE"/>
    <w:rsid w:val="00475A47"/>
    <w:rsid w:val="00475D57"/>
    <w:rsid w:val="00484536"/>
    <w:rsid w:val="00485184"/>
    <w:rsid w:val="0048520F"/>
    <w:rsid w:val="00486585"/>
    <w:rsid w:val="0049615E"/>
    <w:rsid w:val="00496B69"/>
    <w:rsid w:val="00497289"/>
    <w:rsid w:val="00497D39"/>
    <w:rsid w:val="004A06AE"/>
    <w:rsid w:val="004A1670"/>
    <w:rsid w:val="004A2CCD"/>
    <w:rsid w:val="004A425A"/>
    <w:rsid w:val="004A4B41"/>
    <w:rsid w:val="004A510D"/>
    <w:rsid w:val="004A518F"/>
    <w:rsid w:val="004A6AA5"/>
    <w:rsid w:val="004B039F"/>
    <w:rsid w:val="004B06E3"/>
    <w:rsid w:val="004B153D"/>
    <w:rsid w:val="004B1AF1"/>
    <w:rsid w:val="004B35DC"/>
    <w:rsid w:val="004B5172"/>
    <w:rsid w:val="004B5888"/>
    <w:rsid w:val="004B6780"/>
    <w:rsid w:val="004B7CAA"/>
    <w:rsid w:val="004C2A36"/>
    <w:rsid w:val="004C3663"/>
    <w:rsid w:val="004C57EC"/>
    <w:rsid w:val="004C6721"/>
    <w:rsid w:val="004C69F2"/>
    <w:rsid w:val="004C6B6A"/>
    <w:rsid w:val="004C7F89"/>
    <w:rsid w:val="004D0C20"/>
    <w:rsid w:val="004D1461"/>
    <w:rsid w:val="004D3A71"/>
    <w:rsid w:val="004D3CE4"/>
    <w:rsid w:val="004D4F20"/>
    <w:rsid w:val="004D7E51"/>
    <w:rsid w:val="004E04EE"/>
    <w:rsid w:val="004E1B37"/>
    <w:rsid w:val="004E2704"/>
    <w:rsid w:val="004E2F5A"/>
    <w:rsid w:val="004E3F08"/>
    <w:rsid w:val="004E3F72"/>
    <w:rsid w:val="004E4D01"/>
    <w:rsid w:val="004E4E65"/>
    <w:rsid w:val="004E7045"/>
    <w:rsid w:val="004F0037"/>
    <w:rsid w:val="004F5DE9"/>
    <w:rsid w:val="004F705B"/>
    <w:rsid w:val="004F7D44"/>
    <w:rsid w:val="00500964"/>
    <w:rsid w:val="00500C66"/>
    <w:rsid w:val="00500FB8"/>
    <w:rsid w:val="00505B94"/>
    <w:rsid w:val="005130EC"/>
    <w:rsid w:val="005146E6"/>
    <w:rsid w:val="00515D64"/>
    <w:rsid w:val="00516E0A"/>
    <w:rsid w:val="00517860"/>
    <w:rsid w:val="0052372C"/>
    <w:rsid w:val="005263D9"/>
    <w:rsid w:val="0053018B"/>
    <w:rsid w:val="005313BC"/>
    <w:rsid w:val="00533E79"/>
    <w:rsid w:val="0053504F"/>
    <w:rsid w:val="00535228"/>
    <w:rsid w:val="00535A42"/>
    <w:rsid w:val="0053748E"/>
    <w:rsid w:val="00543EA9"/>
    <w:rsid w:val="005449C6"/>
    <w:rsid w:val="00544F38"/>
    <w:rsid w:val="005472A7"/>
    <w:rsid w:val="00547EB2"/>
    <w:rsid w:val="0055038F"/>
    <w:rsid w:val="005560DA"/>
    <w:rsid w:val="00561162"/>
    <w:rsid w:val="0056177B"/>
    <w:rsid w:val="00566B42"/>
    <w:rsid w:val="0057165C"/>
    <w:rsid w:val="00571D95"/>
    <w:rsid w:val="005722C6"/>
    <w:rsid w:val="00580FF8"/>
    <w:rsid w:val="00582F08"/>
    <w:rsid w:val="00585595"/>
    <w:rsid w:val="00585C8D"/>
    <w:rsid w:val="005862CC"/>
    <w:rsid w:val="005911FE"/>
    <w:rsid w:val="005915AA"/>
    <w:rsid w:val="00591A06"/>
    <w:rsid w:val="00592BC8"/>
    <w:rsid w:val="0059312F"/>
    <w:rsid w:val="00593220"/>
    <w:rsid w:val="0059380C"/>
    <w:rsid w:val="005953F8"/>
    <w:rsid w:val="00595758"/>
    <w:rsid w:val="00596011"/>
    <w:rsid w:val="00596081"/>
    <w:rsid w:val="005A3943"/>
    <w:rsid w:val="005A51E6"/>
    <w:rsid w:val="005A556E"/>
    <w:rsid w:val="005A632E"/>
    <w:rsid w:val="005A74DC"/>
    <w:rsid w:val="005B056F"/>
    <w:rsid w:val="005B192B"/>
    <w:rsid w:val="005B47C5"/>
    <w:rsid w:val="005B7418"/>
    <w:rsid w:val="005C03A9"/>
    <w:rsid w:val="005C0F68"/>
    <w:rsid w:val="005C1C9A"/>
    <w:rsid w:val="005C1D6E"/>
    <w:rsid w:val="005C2BFC"/>
    <w:rsid w:val="005C324B"/>
    <w:rsid w:val="005C43E2"/>
    <w:rsid w:val="005C454A"/>
    <w:rsid w:val="005C66BC"/>
    <w:rsid w:val="005C74C9"/>
    <w:rsid w:val="005D0DD9"/>
    <w:rsid w:val="005D1B14"/>
    <w:rsid w:val="005D257B"/>
    <w:rsid w:val="005E08BD"/>
    <w:rsid w:val="005E1D5C"/>
    <w:rsid w:val="005E25DC"/>
    <w:rsid w:val="005E4EC4"/>
    <w:rsid w:val="005E52AE"/>
    <w:rsid w:val="005E5607"/>
    <w:rsid w:val="005E567C"/>
    <w:rsid w:val="005E568D"/>
    <w:rsid w:val="005F0371"/>
    <w:rsid w:val="005F1E7B"/>
    <w:rsid w:val="005F505E"/>
    <w:rsid w:val="00602976"/>
    <w:rsid w:val="0060388D"/>
    <w:rsid w:val="00604231"/>
    <w:rsid w:val="006068F3"/>
    <w:rsid w:val="00610C2F"/>
    <w:rsid w:val="00621040"/>
    <w:rsid w:val="0062187C"/>
    <w:rsid w:val="006239BC"/>
    <w:rsid w:val="00623C14"/>
    <w:rsid w:val="00625805"/>
    <w:rsid w:val="00626C42"/>
    <w:rsid w:val="00627AC4"/>
    <w:rsid w:val="0063253B"/>
    <w:rsid w:val="0063332C"/>
    <w:rsid w:val="006334FE"/>
    <w:rsid w:val="006363C8"/>
    <w:rsid w:val="00637AB8"/>
    <w:rsid w:val="00640D62"/>
    <w:rsid w:val="00642A96"/>
    <w:rsid w:val="0064370D"/>
    <w:rsid w:val="00643771"/>
    <w:rsid w:val="00644946"/>
    <w:rsid w:val="006461DB"/>
    <w:rsid w:val="00646AB8"/>
    <w:rsid w:val="00647BD9"/>
    <w:rsid w:val="00650768"/>
    <w:rsid w:val="00654A3E"/>
    <w:rsid w:val="006573C4"/>
    <w:rsid w:val="00657C37"/>
    <w:rsid w:val="006624A7"/>
    <w:rsid w:val="0066515F"/>
    <w:rsid w:val="006663E9"/>
    <w:rsid w:val="006668AF"/>
    <w:rsid w:val="00670A7E"/>
    <w:rsid w:val="0067278C"/>
    <w:rsid w:val="00676DAA"/>
    <w:rsid w:val="0068420F"/>
    <w:rsid w:val="00686439"/>
    <w:rsid w:val="00690A87"/>
    <w:rsid w:val="00697411"/>
    <w:rsid w:val="00697A88"/>
    <w:rsid w:val="00697CF1"/>
    <w:rsid w:val="006A1C21"/>
    <w:rsid w:val="006A6051"/>
    <w:rsid w:val="006B010C"/>
    <w:rsid w:val="006B31D9"/>
    <w:rsid w:val="006C0102"/>
    <w:rsid w:val="006C07D4"/>
    <w:rsid w:val="006C2DAD"/>
    <w:rsid w:val="006C41AD"/>
    <w:rsid w:val="006C4F2A"/>
    <w:rsid w:val="006D04BD"/>
    <w:rsid w:val="006D47EF"/>
    <w:rsid w:val="006D5039"/>
    <w:rsid w:val="006D533B"/>
    <w:rsid w:val="006D6644"/>
    <w:rsid w:val="006D7180"/>
    <w:rsid w:val="006E433B"/>
    <w:rsid w:val="006E44BE"/>
    <w:rsid w:val="006E7899"/>
    <w:rsid w:val="006E7C78"/>
    <w:rsid w:val="006F27F4"/>
    <w:rsid w:val="006F2E23"/>
    <w:rsid w:val="006F4C30"/>
    <w:rsid w:val="006F6777"/>
    <w:rsid w:val="006F7024"/>
    <w:rsid w:val="00700C22"/>
    <w:rsid w:val="00703115"/>
    <w:rsid w:val="0070356C"/>
    <w:rsid w:val="00703A7C"/>
    <w:rsid w:val="007069E6"/>
    <w:rsid w:val="00707180"/>
    <w:rsid w:val="007076DA"/>
    <w:rsid w:val="00707860"/>
    <w:rsid w:val="00711B3A"/>
    <w:rsid w:val="00717131"/>
    <w:rsid w:val="00717AA0"/>
    <w:rsid w:val="007207BF"/>
    <w:rsid w:val="00721707"/>
    <w:rsid w:val="00725CB0"/>
    <w:rsid w:val="00731DBA"/>
    <w:rsid w:val="0073517D"/>
    <w:rsid w:val="0073685C"/>
    <w:rsid w:val="00737763"/>
    <w:rsid w:val="00737AFA"/>
    <w:rsid w:val="00737EA5"/>
    <w:rsid w:val="007400AE"/>
    <w:rsid w:val="007400B4"/>
    <w:rsid w:val="00741F3E"/>
    <w:rsid w:val="007424C0"/>
    <w:rsid w:val="00742F88"/>
    <w:rsid w:val="00743AA8"/>
    <w:rsid w:val="00750840"/>
    <w:rsid w:val="007545B5"/>
    <w:rsid w:val="00757617"/>
    <w:rsid w:val="00757DD8"/>
    <w:rsid w:val="0076182D"/>
    <w:rsid w:val="0076370E"/>
    <w:rsid w:val="00763AD8"/>
    <w:rsid w:val="00764A24"/>
    <w:rsid w:val="00764CCD"/>
    <w:rsid w:val="00765016"/>
    <w:rsid w:val="00767EDE"/>
    <w:rsid w:val="00767F52"/>
    <w:rsid w:val="0077100C"/>
    <w:rsid w:val="007725FC"/>
    <w:rsid w:val="00776C39"/>
    <w:rsid w:val="00776E41"/>
    <w:rsid w:val="00781D00"/>
    <w:rsid w:val="00782B4A"/>
    <w:rsid w:val="00782E92"/>
    <w:rsid w:val="007900F3"/>
    <w:rsid w:val="00791898"/>
    <w:rsid w:val="00791B69"/>
    <w:rsid w:val="0079498E"/>
    <w:rsid w:val="00794EE9"/>
    <w:rsid w:val="00796F10"/>
    <w:rsid w:val="007A59EA"/>
    <w:rsid w:val="007A5AC6"/>
    <w:rsid w:val="007A6AB5"/>
    <w:rsid w:val="007A6C67"/>
    <w:rsid w:val="007B14D9"/>
    <w:rsid w:val="007B2B46"/>
    <w:rsid w:val="007B30F2"/>
    <w:rsid w:val="007B377F"/>
    <w:rsid w:val="007B4274"/>
    <w:rsid w:val="007B443D"/>
    <w:rsid w:val="007B5117"/>
    <w:rsid w:val="007B599D"/>
    <w:rsid w:val="007B6650"/>
    <w:rsid w:val="007B6A74"/>
    <w:rsid w:val="007C0BA4"/>
    <w:rsid w:val="007C2DC8"/>
    <w:rsid w:val="007C649E"/>
    <w:rsid w:val="007D0307"/>
    <w:rsid w:val="007D097E"/>
    <w:rsid w:val="007D230B"/>
    <w:rsid w:val="007D2D80"/>
    <w:rsid w:val="007D3681"/>
    <w:rsid w:val="007D3824"/>
    <w:rsid w:val="007D49A1"/>
    <w:rsid w:val="007D4EFD"/>
    <w:rsid w:val="007D59DD"/>
    <w:rsid w:val="007E1F66"/>
    <w:rsid w:val="007E2CB5"/>
    <w:rsid w:val="007E4C10"/>
    <w:rsid w:val="007E6501"/>
    <w:rsid w:val="007E6C25"/>
    <w:rsid w:val="007F32D7"/>
    <w:rsid w:val="007F3E75"/>
    <w:rsid w:val="007F4F97"/>
    <w:rsid w:val="007F64A4"/>
    <w:rsid w:val="007F669E"/>
    <w:rsid w:val="00801632"/>
    <w:rsid w:val="008043E6"/>
    <w:rsid w:val="0080520B"/>
    <w:rsid w:val="00807B3E"/>
    <w:rsid w:val="00810D4A"/>
    <w:rsid w:val="00812904"/>
    <w:rsid w:val="00812F82"/>
    <w:rsid w:val="008146FD"/>
    <w:rsid w:val="00816AAB"/>
    <w:rsid w:val="00816FD9"/>
    <w:rsid w:val="00820402"/>
    <w:rsid w:val="00821C26"/>
    <w:rsid w:val="008243B2"/>
    <w:rsid w:val="00824F08"/>
    <w:rsid w:val="0082626D"/>
    <w:rsid w:val="00830977"/>
    <w:rsid w:val="00831072"/>
    <w:rsid w:val="008310DF"/>
    <w:rsid w:val="00831105"/>
    <w:rsid w:val="00831AC5"/>
    <w:rsid w:val="00835322"/>
    <w:rsid w:val="00835487"/>
    <w:rsid w:val="00844A4B"/>
    <w:rsid w:val="00845536"/>
    <w:rsid w:val="00846DD0"/>
    <w:rsid w:val="0085413A"/>
    <w:rsid w:val="00854676"/>
    <w:rsid w:val="00855B8B"/>
    <w:rsid w:val="0086431C"/>
    <w:rsid w:val="00865296"/>
    <w:rsid w:val="00867086"/>
    <w:rsid w:val="00871123"/>
    <w:rsid w:val="00874663"/>
    <w:rsid w:val="008761D2"/>
    <w:rsid w:val="0088172C"/>
    <w:rsid w:val="00881B95"/>
    <w:rsid w:val="008831CA"/>
    <w:rsid w:val="00887FDA"/>
    <w:rsid w:val="0089272A"/>
    <w:rsid w:val="00894890"/>
    <w:rsid w:val="00897247"/>
    <w:rsid w:val="008A18C9"/>
    <w:rsid w:val="008B08F0"/>
    <w:rsid w:val="008B09A3"/>
    <w:rsid w:val="008B262C"/>
    <w:rsid w:val="008B2DAD"/>
    <w:rsid w:val="008B4C2F"/>
    <w:rsid w:val="008B6FC8"/>
    <w:rsid w:val="008C19E9"/>
    <w:rsid w:val="008C26E9"/>
    <w:rsid w:val="008C774E"/>
    <w:rsid w:val="008D1B5B"/>
    <w:rsid w:val="008D2C4C"/>
    <w:rsid w:val="008D4652"/>
    <w:rsid w:val="008D49B9"/>
    <w:rsid w:val="008D6D9D"/>
    <w:rsid w:val="008E5BB6"/>
    <w:rsid w:val="008E6794"/>
    <w:rsid w:val="008E7BC8"/>
    <w:rsid w:val="008F1691"/>
    <w:rsid w:val="008F22E2"/>
    <w:rsid w:val="008F5698"/>
    <w:rsid w:val="008F639E"/>
    <w:rsid w:val="00900681"/>
    <w:rsid w:val="009015AD"/>
    <w:rsid w:val="00901EF2"/>
    <w:rsid w:val="00903EB6"/>
    <w:rsid w:val="00904906"/>
    <w:rsid w:val="00906757"/>
    <w:rsid w:val="0090702F"/>
    <w:rsid w:val="009079D0"/>
    <w:rsid w:val="00911F10"/>
    <w:rsid w:val="00913087"/>
    <w:rsid w:val="00913D0A"/>
    <w:rsid w:val="009148A1"/>
    <w:rsid w:val="00915511"/>
    <w:rsid w:val="00915D89"/>
    <w:rsid w:val="00916DFA"/>
    <w:rsid w:val="00920CC3"/>
    <w:rsid w:val="00924972"/>
    <w:rsid w:val="009309D7"/>
    <w:rsid w:val="00932E1E"/>
    <w:rsid w:val="00934068"/>
    <w:rsid w:val="00935EA8"/>
    <w:rsid w:val="00936348"/>
    <w:rsid w:val="00937854"/>
    <w:rsid w:val="009400F4"/>
    <w:rsid w:val="00940DB7"/>
    <w:rsid w:val="00941D26"/>
    <w:rsid w:val="0094352B"/>
    <w:rsid w:val="009469E0"/>
    <w:rsid w:val="00951C4D"/>
    <w:rsid w:val="00951F91"/>
    <w:rsid w:val="00952E03"/>
    <w:rsid w:val="0095396E"/>
    <w:rsid w:val="00953B06"/>
    <w:rsid w:val="009547E2"/>
    <w:rsid w:val="00956488"/>
    <w:rsid w:val="00956F5F"/>
    <w:rsid w:val="00960BA1"/>
    <w:rsid w:val="009610DC"/>
    <w:rsid w:val="00962483"/>
    <w:rsid w:val="009669D2"/>
    <w:rsid w:val="0097154F"/>
    <w:rsid w:val="00974DF4"/>
    <w:rsid w:val="00975295"/>
    <w:rsid w:val="00975E33"/>
    <w:rsid w:val="00977D3E"/>
    <w:rsid w:val="009806E1"/>
    <w:rsid w:val="00980F65"/>
    <w:rsid w:val="00981243"/>
    <w:rsid w:val="0098172D"/>
    <w:rsid w:val="0098457F"/>
    <w:rsid w:val="00985996"/>
    <w:rsid w:val="00986978"/>
    <w:rsid w:val="0099177E"/>
    <w:rsid w:val="00994F74"/>
    <w:rsid w:val="00995570"/>
    <w:rsid w:val="0099563A"/>
    <w:rsid w:val="00996BE4"/>
    <w:rsid w:val="00996C00"/>
    <w:rsid w:val="009A007F"/>
    <w:rsid w:val="009A00F3"/>
    <w:rsid w:val="009A13F4"/>
    <w:rsid w:val="009A44BE"/>
    <w:rsid w:val="009A523D"/>
    <w:rsid w:val="009A5889"/>
    <w:rsid w:val="009B029F"/>
    <w:rsid w:val="009B27F8"/>
    <w:rsid w:val="009B3637"/>
    <w:rsid w:val="009B3838"/>
    <w:rsid w:val="009B4A8B"/>
    <w:rsid w:val="009B74FB"/>
    <w:rsid w:val="009C0660"/>
    <w:rsid w:val="009C31A4"/>
    <w:rsid w:val="009C3E65"/>
    <w:rsid w:val="009C4845"/>
    <w:rsid w:val="009C5BA1"/>
    <w:rsid w:val="009C7314"/>
    <w:rsid w:val="009C767C"/>
    <w:rsid w:val="009D022A"/>
    <w:rsid w:val="009D2442"/>
    <w:rsid w:val="009D3796"/>
    <w:rsid w:val="009D40F1"/>
    <w:rsid w:val="009D5D9F"/>
    <w:rsid w:val="009D7F4D"/>
    <w:rsid w:val="009E0FA2"/>
    <w:rsid w:val="009E2244"/>
    <w:rsid w:val="009E2D42"/>
    <w:rsid w:val="009E4A28"/>
    <w:rsid w:val="009E57DF"/>
    <w:rsid w:val="009E7F8B"/>
    <w:rsid w:val="009F57FD"/>
    <w:rsid w:val="009F7F9F"/>
    <w:rsid w:val="00A0166F"/>
    <w:rsid w:val="00A0175B"/>
    <w:rsid w:val="00A01AC6"/>
    <w:rsid w:val="00A01E02"/>
    <w:rsid w:val="00A02D69"/>
    <w:rsid w:val="00A02E26"/>
    <w:rsid w:val="00A04324"/>
    <w:rsid w:val="00A05BA0"/>
    <w:rsid w:val="00A06EBC"/>
    <w:rsid w:val="00A10C74"/>
    <w:rsid w:val="00A11C09"/>
    <w:rsid w:val="00A11FA6"/>
    <w:rsid w:val="00A12643"/>
    <w:rsid w:val="00A131B8"/>
    <w:rsid w:val="00A159C9"/>
    <w:rsid w:val="00A167FB"/>
    <w:rsid w:val="00A21B70"/>
    <w:rsid w:val="00A21D02"/>
    <w:rsid w:val="00A21DDB"/>
    <w:rsid w:val="00A23CF6"/>
    <w:rsid w:val="00A2690C"/>
    <w:rsid w:val="00A2792F"/>
    <w:rsid w:val="00A306C7"/>
    <w:rsid w:val="00A30970"/>
    <w:rsid w:val="00A315E4"/>
    <w:rsid w:val="00A31D96"/>
    <w:rsid w:val="00A31FEE"/>
    <w:rsid w:val="00A33722"/>
    <w:rsid w:val="00A33C55"/>
    <w:rsid w:val="00A35F16"/>
    <w:rsid w:val="00A3657F"/>
    <w:rsid w:val="00A406C3"/>
    <w:rsid w:val="00A409E5"/>
    <w:rsid w:val="00A410C2"/>
    <w:rsid w:val="00A42875"/>
    <w:rsid w:val="00A440D9"/>
    <w:rsid w:val="00A44DC1"/>
    <w:rsid w:val="00A45BE2"/>
    <w:rsid w:val="00A47168"/>
    <w:rsid w:val="00A47A98"/>
    <w:rsid w:val="00A47D9F"/>
    <w:rsid w:val="00A47EE7"/>
    <w:rsid w:val="00A50B43"/>
    <w:rsid w:val="00A513C7"/>
    <w:rsid w:val="00A51AA4"/>
    <w:rsid w:val="00A51B22"/>
    <w:rsid w:val="00A51C87"/>
    <w:rsid w:val="00A5340A"/>
    <w:rsid w:val="00A53540"/>
    <w:rsid w:val="00A54197"/>
    <w:rsid w:val="00A61821"/>
    <w:rsid w:val="00A61E3A"/>
    <w:rsid w:val="00A62DA8"/>
    <w:rsid w:val="00A62DDC"/>
    <w:rsid w:val="00A631BA"/>
    <w:rsid w:val="00A65C27"/>
    <w:rsid w:val="00A666B3"/>
    <w:rsid w:val="00A67CA5"/>
    <w:rsid w:val="00A70766"/>
    <w:rsid w:val="00A75CCD"/>
    <w:rsid w:val="00A80506"/>
    <w:rsid w:val="00A806AE"/>
    <w:rsid w:val="00A8118F"/>
    <w:rsid w:val="00A8193D"/>
    <w:rsid w:val="00A81DB3"/>
    <w:rsid w:val="00A83458"/>
    <w:rsid w:val="00A85D93"/>
    <w:rsid w:val="00A86C41"/>
    <w:rsid w:val="00A875EE"/>
    <w:rsid w:val="00A90148"/>
    <w:rsid w:val="00A917F8"/>
    <w:rsid w:val="00A94015"/>
    <w:rsid w:val="00A94A1A"/>
    <w:rsid w:val="00A958AC"/>
    <w:rsid w:val="00AA0683"/>
    <w:rsid w:val="00AA0D8C"/>
    <w:rsid w:val="00AA25BC"/>
    <w:rsid w:val="00AA2A33"/>
    <w:rsid w:val="00AA2F7A"/>
    <w:rsid w:val="00AA302D"/>
    <w:rsid w:val="00AA3077"/>
    <w:rsid w:val="00AA3E2A"/>
    <w:rsid w:val="00AA46AF"/>
    <w:rsid w:val="00AA4807"/>
    <w:rsid w:val="00AA5AE7"/>
    <w:rsid w:val="00AA68B3"/>
    <w:rsid w:val="00AB1382"/>
    <w:rsid w:val="00AB38FD"/>
    <w:rsid w:val="00AB4E9E"/>
    <w:rsid w:val="00AB62EA"/>
    <w:rsid w:val="00AB6C99"/>
    <w:rsid w:val="00AB7DAC"/>
    <w:rsid w:val="00AC11D5"/>
    <w:rsid w:val="00AC1486"/>
    <w:rsid w:val="00AC15E5"/>
    <w:rsid w:val="00AC22BB"/>
    <w:rsid w:val="00AC3141"/>
    <w:rsid w:val="00AC4080"/>
    <w:rsid w:val="00AC4DE3"/>
    <w:rsid w:val="00AC5A6D"/>
    <w:rsid w:val="00AC5D73"/>
    <w:rsid w:val="00AC5FA6"/>
    <w:rsid w:val="00AC73AD"/>
    <w:rsid w:val="00AC7BED"/>
    <w:rsid w:val="00AD067D"/>
    <w:rsid w:val="00AD2795"/>
    <w:rsid w:val="00AD53CF"/>
    <w:rsid w:val="00AD5FFD"/>
    <w:rsid w:val="00AD705A"/>
    <w:rsid w:val="00AD78F9"/>
    <w:rsid w:val="00AE008D"/>
    <w:rsid w:val="00AE30E0"/>
    <w:rsid w:val="00AE346F"/>
    <w:rsid w:val="00AE3AD5"/>
    <w:rsid w:val="00AE3C6E"/>
    <w:rsid w:val="00AE6422"/>
    <w:rsid w:val="00AF05BB"/>
    <w:rsid w:val="00AF0B26"/>
    <w:rsid w:val="00AF2329"/>
    <w:rsid w:val="00AF3660"/>
    <w:rsid w:val="00AF5E64"/>
    <w:rsid w:val="00AF7A20"/>
    <w:rsid w:val="00B01312"/>
    <w:rsid w:val="00B01795"/>
    <w:rsid w:val="00B01C7F"/>
    <w:rsid w:val="00B01F0D"/>
    <w:rsid w:val="00B02D98"/>
    <w:rsid w:val="00B06685"/>
    <w:rsid w:val="00B13C06"/>
    <w:rsid w:val="00B15D2F"/>
    <w:rsid w:val="00B161D3"/>
    <w:rsid w:val="00B16399"/>
    <w:rsid w:val="00B1760F"/>
    <w:rsid w:val="00B24BF9"/>
    <w:rsid w:val="00B2586D"/>
    <w:rsid w:val="00B25AE4"/>
    <w:rsid w:val="00B265C9"/>
    <w:rsid w:val="00B26909"/>
    <w:rsid w:val="00B27664"/>
    <w:rsid w:val="00B31169"/>
    <w:rsid w:val="00B31828"/>
    <w:rsid w:val="00B37CA9"/>
    <w:rsid w:val="00B41E25"/>
    <w:rsid w:val="00B42BEE"/>
    <w:rsid w:val="00B45167"/>
    <w:rsid w:val="00B452B7"/>
    <w:rsid w:val="00B458E3"/>
    <w:rsid w:val="00B518FF"/>
    <w:rsid w:val="00B527FA"/>
    <w:rsid w:val="00B54F17"/>
    <w:rsid w:val="00B55468"/>
    <w:rsid w:val="00B561EE"/>
    <w:rsid w:val="00B570D2"/>
    <w:rsid w:val="00B57D47"/>
    <w:rsid w:val="00B60E91"/>
    <w:rsid w:val="00B6137B"/>
    <w:rsid w:val="00B61584"/>
    <w:rsid w:val="00B6210E"/>
    <w:rsid w:val="00B62CE6"/>
    <w:rsid w:val="00B632E3"/>
    <w:rsid w:val="00B64DC8"/>
    <w:rsid w:val="00B66121"/>
    <w:rsid w:val="00B70688"/>
    <w:rsid w:val="00B70EFE"/>
    <w:rsid w:val="00B74520"/>
    <w:rsid w:val="00B75FD9"/>
    <w:rsid w:val="00B76C71"/>
    <w:rsid w:val="00B77091"/>
    <w:rsid w:val="00B837C1"/>
    <w:rsid w:val="00B83B0B"/>
    <w:rsid w:val="00B841E0"/>
    <w:rsid w:val="00B860BA"/>
    <w:rsid w:val="00B865F5"/>
    <w:rsid w:val="00B870A0"/>
    <w:rsid w:val="00B8721E"/>
    <w:rsid w:val="00B87C2B"/>
    <w:rsid w:val="00B91DFE"/>
    <w:rsid w:val="00B92858"/>
    <w:rsid w:val="00B966E9"/>
    <w:rsid w:val="00B96BC7"/>
    <w:rsid w:val="00B97229"/>
    <w:rsid w:val="00BA08A3"/>
    <w:rsid w:val="00BA3D7D"/>
    <w:rsid w:val="00BA53B5"/>
    <w:rsid w:val="00BA5AB3"/>
    <w:rsid w:val="00BA6E48"/>
    <w:rsid w:val="00BB227E"/>
    <w:rsid w:val="00BB3485"/>
    <w:rsid w:val="00BB4F22"/>
    <w:rsid w:val="00BB7E3D"/>
    <w:rsid w:val="00BC2F8C"/>
    <w:rsid w:val="00BC3CD1"/>
    <w:rsid w:val="00BC5EC6"/>
    <w:rsid w:val="00BC5F0E"/>
    <w:rsid w:val="00BC6BBC"/>
    <w:rsid w:val="00BC7F41"/>
    <w:rsid w:val="00BD0749"/>
    <w:rsid w:val="00BD2211"/>
    <w:rsid w:val="00BD221D"/>
    <w:rsid w:val="00BD3E65"/>
    <w:rsid w:val="00BD44B8"/>
    <w:rsid w:val="00BD5934"/>
    <w:rsid w:val="00BD72C2"/>
    <w:rsid w:val="00BD7785"/>
    <w:rsid w:val="00BE29CE"/>
    <w:rsid w:val="00BE2FA7"/>
    <w:rsid w:val="00BE3B2E"/>
    <w:rsid w:val="00BE447F"/>
    <w:rsid w:val="00BE4EC6"/>
    <w:rsid w:val="00BE7DB5"/>
    <w:rsid w:val="00BE7DE8"/>
    <w:rsid w:val="00BF1CBD"/>
    <w:rsid w:val="00BF3F84"/>
    <w:rsid w:val="00BF52C4"/>
    <w:rsid w:val="00BF62EC"/>
    <w:rsid w:val="00BF68F7"/>
    <w:rsid w:val="00C006BE"/>
    <w:rsid w:val="00C015E4"/>
    <w:rsid w:val="00C05B8E"/>
    <w:rsid w:val="00C06755"/>
    <w:rsid w:val="00C1063D"/>
    <w:rsid w:val="00C13F59"/>
    <w:rsid w:val="00C144EF"/>
    <w:rsid w:val="00C15E0E"/>
    <w:rsid w:val="00C23FB5"/>
    <w:rsid w:val="00C24A1A"/>
    <w:rsid w:val="00C331BB"/>
    <w:rsid w:val="00C33A22"/>
    <w:rsid w:val="00C41A08"/>
    <w:rsid w:val="00C422B9"/>
    <w:rsid w:val="00C4240A"/>
    <w:rsid w:val="00C4241E"/>
    <w:rsid w:val="00C47BC8"/>
    <w:rsid w:val="00C50294"/>
    <w:rsid w:val="00C504EC"/>
    <w:rsid w:val="00C50808"/>
    <w:rsid w:val="00C50EFE"/>
    <w:rsid w:val="00C60EF2"/>
    <w:rsid w:val="00C615A3"/>
    <w:rsid w:val="00C6198D"/>
    <w:rsid w:val="00C62192"/>
    <w:rsid w:val="00C635DA"/>
    <w:rsid w:val="00C639E7"/>
    <w:rsid w:val="00C659BE"/>
    <w:rsid w:val="00C65EB9"/>
    <w:rsid w:val="00C66012"/>
    <w:rsid w:val="00C73C59"/>
    <w:rsid w:val="00C7545C"/>
    <w:rsid w:val="00C7634F"/>
    <w:rsid w:val="00C80300"/>
    <w:rsid w:val="00C82307"/>
    <w:rsid w:val="00C8613B"/>
    <w:rsid w:val="00C86985"/>
    <w:rsid w:val="00C900DE"/>
    <w:rsid w:val="00C9044F"/>
    <w:rsid w:val="00C917F0"/>
    <w:rsid w:val="00C92622"/>
    <w:rsid w:val="00C93DF6"/>
    <w:rsid w:val="00C958E2"/>
    <w:rsid w:val="00C96FC0"/>
    <w:rsid w:val="00C97228"/>
    <w:rsid w:val="00C9780D"/>
    <w:rsid w:val="00CA02DA"/>
    <w:rsid w:val="00CA1A54"/>
    <w:rsid w:val="00CA1CB3"/>
    <w:rsid w:val="00CA257C"/>
    <w:rsid w:val="00CA3CED"/>
    <w:rsid w:val="00CA655A"/>
    <w:rsid w:val="00CA72F0"/>
    <w:rsid w:val="00CA75CF"/>
    <w:rsid w:val="00CB23F7"/>
    <w:rsid w:val="00CB5AC3"/>
    <w:rsid w:val="00CC13EB"/>
    <w:rsid w:val="00CC28EF"/>
    <w:rsid w:val="00CC3DC4"/>
    <w:rsid w:val="00CC3E7C"/>
    <w:rsid w:val="00CC46B2"/>
    <w:rsid w:val="00CC5718"/>
    <w:rsid w:val="00CC6650"/>
    <w:rsid w:val="00CD1352"/>
    <w:rsid w:val="00CD1CBE"/>
    <w:rsid w:val="00CD1E3E"/>
    <w:rsid w:val="00CD2EDC"/>
    <w:rsid w:val="00CD32E2"/>
    <w:rsid w:val="00CD4B0B"/>
    <w:rsid w:val="00CD5E53"/>
    <w:rsid w:val="00CD6273"/>
    <w:rsid w:val="00CD6698"/>
    <w:rsid w:val="00CE1E5B"/>
    <w:rsid w:val="00CE42DB"/>
    <w:rsid w:val="00CE724F"/>
    <w:rsid w:val="00CE76F3"/>
    <w:rsid w:val="00CF0487"/>
    <w:rsid w:val="00CF1D92"/>
    <w:rsid w:val="00CF2D92"/>
    <w:rsid w:val="00CF48C5"/>
    <w:rsid w:val="00CF5D91"/>
    <w:rsid w:val="00D0025C"/>
    <w:rsid w:val="00D004FB"/>
    <w:rsid w:val="00D02BBC"/>
    <w:rsid w:val="00D02C36"/>
    <w:rsid w:val="00D1016D"/>
    <w:rsid w:val="00D12172"/>
    <w:rsid w:val="00D12B8C"/>
    <w:rsid w:val="00D14A27"/>
    <w:rsid w:val="00D200F6"/>
    <w:rsid w:val="00D21646"/>
    <w:rsid w:val="00D2171F"/>
    <w:rsid w:val="00D21A0B"/>
    <w:rsid w:val="00D22270"/>
    <w:rsid w:val="00D22586"/>
    <w:rsid w:val="00D24AE9"/>
    <w:rsid w:val="00D24B2A"/>
    <w:rsid w:val="00D36A25"/>
    <w:rsid w:val="00D36A3A"/>
    <w:rsid w:val="00D3709A"/>
    <w:rsid w:val="00D372CE"/>
    <w:rsid w:val="00D373C2"/>
    <w:rsid w:val="00D40006"/>
    <w:rsid w:val="00D41D77"/>
    <w:rsid w:val="00D4477D"/>
    <w:rsid w:val="00D454F2"/>
    <w:rsid w:val="00D47CE9"/>
    <w:rsid w:val="00D52995"/>
    <w:rsid w:val="00D52FA2"/>
    <w:rsid w:val="00D53025"/>
    <w:rsid w:val="00D53FDB"/>
    <w:rsid w:val="00D60425"/>
    <w:rsid w:val="00D70F2A"/>
    <w:rsid w:val="00D72ADE"/>
    <w:rsid w:val="00D75233"/>
    <w:rsid w:val="00D76998"/>
    <w:rsid w:val="00D76C68"/>
    <w:rsid w:val="00D7728F"/>
    <w:rsid w:val="00D77696"/>
    <w:rsid w:val="00D81CC4"/>
    <w:rsid w:val="00D84544"/>
    <w:rsid w:val="00D8735D"/>
    <w:rsid w:val="00D9133E"/>
    <w:rsid w:val="00D91793"/>
    <w:rsid w:val="00D9765E"/>
    <w:rsid w:val="00DA1473"/>
    <w:rsid w:val="00DA4027"/>
    <w:rsid w:val="00DA4591"/>
    <w:rsid w:val="00DA4BD7"/>
    <w:rsid w:val="00DA6430"/>
    <w:rsid w:val="00DA681A"/>
    <w:rsid w:val="00DA6B7E"/>
    <w:rsid w:val="00DB07B7"/>
    <w:rsid w:val="00DB63BE"/>
    <w:rsid w:val="00DB63DB"/>
    <w:rsid w:val="00DB7824"/>
    <w:rsid w:val="00DC308E"/>
    <w:rsid w:val="00DC5E0F"/>
    <w:rsid w:val="00DC6C76"/>
    <w:rsid w:val="00DC7F73"/>
    <w:rsid w:val="00DD0AE0"/>
    <w:rsid w:val="00DD2025"/>
    <w:rsid w:val="00DD7B9A"/>
    <w:rsid w:val="00DE191A"/>
    <w:rsid w:val="00DE1A0F"/>
    <w:rsid w:val="00DE3123"/>
    <w:rsid w:val="00DE339F"/>
    <w:rsid w:val="00DE4053"/>
    <w:rsid w:val="00DE53FB"/>
    <w:rsid w:val="00DE65D3"/>
    <w:rsid w:val="00DF1535"/>
    <w:rsid w:val="00DF4F85"/>
    <w:rsid w:val="00DF53F5"/>
    <w:rsid w:val="00DF61FD"/>
    <w:rsid w:val="00DF6226"/>
    <w:rsid w:val="00DF6D25"/>
    <w:rsid w:val="00E00FE3"/>
    <w:rsid w:val="00E03C6D"/>
    <w:rsid w:val="00E04B9C"/>
    <w:rsid w:val="00E1123A"/>
    <w:rsid w:val="00E11268"/>
    <w:rsid w:val="00E11EE3"/>
    <w:rsid w:val="00E126E4"/>
    <w:rsid w:val="00E12893"/>
    <w:rsid w:val="00E135F9"/>
    <w:rsid w:val="00E140AD"/>
    <w:rsid w:val="00E14349"/>
    <w:rsid w:val="00E16727"/>
    <w:rsid w:val="00E20B90"/>
    <w:rsid w:val="00E20C28"/>
    <w:rsid w:val="00E22A77"/>
    <w:rsid w:val="00E22E84"/>
    <w:rsid w:val="00E234F2"/>
    <w:rsid w:val="00E24B18"/>
    <w:rsid w:val="00E3016C"/>
    <w:rsid w:val="00E348BC"/>
    <w:rsid w:val="00E35B8D"/>
    <w:rsid w:val="00E37687"/>
    <w:rsid w:val="00E4307D"/>
    <w:rsid w:val="00E4318F"/>
    <w:rsid w:val="00E4348C"/>
    <w:rsid w:val="00E4392E"/>
    <w:rsid w:val="00E50B9E"/>
    <w:rsid w:val="00E54395"/>
    <w:rsid w:val="00E54741"/>
    <w:rsid w:val="00E568E5"/>
    <w:rsid w:val="00E57AAD"/>
    <w:rsid w:val="00E6166F"/>
    <w:rsid w:val="00E62BEA"/>
    <w:rsid w:val="00E6453F"/>
    <w:rsid w:val="00E659EF"/>
    <w:rsid w:val="00E677A6"/>
    <w:rsid w:val="00E70CBD"/>
    <w:rsid w:val="00E717E8"/>
    <w:rsid w:val="00E72BAF"/>
    <w:rsid w:val="00E73D81"/>
    <w:rsid w:val="00E754F4"/>
    <w:rsid w:val="00E75678"/>
    <w:rsid w:val="00E80C9F"/>
    <w:rsid w:val="00E81B2B"/>
    <w:rsid w:val="00E85941"/>
    <w:rsid w:val="00E865D1"/>
    <w:rsid w:val="00EA057C"/>
    <w:rsid w:val="00EA2D3D"/>
    <w:rsid w:val="00EA3092"/>
    <w:rsid w:val="00EA5B84"/>
    <w:rsid w:val="00EA7583"/>
    <w:rsid w:val="00EB0B8A"/>
    <w:rsid w:val="00EB20F9"/>
    <w:rsid w:val="00EB24EB"/>
    <w:rsid w:val="00EB34AF"/>
    <w:rsid w:val="00EB5C46"/>
    <w:rsid w:val="00EB60AD"/>
    <w:rsid w:val="00EC4235"/>
    <w:rsid w:val="00EC4463"/>
    <w:rsid w:val="00EC46A1"/>
    <w:rsid w:val="00EC51C0"/>
    <w:rsid w:val="00EC535E"/>
    <w:rsid w:val="00EC74D1"/>
    <w:rsid w:val="00ED06CC"/>
    <w:rsid w:val="00ED2C8E"/>
    <w:rsid w:val="00ED3577"/>
    <w:rsid w:val="00ED379E"/>
    <w:rsid w:val="00ED59D1"/>
    <w:rsid w:val="00ED7680"/>
    <w:rsid w:val="00EE0424"/>
    <w:rsid w:val="00EE0D47"/>
    <w:rsid w:val="00EE29AC"/>
    <w:rsid w:val="00EE5358"/>
    <w:rsid w:val="00EF1945"/>
    <w:rsid w:val="00EF1B6A"/>
    <w:rsid w:val="00EF3C59"/>
    <w:rsid w:val="00EF54D8"/>
    <w:rsid w:val="00EF5BCE"/>
    <w:rsid w:val="00EF5E00"/>
    <w:rsid w:val="00EF71E9"/>
    <w:rsid w:val="00F006D2"/>
    <w:rsid w:val="00F0073A"/>
    <w:rsid w:val="00F00BD1"/>
    <w:rsid w:val="00F01417"/>
    <w:rsid w:val="00F01FD9"/>
    <w:rsid w:val="00F04B07"/>
    <w:rsid w:val="00F05BA8"/>
    <w:rsid w:val="00F10C2B"/>
    <w:rsid w:val="00F16BD0"/>
    <w:rsid w:val="00F16F13"/>
    <w:rsid w:val="00F20AEA"/>
    <w:rsid w:val="00F20E7A"/>
    <w:rsid w:val="00F2195D"/>
    <w:rsid w:val="00F219C3"/>
    <w:rsid w:val="00F22F49"/>
    <w:rsid w:val="00F23E9A"/>
    <w:rsid w:val="00F242D9"/>
    <w:rsid w:val="00F259FE"/>
    <w:rsid w:val="00F313B1"/>
    <w:rsid w:val="00F3715D"/>
    <w:rsid w:val="00F40947"/>
    <w:rsid w:val="00F44B62"/>
    <w:rsid w:val="00F46C15"/>
    <w:rsid w:val="00F5072C"/>
    <w:rsid w:val="00F51CBF"/>
    <w:rsid w:val="00F526D5"/>
    <w:rsid w:val="00F5411D"/>
    <w:rsid w:val="00F5672D"/>
    <w:rsid w:val="00F56D2B"/>
    <w:rsid w:val="00F57D2D"/>
    <w:rsid w:val="00F606D8"/>
    <w:rsid w:val="00F62A49"/>
    <w:rsid w:val="00F64F0D"/>
    <w:rsid w:val="00F67BAE"/>
    <w:rsid w:val="00F7026A"/>
    <w:rsid w:val="00F71826"/>
    <w:rsid w:val="00F728C3"/>
    <w:rsid w:val="00F72B45"/>
    <w:rsid w:val="00F73B00"/>
    <w:rsid w:val="00F764EE"/>
    <w:rsid w:val="00F82F94"/>
    <w:rsid w:val="00F84737"/>
    <w:rsid w:val="00F87B69"/>
    <w:rsid w:val="00F90C95"/>
    <w:rsid w:val="00F9103E"/>
    <w:rsid w:val="00F93F87"/>
    <w:rsid w:val="00F95923"/>
    <w:rsid w:val="00F96A39"/>
    <w:rsid w:val="00F96DB3"/>
    <w:rsid w:val="00F97463"/>
    <w:rsid w:val="00FA4B50"/>
    <w:rsid w:val="00FA4DC6"/>
    <w:rsid w:val="00FA5D99"/>
    <w:rsid w:val="00FA7122"/>
    <w:rsid w:val="00FB030E"/>
    <w:rsid w:val="00FB2437"/>
    <w:rsid w:val="00FB496A"/>
    <w:rsid w:val="00FB571F"/>
    <w:rsid w:val="00FB7ADD"/>
    <w:rsid w:val="00FC283F"/>
    <w:rsid w:val="00FC2D7A"/>
    <w:rsid w:val="00FC42BA"/>
    <w:rsid w:val="00FC4CC7"/>
    <w:rsid w:val="00FC5345"/>
    <w:rsid w:val="00FC6166"/>
    <w:rsid w:val="00FC77BB"/>
    <w:rsid w:val="00FD08C1"/>
    <w:rsid w:val="00FD2C54"/>
    <w:rsid w:val="00FD3F14"/>
    <w:rsid w:val="00FD7995"/>
    <w:rsid w:val="00FD7A7A"/>
    <w:rsid w:val="00FE10C1"/>
    <w:rsid w:val="00FE190E"/>
    <w:rsid w:val="00FE20A9"/>
    <w:rsid w:val="00FE3C79"/>
    <w:rsid w:val="00FE48A9"/>
    <w:rsid w:val="00FF08B7"/>
    <w:rsid w:val="00FF12B8"/>
    <w:rsid w:val="00FF521D"/>
    <w:rsid w:val="2C6FE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43EA9"/>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12470A"/>
    <w:pPr>
      <w:keepNext/>
      <w:keepLines/>
      <w:spacing w:line="360" w:lineRule="exact"/>
      <w:jc w:val="center"/>
      <w:outlineLvl w:val="1"/>
    </w:pPr>
    <w:rPr>
      <w:rFonts w:eastAsiaTheme="majorEastAsia" w:cstheme="majorBidi"/>
      <w:caps/>
      <w:color w:val="FFFFFF" w:themeColor="background1"/>
      <w:spacing w:val="60"/>
      <w:sz w:val="28"/>
      <w:szCs w:val="26"/>
    </w:rPr>
  </w:style>
  <w:style w:type="character" w:customStyle="1" w:styleId="eTRMHeading2Char">
    <w:name w:val="eTRM Heading 2 Char"/>
    <w:basedOn w:val="DefaultParagraphFont"/>
    <w:link w:val="eTRMHeading2"/>
    <w:rsid w:val="0012470A"/>
    <w:rPr>
      <w:rFonts w:ascii="Calibri Light" w:eastAsiaTheme="majorEastAsia" w:hAnsi="Calibri Light" w:cstheme="majorBidi"/>
      <w:caps/>
      <w:color w:val="FFFFFF" w:themeColor="background1"/>
      <w:spacing w:val="60"/>
      <w:sz w:val="28"/>
      <w:szCs w:val="26"/>
    </w:rPr>
  </w:style>
  <w:style w:type="paragraph" w:customStyle="1" w:styleId="eTRMHeading3">
    <w:name w:val="eTRM Heading 3"/>
    <w:basedOn w:val="Heading3"/>
    <w:link w:val="eTRMHeading3Char"/>
    <w:autoRedefine/>
    <w:qFormat/>
    <w:rsid w:val="00975E33"/>
    <w:pPr>
      <w:spacing w:line="300" w:lineRule="exact"/>
    </w:pPr>
    <w:rPr>
      <w:rFonts w:ascii="Calibri Light" w:hAnsi="Calibri Light"/>
      <w:i/>
      <w:iCs/>
      <w:caps/>
      <w:color w:val="CFAB7A"/>
      <w:sz w:val="24"/>
    </w:rPr>
  </w:style>
  <w:style w:type="character" w:customStyle="1" w:styleId="eTRMHeading3Char">
    <w:name w:val="eTRM Heading 3 Char"/>
    <w:basedOn w:val="DefaultParagraphFont"/>
    <w:link w:val="eTRMHeading3"/>
    <w:rsid w:val="00975E33"/>
    <w:rPr>
      <w:rFonts w:ascii="Calibri Light" w:eastAsiaTheme="majorEastAsia" w:hAnsi="Calibri Light" w:cstheme="majorBidi"/>
      <w:i/>
      <w:iCs/>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CA75CF"/>
    <w:pPr>
      <w:spacing w:before="20" w:after="20"/>
    </w:pPr>
  </w:style>
  <w:style w:type="character" w:customStyle="1" w:styleId="eTRMFootnoteTextChar">
    <w:name w:val="eTRM Footnote Text Char"/>
    <w:basedOn w:val="FootnoteTextChar"/>
    <w:link w:val="eTRMFootnoteText"/>
    <w:rsid w:val="00CA75CF"/>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Default">
    <w:name w:val="Default"/>
    <w:rsid w:val="00CA75CF"/>
    <w:pPr>
      <w:autoSpaceDE w:val="0"/>
      <w:autoSpaceDN w:val="0"/>
      <w:adjustRightInd w:val="0"/>
    </w:pPr>
    <w:rPr>
      <w:rFonts w:ascii="Times New Roman" w:hAnsi="Times New Roman" w:cs="Times New Roman"/>
      <w:color w:val="000000"/>
    </w:rPr>
  </w:style>
  <w:style w:type="paragraph" w:customStyle="1" w:styleId="Reminders">
    <w:name w:val="Reminders"/>
    <w:basedOn w:val="Normal"/>
    <w:link w:val="RemindersChar"/>
    <w:rsid w:val="007F3E75"/>
    <w:pPr>
      <w:spacing w:before="40" w:after="40" w:line="240" w:lineRule="auto"/>
    </w:pPr>
    <w:rPr>
      <w:rFonts w:ascii="Trebuchet MS" w:eastAsia="Calibri" w:hAnsi="Trebuchet MS" w:cs="Times New Roman"/>
      <w:i/>
      <w:color w:val="FF0000"/>
    </w:rPr>
  </w:style>
  <w:style w:type="paragraph" w:customStyle="1" w:styleId="Reminder">
    <w:name w:val="Reminder"/>
    <w:basedOn w:val="Reminders"/>
    <w:link w:val="ReminderChar"/>
    <w:rsid w:val="007F3E75"/>
  </w:style>
  <w:style w:type="character" w:customStyle="1" w:styleId="RemindersChar">
    <w:name w:val="Reminders Char"/>
    <w:link w:val="Reminders"/>
    <w:locked/>
    <w:rsid w:val="007F3E75"/>
    <w:rPr>
      <w:rFonts w:ascii="Trebuchet MS" w:eastAsia="Calibri" w:hAnsi="Trebuchet MS" w:cs="Times New Roman"/>
      <w:i/>
      <w:color w:val="FF0000"/>
      <w:sz w:val="22"/>
    </w:rPr>
  </w:style>
  <w:style w:type="character" w:customStyle="1" w:styleId="ReminderChar">
    <w:name w:val="Reminder Char"/>
    <w:link w:val="Reminder"/>
    <w:locked/>
    <w:rsid w:val="007F3E75"/>
    <w:rPr>
      <w:rFonts w:ascii="Trebuchet MS" w:eastAsia="Calibri" w:hAnsi="Trebuchet MS" w:cs="Times New Roman"/>
      <w:i/>
      <w:color w:val="FF0000"/>
      <w:sz w:val="22"/>
    </w:rPr>
  </w:style>
  <w:style w:type="character" w:styleId="Emphasis">
    <w:name w:val="Emphasis"/>
    <w:basedOn w:val="DefaultParagraphFont"/>
    <w:uiPriority w:val="20"/>
    <w:qFormat/>
    <w:rsid w:val="0085413A"/>
    <w:rPr>
      <w:i/>
      <w:iCs/>
    </w:rPr>
  </w:style>
  <w:style w:type="table" w:customStyle="1" w:styleId="TableGrid1">
    <w:name w:val="Table Grid1"/>
    <w:basedOn w:val="TableNormal"/>
    <w:next w:val="TableGrid"/>
    <w:rsid w:val="00EF5E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794EE9"/>
    <w:rPr>
      <w:color w:val="605E5C"/>
      <w:shd w:val="clear" w:color="auto" w:fill="E1DFDD"/>
    </w:rPr>
  </w:style>
  <w:style w:type="character" w:styleId="Mention">
    <w:name w:val="Mention"/>
    <w:basedOn w:val="DefaultParagraphFont"/>
    <w:uiPriority w:val="99"/>
    <w:unhideWhenUsed/>
    <w:rsid w:val="00794EE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43706">
      <w:bodyDiv w:val="1"/>
      <w:marLeft w:val="0"/>
      <w:marRight w:val="0"/>
      <w:marTop w:val="0"/>
      <w:marBottom w:val="0"/>
      <w:divBdr>
        <w:top w:val="none" w:sz="0" w:space="0" w:color="auto"/>
        <w:left w:val="none" w:sz="0" w:space="0" w:color="auto"/>
        <w:bottom w:val="none" w:sz="0" w:space="0" w:color="auto"/>
        <w:right w:val="none" w:sz="0" w:space="0" w:color="auto"/>
      </w:divBdr>
    </w:div>
    <w:div w:id="707220679">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2967263">
      <w:bodyDiv w:val="1"/>
      <w:marLeft w:val="0"/>
      <w:marRight w:val="0"/>
      <w:marTop w:val="0"/>
      <w:marBottom w:val="0"/>
      <w:divBdr>
        <w:top w:val="none" w:sz="0" w:space="0" w:color="auto"/>
        <w:left w:val="none" w:sz="0" w:space="0" w:color="auto"/>
        <w:bottom w:val="none" w:sz="0" w:space="0" w:color="auto"/>
        <w:right w:val="none" w:sz="0" w:space="0" w:color="auto"/>
      </w:divBdr>
      <w:divsChild>
        <w:div w:id="489298280">
          <w:marLeft w:val="0"/>
          <w:marRight w:val="0"/>
          <w:marTop w:val="0"/>
          <w:marBottom w:val="0"/>
          <w:divBdr>
            <w:top w:val="none" w:sz="0" w:space="0" w:color="auto"/>
            <w:left w:val="none" w:sz="0" w:space="0" w:color="auto"/>
            <w:bottom w:val="none" w:sz="0" w:space="0" w:color="auto"/>
            <w:right w:val="none" w:sz="0" w:space="0" w:color="auto"/>
          </w:divBdr>
        </w:div>
      </w:divsChild>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87291993">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596501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nam01.safelinks.protection.outlook.com/?url=http%3A%2F%2Fdeeresources.com%2Ffiles%2Fdeerchangelog%2FRes_Duct-Sealing_NormUnit%3DkBtuh_rNCGF_2020-11-19.xlsx&amp;data=04%7C01%7Ctxv0%40pge.com%7C37122a7de7ab4e6ad3ec08d88d97487a%7C44ae661aece641aabc967c2c85a08941%7C0%7C1%7C637415028272823145%7CUnknown%7CTWFpbGZsb3d8eyJWIjoiMC4wLjAwMDAiLCJQIjoiV2luMzIiLCJBTiI6Ik1haWwiLCJXVCI6Mn0%3D%7C1000&amp;sdata=qg6ZnbONb4V7UsyrjXNhaW5DLH8M1gAdIxiDFUaPh40%3D&amp;reserved=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deeresources.com/index.php/deer-versions/deer202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764588b-be80-4b22-977b-586652cb38b8">YEU7YCZ7SHNT-444775888-205209</_dlc_DocId>
    <_dlc_DocIdUrl xmlns="7764588b-be80-4b22-977b-586652cb38b8">
      <Url>https://trccompanies.sharepoint.com/sites/LOB/Power/EFF/Projects/PGE-Wrkpprs/_layouts/15/DocIdRedir.aspx?ID=YEU7YCZ7SHNT-444775888-205209</Url>
      <Description>YEU7YCZ7SHNT-444775888-205209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D71F7E52DED245B088CE95F76C4A44" ma:contentTypeVersion="1716" ma:contentTypeDescription="Create a new document." ma:contentTypeScope="" ma:versionID="88ab753c49c09a8fda9e1241539ab1e1">
  <xsd:schema xmlns:xsd="http://www.w3.org/2001/XMLSchema" xmlns:xs="http://www.w3.org/2001/XMLSchema" xmlns:p="http://schemas.microsoft.com/office/2006/metadata/properties" xmlns:ns1="http://schemas.microsoft.com/sharepoint/v3" xmlns:ns2="7764588b-be80-4b22-977b-586652cb38b8" xmlns:ns3="f783c74e-7b96-42c2-b0b8-2909f129ba52" xmlns:ns4="57e6433c-fdcc-4e30-bfa7-0fc9111b584e" targetNamespace="http://schemas.microsoft.com/office/2006/metadata/properties" ma:root="true" ma:fieldsID="4db2cd41a2a01a375659278c4c5f3b57" ns1:_="" ns2:_="" ns3:_="" ns4:_="">
    <xsd:import namespace="http://schemas.microsoft.com/sharepoint/v3"/>
    <xsd:import namespace="7764588b-be80-4b22-977b-586652cb38b8"/>
    <xsd:import namespace="f783c74e-7b96-42c2-b0b8-2909f129ba52"/>
    <xsd:import namespace="57e6433c-fdcc-4e30-bfa7-0fc9111b584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64588b-be80-4b22-977b-586652cb38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83c74e-7b96-42c2-b0b8-2909f129ba5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6433c-fdcc-4e30-bfa7-0fc9111b584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498E-AD87-4BFC-BBEA-3FD55FA7B177}">
  <ds:schemaRefs>
    <ds:schemaRef ds:uri="http://schemas.microsoft.com/sharepoint/events"/>
  </ds:schemaRefs>
</ds:datastoreItem>
</file>

<file path=customXml/itemProps2.xml><?xml version="1.0" encoding="utf-8"?>
<ds:datastoreItem xmlns:ds="http://schemas.openxmlformats.org/officeDocument/2006/customXml" ds:itemID="{301359D6-A937-4CED-828C-890A767A26FC}">
  <ds:schemaRefs>
    <ds:schemaRef ds:uri="http://schemas.microsoft.com/office/2006/metadata/properties"/>
    <ds:schemaRef ds:uri="http://schemas.microsoft.com/office/infopath/2007/PartnerControls"/>
    <ds:schemaRef ds:uri="http://schemas.microsoft.com/sharepoint/v3"/>
    <ds:schemaRef ds:uri="7764588b-be80-4b22-977b-586652cb38b8"/>
  </ds:schemaRefs>
</ds:datastoreItem>
</file>

<file path=customXml/itemProps3.xml><?xml version="1.0" encoding="utf-8"?>
<ds:datastoreItem xmlns:ds="http://schemas.openxmlformats.org/officeDocument/2006/customXml" ds:itemID="{C60B194C-558E-4683-B0D1-2F81F11C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64588b-be80-4b22-977b-586652cb38b8"/>
    <ds:schemaRef ds:uri="f783c74e-7b96-42c2-b0b8-2909f129ba52"/>
    <ds:schemaRef ds:uri="57e6433c-fdcc-4e30-bfa7-0fc9111b5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763B7-4AA9-4871-8301-7944C2A433E8}">
  <ds:schemaRefs>
    <ds:schemaRef ds:uri="http://schemas.openxmlformats.org/officeDocument/2006/bibliography"/>
  </ds:schemaRefs>
</ds:datastoreItem>
</file>

<file path=customXml/itemProps5.xml><?xml version="1.0" encoding="utf-8"?>
<ds:datastoreItem xmlns:ds="http://schemas.openxmlformats.org/officeDocument/2006/customXml" ds:itemID="{DD9408FC-FF96-4DCD-8D91-12CFB321E1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5068</TotalTime>
  <Pages>16</Pages>
  <Words>4568</Words>
  <Characters>25217</Characters>
  <Application>Microsoft Office Word</Application>
  <DocSecurity>0</DocSecurity>
  <Lines>840</Lines>
  <Paragraphs>584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29201</CharactersWithSpaces>
  <SharedDoc>false</SharedDoc>
  <HyperlinkBase/>
  <HLinks>
    <vt:vector size="6" baseType="variant">
      <vt:variant>
        <vt:i4>393332</vt:i4>
      </vt:variant>
      <vt:variant>
        <vt:i4>0</vt:i4>
      </vt:variant>
      <vt:variant>
        <vt:i4>0</vt:i4>
      </vt:variant>
      <vt:variant>
        <vt:i4>5</vt:i4>
      </vt:variant>
      <vt:variant>
        <vt:lpwstr>mailto:TXV0@pge.com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Voong, Tai</cp:lastModifiedBy>
  <cp:revision>17</cp:revision>
  <cp:lastPrinted>2019-07-03T21:40:00Z</cp:lastPrinted>
  <dcterms:created xsi:type="dcterms:W3CDTF">2021-03-19T22:36:00Z</dcterms:created>
  <dcterms:modified xsi:type="dcterms:W3CDTF">2021-05-21T19:20:00Z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0x0101005CD71F7E52DED245B088CE95F76C4A44</vt:lpwstr>
  </property>
  <property fmtid="{D5CDD505-2E9C-101B-9397-08002B2CF9AE}" pid="3" name="Order">
    <vt:r8>39500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_dlc_DocIdItemGuid">
    <vt:lpwstr>6cba6a68-c08f-4b05-ac96-27b0ca02aeb3</vt:lpwstr>
  </property>
</Properties>
</file>