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5CB989D" w14:textId="502DC80A" w:rsidR="00BB2954" w:rsidRPr="00980365" w:rsidRDefault="00411B1C">
      <w:pPr>
        <w:rPr>
          <w:b/>
          <w:bCs/>
        </w:rPr>
      </w:pPr>
      <w:r w:rsidRPr="00980365">
        <w:rPr>
          <w:b/>
          <w:bCs/>
        </w:rPr>
        <w:t xml:space="preserve">CPUC Comments on </w:t>
      </w:r>
      <w:r w:rsidR="00E74148" w:rsidRPr="00980365">
        <w:rPr>
          <w:b/>
          <w:bCs/>
        </w:rPr>
        <w:t>SWRE005-01 Heat Pump Pool Heater, Residential, Fuel Substitution</w:t>
      </w:r>
    </w:p>
    <w:p w14:paraId="2BA7A164" w14:textId="53F7A296" w:rsidR="004266C0" w:rsidRPr="00980365" w:rsidRDefault="004266C0">
      <w:pPr>
        <w:rPr>
          <w:b/>
          <w:bCs/>
        </w:rPr>
      </w:pPr>
      <w:r w:rsidRPr="00980365">
        <w:rPr>
          <w:b/>
          <w:bCs/>
        </w:rPr>
        <w:t xml:space="preserve">Lead PA: </w:t>
      </w:r>
      <w:r w:rsidR="00E74148" w:rsidRPr="00980365">
        <w:rPr>
          <w:b/>
          <w:bCs/>
        </w:rPr>
        <w:t>SCE</w:t>
      </w:r>
    </w:p>
    <w:p w14:paraId="575D5749" w14:textId="4882625A" w:rsidR="003034F3" w:rsidRDefault="003034F3" w:rsidP="003034F3">
      <w:r>
        <w:t xml:space="preserve">Workpaper Submittal Date: 4/5/2021 </w:t>
      </w:r>
      <w:r w:rsidR="00980365">
        <w:t>(Resubmission 07/02/2021)</w:t>
      </w:r>
    </w:p>
    <w:tbl>
      <w:tblPr>
        <w:tblStyle w:val="TableGrid"/>
        <w:tblpPr w:leftFromText="180" w:rightFromText="180" w:vertAnchor="page" w:horzAnchor="margin" w:tblpY="3817"/>
        <w:tblW w:w="0" w:type="auto"/>
        <w:tblLayout w:type="fixed"/>
        <w:tblLook w:val="04A0" w:firstRow="1" w:lastRow="0" w:firstColumn="1" w:lastColumn="0" w:noHBand="0" w:noVBand="1"/>
      </w:tblPr>
      <w:tblGrid>
        <w:gridCol w:w="3415"/>
        <w:gridCol w:w="5935"/>
      </w:tblGrid>
      <w:tr w:rsidR="003034F3" w14:paraId="72D905BC" w14:textId="77777777" w:rsidTr="004B2408">
        <w:tc>
          <w:tcPr>
            <w:tcW w:w="3415" w:type="dxa"/>
          </w:tcPr>
          <w:p w14:paraId="756C2B6D" w14:textId="77777777" w:rsidR="003034F3" w:rsidRDefault="003034F3" w:rsidP="003034F3">
            <w:r>
              <w:t>CPUC Comment</w:t>
            </w:r>
          </w:p>
        </w:tc>
        <w:tc>
          <w:tcPr>
            <w:tcW w:w="5935" w:type="dxa"/>
          </w:tcPr>
          <w:p w14:paraId="51CAF9AB" w14:textId="77777777" w:rsidR="003034F3" w:rsidRDefault="003034F3" w:rsidP="003034F3">
            <w:r>
              <w:t>PA Response</w:t>
            </w:r>
          </w:p>
        </w:tc>
      </w:tr>
      <w:tr w:rsidR="003034F3" w14:paraId="3A29F9EA" w14:textId="77777777" w:rsidTr="004B2408">
        <w:trPr>
          <w:trHeight w:val="54"/>
        </w:trPr>
        <w:tc>
          <w:tcPr>
            <w:tcW w:w="3415" w:type="dxa"/>
          </w:tcPr>
          <w:p w14:paraId="0ABDFDBA" w14:textId="77777777" w:rsidR="003034F3" w:rsidRDefault="003034F3" w:rsidP="003034F3">
            <w:r>
              <w:t>Why is the output capacity of heat pumps only 110 kBtu? Looking at the baseline demand calculations, it seems the baseline boiler demand can go up to 246,000 Btu/hr. How would a 110,000 Btu/hr output capacity heat pump satisfy this demand?</w:t>
            </w:r>
          </w:p>
          <w:p w14:paraId="35BB88EF" w14:textId="77777777" w:rsidR="003034F3" w:rsidRDefault="003034F3" w:rsidP="003034F3"/>
          <w:p w14:paraId="768113C9" w14:textId="77777777" w:rsidR="003034F3" w:rsidRDefault="003034F3" w:rsidP="003034F3">
            <w:r>
              <w:t xml:space="preserve">Also, it seems the savings is comparing gas consumption for meeting 246,000 Btu/hr boiler demand with electric consumption of a 110,000 Btu/hr heat pump. </w:t>
            </w:r>
          </w:p>
          <w:p w14:paraId="50E0F37D" w14:textId="77777777" w:rsidR="003034F3" w:rsidRDefault="003034F3" w:rsidP="003034F3"/>
          <w:p w14:paraId="60E9EAC9" w14:textId="77777777" w:rsidR="003034F3" w:rsidRDefault="003034F3" w:rsidP="003034F3">
            <w:r>
              <w:rPr>
                <w:noProof/>
              </w:rPr>
              <w:drawing>
                <wp:inline distT="0" distB="0" distL="0" distR="0" wp14:anchorId="31E4B314" wp14:editId="2DB6E520">
                  <wp:extent cx="4260215" cy="2503805"/>
                  <wp:effectExtent l="0" t="0" r="698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260215" cy="2503805"/>
                          </a:xfrm>
                          <a:prstGeom prst="rect">
                            <a:avLst/>
                          </a:prstGeom>
                        </pic:spPr>
                      </pic:pic>
                    </a:graphicData>
                  </a:graphic>
                </wp:inline>
              </w:drawing>
            </w:r>
          </w:p>
        </w:tc>
        <w:tc>
          <w:tcPr>
            <w:tcW w:w="5935" w:type="dxa"/>
          </w:tcPr>
          <w:p w14:paraId="24870551" w14:textId="0F464222" w:rsidR="00AC4379" w:rsidRDefault="00AC4379" w:rsidP="003034F3">
            <w:r>
              <w:t>In the calculations, the “</w:t>
            </w:r>
            <w:r w:rsidRPr="00AC4379">
              <w:t>Measure Heat Pump Demand (Btu/hr)</w:t>
            </w:r>
            <w:r>
              <w:t>” and “</w:t>
            </w:r>
            <w:r w:rsidRPr="00AC4379">
              <w:t>Baseline Boiler Demand (Btu/hr)</w:t>
            </w:r>
            <w:r>
              <w:t xml:space="preserve">” are the </w:t>
            </w:r>
            <w:r w:rsidR="002048CD">
              <w:t xml:space="preserve">heat </w:t>
            </w:r>
            <w:r w:rsidRPr="000D7A8E">
              <w:rPr>
                <w:b/>
                <w:bCs/>
                <w:i/>
                <w:iCs/>
              </w:rPr>
              <w:t>outputs</w:t>
            </w:r>
            <w:r>
              <w:t xml:space="preserve"> of the equipment. We have updated the column headers </w:t>
            </w:r>
            <w:r w:rsidR="000D7A8E">
              <w:t>to reflect “</w:t>
            </w:r>
            <w:r>
              <w:t>output</w:t>
            </w:r>
            <w:r w:rsidR="000D7A8E">
              <w:t>”</w:t>
            </w:r>
            <w:r>
              <w:t xml:space="preserve"> instead of </w:t>
            </w:r>
            <w:r w:rsidR="000D7A8E">
              <w:t>“</w:t>
            </w:r>
            <w:r>
              <w:t>demand</w:t>
            </w:r>
            <w:r w:rsidR="000D7A8E">
              <w:t>”</w:t>
            </w:r>
            <w:r>
              <w:t xml:space="preserve"> for clarity. </w:t>
            </w:r>
            <w:r w:rsidR="00E93F16">
              <w:t xml:space="preserve">Furthermore, to </w:t>
            </w:r>
            <w:r w:rsidR="000D7A8E">
              <w:t xml:space="preserve">better </w:t>
            </w:r>
            <w:r w:rsidR="00E93F16">
              <w:t>align with how each type of equipment is rated in the market, the “</w:t>
            </w:r>
            <w:r w:rsidR="00E93F16" w:rsidRPr="00F5126B">
              <w:rPr>
                <w:b/>
                <w:bCs/>
              </w:rPr>
              <w:t>Inputs</w:t>
            </w:r>
            <w:r w:rsidR="00E93F16">
              <w:t xml:space="preserve">” tab use input capacity for the gas heater but use output capacity for the HP pool heater. </w:t>
            </w:r>
          </w:p>
          <w:p w14:paraId="48900C60" w14:textId="593795CA" w:rsidR="00AC4379" w:rsidRDefault="00AC4379" w:rsidP="003034F3"/>
          <w:p w14:paraId="04E80AD8" w14:textId="0E1CA064" w:rsidR="003034F3" w:rsidRDefault="00AC4379" w:rsidP="003034F3">
            <w:r>
              <w:t xml:space="preserve">For </w:t>
            </w:r>
            <w:r w:rsidR="000F25C1">
              <w:t xml:space="preserve">all </w:t>
            </w:r>
            <w:r>
              <w:t>hours</w:t>
            </w:r>
            <w:r w:rsidR="000F25C1">
              <w:t xml:space="preserve"> in which the pool is expected to be “available,” </w:t>
            </w:r>
            <w:r w:rsidR="002048CD">
              <w:t xml:space="preserve">the tool caps the </w:t>
            </w:r>
            <w:r w:rsidR="000F25C1">
              <w:t xml:space="preserve">equipment </w:t>
            </w:r>
            <w:r>
              <w:t xml:space="preserve">output capacity </w:t>
            </w:r>
            <w:r w:rsidR="00176508">
              <w:t>at the rated HP output capacity and calculated gas heater output capacity</w:t>
            </w:r>
            <w:r>
              <w:t>. Since the HP pool heater has a lower capacity</w:t>
            </w:r>
            <w:r w:rsidR="00393CBC">
              <w:t>,</w:t>
            </w:r>
            <w:r>
              <w:t xml:space="preserve"> it will take more </w:t>
            </w:r>
            <w:r w:rsidR="002048CD">
              <w:t xml:space="preserve">operating </w:t>
            </w:r>
            <w:r>
              <w:t>hours to reach</w:t>
            </w:r>
            <w:r w:rsidR="002048CD">
              <w:t xml:space="preserve"> and maintain the</w:t>
            </w:r>
            <w:r>
              <w:t xml:space="preserve"> desired pool temperature than the gas pool heater</w:t>
            </w:r>
            <w:r w:rsidR="002048CD">
              <w:t>.</w:t>
            </w:r>
            <w:r w:rsidR="00176508">
              <w:t xml:space="preserve"> See next page for calculations on difference in hours</w:t>
            </w:r>
            <w:r w:rsidR="00F5126B">
              <w:t xml:space="preserve"> for both base case and measure case technologies</w:t>
            </w:r>
            <w:r w:rsidR="00176508">
              <w:t>.</w:t>
            </w:r>
          </w:p>
          <w:p w14:paraId="2EC92FD8" w14:textId="773D3DE4" w:rsidR="002048CD" w:rsidRDefault="002048CD" w:rsidP="003034F3"/>
          <w:p w14:paraId="10291652" w14:textId="77777777" w:rsidR="007D1DED" w:rsidRDefault="002048CD" w:rsidP="003034F3">
            <w:r>
              <w:t xml:space="preserve">As discussed in the workpaper document, natural gas pool heaters are generally oversized for the pool that they are serving, whereas HP pool heaters are usually </w:t>
            </w:r>
            <w:r w:rsidR="00F5126B">
              <w:t>“</w:t>
            </w:r>
            <w:r>
              <w:t>right</w:t>
            </w:r>
            <w:r w:rsidR="00F5126B">
              <w:t>”</w:t>
            </w:r>
            <w:r>
              <w:t xml:space="preserve"> sized</w:t>
            </w:r>
            <w:r w:rsidR="00F5126B">
              <w:t xml:space="preserve"> or sized closer to specific load requirements</w:t>
            </w:r>
            <w:r>
              <w:t xml:space="preserve">. This calculation does assume that the HP pool heater is of a lower </w:t>
            </w:r>
            <w:r w:rsidR="00F5126B">
              <w:t xml:space="preserve">(or right sized) </w:t>
            </w:r>
            <w:r>
              <w:t>capacity than the base case gas heater.</w:t>
            </w:r>
          </w:p>
          <w:p w14:paraId="16A3E39D" w14:textId="77777777" w:rsidR="007D1DED" w:rsidRDefault="007D1DED" w:rsidP="003034F3"/>
          <w:p w14:paraId="2A885AD3" w14:textId="1AE3C184" w:rsidR="00EA7F60" w:rsidRDefault="007D1DED" w:rsidP="003034F3">
            <w:pPr>
              <w:rPr>
                <w:color w:val="FF0000"/>
              </w:rPr>
            </w:pPr>
            <w:r w:rsidRPr="00EA7F60">
              <w:rPr>
                <w:color w:val="FF0000"/>
                <w:u w:val="single"/>
              </w:rPr>
              <w:t>CPUC response 5/</w:t>
            </w:r>
            <w:r w:rsidR="004842A5">
              <w:rPr>
                <w:color w:val="FF0000"/>
                <w:u w:val="single"/>
              </w:rPr>
              <w:t>12</w:t>
            </w:r>
            <w:r w:rsidRPr="00EA7F60">
              <w:rPr>
                <w:color w:val="FF0000"/>
                <w:u w:val="single"/>
              </w:rPr>
              <w:t>:</w:t>
            </w:r>
            <w:r w:rsidRPr="007D1DED">
              <w:rPr>
                <w:color w:val="FF0000"/>
              </w:rPr>
              <w:t xml:space="preserve"> There is one instance</w:t>
            </w:r>
            <w:r w:rsidR="00EA7F60">
              <w:rPr>
                <w:color w:val="FF0000"/>
              </w:rPr>
              <w:t xml:space="preserve"> (circled in red below)</w:t>
            </w:r>
            <w:r w:rsidRPr="007D1DED">
              <w:rPr>
                <w:color w:val="FF0000"/>
              </w:rPr>
              <w:t xml:space="preserve"> where the </w:t>
            </w:r>
            <w:r w:rsidR="00EA7F60">
              <w:rPr>
                <w:color w:val="FF0000"/>
              </w:rPr>
              <w:t xml:space="preserve">thermal </w:t>
            </w:r>
            <w:r w:rsidRPr="007D1DED">
              <w:rPr>
                <w:color w:val="FF0000"/>
              </w:rPr>
              <w:t>demand is greater than gas heater output capacity</w:t>
            </w:r>
            <w:r w:rsidR="00EA7F60">
              <w:rPr>
                <w:color w:val="FF0000"/>
              </w:rPr>
              <w:t xml:space="preserve">. The formulae in the calculator caps the baseline boiler output at maximum rated gas heater output instead of using what the actual thermal load is. </w:t>
            </w:r>
          </w:p>
          <w:p w14:paraId="44C9ACCC" w14:textId="77777777" w:rsidR="00EA7F60" w:rsidRDefault="00EA7F60" w:rsidP="003034F3">
            <w:pPr>
              <w:rPr>
                <w:color w:val="FF0000"/>
              </w:rPr>
            </w:pPr>
          </w:p>
          <w:p w14:paraId="1DF93235" w14:textId="77777777" w:rsidR="009E771C" w:rsidRDefault="00EA7F60" w:rsidP="003034F3">
            <w:pPr>
              <w:rPr>
                <w:color w:val="FF0000"/>
              </w:rPr>
            </w:pPr>
            <w:r>
              <w:rPr>
                <w:color w:val="FF0000"/>
              </w:rPr>
              <w:t xml:space="preserve">The therms savings for that instance compares max gas heater output (240kBtu/hr) with max heat pump output (110kBtu/hr) to calculate the therms savings. Shouldn’t the savings be based on actual load rather than equipment size? </w:t>
            </w:r>
          </w:p>
          <w:p w14:paraId="52DA8A5F" w14:textId="77777777" w:rsidR="009E771C" w:rsidRDefault="009E771C" w:rsidP="003034F3">
            <w:pPr>
              <w:rPr>
                <w:color w:val="FF0000"/>
              </w:rPr>
            </w:pPr>
          </w:p>
          <w:p w14:paraId="037C5E86" w14:textId="51F96240" w:rsidR="002048CD" w:rsidRPr="007D1DED" w:rsidRDefault="00EA7F60" w:rsidP="003034F3">
            <w:pPr>
              <w:rPr>
                <w:color w:val="FF0000"/>
              </w:rPr>
            </w:pPr>
            <w:r>
              <w:rPr>
                <w:color w:val="FF0000"/>
              </w:rPr>
              <w:t xml:space="preserve">Similarly, there is an instance where baseline boiler output is 236.5 kBtu/hr (not capped </w:t>
            </w:r>
            <w:r w:rsidR="009E771C">
              <w:rPr>
                <w:color w:val="FF0000"/>
              </w:rPr>
              <w:t>at maximum</w:t>
            </w:r>
            <w:r w:rsidR="007E361C">
              <w:rPr>
                <w:color w:val="FF0000"/>
              </w:rPr>
              <w:t xml:space="preserve"> rated gas heater </w:t>
            </w:r>
            <w:r w:rsidR="009E771C">
              <w:rPr>
                <w:color w:val="FF0000"/>
              </w:rPr>
              <w:t>output)</w:t>
            </w:r>
            <w:r>
              <w:rPr>
                <w:color w:val="FF0000"/>
              </w:rPr>
              <w:t xml:space="preserve">, but the measure case output is only 110 kbtu/hr </w:t>
            </w:r>
            <w:r>
              <w:rPr>
                <w:color w:val="FF0000"/>
              </w:rPr>
              <w:lastRenderedPageBreak/>
              <w:t xml:space="preserve">(measure case output is greater than </w:t>
            </w:r>
            <w:r w:rsidR="009E771C">
              <w:rPr>
                <w:color w:val="FF0000"/>
              </w:rPr>
              <w:t xml:space="preserve">maximum rated </w:t>
            </w:r>
            <w:r>
              <w:rPr>
                <w:color w:val="FF0000"/>
              </w:rPr>
              <w:t xml:space="preserve">heat pump </w:t>
            </w:r>
            <w:r w:rsidR="009E771C">
              <w:rPr>
                <w:color w:val="FF0000"/>
              </w:rPr>
              <w:t>output. Therefore,</w:t>
            </w:r>
            <w:r>
              <w:rPr>
                <w:color w:val="FF0000"/>
              </w:rPr>
              <w:t xml:space="preserve"> the formulae </w:t>
            </w:r>
            <w:r w:rsidR="009E771C">
              <w:rPr>
                <w:color w:val="FF0000"/>
              </w:rPr>
              <w:t xml:space="preserve">in the calculator </w:t>
            </w:r>
            <w:r>
              <w:rPr>
                <w:color w:val="FF0000"/>
              </w:rPr>
              <w:t xml:space="preserve">caps output </w:t>
            </w:r>
            <w:r w:rsidR="009E771C">
              <w:rPr>
                <w:color w:val="FF0000"/>
              </w:rPr>
              <w:t>at maximum rated heat pump output</w:t>
            </w:r>
            <w:r>
              <w:rPr>
                <w:color w:val="FF0000"/>
              </w:rPr>
              <w:t>)</w:t>
            </w:r>
            <w:r w:rsidR="009E771C">
              <w:rPr>
                <w:color w:val="FF0000"/>
              </w:rPr>
              <w:t>. Wouldn’t this mean that the measure case output is lower for the same thermal demand because of the cap in the formulae?</w:t>
            </w:r>
          </w:p>
          <w:p w14:paraId="73FF90DC" w14:textId="088929F8" w:rsidR="007D1DED" w:rsidRDefault="007D1DED" w:rsidP="003034F3">
            <w:pPr>
              <w:rPr>
                <w:noProof/>
              </w:rPr>
            </w:pPr>
          </w:p>
          <w:p w14:paraId="111BB66F" w14:textId="5BCB155A" w:rsidR="00EA7F60" w:rsidRDefault="00EA7F60" w:rsidP="003034F3">
            <w:r>
              <w:rPr>
                <w:noProof/>
              </w:rPr>
              <w:drawing>
                <wp:inline distT="0" distB="0" distL="0" distR="0" wp14:anchorId="18FF07CC" wp14:editId="17C80704">
                  <wp:extent cx="3669896" cy="922020"/>
                  <wp:effectExtent l="0" t="0" r="698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679731" cy="924491"/>
                          </a:xfrm>
                          <a:prstGeom prst="rect">
                            <a:avLst/>
                          </a:prstGeom>
                        </pic:spPr>
                      </pic:pic>
                    </a:graphicData>
                  </a:graphic>
                </wp:inline>
              </w:drawing>
            </w:r>
          </w:p>
          <w:p w14:paraId="1DE1CE25" w14:textId="3972F959" w:rsidR="006E026B" w:rsidRDefault="006E026B" w:rsidP="003034F3"/>
          <w:p w14:paraId="0AD48ED9" w14:textId="438800B2" w:rsidR="006E026B" w:rsidRDefault="0000751A" w:rsidP="003034F3">
            <w:pPr>
              <w:rPr>
                <w:color w:val="4472C4" w:themeColor="accent1"/>
              </w:rPr>
            </w:pPr>
            <w:r>
              <w:rPr>
                <w:color w:val="4472C4" w:themeColor="accent1"/>
              </w:rPr>
              <w:t>SCE r</w:t>
            </w:r>
            <w:r w:rsidR="006E026B" w:rsidRPr="006E026B">
              <w:rPr>
                <w:color w:val="4472C4" w:themeColor="accent1"/>
              </w:rPr>
              <w:t>esponse to comment from 5/</w:t>
            </w:r>
            <w:r w:rsidR="006E026B">
              <w:rPr>
                <w:color w:val="4472C4" w:themeColor="accent1"/>
              </w:rPr>
              <w:t>12</w:t>
            </w:r>
            <w:r w:rsidR="006E026B" w:rsidRPr="006E026B">
              <w:rPr>
                <w:color w:val="4472C4" w:themeColor="accent1"/>
              </w:rPr>
              <w:t xml:space="preserve">: The measure case </w:t>
            </w:r>
            <w:r w:rsidR="006E026B" w:rsidRPr="006E026B">
              <w:rPr>
                <w:color w:val="4472C4" w:themeColor="accent1"/>
                <w:u w:val="single"/>
              </w:rPr>
              <w:t>hourly</w:t>
            </w:r>
            <w:r w:rsidR="006E026B" w:rsidRPr="006E026B">
              <w:rPr>
                <w:color w:val="4472C4" w:themeColor="accent1"/>
              </w:rPr>
              <w:t xml:space="preserve"> output is the lower than the base case. However, the total </w:t>
            </w:r>
            <w:r w:rsidR="006E026B" w:rsidRPr="006E026B">
              <w:rPr>
                <w:color w:val="4472C4" w:themeColor="accent1"/>
                <w:u w:val="single"/>
              </w:rPr>
              <w:t>annual</w:t>
            </w:r>
            <w:r w:rsidR="006E026B" w:rsidRPr="006E026B">
              <w:rPr>
                <w:color w:val="4472C4" w:themeColor="accent1"/>
              </w:rPr>
              <w:t xml:space="preserve"> output of the heater is the same because it must meet the same pool heating load. The measure case pool heater must operate more hours in order to provide the same total </w:t>
            </w:r>
            <w:r w:rsidR="003270C0">
              <w:rPr>
                <w:color w:val="4472C4" w:themeColor="accent1"/>
              </w:rPr>
              <w:t xml:space="preserve">heat </w:t>
            </w:r>
            <w:r w:rsidR="006E026B" w:rsidRPr="006E026B">
              <w:rPr>
                <w:color w:val="4472C4" w:themeColor="accent1"/>
              </w:rPr>
              <w:t>output as the base case heater</w:t>
            </w:r>
            <w:r w:rsidR="006E026B">
              <w:rPr>
                <w:color w:val="4472C4" w:themeColor="accent1"/>
              </w:rPr>
              <w:t xml:space="preserve">. Both the measure and base case heater’s output is the minimum of the required pool heating load and their specific equipment capacities. </w:t>
            </w:r>
          </w:p>
          <w:p w14:paraId="538F915E" w14:textId="45C8A1C8" w:rsidR="000D327F" w:rsidRDefault="000D327F" w:rsidP="003034F3">
            <w:pPr>
              <w:rPr>
                <w:color w:val="4472C4" w:themeColor="accent1"/>
              </w:rPr>
            </w:pPr>
          </w:p>
          <w:p w14:paraId="3CF35F4E" w14:textId="0D83153C" w:rsidR="000D327F" w:rsidRPr="00DE1D6B" w:rsidRDefault="000D327F" w:rsidP="003034F3">
            <w:pPr>
              <w:rPr>
                <w:b/>
                <w:bCs/>
                <w:color w:val="538135" w:themeColor="accent6" w:themeShade="BF"/>
              </w:rPr>
            </w:pPr>
            <w:r w:rsidRPr="00DE1D6B">
              <w:rPr>
                <w:b/>
                <w:bCs/>
                <w:color w:val="538135" w:themeColor="accent6" w:themeShade="BF"/>
              </w:rPr>
              <w:t xml:space="preserve">Notes from 6/24/21 call with CPUC, SCE, and TRC: </w:t>
            </w:r>
          </w:p>
          <w:p w14:paraId="78D244EF" w14:textId="2B012389" w:rsidR="000D327F" w:rsidRPr="000D327F" w:rsidRDefault="000D327F" w:rsidP="003034F3">
            <w:pPr>
              <w:rPr>
                <w:color w:val="538135" w:themeColor="accent6" w:themeShade="BF"/>
              </w:rPr>
            </w:pPr>
            <w:r w:rsidRPr="000D327F">
              <w:rPr>
                <w:color w:val="538135" w:themeColor="accent6" w:themeShade="BF"/>
              </w:rPr>
              <w:t>CPUC is comfortable with how the tool calculates the outputs on an hourly basis.</w:t>
            </w:r>
            <w:r>
              <w:t xml:space="preserve"> </w:t>
            </w:r>
            <w:r w:rsidRPr="000D327F">
              <w:rPr>
                <w:color w:val="538135" w:themeColor="accent6" w:themeShade="BF"/>
              </w:rPr>
              <w:t>However, SCE/TRC will review the potential interactive effects of additional pool pump operation due to smaller capacity HP pool heaters and either update calculations or add comments to the workpaper document.</w:t>
            </w:r>
          </w:p>
          <w:p w14:paraId="07000388" w14:textId="2167C7E3" w:rsidR="006E026B" w:rsidRDefault="006E026B" w:rsidP="003034F3"/>
          <w:p w14:paraId="256C26D5" w14:textId="141A5E17" w:rsidR="000D327F" w:rsidRPr="000D327F" w:rsidRDefault="000D327F" w:rsidP="003034F3">
            <w:pPr>
              <w:rPr>
                <w:color w:val="538135" w:themeColor="accent6" w:themeShade="BF"/>
              </w:rPr>
            </w:pPr>
            <w:r w:rsidRPr="000D327F">
              <w:rPr>
                <w:color w:val="538135" w:themeColor="accent6" w:themeShade="BF"/>
              </w:rPr>
              <w:t>SCE will include the attached comment sheet to the workpaper submission package.</w:t>
            </w:r>
          </w:p>
          <w:p w14:paraId="204FAD27" w14:textId="0DEF8F64" w:rsidR="006E026B" w:rsidRDefault="006E026B" w:rsidP="003034F3"/>
          <w:p w14:paraId="4268C112" w14:textId="77777777" w:rsidR="00831226" w:rsidRDefault="00831226" w:rsidP="00831226">
            <w:pPr>
              <w:rPr>
                <w:b/>
                <w:bCs/>
                <w:color w:val="C45911" w:themeColor="accent2" w:themeShade="BF"/>
              </w:rPr>
            </w:pPr>
            <w:r w:rsidRPr="006311B7">
              <w:rPr>
                <w:b/>
                <w:bCs/>
                <w:color w:val="C45911" w:themeColor="accent2" w:themeShade="BF"/>
              </w:rPr>
              <w:t>Follow-ups to Meeting on 6/24/21</w:t>
            </w:r>
          </w:p>
          <w:p w14:paraId="47C3A0E9" w14:textId="5C8041CA" w:rsidR="00831226" w:rsidRDefault="00BC7DC0" w:rsidP="00831226">
            <w:pPr>
              <w:rPr>
                <w:color w:val="C45911" w:themeColor="accent2" w:themeShade="BF"/>
              </w:rPr>
            </w:pPr>
            <w:r>
              <w:rPr>
                <w:color w:val="C45911" w:themeColor="accent2" w:themeShade="BF"/>
              </w:rPr>
              <w:t>SCE</w:t>
            </w:r>
            <w:r w:rsidR="002948B1">
              <w:rPr>
                <w:color w:val="C45911" w:themeColor="accent2" w:themeShade="BF"/>
              </w:rPr>
              <w:t>’s</w:t>
            </w:r>
            <w:r>
              <w:rPr>
                <w:color w:val="C45911" w:themeColor="accent2" w:themeShade="BF"/>
              </w:rPr>
              <w:t xml:space="preserve"> consultant</w:t>
            </w:r>
            <w:r w:rsidR="00831226">
              <w:rPr>
                <w:color w:val="C45911" w:themeColor="accent2" w:themeShade="BF"/>
              </w:rPr>
              <w:t xml:space="preserve"> reviewed minimum flow requirements for gas and HP pool heaters and found that the flow varies between type, model, and capacity. However, the average minimum flow found was roughly 30 gpm. </w:t>
            </w:r>
          </w:p>
          <w:p w14:paraId="354C3653" w14:textId="47CCE478" w:rsidR="00831226" w:rsidRDefault="00831226" w:rsidP="00831226">
            <w:pPr>
              <w:rPr>
                <w:color w:val="C45911" w:themeColor="accent2" w:themeShade="BF"/>
              </w:rPr>
            </w:pPr>
          </w:p>
          <w:p w14:paraId="1A65B307" w14:textId="419B306E" w:rsidR="00831226" w:rsidRDefault="00831226" w:rsidP="00831226">
            <w:pPr>
              <w:rPr>
                <w:color w:val="C45911" w:themeColor="accent2" w:themeShade="BF"/>
              </w:rPr>
            </w:pPr>
            <w:r>
              <w:rPr>
                <w:color w:val="C45911" w:themeColor="accent2" w:themeShade="BF"/>
              </w:rPr>
              <w:t xml:space="preserve">From SWRE002 VS Pool Pump workpaper, the estimated minimum flow for both the SFm and MFm pools are 18 gpm and 32 gpm, respectively. Based on this, minimum flow requirements for the heaters are not really expected to impact the MFm pool pump operation.  </w:t>
            </w:r>
          </w:p>
          <w:p w14:paraId="799DC426" w14:textId="347ADDFE" w:rsidR="00831226" w:rsidRDefault="00831226" w:rsidP="00831226">
            <w:pPr>
              <w:rPr>
                <w:color w:val="C45911" w:themeColor="accent2" w:themeShade="BF"/>
              </w:rPr>
            </w:pPr>
          </w:p>
          <w:p w14:paraId="68A31A3C" w14:textId="6989AFC3" w:rsidR="00831226" w:rsidRPr="00831226" w:rsidRDefault="00831226" w:rsidP="00831226">
            <w:pPr>
              <w:rPr>
                <w:color w:val="C45911" w:themeColor="accent2" w:themeShade="BF"/>
              </w:rPr>
            </w:pPr>
            <w:r>
              <w:rPr>
                <w:color w:val="C45911" w:themeColor="accent2" w:themeShade="BF"/>
              </w:rPr>
              <w:t>However, to be conservative, we investigated the pool pump power impacts of longer operations</w:t>
            </w:r>
            <w:r w:rsidR="006E5788">
              <w:rPr>
                <w:color w:val="C45911" w:themeColor="accent2" w:themeShade="BF"/>
              </w:rPr>
              <w:t xml:space="preserve"> for both building types</w:t>
            </w:r>
            <w:r>
              <w:rPr>
                <w:color w:val="C45911" w:themeColor="accent2" w:themeShade="BF"/>
              </w:rPr>
              <w:t xml:space="preserve">. We exported the base and measure hourly heat pump outputs (in Btu) from the Pool Heater calculator for SFm and MFm for </w:t>
            </w:r>
            <w:r>
              <w:rPr>
                <w:color w:val="C45911" w:themeColor="accent2" w:themeShade="BF"/>
              </w:rPr>
              <w:lastRenderedPageBreak/>
              <w:t xml:space="preserve">CZ01. CZ01 was selected because it requires the most heating and should </w:t>
            </w:r>
            <w:r w:rsidR="006E5788">
              <w:rPr>
                <w:color w:val="C45911" w:themeColor="accent2" w:themeShade="BF"/>
              </w:rPr>
              <w:t xml:space="preserve">show </w:t>
            </w:r>
            <w:r>
              <w:rPr>
                <w:color w:val="C45911" w:themeColor="accent2" w:themeShade="BF"/>
              </w:rPr>
              <w:t xml:space="preserve">the biggest different in heating hours between base and measure. For each we normalized the Btu outputs by the </w:t>
            </w:r>
            <w:r w:rsidR="006E5788">
              <w:rPr>
                <w:color w:val="C45911" w:themeColor="accent2" w:themeShade="BF"/>
              </w:rPr>
              <w:t>full load</w:t>
            </w:r>
            <w:r>
              <w:rPr>
                <w:color w:val="C45911" w:themeColor="accent2" w:themeShade="BF"/>
              </w:rPr>
              <w:t xml:space="preserve"> capacity to get a percent output per hour. </w:t>
            </w:r>
            <w:r w:rsidR="00004224">
              <w:rPr>
                <w:color w:val="C45911" w:themeColor="accent2" w:themeShade="BF"/>
              </w:rPr>
              <w:t>Since the pool heaters are assumed to operate only at full load, this</w:t>
            </w:r>
            <w:r>
              <w:rPr>
                <w:color w:val="C45911" w:themeColor="accent2" w:themeShade="BF"/>
              </w:rPr>
              <w:t xml:space="preserve"> effectively represents the percent of </w:t>
            </w:r>
            <w:r w:rsidR="00004224">
              <w:rPr>
                <w:color w:val="C45911" w:themeColor="accent2" w:themeShade="BF"/>
              </w:rPr>
              <w:t xml:space="preserve">each hour that each is operating. Next, the difference between the </w:t>
            </w:r>
            <w:r w:rsidR="006E5788">
              <w:rPr>
                <w:color w:val="C45911" w:themeColor="accent2" w:themeShade="BF"/>
              </w:rPr>
              <w:t>percent operating between the base and measure case</w:t>
            </w:r>
            <w:r w:rsidR="00004224">
              <w:rPr>
                <w:color w:val="C45911" w:themeColor="accent2" w:themeShade="BF"/>
              </w:rPr>
              <w:t xml:space="preserve"> was taken for each hour individually to see the additional run time for the measure case. The additional run time was totaled up to find an additional 31.61 hours and 26.60 hours for SFm and MFm, respectively. </w:t>
            </w:r>
          </w:p>
          <w:p w14:paraId="3A5C9757" w14:textId="633DA900" w:rsidR="00831226" w:rsidRDefault="00831226" w:rsidP="003034F3"/>
          <w:p w14:paraId="395CC319" w14:textId="7EDF8FEB" w:rsidR="00E42344" w:rsidRDefault="00004224" w:rsidP="003034F3">
            <w:pPr>
              <w:rPr>
                <w:color w:val="C45911" w:themeColor="accent2" w:themeShade="BF"/>
              </w:rPr>
            </w:pPr>
            <w:r w:rsidRPr="00004224">
              <w:rPr>
                <w:color w:val="C45911" w:themeColor="accent2" w:themeShade="BF"/>
              </w:rPr>
              <w:t>To estimate the power implications of this</w:t>
            </w:r>
            <w:r w:rsidR="006E5788">
              <w:rPr>
                <w:color w:val="C45911" w:themeColor="accent2" w:themeShade="BF"/>
              </w:rPr>
              <w:t xml:space="preserve"> extended run time</w:t>
            </w:r>
            <w:r w:rsidRPr="00004224">
              <w:rPr>
                <w:color w:val="C45911" w:themeColor="accent2" w:themeShade="BF"/>
              </w:rPr>
              <w:t xml:space="preserve">, we used the Power vs Flow regression curves found in </w:t>
            </w:r>
            <w:r>
              <w:rPr>
                <w:color w:val="C45911" w:themeColor="accent2" w:themeShade="BF"/>
              </w:rPr>
              <w:t xml:space="preserve">SWRE002, which were obtained using analysis on the CEC database of VS pool pumps. We applied the minimum flow assumptions of 30 gpm  to </w:t>
            </w:r>
            <w:r w:rsidR="00E42344">
              <w:rPr>
                <w:color w:val="C45911" w:themeColor="accent2" w:themeShade="BF"/>
              </w:rPr>
              <w:t xml:space="preserve">find </w:t>
            </w:r>
            <w:r>
              <w:rPr>
                <w:color w:val="C45911" w:themeColor="accent2" w:themeShade="BF"/>
              </w:rPr>
              <w:t>the assume</w:t>
            </w:r>
            <w:r w:rsidR="00E42344">
              <w:rPr>
                <w:color w:val="C45911" w:themeColor="accent2" w:themeShade="BF"/>
              </w:rPr>
              <w:t>d</w:t>
            </w:r>
            <w:r>
              <w:rPr>
                <w:color w:val="C45911" w:themeColor="accent2" w:themeShade="BF"/>
              </w:rPr>
              <w:t xml:space="preserve"> pool pump power</w:t>
            </w:r>
            <w:r w:rsidR="00E42344">
              <w:rPr>
                <w:color w:val="C45911" w:themeColor="accent2" w:themeShade="BF"/>
              </w:rPr>
              <w:t xml:space="preserve"> based on the regression curves. Similarly the power associated with the minimum flow assumed by SWRE002 </w:t>
            </w:r>
            <w:r w:rsidR="00CA5DEE">
              <w:rPr>
                <w:color w:val="C45911" w:themeColor="accent2" w:themeShade="BF"/>
              </w:rPr>
              <w:t>was</w:t>
            </w:r>
            <w:r w:rsidR="00E42344">
              <w:rPr>
                <w:color w:val="C45911" w:themeColor="accent2" w:themeShade="BF"/>
              </w:rPr>
              <w:t xml:space="preserve"> found.</w:t>
            </w:r>
          </w:p>
          <w:p w14:paraId="67EFD549" w14:textId="77777777" w:rsidR="00E42344" w:rsidRDefault="00E42344" w:rsidP="003034F3">
            <w:pPr>
              <w:rPr>
                <w:color w:val="C45911" w:themeColor="accent2" w:themeShade="BF"/>
              </w:rPr>
            </w:pPr>
          </w:p>
          <w:p w14:paraId="4F894FC6" w14:textId="4DD9DBAC" w:rsidR="00004224" w:rsidRDefault="00E42344" w:rsidP="003034F3">
            <w:pPr>
              <w:rPr>
                <w:color w:val="C45911" w:themeColor="accent2" w:themeShade="BF"/>
              </w:rPr>
            </w:pPr>
            <w:r>
              <w:rPr>
                <w:color w:val="C45911" w:themeColor="accent2" w:themeShade="BF"/>
              </w:rPr>
              <w:t xml:space="preserve">Then we </w:t>
            </w:r>
            <w:r w:rsidR="00004224">
              <w:rPr>
                <w:color w:val="C45911" w:themeColor="accent2" w:themeShade="BF"/>
              </w:rPr>
              <w:t xml:space="preserve">multiplied </w:t>
            </w:r>
            <w:r>
              <w:rPr>
                <w:color w:val="C45911" w:themeColor="accent2" w:themeShade="BF"/>
              </w:rPr>
              <w:t>the difference</w:t>
            </w:r>
            <w:r w:rsidR="00CA5DEE">
              <w:rPr>
                <w:color w:val="C45911" w:themeColor="accent2" w:themeShade="BF"/>
              </w:rPr>
              <w:t xml:space="preserve"> in power</w:t>
            </w:r>
            <w:r>
              <w:rPr>
                <w:color w:val="C45911" w:themeColor="accent2" w:themeShade="BF"/>
              </w:rPr>
              <w:t xml:space="preserve"> </w:t>
            </w:r>
            <w:r w:rsidR="00CA5DEE">
              <w:rPr>
                <w:color w:val="C45911" w:themeColor="accent2" w:themeShade="BF"/>
              </w:rPr>
              <w:t xml:space="preserve">between the </w:t>
            </w:r>
            <w:r>
              <w:rPr>
                <w:color w:val="C45911" w:themeColor="accent2" w:themeShade="BF"/>
              </w:rPr>
              <w:t xml:space="preserve">previous minimum flow from SWRE002 and the new </w:t>
            </w:r>
            <w:r w:rsidR="00CA5DEE">
              <w:rPr>
                <w:color w:val="C45911" w:themeColor="accent2" w:themeShade="BF"/>
              </w:rPr>
              <w:t xml:space="preserve">heat pump </w:t>
            </w:r>
            <w:r>
              <w:rPr>
                <w:color w:val="C45911" w:themeColor="accent2" w:themeShade="BF"/>
              </w:rPr>
              <w:t xml:space="preserve">minimum flow </w:t>
            </w:r>
            <w:r w:rsidR="00004224">
              <w:rPr>
                <w:color w:val="C45911" w:themeColor="accent2" w:themeShade="BF"/>
              </w:rPr>
              <w:t>by the additional operating hours required by the measure case pool</w:t>
            </w:r>
            <w:r w:rsidR="00CA5DEE">
              <w:rPr>
                <w:color w:val="C45911" w:themeColor="accent2" w:themeShade="BF"/>
              </w:rPr>
              <w:t xml:space="preserve"> heater</w:t>
            </w:r>
            <w:r w:rsidR="00004224">
              <w:rPr>
                <w:color w:val="C45911" w:themeColor="accent2" w:themeShade="BF"/>
              </w:rPr>
              <w:t xml:space="preserve"> to find the additional pool pump energy required due to longer run times of the HP pool heater. We provided calculations for all three CEC curves (A, B, C) to show the range of values that could be used. Following the same logic as SWRE002, a flow of 30 gpm </w:t>
            </w:r>
            <w:r w:rsidR="00CA5DEE">
              <w:rPr>
                <w:color w:val="C45911" w:themeColor="accent2" w:themeShade="BF"/>
              </w:rPr>
              <w:t>could</w:t>
            </w:r>
            <w:r w:rsidR="00004224">
              <w:rPr>
                <w:color w:val="C45911" w:themeColor="accent2" w:themeShade="BF"/>
              </w:rPr>
              <w:t xml:space="preserve"> use either Curve A or Cur</w:t>
            </w:r>
            <w:r w:rsidR="006E5788">
              <w:rPr>
                <w:color w:val="C45911" w:themeColor="accent2" w:themeShade="BF"/>
              </w:rPr>
              <w:t xml:space="preserve">ve B. </w:t>
            </w:r>
          </w:p>
          <w:p w14:paraId="479B6A9B" w14:textId="30558E22" w:rsidR="006E5788" w:rsidRDefault="006E5788" w:rsidP="003034F3">
            <w:pPr>
              <w:rPr>
                <w:color w:val="C45911" w:themeColor="accent2" w:themeShade="BF"/>
              </w:rPr>
            </w:pPr>
          </w:p>
          <w:p w14:paraId="5D3A6F50" w14:textId="017FBE84" w:rsidR="006E5788" w:rsidRDefault="006E5788" w:rsidP="003034F3">
            <w:pPr>
              <w:rPr>
                <w:color w:val="C45911" w:themeColor="accent2" w:themeShade="BF"/>
              </w:rPr>
            </w:pPr>
            <w:r>
              <w:rPr>
                <w:color w:val="C45911" w:themeColor="accent2" w:themeShade="BF"/>
              </w:rPr>
              <w:t>This analysis assumes that the there would be some sort of automatic</w:t>
            </w:r>
            <w:r w:rsidR="00702706">
              <w:rPr>
                <w:color w:val="C45911" w:themeColor="accent2" w:themeShade="BF"/>
              </w:rPr>
              <w:t xml:space="preserve"> safety</w:t>
            </w:r>
            <w:r>
              <w:rPr>
                <w:color w:val="C45911" w:themeColor="accent2" w:themeShade="BF"/>
              </w:rPr>
              <w:t xml:space="preserve"> interlock of the pool pump to increase flow to meet the minimum heater flow when required and reduce back down afterward. It also is only looking at run time extended over the natural gas heater run time</w:t>
            </w:r>
            <w:r w:rsidR="00CA5DEE">
              <w:rPr>
                <w:color w:val="C45911" w:themeColor="accent2" w:themeShade="BF"/>
              </w:rPr>
              <w:t xml:space="preserve">, not total run time. </w:t>
            </w:r>
          </w:p>
          <w:p w14:paraId="6109C5AB" w14:textId="4EF12D94" w:rsidR="00E42344" w:rsidRDefault="00E42344" w:rsidP="003034F3">
            <w:pPr>
              <w:rPr>
                <w:color w:val="C45911" w:themeColor="accent2" w:themeShade="BF"/>
              </w:rPr>
            </w:pPr>
          </w:p>
          <w:p w14:paraId="156E554B" w14:textId="7FCBDFC1" w:rsidR="00E42344" w:rsidRDefault="00E42344" w:rsidP="003034F3">
            <w:pPr>
              <w:rPr>
                <w:color w:val="C45911" w:themeColor="accent2" w:themeShade="BF"/>
              </w:rPr>
            </w:pPr>
            <w:r>
              <w:rPr>
                <w:color w:val="C45911" w:themeColor="accent2" w:themeShade="BF"/>
              </w:rPr>
              <w:t xml:space="preserve">The findings show a maximum of a 17.51 kWh and minimum of 2.77 kWh penalty on the pool pump operation for SFm. This represents &lt;1% of the total kWh impact for CZ01, and 1.26% of total kWh impact for the average </w:t>
            </w:r>
            <w:r w:rsidR="00CA5DEE">
              <w:rPr>
                <w:color w:val="C45911" w:themeColor="accent2" w:themeShade="BF"/>
              </w:rPr>
              <w:t xml:space="preserve">kWh </w:t>
            </w:r>
            <w:r>
              <w:rPr>
                <w:color w:val="C45911" w:themeColor="accent2" w:themeShade="BF"/>
              </w:rPr>
              <w:t xml:space="preserve">of all CZs. </w:t>
            </w:r>
          </w:p>
          <w:p w14:paraId="46CDB1DC" w14:textId="5C2D225B" w:rsidR="00E42344" w:rsidRDefault="00E42344" w:rsidP="003034F3">
            <w:pPr>
              <w:rPr>
                <w:color w:val="C45911" w:themeColor="accent2" w:themeShade="BF"/>
              </w:rPr>
            </w:pPr>
          </w:p>
          <w:p w14:paraId="4A8BEA4E" w14:textId="7E2635E9" w:rsidR="00E42344" w:rsidRDefault="00E42344" w:rsidP="003034F3">
            <w:pPr>
              <w:rPr>
                <w:color w:val="C45911" w:themeColor="accent2" w:themeShade="BF"/>
              </w:rPr>
            </w:pPr>
            <w:r>
              <w:rPr>
                <w:color w:val="C45911" w:themeColor="accent2" w:themeShade="BF"/>
              </w:rPr>
              <w:t xml:space="preserve">As discussed above, the higher minimum flow of the MFm pools means that there should not be an impact to the pool pump due to longer runtimes since the pool heater minimum flow should be roughly the same or less than the minimum flow </w:t>
            </w:r>
            <w:r w:rsidR="005F49A8">
              <w:rPr>
                <w:color w:val="C45911" w:themeColor="accent2" w:themeShade="BF"/>
              </w:rPr>
              <w:t xml:space="preserve">of the pool heater. </w:t>
            </w:r>
          </w:p>
          <w:p w14:paraId="1AEF3212" w14:textId="65608AEB" w:rsidR="005F49A8" w:rsidRDefault="005F49A8" w:rsidP="003034F3">
            <w:pPr>
              <w:rPr>
                <w:color w:val="C45911" w:themeColor="accent2" w:themeShade="BF"/>
              </w:rPr>
            </w:pPr>
          </w:p>
          <w:p w14:paraId="5E00C1E2" w14:textId="30665155" w:rsidR="000F639C" w:rsidRDefault="005F49A8" w:rsidP="003034F3">
            <w:pPr>
              <w:rPr>
                <w:color w:val="C45911" w:themeColor="accent2" w:themeShade="BF"/>
              </w:rPr>
            </w:pPr>
            <w:r w:rsidRPr="004740F3">
              <w:rPr>
                <w:b/>
                <w:bCs/>
                <w:color w:val="C45911" w:themeColor="accent2" w:themeShade="BF"/>
              </w:rPr>
              <w:lastRenderedPageBreak/>
              <w:t>Based on these findings, we suggest that the current analysis not be altered to include the pool pump operations</w:t>
            </w:r>
            <w:r>
              <w:rPr>
                <w:color w:val="C45911" w:themeColor="accent2" w:themeShade="BF"/>
              </w:rPr>
              <w:t xml:space="preserve">. </w:t>
            </w:r>
          </w:p>
          <w:p w14:paraId="68690C4A" w14:textId="2109678C" w:rsidR="000F639C" w:rsidRDefault="000F639C" w:rsidP="003034F3">
            <w:pPr>
              <w:rPr>
                <w:color w:val="C45911" w:themeColor="accent2" w:themeShade="BF"/>
              </w:rPr>
            </w:pPr>
          </w:p>
          <w:p w14:paraId="00D63896" w14:textId="277C2053" w:rsidR="000F639C" w:rsidRPr="004740F3" w:rsidRDefault="000F639C" w:rsidP="003034F3">
            <w:pPr>
              <w:rPr>
                <w:b/>
                <w:bCs/>
                <w:color w:val="C45911" w:themeColor="accent2" w:themeShade="BF"/>
              </w:rPr>
            </w:pPr>
            <w:r w:rsidRPr="004740F3">
              <w:rPr>
                <w:b/>
                <w:bCs/>
                <w:color w:val="C45911" w:themeColor="accent2" w:themeShade="BF"/>
              </w:rPr>
              <w:t xml:space="preserve">Please refer to the </w:t>
            </w:r>
            <w:r w:rsidRPr="004740F3">
              <w:rPr>
                <w:b/>
                <w:bCs/>
              </w:rPr>
              <w:t xml:space="preserve"> </w:t>
            </w:r>
            <w:r w:rsidRPr="004740F3">
              <w:rPr>
                <w:b/>
                <w:bCs/>
                <w:color w:val="C45911" w:themeColor="accent2" w:themeShade="BF"/>
              </w:rPr>
              <w:t>Pool Heater vs Pump Comparison Analysis.xlsx spreadsheet attached</w:t>
            </w:r>
            <w:r w:rsidR="004740F3" w:rsidRPr="004740F3">
              <w:rPr>
                <w:b/>
                <w:bCs/>
                <w:color w:val="C45911" w:themeColor="accent2" w:themeShade="BF"/>
              </w:rPr>
              <w:t xml:space="preserve"> herein</w:t>
            </w:r>
            <w:r w:rsidRPr="004740F3">
              <w:rPr>
                <w:b/>
                <w:bCs/>
                <w:color w:val="C45911" w:themeColor="accent2" w:themeShade="BF"/>
              </w:rPr>
              <w:t xml:space="preserve">. </w:t>
            </w:r>
          </w:p>
          <w:p w14:paraId="473604BE" w14:textId="3610EDEB" w:rsidR="00E42344" w:rsidRDefault="00E42344" w:rsidP="003034F3"/>
          <w:p w14:paraId="38D425C2" w14:textId="1C7190FD" w:rsidR="002048CD" w:rsidRDefault="002048CD" w:rsidP="003034F3">
            <w:r>
              <w:t xml:space="preserve">In </w:t>
            </w:r>
            <w:r w:rsidR="00393CBC">
              <w:t xml:space="preserve">previous </w:t>
            </w:r>
            <w:r w:rsidR="00F5126B">
              <w:t xml:space="preserve">response to </w:t>
            </w:r>
            <w:r>
              <w:t>CPUC comment</w:t>
            </w:r>
            <w:r w:rsidR="00F5126B">
              <w:t>s on approved WPP, SCE</w:t>
            </w:r>
            <w:r>
              <w:t xml:space="preserve"> provided calculations that showed that</w:t>
            </w:r>
            <w:r w:rsidR="00F5126B">
              <w:t xml:space="preserve"> </w:t>
            </w:r>
            <w:r>
              <w:t>varying the base case pool heater capacity only marginally changed (&lt;0.5%) the natural gas consumption of the base case heater. That is because the pool heating load (i.e. the amount of heat that is needed to heat up the pool) does not change, and the ga</w:t>
            </w:r>
            <w:r w:rsidR="00176508">
              <w:t>s</w:t>
            </w:r>
            <w:r>
              <w:t xml:space="preserve"> pool heaters do not benefit from higher efficiencies at part load or only operate a full load. Thus, the savings are not greatly impacted by using the oversized pool heaters seen in the market. However, using </w:t>
            </w:r>
            <w:r w:rsidR="00176508">
              <w:t>p</w:t>
            </w:r>
            <w:r>
              <w:t xml:space="preserve">ool heaters </w:t>
            </w:r>
            <w:r w:rsidR="00176508">
              <w:t xml:space="preserve">sized as </w:t>
            </w:r>
            <w:r>
              <w:t xml:space="preserve">seen in the market does correctly </w:t>
            </w:r>
            <w:r w:rsidR="00113091">
              <w:t xml:space="preserve">(and it is needed to) </w:t>
            </w:r>
            <w:r>
              <w:t xml:space="preserve">estimate the incremental cost of the measure. </w:t>
            </w:r>
          </w:p>
          <w:p w14:paraId="0C884F3B" w14:textId="77777777" w:rsidR="002048CD" w:rsidRDefault="002048CD" w:rsidP="003034F3"/>
          <w:p w14:paraId="60A3BF66" w14:textId="618049AE" w:rsidR="002048CD" w:rsidRDefault="002048CD" w:rsidP="003034F3">
            <w:r>
              <w:t xml:space="preserve">The sizing assumptions and sources for both measure and base case equipment </w:t>
            </w:r>
            <w:r w:rsidR="00113091">
              <w:t>are detailed</w:t>
            </w:r>
            <w:r>
              <w:t xml:space="preserve"> in the workpaper. </w:t>
            </w:r>
          </w:p>
          <w:p w14:paraId="08E0FBD6" w14:textId="4BD1CAA1" w:rsidR="000F25C1" w:rsidRDefault="000F25C1" w:rsidP="003034F3"/>
        </w:tc>
      </w:tr>
      <w:tr w:rsidR="003034F3" w14:paraId="249A902E" w14:textId="77777777" w:rsidTr="004B2408">
        <w:tc>
          <w:tcPr>
            <w:tcW w:w="3415" w:type="dxa"/>
          </w:tcPr>
          <w:p w14:paraId="7765502F" w14:textId="77777777" w:rsidR="003034F3" w:rsidRDefault="003034F3" w:rsidP="003034F3">
            <w:r>
              <w:lastRenderedPageBreak/>
              <w:t xml:space="preserve">Is </w:t>
            </w:r>
            <w:r>
              <w:rPr>
                <w:rFonts w:ascii="Verdana" w:hAnsi="Verdana"/>
                <w:color w:val="000000"/>
                <w:sz w:val="18"/>
                <w:szCs w:val="18"/>
              </w:rPr>
              <w:t>DEER:RefgFrzr_Recyc-UnConditioned the appropriate electrical impact profile?</w:t>
            </w:r>
          </w:p>
        </w:tc>
        <w:tc>
          <w:tcPr>
            <w:tcW w:w="5935" w:type="dxa"/>
          </w:tcPr>
          <w:p w14:paraId="7CD2BEDE" w14:textId="1E0469D3" w:rsidR="003034F3" w:rsidRDefault="003931AE" w:rsidP="003034F3">
            <w:r>
              <w:t>The “</w:t>
            </w:r>
            <w:r w:rsidRPr="003931AE">
              <w:t>DEER:RefgFrzr_Recyc-UnConditioned</w:t>
            </w:r>
            <w:r>
              <w:t xml:space="preserve">” load shape was used for the previous SWRE002 VSD Pool pump residential measures. Based on the latest impact profiles exported from PEAR this seems to be the most appropriate. </w:t>
            </w:r>
          </w:p>
          <w:p w14:paraId="2A5C8837" w14:textId="77777777" w:rsidR="003931AE" w:rsidRDefault="003931AE" w:rsidP="003034F3"/>
          <w:p w14:paraId="18639619" w14:textId="77777777" w:rsidR="00EC56DF" w:rsidRDefault="003931AE" w:rsidP="003931AE">
            <w:pPr>
              <w:rPr>
                <w:rFonts w:ascii="Calibri" w:hAnsi="Calibri" w:cs="Calibri"/>
                <w:color w:val="000000"/>
              </w:rPr>
            </w:pPr>
            <w:r>
              <w:t xml:space="preserve">Based on previous </w:t>
            </w:r>
            <w:r w:rsidR="00FD52B7">
              <w:t xml:space="preserve">formal </w:t>
            </w:r>
            <w:r>
              <w:t xml:space="preserve">direction, </w:t>
            </w:r>
            <w:r w:rsidR="00FD52B7">
              <w:t xml:space="preserve">the use of </w:t>
            </w:r>
            <w:r>
              <w:t xml:space="preserve">DEER load profiles </w:t>
            </w:r>
            <w:r w:rsidR="00FD52B7">
              <w:t>is required</w:t>
            </w:r>
            <w:r>
              <w:t>. However, if any profile can be used, the “</w:t>
            </w:r>
            <w:r>
              <w:rPr>
                <w:rFonts w:ascii="Calibri" w:hAnsi="Calibri" w:cs="Calibri"/>
                <w:color w:val="000000"/>
              </w:rPr>
              <w:t xml:space="preserve">SCE:Residential:Residential Pool Pumps” would be </w:t>
            </w:r>
            <w:r w:rsidR="00FD52B7">
              <w:rPr>
                <w:rFonts w:ascii="Calibri" w:hAnsi="Calibri" w:cs="Calibri"/>
                <w:color w:val="000000"/>
              </w:rPr>
              <w:t xml:space="preserve">more </w:t>
            </w:r>
            <w:r>
              <w:rPr>
                <w:rFonts w:ascii="Calibri" w:hAnsi="Calibri" w:cs="Calibri"/>
                <w:color w:val="000000"/>
              </w:rPr>
              <w:t>appropriate.</w:t>
            </w:r>
          </w:p>
          <w:p w14:paraId="77160E32" w14:textId="77777777" w:rsidR="00EC56DF" w:rsidRDefault="00EC56DF" w:rsidP="003931AE">
            <w:pPr>
              <w:rPr>
                <w:rFonts w:ascii="Calibri" w:hAnsi="Calibri" w:cs="Calibri"/>
                <w:color w:val="000000"/>
              </w:rPr>
            </w:pPr>
          </w:p>
          <w:p w14:paraId="15429BAC" w14:textId="3C81BF34" w:rsidR="003931AE" w:rsidRPr="00EC56DF" w:rsidRDefault="00EC56DF" w:rsidP="003931AE">
            <w:pPr>
              <w:rPr>
                <w:rFonts w:ascii="Calibri" w:hAnsi="Calibri" w:cs="Calibri"/>
                <w:color w:val="FF0000"/>
              </w:rPr>
            </w:pPr>
            <w:r w:rsidRPr="00EC56DF">
              <w:rPr>
                <w:rFonts w:ascii="Calibri" w:hAnsi="Calibri" w:cs="Calibri"/>
                <w:color w:val="FF0000"/>
              </w:rPr>
              <w:t xml:space="preserve">CPUC </w:t>
            </w:r>
            <w:r w:rsidR="004842A5">
              <w:rPr>
                <w:rFonts w:ascii="Calibri" w:hAnsi="Calibri" w:cs="Calibri"/>
                <w:color w:val="FF0000"/>
              </w:rPr>
              <w:t>response 5/12</w:t>
            </w:r>
            <w:r w:rsidRPr="00EC56DF">
              <w:rPr>
                <w:rFonts w:ascii="Calibri" w:hAnsi="Calibri" w:cs="Calibri"/>
                <w:color w:val="FF0000"/>
              </w:rPr>
              <w:t xml:space="preserve"> </w:t>
            </w:r>
            <w:r w:rsidR="004842A5" w:rsidRPr="00EC56DF">
              <w:rPr>
                <w:rFonts w:ascii="Calibri" w:hAnsi="Calibri" w:cs="Calibri"/>
                <w:color w:val="FF0000"/>
              </w:rPr>
              <w:t xml:space="preserve">– </w:t>
            </w:r>
            <w:r w:rsidR="004842A5">
              <w:rPr>
                <w:rFonts w:ascii="Calibri" w:hAnsi="Calibri" w:cs="Calibri"/>
                <w:color w:val="FF0000"/>
              </w:rPr>
              <w:t>The</w:t>
            </w:r>
            <w:r w:rsidR="004842A5" w:rsidRPr="004842A5">
              <w:rPr>
                <w:rFonts w:ascii="Calibri" w:hAnsi="Calibri" w:cs="Calibri"/>
                <w:color w:val="FF0000"/>
              </w:rPr>
              <w:t xml:space="preserve"> refrigerator in an unconditioned space</w:t>
            </w:r>
            <w:r w:rsidR="004842A5">
              <w:rPr>
                <w:rFonts w:ascii="Calibri" w:hAnsi="Calibri" w:cs="Calibri"/>
                <w:color w:val="FF0000"/>
              </w:rPr>
              <w:t xml:space="preserve"> “</w:t>
            </w:r>
            <w:bookmarkStart w:id="0" w:name="_Hlk75420738"/>
            <w:r w:rsidR="004842A5" w:rsidRPr="004842A5">
              <w:rPr>
                <w:color w:val="FF0000"/>
              </w:rPr>
              <w:t>DEER:RefgFrzr_Recyc-UnConditioned</w:t>
            </w:r>
            <w:bookmarkEnd w:id="0"/>
            <w:r w:rsidR="004842A5">
              <w:rPr>
                <w:rFonts w:ascii="Calibri" w:hAnsi="Calibri" w:cs="Calibri"/>
                <w:color w:val="FF0000"/>
              </w:rPr>
              <w:t>“</w:t>
            </w:r>
            <w:r w:rsidR="004842A5" w:rsidRPr="004842A5">
              <w:rPr>
                <w:rFonts w:ascii="Calibri" w:hAnsi="Calibri" w:cs="Calibri"/>
                <w:color w:val="FF0000"/>
              </w:rPr>
              <w:t xml:space="preserve"> is OK to use until a better load shape is generated.   Load shapes can be generated using pool simulation programs.  </w:t>
            </w:r>
            <w:r w:rsidR="004842A5">
              <w:rPr>
                <w:rFonts w:ascii="Calibri" w:hAnsi="Calibri" w:cs="Calibri"/>
                <w:color w:val="FF0000"/>
              </w:rPr>
              <w:t>We</w:t>
            </w:r>
            <w:r w:rsidR="004842A5" w:rsidRPr="004842A5">
              <w:rPr>
                <w:rFonts w:ascii="Calibri" w:hAnsi="Calibri" w:cs="Calibri"/>
                <w:color w:val="FF0000"/>
              </w:rPr>
              <w:t xml:space="preserve"> suggest </w:t>
            </w:r>
            <w:r w:rsidR="004842A5">
              <w:rPr>
                <w:rFonts w:ascii="Calibri" w:hAnsi="Calibri" w:cs="Calibri"/>
                <w:color w:val="FF0000"/>
              </w:rPr>
              <w:t>generating load shapes in</w:t>
            </w:r>
            <w:r w:rsidR="004842A5" w:rsidRPr="004842A5">
              <w:rPr>
                <w:rFonts w:ascii="Calibri" w:hAnsi="Calibri" w:cs="Calibri"/>
                <w:color w:val="FF0000"/>
              </w:rPr>
              <w:t xml:space="preserve"> </w:t>
            </w:r>
            <w:r w:rsidR="004842A5">
              <w:rPr>
                <w:rFonts w:ascii="Calibri" w:hAnsi="Calibri" w:cs="Calibri"/>
                <w:color w:val="FF0000"/>
              </w:rPr>
              <w:t xml:space="preserve">the </w:t>
            </w:r>
            <w:r w:rsidR="004842A5" w:rsidRPr="004842A5">
              <w:rPr>
                <w:rFonts w:ascii="Calibri" w:hAnsi="Calibri" w:cs="Calibri"/>
                <w:color w:val="FF0000"/>
              </w:rPr>
              <w:t>future</w:t>
            </w:r>
            <w:r w:rsidR="004842A5">
              <w:rPr>
                <w:rFonts w:ascii="Calibri" w:hAnsi="Calibri" w:cs="Calibri"/>
                <w:color w:val="FF0000"/>
              </w:rPr>
              <w:t>,</w:t>
            </w:r>
            <w:r w:rsidR="004842A5" w:rsidRPr="004842A5">
              <w:rPr>
                <w:rFonts w:ascii="Calibri" w:hAnsi="Calibri" w:cs="Calibri"/>
                <w:color w:val="FF0000"/>
              </w:rPr>
              <w:t xml:space="preserve"> but </w:t>
            </w:r>
            <w:r w:rsidR="004842A5">
              <w:rPr>
                <w:rFonts w:ascii="Calibri" w:hAnsi="Calibri" w:cs="Calibri"/>
                <w:color w:val="FF0000"/>
              </w:rPr>
              <w:t>the current load shape</w:t>
            </w:r>
            <w:r w:rsidR="004842A5" w:rsidRPr="004842A5">
              <w:rPr>
                <w:rFonts w:ascii="Calibri" w:hAnsi="Calibri" w:cs="Calibri"/>
                <w:color w:val="FF0000"/>
              </w:rPr>
              <w:t xml:space="preserve"> is OK for now</w:t>
            </w:r>
            <w:r w:rsidR="004842A5">
              <w:rPr>
                <w:rFonts w:ascii="Calibri" w:hAnsi="Calibri" w:cs="Calibri"/>
                <w:color w:val="FF0000"/>
              </w:rPr>
              <w:t>.</w:t>
            </w:r>
          </w:p>
          <w:p w14:paraId="3140F284" w14:textId="5E951CD0" w:rsidR="00EC56DF" w:rsidRDefault="00EC56DF" w:rsidP="003931AE">
            <w:pPr>
              <w:rPr>
                <w:rFonts w:ascii="Calibri" w:hAnsi="Calibri" w:cs="Calibri"/>
                <w:color w:val="000000"/>
              </w:rPr>
            </w:pPr>
          </w:p>
          <w:p w14:paraId="61006534" w14:textId="77777777" w:rsidR="00DE1D6B" w:rsidRDefault="00DE1D6B" w:rsidP="000D327F">
            <w:pPr>
              <w:rPr>
                <w:b/>
                <w:bCs/>
                <w:color w:val="538135" w:themeColor="accent6" w:themeShade="BF"/>
              </w:rPr>
            </w:pPr>
            <w:r w:rsidRPr="00DE1D6B">
              <w:rPr>
                <w:b/>
                <w:bCs/>
                <w:color w:val="538135" w:themeColor="accent6" w:themeShade="BF"/>
              </w:rPr>
              <w:t xml:space="preserve">Notes from 6/24/21 call with CPUC, SCE, and TRC: </w:t>
            </w:r>
          </w:p>
          <w:p w14:paraId="1FE44C63" w14:textId="60275BFA" w:rsidR="000D327F" w:rsidRDefault="000D327F" w:rsidP="000D327F">
            <w:pPr>
              <w:rPr>
                <w:color w:val="538135" w:themeColor="accent6" w:themeShade="BF"/>
              </w:rPr>
            </w:pPr>
            <w:r w:rsidRPr="000D327F">
              <w:rPr>
                <w:color w:val="538135" w:themeColor="accent6" w:themeShade="BF"/>
              </w:rPr>
              <w:t xml:space="preserve">For this version of the workpaper SCE will continue to use DEER:RefgFrzr_Recyc-UnConditioned since there is no better option available. </w:t>
            </w:r>
          </w:p>
          <w:p w14:paraId="70D99B8B" w14:textId="77777777" w:rsidR="000D327F" w:rsidRPr="000D327F" w:rsidRDefault="000D327F" w:rsidP="000D327F">
            <w:pPr>
              <w:rPr>
                <w:color w:val="538135" w:themeColor="accent6" w:themeShade="BF"/>
              </w:rPr>
            </w:pPr>
          </w:p>
          <w:p w14:paraId="5645E0E9" w14:textId="319561DD" w:rsidR="000D327F" w:rsidRDefault="002948B1" w:rsidP="000D327F">
            <w:pPr>
              <w:rPr>
                <w:color w:val="538135" w:themeColor="accent6" w:themeShade="BF"/>
              </w:rPr>
            </w:pPr>
            <w:r>
              <w:rPr>
                <w:color w:val="538135" w:themeColor="accent6" w:themeShade="BF"/>
              </w:rPr>
              <w:t>SCE (Andres Fergadiotti) to</w:t>
            </w:r>
            <w:r w:rsidR="000D327F" w:rsidRPr="000D327F">
              <w:rPr>
                <w:color w:val="538135" w:themeColor="accent6" w:themeShade="BF"/>
              </w:rPr>
              <w:t xml:space="preserve"> reach out to Jennifer McWilliams to confirm with her if there is a better option. </w:t>
            </w:r>
            <w:r>
              <w:rPr>
                <w:color w:val="538135" w:themeColor="accent6" w:themeShade="BF"/>
              </w:rPr>
              <w:t>SCE consultant</w:t>
            </w:r>
            <w:r w:rsidR="000D327F" w:rsidRPr="000D327F">
              <w:rPr>
                <w:color w:val="538135" w:themeColor="accent6" w:themeShade="BF"/>
              </w:rPr>
              <w:t xml:space="preserve"> will also look at the load shapes to see if there are any shapes that only used in the summer</w:t>
            </w:r>
          </w:p>
          <w:p w14:paraId="61F72A00" w14:textId="77777777" w:rsidR="000D327F" w:rsidRPr="000D327F" w:rsidRDefault="000D327F" w:rsidP="000D327F">
            <w:pPr>
              <w:rPr>
                <w:color w:val="538135" w:themeColor="accent6" w:themeShade="BF"/>
              </w:rPr>
            </w:pPr>
          </w:p>
          <w:p w14:paraId="3B59713F" w14:textId="4FA09CF4" w:rsidR="000D327F" w:rsidRDefault="000D327F" w:rsidP="000D327F">
            <w:pPr>
              <w:rPr>
                <w:color w:val="538135" w:themeColor="accent6" w:themeShade="BF"/>
              </w:rPr>
            </w:pPr>
            <w:r w:rsidRPr="000D327F">
              <w:rPr>
                <w:color w:val="538135" w:themeColor="accent6" w:themeShade="BF"/>
              </w:rPr>
              <w:t>SCE/TRC will add a comment in the workpaper that future updates should</w:t>
            </w:r>
            <w:r w:rsidR="002948B1">
              <w:rPr>
                <w:color w:val="538135" w:themeColor="accent6" w:themeShade="BF"/>
              </w:rPr>
              <w:t xml:space="preserve"> include (as available) the</w:t>
            </w:r>
            <w:r w:rsidRPr="000D327F">
              <w:rPr>
                <w:color w:val="538135" w:themeColor="accent6" w:themeShade="BF"/>
              </w:rPr>
              <w:t xml:space="preserve"> use a pool heater specific load shape,</w:t>
            </w:r>
            <w:r w:rsidR="002948B1">
              <w:rPr>
                <w:color w:val="538135" w:themeColor="accent6" w:themeShade="BF"/>
              </w:rPr>
              <w:t xml:space="preserve"> and a request for CPUC to support the </w:t>
            </w:r>
            <w:r w:rsidRPr="000D327F">
              <w:rPr>
                <w:color w:val="538135" w:themeColor="accent6" w:themeShade="BF"/>
              </w:rPr>
              <w:t>develop</w:t>
            </w:r>
            <w:r w:rsidR="002948B1">
              <w:rPr>
                <w:color w:val="538135" w:themeColor="accent6" w:themeShade="BF"/>
              </w:rPr>
              <w:t xml:space="preserve">ment of such </w:t>
            </w:r>
            <w:r w:rsidRPr="000D327F">
              <w:rPr>
                <w:color w:val="538135" w:themeColor="accent6" w:themeShade="BF"/>
              </w:rPr>
              <w:t>for this measure.</w:t>
            </w:r>
          </w:p>
          <w:p w14:paraId="197F4BB4" w14:textId="77777777" w:rsidR="000D327F" w:rsidRDefault="000D327F" w:rsidP="003931AE">
            <w:pPr>
              <w:rPr>
                <w:rFonts w:ascii="Calibri" w:hAnsi="Calibri" w:cs="Calibri"/>
                <w:color w:val="000000"/>
              </w:rPr>
            </w:pPr>
          </w:p>
          <w:p w14:paraId="2B839D35" w14:textId="77777777" w:rsidR="000F639C" w:rsidRDefault="000F639C" w:rsidP="000F639C">
            <w:pPr>
              <w:rPr>
                <w:b/>
                <w:bCs/>
                <w:color w:val="C45911" w:themeColor="accent2" w:themeShade="BF"/>
              </w:rPr>
            </w:pPr>
            <w:r w:rsidRPr="006311B7">
              <w:rPr>
                <w:b/>
                <w:bCs/>
                <w:color w:val="C45911" w:themeColor="accent2" w:themeShade="BF"/>
              </w:rPr>
              <w:t>Follow-ups to Meeting on 6/24/21</w:t>
            </w:r>
          </w:p>
          <w:p w14:paraId="2190F3F6" w14:textId="71C581AE" w:rsidR="000F639C" w:rsidRDefault="002948B1" w:rsidP="000F639C">
            <w:pPr>
              <w:rPr>
                <w:color w:val="C45911" w:themeColor="accent2" w:themeShade="BF"/>
              </w:rPr>
            </w:pPr>
            <w:r>
              <w:rPr>
                <w:color w:val="C45911" w:themeColor="accent2" w:themeShade="BF"/>
              </w:rPr>
              <w:t>SCE consultant</w:t>
            </w:r>
            <w:r w:rsidR="000F639C">
              <w:rPr>
                <w:color w:val="C45911" w:themeColor="accent2" w:themeShade="BF"/>
              </w:rPr>
              <w:t xml:space="preserve"> reviewed the DEER load shapes and did not find any </w:t>
            </w:r>
            <w:r w:rsidR="004740F3">
              <w:rPr>
                <w:color w:val="C45911" w:themeColor="accent2" w:themeShade="BF"/>
              </w:rPr>
              <w:t xml:space="preserve">load shape </w:t>
            </w:r>
            <w:r>
              <w:rPr>
                <w:color w:val="C45911" w:themeColor="accent2" w:themeShade="BF"/>
              </w:rPr>
              <w:t>more appropriate for this application.</w:t>
            </w:r>
            <w:r w:rsidR="000F639C">
              <w:rPr>
                <w:color w:val="C45911" w:themeColor="accent2" w:themeShade="BF"/>
              </w:rPr>
              <w:t xml:space="preserve"> </w:t>
            </w:r>
          </w:p>
          <w:p w14:paraId="03D83EBB" w14:textId="77777777" w:rsidR="000F639C" w:rsidRDefault="000F639C" w:rsidP="000F639C">
            <w:pPr>
              <w:rPr>
                <w:color w:val="C45911" w:themeColor="accent2" w:themeShade="BF"/>
              </w:rPr>
            </w:pPr>
          </w:p>
          <w:p w14:paraId="7332B8BE" w14:textId="1E543268" w:rsidR="000F639C" w:rsidRPr="004740F3" w:rsidRDefault="000F639C" w:rsidP="000F639C">
            <w:pPr>
              <w:rPr>
                <w:b/>
                <w:bCs/>
                <w:color w:val="C45911" w:themeColor="accent2" w:themeShade="BF"/>
              </w:rPr>
            </w:pPr>
            <w:r w:rsidRPr="004740F3">
              <w:rPr>
                <w:b/>
                <w:bCs/>
                <w:color w:val="C45911" w:themeColor="accent2" w:themeShade="BF"/>
              </w:rPr>
              <w:t>Please refer to the DEER Load Shape Analysis_Pool HP.xlsx spreadsheet attached</w:t>
            </w:r>
            <w:r w:rsidR="00702706" w:rsidRPr="004740F3">
              <w:rPr>
                <w:b/>
                <w:bCs/>
                <w:color w:val="C45911" w:themeColor="accent2" w:themeShade="BF"/>
              </w:rPr>
              <w:t xml:space="preserve"> in this document. </w:t>
            </w:r>
          </w:p>
          <w:p w14:paraId="1F1E7D13" w14:textId="6FB10BB4" w:rsidR="002948B1" w:rsidRDefault="002948B1" w:rsidP="000F639C">
            <w:pPr>
              <w:rPr>
                <w:color w:val="C45911" w:themeColor="accent2" w:themeShade="BF"/>
              </w:rPr>
            </w:pPr>
          </w:p>
          <w:p w14:paraId="761AF55E" w14:textId="3DD5F56E" w:rsidR="002948B1" w:rsidRDefault="002948B1" w:rsidP="002948B1">
            <w:pPr>
              <w:rPr>
                <w:color w:val="C45911" w:themeColor="accent2" w:themeShade="BF"/>
              </w:rPr>
            </w:pPr>
            <w:r>
              <w:rPr>
                <w:color w:val="C45911" w:themeColor="accent2" w:themeShade="BF"/>
              </w:rPr>
              <w:t>SCE</w:t>
            </w:r>
            <w:r w:rsidR="004740F3">
              <w:rPr>
                <w:color w:val="C45911" w:themeColor="accent2" w:themeShade="BF"/>
              </w:rPr>
              <w:t xml:space="preserve"> (Andres Fergadiotti)</w:t>
            </w:r>
            <w:r>
              <w:rPr>
                <w:color w:val="C45911" w:themeColor="accent2" w:themeShade="BF"/>
              </w:rPr>
              <w:t xml:space="preserve"> on 6/25 inquired from</w:t>
            </w:r>
            <w:r w:rsidR="004B2408">
              <w:rPr>
                <w:color w:val="C45911" w:themeColor="accent2" w:themeShade="BF"/>
              </w:rPr>
              <w:t xml:space="preserve"> </w:t>
            </w:r>
            <w:hyperlink r:id="rId12" w:history="1">
              <w:r w:rsidR="004B2408" w:rsidRPr="00647692">
                <w:rPr>
                  <w:rStyle w:val="Hyperlink"/>
                </w:rPr>
                <w:t>Jennifer.McWilliams@dnvgl.com</w:t>
              </w:r>
            </w:hyperlink>
            <w:r w:rsidRPr="002948B1">
              <w:rPr>
                <w:color w:val="C45911" w:themeColor="accent2" w:themeShade="BF"/>
              </w:rPr>
              <w:t xml:space="preserve"> about a more appropriate load shape</w:t>
            </w:r>
            <w:r w:rsidR="004740F3">
              <w:rPr>
                <w:color w:val="C45911" w:themeColor="accent2" w:themeShade="BF"/>
              </w:rPr>
              <w:t xml:space="preserve"> (either existing and/or under development)</w:t>
            </w:r>
            <w:r w:rsidRPr="002948B1">
              <w:rPr>
                <w:color w:val="C45911" w:themeColor="accent2" w:themeShade="BF"/>
              </w:rPr>
              <w:t xml:space="preserve"> for</w:t>
            </w:r>
            <w:r w:rsidR="004740F3">
              <w:rPr>
                <w:color w:val="C45911" w:themeColor="accent2" w:themeShade="BF"/>
              </w:rPr>
              <w:t xml:space="preserve"> this</w:t>
            </w:r>
            <w:r w:rsidRPr="002948B1">
              <w:rPr>
                <w:color w:val="C45911" w:themeColor="accent2" w:themeShade="BF"/>
              </w:rPr>
              <w:t xml:space="preserve"> application</w:t>
            </w:r>
            <w:r w:rsidR="004740F3">
              <w:rPr>
                <w:color w:val="C45911" w:themeColor="accent2" w:themeShade="BF"/>
              </w:rPr>
              <w:t xml:space="preserve"> with</w:t>
            </w:r>
            <w:r w:rsidRPr="002948B1">
              <w:rPr>
                <w:color w:val="C45911" w:themeColor="accent2" w:themeShade="BF"/>
              </w:rPr>
              <w:t xml:space="preserve"> pending response from DNVGL</w:t>
            </w:r>
            <w:r w:rsidR="004740F3">
              <w:rPr>
                <w:color w:val="C45911" w:themeColor="accent2" w:themeShade="BF"/>
              </w:rPr>
              <w:t>, as 07/02/2021</w:t>
            </w:r>
            <w:r w:rsidRPr="002948B1">
              <w:rPr>
                <w:color w:val="C45911" w:themeColor="accent2" w:themeShade="BF"/>
              </w:rPr>
              <w:t xml:space="preserve">.      </w:t>
            </w:r>
          </w:p>
          <w:p w14:paraId="04C21489" w14:textId="375ACB95" w:rsidR="00EC56DF" w:rsidRPr="00FD52B7" w:rsidRDefault="00EC56DF" w:rsidP="003931AE"/>
        </w:tc>
      </w:tr>
      <w:tr w:rsidR="003034F3" w14:paraId="7EE6BDA7" w14:textId="77777777" w:rsidTr="004B2408">
        <w:tc>
          <w:tcPr>
            <w:tcW w:w="3415" w:type="dxa"/>
          </w:tcPr>
          <w:p w14:paraId="589A0854" w14:textId="77777777" w:rsidR="003034F3" w:rsidRDefault="003034F3" w:rsidP="003034F3">
            <w:r>
              <w:lastRenderedPageBreak/>
              <w:t>Have there been more recent studies on residential pool covers? The 52% pool cover usage value comes from a 2004 study on a population of 38 residential homes. We expect the market penetration to be higher compared to 2004; thus, the pool cover usage values are expected to higher than 52%.</w:t>
            </w:r>
          </w:p>
        </w:tc>
        <w:tc>
          <w:tcPr>
            <w:tcW w:w="5935" w:type="dxa"/>
          </w:tcPr>
          <w:p w14:paraId="01C38F95" w14:textId="41E3425C" w:rsidR="00523659" w:rsidRPr="005602E1" w:rsidRDefault="00523659" w:rsidP="003034F3">
            <w:r w:rsidRPr="005602E1">
              <w:t xml:space="preserve">During the research phase of this workpaper this was the only study that we could find that addressed pool cover usage. Although the </w:t>
            </w:r>
            <w:r w:rsidR="00176508">
              <w:t>number</w:t>
            </w:r>
            <w:r w:rsidRPr="005602E1">
              <w:t xml:space="preserve"> of pools with covers is expected to have increased since 2004, pool cover usage is </w:t>
            </w:r>
            <w:r w:rsidR="005602E1" w:rsidRPr="005602E1">
              <w:t>customer</w:t>
            </w:r>
            <w:r w:rsidRPr="005602E1">
              <w:t xml:space="preserve"> behavior</w:t>
            </w:r>
            <w:r w:rsidR="005602E1" w:rsidRPr="005602E1">
              <w:t xml:space="preserve"> dependent</w:t>
            </w:r>
            <w:r w:rsidRPr="005602E1">
              <w:t>. The Koeller study shows that</w:t>
            </w:r>
            <w:r w:rsidR="00176508">
              <w:t>,</w:t>
            </w:r>
            <w:r w:rsidRPr="005602E1">
              <w:t xml:space="preserve"> based on customer behavior</w:t>
            </w:r>
            <w:r w:rsidR="00176508">
              <w:t>,</w:t>
            </w:r>
            <w:r w:rsidRPr="005602E1">
              <w:t xml:space="preserve"> only </w:t>
            </w:r>
            <w:r w:rsidR="00393CBC">
              <w:t>5</w:t>
            </w:r>
            <w:r w:rsidRPr="005602E1">
              <w:t>2% of the pools that ha</w:t>
            </w:r>
            <w:r w:rsidR="005602E1" w:rsidRPr="005602E1">
              <w:t xml:space="preserve">d </w:t>
            </w:r>
            <w:r w:rsidRPr="00393CBC">
              <w:rPr>
                <w:u w:val="single"/>
              </w:rPr>
              <w:t>obtained</w:t>
            </w:r>
            <w:r w:rsidRPr="005602E1">
              <w:t xml:space="preserve"> covers from the program actually used them. </w:t>
            </w:r>
          </w:p>
          <w:p w14:paraId="4C0BE1BB" w14:textId="7EDFA277" w:rsidR="00523659" w:rsidRPr="005602E1" w:rsidRDefault="00523659" w:rsidP="003034F3"/>
          <w:p w14:paraId="64689FC5" w14:textId="37BAC126" w:rsidR="00523659" w:rsidRPr="005602E1" w:rsidRDefault="00523659" w:rsidP="003034F3">
            <w:r w:rsidRPr="005602E1">
              <w:t xml:space="preserve">We </w:t>
            </w:r>
            <w:r w:rsidR="00176508">
              <w:t xml:space="preserve">also </w:t>
            </w:r>
            <w:r w:rsidRPr="005602E1">
              <w:t>found a</w:t>
            </w:r>
            <w:r w:rsidR="005602E1" w:rsidRPr="005602E1">
              <w:t>n</w:t>
            </w:r>
            <w:r w:rsidRPr="005602E1">
              <w:t xml:space="preserve"> EPA </w:t>
            </w:r>
            <w:r w:rsidR="005602E1" w:rsidRPr="005602E1">
              <w:t xml:space="preserve">WaterSense report about pool covers that came out in 2018, but this document also references the Koeller study for pool cover usage. </w:t>
            </w:r>
            <w:r w:rsidR="005602E1">
              <w:t>The study is attached.</w:t>
            </w:r>
          </w:p>
          <w:p w14:paraId="28087010" w14:textId="77777777" w:rsidR="003931AE" w:rsidRDefault="003931AE" w:rsidP="003034F3"/>
          <w:p w14:paraId="5A87758D" w14:textId="77777777" w:rsidR="003931AE" w:rsidRDefault="00FD52B7" w:rsidP="003034F3">
            <w:pPr>
              <w:rPr>
                <w:b/>
                <w:bCs/>
              </w:rPr>
            </w:pPr>
            <w:r>
              <w:rPr>
                <w:b/>
                <w:bCs/>
              </w:rPr>
              <w:t xml:space="preserve">Proposed adjustments for pool cover used in methodology is determined to be reasonable.  </w:t>
            </w:r>
            <w:r w:rsidR="003931AE" w:rsidRPr="00FD52B7">
              <w:rPr>
                <w:b/>
                <w:bCs/>
              </w:rPr>
              <w:t xml:space="preserve">Future updates to the workpaper will revisit updated sources of information for this assumption. </w:t>
            </w:r>
          </w:p>
          <w:p w14:paraId="630BFBFB" w14:textId="5DCEC318" w:rsidR="00F71F9E" w:rsidRDefault="00F71F9E" w:rsidP="003034F3">
            <w:pPr>
              <w:rPr>
                <w:b/>
                <w:bCs/>
              </w:rPr>
            </w:pPr>
          </w:p>
          <w:p w14:paraId="2CD9D32A" w14:textId="7ABF4468" w:rsidR="00F71F9E" w:rsidRDefault="00F71F9E" w:rsidP="00F71F9E">
            <w:pPr>
              <w:rPr>
                <w:rFonts w:ascii="Calibri" w:hAnsi="Calibri" w:cs="Calibri"/>
                <w:color w:val="FF0000"/>
              </w:rPr>
            </w:pPr>
            <w:r w:rsidRPr="00EC56DF">
              <w:rPr>
                <w:rFonts w:ascii="Calibri" w:hAnsi="Calibri" w:cs="Calibri"/>
                <w:color w:val="FF0000"/>
              </w:rPr>
              <w:t xml:space="preserve">CPUC Comment 05/06 – </w:t>
            </w:r>
            <w:r w:rsidR="0046485B">
              <w:rPr>
                <w:rFonts w:ascii="Calibri" w:hAnsi="Calibri" w:cs="Calibri"/>
                <w:color w:val="FF0000"/>
              </w:rPr>
              <w:t>For fuel sub measures, the baseline for NR is code according to the fuel sub measures guidance document. Per</w:t>
            </w:r>
            <w:r w:rsidR="0046485B" w:rsidRPr="0046485B">
              <w:rPr>
                <w:rFonts w:ascii="Calibri" w:hAnsi="Calibri" w:cs="Calibri"/>
                <w:color w:val="FF0000"/>
              </w:rPr>
              <w:t xml:space="preserve"> California Energy Code (CEC T-24) 4) </w:t>
            </w:r>
            <w:r w:rsidR="0046485B">
              <w:rPr>
                <w:rFonts w:ascii="Calibri" w:hAnsi="Calibri" w:cs="Calibri"/>
                <w:color w:val="FF0000"/>
              </w:rPr>
              <w:t>a</w:t>
            </w:r>
            <w:r w:rsidR="0046485B" w:rsidRPr="0046485B">
              <w:rPr>
                <w:rFonts w:ascii="Calibri" w:hAnsi="Calibri" w:cs="Calibri"/>
                <w:color w:val="FF0000"/>
              </w:rPr>
              <w:t>ll pools constructed with pool heaters require a pool cover.</w:t>
            </w:r>
            <w:r w:rsidR="0046485B">
              <w:rPr>
                <w:rFonts w:ascii="Calibri" w:hAnsi="Calibri" w:cs="Calibri"/>
                <w:color w:val="FF0000"/>
              </w:rPr>
              <w:t xml:space="preserve"> Should</w:t>
            </w:r>
            <w:r w:rsidR="004842A5">
              <w:rPr>
                <w:rFonts w:ascii="Calibri" w:hAnsi="Calibri" w:cs="Calibri"/>
                <w:color w:val="FF0000"/>
              </w:rPr>
              <w:t xml:space="preserve"> pool cover be an eligibility requirement for the program</w:t>
            </w:r>
            <w:r w:rsidR="0046485B">
              <w:rPr>
                <w:rFonts w:ascii="Calibri" w:hAnsi="Calibri" w:cs="Calibri"/>
                <w:color w:val="FF0000"/>
              </w:rPr>
              <w:t>?</w:t>
            </w:r>
          </w:p>
          <w:p w14:paraId="64CECBAB" w14:textId="6C684924" w:rsidR="0046485B" w:rsidRDefault="0046485B" w:rsidP="00F71F9E">
            <w:pPr>
              <w:rPr>
                <w:rFonts w:ascii="Calibri" w:hAnsi="Calibri" w:cs="Calibri"/>
                <w:color w:val="FF0000"/>
              </w:rPr>
            </w:pPr>
          </w:p>
          <w:p w14:paraId="77CAEB1A" w14:textId="4291B55A" w:rsidR="0046485B" w:rsidRPr="00EC56DF" w:rsidRDefault="0046485B" w:rsidP="00F71F9E">
            <w:pPr>
              <w:rPr>
                <w:rFonts w:ascii="Calibri" w:hAnsi="Calibri" w:cs="Calibri"/>
                <w:color w:val="FF0000"/>
              </w:rPr>
            </w:pPr>
            <w:r>
              <w:rPr>
                <w:noProof/>
              </w:rPr>
              <w:drawing>
                <wp:inline distT="0" distB="0" distL="0" distR="0" wp14:anchorId="6AE7259E" wp14:editId="409B1C21">
                  <wp:extent cx="3460115" cy="574040"/>
                  <wp:effectExtent l="0" t="0" r="698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460115" cy="574040"/>
                          </a:xfrm>
                          <a:prstGeom prst="rect">
                            <a:avLst/>
                          </a:prstGeom>
                        </pic:spPr>
                      </pic:pic>
                    </a:graphicData>
                  </a:graphic>
                </wp:inline>
              </w:drawing>
            </w:r>
          </w:p>
          <w:p w14:paraId="601F53AC" w14:textId="75CF211D" w:rsidR="00F71F9E" w:rsidRDefault="00F71F9E" w:rsidP="003034F3">
            <w:pPr>
              <w:rPr>
                <w:b/>
                <w:bCs/>
              </w:rPr>
            </w:pPr>
          </w:p>
          <w:p w14:paraId="137C5A88" w14:textId="67375E7F" w:rsidR="00F71F9E" w:rsidRDefault="0000751A" w:rsidP="007D1BDD">
            <w:pPr>
              <w:rPr>
                <w:color w:val="4472C4" w:themeColor="accent1"/>
              </w:rPr>
            </w:pPr>
            <w:r>
              <w:rPr>
                <w:color w:val="4472C4" w:themeColor="accent1"/>
              </w:rPr>
              <w:lastRenderedPageBreak/>
              <w:t>SCE r</w:t>
            </w:r>
            <w:r w:rsidRPr="006E026B">
              <w:rPr>
                <w:color w:val="4472C4" w:themeColor="accent1"/>
              </w:rPr>
              <w:t>esponse to comment from 5/</w:t>
            </w:r>
            <w:r>
              <w:rPr>
                <w:color w:val="4472C4" w:themeColor="accent1"/>
              </w:rPr>
              <w:t xml:space="preserve">12: </w:t>
            </w:r>
            <w:r w:rsidR="007D1BDD" w:rsidRPr="007D1BDD">
              <w:rPr>
                <w:color w:val="4472C4" w:themeColor="accent1"/>
              </w:rPr>
              <w:t xml:space="preserve">We </w:t>
            </w:r>
            <w:r w:rsidR="00331F85">
              <w:rPr>
                <w:color w:val="4472C4" w:themeColor="accent1"/>
              </w:rPr>
              <w:t xml:space="preserve">will require that pools be equipped with pool cover, either existing or newly installed, to be eligible. </w:t>
            </w:r>
          </w:p>
          <w:p w14:paraId="52310979" w14:textId="3E4550E8" w:rsidR="00DE1D6B" w:rsidRDefault="00DE1D6B" w:rsidP="007D1BDD">
            <w:pPr>
              <w:rPr>
                <w:color w:val="4472C4" w:themeColor="accent1"/>
              </w:rPr>
            </w:pPr>
          </w:p>
          <w:p w14:paraId="043DA7FB" w14:textId="4C61F78A" w:rsidR="00DE1D6B" w:rsidRPr="007D1BDD" w:rsidRDefault="00DE1D6B" w:rsidP="007D1BDD">
            <w:pPr>
              <w:rPr>
                <w:color w:val="4472C4" w:themeColor="accent1"/>
              </w:rPr>
            </w:pPr>
            <w:r w:rsidRPr="00DE1D6B">
              <w:rPr>
                <w:b/>
                <w:bCs/>
                <w:color w:val="538135" w:themeColor="accent6" w:themeShade="BF"/>
              </w:rPr>
              <w:t>Notes from 6/24/21 call with CPUC, SCE, and TRC:</w:t>
            </w:r>
          </w:p>
          <w:p w14:paraId="6A38BCB0" w14:textId="3A24DCD5" w:rsidR="00DE1D6B" w:rsidRPr="00DE1D6B" w:rsidRDefault="00DE1D6B" w:rsidP="00DE1D6B">
            <w:pPr>
              <w:rPr>
                <w:color w:val="538135" w:themeColor="accent6" w:themeShade="BF"/>
              </w:rPr>
            </w:pPr>
            <w:r w:rsidRPr="00DE1D6B">
              <w:rPr>
                <w:color w:val="538135" w:themeColor="accent6" w:themeShade="BF"/>
              </w:rPr>
              <w:t>CPUC is ok with includ</w:t>
            </w:r>
            <w:r>
              <w:rPr>
                <w:color w:val="538135" w:themeColor="accent6" w:themeShade="BF"/>
              </w:rPr>
              <w:t>ing</w:t>
            </w:r>
            <w:r w:rsidRPr="00DE1D6B">
              <w:rPr>
                <w:color w:val="538135" w:themeColor="accent6" w:themeShade="BF"/>
              </w:rPr>
              <w:t xml:space="preserve"> pool cover requirements in eligibility, but continuing to use the current weighted assumption on pool cover usage in the calculations</w:t>
            </w:r>
          </w:p>
          <w:p w14:paraId="4166E0AE" w14:textId="77777777" w:rsidR="00DE1D6B" w:rsidRDefault="00DE1D6B" w:rsidP="00DE1D6B">
            <w:pPr>
              <w:rPr>
                <w:color w:val="538135" w:themeColor="accent6" w:themeShade="BF"/>
              </w:rPr>
            </w:pPr>
          </w:p>
          <w:p w14:paraId="23FFB295" w14:textId="7C507369" w:rsidR="007D1BDD" w:rsidRDefault="00DE1D6B" w:rsidP="00DE1D6B">
            <w:pPr>
              <w:rPr>
                <w:color w:val="538135" w:themeColor="accent6" w:themeShade="BF"/>
              </w:rPr>
            </w:pPr>
            <w:r w:rsidRPr="00DE1D6B">
              <w:rPr>
                <w:color w:val="538135" w:themeColor="accent6" w:themeShade="BF"/>
              </w:rPr>
              <w:t xml:space="preserve">SCE/TRC will do some additional review to see if any newer assumptions can be used. If not, current assumptions will be maintained. </w:t>
            </w:r>
            <w:r>
              <w:rPr>
                <w:color w:val="538135" w:themeColor="accent6" w:themeShade="BF"/>
              </w:rPr>
              <w:t>This include: se</w:t>
            </w:r>
            <w:r w:rsidRPr="00DE1D6B">
              <w:rPr>
                <w:color w:val="538135" w:themeColor="accent6" w:themeShade="BF"/>
              </w:rPr>
              <w:t>e</w:t>
            </w:r>
            <w:r>
              <w:rPr>
                <w:color w:val="538135" w:themeColor="accent6" w:themeShade="BF"/>
              </w:rPr>
              <w:t>ing</w:t>
            </w:r>
            <w:r w:rsidRPr="00DE1D6B">
              <w:rPr>
                <w:color w:val="538135" w:themeColor="accent6" w:themeShade="BF"/>
              </w:rPr>
              <w:t xml:space="preserve"> if current Koeller study breaks out SFm vs MFm</w:t>
            </w:r>
            <w:r>
              <w:rPr>
                <w:color w:val="538135" w:themeColor="accent6" w:themeShade="BF"/>
              </w:rPr>
              <w:t>, r</w:t>
            </w:r>
            <w:r w:rsidRPr="00DE1D6B">
              <w:rPr>
                <w:color w:val="538135" w:themeColor="accent6" w:themeShade="BF"/>
              </w:rPr>
              <w:t>eview</w:t>
            </w:r>
            <w:r>
              <w:rPr>
                <w:color w:val="538135" w:themeColor="accent6" w:themeShade="BF"/>
              </w:rPr>
              <w:t>ing</w:t>
            </w:r>
            <w:r w:rsidRPr="00DE1D6B">
              <w:rPr>
                <w:color w:val="538135" w:themeColor="accent6" w:themeShade="BF"/>
              </w:rPr>
              <w:t xml:space="preserve"> 2015 pool cover disposition</w:t>
            </w:r>
            <w:r>
              <w:rPr>
                <w:color w:val="538135" w:themeColor="accent6" w:themeShade="BF"/>
              </w:rPr>
              <w:t>, and s</w:t>
            </w:r>
            <w:r w:rsidRPr="00DE1D6B">
              <w:rPr>
                <w:color w:val="538135" w:themeColor="accent6" w:themeShade="BF"/>
              </w:rPr>
              <w:t>earch</w:t>
            </w:r>
            <w:r>
              <w:rPr>
                <w:color w:val="538135" w:themeColor="accent6" w:themeShade="BF"/>
              </w:rPr>
              <w:t>ing</w:t>
            </w:r>
            <w:r w:rsidRPr="00DE1D6B">
              <w:rPr>
                <w:color w:val="538135" w:themeColor="accent6" w:themeShade="BF"/>
              </w:rPr>
              <w:t xml:space="preserve"> for any  pool cover impact evaluations that are applicable</w:t>
            </w:r>
          </w:p>
          <w:p w14:paraId="356883F2" w14:textId="059ABE0C" w:rsidR="006311B7" w:rsidRDefault="006311B7" w:rsidP="00DE1D6B">
            <w:pPr>
              <w:rPr>
                <w:color w:val="538135" w:themeColor="accent6" w:themeShade="BF"/>
              </w:rPr>
            </w:pPr>
          </w:p>
          <w:p w14:paraId="1C7991C0" w14:textId="291ECE6F" w:rsidR="006311B7" w:rsidRDefault="006311B7" w:rsidP="00DE1D6B">
            <w:pPr>
              <w:rPr>
                <w:b/>
                <w:bCs/>
                <w:color w:val="C45911" w:themeColor="accent2" w:themeShade="BF"/>
              </w:rPr>
            </w:pPr>
            <w:r w:rsidRPr="006311B7">
              <w:rPr>
                <w:b/>
                <w:bCs/>
                <w:color w:val="C45911" w:themeColor="accent2" w:themeShade="BF"/>
              </w:rPr>
              <w:t>Follow-ups to Meeting on 6/24/21</w:t>
            </w:r>
          </w:p>
          <w:p w14:paraId="1DE252B1" w14:textId="73F028A1" w:rsidR="006311B7" w:rsidRDefault="006311B7" w:rsidP="00DE1D6B">
            <w:pPr>
              <w:rPr>
                <w:color w:val="C45911" w:themeColor="accent2" w:themeShade="BF"/>
              </w:rPr>
            </w:pPr>
            <w:r>
              <w:rPr>
                <w:b/>
                <w:bCs/>
                <w:color w:val="C45911" w:themeColor="accent2" w:themeShade="BF"/>
              </w:rPr>
              <w:t xml:space="preserve">SCG Disposition Notes: </w:t>
            </w:r>
          </w:p>
          <w:p w14:paraId="5F53B08E" w14:textId="7A6D8B7C" w:rsidR="006311B7" w:rsidRDefault="006311B7" w:rsidP="00DE1D6B">
            <w:pPr>
              <w:rPr>
                <w:color w:val="C45911" w:themeColor="accent2" w:themeShade="BF"/>
              </w:rPr>
            </w:pPr>
            <w:r>
              <w:rPr>
                <w:color w:val="C45911" w:themeColor="accent2" w:themeShade="BF"/>
              </w:rPr>
              <w:t>The disposition does have some findings about penetration of pool covers in SCG’s area but no</w:t>
            </w:r>
            <w:r w:rsidR="00CA5DEE">
              <w:rPr>
                <w:color w:val="C45911" w:themeColor="accent2" w:themeShade="BF"/>
              </w:rPr>
              <w:t>t</w:t>
            </w:r>
            <w:r>
              <w:rPr>
                <w:color w:val="C45911" w:themeColor="accent2" w:themeShade="BF"/>
              </w:rPr>
              <w:t xml:space="preserve"> about the usage of pool covers by the customers. </w:t>
            </w:r>
            <w:r w:rsidR="00B27449">
              <w:rPr>
                <w:color w:val="C45911" w:themeColor="accent2" w:themeShade="BF"/>
              </w:rPr>
              <w:t xml:space="preserve">Furthermore, the disposition is mainly for commercial buildings, with only one measure being for MFm residential. </w:t>
            </w:r>
          </w:p>
          <w:p w14:paraId="7F206FB9" w14:textId="77777777" w:rsidR="006311B7" w:rsidRDefault="006311B7" w:rsidP="006311B7">
            <w:pPr>
              <w:rPr>
                <w:color w:val="C45911" w:themeColor="accent2" w:themeShade="BF"/>
              </w:rPr>
            </w:pPr>
          </w:p>
          <w:p w14:paraId="30F888A7" w14:textId="49063178" w:rsidR="007D1BDD" w:rsidRDefault="006311B7" w:rsidP="006311B7">
            <w:pPr>
              <w:rPr>
                <w:color w:val="C45911" w:themeColor="accent2" w:themeShade="BF"/>
              </w:rPr>
            </w:pPr>
            <w:r>
              <w:rPr>
                <w:color w:val="C45911" w:themeColor="accent2" w:themeShade="BF"/>
              </w:rPr>
              <w:t xml:space="preserve">The Koeller study was completed only for SFm participants, so it does not show a breakout between SFm and MFm usage. </w:t>
            </w:r>
          </w:p>
          <w:p w14:paraId="0DA4B265" w14:textId="0D46DAF7" w:rsidR="00CB798B" w:rsidRDefault="00CB798B" w:rsidP="006311B7">
            <w:pPr>
              <w:rPr>
                <w:color w:val="C45911" w:themeColor="accent2" w:themeShade="BF"/>
              </w:rPr>
            </w:pPr>
          </w:p>
          <w:p w14:paraId="724ADCEA" w14:textId="139C43EB" w:rsidR="00CB798B" w:rsidRDefault="00CB798B" w:rsidP="006311B7">
            <w:pPr>
              <w:rPr>
                <w:color w:val="C45911" w:themeColor="accent2" w:themeShade="BF"/>
              </w:rPr>
            </w:pPr>
            <w:r>
              <w:rPr>
                <w:color w:val="C45911" w:themeColor="accent2" w:themeShade="BF"/>
              </w:rPr>
              <w:t xml:space="preserve">The Pool Cover Impact Evaluation (2015) for the non-residential pool program includes some site data about the pool covers installed by the </w:t>
            </w:r>
            <w:r w:rsidR="00CA5DEE">
              <w:rPr>
                <w:color w:val="C45911" w:themeColor="accent2" w:themeShade="BF"/>
              </w:rPr>
              <w:t>program, i</w:t>
            </w:r>
            <w:r>
              <w:rPr>
                <w:color w:val="C45911" w:themeColor="accent2" w:themeShade="BF"/>
              </w:rPr>
              <w:t xml:space="preserve">ncluding the types of covers used. Also, its was noted that for all the sites audited the pool covers were in operation. However, the findings may be skewed as the participants were expecting the auditor. Furthermore, as this is for </w:t>
            </w:r>
            <w:r w:rsidR="00B27449">
              <w:rPr>
                <w:color w:val="C45911" w:themeColor="accent2" w:themeShade="BF"/>
              </w:rPr>
              <w:t xml:space="preserve">the </w:t>
            </w:r>
            <w:r>
              <w:rPr>
                <w:color w:val="C45911" w:themeColor="accent2" w:themeShade="BF"/>
              </w:rPr>
              <w:t xml:space="preserve">non-residential </w:t>
            </w:r>
            <w:r w:rsidR="00B27449">
              <w:rPr>
                <w:color w:val="C45911" w:themeColor="accent2" w:themeShade="BF"/>
              </w:rPr>
              <w:t xml:space="preserve">sector, it may not represent the building types in this sector. </w:t>
            </w:r>
          </w:p>
          <w:p w14:paraId="6865C87A" w14:textId="6CE63B67" w:rsidR="00CB798B" w:rsidRDefault="00CB798B" w:rsidP="006311B7">
            <w:pPr>
              <w:rPr>
                <w:color w:val="C45911" w:themeColor="accent2" w:themeShade="BF"/>
              </w:rPr>
            </w:pPr>
          </w:p>
          <w:p w14:paraId="5781BEA0" w14:textId="05449416" w:rsidR="00CA5DEE" w:rsidRDefault="00CA5DEE" w:rsidP="006311B7">
            <w:pPr>
              <w:rPr>
                <w:color w:val="C45911" w:themeColor="accent2" w:themeShade="BF"/>
              </w:rPr>
            </w:pPr>
            <w:r>
              <w:rPr>
                <w:color w:val="C45911" w:themeColor="accent2" w:themeShade="BF"/>
              </w:rPr>
              <w:t xml:space="preserve">As such, we recommend using the same assumptions for pool cover usage. </w:t>
            </w:r>
          </w:p>
          <w:p w14:paraId="283E73A1" w14:textId="7CB11827" w:rsidR="006311B7" w:rsidRPr="00FD52B7" w:rsidRDefault="006311B7" w:rsidP="00B27449">
            <w:pPr>
              <w:rPr>
                <w:b/>
                <w:bCs/>
              </w:rPr>
            </w:pPr>
          </w:p>
        </w:tc>
      </w:tr>
      <w:tr w:rsidR="003034F3" w14:paraId="3E5C2840" w14:textId="77777777" w:rsidTr="004B2408">
        <w:tc>
          <w:tcPr>
            <w:tcW w:w="3415" w:type="dxa"/>
          </w:tcPr>
          <w:p w14:paraId="7506AB86" w14:textId="77777777" w:rsidR="003034F3" w:rsidRDefault="003034F3" w:rsidP="003034F3">
            <w:r>
              <w:lastRenderedPageBreak/>
              <w:t xml:space="preserve">SCG implementation IDs are missing. </w:t>
            </w:r>
          </w:p>
        </w:tc>
        <w:tc>
          <w:tcPr>
            <w:tcW w:w="5935" w:type="dxa"/>
          </w:tcPr>
          <w:p w14:paraId="1BEF1743" w14:textId="184A9A04" w:rsidR="003034F3" w:rsidRDefault="00D31844" w:rsidP="003034F3">
            <w:r>
              <w:t>Not applicable - t</w:t>
            </w:r>
            <w:r w:rsidR="00584179">
              <w:t>his</w:t>
            </w:r>
            <w:r w:rsidR="004E30E6">
              <w:t xml:space="preserve"> is a fuel substitution offering</w:t>
            </w:r>
          </w:p>
        </w:tc>
      </w:tr>
      <w:tr w:rsidR="003034F3" w14:paraId="69088986" w14:textId="77777777" w:rsidTr="004B2408">
        <w:tc>
          <w:tcPr>
            <w:tcW w:w="3415" w:type="dxa"/>
          </w:tcPr>
          <w:p w14:paraId="708100F4" w14:textId="77777777" w:rsidR="003034F3" w:rsidRDefault="003034F3" w:rsidP="003034F3">
            <w:r w:rsidRPr="00BB0A7F">
              <w:rPr>
                <w:color w:val="0070C0"/>
              </w:rPr>
              <w:t>Will the pool pump need to run at full load a longer time if the input from the heater is lower?  If not, explain why not.</w:t>
            </w:r>
          </w:p>
        </w:tc>
        <w:tc>
          <w:tcPr>
            <w:tcW w:w="5935" w:type="dxa"/>
          </w:tcPr>
          <w:p w14:paraId="76677009" w14:textId="69040D63" w:rsidR="00930427" w:rsidRDefault="00930427" w:rsidP="00176508">
            <w:r>
              <w:t xml:space="preserve">Based </w:t>
            </w:r>
            <w:r w:rsidR="00BA0DCA">
              <w:t xml:space="preserve">hourly savings </w:t>
            </w:r>
            <w:r>
              <w:t>calc</w:t>
            </w:r>
            <w:r w:rsidR="005602E1">
              <w:t>ulations</w:t>
            </w:r>
            <w:r w:rsidR="00FD52B7">
              <w:t xml:space="preserve">, </w:t>
            </w:r>
            <w:r>
              <w:t>the HP Pool heater</w:t>
            </w:r>
            <w:r w:rsidR="00FD52B7">
              <w:t xml:space="preserve"> is expected to operate </w:t>
            </w:r>
            <w:r w:rsidR="00D31844">
              <w:t>(</w:t>
            </w:r>
            <w:r w:rsidR="00FD52B7">
              <w:t xml:space="preserve">on </w:t>
            </w:r>
            <w:r w:rsidR="005602E1" w:rsidRPr="00702706">
              <w:t>average</w:t>
            </w:r>
            <w:r w:rsidR="00D31844" w:rsidRPr="00702706">
              <w:t>)</w:t>
            </w:r>
            <w:r w:rsidR="005602E1" w:rsidRPr="00702706">
              <w:t xml:space="preserve"> 3.7 </w:t>
            </w:r>
            <w:r w:rsidRPr="00702706">
              <w:t>hours</w:t>
            </w:r>
            <w:r w:rsidR="00FD52B7" w:rsidRPr="00702706">
              <w:t xml:space="preserve"> </w:t>
            </w:r>
            <w:r w:rsidR="005602E1" w:rsidRPr="00702706">
              <w:t>more for SFm pools and 9 hours more for MFm-Cmn pools</w:t>
            </w:r>
            <w:r w:rsidR="0056637E" w:rsidRPr="00702706">
              <w:t xml:space="preserve"> per year for the worst case scenario of pools with no cover</w:t>
            </w:r>
            <w:r w:rsidR="005602E1" w:rsidRPr="00702706">
              <w:t>. (see tables on next page)</w:t>
            </w:r>
          </w:p>
          <w:p w14:paraId="7310D41E" w14:textId="77777777" w:rsidR="00930427" w:rsidRDefault="00930427" w:rsidP="003034F3"/>
          <w:p w14:paraId="2CA78152" w14:textId="54EA2876" w:rsidR="00BA0DCA" w:rsidRDefault="00176508" w:rsidP="00176508">
            <w:r>
              <w:t>After conducting</w:t>
            </w:r>
            <w:r w:rsidR="007B6C06">
              <w:t xml:space="preserve"> research for </w:t>
            </w:r>
            <w:r w:rsidR="005602E1">
              <w:t xml:space="preserve">a sampling of </w:t>
            </w:r>
            <w:r w:rsidR="007B6C06">
              <w:t>HP and gas models,</w:t>
            </w:r>
            <w:r w:rsidR="00D31844">
              <w:t xml:space="preserve"> and equipment specifications,</w:t>
            </w:r>
            <w:r w:rsidR="007B6C06">
              <w:t xml:space="preserve"> both types of equipment</w:t>
            </w:r>
            <w:r w:rsidR="00D31844">
              <w:t xml:space="preserve"> seem </w:t>
            </w:r>
            <w:r w:rsidR="00D31844">
              <w:lastRenderedPageBreak/>
              <w:t xml:space="preserve">to </w:t>
            </w:r>
            <w:r w:rsidR="007B6C06">
              <w:t xml:space="preserve">have </w:t>
            </w:r>
            <w:r w:rsidR="00930427">
              <w:t>comparable</w:t>
            </w:r>
            <w:r w:rsidR="007B6C06">
              <w:t xml:space="preserve"> minimum flow requirement</w:t>
            </w:r>
            <w:r w:rsidR="00930427">
              <w:t xml:space="preserve">s. </w:t>
            </w:r>
            <w:r>
              <w:t>The h</w:t>
            </w:r>
            <w:r w:rsidR="00930427">
              <w:t xml:space="preserve">eater systems would need to </w:t>
            </w:r>
            <w:r>
              <w:t xml:space="preserve">either </w:t>
            </w:r>
            <w:r w:rsidR="00930427">
              <w:t>interlock with the pumps</w:t>
            </w:r>
            <w:r>
              <w:t>,</w:t>
            </w:r>
            <w:r w:rsidR="00930427">
              <w:t xml:space="preserve"> </w:t>
            </w:r>
            <w:r>
              <w:t xml:space="preserve">automatically </w:t>
            </w:r>
            <w:r w:rsidR="00930427">
              <w:t xml:space="preserve">shut off </w:t>
            </w:r>
            <w:r>
              <w:t xml:space="preserve">the heaters </w:t>
            </w:r>
            <w:r w:rsidR="00930427">
              <w:t xml:space="preserve">below a minimum flow, or the pumps would need to </w:t>
            </w:r>
            <w:r w:rsidR="00E93F16">
              <w:t xml:space="preserve">be </w:t>
            </w:r>
            <w:r w:rsidR="00930427">
              <w:t xml:space="preserve">programmed to operate at the </w:t>
            </w:r>
            <w:r>
              <w:t>heater</w:t>
            </w:r>
            <w:r w:rsidR="00930427">
              <w:t xml:space="preserve"> minimum flow.</w:t>
            </w:r>
            <w:r w:rsidR="00D31844">
              <w:t xml:space="preserve"> </w:t>
            </w:r>
            <w:r w:rsidR="00930427">
              <w:t xml:space="preserve"> </w:t>
            </w:r>
          </w:p>
          <w:p w14:paraId="6AF02FCA" w14:textId="77777777" w:rsidR="00930427" w:rsidRDefault="00930427" w:rsidP="00930427">
            <w:pPr>
              <w:pStyle w:val="ListParagraph"/>
            </w:pPr>
          </w:p>
          <w:p w14:paraId="200E8B73" w14:textId="4BF8E908" w:rsidR="007B6C06" w:rsidRDefault="00176508" w:rsidP="003034F3">
            <w:r>
              <w:t>S</w:t>
            </w:r>
            <w:r w:rsidR="00930427">
              <w:t xml:space="preserve">ince both HP and gas heaters have similar operating requirements, and HPs only operate </w:t>
            </w:r>
            <w:r w:rsidR="005602E1">
              <w:t xml:space="preserve">at most </w:t>
            </w:r>
            <w:r>
              <w:t>25 hours per year (</w:t>
            </w:r>
            <w:r w:rsidR="005602E1">
              <w:t>&lt;4%</w:t>
            </w:r>
            <w:r>
              <w:t>)</w:t>
            </w:r>
            <w:r w:rsidR="00930427">
              <w:t xml:space="preserve">, </w:t>
            </w:r>
            <w:r w:rsidR="00BA0DCA">
              <w:t>the</w:t>
            </w:r>
            <w:r w:rsidR="00930427">
              <w:t xml:space="preserve"> impact to pool pump operation </w:t>
            </w:r>
            <w:r>
              <w:t xml:space="preserve">and energy consumption </w:t>
            </w:r>
            <w:r w:rsidR="00930427">
              <w:t xml:space="preserve">is assumed to be negligible. </w:t>
            </w:r>
          </w:p>
        </w:tc>
      </w:tr>
      <w:tr w:rsidR="003034F3" w14:paraId="158F34AE" w14:textId="77777777" w:rsidTr="004B2408">
        <w:tc>
          <w:tcPr>
            <w:tcW w:w="3415" w:type="dxa"/>
          </w:tcPr>
          <w:p w14:paraId="0790D637" w14:textId="77777777" w:rsidR="003034F3" w:rsidRPr="00BB0A7F" w:rsidRDefault="003034F3" w:rsidP="003034F3">
            <w:pPr>
              <w:rPr>
                <w:color w:val="0070C0"/>
              </w:rPr>
            </w:pPr>
            <w:r>
              <w:rPr>
                <w:color w:val="0070C0"/>
              </w:rPr>
              <w:lastRenderedPageBreak/>
              <w:t>p. 11 talks about the “commercial building type” but elsewhere it seems that this workpaper is primarily for residential.</w:t>
            </w:r>
          </w:p>
        </w:tc>
        <w:tc>
          <w:tcPr>
            <w:tcW w:w="5935" w:type="dxa"/>
          </w:tcPr>
          <w:p w14:paraId="5A76AB1C" w14:textId="4830DE84" w:rsidR="003034F3" w:rsidRDefault="007B6C06" w:rsidP="003034F3">
            <w:r>
              <w:t>We have updated language in this section to more generally refer to “CPUC sponsored saturation studies</w:t>
            </w:r>
            <w:r w:rsidR="00B557AB">
              <w:t xml:space="preserve">” and removed “commercial” when referring to building types. </w:t>
            </w:r>
          </w:p>
        </w:tc>
      </w:tr>
      <w:tr w:rsidR="004E4C78" w14:paraId="74F09F59" w14:textId="77777777" w:rsidTr="004B2408">
        <w:tc>
          <w:tcPr>
            <w:tcW w:w="3415" w:type="dxa"/>
          </w:tcPr>
          <w:p w14:paraId="15DB7C3F" w14:textId="25797C85" w:rsidR="004E4C78" w:rsidRDefault="004E4C78" w:rsidP="003034F3">
            <w:pPr>
              <w:rPr>
                <w:color w:val="0070C0"/>
              </w:rPr>
            </w:pPr>
            <w:r>
              <w:rPr>
                <w:color w:val="4472C4" w:themeColor="accent1"/>
              </w:rPr>
              <w:t xml:space="preserve">SCE additional comments 6/23: </w:t>
            </w:r>
          </w:p>
        </w:tc>
        <w:tc>
          <w:tcPr>
            <w:tcW w:w="5935" w:type="dxa"/>
          </w:tcPr>
          <w:p w14:paraId="5726F3D4" w14:textId="044F2563" w:rsidR="004E4C78" w:rsidRPr="004E4C78" w:rsidRDefault="004E4C78" w:rsidP="003034F3">
            <w:pPr>
              <w:rPr>
                <w:color w:val="4472C4" w:themeColor="accent1"/>
              </w:rPr>
            </w:pPr>
            <w:r w:rsidRPr="004E4C78">
              <w:rPr>
                <w:color w:val="4472C4" w:themeColor="accent1"/>
              </w:rPr>
              <w:t>SCE will add the following language to the workpaper with addendum</w:t>
            </w:r>
            <w:r w:rsidR="004B2408">
              <w:rPr>
                <w:color w:val="4472C4" w:themeColor="accent1"/>
              </w:rPr>
              <w:t xml:space="preserve"> </w:t>
            </w:r>
            <w:r w:rsidRPr="004E4C78">
              <w:rPr>
                <w:color w:val="4472C4" w:themeColor="accent1"/>
              </w:rPr>
              <w:t xml:space="preserve">based on dispositions for SWWH025. </w:t>
            </w:r>
          </w:p>
          <w:p w14:paraId="75541972" w14:textId="77777777" w:rsidR="004B2408" w:rsidRDefault="004B2408" w:rsidP="004B2408">
            <w:pPr>
              <w:rPr>
                <w:color w:val="4472C4" w:themeColor="accent1"/>
              </w:rPr>
            </w:pPr>
          </w:p>
          <w:p w14:paraId="101C8CFA" w14:textId="6B59F68B" w:rsidR="004E4C78" w:rsidRPr="004B2408" w:rsidRDefault="004E4C78" w:rsidP="004B2408">
            <w:pPr>
              <w:rPr>
                <w:b/>
                <w:bCs/>
                <w:color w:val="4472C4" w:themeColor="accent1"/>
              </w:rPr>
            </w:pPr>
            <w:r w:rsidRPr="004B2408">
              <w:rPr>
                <w:b/>
                <w:bCs/>
                <w:color w:val="4472C4" w:themeColor="accent1"/>
              </w:rPr>
              <w:t xml:space="preserve">Existing Workpaper Incentive Requirements </w:t>
            </w:r>
          </w:p>
          <w:p w14:paraId="463FDD14" w14:textId="77777777" w:rsidR="004B2408" w:rsidRDefault="004B2408" w:rsidP="004B2408">
            <w:pPr>
              <w:rPr>
                <w:color w:val="4472C4" w:themeColor="accent1"/>
              </w:rPr>
            </w:pPr>
            <w:bookmarkStart w:id="1" w:name="_Hlk75510316"/>
          </w:p>
          <w:p w14:paraId="325910F0" w14:textId="36611A6F" w:rsidR="004E4C78" w:rsidRPr="004B2408" w:rsidRDefault="004E4C78" w:rsidP="004B2408">
            <w:pPr>
              <w:rPr>
                <w:color w:val="4472C4" w:themeColor="accent1"/>
              </w:rPr>
            </w:pPr>
            <w:r w:rsidRPr="004B2408">
              <w:rPr>
                <w:color w:val="4472C4" w:themeColor="accent1"/>
              </w:rPr>
              <w:t>Deployment of the program may require rebates or financial incentives to participants that exceed the Incremental Measure Cost (IMC). Incentives or rebates that exceed the incremental cost for a measure must be justified by individual PAs and/or third-party implemented programs as applicable and for each instance in addendum to workpaper submissions to document program implementation practice prior to program implementation.</w:t>
            </w:r>
          </w:p>
          <w:bookmarkEnd w:id="1"/>
          <w:p w14:paraId="203A3ADB" w14:textId="4B53566A" w:rsidR="004E4C78" w:rsidRDefault="004E4C78" w:rsidP="003034F3"/>
        </w:tc>
      </w:tr>
    </w:tbl>
    <w:p w14:paraId="32EA7458" w14:textId="741DDF2F" w:rsidR="003034F3" w:rsidRDefault="003034F3" w:rsidP="003034F3">
      <w:r>
        <w:t>CPUC Review Date: 04/14/2021</w:t>
      </w:r>
    </w:p>
    <w:p w14:paraId="677E323A" w14:textId="77777777" w:rsidR="003034F3" w:rsidRDefault="003034F3" w:rsidP="003034F3">
      <w:pPr>
        <w:spacing w:after="0"/>
      </w:pPr>
      <w:r w:rsidRPr="00047FC1">
        <w:t>Please note response</w:t>
      </w:r>
      <w:r>
        <w:t>s</w:t>
      </w:r>
      <w:r w:rsidRPr="00047FC1">
        <w:t xml:space="preserve"> to comments in the table</w:t>
      </w:r>
      <w:r>
        <w:t xml:space="preserve"> below</w:t>
      </w:r>
      <w:r w:rsidRPr="00047FC1">
        <w:t xml:space="preserve">, revise workpaper, and upload </w:t>
      </w:r>
      <w:r>
        <w:t xml:space="preserve">the entire package </w:t>
      </w:r>
      <w:r w:rsidRPr="00047FC1">
        <w:t xml:space="preserve">to the WPA. If needed, please reach out to </w:t>
      </w:r>
      <w:r>
        <w:t>Workpaper Review T</w:t>
      </w:r>
      <w:r w:rsidRPr="00047FC1">
        <w:t>eam to set up a call to discuss.</w:t>
      </w:r>
    </w:p>
    <w:p w14:paraId="24F7820D" w14:textId="77777777" w:rsidR="00F11C80" w:rsidRDefault="00F11C80" w:rsidP="003034F3">
      <w:pPr>
        <w:rPr>
          <w:b/>
          <w:bCs/>
          <w:u w:val="single"/>
        </w:rPr>
      </w:pPr>
    </w:p>
    <w:p w14:paraId="72C6D87B" w14:textId="0A84D54C" w:rsidR="00047FC1" w:rsidRPr="005602E1" w:rsidRDefault="00702706" w:rsidP="003034F3">
      <w:pPr>
        <w:rPr>
          <w:b/>
          <w:bCs/>
          <w:u w:val="single"/>
        </w:rPr>
      </w:pPr>
      <w:r>
        <w:rPr>
          <w:b/>
          <w:bCs/>
          <w:u w:val="single"/>
        </w:rPr>
        <w:t>Attachments</w:t>
      </w:r>
    </w:p>
    <w:p w14:paraId="48315E0A" w14:textId="3348BA07" w:rsidR="005602E1" w:rsidRDefault="005602E1" w:rsidP="003034F3">
      <w:r>
        <w:object w:dxaOrig="1525" w:dyaOrig="993" w14:anchorId="0867B4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3pt;height:49.7pt" o:ole="">
            <v:imagedata r:id="rId14" o:title=""/>
          </v:shape>
          <o:OLEObject Type="Embed" ProgID="Acrobat.Document.2020" ShapeID="_x0000_i1025" DrawAspect="Icon" ObjectID="_1686725230" r:id="rId15"/>
        </w:object>
      </w:r>
      <w:r w:rsidR="00702706">
        <w:tab/>
      </w:r>
      <w:r w:rsidR="00702706">
        <w:object w:dxaOrig="1525" w:dyaOrig="993" w14:anchorId="574EDB2B">
          <v:shape id="_x0000_i1026" type="#_x0000_t75" style="width:76.3pt;height:49.7pt" o:ole="">
            <v:imagedata r:id="rId16" o:title=""/>
          </v:shape>
          <o:OLEObject Type="Embed" ProgID="Excel.Sheet.12" ShapeID="_x0000_i1026" DrawAspect="Icon" ObjectID="_1686725231" r:id="rId17"/>
        </w:object>
      </w:r>
      <w:r w:rsidR="00702706">
        <w:tab/>
      </w:r>
      <w:r w:rsidR="00702706">
        <w:object w:dxaOrig="1525" w:dyaOrig="993" w14:anchorId="08155D09">
          <v:shape id="_x0000_i1027" type="#_x0000_t75" style="width:76.3pt;height:49.7pt" o:ole="">
            <v:imagedata r:id="rId18" o:title=""/>
          </v:shape>
          <o:OLEObject Type="Embed" ProgID="Excel.Sheet.12" ShapeID="_x0000_i1027" DrawAspect="Icon" ObjectID="_1686725232" r:id="rId19"/>
        </w:object>
      </w:r>
    </w:p>
    <w:p w14:paraId="54778DD5" w14:textId="77777777" w:rsidR="005602E1" w:rsidRDefault="005602E1" w:rsidP="003034F3"/>
    <w:p w14:paraId="567AB944" w14:textId="229FC40D" w:rsidR="00A34771" w:rsidRPr="00A34771" w:rsidRDefault="00A34771" w:rsidP="003034F3">
      <w:pPr>
        <w:rPr>
          <w:b/>
          <w:bCs/>
          <w:u w:val="single"/>
        </w:rPr>
      </w:pPr>
      <w:r w:rsidRPr="00A34771">
        <w:rPr>
          <w:b/>
          <w:bCs/>
          <w:u w:val="single"/>
        </w:rPr>
        <w:t xml:space="preserve">Comparison of </w:t>
      </w:r>
      <w:r w:rsidR="0056637E">
        <w:rPr>
          <w:b/>
          <w:bCs/>
          <w:u w:val="single"/>
        </w:rPr>
        <w:t xml:space="preserve">Annual </w:t>
      </w:r>
      <w:r w:rsidRPr="00A34771">
        <w:rPr>
          <w:b/>
          <w:bCs/>
          <w:u w:val="single"/>
        </w:rPr>
        <w:t>Run Hours</w:t>
      </w:r>
    </w:p>
    <w:tbl>
      <w:tblPr>
        <w:tblW w:w="7750" w:type="dxa"/>
        <w:tblLook w:val="04A0" w:firstRow="1" w:lastRow="0" w:firstColumn="1" w:lastColumn="0" w:noHBand="0" w:noVBand="1"/>
      </w:tblPr>
      <w:tblGrid>
        <w:gridCol w:w="2700"/>
        <w:gridCol w:w="1300"/>
        <w:gridCol w:w="1360"/>
        <w:gridCol w:w="1195"/>
        <w:gridCol w:w="1195"/>
      </w:tblGrid>
      <w:tr w:rsidR="00B557AB" w:rsidRPr="00A34771" w14:paraId="43BDDB04" w14:textId="7CDFF15F" w:rsidTr="00D04232">
        <w:trPr>
          <w:trHeight w:val="528"/>
        </w:trPr>
        <w:tc>
          <w:tcPr>
            <w:tcW w:w="2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E41CE46" w14:textId="66292577" w:rsidR="00B557AB" w:rsidRPr="00A34771" w:rsidRDefault="00B557AB" w:rsidP="00B557AB">
            <w:pPr>
              <w:spacing w:after="0" w:line="240" w:lineRule="auto"/>
              <w:rPr>
                <w:rFonts w:ascii="Arial" w:eastAsia="Times New Roman" w:hAnsi="Arial" w:cs="Arial"/>
                <w:b/>
                <w:bCs/>
                <w:sz w:val="20"/>
                <w:szCs w:val="20"/>
              </w:rPr>
            </w:pPr>
            <w:r>
              <w:rPr>
                <w:rFonts w:ascii="Arial" w:eastAsia="Times New Roman" w:hAnsi="Arial" w:cs="Arial"/>
                <w:b/>
                <w:bCs/>
                <w:sz w:val="20"/>
                <w:szCs w:val="20"/>
              </w:rPr>
              <w:t>SFm Measure</w:t>
            </w:r>
          </w:p>
        </w:tc>
        <w:tc>
          <w:tcPr>
            <w:tcW w:w="130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D932F25" w14:textId="77777777" w:rsidR="00B557AB" w:rsidRPr="00A34771" w:rsidRDefault="00B557AB" w:rsidP="00B557AB">
            <w:pPr>
              <w:spacing w:after="0" w:line="240" w:lineRule="auto"/>
              <w:rPr>
                <w:rFonts w:ascii="Arial" w:eastAsia="Times New Roman" w:hAnsi="Arial" w:cs="Arial"/>
                <w:b/>
                <w:bCs/>
                <w:sz w:val="20"/>
                <w:szCs w:val="20"/>
              </w:rPr>
            </w:pPr>
            <w:r w:rsidRPr="00A34771">
              <w:rPr>
                <w:rFonts w:ascii="Arial" w:eastAsia="Times New Roman" w:hAnsi="Arial" w:cs="Arial"/>
                <w:b/>
                <w:bCs/>
                <w:sz w:val="20"/>
                <w:szCs w:val="20"/>
              </w:rPr>
              <w:t>Baseline Run Hours</w:t>
            </w:r>
          </w:p>
        </w:tc>
        <w:tc>
          <w:tcPr>
            <w:tcW w:w="1360" w:type="dxa"/>
            <w:tcBorders>
              <w:top w:val="single" w:sz="4" w:space="0" w:color="auto"/>
              <w:left w:val="nil"/>
              <w:bottom w:val="single" w:sz="4" w:space="0" w:color="auto"/>
              <w:right w:val="single" w:sz="4" w:space="0" w:color="auto"/>
            </w:tcBorders>
            <w:shd w:val="clear" w:color="auto" w:fill="auto"/>
            <w:vAlign w:val="bottom"/>
            <w:hideMark/>
          </w:tcPr>
          <w:p w14:paraId="32845E82" w14:textId="77777777" w:rsidR="00B557AB" w:rsidRPr="00A34771" w:rsidRDefault="00B557AB" w:rsidP="00B557AB">
            <w:pPr>
              <w:spacing w:after="0" w:line="240" w:lineRule="auto"/>
              <w:rPr>
                <w:rFonts w:ascii="Arial" w:eastAsia="Times New Roman" w:hAnsi="Arial" w:cs="Arial"/>
                <w:b/>
                <w:bCs/>
                <w:sz w:val="20"/>
                <w:szCs w:val="20"/>
              </w:rPr>
            </w:pPr>
            <w:r w:rsidRPr="00A34771">
              <w:rPr>
                <w:rFonts w:ascii="Arial" w:eastAsia="Times New Roman" w:hAnsi="Arial" w:cs="Arial"/>
                <w:b/>
                <w:bCs/>
                <w:sz w:val="20"/>
                <w:szCs w:val="20"/>
              </w:rPr>
              <w:t>Measure Run Hours</w:t>
            </w:r>
          </w:p>
        </w:tc>
        <w:tc>
          <w:tcPr>
            <w:tcW w:w="1195" w:type="dxa"/>
            <w:tcBorders>
              <w:top w:val="single" w:sz="4" w:space="0" w:color="auto"/>
              <w:left w:val="nil"/>
              <w:bottom w:val="single" w:sz="4" w:space="0" w:color="auto"/>
              <w:right w:val="single" w:sz="4" w:space="0" w:color="auto"/>
            </w:tcBorders>
            <w:shd w:val="clear" w:color="auto" w:fill="auto"/>
            <w:vAlign w:val="bottom"/>
            <w:hideMark/>
          </w:tcPr>
          <w:p w14:paraId="1B2A6052" w14:textId="581BB6DF" w:rsidR="00B557AB" w:rsidRPr="00A34771" w:rsidRDefault="00BA0DCA" w:rsidP="00B557AB">
            <w:pPr>
              <w:spacing w:after="0" w:line="240" w:lineRule="auto"/>
              <w:rPr>
                <w:rFonts w:ascii="Arial" w:eastAsia="Times New Roman" w:hAnsi="Arial" w:cs="Arial"/>
                <w:b/>
                <w:bCs/>
                <w:sz w:val="20"/>
                <w:szCs w:val="20"/>
              </w:rPr>
            </w:pPr>
            <w:r>
              <w:rPr>
                <w:rFonts w:ascii="Arial" w:eastAsia="Times New Roman" w:hAnsi="Arial" w:cs="Arial"/>
                <w:b/>
                <w:bCs/>
                <w:sz w:val="20"/>
                <w:szCs w:val="20"/>
              </w:rPr>
              <w:t xml:space="preserve">Average </w:t>
            </w:r>
            <w:r w:rsidR="00B557AB" w:rsidRPr="00A34771">
              <w:rPr>
                <w:rFonts w:ascii="Arial" w:eastAsia="Times New Roman" w:hAnsi="Arial" w:cs="Arial"/>
                <w:b/>
                <w:bCs/>
                <w:sz w:val="20"/>
                <w:szCs w:val="20"/>
              </w:rPr>
              <w:t>Hours Difference</w:t>
            </w:r>
          </w:p>
        </w:tc>
        <w:tc>
          <w:tcPr>
            <w:tcW w:w="1195" w:type="dxa"/>
            <w:tcBorders>
              <w:top w:val="single" w:sz="4" w:space="0" w:color="auto"/>
              <w:left w:val="nil"/>
              <w:bottom w:val="single" w:sz="4" w:space="0" w:color="auto"/>
              <w:right w:val="single" w:sz="4" w:space="0" w:color="auto"/>
            </w:tcBorders>
            <w:vAlign w:val="bottom"/>
          </w:tcPr>
          <w:p w14:paraId="363BBEA0" w14:textId="5F6B6E81" w:rsidR="00B557AB" w:rsidRPr="00A34771" w:rsidRDefault="00B557AB" w:rsidP="00B557AB">
            <w:pPr>
              <w:spacing w:after="0" w:line="240" w:lineRule="auto"/>
              <w:rPr>
                <w:rFonts w:ascii="Arial" w:eastAsia="Times New Roman" w:hAnsi="Arial" w:cs="Arial"/>
                <w:b/>
                <w:bCs/>
                <w:sz w:val="20"/>
                <w:szCs w:val="20"/>
              </w:rPr>
            </w:pPr>
            <w:r>
              <w:rPr>
                <w:rFonts w:ascii="Arial" w:hAnsi="Arial" w:cs="Arial"/>
                <w:b/>
                <w:bCs/>
                <w:sz w:val="20"/>
                <w:szCs w:val="20"/>
              </w:rPr>
              <w:t>Hours Percent</w:t>
            </w:r>
          </w:p>
        </w:tc>
      </w:tr>
      <w:tr w:rsidR="00B557AB" w:rsidRPr="00A34771" w14:paraId="2EDBE5C4" w14:textId="2D0CD65E" w:rsidTr="00D04232">
        <w:trPr>
          <w:trHeight w:val="264"/>
        </w:trPr>
        <w:tc>
          <w:tcPr>
            <w:tcW w:w="2700" w:type="dxa"/>
            <w:tcBorders>
              <w:top w:val="nil"/>
              <w:left w:val="single" w:sz="4" w:space="0" w:color="auto"/>
              <w:bottom w:val="single" w:sz="4" w:space="0" w:color="auto"/>
              <w:right w:val="single" w:sz="4" w:space="0" w:color="auto"/>
            </w:tcBorders>
            <w:shd w:val="clear" w:color="auto" w:fill="auto"/>
            <w:noWrap/>
            <w:vAlign w:val="bottom"/>
          </w:tcPr>
          <w:p w14:paraId="65880F41" w14:textId="7EDDEBA9" w:rsidR="00B557AB" w:rsidRPr="00A34771" w:rsidRDefault="00B557AB" w:rsidP="00B557AB">
            <w:pPr>
              <w:spacing w:after="0" w:line="240" w:lineRule="auto"/>
              <w:rPr>
                <w:rFonts w:ascii="Arial" w:eastAsia="Times New Roman" w:hAnsi="Arial" w:cs="Arial"/>
                <w:b/>
                <w:bCs/>
                <w:sz w:val="20"/>
                <w:szCs w:val="20"/>
              </w:rPr>
            </w:pPr>
            <w:r>
              <w:rPr>
                <w:rFonts w:ascii="Arial" w:eastAsia="Times New Roman" w:hAnsi="Arial" w:cs="Arial"/>
                <w:b/>
                <w:bCs/>
                <w:sz w:val="20"/>
                <w:szCs w:val="20"/>
              </w:rPr>
              <w:t>No Pool Cover</w:t>
            </w:r>
          </w:p>
        </w:tc>
        <w:tc>
          <w:tcPr>
            <w:tcW w:w="1300" w:type="dxa"/>
            <w:tcBorders>
              <w:top w:val="nil"/>
              <w:left w:val="single" w:sz="4" w:space="0" w:color="auto"/>
              <w:bottom w:val="single" w:sz="4" w:space="0" w:color="auto"/>
              <w:right w:val="single" w:sz="4" w:space="0" w:color="auto"/>
            </w:tcBorders>
            <w:shd w:val="clear" w:color="auto" w:fill="auto"/>
            <w:vAlign w:val="bottom"/>
            <w:hideMark/>
          </w:tcPr>
          <w:p w14:paraId="2FBE128C" w14:textId="77777777" w:rsidR="00B557AB" w:rsidRPr="00A34771" w:rsidRDefault="00B557AB" w:rsidP="00B557AB">
            <w:pPr>
              <w:spacing w:after="0" w:line="240" w:lineRule="auto"/>
              <w:jc w:val="right"/>
              <w:rPr>
                <w:rFonts w:ascii="Arial" w:eastAsia="Times New Roman" w:hAnsi="Arial" w:cs="Arial"/>
                <w:sz w:val="20"/>
                <w:szCs w:val="20"/>
              </w:rPr>
            </w:pPr>
            <w:r w:rsidRPr="00A34771">
              <w:rPr>
                <w:rFonts w:ascii="Arial" w:eastAsia="Times New Roman" w:hAnsi="Arial" w:cs="Arial"/>
                <w:sz w:val="20"/>
                <w:szCs w:val="20"/>
              </w:rPr>
              <w:t>744.8</w:t>
            </w:r>
          </w:p>
        </w:tc>
        <w:tc>
          <w:tcPr>
            <w:tcW w:w="1360" w:type="dxa"/>
            <w:tcBorders>
              <w:top w:val="nil"/>
              <w:left w:val="nil"/>
              <w:bottom w:val="single" w:sz="4" w:space="0" w:color="auto"/>
              <w:right w:val="single" w:sz="4" w:space="0" w:color="auto"/>
            </w:tcBorders>
            <w:shd w:val="clear" w:color="auto" w:fill="auto"/>
            <w:vAlign w:val="bottom"/>
            <w:hideMark/>
          </w:tcPr>
          <w:p w14:paraId="29DA47D9" w14:textId="77777777" w:rsidR="00B557AB" w:rsidRPr="00A34771" w:rsidRDefault="00B557AB" w:rsidP="00B557AB">
            <w:pPr>
              <w:spacing w:after="0" w:line="240" w:lineRule="auto"/>
              <w:jc w:val="right"/>
              <w:rPr>
                <w:rFonts w:ascii="Arial" w:eastAsia="Times New Roman" w:hAnsi="Arial" w:cs="Arial"/>
                <w:sz w:val="20"/>
                <w:szCs w:val="20"/>
              </w:rPr>
            </w:pPr>
            <w:r w:rsidRPr="00A34771">
              <w:rPr>
                <w:rFonts w:ascii="Arial" w:eastAsia="Times New Roman" w:hAnsi="Arial" w:cs="Arial"/>
                <w:sz w:val="20"/>
                <w:szCs w:val="20"/>
              </w:rPr>
              <w:t>748.5</w:t>
            </w:r>
          </w:p>
        </w:tc>
        <w:tc>
          <w:tcPr>
            <w:tcW w:w="1195" w:type="dxa"/>
            <w:tcBorders>
              <w:top w:val="nil"/>
              <w:left w:val="nil"/>
              <w:bottom w:val="single" w:sz="4" w:space="0" w:color="auto"/>
              <w:right w:val="single" w:sz="4" w:space="0" w:color="auto"/>
            </w:tcBorders>
            <w:shd w:val="clear" w:color="auto" w:fill="auto"/>
            <w:noWrap/>
            <w:vAlign w:val="bottom"/>
            <w:hideMark/>
          </w:tcPr>
          <w:p w14:paraId="36031225" w14:textId="77777777" w:rsidR="00B557AB" w:rsidRPr="00A34771" w:rsidRDefault="00B557AB" w:rsidP="00B557AB">
            <w:pPr>
              <w:spacing w:after="0" w:line="240" w:lineRule="auto"/>
              <w:jc w:val="right"/>
              <w:rPr>
                <w:rFonts w:ascii="Arial" w:eastAsia="Times New Roman" w:hAnsi="Arial" w:cs="Arial"/>
                <w:sz w:val="20"/>
                <w:szCs w:val="20"/>
              </w:rPr>
            </w:pPr>
            <w:r w:rsidRPr="00A34771">
              <w:rPr>
                <w:rFonts w:ascii="Arial" w:eastAsia="Times New Roman" w:hAnsi="Arial" w:cs="Arial"/>
                <w:sz w:val="20"/>
                <w:szCs w:val="20"/>
              </w:rPr>
              <w:t>3.7</w:t>
            </w:r>
          </w:p>
        </w:tc>
        <w:tc>
          <w:tcPr>
            <w:tcW w:w="1195" w:type="dxa"/>
            <w:tcBorders>
              <w:top w:val="nil"/>
              <w:left w:val="nil"/>
              <w:bottom w:val="single" w:sz="4" w:space="0" w:color="auto"/>
              <w:right w:val="single" w:sz="4" w:space="0" w:color="auto"/>
            </w:tcBorders>
            <w:vAlign w:val="bottom"/>
          </w:tcPr>
          <w:p w14:paraId="6088B09C" w14:textId="0D245D92" w:rsidR="00B557AB" w:rsidRPr="00A34771" w:rsidRDefault="00B557AB" w:rsidP="00B557AB">
            <w:pPr>
              <w:spacing w:after="0" w:line="240" w:lineRule="auto"/>
              <w:jc w:val="right"/>
              <w:rPr>
                <w:rFonts w:ascii="Arial" w:eastAsia="Times New Roman" w:hAnsi="Arial" w:cs="Arial"/>
                <w:sz w:val="20"/>
                <w:szCs w:val="20"/>
              </w:rPr>
            </w:pPr>
            <w:r>
              <w:rPr>
                <w:rFonts w:ascii="Arial" w:hAnsi="Arial" w:cs="Arial"/>
                <w:sz w:val="20"/>
                <w:szCs w:val="20"/>
              </w:rPr>
              <w:t>0.53%</w:t>
            </w:r>
          </w:p>
        </w:tc>
      </w:tr>
      <w:tr w:rsidR="00B557AB" w:rsidRPr="00A34771" w14:paraId="42E6298B" w14:textId="76EC300D" w:rsidTr="00D04232">
        <w:trPr>
          <w:trHeight w:val="528"/>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450A5F41" w14:textId="77777777" w:rsidR="00B557AB" w:rsidRPr="00A34771" w:rsidRDefault="00B557AB" w:rsidP="00B557AB">
            <w:pPr>
              <w:spacing w:after="0" w:line="240" w:lineRule="auto"/>
              <w:rPr>
                <w:rFonts w:ascii="Arial" w:eastAsia="Times New Roman" w:hAnsi="Arial" w:cs="Arial"/>
                <w:b/>
                <w:bCs/>
                <w:sz w:val="20"/>
                <w:szCs w:val="20"/>
              </w:rPr>
            </w:pPr>
            <w:r w:rsidRPr="00A34771">
              <w:rPr>
                <w:rFonts w:ascii="Arial" w:eastAsia="Times New Roman" w:hAnsi="Arial" w:cs="Arial"/>
                <w:b/>
                <w:bCs/>
                <w:sz w:val="20"/>
                <w:szCs w:val="20"/>
              </w:rPr>
              <w:lastRenderedPageBreak/>
              <w:t>Climate Zone</w:t>
            </w:r>
          </w:p>
        </w:tc>
        <w:tc>
          <w:tcPr>
            <w:tcW w:w="1300" w:type="dxa"/>
            <w:tcBorders>
              <w:top w:val="nil"/>
              <w:left w:val="single" w:sz="4" w:space="0" w:color="auto"/>
              <w:bottom w:val="single" w:sz="4" w:space="0" w:color="auto"/>
              <w:right w:val="single" w:sz="4" w:space="0" w:color="auto"/>
            </w:tcBorders>
            <w:shd w:val="clear" w:color="auto" w:fill="auto"/>
            <w:vAlign w:val="bottom"/>
            <w:hideMark/>
          </w:tcPr>
          <w:p w14:paraId="39F50C4B" w14:textId="77777777" w:rsidR="00B557AB" w:rsidRPr="00A34771" w:rsidRDefault="00B557AB" w:rsidP="00B557AB">
            <w:pPr>
              <w:spacing w:after="0" w:line="240" w:lineRule="auto"/>
              <w:rPr>
                <w:rFonts w:ascii="Arial" w:eastAsia="Times New Roman" w:hAnsi="Arial" w:cs="Arial"/>
                <w:b/>
                <w:bCs/>
                <w:sz w:val="20"/>
                <w:szCs w:val="20"/>
              </w:rPr>
            </w:pPr>
            <w:r w:rsidRPr="00A34771">
              <w:rPr>
                <w:rFonts w:ascii="Arial" w:eastAsia="Times New Roman" w:hAnsi="Arial" w:cs="Arial"/>
                <w:b/>
                <w:bCs/>
                <w:sz w:val="20"/>
                <w:szCs w:val="20"/>
              </w:rPr>
              <w:t>Baseline Run Hours</w:t>
            </w:r>
          </w:p>
        </w:tc>
        <w:tc>
          <w:tcPr>
            <w:tcW w:w="1360" w:type="dxa"/>
            <w:tcBorders>
              <w:top w:val="nil"/>
              <w:left w:val="nil"/>
              <w:bottom w:val="single" w:sz="4" w:space="0" w:color="auto"/>
              <w:right w:val="single" w:sz="4" w:space="0" w:color="auto"/>
            </w:tcBorders>
            <w:shd w:val="clear" w:color="auto" w:fill="auto"/>
            <w:vAlign w:val="bottom"/>
            <w:hideMark/>
          </w:tcPr>
          <w:p w14:paraId="08E55E42" w14:textId="77777777" w:rsidR="00B557AB" w:rsidRPr="00A34771" w:rsidRDefault="00B557AB" w:rsidP="00B557AB">
            <w:pPr>
              <w:spacing w:after="0" w:line="240" w:lineRule="auto"/>
              <w:rPr>
                <w:rFonts w:ascii="Arial" w:eastAsia="Times New Roman" w:hAnsi="Arial" w:cs="Arial"/>
                <w:b/>
                <w:bCs/>
                <w:sz w:val="20"/>
                <w:szCs w:val="20"/>
              </w:rPr>
            </w:pPr>
            <w:r w:rsidRPr="00A34771">
              <w:rPr>
                <w:rFonts w:ascii="Arial" w:eastAsia="Times New Roman" w:hAnsi="Arial" w:cs="Arial"/>
                <w:b/>
                <w:bCs/>
                <w:sz w:val="20"/>
                <w:szCs w:val="20"/>
              </w:rPr>
              <w:t>Measure Run Hours</w:t>
            </w:r>
          </w:p>
        </w:tc>
        <w:tc>
          <w:tcPr>
            <w:tcW w:w="1195" w:type="dxa"/>
            <w:tcBorders>
              <w:top w:val="nil"/>
              <w:left w:val="nil"/>
              <w:bottom w:val="single" w:sz="4" w:space="0" w:color="auto"/>
              <w:right w:val="single" w:sz="4" w:space="0" w:color="auto"/>
            </w:tcBorders>
            <w:shd w:val="clear" w:color="auto" w:fill="auto"/>
            <w:vAlign w:val="bottom"/>
            <w:hideMark/>
          </w:tcPr>
          <w:p w14:paraId="625DC89D" w14:textId="326782AA" w:rsidR="00B557AB" w:rsidRPr="00A34771" w:rsidRDefault="00B557AB" w:rsidP="00B557AB">
            <w:pPr>
              <w:spacing w:after="0" w:line="240" w:lineRule="auto"/>
              <w:rPr>
                <w:rFonts w:ascii="Arial" w:eastAsia="Times New Roman" w:hAnsi="Arial" w:cs="Arial"/>
                <w:b/>
                <w:bCs/>
                <w:sz w:val="20"/>
                <w:szCs w:val="20"/>
              </w:rPr>
            </w:pPr>
            <w:r w:rsidRPr="00A34771">
              <w:rPr>
                <w:rFonts w:ascii="Arial" w:eastAsia="Times New Roman" w:hAnsi="Arial" w:cs="Arial"/>
                <w:b/>
                <w:bCs/>
                <w:sz w:val="20"/>
                <w:szCs w:val="20"/>
              </w:rPr>
              <w:t>Hours Difference</w:t>
            </w:r>
            <w:r w:rsidR="0056637E">
              <w:rPr>
                <w:rFonts w:ascii="Arial" w:eastAsia="Times New Roman" w:hAnsi="Arial" w:cs="Arial"/>
                <w:b/>
                <w:bCs/>
                <w:sz w:val="20"/>
                <w:szCs w:val="20"/>
              </w:rPr>
              <w:t xml:space="preserve"> from gas baseline per year</w:t>
            </w:r>
          </w:p>
        </w:tc>
        <w:tc>
          <w:tcPr>
            <w:tcW w:w="1195" w:type="dxa"/>
            <w:tcBorders>
              <w:top w:val="nil"/>
              <w:left w:val="nil"/>
              <w:bottom w:val="single" w:sz="4" w:space="0" w:color="auto"/>
              <w:right w:val="single" w:sz="4" w:space="0" w:color="auto"/>
            </w:tcBorders>
            <w:vAlign w:val="bottom"/>
          </w:tcPr>
          <w:p w14:paraId="5DFC6BB1" w14:textId="26D2B7A2" w:rsidR="00B557AB" w:rsidRPr="00A34771" w:rsidRDefault="00B557AB" w:rsidP="00B557AB">
            <w:pPr>
              <w:spacing w:after="0" w:line="240" w:lineRule="auto"/>
              <w:rPr>
                <w:rFonts w:ascii="Arial" w:eastAsia="Times New Roman" w:hAnsi="Arial" w:cs="Arial"/>
                <w:b/>
                <w:bCs/>
                <w:sz w:val="20"/>
                <w:szCs w:val="20"/>
              </w:rPr>
            </w:pPr>
            <w:r>
              <w:rPr>
                <w:rFonts w:ascii="Arial" w:hAnsi="Arial" w:cs="Arial"/>
                <w:b/>
                <w:bCs/>
                <w:sz w:val="20"/>
                <w:szCs w:val="20"/>
              </w:rPr>
              <w:t>Hours Percent</w:t>
            </w:r>
          </w:p>
        </w:tc>
      </w:tr>
      <w:tr w:rsidR="00B557AB" w:rsidRPr="00A34771" w14:paraId="7140AD39" w14:textId="37BC40A4" w:rsidTr="00D04232">
        <w:trPr>
          <w:trHeight w:val="255"/>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12D492AA" w14:textId="77777777" w:rsidR="00B557AB" w:rsidRPr="00A34771" w:rsidRDefault="00B557AB" w:rsidP="00B557AB">
            <w:pPr>
              <w:spacing w:after="0" w:line="240" w:lineRule="auto"/>
              <w:rPr>
                <w:rFonts w:ascii="Arial" w:eastAsia="Times New Roman" w:hAnsi="Arial" w:cs="Arial"/>
                <w:sz w:val="20"/>
                <w:szCs w:val="20"/>
              </w:rPr>
            </w:pPr>
            <w:r w:rsidRPr="00A34771">
              <w:rPr>
                <w:rFonts w:ascii="Arial" w:eastAsia="Times New Roman" w:hAnsi="Arial" w:cs="Arial"/>
                <w:sz w:val="20"/>
                <w:szCs w:val="20"/>
              </w:rPr>
              <w:t>CZ01</w:t>
            </w:r>
          </w:p>
        </w:tc>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000B3D15" w14:textId="77777777" w:rsidR="00B557AB" w:rsidRPr="00A34771" w:rsidRDefault="00B557AB" w:rsidP="00B557AB">
            <w:pPr>
              <w:spacing w:after="0" w:line="240" w:lineRule="auto"/>
              <w:jc w:val="right"/>
              <w:rPr>
                <w:rFonts w:ascii="Arial" w:eastAsia="Times New Roman" w:hAnsi="Arial" w:cs="Arial"/>
                <w:sz w:val="20"/>
                <w:szCs w:val="20"/>
              </w:rPr>
            </w:pPr>
            <w:r w:rsidRPr="00A34771">
              <w:rPr>
                <w:rFonts w:ascii="Arial" w:eastAsia="Times New Roman" w:hAnsi="Arial" w:cs="Arial"/>
                <w:sz w:val="20"/>
                <w:szCs w:val="20"/>
              </w:rPr>
              <w:t>1822</w:t>
            </w:r>
          </w:p>
        </w:tc>
        <w:tc>
          <w:tcPr>
            <w:tcW w:w="1360" w:type="dxa"/>
            <w:tcBorders>
              <w:top w:val="nil"/>
              <w:left w:val="nil"/>
              <w:bottom w:val="single" w:sz="4" w:space="0" w:color="auto"/>
              <w:right w:val="single" w:sz="4" w:space="0" w:color="auto"/>
            </w:tcBorders>
            <w:shd w:val="clear" w:color="auto" w:fill="auto"/>
            <w:noWrap/>
            <w:vAlign w:val="bottom"/>
            <w:hideMark/>
          </w:tcPr>
          <w:p w14:paraId="4A330062" w14:textId="77777777" w:rsidR="00B557AB" w:rsidRPr="00A34771" w:rsidRDefault="00B557AB" w:rsidP="00B557AB">
            <w:pPr>
              <w:spacing w:after="0" w:line="240" w:lineRule="auto"/>
              <w:jc w:val="right"/>
              <w:rPr>
                <w:rFonts w:ascii="Arial" w:eastAsia="Times New Roman" w:hAnsi="Arial" w:cs="Arial"/>
                <w:sz w:val="20"/>
                <w:szCs w:val="20"/>
              </w:rPr>
            </w:pPr>
            <w:r w:rsidRPr="00A34771">
              <w:rPr>
                <w:rFonts w:ascii="Arial" w:eastAsia="Times New Roman" w:hAnsi="Arial" w:cs="Arial"/>
                <w:sz w:val="20"/>
                <w:szCs w:val="20"/>
              </w:rPr>
              <w:t>1825</w:t>
            </w:r>
          </w:p>
        </w:tc>
        <w:tc>
          <w:tcPr>
            <w:tcW w:w="1195" w:type="dxa"/>
            <w:tcBorders>
              <w:top w:val="nil"/>
              <w:left w:val="nil"/>
              <w:bottom w:val="single" w:sz="4" w:space="0" w:color="auto"/>
              <w:right w:val="single" w:sz="4" w:space="0" w:color="auto"/>
            </w:tcBorders>
            <w:shd w:val="clear" w:color="auto" w:fill="auto"/>
            <w:noWrap/>
            <w:vAlign w:val="bottom"/>
            <w:hideMark/>
          </w:tcPr>
          <w:p w14:paraId="21A27A75" w14:textId="77777777" w:rsidR="00B557AB" w:rsidRPr="00A34771" w:rsidRDefault="00B557AB" w:rsidP="00B557AB">
            <w:pPr>
              <w:spacing w:after="0" w:line="240" w:lineRule="auto"/>
              <w:jc w:val="right"/>
              <w:rPr>
                <w:rFonts w:ascii="Arial" w:eastAsia="Times New Roman" w:hAnsi="Arial" w:cs="Arial"/>
                <w:sz w:val="20"/>
                <w:szCs w:val="20"/>
              </w:rPr>
            </w:pPr>
            <w:r w:rsidRPr="00A34771">
              <w:rPr>
                <w:rFonts w:ascii="Arial" w:eastAsia="Times New Roman" w:hAnsi="Arial" w:cs="Arial"/>
                <w:sz w:val="20"/>
                <w:szCs w:val="20"/>
              </w:rPr>
              <w:t>3</w:t>
            </w:r>
          </w:p>
        </w:tc>
        <w:tc>
          <w:tcPr>
            <w:tcW w:w="1195" w:type="dxa"/>
            <w:tcBorders>
              <w:top w:val="nil"/>
              <w:left w:val="nil"/>
              <w:bottom w:val="single" w:sz="4" w:space="0" w:color="auto"/>
              <w:right w:val="single" w:sz="4" w:space="0" w:color="auto"/>
            </w:tcBorders>
            <w:vAlign w:val="bottom"/>
          </w:tcPr>
          <w:p w14:paraId="4C08972A" w14:textId="0F1ED06B" w:rsidR="00B557AB" w:rsidRPr="00A34771" w:rsidRDefault="00B557AB" w:rsidP="00B557AB">
            <w:pPr>
              <w:spacing w:after="0" w:line="240" w:lineRule="auto"/>
              <w:jc w:val="right"/>
              <w:rPr>
                <w:rFonts w:ascii="Arial" w:eastAsia="Times New Roman" w:hAnsi="Arial" w:cs="Arial"/>
                <w:sz w:val="20"/>
                <w:szCs w:val="20"/>
              </w:rPr>
            </w:pPr>
            <w:r>
              <w:rPr>
                <w:rFonts w:ascii="Arial" w:hAnsi="Arial" w:cs="Arial"/>
                <w:sz w:val="20"/>
                <w:szCs w:val="20"/>
              </w:rPr>
              <w:t>0.16%</w:t>
            </w:r>
          </w:p>
        </w:tc>
      </w:tr>
      <w:tr w:rsidR="00B557AB" w:rsidRPr="00A34771" w14:paraId="4BDD0690" w14:textId="009BF9F5" w:rsidTr="00D04232">
        <w:trPr>
          <w:trHeight w:val="255"/>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594251ED" w14:textId="77777777" w:rsidR="00B557AB" w:rsidRPr="00A34771" w:rsidRDefault="00B557AB" w:rsidP="00B557AB">
            <w:pPr>
              <w:spacing w:after="0" w:line="240" w:lineRule="auto"/>
              <w:rPr>
                <w:rFonts w:ascii="Arial" w:eastAsia="Times New Roman" w:hAnsi="Arial" w:cs="Arial"/>
                <w:sz w:val="20"/>
                <w:szCs w:val="20"/>
              </w:rPr>
            </w:pPr>
            <w:r w:rsidRPr="00A34771">
              <w:rPr>
                <w:rFonts w:ascii="Arial" w:eastAsia="Times New Roman" w:hAnsi="Arial" w:cs="Arial"/>
                <w:sz w:val="20"/>
                <w:szCs w:val="20"/>
              </w:rPr>
              <w:t>CZ02</w:t>
            </w:r>
          </w:p>
        </w:tc>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604DD26E" w14:textId="77777777" w:rsidR="00B557AB" w:rsidRPr="00A34771" w:rsidRDefault="00B557AB" w:rsidP="00B557AB">
            <w:pPr>
              <w:spacing w:after="0" w:line="240" w:lineRule="auto"/>
              <w:jc w:val="right"/>
              <w:rPr>
                <w:rFonts w:ascii="Arial" w:eastAsia="Times New Roman" w:hAnsi="Arial" w:cs="Arial"/>
                <w:sz w:val="20"/>
                <w:szCs w:val="20"/>
              </w:rPr>
            </w:pPr>
            <w:r w:rsidRPr="00A34771">
              <w:rPr>
                <w:rFonts w:ascii="Arial" w:eastAsia="Times New Roman" w:hAnsi="Arial" w:cs="Arial"/>
                <w:sz w:val="20"/>
                <w:szCs w:val="20"/>
              </w:rPr>
              <w:t>835</w:t>
            </w:r>
          </w:p>
        </w:tc>
        <w:tc>
          <w:tcPr>
            <w:tcW w:w="1360" w:type="dxa"/>
            <w:tcBorders>
              <w:top w:val="nil"/>
              <w:left w:val="nil"/>
              <w:bottom w:val="single" w:sz="4" w:space="0" w:color="auto"/>
              <w:right w:val="single" w:sz="4" w:space="0" w:color="auto"/>
            </w:tcBorders>
            <w:shd w:val="clear" w:color="auto" w:fill="auto"/>
            <w:noWrap/>
            <w:vAlign w:val="bottom"/>
            <w:hideMark/>
          </w:tcPr>
          <w:p w14:paraId="248E9DEE" w14:textId="77777777" w:rsidR="00B557AB" w:rsidRPr="00A34771" w:rsidRDefault="00B557AB" w:rsidP="00B557AB">
            <w:pPr>
              <w:spacing w:after="0" w:line="240" w:lineRule="auto"/>
              <w:jc w:val="right"/>
              <w:rPr>
                <w:rFonts w:ascii="Arial" w:eastAsia="Times New Roman" w:hAnsi="Arial" w:cs="Arial"/>
                <w:sz w:val="20"/>
                <w:szCs w:val="20"/>
              </w:rPr>
            </w:pPr>
            <w:r w:rsidRPr="00A34771">
              <w:rPr>
                <w:rFonts w:ascii="Arial" w:eastAsia="Times New Roman" w:hAnsi="Arial" w:cs="Arial"/>
                <w:sz w:val="20"/>
                <w:szCs w:val="20"/>
              </w:rPr>
              <w:t>836</w:t>
            </w:r>
          </w:p>
        </w:tc>
        <w:tc>
          <w:tcPr>
            <w:tcW w:w="1195" w:type="dxa"/>
            <w:tcBorders>
              <w:top w:val="nil"/>
              <w:left w:val="nil"/>
              <w:bottom w:val="single" w:sz="4" w:space="0" w:color="auto"/>
              <w:right w:val="single" w:sz="4" w:space="0" w:color="auto"/>
            </w:tcBorders>
            <w:shd w:val="clear" w:color="auto" w:fill="auto"/>
            <w:noWrap/>
            <w:vAlign w:val="bottom"/>
            <w:hideMark/>
          </w:tcPr>
          <w:p w14:paraId="0E4D7062" w14:textId="77777777" w:rsidR="00B557AB" w:rsidRPr="00A34771" w:rsidRDefault="00B557AB" w:rsidP="00B557AB">
            <w:pPr>
              <w:spacing w:after="0" w:line="240" w:lineRule="auto"/>
              <w:jc w:val="right"/>
              <w:rPr>
                <w:rFonts w:ascii="Arial" w:eastAsia="Times New Roman" w:hAnsi="Arial" w:cs="Arial"/>
                <w:sz w:val="20"/>
                <w:szCs w:val="20"/>
              </w:rPr>
            </w:pPr>
            <w:r w:rsidRPr="00A34771">
              <w:rPr>
                <w:rFonts w:ascii="Arial" w:eastAsia="Times New Roman" w:hAnsi="Arial" w:cs="Arial"/>
                <w:sz w:val="20"/>
                <w:szCs w:val="20"/>
              </w:rPr>
              <w:t>1</w:t>
            </w:r>
          </w:p>
        </w:tc>
        <w:tc>
          <w:tcPr>
            <w:tcW w:w="1195" w:type="dxa"/>
            <w:tcBorders>
              <w:top w:val="nil"/>
              <w:left w:val="nil"/>
              <w:bottom w:val="single" w:sz="4" w:space="0" w:color="auto"/>
              <w:right w:val="single" w:sz="4" w:space="0" w:color="auto"/>
            </w:tcBorders>
            <w:vAlign w:val="bottom"/>
          </w:tcPr>
          <w:p w14:paraId="7AD0DB5B" w14:textId="063C8F21" w:rsidR="00B557AB" w:rsidRPr="00A34771" w:rsidRDefault="00B557AB" w:rsidP="00B557AB">
            <w:pPr>
              <w:spacing w:after="0" w:line="240" w:lineRule="auto"/>
              <w:jc w:val="right"/>
              <w:rPr>
                <w:rFonts w:ascii="Arial" w:eastAsia="Times New Roman" w:hAnsi="Arial" w:cs="Arial"/>
                <w:sz w:val="20"/>
                <w:szCs w:val="20"/>
              </w:rPr>
            </w:pPr>
            <w:r>
              <w:rPr>
                <w:rFonts w:ascii="Arial" w:hAnsi="Arial" w:cs="Arial"/>
                <w:sz w:val="20"/>
                <w:szCs w:val="20"/>
              </w:rPr>
              <w:t>0.12%</w:t>
            </w:r>
          </w:p>
        </w:tc>
      </w:tr>
      <w:tr w:rsidR="00B557AB" w:rsidRPr="00A34771" w14:paraId="20787CEE" w14:textId="397C2A78" w:rsidTr="00D04232">
        <w:trPr>
          <w:trHeight w:val="255"/>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7951AD88" w14:textId="77777777" w:rsidR="00B557AB" w:rsidRPr="00A34771" w:rsidRDefault="00B557AB" w:rsidP="00B557AB">
            <w:pPr>
              <w:spacing w:after="0" w:line="240" w:lineRule="auto"/>
              <w:rPr>
                <w:rFonts w:ascii="Arial" w:eastAsia="Times New Roman" w:hAnsi="Arial" w:cs="Arial"/>
                <w:sz w:val="20"/>
                <w:szCs w:val="20"/>
              </w:rPr>
            </w:pPr>
            <w:r w:rsidRPr="00A34771">
              <w:rPr>
                <w:rFonts w:ascii="Arial" w:eastAsia="Times New Roman" w:hAnsi="Arial" w:cs="Arial"/>
                <w:sz w:val="20"/>
                <w:szCs w:val="20"/>
              </w:rPr>
              <w:t>CZ03</w:t>
            </w:r>
          </w:p>
        </w:tc>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4D7B37D6" w14:textId="77777777" w:rsidR="00B557AB" w:rsidRPr="00A34771" w:rsidRDefault="00B557AB" w:rsidP="00B557AB">
            <w:pPr>
              <w:spacing w:after="0" w:line="240" w:lineRule="auto"/>
              <w:jc w:val="right"/>
              <w:rPr>
                <w:rFonts w:ascii="Arial" w:eastAsia="Times New Roman" w:hAnsi="Arial" w:cs="Arial"/>
                <w:sz w:val="20"/>
                <w:szCs w:val="20"/>
              </w:rPr>
            </w:pPr>
            <w:r w:rsidRPr="00A34771">
              <w:rPr>
                <w:rFonts w:ascii="Arial" w:eastAsia="Times New Roman" w:hAnsi="Arial" w:cs="Arial"/>
                <w:sz w:val="20"/>
                <w:szCs w:val="20"/>
              </w:rPr>
              <w:t>1282</w:t>
            </w:r>
          </w:p>
        </w:tc>
        <w:tc>
          <w:tcPr>
            <w:tcW w:w="1360" w:type="dxa"/>
            <w:tcBorders>
              <w:top w:val="nil"/>
              <w:left w:val="nil"/>
              <w:bottom w:val="single" w:sz="4" w:space="0" w:color="auto"/>
              <w:right w:val="single" w:sz="4" w:space="0" w:color="auto"/>
            </w:tcBorders>
            <w:shd w:val="clear" w:color="auto" w:fill="auto"/>
            <w:noWrap/>
            <w:vAlign w:val="bottom"/>
            <w:hideMark/>
          </w:tcPr>
          <w:p w14:paraId="0B19E948" w14:textId="77777777" w:rsidR="00B557AB" w:rsidRPr="00A34771" w:rsidRDefault="00B557AB" w:rsidP="00B557AB">
            <w:pPr>
              <w:spacing w:after="0" w:line="240" w:lineRule="auto"/>
              <w:jc w:val="right"/>
              <w:rPr>
                <w:rFonts w:ascii="Arial" w:eastAsia="Times New Roman" w:hAnsi="Arial" w:cs="Arial"/>
                <w:sz w:val="20"/>
                <w:szCs w:val="20"/>
              </w:rPr>
            </w:pPr>
            <w:r w:rsidRPr="00A34771">
              <w:rPr>
                <w:rFonts w:ascii="Arial" w:eastAsia="Times New Roman" w:hAnsi="Arial" w:cs="Arial"/>
                <w:sz w:val="20"/>
                <w:szCs w:val="20"/>
              </w:rPr>
              <w:t>1289</w:t>
            </w:r>
          </w:p>
        </w:tc>
        <w:tc>
          <w:tcPr>
            <w:tcW w:w="1195" w:type="dxa"/>
            <w:tcBorders>
              <w:top w:val="nil"/>
              <w:left w:val="nil"/>
              <w:bottom w:val="single" w:sz="4" w:space="0" w:color="auto"/>
              <w:right w:val="single" w:sz="4" w:space="0" w:color="auto"/>
            </w:tcBorders>
            <w:shd w:val="clear" w:color="auto" w:fill="auto"/>
            <w:noWrap/>
            <w:vAlign w:val="bottom"/>
            <w:hideMark/>
          </w:tcPr>
          <w:p w14:paraId="7C172F24" w14:textId="77777777" w:rsidR="00B557AB" w:rsidRPr="00A34771" w:rsidRDefault="00B557AB" w:rsidP="00B557AB">
            <w:pPr>
              <w:spacing w:after="0" w:line="240" w:lineRule="auto"/>
              <w:jc w:val="right"/>
              <w:rPr>
                <w:rFonts w:ascii="Arial" w:eastAsia="Times New Roman" w:hAnsi="Arial" w:cs="Arial"/>
                <w:sz w:val="20"/>
                <w:szCs w:val="20"/>
              </w:rPr>
            </w:pPr>
            <w:r w:rsidRPr="00A34771">
              <w:rPr>
                <w:rFonts w:ascii="Arial" w:eastAsia="Times New Roman" w:hAnsi="Arial" w:cs="Arial"/>
                <w:sz w:val="20"/>
                <w:szCs w:val="20"/>
              </w:rPr>
              <w:t>7</w:t>
            </w:r>
          </w:p>
        </w:tc>
        <w:tc>
          <w:tcPr>
            <w:tcW w:w="1195" w:type="dxa"/>
            <w:tcBorders>
              <w:top w:val="nil"/>
              <w:left w:val="nil"/>
              <w:bottom w:val="single" w:sz="4" w:space="0" w:color="auto"/>
              <w:right w:val="single" w:sz="4" w:space="0" w:color="auto"/>
            </w:tcBorders>
            <w:vAlign w:val="bottom"/>
          </w:tcPr>
          <w:p w14:paraId="6B761F13" w14:textId="5C724FE6" w:rsidR="00B557AB" w:rsidRPr="00A34771" w:rsidRDefault="00B557AB" w:rsidP="00B557AB">
            <w:pPr>
              <w:spacing w:after="0" w:line="240" w:lineRule="auto"/>
              <w:jc w:val="right"/>
              <w:rPr>
                <w:rFonts w:ascii="Arial" w:eastAsia="Times New Roman" w:hAnsi="Arial" w:cs="Arial"/>
                <w:sz w:val="20"/>
                <w:szCs w:val="20"/>
              </w:rPr>
            </w:pPr>
            <w:r>
              <w:rPr>
                <w:rFonts w:ascii="Arial" w:hAnsi="Arial" w:cs="Arial"/>
                <w:sz w:val="20"/>
                <w:szCs w:val="20"/>
              </w:rPr>
              <w:t>0.55%</w:t>
            </w:r>
          </w:p>
        </w:tc>
      </w:tr>
      <w:tr w:rsidR="00B557AB" w:rsidRPr="00A34771" w14:paraId="7D8D3B3A" w14:textId="2D9301CE" w:rsidTr="00D04232">
        <w:trPr>
          <w:trHeight w:val="255"/>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495D6BE2" w14:textId="77777777" w:rsidR="00B557AB" w:rsidRPr="00A34771" w:rsidRDefault="00B557AB" w:rsidP="00B557AB">
            <w:pPr>
              <w:spacing w:after="0" w:line="240" w:lineRule="auto"/>
              <w:rPr>
                <w:rFonts w:ascii="Arial" w:eastAsia="Times New Roman" w:hAnsi="Arial" w:cs="Arial"/>
                <w:sz w:val="20"/>
                <w:szCs w:val="20"/>
              </w:rPr>
            </w:pPr>
            <w:r w:rsidRPr="00A34771">
              <w:rPr>
                <w:rFonts w:ascii="Arial" w:eastAsia="Times New Roman" w:hAnsi="Arial" w:cs="Arial"/>
                <w:sz w:val="20"/>
                <w:szCs w:val="20"/>
              </w:rPr>
              <w:t>CZ04</w:t>
            </w:r>
          </w:p>
        </w:tc>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2000AA80" w14:textId="77777777" w:rsidR="00B557AB" w:rsidRPr="00A34771" w:rsidRDefault="00B557AB" w:rsidP="00B557AB">
            <w:pPr>
              <w:spacing w:after="0" w:line="240" w:lineRule="auto"/>
              <w:jc w:val="right"/>
              <w:rPr>
                <w:rFonts w:ascii="Arial" w:eastAsia="Times New Roman" w:hAnsi="Arial" w:cs="Arial"/>
                <w:sz w:val="20"/>
                <w:szCs w:val="20"/>
              </w:rPr>
            </w:pPr>
            <w:r w:rsidRPr="00A34771">
              <w:rPr>
                <w:rFonts w:ascii="Arial" w:eastAsia="Times New Roman" w:hAnsi="Arial" w:cs="Arial"/>
                <w:sz w:val="20"/>
                <w:szCs w:val="20"/>
              </w:rPr>
              <w:t>434</w:t>
            </w:r>
          </w:p>
        </w:tc>
        <w:tc>
          <w:tcPr>
            <w:tcW w:w="1360" w:type="dxa"/>
            <w:tcBorders>
              <w:top w:val="nil"/>
              <w:left w:val="nil"/>
              <w:bottom w:val="single" w:sz="4" w:space="0" w:color="auto"/>
              <w:right w:val="single" w:sz="4" w:space="0" w:color="auto"/>
            </w:tcBorders>
            <w:shd w:val="clear" w:color="auto" w:fill="auto"/>
            <w:noWrap/>
            <w:vAlign w:val="bottom"/>
            <w:hideMark/>
          </w:tcPr>
          <w:p w14:paraId="5499AB78" w14:textId="77777777" w:rsidR="00B557AB" w:rsidRPr="00A34771" w:rsidRDefault="00B557AB" w:rsidP="00B557AB">
            <w:pPr>
              <w:spacing w:after="0" w:line="240" w:lineRule="auto"/>
              <w:jc w:val="right"/>
              <w:rPr>
                <w:rFonts w:ascii="Arial" w:eastAsia="Times New Roman" w:hAnsi="Arial" w:cs="Arial"/>
                <w:sz w:val="20"/>
                <w:szCs w:val="20"/>
              </w:rPr>
            </w:pPr>
            <w:r w:rsidRPr="00A34771">
              <w:rPr>
                <w:rFonts w:ascii="Arial" w:eastAsia="Times New Roman" w:hAnsi="Arial" w:cs="Arial"/>
                <w:sz w:val="20"/>
                <w:szCs w:val="20"/>
              </w:rPr>
              <w:t>434</w:t>
            </w:r>
          </w:p>
        </w:tc>
        <w:tc>
          <w:tcPr>
            <w:tcW w:w="1195" w:type="dxa"/>
            <w:tcBorders>
              <w:top w:val="nil"/>
              <w:left w:val="nil"/>
              <w:bottom w:val="single" w:sz="4" w:space="0" w:color="auto"/>
              <w:right w:val="single" w:sz="4" w:space="0" w:color="auto"/>
            </w:tcBorders>
            <w:shd w:val="clear" w:color="auto" w:fill="auto"/>
            <w:noWrap/>
            <w:vAlign w:val="bottom"/>
            <w:hideMark/>
          </w:tcPr>
          <w:p w14:paraId="2653F290" w14:textId="77777777" w:rsidR="00B557AB" w:rsidRPr="00A34771" w:rsidRDefault="00B557AB" w:rsidP="00B557AB">
            <w:pPr>
              <w:spacing w:after="0" w:line="240" w:lineRule="auto"/>
              <w:jc w:val="right"/>
              <w:rPr>
                <w:rFonts w:ascii="Arial" w:eastAsia="Times New Roman" w:hAnsi="Arial" w:cs="Arial"/>
                <w:sz w:val="20"/>
                <w:szCs w:val="20"/>
              </w:rPr>
            </w:pPr>
            <w:r w:rsidRPr="00A34771">
              <w:rPr>
                <w:rFonts w:ascii="Arial" w:eastAsia="Times New Roman" w:hAnsi="Arial" w:cs="Arial"/>
                <w:sz w:val="20"/>
                <w:szCs w:val="20"/>
              </w:rPr>
              <w:t>0</w:t>
            </w:r>
          </w:p>
        </w:tc>
        <w:tc>
          <w:tcPr>
            <w:tcW w:w="1195" w:type="dxa"/>
            <w:tcBorders>
              <w:top w:val="nil"/>
              <w:left w:val="nil"/>
              <w:bottom w:val="single" w:sz="4" w:space="0" w:color="auto"/>
              <w:right w:val="single" w:sz="4" w:space="0" w:color="auto"/>
            </w:tcBorders>
            <w:vAlign w:val="bottom"/>
          </w:tcPr>
          <w:p w14:paraId="7BB916DF" w14:textId="6F6D8571" w:rsidR="00B557AB" w:rsidRPr="00A34771" w:rsidRDefault="00B557AB" w:rsidP="00B557AB">
            <w:pPr>
              <w:spacing w:after="0" w:line="240" w:lineRule="auto"/>
              <w:jc w:val="right"/>
              <w:rPr>
                <w:rFonts w:ascii="Arial" w:eastAsia="Times New Roman" w:hAnsi="Arial" w:cs="Arial"/>
                <w:sz w:val="20"/>
                <w:szCs w:val="20"/>
              </w:rPr>
            </w:pPr>
            <w:r>
              <w:rPr>
                <w:rFonts w:ascii="Arial" w:hAnsi="Arial" w:cs="Arial"/>
                <w:sz w:val="20"/>
                <w:szCs w:val="20"/>
              </w:rPr>
              <w:t>0.00%</w:t>
            </w:r>
          </w:p>
        </w:tc>
      </w:tr>
      <w:tr w:rsidR="00B557AB" w:rsidRPr="00A34771" w14:paraId="0D44533A" w14:textId="06AF5D74" w:rsidTr="00D04232">
        <w:trPr>
          <w:trHeight w:val="255"/>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2E2613C3" w14:textId="77777777" w:rsidR="00B557AB" w:rsidRPr="00A34771" w:rsidRDefault="00B557AB" w:rsidP="00B557AB">
            <w:pPr>
              <w:spacing w:after="0" w:line="240" w:lineRule="auto"/>
              <w:rPr>
                <w:rFonts w:ascii="Arial" w:eastAsia="Times New Roman" w:hAnsi="Arial" w:cs="Arial"/>
                <w:sz w:val="20"/>
                <w:szCs w:val="20"/>
              </w:rPr>
            </w:pPr>
            <w:r w:rsidRPr="00A34771">
              <w:rPr>
                <w:rFonts w:ascii="Arial" w:eastAsia="Times New Roman" w:hAnsi="Arial" w:cs="Arial"/>
                <w:sz w:val="20"/>
                <w:szCs w:val="20"/>
              </w:rPr>
              <w:t>CZ05</w:t>
            </w:r>
          </w:p>
        </w:tc>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05D0E4B4" w14:textId="77777777" w:rsidR="00B557AB" w:rsidRPr="00A34771" w:rsidRDefault="00B557AB" w:rsidP="00B557AB">
            <w:pPr>
              <w:spacing w:after="0" w:line="240" w:lineRule="auto"/>
              <w:jc w:val="right"/>
              <w:rPr>
                <w:rFonts w:ascii="Arial" w:eastAsia="Times New Roman" w:hAnsi="Arial" w:cs="Arial"/>
                <w:sz w:val="20"/>
                <w:szCs w:val="20"/>
              </w:rPr>
            </w:pPr>
            <w:r w:rsidRPr="00A34771">
              <w:rPr>
                <w:rFonts w:ascii="Arial" w:eastAsia="Times New Roman" w:hAnsi="Arial" w:cs="Arial"/>
                <w:sz w:val="20"/>
                <w:szCs w:val="20"/>
              </w:rPr>
              <w:t>1051</w:t>
            </w:r>
          </w:p>
        </w:tc>
        <w:tc>
          <w:tcPr>
            <w:tcW w:w="1360" w:type="dxa"/>
            <w:tcBorders>
              <w:top w:val="nil"/>
              <w:left w:val="nil"/>
              <w:bottom w:val="single" w:sz="4" w:space="0" w:color="auto"/>
              <w:right w:val="single" w:sz="4" w:space="0" w:color="auto"/>
            </w:tcBorders>
            <w:shd w:val="clear" w:color="auto" w:fill="auto"/>
            <w:noWrap/>
            <w:vAlign w:val="bottom"/>
            <w:hideMark/>
          </w:tcPr>
          <w:p w14:paraId="39E27E18" w14:textId="77777777" w:rsidR="00B557AB" w:rsidRPr="00A34771" w:rsidRDefault="00B557AB" w:rsidP="00B557AB">
            <w:pPr>
              <w:spacing w:after="0" w:line="240" w:lineRule="auto"/>
              <w:jc w:val="right"/>
              <w:rPr>
                <w:rFonts w:ascii="Arial" w:eastAsia="Times New Roman" w:hAnsi="Arial" w:cs="Arial"/>
                <w:sz w:val="20"/>
                <w:szCs w:val="20"/>
              </w:rPr>
            </w:pPr>
            <w:r w:rsidRPr="00A34771">
              <w:rPr>
                <w:rFonts w:ascii="Arial" w:eastAsia="Times New Roman" w:hAnsi="Arial" w:cs="Arial"/>
                <w:sz w:val="20"/>
                <w:szCs w:val="20"/>
              </w:rPr>
              <w:t>1052</w:t>
            </w:r>
          </w:p>
        </w:tc>
        <w:tc>
          <w:tcPr>
            <w:tcW w:w="1195" w:type="dxa"/>
            <w:tcBorders>
              <w:top w:val="nil"/>
              <w:left w:val="nil"/>
              <w:bottom w:val="single" w:sz="4" w:space="0" w:color="auto"/>
              <w:right w:val="single" w:sz="4" w:space="0" w:color="auto"/>
            </w:tcBorders>
            <w:shd w:val="clear" w:color="auto" w:fill="auto"/>
            <w:noWrap/>
            <w:vAlign w:val="bottom"/>
            <w:hideMark/>
          </w:tcPr>
          <w:p w14:paraId="410C3B1B" w14:textId="77777777" w:rsidR="00B557AB" w:rsidRPr="00A34771" w:rsidRDefault="00B557AB" w:rsidP="00B557AB">
            <w:pPr>
              <w:spacing w:after="0" w:line="240" w:lineRule="auto"/>
              <w:jc w:val="right"/>
              <w:rPr>
                <w:rFonts w:ascii="Arial" w:eastAsia="Times New Roman" w:hAnsi="Arial" w:cs="Arial"/>
                <w:sz w:val="20"/>
                <w:szCs w:val="20"/>
              </w:rPr>
            </w:pPr>
            <w:r w:rsidRPr="00A34771">
              <w:rPr>
                <w:rFonts w:ascii="Arial" w:eastAsia="Times New Roman" w:hAnsi="Arial" w:cs="Arial"/>
                <w:sz w:val="20"/>
                <w:szCs w:val="20"/>
              </w:rPr>
              <w:t>1</w:t>
            </w:r>
          </w:p>
        </w:tc>
        <w:tc>
          <w:tcPr>
            <w:tcW w:w="1195" w:type="dxa"/>
            <w:tcBorders>
              <w:top w:val="nil"/>
              <w:left w:val="nil"/>
              <w:bottom w:val="single" w:sz="4" w:space="0" w:color="auto"/>
              <w:right w:val="single" w:sz="4" w:space="0" w:color="auto"/>
            </w:tcBorders>
            <w:vAlign w:val="bottom"/>
          </w:tcPr>
          <w:p w14:paraId="10A0E91C" w14:textId="7987D064" w:rsidR="00B557AB" w:rsidRPr="00A34771" w:rsidRDefault="00B557AB" w:rsidP="00B557AB">
            <w:pPr>
              <w:spacing w:after="0" w:line="240" w:lineRule="auto"/>
              <w:jc w:val="right"/>
              <w:rPr>
                <w:rFonts w:ascii="Arial" w:eastAsia="Times New Roman" w:hAnsi="Arial" w:cs="Arial"/>
                <w:sz w:val="20"/>
                <w:szCs w:val="20"/>
              </w:rPr>
            </w:pPr>
            <w:r>
              <w:rPr>
                <w:rFonts w:ascii="Arial" w:hAnsi="Arial" w:cs="Arial"/>
                <w:sz w:val="20"/>
                <w:szCs w:val="20"/>
              </w:rPr>
              <w:t>0.10%</w:t>
            </w:r>
          </w:p>
        </w:tc>
      </w:tr>
      <w:tr w:rsidR="00B557AB" w:rsidRPr="00A34771" w14:paraId="23054377" w14:textId="081B92F8" w:rsidTr="00D04232">
        <w:trPr>
          <w:trHeight w:val="255"/>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11399870" w14:textId="77777777" w:rsidR="00B557AB" w:rsidRPr="00A34771" w:rsidRDefault="00B557AB" w:rsidP="00B557AB">
            <w:pPr>
              <w:spacing w:after="0" w:line="240" w:lineRule="auto"/>
              <w:rPr>
                <w:rFonts w:ascii="Arial" w:eastAsia="Times New Roman" w:hAnsi="Arial" w:cs="Arial"/>
                <w:sz w:val="20"/>
                <w:szCs w:val="20"/>
              </w:rPr>
            </w:pPr>
            <w:r w:rsidRPr="00A34771">
              <w:rPr>
                <w:rFonts w:ascii="Arial" w:eastAsia="Times New Roman" w:hAnsi="Arial" w:cs="Arial"/>
                <w:sz w:val="20"/>
                <w:szCs w:val="20"/>
              </w:rPr>
              <w:t>CZ06</w:t>
            </w:r>
          </w:p>
        </w:tc>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6999B549" w14:textId="77777777" w:rsidR="00B557AB" w:rsidRPr="00A34771" w:rsidRDefault="00B557AB" w:rsidP="00B557AB">
            <w:pPr>
              <w:spacing w:after="0" w:line="240" w:lineRule="auto"/>
              <w:jc w:val="right"/>
              <w:rPr>
                <w:rFonts w:ascii="Arial" w:eastAsia="Times New Roman" w:hAnsi="Arial" w:cs="Arial"/>
                <w:sz w:val="20"/>
                <w:szCs w:val="20"/>
              </w:rPr>
            </w:pPr>
            <w:r w:rsidRPr="00A34771">
              <w:rPr>
                <w:rFonts w:ascii="Arial" w:eastAsia="Times New Roman" w:hAnsi="Arial" w:cs="Arial"/>
                <w:sz w:val="20"/>
                <w:szCs w:val="20"/>
              </w:rPr>
              <w:t>697</w:t>
            </w:r>
          </w:p>
        </w:tc>
        <w:tc>
          <w:tcPr>
            <w:tcW w:w="1360" w:type="dxa"/>
            <w:tcBorders>
              <w:top w:val="nil"/>
              <w:left w:val="nil"/>
              <w:bottom w:val="single" w:sz="4" w:space="0" w:color="auto"/>
              <w:right w:val="single" w:sz="4" w:space="0" w:color="auto"/>
            </w:tcBorders>
            <w:shd w:val="clear" w:color="auto" w:fill="auto"/>
            <w:noWrap/>
            <w:vAlign w:val="bottom"/>
            <w:hideMark/>
          </w:tcPr>
          <w:p w14:paraId="48CC9EFD" w14:textId="77777777" w:rsidR="00B557AB" w:rsidRPr="00A34771" w:rsidRDefault="00B557AB" w:rsidP="00B557AB">
            <w:pPr>
              <w:spacing w:after="0" w:line="240" w:lineRule="auto"/>
              <w:jc w:val="right"/>
              <w:rPr>
                <w:rFonts w:ascii="Arial" w:eastAsia="Times New Roman" w:hAnsi="Arial" w:cs="Arial"/>
                <w:sz w:val="20"/>
                <w:szCs w:val="20"/>
              </w:rPr>
            </w:pPr>
            <w:r w:rsidRPr="00A34771">
              <w:rPr>
                <w:rFonts w:ascii="Arial" w:eastAsia="Times New Roman" w:hAnsi="Arial" w:cs="Arial"/>
                <w:sz w:val="20"/>
                <w:szCs w:val="20"/>
              </w:rPr>
              <w:t>705</w:t>
            </w:r>
          </w:p>
        </w:tc>
        <w:tc>
          <w:tcPr>
            <w:tcW w:w="1195" w:type="dxa"/>
            <w:tcBorders>
              <w:top w:val="nil"/>
              <w:left w:val="nil"/>
              <w:bottom w:val="single" w:sz="4" w:space="0" w:color="auto"/>
              <w:right w:val="single" w:sz="4" w:space="0" w:color="auto"/>
            </w:tcBorders>
            <w:shd w:val="clear" w:color="auto" w:fill="auto"/>
            <w:noWrap/>
            <w:vAlign w:val="bottom"/>
            <w:hideMark/>
          </w:tcPr>
          <w:p w14:paraId="6CFC3835" w14:textId="77777777" w:rsidR="00B557AB" w:rsidRPr="00A34771" w:rsidRDefault="00B557AB" w:rsidP="00B557AB">
            <w:pPr>
              <w:spacing w:after="0" w:line="240" w:lineRule="auto"/>
              <w:jc w:val="right"/>
              <w:rPr>
                <w:rFonts w:ascii="Arial" w:eastAsia="Times New Roman" w:hAnsi="Arial" w:cs="Arial"/>
                <w:sz w:val="20"/>
                <w:szCs w:val="20"/>
              </w:rPr>
            </w:pPr>
            <w:r w:rsidRPr="00A34771">
              <w:rPr>
                <w:rFonts w:ascii="Arial" w:eastAsia="Times New Roman" w:hAnsi="Arial" w:cs="Arial"/>
                <w:sz w:val="20"/>
                <w:szCs w:val="20"/>
              </w:rPr>
              <w:t>8</w:t>
            </w:r>
          </w:p>
        </w:tc>
        <w:tc>
          <w:tcPr>
            <w:tcW w:w="1195" w:type="dxa"/>
            <w:tcBorders>
              <w:top w:val="nil"/>
              <w:left w:val="nil"/>
              <w:bottom w:val="single" w:sz="4" w:space="0" w:color="auto"/>
              <w:right w:val="single" w:sz="4" w:space="0" w:color="auto"/>
            </w:tcBorders>
            <w:vAlign w:val="bottom"/>
          </w:tcPr>
          <w:p w14:paraId="24E1E5A0" w14:textId="7C112D49" w:rsidR="00B557AB" w:rsidRPr="00A34771" w:rsidRDefault="00B557AB" w:rsidP="00B557AB">
            <w:pPr>
              <w:spacing w:after="0" w:line="240" w:lineRule="auto"/>
              <w:jc w:val="right"/>
              <w:rPr>
                <w:rFonts w:ascii="Arial" w:eastAsia="Times New Roman" w:hAnsi="Arial" w:cs="Arial"/>
                <w:sz w:val="20"/>
                <w:szCs w:val="20"/>
              </w:rPr>
            </w:pPr>
            <w:r>
              <w:rPr>
                <w:rFonts w:ascii="Arial" w:hAnsi="Arial" w:cs="Arial"/>
                <w:sz w:val="20"/>
                <w:szCs w:val="20"/>
              </w:rPr>
              <w:t>1.15%</w:t>
            </w:r>
          </w:p>
        </w:tc>
      </w:tr>
      <w:tr w:rsidR="00B557AB" w:rsidRPr="00A34771" w14:paraId="3464D12D" w14:textId="0932E114" w:rsidTr="00D04232">
        <w:trPr>
          <w:trHeight w:val="255"/>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1BF9E999" w14:textId="77777777" w:rsidR="00B557AB" w:rsidRPr="00A34771" w:rsidRDefault="00B557AB" w:rsidP="00B557AB">
            <w:pPr>
              <w:spacing w:after="0" w:line="240" w:lineRule="auto"/>
              <w:rPr>
                <w:rFonts w:ascii="Arial" w:eastAsia="Times New Roman" w:hAnsi="Arial" w:cs="Arial"/>
                <w:sz w:val="20"/>
                <w:szCs w:val="20"/>
              </w:rPr>
            </w:pPr>
            <w:r w:rsidRPr="00A34771">
              <w:rPr>
                <w:rFonts w:ascii="Arial" w:eastAsia="Times New Roman" w:hAnsi="Arial" w:cs="Arial"/>
                <w:sz w:val="20"/>
                <w:szCs w:val="20"/>
              </w:rPr>
              <w:t>CZ07</w:t>
            </w:r>
          </w:p>
        </w:tc>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5D83635A" w14:textId="77777777" w:rsidR="00B557AB" w:rsidRPr="00A34771" w:rsidRDefault="00B557AB" w:rsidP="00B557AB">
            <w:pPr>
              <w:spacing w:after="0" w:line="240" w:lineRule="auto"/>
              <w:jc w:val="right"/>
              <w:rPr>
                <w:rFonts w:ascii="Arial" w:eastAsia="Times New Roman" w:hAnsi="Arial" w:cs="Arial"/>
                <w:sz w:val="20"/>
                <w:szCs w:val="20"/>
              </w:rPr>
            </w:pPr>
            <w:r w:rsidRPr="00A34771">
              <w:rPr>
                <w:rFonts w:ascii="Arial" w:eastAsia="Times New Roman" w:hAnsi="Arial" w:cs="Arial"/>
                <w:sz w:val="20"/>
                <w:szCs w:val="20"/>
              </w:rPr>
              <w:t>742</w:t>
            </w:r>
          </w:p>
        </w:tc>
        <w:tc>
          <w:tcPr>
            <w:tcW w:w="1360" w:type="dxa"/>
            <w:tcBorders>
              <w:top w:val="nil"/>
              <w:left w:val="nil"/>
              <w:bottom w:val="single" w:sz="4" w:space="0" w:color="auto"/>
              <w:right w:val="single" w:sz="4" w:space="0" w:color="auto"/>
            </w:tcBorders>
            <w:shd w:val="clear" w:color="auto" w:fill="auto"/>
            <w:noWrap/>
            <w:vAlign w:val="bottom"/>
            <w:hideMark/>
          </w:tcPr>
          <w:p w14:paraId="14876C8F" w14:textId="77777777" w:rsidR="00B557AB" w:rsidRPr="00A34771" w:rsidRDefault="00B557AB" w:rsidP="00B557AB">
            <w:pPr>
              <w:spacing w:after="0" w:line="240" w:lineRule="auto"/>
              <w:jc w:val="right"/>
              <w:rPr>
                <w:rFonts w:ascii="Arial" w:eastAsia="Times New Roman" w:hAnsi="Arial" w:cs="Arial"/>
                <w:sz w:val="20"/>
                <w:szCs w:val="20"/>
              </w:rPr>
            </w:pPr>
            <w:r w:rsidRPr="00A34771">
              <w:rPr>
                <w:rFonts w:ascii="Arial" w:eastAsia="Times New Roman" w:hAnsi="Arial" w:cs="Arial"/>
                <w:sz w:val="20"/>
                <w:szCs w:val="20"/>
              </w:rPr>
              <w:t>743</w:t>
            </w:r>
          </w:p>
        </w:tc>
        <w:tc>
          <w:tcPr>
            <w:tcW w:w="1195" w:type="dxa"/>
            <w:tcBorders>
              <w:top w:val="nil"/>
              <w:left w:val="nil"/>
              <w:bottom w:val="single" w:sz="4" w:space="0" w:color="auto"/>
              <w:right w:val="single" w:sz="4" w:space="0" w:color="auto"/>
            </w:tcBorders>
            <w:shd w:val="clear" w:color="auto" w:fill="auto"/>
            <w:noWrap/>
            <w:vAlign w:val="bottom"/>
            <w:hideMark/>
          </w:tcPr>
          <w:p w14:paraId="2A5C5CE7" w14:textId="77777777" w:rsidR="00B557AB" w:rsidRPr="00A34771" w:rsidRDefault="00B557AB" w:rsidP="00B557AB">
            <w:pPr>
              <w:spacing w:after="0" w:line="240" w:lineRule="auto"/>
              <w:jc w:val="right"/>
              <w:rPr>
                <w:rFonts w:ascii="Arial" w:eastAsia="Times New Roman" w:hAnsi="Arial" w:cs="Arial"/>
                <w:sz w:val="20"/>
                <w:szCs w:val="20"/>
              </w:rPr>
            </w:pPr>
            <w:r w:rsidRPr="00A34771">
              <w:rPr>
                <w:rFonts w:ascii="Arial" w:eastAsia="Times New Roman" w:hAnsi="Arial" w:cs="Arial"/>
                <w:sz w:val="20"/>
                <w:szCs w:val="20"/>
              </w:rPr>
              <w:t>1</w:t>
            </w:r>
          </w:p>
        </w:tc>
        <w:tc>
          <w:tcPr>
            <w:tcW w:w="1195" w:type="dxa"/>
            <w:tcBorders>
              <w:top w:val="nil"/>
              <w:left w:val="nil"/>
              <w:bottom w:val="single" w:sz="4" w:space="0" w:color="auto"/>
              <w:right w:val="single" w:sz="4" w:space="0" w:color="auto"/>
            </w:tcBorders>
            <w:vAlign w:val="bottom"/>
          </w:tcPr>
          <w:p w14:paraId="7FF16759" w14:textId="29B1C13B" w:rsidR="00B557AB" w:rsidRPr="00A34771" w:rsidRDefault="00B557AB" w:rsidP="00B557AB">
            <w:pPr>
              <w:spacing w:after="0" w:line="240" w:lineRule="auto"/>
              <w:jc w:val="right"/>
              <w:rPr>
                <w:rFonts w:ascii="Arial" w:eastAsia="Times New Roman" w:hAnsi="Arial" w:cs="Arial"/>
                <w:sz w:val="20"/>
                <w:szCs w:val="20"/>
              </w:rPr>
            </w:pPr>
            <w:r>
              <w:rPr>
                <w:rFonts w:ascii="Arial" w:hAnsi="Arial" w:cs="Arial"/>
                <w:sz w:val="20"/>
                <w:szCs w:val="20"/>
              </w:rPr>
              <w:t>0.13%</w:t>
            </w:r>
          </w:p>
        </w:tc>
      </w:tr>
      <w:tr w:rsidR="00B557AB" w:rsidRPr="00A34771" w14:paraId="62D076CF" w14:textId="6B16AC2D" w:rsidTr="00D04232">
        <w:trPr>
          <w:trHeight w:val="255"/>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1AB97B39" w14:textId="77777777" w:rsidR="00B557AB" w:rsidRPr="00A34771" w:rsidRDefault="00B557AB" w:rsidP="00B557AB">
            <w:pPr>
              <w:spacing w:after="0" w:line="240" w:lineRule="auto"/>
              <w:rPr>
                <w:rFonts w:ascii="Arial" w:eastAsia="Times New Roman" w:hAnsi="Arial" w:cs="Arial"/>
                <w:sz w:val="20"/>
                <w:szCs w:val="20"/>
              </w:rPr>
            </w:pPr>
            <w:r w:rsidRPr="00A34771">
              <w:rPr>
                <w:rFonts w:ascii="Arial" w:eastAsia="Times New Roman" w:hAnsi="Arial" w:cs="Arial"/>
                <w:sz w:val="20"/>
                <w:szCs w:val="20"/>
              </w:rPr>
              <w:t>CZ08</w:t>
            </w:r>
          </w:p>
        </w:tc>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58B9054F" w14:textId="77777777" w:rsidR="00B557AB" w:rsidRPr="00A34771" w:rsidRDefault="00B557AB" w:rsidP="00B557AB">
            <w:pPr>
              <w:spacing w:after="0" w:line="240" w:lineRule="auto"/>
              <w:jc w:val="right"/>
              <w:rPr>
                <w:rFonts w:ascii="Arial" w:eastAsia="Times New Roman" w:hAnsi="Arial" w:cs="Arial"/>
                <w:sz w:val="20"/>
                <w:szCs w:val="20"/>
              </w:rPr>
            </w:pPr>
            <w:r w:rsidRPr="00A34771">
              <w:rPr>
                <w:rFonts w:ascii="Arial" w:eastAsia="Times New Roman" w:hAnsi="Arial" w:cs="Arial"/>
                <w:sz w:val="20"/>
                <w:szCs w:val="20"/>
              </w:rPr>
              <w:t>385</w:t>
            </w:r>
          </w:p>
        </w:tc>
        <w:tc>
          <w:tcPr>
            <w:tcW w:w="1360" w:type="dxa"/>
            <w:tcBorders>
              <w:top w:val="nil"/>
              <w:left w:val="nil"/>
              <w:bottom w:val="single" w:sz="4" w:space="0" w:color="auto"/>
              <w:right w:val="single" w:sz="4" w:space="0" w:color="auto"/>
            </w:tcBorders>
            <w:shd w:val="clear" w:color="auto" w:fill="auto"/>
            <w:noWrap/>
            <w:vAlign w:val="bottom"/>
            <w:hideMark/>
          </w:tcPr>
          <w:p w14:paraId="4D0D8C1A" w14:textId="77777777" w:rsidR="00B557AB" w:rsidRPr="00A34771" w:rsidRDefault="00B557AB" w:rsidP="00B557AB">
            <w:pPr>
              <w:spacing w:after="0" w:line="240" w:lineRule="auto"/>
              <w:jc w:val="right"/>
              <w:rPr>
                <w:rFonts w:ascii="Arial" w:eastAsia="Times New Roman" w:hAnsi="Arial" w:cs="Arial"/>
                <w:sz w:val="20"/>
                <w:szCs w:val="20"/>
              </w:rPr>
            </w:pPr>
            <w:r w:rsidRPr="00A34771">
              <w:rPr>
                <w:rFonts w:ascii="Arial" w:eastAsia="Times New Roman" w:hAnsi="Arial" w:cs="Arial"/>
                <w:sz w:val="20"/>
                <w:szCs w:val="20"/>
              </w:rPr>
              <w:t>391</w:t>
            </w:r>
          </w:p>
        </w:tc>
        <w:tc>
          <w:tcPr>
            <w:tcW w:w="1195" w:type="dxa"/>
            <w:tcBorders>
              <w:top w:val="nil"/>
              <w:left w:val="nil"/>
              <w:bottom w:val="single" w:sz="4" w:space="0" w:color="auto"/>
              <w:right w:val="single" w:sz="4" w:space="0" w:color="auto"/>
            </w:tcBorders>
            <w:shd w:val="clear" w:color="auto" w:fill="auto"/>
            <w:noWrap/>
            <w:vAlign w:val="bottom"/>
            <w:hideMark/>
          </w:tcPr>
          <w:p w14:paraId="1BC4AA92" w14:textId="77777777" w:rsidR="00B557AB" w:rsidRPr="00A34771" w:rsidRDefault="00B557AB" w:rsidP="00B557AB">
            <w:pPr>
              <w:spacing w:after="0" w:line="240" w:lineRule="auto"/>
              <w:jc w:val="right"/>
              <w:rPr>
                <w:rFonts w:ascii="Arial" w:eastAsia="Times New Roman" w:hAnsi="Arial" w:cs="Arial"/>
                <w:sz w:val="20"/>
                <w:szCs w:val="20"/>
              </w:rPr>
            </w:pPr>
            <w:r w:rsidRPr="00A34771">
              <w:rPr>
                <w:rFonts w:ascii="Arial" w:eastAsia="Times New Roman" w:hAnsi="Arial" w:cs="Arial"/>
                <w:sz w:val="20"/>
                <w:szCs w:val="20"/>
              </w:rPr>
              <w:t>6</w:t>
            </w:r>
          </w:p>
        </w:tc>
        <w:tc>
          <w:tcPr>
            <w:tcW w:w="1195" w:type="dxa"/>
            <w:tcBorders>
              <w:top w:val="nil"/>
              <w:left w:val="nil"/>
              <w:bottom w:val="single" w:sz="4" w:space="0" w:color="auto"/>
              <w:right w:val="single" w:sz="4" w:space="0" w:color="auto"/>
            </w:tcBorders>
            <w:vAlign w:val="bottom"/>
          </w:tcPr>
          <w:p w14:paraId="5FD83B73" w14:textId="1F385D07" w:rsidR="00B557AB" w:rsidRPr="00A34771" w:rsidRDefault="00B557AB" w:rsidP="00B557AB">
            <w:pPr>
              <w:spacing w:after="0" w:line="240" w:lineRule="auto"/>
              <w:jc w:val="right"/>
              <w:rPr>
                <w:rFonts w:ascii="Arial" w:eastAsia="Times New Roman" w:hAnsi="Arial" w:cs="Arial"/>
                <w:sz w:val="20"/>
                <w:szCs w:val="20"/>
              </w:rPr>
            </w:pPr>
            <w:r>
              <w:rPr>
                <w:rFonts w:ascii="Arial" w:hAnsi="Arial" w:cs="Arial"/>
                <w:sz w:val="20"/>
                <w:szCs w:val="20"/>
              </w:rPr>
              <w:t>1.56%</w:t>
            </w:r>
          </w:p>
        </w:tc>
      </w:tr>
      <w:tr w:rsidR="00B557AB" w:rsidRPr="00A34771" w14:paraId="0DA7A1E3" w14:textId="056D836C" w:rsidTr="00D04232">
        <w:trPr>
          <w:trHeight w:val="255"/>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726ABFE2" w14:textId="77777777" w:rsidR="00B557AB" w:rsidRPr="00A34771" w:rsidRDefault="00B557AB" w:rsidP="00B557AB">
            <w:pPr>
              <w:spacing w:after="0" w:line="240" w:lineRule="auto"/>
              <w:rPr>
                <w:rFonts w:ascii="Arial" w:eastAsia="Times New Roman" w:hAnsi="Arial" w:cs="Arial"/>
                <w:sz w:val="20"/>
                <w:szCs w:val="20"/>
              </w:rPr>
            </w:pPr>
            <w:r w:rsidRPr="00A34771">
              <w:rPr>
                <w:rFonts w:ascii="Arial" w:eastAsia="Times New Roman" w:hAnsi="Arial" w:cs="Arial"/>
                <w:sz w:val="20"/>
                <w:szCs w:val="20"/>
              </w:rPr>
              <w:t>CZ09</w:t>
            </w:r>
          </w:p>
        </w:tc>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04503565" w14:textId="77777777" w:rsidR="00B557AB" w:rsidRPr="00A34771" w:rsidRDefault="00B557AB" w:rsidP="00B557AB">
            <w:pPr>
              <w:spacing w:after="0" w:line="240" w:lineRule="auto"/>
              <w:jc w:val="right"/>
              <w:rPr>
                <w:rFonts w:ascii="Arial" w:eastAsia="Times New Roman" w:hAnsi="Arial" w:cs="Arial"/>
                <w:sz w:val="20"/>
                <w:szCs w:val="20"/>
              </w:rPr>
            </w:pPr>
            <w:r w:rsidRPr="00A34771">
              <w:rPr>
                <w:rFonts w:ascii="Arial" w:eastAsia="Times New Roman" w:hAnsi="Arial" w:cs="Arial"/>
                <w:sz w:val="20"/>
                <w:szCs w:val="20"/>
              </w:rPr>
              <w:t>606</w:t>
            </w:r>
          </w:p>
        </w:tc>
        <w:tc>
          <w:tcPr>
            <w:tcW w:w="1360" w:type="dxa"/>
            <w:tcBorders>
              <w:top w:val="nil"/>
              <w:left w:val="nil"/>
              <w:bottom w:val="single" w:sz="4" w:space="0" w:color="auto"/>
              <w:right w:val="single" w:sz="4" w:space="0" w:color="auto"/>
            </w:tcBorders>
            <w:shd w:val="clear" w:color="auto" w:fill="auto"/>
            <w:noWrap/>
            <w:vAlign w:val="bottom"/>
            <w:hideMark/>
          </w:tcPr>
          <w:p w14:paraId="141D1393" w14:textId="77777777" w:rsidR="00B557AB" w:rsidRPr="00A34771" w:rsidRDefault="00B557AB" w:rsidP="00B557AB">
            <w:pPr>
              <w:spacing w:after="0" w:line="240" w:lineRule="auto"/>
              <w:jc w:val="right"/>
              <w:rPr>
                <w:rFonts w:ascii="Arial" w:eastAsia="Times New Roman" w:hAnsi="Arial" w:cs="Arial"/>
                <w:sz w:val="20"/>
                <w:szCs w:val="20"/>
              </w:rPr>
            </w:pPr>
            <w:r w:rsidRPr="00A34771">
              <w:rPr>
                <w:rFonts w:ascii="Arial" w:eastAsia="Times New Roman" w:hAnsi="Arial" w:cs="Arial"/>
                <w:sz w:val="20"/>
                <w:szCs w:val="20"/>
              </w:rPr>
              <w:t>606</w:t>
            </w:r>
          </w:p>
        </w:tc>
        <w:tc>
          <w:tcPr>
            <w:tcW w:w="1195" w:type="dxa"/>
            <w:tcBorders>
              <w:top w:val="nil"/>
              <w:left w:val="nil"/>
              <w:bottom w:val="single" w:sz="4" w:space="0" w:color="auto"/>
              <w:right w:val="single" w:sz="4" w:space="0" w:color="auto"/>
            </w:tcBorders>
            <w:shd w:val="clear" w:color="auto" w:fill="auto"/>
            <w:noWrap/>
            <w:vAlign w:val="bottom"/>
            <w:hideMark/>
          </w:tcPr>
          <w:p w14:paraId="3A84A480" w14:textId="77777777" w:rsidR="00B557AB" w:rsidRPr="00A34771" w:rsidRDefault="00B557AB" w:rsidP="00B557AB">
            <w:pPr>
              <w:spacing w:after="0" w:line="240" w:lineRule="auto"/>
              <w:jc w:val="right"/>
              <w:rPr>
                <w:rFonts w:ascii="Arial" w:eastAsia="Times New Roman" w:hAnsi="Arial" w:cs="Arial"/>
                <w:sz w:val="20"/>
                <w:szCs w:val="20"/>
              </w:rPr>
            </w:pPr>
            <w:r w:rsidRPr="00A34771">
              <w:rPr>
                <w:rFonts w:ascii="Arial" w:eastAsia="Times New Roman" w:hAnsi="Arial" w:cs="Arial"/>
                <w:sz w:val="20"/>
                <w:szCs w:val="20"/>
              </w:rPr>
              <w:t>0</w:t>
            </w:r>
          </w:p>
        </w:tc>
        <w:tc>
          <w:tcPr>
            <w:tcW w:w="1195" w:type="dxa"/>
            <w:tcBorders>
              <w:top w:val="nil"/>
              <w:left w:val="nil"/>
              <w:bottom w:val="single" w:sz="4" w:space="0" w:color="auto"/>
              <w:right w:val="single" w:sz="4" w:space="0" w:color="auto"/>
            </w:tcBorders>
            <w:vAlign w:val="bottom"/>
          </w:tcPr>
          <w:p w14:paraId="55577523" w14:textId="0169FD76" w:rsidR="00B557AB" w:rsidRPr="00A34771" w:rsidRDefault="00B557AB" w:rsidP="00B557AB">
            <w:pPr>
              <w:spacing w:after="0" w:line="240" w:lineRule="auto"/>
              <w:jc w:val="right"/>
              <w:rPr>
                <w:rFonts w:ascii="Arial" w:eastAsia="Times New Roman" w:hAnsi="Arial" w:cs="Arial"/>
                <w:sz w:val="20"/>
                <w:szCs w:val="20"/>
              </w:rPr>
            </w:pPr>
            <w:r>
              <w:rPr>
                <w:rFonts w:ascii="Arial" w:hAnsi="Arial" w:cs="Arial"/>
                <w:sz w:val="20"/>
                <w:szCs w:val="20"/>
              </w:rPr>
              <w:t>0.00%</w:t>
            </w:r>
          </w:p>
        </w:tc>
      </w:tr>
      <w:tr w:rsidR="00B557AB" w:rsidRPr="00A34771" w14:paraId="4E4F56AA" w14:textId="1735B4AE" w:rsidTr="00D04232">
        <w:trPr>
          <w:trHeight w:val="255"/>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72FA3DB4" w14:textId="77777777" w:rsidR="00B557AB" w:rsidRPr="00A34771" w:rsidRDefault="00B557AB" w:rsidP="00B557AB">
            <w:pPr>
              <w:spacing w:after="0" w:line="240" w:lineRule="auto"/>
              <w:rPr>
                <w:rFonts w:ascii="Arial" w:eastAsia="Times New Roman" w:hAnsi="Arial" w:cs="Arial"/>
                <w:sz w:val="20"/>
                <w:szCs w:val="20"/>
              </w:rPr>
            </w:pPr>
            <w:r w:rsidRPr="00A34771">
              <w:rPr>
                <w:rFonts w:ascii="Arial" w:eastAsia="Times New Roman" w:hAnsi="Arial" w:cs="Arial"/>
                <w:sz w:val="20"/>
                <w:szCs w:val="20"/>
              </w:rPr>
              <w:t>CZ10</w:t>
            </w:r>
          </w:p>
        </w:tc>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051E2418" w14:textId="77777777" w:rsidR="00B557AB" w:rsidRPr="00A34771" w:rsidRDefault="00B557AB" w:rsidP="00B557AB">
            <w:pPr>
              <w:spacing w:after="0" w:line="240" w:lineRule="auto"/>
              <w:jc w:val="right"/>
              <w:rPr>
                <w:rFonts w:ascii="Arial" w:eastAsia="Times New Roman" w:hAnsi="Arial" w:cs="Arial"/>
                <w:sz w:val="20"/>
                <w:szCs w:val="20"/>
              </w:rPr>
            </w:pPr>
            <w:r w:rsidRPr="00A34771">
              <w:rPr>
                <w:rFonts w:ascii="Arial" w:eastAsia="Times New Roman" w:hAnsi="Arial" w:cs="Arial"/>
                <w:sz w:val="20"/>
                <w:szCs w:val="20"/>
              </w:rPr>
              <w:t>452</w:t>
            </w:r>
          </w:p>
        </w:tc>
        <w:tc>
          <w:tcPr>
            <w:tcW w:w="1360" w:type="dxa"/>
            <w:tcBorders>
              <w:top w:val="nil"/>
              <w:left w:val="nil"/>
              <w:bottom w:val="single" w:sz="4" w:space="0" w:color="auto"/>
              <w:right w:val="single" w:sz="4" w:space="0" w:color="auto"/>
            </w:tcBorders>
            <w:shd w:val="clear" w:color="auto" w:fill="auto"/>
            <w:noWrap/>
            <w:vAlign w:val="bottom"/>
            <w:hideMark/>
          </w:tcPr>
          <w:p w14:paraId="705B7060" w14:textId="77777777" w:rsidR="00B557AB" w:rsidRPr="00A34771" w:rsidRDefault="00B557AB" w:rsidP="00B557AB">
            <w:pPr>
              <w:spacing w:after="0" w:line="240" w:lineRule="auto"/>
              <w:jc w:val="right"/>
              <w:rPr>
                <w:rFonts w:ascii="Arial" w:eastAsia="Times New Roman" w:hAnsi="Arial" w:cs="Arial"/>
                <w:sz w:val="20"/>
                <w:szCs w:val="20"/>
              </w:rPr>
            </w:pPr>
            <w:r w:rsidRPr="00A34771">
              <w:rPr>
                <w:rFonts w:ascii="Arial" w:eastAsia="Times New Roman" w:hAnsi="Arial" w:cs="Arial"/>
                <w:sz w:val="20"/>
                <w:szCs w:val="20"/>
              </w:rPr>
              <w:t>455</w:t>
            </w:r>
          </w:p>
        </w:tc>
        <w:tc>
          <w:tcPr>
            <w:tcW w:w="1195" w:type="dxa"/>
            <w:tcBorders>
              <w:top w:val="nil"/>
              <w:left w:val="nil"/>
              <w:bottom w:val="single" w:sz="4" w:space="0" w:color="auto"/>
              <w:right w:val="single" w:sz="4" w:space="0" w:color="auto"/>
            </w:tcBorders>
            <w:shd w:val="clear" w:color="auto" w:fill="auto"/>
            <w:noWrap/>
            <w:vAlign w:val="bottom"/>
            <w:hideMark/>
          </w:tcPr>
          <w:p w14:paraId="7EF313E6" w14:textId="77777777" w:rsidR="00B557AB" w:rsidRPr="00A34771" w:rsidRDefault="00B557AB" w:rsidP="00B557AB">
            <w:pPr>
              <w:spacing w:after="0" w:line="240" w:lineRule="auto"/>
              <w:jc w:val="right"/>
              <w:rPr>
                <w:rFonts w:ascii="Arial" w:eastAsia="Times New Roman" w:hAnsi="Arial" w:cs="Arial"/>
                <w:sz w:val="20"/>
                <w:szCs w:val="20"/>
              </w:rPr>
            </w:pPr>
            <w:r w:rsidRPr="00A34771">
              <w:rPr>
                <w:rFonts w:ascii="Arial" w:eastAsia="Times New Roman" w:hAnsi="Arial" w:cs="Arial"/>
                <w:sz w:val="20"/>
                <w:szCs w:val="20"/>
              </w:rPr>
              <w:t>3</w:t>
            </w:r>
          </w:p>
        </w:tc>
        <w:tc>
          <w:tcPr>
            <w:tcW w:w="1195" w:type="dxa"/>
            <w:tcBorders>
              <w:top w:val="nil"/>
              <w:left w:val="nil"/>
              <w:bottom w:val="single" w:sz="4" w:space="0" w:color="auto"/>
              <w:right w:val="single" w:sz="4" w:space="0" w:color="auto"/>
            </w:tcBorders>
            <w:vAlign w:val="bottom"/>
          </w:tcPr>
          <w:p w14:paraId="02613F72" w14:textId="1479FA1F" w:rsidR="00B557AB" w:rsidRPr="00A34771" w:rsidRDefault="00B557AB" w:rsidP="00B557AB">
            <w:pPr>
              <w:spacing w:after="0" w:line="240" w:lineRule="auto"/>
              <w:jc w:val="right"/>
              <w:rPr>
                <w:rFonts w:ascii="Arial" w:eastAsia="Times New Roman" w:hAnsi="Arial" w:cs="Arial"/>
                <w:sz w:val="20"/>
                <w:szCs w:val="20"/>
              </w:rPr>
            </w:pPr>
            <w:r>
              <w:rPr>
                <w:rFonts w:ascii="Arial" w:hAnsi="Arial" w:cs="Arial"/>
                <w:sz w:val="20"/>
                <w:szCs w:val="20"/>
              </w:rPr>
              <w:t>0.66%</w:t>
            </w:r>
          </w:p>
        </w:tc>
      </w:tr>
      <w:tr w:rsidR="00B557AB" w:rsidRPr="00A34771" w14:paraId="4BC5C414" w14:textId="67CBAFC9" w:rsidTr="00D04232">
        <w:trPr>
          <w:trHeight w:val="255"/>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54BC9831" w14:textId="77777777" w:rsidR="00B557AB" w:rsidRPr="00A34771" w:rsidRDefault="00B557AB" w:rsidP="00B557AB">
            <w:pPr>
              <w:spacing w:after="0" w:line="240" w:lineRule="auto"/>
              <w:rPr>
                <w:rFonts w:ascii="Arial" w:eastAsia="Times New Roman" w:hAnsi="Arial" w:cs="Arial"/>
                <w:sz w:val="20"/>
                <w:szCs w:val="20"/>
              </w:rPr>
            </w:pPr>
            <w:r w:rsidRPr="00A34771">
              <w:rPr>
                <w:rFonts w:ascii="Arial" w:eastAsia="Times New Roman" w:hAnsi="Arial" w:cs="Arial"/>
                <w:sz w:val="20"/>
                <w:szCs w:val="20"/>
              </w:rPr>
              <w:t>CZ11</w:t>
            </w:r>
          </w:p>
        </w:tc>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622760DF" w14:textId="77777777" w:rsidR="00B557AB" w:rsidRPr="00A34771" w:rsidRDefault="00B557AB" w:rsidP="00B557AB">
            <w:pPr>
              <w:spacing w:after="0" w:line="240" w:lineRule="auto"/>
              <w:jc w:val="right"/>
              <w:rPr>
                <w:rFonts w:ascii="Arial" w:eastAsia="Times New Roman" w:hAnsi="Arial" w:cs="Arial"/>
                <w:sz w:val="20"/>
                <w:szCs w:val="20"/>
              </w:rPr>
            </w:pPr>
            <w:r w:rsidRPr="00A34771">
              <w:rPr>
                <w:rFonts w:ascii="Arial" w:eastAsia="Times New Roman" w:hAnsi="Arial" w:cs="Arial"/>
                <w:sz w:val="20"/>
                <w:szCs w:val="20"/>
              </w:rPr>
              <w:t>692</w:t>
            </w:r>
          </w:p>
        </w:tc>
        <w:tc>
          <w:tcPr>
            <w:tcW w:w="1360" w:type="dxa"/>
            <w:tcBorders>
              <w:top w:val="nil"/>
              <w:left w:val="nil"/>
              <w:bottom w:val="single" w:sz="4" w:space="0" w:color="auto"/>
              <w:right w:val="single" w:sz="4" w:space="0" w:color="auto"/>
            </w:tcBorders>
            <w:shd w:val="clear" w:color="auto" w:fill="auto"/>
            <w:noWrap/>
            <w:vAlign w:val="bottom"/>
            <w:hideMark/>
          </w:tcPr>
          <w:p w14:paraId="1BBC3962" w14:textId="77777777" w:rsidR="00B557AB" w:rsidRPr="00A34771" w:rsidRDefault="00B557AB" w:rsidP="00B557AB">
            <w:pPr>
              <w:spacing w:after="0" w:line="240" w:lineRule="auto"/>
              <w:jc w:val="right"/>
              <w:rPr>
                <w:rFonts w:ascii="Arial" w:eastAsia="Times New Roman" w:hAnsi="Arial" w:cs="Arial"/>
                <w:sz w:val="20"/>
                <w:szCs w:val="20"/>
              </w:rPr>
            </w:pPr>
            <w:r w:rsidRPr="00A34771">
              <w:rPr>
                <w:rFonts w:ascii="Arial" w:eastAsia="Times New Roman" w:hAnsi="Arial" w:cs="Arial"/>
                <w:sz w:val="20"/>
                <w:szCs w:val="20"/>
              </w:rPr>
              <w:t>694</w:t>
            </w:r>
          </w:p>
        </w:tc>
        <w:tc>
          <w:tcPr>
            <w:tcW w:w="1195" w:type="dxa"/>
            <w:tcBorders>
              <w:top w:val="nil"/>
              <w:left w:val="nil"/>
              <w:bottom w:val="single" w:sz="4" w:space="0" w:color="auto"/>
              <w:right w:val="single" w:sz="4" w:space="0" w:color="auto"/>
            </w:tcBorders>
            <w:shd w:val="clear" w:color="auto" w:fill="auto"/>
            <w:noWrap/>
            <w:vAlign w:val="bottom"/>
            <w:hideMark/>
          </w:tcPr>
          <w:p w14:paraId="1EF22D6F" w14:textId="77777777" w:rsidR="00B557AB" w:rsidRPr="00A34771" w:rsidRDefault="00B557AB" w:rsidP="00B557AB">
            <w:pPr>
              <w:spacing w:after="0" w:line="240" w:lineRule="auto"/>
              <w:jc w:val="right"/>
              <w:rPr>
                <w:rFonts w:ascii="Arial" w:eastAsia="Times New Roman" w:hAnsi="Arial" w:cs="Arial"/>
                <w:sz w:val="20"/>
                <w:szCs w:val="20"/>
              </w:rPr>
            </w:pPr>
            <w:r w:rsidRPr="00A34771">
              <w:rPr>
                <w:rFonts w:ascii="Arial" w:eastAsia="Times New Roman" w:hAnsi="Arial" w:cs="Arial"/>
                <w:sz w:val="20"/>
                <w:szCs w:val="20"/>
              </w:rPr>
              <w:t>2</w:t>
            </w:r>
          </w:p>
        </w:tc>
        <w:tc>
          <w:tcPr>
            <w:tcW w:w="1195" w:type="dxa"/>
            <w:tcBorders>
              <w:top w:val="nil"/>
              <w:left w:val="nil"/>
              <w:bottom w:val="single" w:sz="4" w:space="0" w:color="auto"/>
              <w:right w:val="single" w:sz="4" w:space="0" w:color="auto"/>
            </w:tcBorders>
            <w:vAlign w:val="bottom"/>
          </w:tcPr>
          <w:p w14:paraId="0C2394C8" w14:textId="2D728897" w:rsidR="00B557AB" w:rsidRPr="00A34771" w:rsidRDefault="00B557AB" w:rsidP="00B557AB">
            <w:pPr>
              <w:spacing w:after="0" w:line="240" w:lineRule="auto"/>
              <w:jc w:val="right"/>
              <w:rPr>
                <w:rFonts w:ascii="Arial" w:eastAsia="Times New Roman" w:hAnsi="Arial" w:cs="Arial"/>
                <w:sz w:val="20"/>
                <w:szCs w:val="20"/>
              </w:rPr>
            </w:pPr>
            <w:r>
              <w:rPr>
                <w:rFonts w:ascii="Arial" w:hAnsi="Arial" w:cs="Arial"/>
                <w:sz w:val="20"/>
                <w:szCs w:val="20"/>
              </w:rPr>
              <w:t>0.29%</w:t>
            </w:r>
          </w:p>
        </w:tc>
      </w:tr>
      <w:tr w:rsidR="00B557AB" w:rsidRPr="00A34771" w14:paraId="4BCBF81C" w14:textId="4C0F7035" w:rsidTr="00D04232">
        <w:trPr>
          <w:trHeight w:val="255"/>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7D001B6A" w14:textId="77777777" w:rsidR="00B557AB" w:rsidRPr="00A34771" w:rsidRDefault="00B557AB" w:rsidP="00B557AB">
            <w:pPr>
              <w:spacing w:after="0" w:line="240" w:lineRule="auto"/>
              <w:rPr>
                <w:rFonts w:ascii="Arial" w:eastAsia="Times New Roman" w:hAnsi="Arial" w:cs="Arial"/>
                <w:sz w:val="20"/>
                <w:szCs w:val="20"/>
              </w:rPr>
            </w:pPr>
            <w:r w:rsidRPr="00A34771">
              <w:rPr>
                <w:rFonts w:ascii="Arial" w:eastAsia="Times New Roman" w:hAnsi="Arial" w:cs="Arial"/>
                <w:sz w:val="20"/>
                <w:szCs w:val="20"/>
              </w:rPr>
              <w:t>CZ12</w:t>
            </w:r>
          </w:p>
        </w:tc>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08289DC8" w14:textId="77777777" w:rsidR="00B557AB" w:rsidRPr="00A34771" w:rsidRDefault="00B557AB" w:rsidP="00B557AB">
            <w:pPr>
              <w:spacing w:after="0" w:line="240" w:lineRule="auto"/>
              <w:jc w:val="right"/>
              <w:rPr>
                <w:rFonts w:ascii="Arial" w:eastAsia="Times New Roman" w:hAnsi="Arial" w:cs="Arial"/>
                <w:sz w:val="20"/>
                <w:szCs w:val="20"/>
              </w:rPr>
            </w:pPr>
            <w:r w:rsidRPr="00A34771">
              <w:rPr>
                <w:rFonts w:ascii="Arial" w:eastAsia="Times New Roman" w:hAnsi="Arial" w:cs="Arial"/>
                <w:sz w:val="20"/>
                <w:szCs w:val="20"/>
              </w:rPr>
              <w:t>574</w:t>
            </w:r>
          </w:p>
        </w:tc>
        <w:tc>
          <w:tcPr>
            <w:tcW w:w="1360" w:type="dxa"/>
            <w:tcBorders>
              <w:top w:val="nil"/>
              <w:left w:val="nil"/>
              <w:bottom w:val="single" w:sz="4" w:space="0" w:color="auto"/>
              <w:right w:val="single" w:sz="4" w:space="0" w:color="auto"/>
            </w:tcBorders>
            <w:shd w:val="clear" w:color="auto" w:fill="auto"/>
            <w:noWrap/>
            <w:vAlign w:val="bottom"/>
            <w:hideMark/>
          </w:tcPr>
          <w:p w14:paraId="1939C744" w14:textId="77777777" w:rsidR="00B557AB" w:rsidRPr="00A34771" w:rsidRDefault="00B557AB" w:rsidP="00B557AB">
            <w:pPr>
              <w:spacing w:after="0" w:line="240" w:lineRule="auto"/>
              <w:jc w:val="right"/>
              <w:rPr>
                <w:rFonts w:ascii="Arial" w:eastAsia="Times New Roman" w:hAnsi="Arial" w:cs="Arial"/>
                <w:sz w:val="20"/>
                <w:szCs w:val="20"/>
              </w:rPr>
            </w:pPr>
            <w:r w:rsidRPr="00A34771">
              <w:rPr>
                <w:rFonts w:ascii="Arial" w:eastAsia="Times New Roman" w:hAnsi="Arial" w:cs="Arial"/>
                <w:sz w:val="20"/>
                <w:szCs w:val="20"/>
              </w:rPr>
              <w:t>577</w:t>
            </w:r>
          </w:p>
        </w:tc>
        <w:tc>
          <w:tcPr>
            <w:tcW w:w="1195" w:type="dxa"/>
            <w:tcBorders>
              <w:top w:val="nil"/>
              <w:left w:val="nil"/>
              <w:bottom w:val="single" w:sz="4" w:space="0" w:color="auto"/>
              <w:right w:val="single" w:sz="4" w:space="0" w:color="auto"/>
            </w:tcBorders>
            <w:shd w:val="clear" w:color="auto" w:fill="auto"/>
            <w:noWrap/>
            <w:vAlign w:val="bottom"/>
            <w:hideMark/>
          </w:tcPr>
          <w:p w14:paraId="589E4BBA" w14:textId="77777777" w:rsidR="00B557AB" w:rsidRPr="00A34771" w:rsidRDefault="00B557AB" w:rsidP="00B557AB">
            <w:pPr>
              <w:spacing w:after="0" w:line="240" w:lineRule="auto"/>
              <w:jc w:val="right"/>
              <w:rPr>
                <w:rFonts w:ascii="Arial" w:eastAsia="Times New Roman" w:hAnsi="Arial" w:cs="Arial"/>
                <w:sz w:val="20"/>
                <w:szCs w:val="20"/>
              </w:rPr>
            </w:pPr>
            <w:r w:rsidRPr="00A34771">
              <w:rPr>
                <w:rFonts w:ascii="Arial" w:eastAsia="Times New Roman" w:hAnsi="Arial" w:cs="Arial"/>
                <w:sz w:val="20"/>
                <w:szCs w:val="20"/>
              </w:rPr>
              <w:t>3</w:t>
            </w:r>
          </w:p>
        </w:tc>
        <w:tc>
          <w:tcPr>
            <w:tcW w:w="1195" w:type="dxa"/>
            <w:tcBorders>
              <w:top w:val="nil"/>
              <w:left w:val="nil"/>
              <w:bottom w:val="single" w:sz="4" w:space="0" w:color="auto"/>
              <w:right w:val="single" w:sz="4" w:space="0" w:color="auto"/>
            </w:tcBorders>
            <w:vAlign w:val="bottom"/>
          </w:tcPr>
          <w:p w14:paraId="075079E6" w14:textId="6C59C7ED" w:rsidR="00B557AB" w:rsidRPr="00A34771" w:rsidRDefault="00B557AB" w:rsidP="00B557AB">
            <w:pPr>
              <w:spacing w:after="0" w:line="240" w:lineRule="auto"/>
              <w:jc w:val="right"/>
              <w:rPr>
                <w:rFonts w:ascii="Arial" w:eastAsia="Times New Roman" w:hAnsi="Arial" w:cs="Arial"/>
                <w:sz w:val="20"/>
                <w:szCs w:val="20"/>
              </w:rPr>
            </w:pPr>
            <w:r>
              <w:rPr>
                <w:rFonts w:ascii="Arial" w:hAnsi="Arial" w:cs="Arial"/>
                <w:sz w:val="20"/>
                <w:szCs w:val="20"/>
              </w:rPr>
              <w:t>0.52%</w:t>
            </w:r>
          </w:p>
        </w:tc>
      </w:tr>
      <w:tr w:rsidR="00B557AB" w:rsidRPr="00A34771" w14:paraId="20A9687B" w14:textId="35611B76" w:rsidTr="00D04232">
        <w:trPr>
          <w:trHeight w:val="255"/>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6AFA2655" w14:textId="77777777" w:rsidR="00B557AB" w:rsidRPr="00A34771" w:rsidRDefault="00B557AB" w:rsidP="00B557AB">
            <w:pPr>
              <w:spacing w:after="0" w:line="240" w:lineRule="auto"/>
              <w:rPr>
                <w:rFonts w:ascii="Arial" w:eastAsia="Times New Roman" w:hAnsi="Arial" w:cs="Arial"/>
                <w:sz w:val="20"/>
                <w:szCs w:val="20"/>
              </w:rPr>
            </w:pPr>
            <w:r w:rsidRPr="00A34771">
              <w:rPr>
                <w:rFonts w:ascii="Arial" w:eastAsia="Times New Roman" w:hAnsi="Arial" w:cs="Arial"/>
                <w:sz w:val="20"/>
                <w:szCs w:val="20"/>
              </w:rPr>
              <w:t>CZ13</w:t>
            </w:r>
          </w:p>
        </w:tc>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199D74C1" w14:textId="77777777" w:rsidR="00B557AB" w:rsidRPr="00A34771" w:rsidRDefault="00B557AB" w:rsidP="00B557AB">
            <w:pPr>
              <w:spacing w:after="0" w:line="240" w:lineRule="auto"/>
              <w:jc w:val="right"/>
              <w:rPr>
                <w:rFonts w:ascii="Arial" w:eastAsia="Times New Roman" w:hAnsi="Arial" w:cs="Arial"/>
                <w:sz w:val="20"/>
                <w:szCs w:val="20"/>
              </w:rPr>
            </w:pPr>
            <w:r w:rsidRPr="00A34771">
              <w:rPr>
                <w:rFonts w:ascii="Arial" w:eastAsia="Times New Roman" w:hAnsi="Arial" w:cs="Arial"/>
                <w:sz w:val="20"/>
                <w:szCs w:val="20"/>
              </w:rPr>
              <w:t>302</w:t>
            </w:r>
          </w:p>
        </w:tc>
        <w:tc>
          <w:tcPr>
            <w:tcW w:w="1360" w:type="dxa"/>
            <w:tcBorders>
              <w:top w:val="nil"/>
              <w:left w:val="nil"/>
              <w:bottom w:val="single" w:sz="4" w:space="0" w:color="auto"/>
              <w:right w:val="single" w:sz="4" w:space="0" w:color="auto"/>
            </w:tcBorders>
            <w:shd w:val="clear" w:color="auto" w:fill="auto"/>
            <w:noWrap/>
            <w:vAlign w:val="bottom"/>
            <w:hideMark/>
          </w:tcPr>
          <w:p w14:paraId="4894DCEA" w14:textId="77777777" w:rsidR="00B557AB" w:rsidRPr="00A34771" w:rsidRDefault="00B557AB" w:rsidP="00B557AB">
            <w:pPr>
              <w:spacing w:after="0" w:line="240" w:lineRule="auto"/>
              <w:jc w:val="right"/>
              <w:rPr>
                <w:rFonts w:ascii="Arial" w:eastAsia="Times New Roman" w:hAnsi="Arial" w:cs="Arial"/>
                <w:sz w:val="20"/>
                <w:szCs w:val="20"/>
              </w:rPr>
            </w:pPr>
            <w:r w:rsidRPr="00A34771">
              <w:rPr>
                <w:rFonts w:ascii="Arial" w:eastAsia="Times New Roman" w:hAnsi="Arial" w:cs="Arial"/>
                <w:sz w:val="20"/>
                <w:szCs w:val="20"/>
              </w:rPr>
              <w:t>305</w:t>
            </w:r>
          </w:p>
        </w:tc>
        <w:tc>
          <w:tcPr>
            <w:tcW w:w="1195" w:type="dxa"/>
            <w:tcBorders>
              <w:top w:val="nil"/>
              <w:left w:val="nil"/>
              <w:bottom w:val="single" w:sz="4" w:space="0" w:color="auto"/>
              <w:right w:val="single" w:sz="4" w:space="0" w:color="auto"/>
            </w:tcBorders>
            <w:shd w:val="clear" w:color="auto" w:fill="auto"/>
            <w:noWrap/>
            <w:vAlign w:val="bottom"/>
            <w:hideMark/>
          </w:tcPr>
          <w:p w14:paraId="11EBDDD1" w14:textId="77777777" w:rsidR="00B557AB" w:rsidRPr="00A34771" w:rsidRDefault="00B557AB" w:rsidP="00B557AB">
            <w:pPr>
              <w:spacing w:after="0" w:line="240" w:lineRule="auto"/>
              <w:jc w:val="right"/>
              <w:rPr>
                <w:rFonts w:ascii="Arial" w:eastAsia="Times New Roman" w:hAnsi="Arial" w:cs="Arial"/>
                <w:sz w:val="20"/>
                <w:szCs w:val="20"/>
              </w:rPr>
            </w:pPr>
            <w:r w:rsidRPr="00A34771">
              <w:rPr>
                <w:rFonts w:ascii="Arial" w:eastAsia="Times New Roman" w:hAnsi="Arial" w:cs="Arial"/>
                <w:sz w:val="20"/>
                <w:szCs w:val="20"/>
              </w:rPr>
              <w:t>3</w:t>
            </w:r>
          </w:p>
        </w:tc>
        <w:tc>
          <w:tcPr>
            <w:tcW w:w="1195" w:type="dxa"/>
            <w:tcBorders>
              <w:top w:val="nil"/>
              <w:left w:val="nil"/>
              <w:bottom w:val="single" w:sz="4" w:space="0" w:color="auto"/>
              <w:right w:val="single" w:sz="4" w:space="0" w:color="auto"/>
            </w:tcBorders>
            <w:vAlign w:val="bottom"/>
          </w:tcPr>
          <w:p w14:paraId="69674C77" w14:textId="7FF56E88" w:rsidR="00B557AB" w:rsidRPr="00A34771" w:rsidRDefault="00B557AB" w:rsidP="00B557AB">
            <w:pPr>
              <w:spacing w:after="0" w:line="240" w:lineRule="auto"/>
              <w:jc w:val="right"/>
              <w:rPr>
                <w:rFonts w:ascii="Arial" w:eastAsia="Times New Roman" w:hAnsi="Arial" w:cs="Arial"/>
                <w:sz w:val="20"/>
                <w:szCs w:val="20"/>
              </w:rPr>
            </w:pPr>
            <w:r>
              <w:rPr>
                <w:rFonts w:ascii="Arial" w:hAnsi="Arial" w:cs="Arial"/>
                <w:sz w:val="20"/>
                <w:szCs w:val="20"/>
              </w:rPr>
              <w:t>0.99%</w:t>
            </w:r>
          </w:p>
        </w:tc>
      </w:tr>
      <w:tr w:rsidR="00B557AB" w:rsidRPr="00A34771" w14:paraId="4BB221CD" w14:textId="3AED5FD3" w:rsidTr="00D04232">
        <w:trPr>
          <w:trHeight w:val="255"/>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1E19EA16" w14:textId="77777777" w:rsidR="00B557AB" w:rsidRPr="00A34771" w:rsidRDefault="00B557AB" w:rsidP="00B557AB">
            <w:pPr>
              <w:spacing w:after="0" w:line="240" w:lineRule="auto"/>
              <w:rPr>
                <w:rFonts w:ascii="Arial" w:eastAsia="Times New Roman" w:hAnsi="Arial" w:cs="Arial"/>
                <w:sz w:val="20"/>
                <w:szCs w:val="20"/>
              </w:rPr>
            </w:pPr>
            <w:r w:rsidRPr="00A34771">
              <w:rPr>
                <w:rFonts w:ascii="Arial" w:eastAsia="Times New Roman" w:hAnsi="Arial" w:cs="Arial"/>
                <w:sz w:val="20"/>
                <w:szCs w:val="20"/>
              </w:rPr>
              <w:t>CZ14</w:t>
            </w:r>
          </w:p>
        </w:tc>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633618B2" w14:textId="77777777" w:rsidR="00B557AB" w:rsidRPr="00A34771" w:rsidRDefault="00B557AB" w:rsidP="00B557AB">
            <w:pPr>
              <w:spacing w:after="0" w:line="240" w:lineRule="auto"/>
              <w:jc w:val="right"/>
              <w:rPr>
                <w:rFonts w:ascii="Arial" w:eastAsia="Times New Roman" w:hAnsi="Arial" w:cs="Arial"/>
                <w:sz w:val="20"/>
                <w:szCs w:val="20"/>
              </w:rPr>
            </w:pPr>
            <w:r w:rsidRPr="00A34771">
              <w:rPr>
                <w:rFonts w:ascii="Arial" w:eastAsia="Times New Roman" w:hAnsi="Arial" w:cs="Arial"/>
                <w:sz w:val="20"/>
                <w:szCs w:val="20"/>
              </w:rPr>
              <w:t>735</w:t>
            </w:r>
          </w:p>
        </w:tc>
        <w:tc>
          <w:tcPr>
            <w:tcW w:w="1360" w:type="dxa"/>
            <w:tcBorders>
              <w:top w:val="nil"/>
              <w:left w:val="nil"/>
              <w:bottom w:val="single" w:sz="4" w:space="0" w:color="auto"/>
              <w:right w:val="single" w:sz="4" w:space="0" w:color="auto"/>
            </w:tcBorders>
            <w:shd w:val="clear" w:color="auto" w:fill="auto"/>
            <w:noWrap/>
            <w:vAlign w:val="bottom"/>
            <w:hideMark/>
          </w:tcPr>
          <w:p w14:paraId="2D5E422D" w14:textId="77777777" w:rsidR="00B557AB" w:rsidRPr="00A34771" w:rsidRDefault="00B557AB" w:rsidP="00B557AB">
            <w:pPr>
              <w:spacing w:after="0" w:line="240" w:lineRule="auto"/>
              <w:jc w:val="right"/>
              <w:rPr>
                <w:rFonts w:ascii="Arial" w:eastAsia="Times New Roman" w:hAnsi="Arial" w:cs="Arial"/>
                <w:sz w:val="20"/>
                <w:szCs w:val="20"/>
              </w:rPr>
            </w:pPr>
            <w:r w:rsidRPr="00A34771">
              <w:rPr>
                <w:rFonts w:ascii="Arial" w:eastAsia="Times New Roman" w:hAnsi="Arial" w:cs="Arial"/>
                <w:sz w:val="20"/>
                <w:szCs w:val="20"/>
              </w:rPr>
              <w:t>742</w:t>
            </w:r>
          </w:p>
        </w:tc>
        <w:tc>
          <w:tcPr>
            <w:tcW w:w="1195" w:type="dxa"/>
            <w:tcBorders>
              <w:top w:val="nil"/>
              <w:left w:val="nil"/>
              <w:bottom w:val="single" w:sz="4" w:space="0" w:color="auto"/>
              <w:right w:val="single" w:sz="4" w:space="0" w:color="auto"/>
            </w:tcBorders>
            <w:shd w:val="clear" w:color="auto" w:fill="auto"/>
            <w:noWrap/>
            <w:vAlign w:val="bottom"/>
            <w:hideMark/>
          </w:tcPr>
          <w:p w14:paraId="141D8633" w14:textId="77777777" w:rsidR="00B557AB" w:rsidRPr="00A34771" w:rsidRDefault="00B557AB" w:rsidP="00B557AB">
            <w:pPr>
              <w:spacing w:after="0" w:line="240" w:lineRule="auto"/>
              <w:jc w:val="right"/>
              <w:rPr>
                <w:rFonts w:ascii="Arial" w:eastAsia="Times New Roman" w:hAnsi="Arial" w:cs="Arial"/>
                <w:sz w:val="20"/>
                <w:szCs w:val="20"/>
              </w:rPr>
            </w:pPr>
            <w:r w:rsidRPr="00A34771">
              <w:rPr>
                <w:rFonts w:ascii="Arial" w:eastAsia="Times New Roman" w:hAnsi="Arial" w:cs="Arial"/>
                <w:sz w:val="20"/>
                <w:szCs w:val="20"/>
              </w:rPr>
              <w:t>7</w:t>
            </w:r>
          </w:p>
        </w:tc>
        <w:tc>
          <w:tcPr>
            <w:tcW w:w="1195" w:type="dxa"/>
            <w:tcBorders>
              <w:top w:val="nil"/>
              <w:left w:val="nil"/>
              <w:bottom w:val="single" w:sz="4" w:space="0" w:color="auto"/>
              <w:right w:val="single" w:sz="4" w:space="0" w:color="auto"/>
            </w:tcBorders>
            <w:vAlign w:val="bottom"/>
          </w:tcPr>
          <w:p w14:paraId="3F81FF63" w14:textId="2440C81E" w:rsidR="00B557AB" w:rsidRPr="00A34771" w:rsidRDefault="00B557AB" w:rsidP="00B557AB">
            <w:pPr>
              <w:spacing w:after="0" w:line="240" w:lineRule="auto"/>
              <w:jc w:val="right"/>
              <w:rPr>
                <w:rFonts w:ascii="Arial" w:eastAsia="Times New Roman" w:hAnsi="Arial" w:cs="Arial"/>
                <w:sz w:val="20"/>
                <w:szCs w:val="20"/>
              </w:rPr>
            </w:pPr>
            <w:r>
              <w:rPr>
                <w:rFonts w:ascii="Arial" w:hAnsi="Arial" w:cs="Arial"/>
                <w:sz w:val="20"/>
                <w:szCs w:val="20"/>
              </w:rPr>
              <w:t>0.95%</w:t>
            </w:r>
          </w:p>
        </w:tc>
      </w:tr>
      <w:tr w:rsidR="00B557AB" w:rsidRPr="00A34771" w14:paraId="6F754D38" w14:textId="792F5BB8" w:rsidTr="00D04232">
        <w:trPr>
          <w:trHeight w:val="255"/>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0BC7960F" w14:textId="77777777" w:rsidR="00B557AB" w:rsidRPr="00A34771" w:rsidRDefault="00B557AB" w:rsidP="00B557AB">
            <w:pPr>
              <w:spacing w:after="0" w:line="240" w:lineRule="auto"/>
              <w:rPr>
                <w:rFonts w:ascii="Arial" w:eastAsia="Times New Roman" w:hAnsi="Arial" w:cs="Arial"/>
                <w:sz w:val="20"/>
                <w:szCs w:val="20"/>
              </w:rPr>
            </w:pPr>
            <w:r w:rsidRPr="00A34771">
              <w:rPr>
                <w:rFonts w:ascii="Arial" w:eastAsia="Times New Roman" w:hAnsi="Arial" w:cs="Arial"/>
                <w:sz w:val="20"/>
                <w:szCs w:val="20"/>
              </w:rPr>
              <w:t>CZ15</w:t>
            </w:r>
          </w:p>
        </w:tc>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02D47619" w14:textId="77777777" w:rsidR="00B557AB" w:rsidRPr="00A34771" w:rsidRDefault="00B557AB" w:rsidP="00B557AB">
            <w:pPr>
              <w:spacing w:after="0" w:line="240" w:lineRule="auto"/>
              <w:jc w:val="right"/>
              <w:rPr>
                <w:rFonts w:ascii="Arial" w:eastAsia="Times New Roman" w:hAnsi="Arial" w:cs="Arial"/>
                <w:sz w:val="20"/>
                <w:szCs w:val="20"/>
              </w:rPr>
            </w:pPr>
            <w:r w:rsidRPr="00A34771">
              <w:rPr>
                <w:rFonts w:ascii="Arial" w:eastAsia="Times New Roman" w:hAnsi="Arial" w:cs="Arial"/>
                <w:sz w:val="20"/>
                <w:szCs w:val="20"/>
              </w:rPr>
              <w:t>260</w:t>
            </w:r>
          </w:p>
        </w:tc>
        <w:tc>
          <w:tcPr>
            <w:tcW w:w="1360" w:type="dxa"/>
            <w:tcBorders>
              <w:top w:val="nil"/>
              <w:left w:val="nil"/>
              <w:bottom w:val="single" w:sz="4" w:space="0" w:color="auto"/>
              <w:right w:val="single" w:sz="4" w:space="0" w:color="auto"/>
            </w:tcBorders>
            <w:shd w:val="clear" w:color="auto" w:fill="auto"/>
            <w:noWrap/>
            <w:vAlign w:val="bottom"/>
            <w:hideMark/>
          </w:tcPr>
          <w:p w14:paraId="2BC35CD9" w14:textId="77777777" w:rsidR="00B557AB" w:rsidRPr="00A34771" w:rsidRDefault="00B557AB" w:rsidP="00B557AB">
            <w:pPr>
              <w:spacing w:after="0" w:line="240" w:lineRule="auto"/>
              <w:jc w:val="right"/>
              <w:rPr>
                <w:rFonts w:ascii="Arial" w:eastAsia="Times New Roman" w:hAnsi="Arial" w:cs="Arial"/>
                <w:sz w:val="20"/>
                <w:szCs w:val="20"/>
              </w:rPr>
            </w:pPr>
            <w:r w:rsidRPr="00A34771">
              <w:rPr>
                <w:rFonts w:ascii="Arial" w:eastAsia="Times New Roman" w:hAnsi="Arial" w:cs="Arial"/>
                <w:sz w:val="20"/>
                <w:szCs w:val="20"/>
              </w:rPr>
              <w:t>260</w:t>
            </w:r>
          </w:p>
        </w:tc>
        <w:tc>
          <w:tcPr>
            <w:tcW w:w="1195" w:type="dxa"/>
            <w:tcBorders>
              <w:top w:val="nil"/>
              <w:left w:val="nil"/>
              <w:bottom w:val="single" w:sz="4" w:space="0" w:color="auto"/>
              <w:right w:val="single" w:sz="4" w:space="0" w:color="auto"/>
            </w:tcBorders>
            <w:shd w:val="clear" w:color="auto" w:fill="auto"/>
            <w:noWrap/>
            <w:vAlign w:val="bottom"/>
            <w:hideMark/>
          </w:tcPr>
          <w:p w14:paraId="00CDBA6B" w14:textId="77777777" w:rsidR="00B557AB" w:rsidRPr="00A34771" w:rsidRDefault="00B557AB" w:rsidP="00B557AB">
            <w:pPr>
              <w:spacing w:after="0" w:line="240" w:lineRule="auto"/>
              <w:jc w:val="right"/>
              <w:rPr>
                <w:rFonts w:ascii="Arial" w:eastAsia="Times New Roman" w:hAnsi="Arial" w:cs="Arial"/>
                <w:sz w:val="20"/>
                <w:szCs w:val="20"/>
              </w:rPr>
            </w:pPr>
            <w:r w:rsidRPr="00A34771">
              <w:rPr>
                <w:rFonts w:ascii="Arial" w:eastAsia="Times New Roman" w:hAnsi="Arial" w:cs="Arial"/>
                <w:sz w:val="20"/>
                <w:szCs w:val="20"/>
              </w:rPr>
              <w:t>0</w:t>
            </w:r>
          </w:p>
        </w:tc>
        <w:tc>
          <w:tcPr>
            <w:tcW w:w="1195" w:type="dxa"/>
            <w:tcBorders>
              <w:top w:val="nil"/>
              <w:left w:val="nil"/>
              <w:bottom w:val="single" w:sz="4" w:space="0" w:color="auto"/>
              <w:right w:val="single" w:sz="4" w:space="0" w:color="auto"/>
            </w:tcBorders>
            <w:vAlign w:val="bottom"/>
          </w:tcPr>
          <w:p w14:paraId="28DE8B1F" w14:textId="0195F7AE" w:rsidR="00B557AB" w:rsidRPr="00A34771" w:rsidRDefault="00B557AB" w:rsidP="00B557AB">
            <w:pPr>
              <w:spacing w:after="0" w:line="240" w:lineRule="auto"/>
              <w:jc w:val="right"/>
              <w:rPr>
                <w:rFonts w:ascii="Arial" w:eastAsia="Times New Roman" w:hAnsi="Arial" w:cs="Arial"/>
                <w:sz w:val="20"/>
                <w:szCs w:val="20"/>
              </w:rPr>
            </w:pPr>
            <w:r>
              <w:rPr>
                <w:rFonts w:ascii="Arial" w:hAnsi="Arial" w:cs="Arial"/>
                <w:sz w:val="20"/>
                <w:szCs w:val="20"/>
              </w:rPr>
              <w:t>0.00%</w:t>
            </w:r>
          </w:p>
        </w:tc>
      </w:tr>
      <w:tr w:rsidR="00B557AB" w:rsidRPr="00A34771" w14:paraId="50A5F587" w14:textId="7C8BDFAD" w:rsidTr="00D04232">
        <w:trPr>
          <w:trHeight w:val="255"/>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02205FF3" w14:textId="77777777" w:rsidR="00B557AB" w:rsidRPr="00A34771" w:rsidRDefault="00B557AB" w:rsidP="00B557AB">
            <w:pPr>
              <w:spacing w:after="0" w:line="240" w:lineRule="auto"/>
              <w:rPr>
                <w:rFonts w:ascii="Arial" w:eastAsia="Times New Roman" w:hAnsi="Arial" w:cs="Arial"/>
                <w:sz w:val="20"/>
                <w:szCs w:val="20"/>
              </w:rPr>
            </w:pPr>
            <w:r w:rsidRPr="00A34771">
              <w:rPr>
                <w:rFonts w:ascii="Arial" w:eastAsia="Times New Roman" w:hAnsi="Arial" w:cs="Arial"/>
                <w:sz w:val="20"/>
                <w:szCs w:val="20"/>
              </w:rPr>
              <w:t>CZ16</w:t>
            </w:r>
          </w:p>
        </w:tc>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2F0D9D02" w14:textId="77777777" w:rsidR="00B557AB" w:rsidRPr="00A34771" w:rsidRDefault="00B557AB" w:rsidP="00B557AB">
            <w:pPr>
              <w:spacing w:after="0" w:line="240" w:lineRule="auto"/>
              <w:jc w:val="right"/>
              <w:rPr>
                <w:rFonts w:ascii="Arial" w:eastAsia="Times New Roman" w:hAnsi="Arial" w:cs="Arial"/>
                <w:sz w:val="20"/>
                <w:szCs w:val="20"/>
              </w:rPr>
            </w:pPr>
            <w:r w:rsidRPr="00A34771">
              <w:rPr>
                <w:rFonts w:ascii="Arial" w:eastAsia="Times New Roman" w:hAnsi="Arial" w:cs="Arial"/>
                <w:sz w:val="20"/>
                <w:szCs w:val="20"/>
              </w:rPr>
              <w:t>1048</w:t>
            </w:r>
          </w:p>
        </w:tc>
        <w:tc>
          <w:tcPr>
            <w:tcW w:w="1360" w:type="dxa"/>
            <w:tcBorders>
              <w:top w:val="nil"/>
              <w:left w:val="nil"/>
              <w:bottom w:val="single" w:sz="4" w:space="0" w:color="auto"/>
              <w:right w:val="single" w:sz="4" w:space="0" w:color="auto"/>
            </w:tcBorders>
            <w:shd w:val="clear" w:color="auto" w:fill="auto"/>
            <w:noWrap/>
            <w:vAlign w:val="bottom"/>
            <w:hideMark/>
          </w:tcPr>
          <w:p w14:paraId="384D2441" w14:textId="77777777" w:rsidR="00B557AB" w:rsidRPr="00A34771" w:rsidRDefault="00B557AB" w:rsidP="00B557AB">
            <w:pPr>
              <w:spacing w:after="0" w:line="240" w:lineRule="auto"/>
              <w:jc w:val="right"/>
              <w:rPr>
                <w:rFonts w:ascii="Arial" w:eastAsia="Times New Roman" w:hAnsi="Arial" w:cs="Arial"/>
                <w:sz w:val="20"/>
                <w:szCs w:val="20"/>
              </w:rPr>
            </w:pPr>
            <w:r w:rsidRPr="00A34771">
              <w:rPr>
                <w:rFonts w:ascii="Arial" w:eastAsia="Times New Roman" w:hAnsi="Arial" w:cs="Arial"/>
                <w:sz w:val="20"/>
                <w:szCs w:val="20"/>
              </w:rPr>
              <w:t>1062</w:t>
            </w:r>
          </w:p>
        </w:tc>
        <w:tc>
          <w:tcPr>
            <w:tcW w:w="1195" w:type="dxa"/>
            <w:tcBorders>
              <w:top w:val="nil"/>
              <w:left w:val="nil"/>
              <w:bottom w:val="single" w:sz="4" w:space="0" w:color="auto"/>
              <w:right w:val="single" w:sz="4" w:space="0" w:color="auto"/>
            </w:tcBorders>
            <w:shd w:val="clear" w:color="auto" w:fill="auto"/>
            <w:noWrap/>
            <w:vAlign w:val="bottom"/>
            <w:hideMark/>
          </w:tcPr>
          <w:p w14:paraId="0274A9E2" w14:textId="77777777" w:rsidR="00B557AB" w:rsidRPr="00A34771" w:rsidRDefault="00B557AB" w:rsidP="00B557AB">
            <w:pPr>
              <w:spacing w:after="0" w:line="240" w:lineRule="auto"/>
              <w:jc w:val="right"/>
              <w:rPr>
                <w:rFonts w:ascii="Arial" w:eastAsia="Times New Roman" w:hAnsi="Arial" w:cs="Arial"/>
                <w:sz w:val="20"/>
                <w:szCs w:val="20"/>
              </w:rPr>
            </w:pPr>
            <w:r w:rsidRPr="00A34771">
              <w:rPr>
                <w:rFonts w:ascii="Arial" w:eastAsia="Times New Roman" w:hAnsi="Arial" w:cs="Arial"/>
                <w:sz w:val="20"/>
                <w:szCs w:val="20"/>
              </w:rPr>
              <w:t>14</w:t>
            </w:r>
          </w:p>
        </w:tc>
        <w:tc>
          <w:tcPr>
            <w:tcW w:w="1195" w:type="dxa"/>
            <w:tcBorders>
              <w:top w:val="nil"/>
              <w:left w:val="nil"/>
              <w:bottom w:val="single" w:sz="4" w:space="0" w:color="auto"/>
              <w:right w:val="single" w:sz="4" w:space="0" w:color="auto"/>
            </w:tcBorders>
            <w:vAlign w:val="bottom"/>
          </w:tcPr>
          <w:p w14:paraId="1D10F1A0" w14:textId="76A186CB" w:rsidR="00B557AB" w:rsidRPr="00A34771" w:rsidRDefault="00B557AB" w:rsidP="00B557AB">
            <w:pPr>
              <w:spacing w:after="0" w:line="240" w:lineRule="auto"/>
              <w:jc w:val="right"/>
              <w:rPr>
                <w:rFonts w:ascii="Arial" w:eastAsia="Times New Roman" w:hAnsi="Arial" w:cs="Arial"/>
                <w:sz w:val="20"/>
                <w:szCs w:val="20"/>
              </w:rPr>
            </w:pPr>
            <w:r>
              <w:rPr>
                <w:rFonts w:ascii="Arial" w:hAnsi="Arial" w:cs="Arial"/>
                <w:sz w:val="20"/>
                <w:szCs w:val="20"/>
              </w:rPr>
              <w:t>1.34%</w:t>
            </w:r>
          </w:p>
        </w:tc>
      </w:tr>
    </w:tbl>
    <w:p w14:paraId="42E4CB15" w14:textId="11545424" w:rsidR="00A34771" w:rsidRDefault="00A34771" w:rsidP="003034F3"/>
    <w:tbl>
      <w:tblPr>
        <w:tblW w:w="7750" w:type="dxa"/>
        <w:tblLook w:val="04A0" w:firstRow="1" w:lastRow="0" w:firstColumn="1" w:lastColumn="0" w:noHBand="0" w:noVBand="1"/>
      </w:tblPr>
      <w:tblGrid>
        <w:gridCol w:w="2700"/>
        <w:gridCol w:w="1300"/>
        <w:gridCol w:w="1360"/>
        <w:gridCol w:w="1195"/>
        <w:gridCol w:w="1195"/>
      </w:tblGrid>
      <w:tr w:rsidR="005602E1" w:rsidRPr="00A34771" w14:paraId="30DC7B07" w14:textId="7F0FB4DF" w:rsidTr="00F10272">
        <w:trPr>
          <w:trHeight w:val="528"/>
        </w:trPr>
        <w:tc>
          <w:tcPr>
            <w:tcW w:w="2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28321F" w14:textId="5458AEDF" w:rsidR="005602E1" w:rsidRPr="00A34771" w:rsidRDefault="005602E1" w:rsidP="005602E1">
            <w:pPr>
              <w:spacing w:after="0" w:line="240" w:lineRule="auto"/>
              <w:rPr>
                <w:rFonts w:ascii="Arial" w:eastAsia="Times New Roman" w:hAnsi="Arial" w:cs="Arial"/>
                <w:b/>
                <w:bCs/>
                <w:sz w:val="20"/>
                <w:szCs w:val="20"/>
              </w:rPr>
            </w:pPr>
            <w:r>
              <w:rPr>
                <w:rFonts w:ascii="Arial" w:eastAsia="Times New Roman" w:hAnsi="Arial" w:cs="Arial"/>
                <w:b/>
                <w:bCs/>
                <w:sz w:val="20"/>
                <w:szCs w:val="20"/>
              </w:rPr>
              <w:t>MFm-Cmn Measure</w:t>
            </w:r>
          </w:p>
        </w:tc>
        <w:tc>
          <w:tcPr>
            <w:tcW w:w="130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0178656" w14:textId="77777777" w:rsidR="005602E1" w:rsidRPr="00A34771" w:rsidRDefault="005602E1" w:rsidP="005602E1">
            <w:pPr>
              <w:spacing w:after="0" w:line="240" w:lineRule="auto"/>
              <w:rPr>
                <w:rFonts w:ascii="Arial" w:eastAsia="Times New Roman" w:hAnsi="Arial" w:cs="Arial"/>
                <w:b/>
                <w:bCs/>
                <w:sz w:val="20"/>
                <w:szCs w:val="20"/>
              </w:rPr>
            </w:pPr>
            <w:r w:rsidRPr="00A34771">
              <w:rPr>
                <w:rFonts w:ascii="Arial" w:eastAsia="Times New Roman" w:hAnsi="Arial" w:cs="Arial"/>
                <w:b/>
                <w:bCs/>
                <w:sz w:val="20"/>
                <w:szCs w:val="20"/>
              </w:rPr>
              <w:t>Baseline Run Hours</w:t>
            </w:r>
          </w:p>
        </w:tc>
        <w:tc>
          <w:tcPr>
            <w:tcW w:w="1360" w:type="dxa"/>
            <w:tcBorders>
              <w:top w:val="single" w:sz="4" w:space="0" w:color="auto"/>
              <w:left w:val="nil"/>
              <w:bottom w:val="single" w:sz="4" w:space="0" w:color="auto"/>
              <w:right w:val="single" w:sz="4" w:space="0" w:color="auto"/>
            </w:tcBorders>
            <w:shd w:val="clear" w:color="auto" w:fill="auto"/>
            <w:vAlign w:val="bottom"/>
            <w:hideMark/>
          </w:tcPr>
          <w:p w14:paraId="6189581F" w14:textId="77777777" w:rsidR="005602E1" w:rsidRPr="00A34771" w:rsidRDefault="005602E1" w:rsidP="005602E1">
            <w:pPr>
              <w:spacing w:after="0" w:line="240" w:lineRule="auto"/>
              <w:rPr>
                <w:rFonts w:ascii="Arial" w:eastAsia="Times New Roman" w:hAnsi="Arial" w:cs="Arial"/>
                <w:b/>
                <w:bCs/>
                <w:sz w:val="20"/>
                <w:szCs w:val="20"/>
              </w:rPr>
            </w:pPr>
            <w:r w:rsidRPr="00A34771">
              <w:rPr>
                <w:rFonts w:ascii="Arial" w:eastAsia="Times New Roman" w:hAnsi="Arial" w:cs="Arial"/>
                <w:b/>
                <w:bCs/>
                <w:sz w:val="20"/>
                <w:szCs w:val="20"/>
              </w:rPr>
              <w:t>Measure Run Hours</w:t>
            </w:r>
          </w:p>
        </w:tc>
        <w:tc>
          <w:tcPr>
            <w:tcW w:w="1195" w:type="dxa"/>
            <w:tcBorders>
              <w:top w:val="single" w:sz="4" w:space="0" w:color="auto"/>
              <w:left w:val="nil"/>
              <w:bottom w:val="single" w:sz="4" w:space="0" w:color="auto"/>
              <w:right w:val="single" w:sz="4" w:space="0" w:color="auto"/>
            </w:tcBorders>
            <w:shd w:val="clear" w:color="auto" w:fill="auto"/>
            <w:vAlign w:val="bottom"/>
            <w:hideMark/>
          </w:tcPr>
          <w:p w14:paraId="6D069705" w14:textId="7CDDF4B0" w:rsidR="005602E1" w:rsidRPr="00A34771" w:rsidRDefault="00BA0DCA" w:rsidP="005602E1">
            <w:pPr>
              <w:spacing w:after="0" w:line="240" w:lineRule="auto"/>
              <w:rPr>
                <w:rFonts w:ascii="Arial" w:eastAsia="Times New Roman" w:hAnsi="Arial" w:cs="Arial"/>
                <w:b/>
                <w:bCs/>
                <w:sz w:val="20"/>
                <w:szCs w:val="20"/>
              </w:rPr>
            </w:pPr>
            <w:r>
              <w:rPr>
                <w:rFonts w:ascii="Arial" w:eastAsia="Times New Roman" w:hAnsi="Arial" w:cs="Arial"/>
                <w:b/>
                <w:bCs/>
                <w:sz w:val="20"/>
                <w:szCs w:val="20"/>
              </w:rPr>
              <w:t xml:space="preserve">Average </w:t>
            </w:r>
            <w:r w:rsidR="005602E1" w:rsidRPr="00A34771">
              <w:rPr>
                <w:rFonts w:ascii="Arial" w:eastAsia="Times New Roman" w:hAnsi="Arial" w:cs="Arial"/>
                <w:b/>
                <w:bCs/>
                <w:sz w:val="20"/>
                <w:szCs w:val="20"/>
              </w:rPr>
              <w:t>Hours Difference</w:t>
            </w:r>
          </w:p>
        </w:tc>
        <w:tc>
          <w:tcPr>
            <w:tcW w:w="1195" w:type="dxa"/>
            <w:tcBorders>
              <w:top w:val="single" w:sz="4" w:space="0" w:color="auto"/>
              <w:left w:val="nil"/>
              <w:bottom w:val="single" w:sz="4" w:space="0" w:color="auto"/>
              <w:right w:val="single" w:sz="4" w:space="0" w:color="auto"/>
            </w:tcBorders>
            <w:vAlign w:val="bottom"/>
          </w:tcPr>
          <w:p w14:paraId="189ABDD5" w14:textId="7E726332" w:rsidR="005602E1" w:rsidRPr="00A34771" w:rsidRDefault="005602E1" w:rsidP="005602E1">
            <w:pPr>
              <w:spacing w:after="0" w:line="240" w:lineRule="auto"/>
              <w:rPr>
                <w:rFonts w:ascii="Arial" w:eastAsia="Times New Roman" w:hAnsi="Arial" w:cs="Arial"/>
                <w:b/>
                <w:bCs/>
                <w:sz w:val="20"/>
                <w:szCs w:val="20"/>
              </w:rPr>
            </w:pPr>
            <w:r>
              <w:rPr>
                <w:rFonts w:ascii="Arial" w:hAnsi="Arial" w:cs="Arial"/>
                <w:b/>
                <w:bCs/>
                <w:sz w:val="20"/>
                <w:szCs w:val="20"/>
              </w:rPr>
              <w:t>Hours Percent</w:t>
            </w:r>
          </w:p>
        </w:tc>
      </w:tr>
      <w:tr w:rsidR="005602E1" w:rsidRPr="00A34771" w14:paraId="7B438B94" w14:textId="037160BC" w:rsidTr="00F10272">
        <w:trPr>
          <w:trHeight w:val="264"/>
        </w:trPr>
        <w:tc>
          <w:tcPr>
            <w:tcW w:w="2700" w:type="dxa"/>
            <w:tcBorders>
              <w:top w:val="nil"/>
              <w:left w:val="single" w:sz="4" w:space="0" w:color="auto"/>
              <w:bottom w:val="single" w:sz="4" w:space="0" w:color="auto"/>
              <w:right w:val="single" w:sz="4" w:space="0" w:color="auto"/>
            </w:tcBorders>
            <w:shd w:val="clear" w:color="auto" w:fill="auto"/>
            <w:noWrap/>
            <w:vAlign w:val="bottom"/>
          </w:tcPr>
          <w:p w14:paraId="156877B7" w14:textId="1D41C43F" w:rsidR="005602E1" w:rsidRPr="00A34771" w:rsidRDefault="005602E1" w:rsidP="005602E1">
            <w:pPr>
              <w:spacing w:after="0" w:line="240" w:lineRule="auto"/>
              <w:rPr>
                <w:rFonts w:ascii="Arial" w:eastAsia="Times New Roman" w:hAnsi="Arial" w:cs="Arial"/>
                <w:b/>
                <w:bCs/>
                <w:sz w:val="20"/>
                <w:szCs w:val="20"/>
              </w:rPr>
            </w:pPr>
            <w:r>
              <w:rPr>
                <w:rFonts w:ascii="Arial" w:eastAsia="Times New Roman" w:hAnsi="Arial" w:cs="Arial"/>
                <w:b/>
                <w:bCs/>
                <w:sz w:val="20"/>
                <w:szCs w:val="20"/>
              </w:rPr>
              <w:t>No Pool Cover</w:t>
            </w:r>
          </w:p>
        </w:tc>
        <w:tc>
          <w:tcPr>
            <w:tcW w:w="1300" w:type="dxa"/>
            <w:tcBorders>
              <w:top w:val="nil"/>
              <w:left w:val="single" w:sz="4" w:space="0" w:color="auto"/>
              <w:bottom w:val="single" w:sz="4" w:space="0" w:color="auto"/>
              <w:right w:val="single" w:sz="4" w:space="0" w:color="auto"/>
            </w:tcBorders>
            <w:shd w:val="clear" w:color="auto" w:fill="auto"/>
            <w:vAlign w:val="bottom"/>
            <w:hideMark/>
          </w:tcPr>
          <w:p w14:paraId="63C5557C" w14:textId="595996C2" w:rsidR="005602E1" w:rsidRPr="00A34771" w:rsidRDefault="005602E1" w:rsidP="005602E1">
            <w:pPr>
              <w:spacing w:after="0" w:line="240" w:lineRule="auto"/>
              <w:jc w:val="right"/>
              <w:rPr>
                <w:rFonts w:ascii="Arial" w:eastAsia="Times New Roman" w:hAnsi="Arial" w:cs="Arial"/>
                <w:sz w:val="20"/>
                <w:szCs w:val="20"/>
              </w:rPr>
            </w:pPr>
            <w:r>
              <w:rPr>
                <w:rFonts w:ascii="Arial" w:hAnsi="Arial" w:cs="Arial"/>
                <w:sz w:val="20"/>
                <w:szCs w:val="20"/>
              </w:rPr>
              <w:t>745.9</w:t>
            </w:r>
          </w:p>
        </w:tc>
        <w:tc>
          <w:tcPr>
            <w:tcW w:w="1360" w:type="dxa"/>
            <w:tcBorders>
              <w:top w:val="nil"/>
              <w:left w:val="nil"/>
              <w:bottom w:val="single" w:sz="4" w:space="0" w:color="auto"/>
              <w:right w:val="single" w:sz="4" w:space="0" w:color="auto"/>
            </w:tcBorders>
            <w:shd w:val="clear" w:color="auto" w:fill="auto"/>
            <w:vAlign w:val="bottom"/>
            <w:hideMark/>
          </w:tcPr>
          <w:p w14:paraId="246D641E" w14:textId="6BBD6590" w:rsidR="005602E1" w:rsidRPr="00A34771" w:rsidRDefault="005602E1" w:rsidP="005602E1">
            <w:pPr>
              <w:spacing w:after="0" w:line="240" w:lineRule="auto"/>
              <w:jc w:val="right"/>
              <w:rPr>
                <w:rFonts w:ascii="Arial" w:eastAsia="Times New Roman" w:hAnsi="Arial" w:cs="Arial"/>
                <w:sz w:val="20"/>
                <w:szCs w:val="20"/>
              </w:rPr>
            </w:pPr>
            <w:r>
              <w:rPr>
                <w:rFonts w:ascii="Arial" w:hAnsi="Arial" w:cs="Arial"/>
                <w:sz w:val="20"/>
                <w:szCs w:val="20"/>
              </w:rPr>
              <w:t>755.1</w:t>
            </w:r>
          </w:p>
        </w:tc>
        <w:tc>
          <w:tcPr>
            <w:tcW w:w="1195" w:type="dxa"/>
            <w:tcBorders>
              <w:top w:val="nil"/>
              <w:left w:val="nil"/>
              <w:bottom w:val="single" w:sz="4" w:space="0" w:color="auto"/>
              <w:right w:val="single" w:sz="4" w:space="0" w:color="auto"/>
            </w:tcBorders>
            <w:shd w:val="clear" w:color="auto" w:fill="auto"/>
            <w:noWrap/>
            <w:vAlign w:val="bottom"/>
            <w:hideMark/>
          </w:tcPr>
          <w:p w14:paraId="13A6A639" w14:textId="5E0A94D7" w:rsidR="005602E1" w:rsidRPr="00A34771" w:rsidRDefault="005602E1" w:rsidP="005602E1">
            <w:pPr>
              <w:spacing w:after="0" w:line="240" w:lineRule="auto"/>
              <w:jc w:val="right"/>
              <w:rPr>
                <w:rFonts w:ascii="Arial" w:eastAsia="Times New Roman" w:hAnsi="Arial" w:cs="Arial"/>
                <w:sz w:val="20"/>
                <w:szCs w:val="20"/>
              </w:rPr>
            </w:pPr>
            <w:r>
              <w:rPr>
                <w:rFonts w:ascii="Arial" w:hAnsi="Arial" w:cs="Arial"/>
                <w:sz w:val="20"/>
                <w:szCs w:val="20"/>
              </w:rPr>
              <w:t>9.1</w:t>
            </w:r>
          </w:p>
        </w:tc>
        <w:tc>
          <w:tcPr>
            <w:tcW w:w="1195" w:type="dxa"/>
            <w:tcBorders>
              <w:top w:val="nil"/>
              <w:left w:val="nil"/>
              <w:bottom w:val="single" w:sz="4" w:space="0" w:color="auto"/>
              <w:right w:val="single" w:sz="4" w:space="0" w:color="auto"/>
            </w:tcBorders>
            <w:vAlign w:val="bottom"/>
          </w:tcPr>
          <w:p w14:paraId="2F98C34C" w14:textId="05547A65" w:rsidR="005602E1" w:rsidRDefault="005602E1" w:rsidP="005602E1">
            <w:pPr>
              <w:spacing w:after="0" w:line="240" w:lineRule="auto"/>
              <w:jc w:val="right"/>
              <w:rPr>
                <w:rFonts w:ascii="Arial" w:hAnsi="Arial" w:cs="Arial"/>
                <w:sz w:val="20"/>
                <w:szCs w:val="20"/>
              </w:rPr>
            </w:pPr>
            <w:r>
              <w:rPr>
                <w:rFonts w:ascii="Arial" w:hAnsi="Arial" w:cs="Arial"/>
                <w:sz w:val="20"/>
                <w:szCs w:val="20"/>
              </w:rPr>
              <w:t>1.48%</w:t>
            </w:r>
          </w:p>
        </w:tc>
      </w:tr>
      <w:tr w:rsidR="005602E1" w:rsidRPr="00A34771" w14:paraId="102FC9AC" w14:textId="1288FA87" w:rsidTr="00F10272">
        <w:trPr>
          <w:trHeight w:val="528"/>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694EB9C7" w14:textId="77777777" w:rsidR="005602E1" w:rsidRPr="00A34771" w:rsidRDefault="005602E1" w:rsidP="005602E1">
            <w:pPr>
              <w:spacing w:after="0" w:line="240" w:lineRule="auto"/>
              <w:rPr>
                <w:rFonts w:ascii="Arial" w:eastAsia="Times New Roman" w:hAnsi="Arial" w:cs="Arial"/>
                <w:b/>
                <w:bCs/>
                <w:sz w:val="20"/>
                <w:szCs w:val="20"/>
              </w:rPr>
            </w:pPr>
            <w:r w:rsidRPr="00A34771">
              <w:rPr>
                <w:rFonts w:ascii="Arial" w:eastAsia="Times New Roman" w:hAnsi="Arial" w:cs="Arial"/>
                <w:b/>
                <w:bCs/>
                <w:sz w:val="20"/>
                <w:szCs w:val="20"/>
              </w:rPr>
              <w:t>Climate Zone</w:t>
            </w:r>
          </w:p>
        </w:tc>
        <w:tc>
          <w:tcPr>
            <w:tcW w:w="1300" w:type="dxa"/>
            <w:tcBorders>
              <w:top w:val="nil"/>
              <w:left w:val="single" w:sz="4" w:space="0" w:color="auto"/>
              <w:bottom w:val="single" w:sz="4" w:space="0" w:color="auto"/>
              <w:right w:val="single" w:sz="4" w:space="0" w:color="auto"/>
            </w:tcBorders>
            <w:shd w:val="clear" w:color="auto" w:fill="auto"/>
            <w:vAlign w:val="bottom"/>
            <w:hideMark/>
          </w:tcPr>
          <w:p w14:paraId="0C3A01CE" w14:textId="3F62F729" w:rsidR="005602E1" w:rsidRPr="00A34771" w:rsidRDefault="005602E1" w:rsidP="005602E1">
            <w:pPr>
              <w:spacing w:after="0" w:line="240" w:lineRule="auto"/>
              <w:rPr>
                <w:rFonts w:ascii="Arial" w:eastAsia="Times New Roman" w:hAnsi="Arial" w:cs="Arial"/>
                <w:b/>
                <w:bCs/>
                <w:sz w:val="20"/>
                <w:szCs w:val="20"/>
              </w:rPr>
            </w:pPr>
            <w:r>
              <w:rPr>
                <w:rFonts w:ascii="Arial" w:hAnsi="Arial" w:cs="Arial"/>
                <w:b/>
                <w:bCs/>
                <w:sz w:val="20"/>
                <w:szCs w:val="20"/>
              </w:rPr>
              <w:t>Baseline Run Hours</w:t>
            </w:r>
          </w:p>
        </w:tc>
        <w:tc>
          <w:tcPr>
            <w:tcW w:w="1360" w:type="dxa"/>
            <w:tcBorders>
              <w:top w:val="nil"/>
              <w:left w:val="nil"/>
              <w:bottom w:val="single" w:sz="4" w:space="0" w:color="auto"/>
              <w:right w:val="single" w:sz="4" w:space="0" w:color="auto"/>
            </w:tcBorders>
            <w:shd w:val="clear" w:color="auto" w:fill="auto"/>
            <w:vAlign w:val="bottom"/>
            <w:hideMark/>
          </w:tcPr>
          <w:p w14:paraId="2863EEA4" w14:textId="60289A99" w:rsidR="005602E1" w:rsidRPr="00A34771" w:rsidRDefault="005602E1" w:rsidP="005602E1">
            <w:pPr>
              <w:spacing w:after="0" w:line="240" w:lineRule="auto"/>
              <w:rPr>
                <w:rFonts w:ascii="Arial" w:eastAsia="Times New Roman" w:hAnsi="Arial" w:cs="Arial"/>
                <w:b/>
                <w:bCs/>
                <w:sz w:val="20"/>
                <w:szCs w:val="20"/>
              </w:rPr>
            </w:pPr>
            <w:r>
              <w:rPr>
                <w:rFonts w:ascii="Arial" w:hAnsi="Arial" w:cs="Arial"/>
                <w:b/>
                <w:bCs/>
                <w:sz w:val="20"/>
                <w:szCs w:val="20"/>
              </w:rPr>
              <w:t>Measure Run Hours</w:t>
            </w:r>
          </w:p>
        </w:tc>
        <w:tc>
          <w:tcPr>
            <w:tcW w:w="1195" w:type="dxa"/>
            <w:tcBorders>
              <w:top w:val="nil"/>
              <w:left w:val="nil"/>
              <w:bottom w:val="single" w:sz="4" w:space="0" w:color="auto"/>
              <w:right w:val="single" w:sz="4" w:space="0" w:color="auto"/>
            </w:tcBorders>
            <w:shd w:val="clear" w:color="auto" w:fill="auto"/>
            <w:vAlign w:val="bottom"/>
            <w:hideMark/>
          </w:tcPr>
          <w:p w14:paraId="1CC6C2E7" w14:textId="1802F01A" w:rsidR="005602E1" w:rsidRPr="00A34771" w:rsidRDefault="0056637E" w:rsidP="005602E1">
            <w:pPr>
              <w:spacing w:after="0" w:line="240" w:lineRule="auto"/>
              <w:rPr>
                <w:rFonts w:ascii="Arial" w:eastAsia="Times New Roman" w:hAnsi="Arial" w:cs="Arial"/>
                <w:b/>
                <w:bCs/>
                <w:sz w:val="20"/>
                <w:szCs w:val="20"/>
              </w:rPr>
            </w:pPr>
            <w:r w:rsidRPr="00A34771">
              <w:rPr>
                <w:rFonts w:ascii="Arial" w:eastAsia="Times New Roman" w:hAnsi="Arial" w:cs="Arial"/>
                <w:b/>
                <w:bCs/>
                <w:sz w:val="20"/>
                <w:szCs w:val="20"/>
              </w:rPr>
              <w:t>Hours Difference</w:t>
            </w:r>
            <w:r>
              <w:rPr>
                <w:rFonts w:ascii="Arial" w:eastAsia="Times New Roman" w:hAnsi="Arial" w:cs="Arial"/>
                <w:b/>
                <w:bCs/>
                <w:sz w:val="20"/>
                <w:szCs w:val="20"/>
              </w:rPr>
              <w:t xml:space="preserve"> from gas baseline per year</w:t>
            </w:r>
          </w:p>
        </w:tc>
        <w:tc>
          <w:tcPr>
            <w:tcW w:w="1195" w:type="dxa"/>
            <w:tcBorders>
              <w:top w:val="nil"/>
              <w:left w:val="nil"/>
              <w:bottom w:val="single" w:sz="4" w:space="0" w:color="auto"/>
              <w:right w:val="single" w:sz="4" w:space="0" w:color="auto"/>
            </w:tcBorders>
            <w:vAlign w:val="bottom"/>
          </w:tcPr>
          <w:p w14:paraId="2BFFBE33" w14:textId="14E8173C" w:rsidR="005602E1" w:rsidRDefault="005602E1" w:rsidP="005602E1">
            <w:pPr>
              <w:spacing w:after="0" w:line="240" w:lineRule="auto"/>
              <w:rPr>
                <w:rFonts w:ascii="Arial" w:hAnsi="Arial" w:cs="Arial"/>
                <w:b/>
                <w:bCs/>
                <w:sz w:val="20"/>
                <w:szCs w:val="20"/>
              </w:rPr>
            </w:pPr>
            <w:r>
              <w:rPr>
                <w:rFonts w:ascii="Arial" w:hAnsi="Arial" w:cs="Arial"/>
                <w:b/>
                <w:bCs/>
                <w:sz w:val="20"/>
                <w:szCs w:val="20"/>
              </w:rPr>
              <w:t>Hours Percent</w:t>
            </w:r>
          </w:p>
        </w:tc>
      </w:tr>
      <w:tr w:rsidR="005602E1" w:rsidRPr="00A34771" w14:paraId="556F6AA9" w14:textId="0D306400" w:rsidTr="00F10272">
        <w:trPr>
          <w:trHeight w:val="255"/>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14589657" w14:textId="77777777" w:rsidR="005602E1" w:rsidRPr="00A34771" w:rsidRDefault="005602E1" w:rsidP="005602E1">
            <w:pPr>
              <w:spacing w:after="0" w:line="240" w:lineRule="auto"/>
              <w:rPr>
                <w:rFonts w:ascii="Arial" w:eastAsia="Times New Roman" w:hAnsi="Arial" w:cs="Arial"/>
                <w:sz w:val="20"/>
                <w:szCs w:val="20"/>
              </w:rPr>
            </w:pPr>
            <w:r w:rsidRPr="00A34771">
              <w:rPr>
                <w:rFonts w:ascii="Arial" w:eastAsia="Times New Roman" w:hAnsi="Arial" w:cs="Arial"/>
                <w:sz w:val="20"/>
                <w:szCs w:val="20"/>
              </w:rPr>
              <w:t>CZ01</w:t>
            </w:r>
          </w:p>
        </w:tc>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258C4CB1" w14:textId="7D948C91" w:rsidR="005602E1" w:rsidRPr="00A34771" w:rsidRDefault="005602E1" w:rsidP="005602E1">
            <w:pPr>
              <w:spacing w:after="0" w:line="240" w:lineRule="auto"/>
              <w:jc w:val="right"/>
              <w:rPr>
                <w:rFonts w:ascii="Arial" w:eastAsia="Times New Roman" w:hAnsi="Arial" w:cs="Arial"/>
                <w:sz w:val="20"/>
                <w:szCs w:val="20"/>
              </w:rPr>
            </w:pPr>
            <w:r>
              <w:rPr>
                <w:rFonts w:ascii="Arial" w:hAnsi="Arial" w:cs="Arial"/>
                <w:sz w:val="20"/>
                <w:szCs w:val="20"/>
              </w:rPr>
              <w:t>1823</w:t>
            </w:r>
          </w:p>
        </w:tc>
        <w:tc>
          <w:tcPr>
            <w:tcW w:w="1360" w:type="dxa"/>
            <w:tcBorders>
              <w:top w:val="nil"/>
              <w:left w:val="nil"/>
              <w:bottom w:val="single" w:sz="4" w:space="0" w:color="auto"/>
              <w:right w:val="single" w:sz="4" w:space="0" w:color="auto"/>
            </w:tcBorders>
            <w:shd w:val="clear" w:color="auto" w:fill="auto"/>
            <w:noWrap/>
            <w:vAlign w:val="bottom"/>
            <w:hideMark/>
          </w:tcPr>
          <w:p w14:paraId="1266E7EA" w14:textId="5926734F" w:rsidR="005602E1" w:rsidRPr="00A34771" w:rsidRDefault="005602E1" w:rsidP="005602E1">
            <w:pPr>
              <w:spacing w:after="0" w:line="240" w:lineRule="auto"/>
              <w:jc w:val="right"/>
              <w:rPr>
                <w:rFonts w:ascii="Arial" w:eastAsia="Times New Roman" w:hAnsi="Arial" w:cs="Arial"/>
                <w:sz w:val="20"/>
                <w:szCs w:val="20"/>
              </w:rPr>
            </w:pPr>
            <w:r>
              <w:rPr>
                <w:rFonts w:ascii="Arial" w:hAnsi="Arial" w:cs="Arial"/>
                <w:sz w:val="20"/>
                <w:szCs w:val="20"/>
              </w:rPr>
              <w:t>1826</w:t>
            </w:r>
          </w:p>
        </w:tc>
        <w:tc>
          <w:tcPr>
            <w:tcW w:w="1195" w:type="dxa"/>
            <w:tcBorders>
              <w:top w:val="nil"/>
              <w:left w:val="nil"/>
              <w:bottom w:val="single" w:sz="4" w:space="0" w:color="auto"/>
              <w:right w:val="single" w:sz="4" w:space="0" w:color="auto"/>
            </w:tcBorders>
            <w:shd w:val="clear" w:color="auto" w:fill="auto"/>
            <w:noWrap/>
            <w:vAlign w:val="bottom"/>
            <w:hideMark/>
          </w:tcPr>
          <w:p w14:paraId="10DBA5AC" w14:textId="4EAF3F84" w:rsidR="005602E1" w:rsidRPr="00A34771" w:rsidRDefault="005602E1" w:rsidP="005602E1">
            <w:pPr>
              <w:spacing w:after="0" w:line="240" w:lineRule="auto"/>
              <w:jc w:val="right"/>
              <w:rPr>
                <w:rFonts w:ascii="Arial" w:eastAsia="Times New Roman" w:hAnsi="Arial" w:cs="Arial"/>
                <w:sz w:val="20"/>
                <w:szCs w:val="20"/>
              </w:rPr>
            </w:pPr>
            <w:r>
              <w:rPr>
                <w:rFonts w:ascii="Arial" w:hAnsi="Arial" w:cs="Arial"/>
                <w:sz w:val="20"/>
                <w:szCs w:val="20"/>
              </w:rPr>
              <w:t>3</w:t>
            </w:r>
          </w:p>
        </w:tc>
        <w:tc>
          <w:tcPr>
            <w:tcW w:w="1195" w:type="dxa"/>
            <w:tcBorders>
              <w:top w:val="nil"/>
              <w:left w:val="nil"/>
              <w:bottom w:val="single" w:sz="4" w:space="0" w:color="auto"/>
              <w:right w:val="single" w:sz="4" w:space="0" w:color="auto"/>
            </w:tcBorders>
            <w:vAlign w:val="bottom"/>
          </w:tcPr>
          <w:p w14:paraId="147913B1" w14:textId="26D02886" w:rsidR="005602E1" w:rsidRDefault="005602E1" w:rsidP="005602E1">
            <w:pPr>
              <w:spacing w:after="0" w:line="240" w:lineRule="auto"/>
              <w:jc w:val="right"/>
              <w:rPr>
                <w:rFonts w:ascii="Arial" w:hAnsi="Arial" w:cs="Arial"/>
                <w:sz w:val="20"/>
                <w:szCs w:val="20"/>
              </w:rPr>
            </w:pPr>
            <w:r>
              <w:rPr>
                <w:rFonts w:ascii="Arial" w:hAnsi="Arial" w:cs="Arial"/>
                <w:sz w:val="20"/>
                <w:szCs w:val="20"/>
              </w:rPr>
              <w:t>0.16%</w:t>
            </w:r>
          </w:p>
        </w:tc>
      </w:tr>
      <w:tr w:rsidR="005602E1" w:rsidRPr="00A34771" w14:paraId="4FA9971F" w14:textId="03F52FEB" w:rsidTr="00F10272">
        <w:trPr>
          <w:trHeight w:val="255"/>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2E5BB18F" w14:textId="77777777" w:rsidR="005602E1" w:rsidRPr="00A34771" w:rsidRDefault="005602E1" w:rsidP="005602E1">
            <w:pPr>
              <w:spacing w:after="0" w:line="240" w:lineRule="auto"/>
              <w:rPr>
                <w:rFonts w:ascii="Arial" w:eastAsia="Times New Roman" w:hAnsi="Arial" w:cs="Arial"/>
                <w:sz w:val="20"/>
                <w:szCs w:val="20"/>
              </w:rPr>
            </w:pPr>
            <w:r w:rsidRPr="00A34771">
              <w:rPr>
                <w:rFonts w:ascii="Arial" w:eastAsia="Times New Roman" w:hAnsi="Arial" w:cs="Arial"/>
                <w:sz w:val="20"/>
                <w:szCs w:val="20"/>
              </w:rPr>
              <w:t>CZ02</w:t>
            </w:r>
          </w:p>
        </w:tc>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0EB77E77" w14:textId="79E17C13" w:rsidR="005602E1" w:rsidRPr="00A34771" w:rsidRDefault="005602E1" w:rsidP="005602E1">
            <w:pPr>
              <w:spacing w:after="0" w:line="240" w:lineRule="auto"/>
              <w:jc w:val="right"/>
              <w:rPr>
                <w:rFonts w:ascii="Arial" w:eastAsia="Times New Roman" w:hAnsi="Arial" w:cs="Arial"/>
                <w:sz w:val="20"/>
                <w:szCs w:val="20"/>
              </w:rPr>
            </w:pPr>
            <w:r>
              <w:rPr>
                <w:rFonts w:ascii="Arial" w:hAnsi="Arial" w:cs="Arial"/>
                <w:sz w:val="20"/>
                <w:szCs w:val="20"/>
              </w:rPr>
              <w:t>835</w:t>
            </w:r>
          </w:p>
        </w:tc>
        <w:tc>
          <w:tcPr>
            <w:tcW w:w="1360" w:type="dxa"/>
            <w:tcBorders>
              <w:top w:val="nil"/>
              <w:left w:val="nil"/>
              <w:bottom w:val="single" w:sz="4" w:space="0" w:color="auto"/>
              <w:right w:val="single" w:sz="4" w:space="0" w:color="auto"/>
            </w:tcBorders>
            <w:shd w:val="clear" w:color="auto" w:fill="auto"/>
            <w:noWrap/>
            <w:vAlign w:val="bottom"/>
            <w:hideMark/>
          </w:tcPr>
          <w:p w14:paraId="307B4198" w14:textId="7A231D2B" w:rsidR="005602E1" w:rsidRPr="00A34771" w:rsidRDefault="005602E1" w:rsidP="005602E1">
            <w:pPr>
              <w:spacing w:after="0" w:line="240" w:lineRule="auto"/>
              <w:jc w:val="right"/>
              <w:rPr>
                <w:rFonts w:ascii="Arial" w:eastAsia="Times New Roman" w:hAnsi="Arial" w:cs="Arial"/>
                <w:sz w:val="20"/>
                <w:szCs w:val="20"/>
              </w:rPr>
            </w:pPr>
            <w:r>
              <w:rPr>
                <w:rFonts w:ascii="Arial" w:hAnsi="Arial" w:cs="Arial"/>
                <w:sz w:val="20"/>
                <w:szCs w:val="20"/>
              </w:rPr>
              <w:t>840</w:t>
            </w:r>
          </w:p>
        </w:tc>
        <w:tc>
          <w:tcPr>
            <w:tcW w:w="1195" w:type="dxa"/>
            <w:tcBorders>
              <w:top w:val="nil"/>
              <w:left w:val="nil"/>
              <w:bottom w:val="single" w:sz="4" w:space="0" w:color="auto"/>
              <w:right w:val="single" w:sz="4" w:space="0" w:color="auto"/>
            </w:tcBorders>
            <w:shd w:val="clear" w:color="auto" w:fill="auto"/>
            <w:noWrap/>
            <w:vAlign w:val="bottom"/>
            <w:hideMark/>
          </w:tcPr>
          <w:p w14:paraId="03903E10" w14:textId="481FEC6F" w:rsidR="005602E1" w:rsidRPr="00A34771" w:rsidRDefault="005602E1" w:rsidP="005602E1">
            <w:pPr>
              <w:spacing w:after="0" w:line="240" w:lineRule="auto"/>
              <w:jc w:val="right"/>
              <w:rPr>
                <w:rFonts w:ascii="Arial" w:eastAsia="Times New Roman" w:hAnsi="Arial" w:cs="Arial"/>
                <w:sz w:val="20"/>
                <w:szCs w:val="20"/>
              </w:rPr>
            </w:pPr>
            <w:r>
              <w:rPr>
                <w:rFonts w:ascii="Arial" w:hAnsi="Arial" w:cs="Arial"/>
                <w:sz w:val="20"/>
                <w:szCs w:val="20"/>
              </w:rPr>
              <w:t>5</w:t>
            </w:r>
          </w:p>
        </w:tc>
        <w:tc>
          <w:tcPr>
            <w:tcW w:w="1195" w:type="dxa"/>
            <w:tcBorders>
              <w:top w:val="nil"/>
              <w:left w:val="nil"/>
              <w:bottom w:val="single" w:sz="4" w:space="0" w:color="auto"/>
              <w:right w:val="single" w:sz="4" w:space="0" w:color="auto"/>
            </w:tcBorders>
            <w:vAlign w:val="bottom"/>
          </w:tcPr>
          <w:p w14:paraId="703BE9D7" w14:textId="1AAF5A59" w:rsidR="005602E1" w:rsidRDefault="005602E1" w:rsidP="005602E1">
            <w:pPr>
              <w:spacing w:after="0" w:line="240" w:lineRule="auto"/>
              <w:jc w:val="right"/>
              <w:rPr>
                <w:rFonts w:ascii="Arial" w:hAnsi="Arial" w:cs="Arial"/>
                <w:sz w:val="20"/>
                <w:szCs w:val="20"/>
              </w:rPr>
            </w:pPr>
            <w:r>
              <w:rPr>
                <w:rFonts w:ascii="Arial" w:hAnsi="Arial" w:cs="Arial"/>
                <w:sz w:val="20"/>
                <w:szCs w:val="20"/>
              </w:rPr>
              <w:t>0.60%</w:t>
            </w:r>
          </w:p>
        </w:tc>
      </w:tr>
      <w:tr w:rsidR="005602E1" w:rsidRPr="00A34771" w14:paraId="69232794" w14:textId="4586C209" w:rsidTr="00F10272">
        <w:trPr>
          <w:trHeight w:val="255"/>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381759A7" w14:textId="77777777" w:rsidR="005602E1" w:rsidRPr="00A34771" w:rsidRDefault="005602E1" w:rsidP="005602E1">
            <w:pPr>
              <w:spacing w:after="0" w:line="240" w:lineRule="auto"/>
              <w:rPr>
                <w:rFonts w:ascii="Arial" w:eastAsia="Times New Roman" w:hAnsi="Arial" w:cs="Arial"/>
                <w:sz w:val="20"/>
                <w:szCs w:val="20"/>
              </w:rPr>
            </w:pPr>
            <w:r w:rsidRPr="00A34771">
              <w:rPr>
                <w:rFonts w:ascii="Arial" w:eastAsia="Times New Roman" w:hAnsi="Arial" w:cs="Arial"/>
                <w:sz w:val="20"/>
                <w:szCs w:val="20"/>
              </w:rPr>
              <w:t>CZ03</w:t>
            </w:r>
          </w:p>
        </w:tc>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72D729E4" w14:textId="1952ADE4" w:rsidR="005602E1" w:rsidRPr="00A34771" w:rsidRDefault="005602E1" w:rsidP="005602E1">
            <w:pPr>
              <w:spacing w:after="0" w:line="240" w:lineRule="auto"/>
              <w:jc w:val="right"/>
              <w:rPr>
                <w:rFonts w:ascii="Arial" w:eastAsia="Times New Roman" w:hAnsi="Arial" w:cs="Arial"/>
                <w:sz w:val="20"/>
                <w:szCs w:val="20"/>
              </w:rPr>
            </w:pPr>
            <w:r>
              <w:rPr>
                <w:rFonts w:ascii="Arial" w:hAnsi="Arial" w:cs="Arial"/>
                <w:sz w:val="20"/>
                <w:szCs w:val="20"/>
              </w:rPr>
              <w:t>1287</w:t>
            </w:r>
          </w:p>
        </w:tc>
        <w:tc>
          <w:tcPr>
            <w:tcW w:w="1360" w:type="dxa"/>
            <w:tcBorders>
              <w:top w:val="nil"/>
              <w:left w:val="nil"/>
              <w:bottom w:val="single" w:sz="4" w:space="0" w:color="auto"/>
              <w:right w:val="single" w:sz="4" w:space="0" w:color="auto"/>
            </w:tcBorders>
            <w:shd w:val="clear" w:color="auto" w:fill="auto"/>
            <w:noWrap/>
            <w:vAlign w:val="bottom"/>
            <w:hideMark/>
          </w:tcPr>
          <w:p w14:paraId="436F01F2" w14:textId="72DAAD49" w:rsidR="005602E1" w:rsidRPr="00A34771" w:rsidRDefault="005602E1" w:rsidP="005602E1">
            <w:pPr>
              <w:spacing w:after="0" w:line="240" w:lineRule="auto"/>
              <w:jc w:val="right"/>
              <w:rPr>
                <w:rFonts w:ascii="Arial" w:eastAsia="Times New Roman" w:hAnsi="Arial" w:cs="Arial"/>
                <w:sz w:val="20"/>
                <w:szCs w:val="20"/>
              </w:rPr>
            </w:pPr>
            <w:r>
              <w:rPr>
                <w:rFonts w:ascii="Arial" w:hAnsi="Arial" w:cs="Arial"/>
                <w:sz w:val="20"/>
                <w:szCs w:val="20"/>
              </w:rPr>
              <w:t>1297</w:t>
            </w:r>
          </w:p>
        </w:tc>
        <w:tc>
          <w:tcPr>
            <w:tcW w:w="1195" w:type="dxa"/>
            <w:tcBorders>
              <w:top w:val="nil"/>
              <w:left w:val="nil"/>
              <w:bottom w:val="single" w:sz="4" w:space="0" w:color="auto"/>
              <w:right w:val="single" w:sz="4" w:space="0" w:color="auto"/>
            </w:tcBorders>
            <w:shd w:val="clear" w:color="auto" w:fill="auto"/>
            <w:noWrap/>
            <w:vAlign w:val="bottom"/>
            <w:hideMark/>
          </w:tcPr>
          <w:p w14:paraId="14AA6CF8" w14:textId="2F285B18" w:rsidR="005602E1" w:rsidRPr="00A34771" w:rsidRDefault="005602E1" w:rsidP="005602E1">
            <w:pPr>
              <w:spacing w:after="0" w:line="240" w:lineRule="auto"/>
              <w:jc w:val="right"/>
              <w:rPr>
                <w:rFonts w:ascii="Arial" w:eastAsia="Times New Roman" w:hAnsi="Arial" w:cs="Arial"/>
                <w:sz w:val="20"/>
                <w:szCs w:val="20"/>
              </w:rPr>
            </w:pPr>
            <w:r>
              <w:rPr>
                <w:rFonts w:ascii="Arial" w:hAnsi="Arial" w:cs="Arial"/>
                <w:sz w:val="20"/>
                <w:szCs w:val="20"/>
              </w:rPr>
              <w:t>10</w:t>
            </w:r>
          </w:p>
        </w:tc>
        <w:tc>
          <w:tcPr>
            <w:tcW w:w="1195" w:type="dxa"/>
            <w:tcBorders>
              <w:top w:val="nil"/>
              <w:left w:val="nil"/>
              <w:bottom w:val="single" w:sz="4" w:space="0" w:color="auto"/>
              <w:right w:val="single" w:sz="4" w:space="0" w:color="auto"/>
            </w:tcBorders>
            <w:vAlign w:val="bottom"/>
          </w:tcPr>
          <w:p w14:paraId="5DCEA085" w14:textId="5429CE9D" w:rsidR="005602E1" w:rsidRDefault="005602E1" w:rsidP="005602E1">
            <w:pPr>
              <w:spacing w:after="0" w:line="240" w:lineRule="auto"/>
              <w:jc w:val="right"/>
              <w:rPr>
                <w:rFonts w:ascii="Arial" w:hAnsi="Arial" w:cs="Arial"/>
                <w:sz w:val="20"/>
                <w:szCs w:val="20"/>
              </w:rPr>
            </w:pPr>
            <w:r>
              <w:rPr>
                <w:rFonts w:ascii="Arial" w:hAnsi="Arial" w:cs="Arial"/>
                <w:sz w:val="20"/>
                <w:szCs w:val="20"/>
              </w:rPr>
              <w:t>0.78%</w:t>
            </w:r>
          </w:p>
        </w:tc>
      </w:tr>
      <w:tr w:rsidR="005602E1" w:rsidRPr="00A34771" w14:paraId="4F90B8AC" w14:textId="5AF0F292" w:rsidTr="00F10272">
        <w:trPr>
          <w:trHeight w:val="255"/>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04B24F88" w14:textId="77777777" w:rsidR="005602E1" w:rsidRPr="00A34771" w:rsidRDefault="005602E1" w:rsidP="005602E1">
            <w:pPr>
              <w:spacing w:after="0" w:line="240" w:lineRule="auto"/>
              <w:rPr>
                <w:rFonts w:ascii="Arial" w:eastAsia="Times New Roman" w:hAnsi="Arial" w:cs="Arial"/>
                <w:sz w:val="20"/>
                <w:szCs w:val="20"/>
              </w:rPr>
            </w:pPr>
            <w:r w:rsidRPr="00A34771">
              <w:rPr>
                <w:rFonts w:ascii="Arial" w:eastAsia="Times New Roman" w:hAnsi="Arial" w:cs="Arial"/>
                <w:sz w:val="20"/>
                <w:szCs w:val="20"/>
              </w:rPr>
              <w:t>CZ04</w:t>
            </w:r>
          </w:p>
        </w:tc>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47A1C40F" w14:textId="189B347A" w:rsidR="005602E1" w:rsidRPr="00A34771" w:rsidRDefault="005602E1" w:rsidP="005602E1">
            <w:pPr>
              <w:spacing w:after="0" w:line="240" w:lineRule="auto"/>
              <w:jc w:val="right"/>
              <w:rPr>
                <w:rFonts w:ascii="Arial" w:eastAsia="Times New Roman" w:hAnsi="Arial" w:cs="Arial"/>
                <w:sz w:val="20"/>
                <w:szCs w:val="20"/>
              </w:rPr>
            </w:pPr>
            <w:r>
              <w:rPr>
                <w:rFonts w:ascii="Arial" w:hAnsi="Arial" w:cs="Arial"/>
                <w:sz w:val="20"/>
                <w:szCs w:val="20"/>
              </w:rPr>
              <w:t>437</w:t>
            </w:r>
          </w:p>
        </w:tc>
        <w:tc>
          <w:tcPr>
            <w:tcW w:w="1360" w:type="dxa"/>
            <w:tcBorders>
              <w:top w:val="nil"/>
              <w:left w:val="nil"/>
              <w:bottom w:val="single" w:sz="4" w:space="0" w:color="auto"/>
              <w:right w:val="single" w:sz="4" w:space="0" w:color="auto"/>
            </w:tcBorders>
            <w:shd w:val="clear" w:color="auto" w:fill="auto"/>
            <w:noWrap/>
            <w:vAlign w:val="bottom"/>
            <w:hideMark/>
          </w:tcPr>
          <w:p w14:paraId="23EB615F" w14:textId="4333382B" w:rsidR="005602E1" w:rsidRPr="00A34771" w:rsidRDefault="005602E1" w:rsidP="005602E1">
            <w:pPr>
              <w:spacing w:after="0" w:line="240" w:lineRule="auto"/>
              <w:jc w:val="right"/>
              <w:rPr>
                <w:rFonts w:ascii="Arial" w:eastAsia="Times New Roman" w:hAnsi="Arial" w:cs="Arial"/>
                <w:sz w:val="20"/>
                <w:szCs w:val="20"/>
              </w:rPr>
            </w:pPr>
            <w:r>
              <w:rPr>
                <w:rFonts w:ascii="Arial" w:hAnsi="Arial" w:cs="Arial"/>
                <w:sz w:val="20"/>
                <w:szCs w:val="20"/>
              </w:rPr>
              <w:t>440</w:t>
            </w:r>
          </w:p>
        </w:tc>
        <w:tc>
          <w:tcPr>
            <w:tcW w:w="1195" w:type="dxa"/>
            <w:tcBorders>
              <w:top w:val="nil"/>
              <w:left w:val="nil"/>
              <w:bottom w:val="single" w:sz="4" w:space="0" w:color="auto"/>
              <w:right w:val="single" w:sz="4" w:space="0" w:color="auto"/>
            </w:tcBorders>
            <w:shd w:val="clear" w:color="auto" w:fill="auto"/>
            <w:noWrap/>
            <w:vAlign w:val="bottom"/>
            <w:hideMark/>
          </w:tcPr>
          <w:p w14:paraId="18033EE6" w14:textId="28F46180" w:rsidR="005602E1" w:rsidRPr="00A34771" w:rsidRDefault="005602E1" w:rsidP="005602E1">
            <w:pPr>
              <w:spacing w:after="0" w:line="240" w:lineRule="auto"/>
              <w:jc w:val="right"/>
              <w:rPr>
                <w:rFonts w:ascii="Arial" w:eastAsia="Times New Roman" w:hAnsi="Arial" w:cs="Arial"/>
                <w:sz w:val="20"/>
                <w:szCs w:val="20"/>
              </w:rPr>
            </w:pPr>
            <w:r>
              <w:rPr>
                <w:rFonts w:ascii="Arial" w:hAnsi="Arial" w:cs="Arial"/>
                <w:sz w:val="20"/>
                <w:szCs w:val="20"/>
              </w:rPr>
              <w:t>3</w:t>
            </w:r>
          </w:p>
        </w:tc>
        <w:tc>
          <w:tcPr>
            <w:tcW w:w="1195" w:type="dxa"/>
            <w:tcBorders>
              <w:top w:val="nil"/>
              <w:left w:val="nil"/>
              <w:bottom w:val="single" w:sz="4" w:space="0" w:color="auto"/>
              <w:right w:val="single" w:sz="4" w:space="0" w:color="auto"/>
            </w:tcBorders>
            <w:vAlign w:val="bottom"/>
          </w:tcPr>
          <w:p w14:paraId="6896A63A" w14:textId="62E84569" w:rsidR="005602E1" w:rsidRDefault="005602E1" w:rsidP="005602E1">
            <w:pPr>
              <w:spacing w:after="0" w:line="240" w:lineRule="auto"/>
              <w:jc w:val="right"/>
              <w:rPr>
                <w:rFonts w:ascii="Arial" w:hAnsi="Arial" w:cs="Arial"/>
                <w:sz w:val="20"/>
                <w:szCs w:val="20"/>
              </w:rPr>
            </w:pPr>
            <w:r>
              <w:rPr>
                <w:rFonts w:ascii="Arial" w:hAnsi="Arial" w:cs="Arial"/>
                <w:sz w:val="20"/>
                <w:szCs w:val="20"/>
              </w:rPr>
              <w:t>0.69%</w:t>
            </w:r>
          </w:p>
        </w:tc>
      </w:tr>
      <w:tr w:rsidR="005602E1" w:rsidRPr="00A34771" w14:paraId="6AC6CBC2" w14:textId="7673DB14" w:rsidTr="00F10272">
        <w:trPr>
          <w:trHeight w:val="255"/>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7E098462" w14:textId="77777777" w:rsidR="005602E1" w:rsidRPr="00A34771" w:rsidRDefault="005602E1" w:rsidP="005602E1">
            <w:pPr>
              <w:spacing w:after="0" w:line="240" w:lineRule="auto"/>
              <w:rPr>
                <w:rFonts w:ascii="Arial" w:eastAsia="Times New Roman" w:hAnsi="Arial" w:cs="Arial"/>
                <w:sz w:val="20"/>
                <w:szCs w:val="20"/>
              </w:rPr>
            </w:pPr>
            <w:r w:rsidRPr="00A34771">
              <w:rPr>
                <w:rFonts w:ascii="Arial" w:eastAsia="Times New Roman" w:hAnsi="Arial" w:cs="Arial"/>
                <w:sz w:val="20"/>
                <w:szCs w:val="20"/>
              </w:rPr>
              <w:t>CZ05</w:t>
            </w:r>
          </w:p>
        </w:tc>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4E28A501" w14:textId="25287D4B" w:rsidR="005602E1" w:rsidRPr="00A34771" w:rsidRDefault="005602E1" w:rsidP="005602E1">
            <w:pPr>
              <w:spacing w:after="0" w:line="240" w:lineRule="auto"/>
              <w:jc w:val="right"/>
              <w:rPr>
                <w:rFonts w:ascii="Arial" w:eastAsia="Times New Roman" w:hAnsi="Arial" w:cs="Arial"/>
                <w:sz w:val="20"/>
                <w:szCs w:val="20"/>
              </w:rPr>
            </w:pPr>
            <w:r>
              <w:rPr>
                <w:rFonts w:ascii="Arial" w:hAnsi="Arial" w:cs="Arial"/>
                <w:sz w:val="20"/>
                <w:szCs w:val="20"/>
              </w:rPr>
              <w:t>1051</w:t>
            </w:r>
          </w:p>
        </w:tc>
        <w:tc>
          <w:tcPr>
            <w:tcW w:w="1360" w:type="dxa"/>
            <w:tcBorders>
              <w:top w:val="nil"/>
              <w:left w:val="nil"/>
              <w:bottom w:val="single" w:sz="4" w:space="0" w:color="auto"/>
              <w:right w:val="single" w:sz="4" w:space="0" w:color="auto"/>
            </w:tcBorders>
            <w:shd w:val="clear" w:color="auto" w:fill="auto"/>
            <w:noWrap/>
            <w:vAlign w:val="bottom"/>
            <w:hideMark/>
          </w:tcPr>
          <w:p w14:paraId="084EE584" w14:textId="5895D173" w:rsidR="005602E1" w:rsidRPr="00A34771" w:rsidRDefault="005602E1" w:rsidP="005602E1">
            <w:pPr>
              <w:spacing w:after="0" w:line="240" w:lineRule="auto"/>
              <w:jc w:val="right"/>
              <w:rPr>
                <w:rFonts w:ascii="Arial" w:eastAsia="Times New Roman" w:hAnsi="Arial" w:cs="Arial"/>
                <w:sz w:val="20"/>
                <w:szCs w:val="20"/>
              </w:rPr>
            </w:pPr>
            <w:r>
              <w:rPr>
                <w:rFonts w:ascii="Arial" w:hAnsi="Arial" w:cs="Arial"/>
                <w:sz w:val="20"/>
                <w:szCs w:val="20"/>
              </w:rPr>
              <w:t>1057</w:t>
            </w:r>
          </w:p>
        </w:tc>
        <w:tc>
          <w:tcPr>
            <w:tcW w:w="1195" w:type="dxa"/>
            <w:tcBorders>
              <w:top w:val="nil"/>
              <w:left w:val="nil"/>
              <w:bottom w:val="single" w:sz="4" w:space="0" w:color="auto"/>
              <w:right w:val="single" w:sz="4" w:space="0" w:color="auto"/>
            </w:tcBorders>
            <w:shd w:val="clear" w:color="auto" w:fill="auto"/>
            <w:noWrap/>
            <w:vAlign w:val="bottom"/>
            <w:hideMark/>
          </w:tcPr>
          <w:p w14:paraId="55C7BDBC" w14:textId="068DFD03" w:rsidR="005602E1" w:rsidRPr="00A34771" w:rsidRDefault="005602E1" w:rsidP="005602E1">
            <w:pPr>
              <w:spacing w:after="0" w:line="240" w:lineRule="auto"/>
              <w:jc w:val="right"/>
              <w:rPr>
                <w:rFonts w:ascii="Arial" w:eastAsia="Times New Roman" w:hAnsi="Arial" w:cs="Arial"/>
                <w:sz w:val="20"/>
                <w:szCs w:val="20"/>
              </w:rPr>
            </w:pPr>
            <w:r>
              <w:rPr>
                <w:rFonts w:ascii="Arial" w:hAnsi="Arial" w:cs="Arial"/>
                <w:sz w:val="20"/>
                <w:szCs w:val="20"/>
              </w:rPr>
              <w:t>6</w:t>
            </w:r>
          </w:p>
        </w:tc>
        <w:tc>
          <w:tcPr>
            <w:tcW w:w="1195" w:type="dxa"/>
            <w:tcBorders>
              <w:top w:val="nil"/>
              <w:left w:val="nil"/>
              <w:bottom w:val="single" w:sz="4" w:space="0" w:color="auto"/>
              <w:right w:val="single" w:sz="4" w:space="0" w:color="auto"/>
            </w:tcBorders>
            <w:vAlign w:val="bottom"/>
          </w:tcPr>
          <w:p w14:paraId="55A89091" w14:textId="03BBA7F6" w:rsidR="005602E1" w:rsidRDefault="005602E1" w:rsidP="005602E1">
            <w:pPr>
              <w:spacing w:after="0" w:line="240" w:lineRule="auto"/>
              <w:jc w:val="right"/>
              <w:rPr>
                <w:rFonts w:ascii="Arial" w:hAnsi="Arial" w:cs="Arial"/>
                <w:sz w:val="20"/>
                <w:szCs w:val="20"/>
              </w:rPr>
            </w:pPr>
            <w:r>
              <w:rPr>
                <w:rFonts w:ascii="Arial" w:hAnsi="Arial" w:cs="Arial"/>
                <w:sz w:val="20"/>
                <w:szCs w:val="20"/>
              </w:rPr>
              <w:t>0.57%</w:t>
            </w:r>
          </w:p>
        </w:tc>
      </w:tr>
      <w:tr w:rsidR="005602E1" w:rsidRPr="00A34771" w14:paraId="154BA2AC" w14:textId="3EBEDFB8" w:rsidTr="00F10272">
        <w:trPr>
          <w:trHeight w:val="255"/>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6783B1FB" w14:textId="77777777" w:rsidR="005602E1" w:rsidRPr="00A34771" w:rsidRDefault="005602E1" w:rsidP="005602E1">
            <w:pPr>
              <w:spacing w:after="0" w:line="240" w:lineRule="auto"/>
              <w:rPr>
                <w:rFonts w:ascii="Arial" w:eastAsia="Times New Roman" w:hAnsi="Arial" w:cs="Arial"/>
                <w:sz w:val="20"/>
                <w:szCs w:val="20"/>
              </w:rPr>
            </w:pPr>
            <w:r w:rsidRPr="00A34771">
              <w:rPr>
                <w:rFonts w:ascii="Arial" w:eastAsia="Times New Roman" w:hAnsi="Arial" w:cs="Arial"/>
                <w:sz w:val="20"/>
                <w:szCs w:val="20"/>
              </w:rPr>
              <w:t>CZ06</w:t>
            </w:r>
          </w:p>
        </w:tc>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424FE896" w14:textId="1CF7B4B0" w:rsidR="005602E1" w:rsidRPr="00A34771" w:rsidRDefault="005602E1" w:rsidP="005602E1">
            <w:pPr>
              <w:spacing w:after="0" w:line="240" w:lineRule="auto"/>
              <w:jc w:val="right"/>
              <w:rPr>
                <w:rFonts w:ascii="Arial" w:eastAsia="Times New Roman" w:hAnsi="Arial" w:cs="Arial"/>
                <w:sz w:val="20"/>
                <w:szCs w:val="20"/>
              </w:rPr>
            </w:pPr>
            <w:r>
              <w:rPr>
                <w:rFonts w:ascii="Arial" w:hAnsi="Arial" w:cs="Arial"/>
                <w:sz w:val="20"/>
                <w:szCs w:val="20"/>
              </w:rPr>
              <w:t>701</w:t>
            </w:r>
          </w:p>
        </w:tc>
        <w:tc>
          <w:tcPr>
            <w:tcW w:w="1360" w:type="dxa"/>
            <w:tcBorders>
              <w:top w:val="nil"/>
              <w:left w:val="nil"/>
              <w:bottom w:val="single" w:sz="4" w:space="0" w:color="auto"/>
              <w:right w:val="single" w:sz="4" w:space="0" w:color="auto"/>
            </w:tcBorders>
            <w:shd w:val="clear" w:color="auto" w:fill="auto"/>
            <w:noWrap/>
            <w:vAlign w:val="bottom"/>
            <w:hideMark/>
          </w:tcPr>
          <w:p w14:paraId="0E9AACBE" w14:textId="339A1FFA" w:rsidR="005602E1" w:rsidRPr="00A34771" w:rsidRDefault="005602E1" w:rsidP="005602E1">
            <w:pPr>
              <w:spacing w:after="0" w:line="240" w:lineRule="auto"/>
              <w:jc w:val="right"/>
              <w:rPr>
                <w:rFonts w:ascii="Arial" w:eastAsia="Times New Roman" w:hAnsi="Arial" w:cs="Arial"/>
                <w:sz w:val="20"/>
                <w:szCs w:val="20"/>
              </w:rPr>
            </w:pPr>
            <w:r>
              <w:rPr>
                <w:rFonts w:ascii="Arial" w:hAnsi="Arial" w:cs="Arial"/>
                <w:sz w:val="20"/>
                <w:szCs w:val="20"/>
              </w:rPr>
              <w:t>715</w:t>
            </w:r>
          </w:p>
        </w:tc>
        <w:tc>
          <w:tcPr>
            <w:tcW w:w="1195" w:type="dxa"/>
            <w:tcBorders>
              <w:top w:val="nil"/>
              <w:left w:val="nil"/>
              <w:bottom w:val="single" w:sz="4" w:space="0" w:color="auto"/>
              <w:right w:val="single" w:sz="4" w:space="0" w:color="auto"/>
            </w:tcBorders>
            <w:shd w:val="clear" w:color="auto" w:fill="auto"/>
            <w:noWrap/>
            <w:vAlign w:val="bottom"/>
            <w:hideMark/>
          </w:tcPr>
          <w:p w14:paraId="5EE1BE3A" w14:textId="60EDBAAE" w:rsidR="005602E1" w:rsidRPr="00A34771" w:rsidRDefault="005602E1" w:rsidP="005602E1">
            <w:pPr>
              <w:spacing w:after="0" w:line="240" w:lineRule="auto"/>
              <w:jc w:val="right"/>
              <w:rPr>
                <w:rFonts w:ascii="Arial" w:eastAsia="Times New Roman" w:hAnsi="Arial" w:cs="Arial"/>
                <w:sz w:val="20"/>
                <w:szCs w:val="20"/>
              </w:rPr>
            </w:pPr>
            <w:r>
              <w:rPr>
                <w:rFonts w:ascii="Arial" w:hAnsi="Arial" w:cs="Arial"/>
                <w:sz w:val="20"/>
                <w:szCs w:val="20"/>
              </w:rPr>
              <w:t>14</w:t>
            </w:r>
          </w:p>
        </w:tc>
        <w:tc>
          <w:tcPr>
            <w:tcW w:w="1195" w:type="dxa"/>
            <w:tcBorders>
              <w:top w:val="nil"/>
              <w:left w:val="nil"/>
              <w:bottom w:val="single" w:sz="4" w:space="0" w:color="auto"/>
              <w:right w:val="single" w:sz="4" w:space="0" w:color="auto"/>
            </w:tcBorders>
            <w:vAlign w:val="bottom"/>
          </w:tcPr>
          <w:p w14:paraId="3B9975E7" w14:textId="51274189" w:rsidR="005602E1" w:rsidRDefault="005602E1" w:rsidP="005602E1">
            <w:pPr>
              <w:spacing w:after="0" w:line="240" w:lineRule="auto"/>
              <w:jc w:val="right"/>
              <w:rPr>
                <w:rFonts w:ascii="Arial" w:hAnsi="Arial" w:cs="Arial"/>
                <w:sz w:val="20"/>
                <w:szCs w:val="20"/>
              </w:rPr>
            </w:pPr>
            <w:r>
              <w:rPr>
                <w:rFonts w:ascii="Arial" w:hAnsi="Arial" w:cs="Arial"/>
                <w:sz w:val="20"/>
                <w:szCs w:val="20"/>
              </w:rPr>
              <w:t>2.00%</w:t>
            </w:r>
          </w:p>
        </w:tc>
      </w:tr>
      <w:tr w:rsidR="005602E1" w:rsidRPr="00A34771" w14:paraId="40C6298A" w14:textId="094CF384" w:rsidTr="00F10272">
        <w:trPr>
          <w:trHeight w:val="255"/>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11AC4DAB" w14:textId="77777777" w:rsidR="005602E1" w:rsidRPr="00A34771" w:rsidRDefault="005602E1" w:rsidP="005602E1">
            <w:pPr>
              <w:spacing w:after="0" w:line="240" w:lineRule="auto"/>
              <w:rPr>
                <w:rFonts w:ascii="Arial" w:eastAsia="Times New Roman" w:hAnsi="Arial" w:cs="Arial"/>
                <w:sz w:val="20"/>
                <w:szCs w:val="20"/>
              </w:rPr>
            </w:pPr>
            <w:r w:rsidRPr="00A34771">
              <w:rPr>
                <w:rFonts w:ascii="Arial" w:eastAsia="Times New Roman" w:hAnsi="Arial" w:cs="Arial"/>
                <w:sz w:val="20"/>
                <w:szCs w:val="20"/>
              </w:rPr>
              <w:t>CZ07</w:t>
            </w:r>
          </w:p>
        </w:tc>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1A2C60E8" w14:textId="2314BEFE" w:rsidR="005602E1" w:rsidRPr="00A34771" w:rsidRDefault="005602E1" w:rsidP="005602E1">
            <w:pPr>
              <w:spacing w:after="0" w:line="240" w:lineRule="auto"/>
              <w:jc w:val="right"/>
              <w:rPr>
                <w:rFonts w:ascii="Arial" w:eastAsia="Times New Roman" w:hAnsi="Arial" w:cs="Arial"/>
                <w:sz w:val="20"/>
                <w:szCs w:val="20"/>
              </w:rPr>
            </w:pPr>
            <w:r>
              <w:rPr>
                <w:rFonts w:ascii="Arial" w:hAnsi="Arial" w:cs="Arial"/>
                <w:sz w:val="20"/>
                <w:szCs w:val="20"/>
              </w:rPr>
              <w:t>745</w:t>
            </w:r>
          </w:p>
        </w:tc>
        <w:tc>
          <w:tcPr>
            <w:tcW w:w="1360" w:type="dxa"/>
            <w:tcBorders>
              <w:top w:val="nil"/>
              <w:left w:val="nil"/>
              <w:bottom w:val="single" w:sz="4" w:space="0" w:color="auto"/>
              <w:right w:val="single" w:sz="4" w:space="0" w:color="auto"/>
            </w:tcBorders>
            <w:shd w:val="clear" w:color="auto" w:fill="auto"/>
            <w:noWrap/>
            <w:vAlign w:val="bottom"/>
            <w:hideMark/>
          </w:tcPr>
          <w:p w14:paraId="338E5835" w14:textId="23243C09" w:rsidR="005602E1" w:rsidRPr="00A34771" w:rsidRDefault="005602E1" w:rsidP="005602E1">
            <w:pPr>
              <w:spacing w:after="0" w:line="240" w:lineRule="auto"/>
              <w:jc w:val="right"/>
              <w:rPr>
                <w:rFonts w:ascii="Arial" w:eastAsia="Times New Roman" w:hAnsi="Arial" w:cs="Arial"/>
                <w:sz w:val="20"/>
                <w:szCs w:val="20"/>
              </w:rPr>
            </w:pPr>
            <w:r>
              <w:rPr>
                <w:rFonts w:ascii="Arial" w:hAnsi="Arial" w:cs="Arial"/>
                <w:sz w:val="20"/>
                <w:szCs w:val="20"/>
              </w:rPr>
              <w:t>751</w:t>
            </w:r>
          </w:p>
        </w:tc>
        <w:tc>
          <w:tcPr>
            <w:tcW w:w="1195" w:type="dxa"/>
            <w:tcBorders>
              <w:top w:val="nil"/>
              <w:left w:val="nil"/>
              <w:bottom w:val="single" w:sz="4" w:space="0" w:color="auto"/>
              <w:right w:val="single" w:sz="4" w:space="0" w:color="auto"/>
            </w:tcBorders>
            <w:shd w:val="clear" w:color="auto" w:fill="auto"/>
            <w:noWrap/>
            <w:vAlign w:val="bottom"/>
            <w:hideMark/>
          </w:tcPr>
          <w:p w14:paraId="76DABE5F" w14:textId="24A1FCD5" w:rsidR="005602E1" w:rsidRPr="00A34771" w:rsidRDefault="005602E1" w:rsidP="005602E1">
            <w:pPr>
              <w:spacing w:after="0" w:line="240" w:lineRule="auto"/>
              <w:jc w:val="right"/>
              <w:rPr>
                <w:rFonts w:ascii="Arial" w:eastAsia="Times New Roman" w:hAnsi="Arial" w:cs="Arial"/>
                <w:sz w:val="20"/>
                <w:szCs w:val="20"/>
              </w:rPr>
            </w:pPr>
            <w:r>
              <w:rPr>
                <w:rFonts w:ascii="Arial" w:hAnsi="Arial" w:cs="Arial"/>
                <w:sz w:val="20"/>
                <w:szCs w:val="20"/>
              </w:rPr>
              <w:t>6</w:t>
            </w:r>
          </w:p>
        </w:tc>
        <w:tc>
          <w:tcPr>
            <w:tcW w:w="1195" w:type="dxa"/>
            <w:tcBorders>
              <w:top w:val="nil"/>
              <w:left w:val="nil"/>
              <w:bottom w:val="single" w:sz="4" w:space="0" w:color="auto"/>
              <w:right w:val="single" w:sz="4" w:space="0" w:color="auto"/>
            </w:tcBorders>
            <w:vAlign w:val="bottom"/>
          </w:tcPr>
          <w:p w14:paraId="6826C533" w14:textId="6A0A154F" w:rsidR="005602E1" w:rsidRDefault="005602E1" w:rsidP="005602E1">
            <w:pPr>
              <w:spacing w:after="0" w:line="240" w:lineRule="auto"/>
              <w:jc w:val="right"/>
              <w:rPr>
                <w:rFonts w:ascii="Arial" w:hAnsi="Arial" w:cs="Arial"/>
                <w:sz w:val="20"/>
                <w:szCs w:val="20"/>
              </w:rPr>
            </w:pPr>
            <w:r>
              <w:rPr>
                <w:rFonts w:ascii="Arial" w:hAnsi="Arial" w:cs="Arial"/>
                <w:sz w:val="20"/>
                <w:szCs w:val="20"/>
              </w:rPr>
              <w:t>0.81%</w:t>
            </w:r>
          </w:p>
        </w:tc>
      </w:tr>
      <w:tr w:rsidR="005602E1" w:rsidRPr="00A34771" w14:paraId="3DB1233A" w14:textId="326822D9" w:rsidTr="00F10272">
        <w:trPr>
          <w:trHeight w:val="255"/>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0D3463AF" w14:textId="77777777" w:rsidR="005602E1" w:rsidRPr="00A34771" w:rsidRDefault="005602E1" w:rsidP="005602E1">
            <w:pPr>
              <w:spacing w:after="0" w:line="240" w:lineRule="auto"/>
              <w:rPr>
                <w:rFonts w:ascii="Arial" w:eastAsia="Times New Roman" w:hAnsi="Arial" w:cs="Arial"/>
                <w:sz w:val="20"/>
                <w:szCs w:val="20"/>
              </w:rPr>
            </w:pPr>
            <w:r w:rsidRPr="00A34771">
              <w:rPr>
                <w:rFonts w:ascii="Arial" w:eastAsia="Times New Roman" w:hAnsi="Arial" w:cs="Arial"/>
                <w:sz w:val="20"/>
                <w:szCs w:val="20"/>
              </w:rPr>
              <w:t>CZ08</w:t>
            </w:r>
          </w:p>
        </w:tc>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2DE0EE2B" w14:textId="7981D4AC" w:rsidR="005602E1" w:rsidRPr="00A34771" w:rsidRDefault="005602E1" w:rsidP="005602E1">
            <w:pPr>
              <w:spacing w:after="0" w:line="240" w:lineRule="auto"/>
              <w:jc w:val="right"/>
              <w:rPr>
                <w:rFonts w:ascii="Arial" w:eastAsia="Times New Roman" w:hAnsi="Arial" w:cs="Arial"/>
                <w:sz w:val="20"/>
                <w:szCs w:val="20"/>
              </w:rPr>
            </w:pPr>
            <w:r>
              <w:rPr>
                <w:rFonts w:ascii="Arial" w:hAnsi="Arial" w:cs="Arial"/>
                <w:sz w:val="20"/>
                <w:szCs w:val="20"/>
              </w:rPr>
              <w:t>385</w:t>
            </w:r>
          </w:p>
        </w:tc>
        <w:tc>
          <w:tcPr>
            <w:tcW w:w="1360" w:type="dxa"/>
            <w:tcBorders>
              <w:top w:val="nil"/>
              <w:left w:val="nil"/>
              <w:bottom w:val="single" w:sz="4" w:space="0" w:color="auto"/>
              <w:right w:val="single" w:sz="4" w:space="0" w:color="auto"/>
            </w:tcBorders>
            <w:shd w:val="clear" w:color="auto" w:fill="auto"/>
            <w:noWrap/>
            <w:vAlign w:val="bottom"/>
            <w:hideMark/>
          </w:tcPr>
          <w:p w14:paraId="291DA6F0" w14:textId="277903A6" w:rsidR="005602E1" w:rsidRPr="00A34771" w:rsidRDefault="005602E1" w:rsidP="005602E1">
            <w:pPr>
              <w:spacing w:after="0" w:line="240" w:lineRule="auto"/>
              <w:jc w:val="right"/>
              <w:rPr>
                <w:rFonts w:ascii="Arial" w:eastAsia="Times New Roman" w:hAnsi="Arial" w:cs="Arial"/>
                <w:sz w:val="20"/>
                <w:szCs w:val="20"/>
              </w:rPr>
            </w:pPr>
            <w:r>
              <w:rPr>
                <w:rFonts w:ascii="Arial" w:hAnsi="Arial" w:cs="Arial"/>
                <w:sz w:val="20"/>
                <w:szCs w:val="20"/>
              </w:rPr>
              <w:t>397</w:t>
            </w:r>
          </w:p>
        </w:tc>
        <w:tc>
          <w:tcPr>
            <w:tcW w:w="1195" w:type="dxa"/>
            <w:tcBorders>
              <w:top w:val="nil"/>
              <w:left w:val="nil"/>
              <w:bottom w:val="single" w:sz="4" w:space="0" w:color="auto"/>
              <w:right w:val="single" w:sz="4" w:space="0" w:color="auto"/>
            </w:tcBorders>
            <w:shd w:val="clear" w:color="auto" w:fill="auto"/>
            <w:noWrap/>
            <w:vAlign w:val="bottom"/>
            <w:hideMark/>
          </w:tcPr>
          <w:p w14:paraId="719A0B51" w14:textId="22BFF413" w:rsidR="005602E1" w:rsidRPr="00A34771" w:rsidRDefault="005602E1" w:rsidP="005602E1">
            <w:pPr>
              <w:spacing w:after="0" w:line="240" w:lineRule="auto"/>
              <w:jc w:val="right"/>
              <w:rPr>
                <w:rFonts w:ascii="Arial" w:eastAsia="Times New Roman" w:hAnsi="Arial" w:cs="Arial"/>
                <w:sz w:val="20"/>
                <w:szCs w:val="20"/>
              </w:rPr>
            </w:pPr>
            <w:r>
              <w:rPr>
                <w:rFonts w:ascii="Arial" w:hAnsi="Arial" w:cs="Arial"/>
                <w:sz w:val="20"/>
                <w:szCs w:val="20"/>
              </w:rPr>
              <w:t>12</w:t>
            </w:r>
          </w:p>
        </w:tc>
        <w:tc>
          <w:tcPr>
            <w:tcW w:w="1195" w:type="dxa"/>
            <w:tcBorders>
              <w:top w:val="nil"/>
              <w:left w:val="nil"/>
              <w:bottom w:val="single" w:sz="4" w:space="0" w:color="auto"/>
              <w:right w:val="single" w:sz="4" w:space="0" w:color="auto"/>
            </w:tcBorders>
            <w:vAlign w:val="bottom"/>
          </w:tcPr>
          <w:p w14:paraId="600DB932" w14:textId="1FE07129" w:rsidR="005602E1" w:rsidRDefault="005602E1" w:rsidP="005602E1">
            <w:pPr>
              <w:spacing w:after="0" w:line="240" w:lineRule="auto"/>
              <w:jc w:val="right"/>
              <w:rPr>
                <w:rFonts w:ascii="Arial" w:hAnsi="Arial" w:cs="Arial"/>
                <w:sz w:val="20"/>
                <w:szCs w:val="20"/>
              </w:rPr>
            </w:pPr>
            <w:r>
              <w:rPr>
                <w:rFonts w:ascii="Arial" w:hAnsi="Arial" w:cs="Arial"/>
                <w:sz w:val="20"/>
                <w:szCs w:val="20"/>
              </w:rPr>
              <w:t>3.12%</w:t>
            </w:r>
          </w:p>
        </w:tc>
      </w:tr>
      <w:tr w:rsidR="005602E1" w:rsidRPr="00A34771" w14:paraId="440B0E8C" w14:textId="09868F41" w:rsidTr="00F10272">
        <w:trPr>
          <w:trHeight w:val="255"/>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4FA14B33" w14:textId="77777777" w:rsidR="005602E1" w:rsidRPr="00A34771" w:rsidRDefault="005602E1" w:rsidP="005602E1">
            <w:pPr>
              <w:spacing w:after="0" w:line="240" w:lineRule="auto"/>
              <w:rPr>
                <w:rFonts w:ascii="Arial" w:eastAsia="Times New Roman" w:hAnsi="Arial" w:cs="Arial"/>
                <w:sz w:val="20"/>
                <w:szCs w:val="20"/>
              </w:rPr>
            </w:pPr>
            <w:r w:rsidRPr="00A34771">
              <w:rPr>
                <w:rFonts w:ascii="Arial" w:eastAsia="Times New Roman" w:hAnsi="Arial" w:cs="Arial"/>
                <w:sz w:val="20"/>
                <w:szCs w:val="20"/>
              </w:rPr>
              <w:t>CZ09</w:t>
            </w:r>
          </w:p>
        </w:tc>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79CEC947" w14:textId="4BE219B6" w:rsidR="005602E1" w:rsidRPr="00A34771" w:rsidRDefault="005602E1" w:rsidP="005602E1">
            <w:pPr>
              <w:spacing w:after="0" w:line="240" w:lineRule="auto"/>
              <w:jc w:val="right"/>
              <w:rPr>
                <w:rFonts w:ascii="Arial" w:eastAsia="Times New Roman" w:hAnsi="Arial" w:cs="Arial"/>
                <w:sz w:val="20"/>
                <w:szCs w:val="20"/>
              </w:rPr>
            </w:pPr>
            <w:r>
              <w:rPr>
                <w:rFonts w:ascii="Arial" w:hAnsi="Arial" w:cs="Arial"/>
                <w:sz w:val="20"/>
                <w:szCs w:val="20"/>
              </w:rPr>
              <w:t>605</w:t>
            </w:r>
          </w:p>
        </w:tc>
        <w:tc>
          <w:tcPr>
            <w:tcW w:w="1360" w:type="dxa"/>
            <w:tcBorders>
              <w:top w:val="nil"/>
              <w:left w:val="nil"/>
              <w:bottom w:val="single" w:sz="4" w:space="0" w:color="auto"/>
              <w:right w:val="single" w:sz="4" w:space="0" w:color="auto"/>
            </w:tcBorders>
            <w:shd w:val="clear" w:color="auto" w:fill="auto"/>
            <w:noWrap/>
            <w:vAlign w:val="bottom"/>
            <w:hideMark/>
          </w:tcPr>
          <w:p w14:paraId="0D0C9C43" w14:textId="13A1A077" w:rsidR="005602E1" w:rsidRPr="00A34771" w:rsidRDefault="005602E1" w:rsidP="005602E1">
            <w:pPr>
              <w:spacing w:after="0" w:line="240" w:lineRule="auto"/>
              <w:jc w:val="right"/>
              <w:rPr>
                <w:rFonts w:ascii="Arial" w:eastAsia="Times New Roman" w:hAnsi="Arial" w:cs="Arial"/>
                <w:sz w:val="20"/>
                <w:szCs w:val="20"/>
              </w:rPr>
            </w:pPr>
            <w:r>
              <w:rPr>
                <w:rFonts w:ascii="Arial" w:hAnsi="Arial" w:cs="Arial"/>
                <w:sz w:val="20"/>
                <w:szCs w:val="20"/>
              </w:rPr>
              <w:t>609</w:t>
            </w:r>
          </w:p>
        </w:tc>
        <w:tc>
          <w:tcPr>
            <w:tcW w:w="1195" w:type="dxa"/>
            <w:tcBorders>
              <w:top w:val="nil"/>
              <w:left w:val="nil"/>
              <w:bottom w:val="single" w:sz="4" w:space="0" w:color="auto"/>
              <w:right w:val="single" w:sz="4" w:space="0" w:color="auto"/>
            </w:tcBorders>
            <w:shd w:val="clear" w:color="auto" w:fill="auto"/>
            <w:noWrap/>
            <w:vAlign w:val="bottom"/>
            <w:hideMark/>
          </w:tcPr>
          <w:p w14:paraId="37D3665F" w14:textId="1CE5BD5D" w:rsidR="005602E1" w:rsidRPr="00A34771" w:rsidRDefault="005602E1" w:rsidP="005602E1">
            <w:pPr>
              <w:spacing w:after="0" w:line="240" w:lineRule="auto"/>
              <w:jc w:val="right"/>
              <w:rPr>
                <w:rFonts w:ascii="Arial" w:eastAsia="Times New Roman" w:hAnsi="Arial" w:cs="Arial"/>
                <w:sz w:val="20"/>
                <w:szCs w:val="20"/>
              </w:rPr>
            </w:pPr>
            <w:r>
              <w:rPr>
                <w:rFonts w:ascii="Arial" w:hAnsi="Arial" w:cs="Arial"/>
                <w:sz w:val="20"/>
                <w:szCs w:val="20"/>
              </w:rPr>
              <w:t>4</w:t>
            </w:r>
          </w:p>
        </w:tc>
        <w:tc>
          <w:tcPr>
            <w:tcW w:w="1195" w:type="dxa"/>
            <w:tcBorders>
              <w:top w:val="nil"/>
              <w:left w:val="nil"/>
              <w:bottom w:val="single" w:sz="4" w:space="0" w:color="auto"/>
              <w:right w:val="single" w:sz="4" w:space="0" w:color="auto"/>
            </w:tcBorders>
            <w:vAlign w:val="bottom"/>
          </w:tcPr>
          <w:p w14:paraId="0A326D29" w14:textId="0061F63C" w:rsidR="005602E1" w:rsidRDefault="005602E1" w:rsidP="005602E1">
            <w:pPr>
              <w:spacing w:after="0" w:line="240" w:lineRule="auto"/>
              <w:jc w:val="right"/>
              <w:rPr>
                <w:rFonts w:ascii="Arial" w:hAnsi="Arial" w:cs="Arial"/>
                <w:sz w:val="20"/>
                <w:szCs w:val="20"/>
              </w:rPr>
            </w:pPr>
            <w:r>
              <w:rPr>
                <w:rFonts w:ascii="Arial" w:hAnsi="Arial" w:cs="Arial"/>
                <w:sz w:val="20"/>
                <w:szCs w:val="20"/>
              </w:rPr>
              <w:t>0.66%</w:t>
            </w:r>
          </w:p>
        </w:tc>
      </w:tr>
      <w:tr w:rsidR="005602E1" w:rsidRPr="00A34771" w14:paraId="29D97A55" w14:textId="4B926861" w:rsidTr="00F10272">
        <w:trPr>
          <w:trHeight w:val="255"/>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7739E7FF" w14:textId="77777777" w:rsidR="005602E1" w:rsidRPr="00A34771" w:rsidRDefault="005602E1" w:rsidP="005602E1">
            <w:pPr>
              <w:spacing w:after="0" w:line="240" w:lineRule="auto"/>
              <w:rPr>
                <w:rFonts w:ascii="Arial" w:eastAsia="Times New Roman" w:hAnsi="Arial" w:cs="Arial"/>
                <w:sz w:val="20"/>
                <w:szCs w:val="20"/>
              </w:rPr>
            </w:pPr>
            <w:r w:rsidRPr="00A34771">
              <w:rPr>
                <w:rFonts w:ascii="Arial" w:eastAsia="Times New Roman" w:hAnsi="Arial" w:cs="Arial"/>
                <w:sz w:val="20"/>
                <w:szCs w:val="20"/>
              </w:rPr>
              <w:t>CZ10</w:t>
            </w:r>
          </w:p>
        </w:tc>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03862B5C" w14:textId="3BC5EB23" w:rsidR="005602E1" w:rsidRPr="00A34771" w:rsidRDefault="005602E1" w:rsidP="005602E1">
            <w:pPr>
              <w:spacing w:after="0" w:line="240" w:lineRule="auto"/>
              <w:jc w:val="right"/>
              <w:rPr>
                <w:rFonts w:ascii="Arial" w:eastAsia="Times New Roman" w:hAnsi="Arial" w:cs="Arial"/>
                <w:sz w:val="20"/>
                <w:szCs w:val="20"/>
              </w:rPr>
            </w:pPr>
            <w:r>
              <w:rPr>
                <w:rFonts w:ascii="Arial" w:hAnsi="Arial" w:cs="Arial"/>
                <w:sz w:val="20"/>
                <w:szCs w:val="20"/>
              </w:rPr>
              <w:t>453</w:t>
            </w:r>
          </w:p>
        </w:tc>
        <w:tc>
          <w:tcPr>
            <w:tcW w:w="1360" w:type="dxa"/>
            <w:tcBorders>
              <w:top w:val="nil"/>
              <w:left w:val="nil"/>
              <w:bottom w:val="single" w:sz="4" w:space="0" w:color="auto"/>
              <w:right w:val="single" w:sz="4" w:space="0" w:color="auto"/>
            </w:tcBorders>
            <w:shd w:val="clear" w:color="auto" w:fill="auto"/>
            <w:noWrap/>
            <w:vAlign w:val="bottom"/>
            <w:hideMark/>
          </w:tcPr>
          <w:p w14:paraId="4D3A1681" w14:textId="0082C746" w:rsidR="005602E1" w:rsidRPr="00A34771" w:rsidRDefault="005602E1" w:rsidP="005602E1">
            <w:pPr>
              <w:spacing w:after="0" w:line="240" w:lineRule="auto"/>
              <w:jc w:val="right"/>
              <w:rPr>
                <w:rFonts w:ascii="Arial" w:eastAsia="Times New Roman" w:hAnsi="Arial" w:cs="Arial"/>
                <w:sz w:val="20"/>
                <w:szCs w:val="20"/>
              </w:rPr>
            </w:pPr>
            <w:r>
              <w:rPr>
                <w:rFonts w:ascii="Arial" w:hAnsi="Arial" w:cs="Arial"/>
                <w:sz w:val="20"/>
                <w:szCs w:val="20"/>
              </w:rPr>
              <w:t>461</w:t>
            </w:r>
          </w:p>
        </w:tc>
        <w:tc>
          <w:tcPr>
            <w:tcW w:w="1195" w:type="dxa"/>
            <w:tcBorders>
              <w:top w:val="nil"/>
              <w:left w:val="nil"/>
              <w:bottom w:val="single" w:sz="4" w:space="0" w:color="auto"/>
              <w:right w:val="single" w:sz="4" w:space="0" w:color="auto"/>
            </w:tcBorders>
            <w:shd w:val="clear" w:color="auto" w:fill="auto"/>
            <w:noWrap/>
            <w:vAlign w:val="bottom"/>
            <w:hideMark/>
          </w:tcPr>
          <w:p w14:paraId="487E218A" w14:textId="4F107391" w:rsidR="005602E1" w:rsidRPr="00A34771" w:rsidRDefault="005602E1" w:rsidP="005602E1">
            <w:pPr>
              <w:spacing w:after="0" w:line="240" w:lineRule="auto"/>
              <w:jc w:val="right"/>
              <w:rPr>
                <w:rFonts w:ascii="Arial" w:eastAsia="Times New Roman" w:hAnsi="Arial" w:cs="Arial"/>
                <w:sz w:val="20"/>
                <w:szCs w:val="20"/>
              </w:rPr>
            </w:pPr>
            <w:r>
              <w:rPr>
                <w:rFonts w:ascii="Arial" w:hAnsi="Arial" w:cs="Arial"/>
                <w:sz w:val="20"/>
                <w:szCs w:val="20"/>
              </w:rPr>
              <w:t>8</w:t>
            </w:r>
          </w:p>
        </w:tc>
        <w:tc>
          <w:tcPr>
            <w:tcW w:w="1195" w:type="dxa"/>
            <w:tcBorders>
              <w:top w:val="nil"/>
              <w:left w:val="nil"/>
              <w:bottom w:val="single" w:sz="4" w:space="0" w:color="auto"/>
              <w:right w:val="single" w:sz="4" w:space="0" w:color="auto"/>
            </w:tcBorders>
            <w:vAlign w:val="bottom"/>
          </w:tcPr>
          <w:p w14:paraId="4ABB2AB4" w14:textId="49300216" w:rsidR="005602E1" w:rsidRDefault="005602E1" w:rsidP="005602E1">
            <w:pPr>
              <w:spacing w:after="0" w:line="240" w:lineRule="auto"/>
              <w:jc w:val="right"/>
              <w:rPr>
                <w:rFonts w:ascii="Arial" w:hAnsi="Arial" w:cs="Arial"/>
                <w:sz w:val="20"/>
                <w:szCs w:val="20"/>
              </w:rPr>
            </w:pPr>
            <w:r>
              <w:rPr>
                <w:rFonts w:ascii="Arial" w:hAnsi="Arial" w:cs="Arial"/>
                <w:sz w:val="20"/>
                <w:szCs w:val="20"/>
              </w:rPr>
              <w:t>1.77%</w:t>
            </w:r>
          </w:p>
        </w:tc>
      </w:tr>
      <w:tr w:rsidR="005602E1" w:rsidRPr="00A34771" w14:paraId="4AE7CECF" w14:textId="09621096" w:rsidTr="00F10272">
        <w:trPr>
          <w:trHeight w:val="255"/>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1736E87F" w14:textId="77777777" w:rsidR="005602E1" w:rsidRPr="00A34771" w:rsidRDefault="005602E1" w:rsidP="005602E1">
            <w:pPr>
              <w:spacing w:after="0" w:line="240" w:lineRule="auto"/>
              <w:rPr>
                <w:rFonts w:ascii="Arial" w:eastAsia="Times New Roman" w:hAnsi="Arial" w:cs="Arial"/>
                <w:sz w:val="20"/>
                <w:szCs w:val="20"/>
              </w:rPr>
            </w:pPr>
            <w:r w:rsidRPr="00A34771">
              <w:rPr>
                <w:rFonts w:ascii="Arial" w:eastAsia="Times New Roman" w:hAnsi="Arial" w:cs="Arial"/>
                <w:sz w:val="20"/>
                <w:szCs w:val="20"/>
              </w:rPr>
              <w:t>CZ11</w:t>
            </w:r>
          </w:p>
        </w:tc>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30820CE8" w14:textId="20EDBC55" w:rsidR="005602E1" w:rsidRPr="00A34771" w:rsidRDefault="005602E1" w:rsidP="005602E1">
            <w:pPr>
              <w:spacing w:after="0" w:line="240" w:lineRule="auto"/>
              <w:jc w:val="right"/>
              <w:rPr>
                <w:rFonts w:ascii="Arial" w:eastAsia="Times New Roman" w:hAnsi="Arial" w:cs="Arial"/>
                <w:sz w:val="20"/>
                <w:szCs w:val="20"/>
              </w:rPr>
            </w:pPr>
            <w:r>
              <w:rPr>
                <w:rFonts w:ascii="Arial" w:hAnsi="Arial" w:cs="Arial"/>
                <w:sz w:val="20"/>
                <w:szCs w:val="20"/>
              </w:rPr>
              <w:t>689</w:t>
            </w:r>
          </w:p>
        </w:tc>
        <w:tc>
          <w:tcPr>
            <w:tcW w:w="1360" w:type="dxa"/>
            <w:tcBorders>
              <w:top w:val="nil"/>
              <w:left w:val="nil"/>
              <w:bottom w:val="single" w:sz="4" w:space="0" w:color="auto"/>
              <w:right w:val="single" w:sz="4" w:space="0" w:color="auto"/>
            </w:tcBorders>
            <w:shd w:val="clear" w:color="auto" w:fill="auto"/>
            <w:noWrap/>
            <w:vAlign w:val="bottom"/>
            <w:hideMark/>
          </w:tcPr>
          <w:p w14:paraId="0835DFAD" w14:textId="5EDF6489" w:rsidR="005602E1" w:rsidRPr="00A34771" w:rsidRDefault="005602E1" w:rsidP="005602E1">
            <w:pPr>
              <w:spacing w:after="0" w:line="240" w:lineRule="auto"/>
              <w:jc w:val="right"/>
              <w:rPr>
                <w:rFonts w:ascii="Arial" w:eastAsia="Times New Roman" w:hAnsi="Arial" w:cs="Arial"/>
                <w:sz w:val="20"/>
                <w:szCs w:val="20"/>
              </w:rPr>
            </w:pPr>
            <w:r>
              <w:rPr>
                <w:rFonts w:ascii="Arial" w:hAnsi="Arial" w:cs="Arial"/>
                <w:sz w:val="20"/>
                <w:szCs w:val="20"/>
              </w:rPr>
              <w:t>697</w:t>
            </w:r>
          </w:p>
        </w:tc>
        <w:tc>
          <w:tcPr>
            <w:tcW w:w="1195" w:type="dxa"/>
            <w:tcBorders>
              <w:top w:val="nil"/>
              <w:left w:val="nil"/>
              <w:bottom w:val="single" w:sz="4" w:space="0" w:color="auto"/>
              <w:right w:val="single" w:sz="4" w:space="0" w:color="auto"/>
            </w:tcBorders>
            <w:shd w:val="clear" w:color="auto" w:fill="auto"/>
            <w:noWrap/>
            <w:vAlign w:val="bottom"/>
            <w:hideMark/>
          </w:tcPr>
          <w:p w14:paraId="15D29697" w14:textId="742B4D94" w:rsidR="005602E1" w:rsidRPr="00A34771" w:rsidRDefault="005602E1" w:rsidP="005602E1">
            <w:pPr>
              <w:spacing w:after="0" w:line="240" w:lineRule="auto"/>
              <w:jc w:val="right"/>
              <w:rPr>
                <w:rFonts w:ascii="Arial" w:eastAsia="Times New Roman" w:hAnsi="Arial" w:cs="Arial"/>
                <w:sz w:val="20"/>
                <w:szCs w:val="20"/>
              </w:rPr>
            </w:pPr>
            <w:r>
              <w:rPr>
                <w:rFonts w:ascii="Arial" w:hAnsi="Arial" w:cs="Arial"/>
                <w:sz w:val="20"/>
                <w:szCs w:val="20"/>
              </w:rPr>
              <w:t>8</w:t>
            </w:r>
          </w:p>
        </w:tc>
        <w:tc>
          <w:tcPr>
            <w:tcW w:w="1195" w:type="dxa"/>
            <w:tcBorders>
              <w:top w:val="nil"/>
              <w:left w:val="nil"/>
              <w:bottom w:val="single" w:sz="4" w:space="0" w:color="auto"/>
              <w:right w:val="single" w:sz="4" w:space="0" w:color="auto"/>
            </w:tcBorders>
            <w:vAlign w:val="bottom"/>
          </w:tcPr>
          <w:p w14:paraId="12231220" w14:textId="51CCD8DD" w:rsidR="005602E1" w:rsidRDefault="005602E1" w:rsidP="005602E1">
            <w:pPr>
              <w:spacing w:after="0" w:line="240" w:lineRule="auto"/>
              <w:jc w:val="right"/>
              <w:rPr>
                <w:rFonts w:ascii="Arial" w:hAnsi="Arial" w:cs="Arial"/>
                <w:sz w:val="20"/>
                <w:szCs w:val="20"/>
              </w:rPr>
            </w:pPr>
            <w:r>
              <w:rPr>
                <w:rFonts w:ascii="Arial" w:hAnsi="Arial" w:cs="Arial"/>
                <w:sz w:val="20"/>
                <w:szCs w:val="20"/>
              </w:rPr>
              <w:t>1.16%</w:t>
            </w:r>
          </w:p>
        </w:tc>
      </w:tr>
      <w:tr w:rsidR="005602E1" w:rsidRPr="00A34771" w14:paraId="346FD118" w14:textId="667B21FA" w:rsidTr="00F10272">
        <w:trPr>
          <w:trHeight w:val="255"/>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39F5BEA1" w14:textId="77777777" w:rsidR="005602E1" w:rsidRPr="00A34771" w:rsidRDefault="005602E1" w:rsidP="005602E1">
            <w:pPr>
              <w:spacing w:after="0" w:line="240" w:lineRule="auto"/>
              <w:rPr>
                <w:rFonts w:ascii="Arial" w:eastAsia="Times New Roman" w:hAnsi="Arial" w:cs="Arial"/>
                <w:sz w:val="20"/>
                <w:szCs w:val="20"/>
              </w:rPr>
            </w:pPr>
            <w:r w:rsidRPr="00A34771">
              <w:rPr>
                <w:rFonts w:ascii="Arial" w:eastAsia="Times New Roman" w:hAnsi="Arial" w:cs="Arial"/>
                <w:sz w:val="20"/>
                <w:szCs w:val="20"/>
              </w:rPr>
              <w:t>CZ12</w:t>
            </w:r>
          </w:p>
        </w:tc>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239F01C1" w14:textId="4E5222EE" w:rsidR="005602E1" w:rsidRPr="00A34771" w:rsidRDefault="005602E1" w:rsidP="005602E1">
            <w:pPr>
              <w:spacing w:after="0" w:line="240" w:lineRule="auto"/>
              <w:jc w:val="right"/>
              <w:rPr>
                <w:rFonts w:ascii="Arial" w:eastAsia="Times New Roman" w:hAnsi="Arial" w:cs="Arial"/>
                <w:sz w:val="20"/>
                <w:szCs w:val="20"/>
              </w:rPr>
            </w:pPr>
            <w:r>
              <w:rPr>
                <w:rFonts w:ascii="Arial" w:hAnsi="Arial" w:cs="Arial"/>
                <w:sz w:val="20"/>
                <w:szCs w:val="20"/>
              </w:rPr>
              <w:t>573</w:t>
            </w:r>
          </w:p>
        </w:tc>
        <w:tc>
          <w:tcPr>
            <w:tcW w:w="1360" w:type="dxa"/>
            <w:tcBorders>
              <w:top w:val="nil"/>
              <w:left w:val="nil"/>
              <w:bottom w:val="single" w:sz="4" w:space="0" w:color="auto"/>
              <w:right w:val="single" w:sz="4" w:space="0" w:color="auto"/>
            </w:tcBorders>
            <w:shd w:val="clear" w:color="auto" w:fill="auto"/>
            <w:noWrap/>
            <w:vAlign w:val="bottom"/>
            <w:hideMark/>
          </w:tcPr>
          <w:p w14:paraId="261305BB" w14:textId="2EF56100" w:rsidR="005602E1" w:rsidRPr="00A34771" w:rsidRDefault="005602E1" w:rsidP="005602E1">
            <w:pPr>
              <w:spacing w:after="0" w:line="240" w:lineRule="auto"/>
              <w:jc w:val="right"/>
              <w:rPr>
                <w:rFonts w:ascii="Arial" w:eastAsia="Times New Roman" w:hAnsi="Arial" w:cs="Arial"/>
                <w:sz w:val="20"/>
                <w:szCs w:val="20"/>
              </w:rPr>
            </w:pPr>
            <w:r>
              <w:rPr>
                <w:rFonts w:ascii="Arial" w:hAnsi="Arial" w:cs="Arial"/>
                <w:sz w:val="20"/>
                <w:szCs w:val="20"/>
              </w:rPr>
              <w:t>581</w:t>
            </w:r>
          </w:p>
        </w:tc>
        <w:tc>
          <w:tcPr>
            <w:tcW w:w="1195" w:type="dxa"/>
            <w:tcBorders>
              <w:top w:val="nil"/>
              <w:left w:val="nil"/>
              <w:bottom w:val="single" w:sz="4" w:space="0" w:color="auto"/>
              <w:right w:val="single" w:sz="4" w:space="0" w:color="auto"/>
            </w:tcBorders>
            <w:shd w:val="clear" w:color="auto" w:fill="auto"/>
            <w:noWrap/>
            <w:vAlign w:val="bottom"/>
            <w:hideMark/>
          </w:tcPr>
          <w:p w14:paraId="42CFAEC0" w14:textId="3A2C4C1E" w:rsidR="005602E1" w:rsidRPr="00A34771" w:rsidRDefault="005602E1" w:rsidP="005602E1">
            <w:pPr>
              <w:spacing w:after="0" w:line="240" w:lineRule="auto"/>
              <w:jc w:val="right"/>
              <w:rPr>
                <w:rFonts w:ascii="Arial" w:eastAsia="Times New Roman" w:hAnsi="Arial" w:cs="Arial"/>
                <w:sz w:val="20"/>
                <w:szCs w:val="20"/>
              </w:rPr>
            </w:pPr>
            <w:r>
              <w:rPr>
                <w:rFonts w:ascii="Arial" w:hAnsi="Arial" w:cs="Arial"/>
                <w:sz w:val="20"/>
                <w:szCs w:val="20"/>
              </w:rPr>
              <w:t>8</w:t>
            </w:r>
          </w:p>
        </w:tc>
        <w:tc>
          <w:tcPr>
            <w:tcW w:w="1195" w:type="dxa"/>
            <w:tcBorders>
              <w:top w:val="nil"/>
              <w:left w:val="nil"/>
              <w:bottom w:val="single" w:sz="4" w:space="0" w:color="auto"/>
              <w:right w:val="single" w:sz="4" w:space="0" w:color="auto"/>
            </w:tcBorders>
            <w:vAlign w:val="bottom"/>
          </w:tcPr>
          <w:p w14:paraId="1CD3512F" w14:textId="3AA87A77" w:rsidR="005602E1" w:rsidRDefault="005602E1" w:rsidP="005602E1">
            <w:pPr>
              <w:spacing w:after="0" w:line="240" w:lineRule="auto"/>
              <w:jc w:val="right"/>
              <w:rPr>
                <w:rFonts w:ascii="Arial" w:hAnsi="Arial" w:cs="Arial"/>
                <w:sz w:val="20"/>
                <w:szCs w:val="20"/>
              </w:rPr>
            </w:pPr>
            <w:r>
              <w:rPr>
                <w:rFonts w:ascii="Arial" w:hAnsi="Arial" w:cs="Arial"/>
                <w:sz w:val="20"/>
                <w:szCs w:val="20"/>
              </w:rPr>
              <w:t>1.40%</w:t>
            </w:r>
          </w:p>
        </w:tc>
      </w:tr>
      <w:tr w:rsidR="005602E1" w:rsidRPr="00A34771" w14:paraId="1569E76A" w14:textId="71DE37FC" w:rsidTr="00F10272">
        <w:trPr>
          <w:trHeight w:val="255"/>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40B55B4A" w14:textId="77777777" w:rsidR="005602E1" w:rsidRPr="00A34771" w:rsidRDefault="005602E1" w:rsidP="005602E1">
            <w:pPr>
              <w:spacing w:after="0" w:line="240" w:lineRule="auto"/>
              <w:rPr>
                <w:rFonts w:ascii="Arial" w:eastAsia="Times New Roman" w:hAnsi="Arial" w:cs="Arial"/>
                <w:sz w:val="20"/>
                <w:szCs w:val="20"/>
              </w:rPr>
            </w:pPr>
            <w:r w:rsidRPr="00A34771">
              <w:rPr>
                <w:rFonts w:ascii="Arial" w:eastAsia="Times New Roman" w:hAnsi="Arial" w:cs="Arial"/>
                <w:sz w:val="20"/>
                <w:szCs w:val="20"/>
              </w:rPr>
              <w:t>CZ13</w:t>
            </w:r>
          </w:p>
        </w:tc>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087BE9FF" w14:textId="19699CD3" w:rsidR="005602E1" w:rsidRPr="00A34771" w:rsidRDefault="005602E1" w:rsidP="005602E1">
            <w:pPr>
              <w:spacing w:after="0" w:line="240" w:lineRule="auto"/>
              <w:jc w:val="right"/>
              <w:rPr>
                <w:rFonts w:ascii="Arial" w:eastAsia="Times New Roman" w:hAnsi="Arial" w:cs="Arial"/>
                <w:sz w:val="20"/>
                <w:szCs w:val="20"/>
              </w:rPr>
            </w:pPr>
            <w:r>
              <w:rPr>
                <w:rFonts w:ascii="Arial" w:hAnsi="Arial" w:cs="Arial"/>
                <w:sz w:val="20"/>
                <w:szCs w:val="20"/>
              </w:rPr>
              <w:t>301</w:t>
            </w:r>
          </w:p>
        </w:tc>
        <w:tc>
          <w:tcPr>
            <w:tcW w:w="1360" w:type="dxa"/>
            <w:tcBorders>
              <w:top w:val="nil"/>
              <w:left w:val="nil"/>
              <w:bottom w:val="single" w:sz="4" w:space="0" w:color="auto"/>
              <w:right w:val="single" w:sz="4" w:space="0" w:color="auto"/>
            </w:tcBorders>
            <w:shd w:val="clear" w:color="auto" w:fill="auto"/>
            <w:noWrap/>
            <w:vAlign w:val="bottom"/>
            <w:hideMark/>
          </w:tcPr>
          <w:p w14:paraId="14CC9363" w14:textId="60E48D56" w:rsidR="005602E1" w:rsidRPr="00A34771" w:rsidRDefault="005602E1" w:rsidP="005602E1">
            <w:pPr>
              <w:spacing w:after="0" w:line="240" w:lineRule="auto"/>
              <w:jc w:val="right"/>
              <w:rPr>
                <w:rFonts w:ascii="Arial" w:eastAsia="Times New Roman" w:hAnsi="Arial" w:cs="Arial"/>
                <w:sz w:val="20"/>
                <w:szCs w:val="20"/>
              </w:rPr>
            </w:pPr>
            <w:r>
              <w:rPr>
                <w:rFonts w:ascii="Arial" w:hAnsi="Arial" w:cs="Arial"/>
                <w:sz w:val="20"/>
                <w:szCs w:val="20"/>
              </w:rPr>
              <w:t>309</w:t>
            </w:r>
          </w:p>
        </w:tc>
        <w:tc>
          <w:tcPr>
            <w:tcW w:w="1195" w:type="dxa"/>
            <w:tcBorders>
              <w:top w:val="nil"/>
              <w:left w:val="nil"/>
              <w:bottom w:val="single" w:sz="4" w:space="0" w:color="auto"/>
              <w:right w:val="single" w:sz="4" w:space="0" w:color="auto"/>
            </w:tcBorders>
            <w:shd w:val="clear" w:color="auto" w:fill="auto"/>
            <w:noWrap/>
            <w:vAlign w:val="bottom"/>
            <w:hideMark/>
          </w:tcPr>
          <w:p w14:paraId="073EF5D7" w14:textId="4AAC96A6" w:rsidR="005602E1" w:rsidRPr="00A34771" w:rsidRDefault="005602E1" w:rsidP="005602E1">
            <w:pPr>
              <w:spacing w:after="0" w:line="240" w:lineRule="auto"/>
              <w:jc w:val="right"/>
              <w:rPr>
                <w:rFonts w:ascii="Arial" w:eastAsia="Times New Roman" w:hAnsi="Arial" w:cs="Arial"/>
                <w:sz w:val="20"/>
                <w:szCs w:val="20"/>
              </w:rPr>
            </w:pPr>
            <w:r>
              <w:rPr>
                <w:rFonts w:ascii="Arial" w:hAnsi="Arial" w:cs="Arial"/>
                <w:sz w:val="20"/>
                <w:szCs w:val="20"/>
              </w:rPr>
              <w:t>8</w:t>
            </w:r>
          </w:p>
        </w:tc>
        <w:tc>
          <w:tcPr>
            <w:tcW w:w="1195" w:type="dxa"/>
            <w:tcBorders>
              <w:top w:val="nil"/>
              <w:left w:val="nil"/>
              <w:bottom w:val="single" w:sz="4" w:space="0" w:color="auto"/>
              <w:right w:val="single" w:sz="4" w:space="0" w:color="auto"/>
            </w:tcBorders>
            <w:vAlign w:val="bottom"/>
          </w:tcPr>
          <w:p w14:paraId="7516BC6C" w14:textId="6C6EFB73" w:rsidR="005602E1" w:rsidRDefault="005602E1" w:rsidP="005602E1">
            <w:pPr>
              <w:spacing w:after="0" w:line="240" w:lineRule="auto"/>
              <w:jc w:val="right"/>
              <w:rPr>
                <w:rFonts w:ascii="Arial" w:hAnsi="Arial" w:cs="Arial"/>
                <w:sz w:val="20"/>
                <w:szCs w:val="20"/>
              </w:rPr>
            </w:pPr>
            <w:r>
              <w:rPr>
                <w:rFonts w:ascii="Arial" w:hAnsi="Arial" w:cs="Arial"/>
                <w:sz w:val="20"/>
                <w:szCs w:val="20"/>
              </w:rPr>
              <w:t>2.66%</w:t>
            </w:r>
          </w:p>
        </w:tc>
      </w:tr>
      <w:tr w:rsidR="005602E1" w:rsidRPr="00A34771" w14:paraId="18DF5E68" w14:textId="0447816F" w:rsidTr="00F10272">
        <w:trPr>
          <w:trHeight w:val="255"/>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1ADF8ABA" w14:textId="77777777" w:rsidR="005602E1" w:rsidRPr="00A34771" w:rsidRDefault="005602E1" w:rsidP="005602E1">
            <w:pPr>
              <w:spacing w:after="0" w:line="240" w:lineRule="auto"/>
              <w:rPr>
                <w:rFonts w:ascii="Arial" w:eastAsia="Times New Roman" w:hAnsi="Arial" w:cs="Arial"/>
                <w:sz w:val="20"/>
                <w:szCs w:val="20"/>
              </w:rPr>
            </w:pPr>
            <w:r w:rsidRPr="00A34771">
              <w:rPr>
                <w:rFonts w:ascii="Arial" w:eastAsia="Times New Roman" w:hAnsi="Arial" w:cs="Arial"/>
                <w:sz w:val="20"/>
                <w:szCs w:val="20"/>
              </w:rPr>
              <w:t>CZ14</w:t>
            </w:r>
          </w:p>
        </w:tc>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0CD9C469" w14:textId="0AADB212" w:rsidR="005602E1" w:rsidRPr="00A34771" w:rsidRDefault="005602E1" w:rsidP="005602E1">
            <w:pPr>
              <w:spacing w:after="0" w:line="240" w:lineRule="auto"/>
              <w:jc w:val="right"/>
              <w:rPr>
                <w:rFonts w:ascii="Arial" w:eastAsia="Times New Roman" w:hAnsi="Arial" w:cs="Arial"/>
                <w:sz w:val="20"/>
                <w:szCs w:val="20"/>
              </w:rPr>
            </w:pPr>
            <w:r>
              <w:rPr>
                <w:rFonts w:ascii="Arial" w:hAnsi="Arial" w:cs="Arial"/>
                <w:sz w:val="20"/>
                <w:szCs w:val="20"/>
              </w:rPr>
              <w:t>738</w:t>
            </w:r>
          </w:p>
        </w:tc>
        <w:tc>
          <w:tcPr>
            <w:tcW w:w="1360" w:type="dxa"/>
            <w:tcBorders>
              <w:top w:val="nil"/>
              <w:left w:val="nil"/>
              <w:bottom w:val="single" w:sz="4" w:space="0" w:color="auto"/>
              <w:right w:val="single" w:sz="4" w:space="0" w:color="auto"/>
            </w:tcBorders>
            <w:shd w:val="clear" w:color="auto" w:fill="auto"/>
            <w:noWrap/>
            <w:vAlign w:val="bottom"/>
            <w:hideMark/>
          </w:tcPr>
          <w:p w14:paraId="1950A486" w14:textId="24DF2346" w:rsidR="005602E1" w:rsidRPr="00A34771" w:rsidRDefault="005602E1" w:rsidP="005602E1">
            <w:pPr>
              <w:spacing w:after="0" w:line="240" w:lineRule="auto"/>
              <w:jc w:val="right"/>
              <w:rPr>
                <w:rFonts w:ascii="Arial" w:eastAsia="Times New Roman" w:hAnsi="Arial" w:cs="Arial"/>
                <w:sz w:val="20"/>
                <w:szCs w:val="20"/>
              </w:rPr>
            </w:pPr>
            <w:r>
              <w:rPr>
                <w:rFonts w:ascii="Arial" w:hAnsi="Arial" w:cs="Arial"/>
                <w:sz w:val="20"/>
                <w:szCs w:val="20"/>
              </w:rPr>
              <w:t>763</w:t>
            </w:r>
          </w:p>
        </w:tc>
        <w:tc>
          <w:tcPr>
            <w:tcW w:w="1195" w:type="dxa"/>
            <w:tcBorders>
              <w:top w:val="nil"/>
              <w:left w:val="nil"/>
              <w:bottom w:val="single" w:sz="4" w:space="0" w:color="auto"/>
              <w:right w:val="single" w:sz="4" w:space="0" w:color="auto"/>
            </w:tcBorders>
            <w:shd w:val="clear" w:color="auto" w:fill="auto"/>
            <w:noWrap/>
            <w:vAlign w:val="bottom"/>
            <w:hideMark/>
          </w:tcPr>
          <w:p w14:paraId="45C45AE2" w14:textId="351DEEE8" w:rsidR="005602E1" w:rsidRPr="00A34771" w:rsidRDefault="005602E1" w:rsidP="005602E1">
            <w:pPr>
              <w:spacing w:after="0" w:line="240" w:lineRule="auto"/>
              <w:jc w:val="right"/>
              <w:rPr>
                <w:rFonts w:ascii="Arial" w:eastAsia="Times New Roman" w:hAnsi="Arial" w:cs="Arial"/>
                <w:sz w:val="20"/>
                <w:szCs w:val="20"/>
              </w:rPr>
            </w:pPr>
            <w:r>
              <w:rPr>
                <w:rFonts w:ascii="Arial" w:hAnsi="Arial" w:cs="Arial"/>
                <w:sz w:val="20"/>
                <w:szCs w:val="20"/>
              </w:rPr>
              <w:t>25</w:t>
            </w:r>
          </w:p>
        </w:tc>
        <w:tc>
          <w:tcPr>
            <w:tcW w:w="1195" w:type="dxa"/>
            <w:tcBorders>
              <w:top w:val="nil"/>
              <w:left w:val="nil"/>
              <w:bottom w:val="single" w:sz="4" w:space="0" w:color="auto"/>
              <w:right w:val="single" w:sz="4" w:space="0" w:color="auto"/>
            </w:tcBorders>
            <w:vAlign w:val="bottom"/>
          </w:tcPr>
          <w:p w14:paraId="463D3F17" w14:textId="78B14AE8" w:rsidR="005602E1" w:rsidRDefault="005602E1" w:rsidP="005602E1">
            <w:pPr>
              <w:spacing w:after="0" w:line="240" w:lineRule="auto"/>
              <w:jc w:val="right"/>
              <w:rPr>
                <w:rFonts w:ascii="Arial" w:hAnsi="Arial" w:cs="Arial"/>
                <w:sz w:val="20"/>
                <w:szCs w:val="20"/>
              </w:rPr>
            </w:pPr>
            <w:r>
              <w:rPr>
                <w:rFonts w:ascii="Arial" w:hAnsi="Arial" w:cs="Arial"/>
                <w:sz w:val="20"/>
                <w:szCs w:val="20"/>
              </w:rPr>
              <w:t>3.39%</w:t>
            </w:r>
          </w:p>
        </w:tc>
      </w:tr>
      <w:tr w:rsidR="005602E1" w:rsidRPr="00A34771" w14:paraId="1B47C59B" w14:textId="36AA1EF0" w:rsidTr="00F10272">
        <w:trPr>
          <w:trHeight w:val="255"/>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4C356823" w14:textId="77777777" w:rsidR="005602E1" w:rsidRPr="00A34771" w:rsidRDefault="005602E1" w:rsidP="005602E1">
            <w:pPr>
              <w:spacing w:after="0" w:line="240" w:lineRule="auto"/>
              <w:rPr>
                <w:rFonts w:ascii="Arial" w:eastAsia="Times New Roman" w:hAnsi="Arial" w:cs="Arial"/>
                <w:sz w:val="20"/>
                <w:szCs w:val="20"/>
              </w:rPr>
            </w:pPr>
            <w:r w:rsidRPr="00A34771">
              <w:rPr>
                <w:rFonts w:ascii="Arial" w:eastAsia="Times New Roman" w:hAnsi="Arial" w:cs="Arial"/>
                <w:sz w:val="20"/>
                <w:szCs w:val="20"/>
              </w:rPr>
              <w:t>CZ15</w:t>
            </w:r>
          </w:p>
        </w:tc>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37E8F4EF" w14:textId="68AC419A" w:rsidR="005602E1" w:rsidRPr="00A34771" w:rsidRDefault="005602E1" w:rsidP="005602E1">
            <w:pPr>
              <w:spacing w:after="0" w:line="240" w:lineRule="auto"/>
              <w:jc w:val="right"/>
              <w:rPr>
                <w:rFonts w:ascii="Arial" w:eastAsia="Times New Roman" w:hAnsi="Arial" w:cs="Arial"/>
                <w:sz w:val="20"/>
                <w:szCs w:val="20"/>
              </w:rPr>
            </w:pPr>
            <w:r>
              <w:rPr>
                <w:rFonts w:ascii="Arial" w:hAnsi="Arial" w:cs="Arial"/>
                <w:sz w:val="20"/>
                <w:szCs w:val="20"/>
              </w:rPr>
              <w:t>259</w:t>
            </w:r>
          </w:p>
        </w:tc>
        <w:tc>
          <w:tcPr>
            <w:tcW w:w="1360" w:type="dxa"/>
            <w:tcBorders>
              <w:top w:val="nil"/>
              <w:left w:val="nil"/>
              <w:bottom w:val="single" w:sz="4" w:space="0" w:color="auto"/>
              <w:right w:val="single" w:sz="4" w:space="0" w:color="auto"/>
            </w:tcBorders>
            <w:shd w:val="clear" w:color="auto" w:fill="auto"/>
            <w:noWrap/>
            <w:vAlign w:val="bottom"/>
            <w:hideMark/>
          </w:tcPr>
          <w:p w14:paraId="7F095614" w14:textId="27402B95" w:rsidR="005602E1" w:rsidRPr="00A34771" w:rsidRDefault="005602E1" w:rsidP="005602E1">
            <w:pPr>
              <w:spacing w:after="0" w:line="240" w:lineRule="auto"/>
              <w:jc w:val="right"/>
              <w:rPr>
                <w:rFonts w:ascii="Arial" w:eastAsia="Times New Roman" w:hAnsi="Arial" w:cs="Arial"/>
                <w:sz w:val="20"/>
                <w:szCs w:val="20"/>
              </w:rPr>
            </w:pPr>
            <w:r>
              <w:rPr>
                <w:rFonts w:ascii="Arial" w:hAnsi="Arial" w:cs="Arial"/>
                <w:sz w:val="20"/>
                <w:szCs w:val="20"/>
              </w:rPr>
              <w:t>264</w:t>
            </w:r>
          </w:p>
        </w:tc>
        <w:tc>
          <w:tcPr>
            <w:tcW w:w="1195" w:type="dxa"/>
            <w:tcBorders>
              <w:top w:val="nil"/>
              <w:left w:val="nil"/>
              <w:bottom w:val="single" w:sz="4" w:space="0" w:color="auto"/>
              <w:right w:val="single" w:sz="4" w:space="0" w:color="auto"/>
            </w:tcBorders>
            <w:shd w:val="clear" w:color="auto" w:fill="auto"/>
            <w:noWrap/>
            <w:vAlign w:val="bottom"/>
            <w:hideMark/>
          </w:tcPr>
          <w:p w14:paraId="243834A1" w14:textId="707E34AD" w:rsidR="005602E1" w:rsidRPr="00A34771" w:rsidRDefault="005602E1" w:rsidP="005602E1">
            <w:pPr>
              <w:spacing w:after="0" w:line="240" w:lineRule="auto"/>
              <w:jc w:val="right"/>
              <w:rPr>
                <w:rFonts w:ascii="Arial" w:eastAsia="Times New Roman" w:hAnsi="Arial" w:cs="Arial"/>
                <w:sz w:val="20"/>
                <w:szCs w:val="20"/>
              </w:rPr>
            </w:pPr>
            <w:r>
              <w:rPr>
                <w:rFonts w:ascii="Arial" w:hAnsi="Arial" w:cs="Arial"/>
                <w:sz w:val="20"/>
                <w:szCs w:val="20"/>
              </w:rPr>
              <w:t>5</w:t>
            </w:r>
          </w:p>
        </w:tc>
        <w:tc>
          <w:tcPr>
            <w:tcW w:w="1195" w:type="dxa"/>
            <w:tcBorders>
              <w:top w:val="nil"/>
              <w:left w:val="nil"/>
              <w:bottom w:val="single" w:sz="4" w:space="0" w:color="auto"/>
              <w:right w:val="single" w:sz="4" w:space="0" w:color="auto"/>
            </w:tcBorders>
            <w:vAlign w:val="bottom"/>
          </w:tcPr>
          <w:p w14:paraId="37719EE7" w14:textId="4493A848" w:rsidR="005602E1" w:rsidRDefault="005602E1" w:rsidP="005602E1">
            <w:pPr>
              <w:spacing w:after="0" w:line="240" w:lineRule="auto"/>
              <w:jc w:val="right"/>
              <w:rPr>
                <w:rFonts w:ascii="Arial" w:hAnsi="Arial" w:cs="Arial"/>
                <w:sz w:val="20"/>
                <w:szCs w:val="20"/>
              </w:rPr>
            </w:pPr>
            <w:r>
              <w:rPr>
                <w:rFonts w:ascii="Arial" w:hAnsi="Arial" w:cs="Arial"/>
                <w:sz w:val="20"/>
                <w:szCs w:val="20"/>
              </w:rPr>
              <w:t>1.93%</w:t>
            </w:r>
          </w:p>
        </w:tc>
      </w:tr>
      <w:tr w:rsidR="005602E1" w:rsidRPr="00A34771" w14:paraId="037039B9" w14:textId="1CE9C2DC" w:rsidTr="00F10272">
        <w:trPr>
          <w:trHeight w:val="255"/>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2B7478DE" w14:textId="77777777" w:rsidR="005602E1" w:rsidRPr="00A34771" w:rsidRDefault="005602E1" w:rsidP="005602E1">
            <w:pPr>
              <w:spacing w:after="0" w:line="240" w:lineRule="auto"/>
              <w:rPr>
                <w:rFonts w:ascii="Arial" w:eastAsia="Times New Roman" w:hAnsi="Arial" w:cs="Arial"/>
                <w:sz w:val="20"/>
                <w:szCs w:val="20"/>
              </w:rPr>
            </w:pPr>
            <w:r w:rsidRPr="00A34771">
              <w:rPr>
                <w:rFonts w:ascii="Arial" w:eastAsia="Times New Roman" w:hAnsi="Arial" w:cs="Arial"/>
                <w:sz w:val="20"/>
                <w:szCs w:val="20"/>
              </w:rPr>
              <w:t>CZ16</w:t>
            </w:r>
          </w:p>
        </w:tc>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2E4DA0E9" w14:textId="08776D18" w:rsidR="005602E1" w:rsidRPr="00A34771" w:rsidRDefault="005602E1" w:rsidP="005602E1">
            <w:pPr>
              <w:spacing w:after="0" w:line="240" w:lineRule="auto"/>
              <w:jc w:val="right"/>
              <w:rPr>
                <w:rFonts w:ascii="Arial" w:eastAsia="Times New Roman" w:hAnsi="Arial" w:cs="Arial"/>
                <w:sz w:val="20"/>
                <w:szCs w:val="20"/>
              </w:rPr>
            </w:pPr>
            <w:r>
              <w:rPr>
                <w:rFonts w:ascii="Arial" w:hAnsi="Arial" w:cs="Arial"/>
                <w:sz w:val="20"/>
                <w:szCs w:val="20"/>
              </w:rPr>
              <w:t>1053</w:t>
            </w:r>
          </w:p>
        </w:tc>
        <w:tc>
          <w:tcPr>
            <w:tcW w:w="1360" w:type="dxa"/>
            <w:tcBorders>
              <w:top w:val="nil"/>
              <w:left w:val="nil"/>
              <w:bottom w:val="single" w:sz="4" w:space="0" w:color="auto"/>
              <w:right w:val="single" w:sz="4" w:space="0" w:color="auto"/>
            </w:tcBorders>
            <w:shd w:val="clear" w:color="auto" w:fill="auto"/>
            <w:noWrap/>
            <w:vAlign w:val="bottom"/>
            <w:hideMark/>
          </w:tcPr>
          <w:p w14:paraId="7322D053" w14:textId="00DB9173" w:rsidR="005602E1" w:rsidRPr="00A34771" w:rsidRDefault="005602E1" w:rsidP="005602E1">
            <w:pPr>
              <w:spacing w:after="0" w:line="240" w:lineRule="auto"/>
              <w:jc w:val="right"/>
              <w:rPr>
                <w:rFonts w:ascii="Arial" w:eastAsia="Times New Roman" w:hAnsi="Arial" w:cs="Arial"/>
                <w:sz w:val="20"/>
                <w:szCs w:val="20"/>
              </w:rPr>
            </w:pPr>
            <w:r>
              <w:rPr>
                <w:rFonts w:ascii="Arial" w:hAnsi="Arial" w:cs="Arial"/>
                <w:sz w:val="20"/>
                <w:szCs w:val="20"/>
              </w:rPr>
              <w:t>1074</w:t>
            </w:r>
          </w:p>
        </w:tc>
        <w:tc>
          <w:tcPr>
            <w:tcW w:w="1195" w:type="dxa"/>
            <w:tcBorders>
              <w:top w:val="nil"/>
              <w:left w:val="nil"/>
              <w:bottom w:val="single" w:sz="4" w:space="0" w:color="auto"/>
              <w:right w:val="single" w:sz="4" w:space="0" w:color="auto"/>
            </w:tcBorders>
            <w:shd w:val="clear" w:color="auto" w:fill="auto"/>
            <w:noWrap/>
            <w:vAlign w:val="bottom"/>
            <w:hideMark/>
          </w:tcPr>
          <w:p w14:paraId="199EFD83" w14:textId="5D100DB5" w:rsidR="005602E1" w:rsidRPr="00A34771" w:rsidRDefault="005602E1" w:rsidP="005602E1">
            <w:pPr>
              <w:spacing w:after="0" w:line="240" w:lineRule="auto"/>
              <w:jc w:val="right"/>
              <w:rPr>
                <w:rFonts w:ascii="Arial" w:eastAsia="Times New Roman" w:hAnsi="Arial" w:cs="Arial"/>
                <w:sz w:val="20"/>
                <w:szCs w:val="20"/>
              </w:rPr>
            </w:pPr>
            <w:r>
              <w:rPr>
                <w:rFonts w:ascii="Arial" w:hAnsi="Arial" w:cs="Arial"/>
                <w:sz w:val="20"/>
                <w:szCs w:val="20"/>
              </w:rPr>
              <w:t>21</w:t>
            </w:r>
          </w:p>
        </w:tc>
        <w:tc>
          <w:tcPr>
            <w:tcW w:w="1195" w:type="dxa"/>
            <w:tcBorders>
              <w:top w:val="nil"/>
              <w:left w:val="nil"/>
              <w:bottom w:val="single" w:sz="4" w:space="0" w:color="auto"/>
              <w:right w:val="single" w:sz="4" w:space="0" w:color="auto"/>
            </w:tcBorders>
            <w:vAlign w:val="bottom"/>
          </w:tcPr>
          <w:p w14:paraId="4EE53B93" w14:textId="6FABB1B0" w:rsidR="005602E1" w:rsidRDefault="005602E1" w:rsidP="005602E1">
            <w:pPr>
              <w:spacing w:after="0" w:line="240" w:lineRule="auto"/>
              <w:jc w:val="right"/>
              <w:rPr>
                <w:rFonts w:ascii="Arial" w:hAnsi="Arial" w:cs="Arial"/>
                <w:sz w:val="20"/>
                <w:szCs w:val="20"/>
              </w:rPr>
            </w:pPr>
            <w:r>
              <w:rPr>
                <w:rFonts w:ascii="Arial" w:hAnsi="Arial" w:cs="Arial"/>
                <w:sz w:val="20"/>
                <w:szCs w:val="20"/>
              </w:rPr>
              <w:t>1.99%</w:t>
            </w:r>
          </w:p>
        </w:tc>
      </w:tr>
    </w:tbl>
    <w:p w14:paraId="6B2CA7A4" w14:textId="77777777" w:rsidR="00A34771" w:rsidRDefault="00A34771" w:rsidP="003034F3"/>
    <w:sectPr w:rsidR="00A34771">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90D6A2E" w14:textId="77777777" w:rsidR="00370A77" w:rsidRDefault="00370A77" w:rsidP="003937DE">
      <w:pPr>
        <w:spacing w:after="0" w:line="240" w:lineRule="auto"/>
      </w:pPr>
      <w:r>
        <w:separator/>
      </w:r>
    </w:p>
  </w:endnote>
  <w:endnote w:type="continuationSeparator" w:id="0">
    <w:p w14:paraId="060A7865" w14:textId="77777777" w:rsidR="00370A77" w:rsidRDefault="00370A77" w:rsidP="003937D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2891302" w14:textId="77777777" w:rsidR="00370A77" w:rsidRDefault="00370A77" w:rsidP="003937DE">
      <w:pPr>
        <w:spacing w:after="0" w:line="240" w:lineRule="auto"/>
      </w:pPr>
      <w:r>
        <w:separator/>
      </w:r>
    </w:p>
  </w:footnote>
  <w:footnote w:type="continuationSeparator" w:id="0">
    <w:p w14:paraId="6BED169E" w14:textId="77777777" w:rsidR="00370A77" w:rsidRDefault="00370A77" w:rsidP="003937D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3BF14623"/>
    <w:multiLevelType w:val="hybridMultilevel"/>
    <w:tmpl w:val="FA6E08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67FE4874"/>
    <w:multiLevelType w:val="hybridMultilevel"/>
    <w:tmpl w:val="103C14B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6B724EE0"/>
    <w:multiLevelType w:val="hybridMultilevel"/>
    <w:tmpl w:val="48DA39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7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C21BB"/>
    <w:rsid w:val="00004224"/>
    <w:rsid w:val="0000751A"/>
    <w:rsid w:val="00016F16"/>
    <w:rsid w:val="00041E66"/>
    <w:rsid w:val="00047FC1"/>
    <w:rsid w:val="000770F7"/>
    <w:rsid w:val="00096A19"/>
    <w:rsid w:val="000B0888"/>
    <w:rsid w:val="000C6A98"/>
    <w:rsid w:val="000D327F"/>
    <w:rsid w:val="000D7A8E"/>
    <w:rsid w:val="000F25C1"/>
    <w:rsid w:val="000F639C"/>
    <w:rsid w:val="00113091"/>
    <w:rsid w:val="00122F2A"/>
    <w:rsid w:val="00131866"/>
    <w:rsid w:val="00142C44"/>
    <w:rsid w:val="00176508"/>
    <w:rsid w:val="00181903"/>
    <w:rsid w:val="001F4951"/>
    <w:rsid w:val="002048CD"/>
    <w:rsid w:val="002172E3"/>
    <w:rsid w:val="0028325E"/>
    <w:rsid w:val="002948B1"/>
    <w:rsid w:val="002A755F"/>
    <w:rsid w:val="002B535D"/>
    <w:rsid w:val="002E05AF"/>
    <w:rsid w:val="003034F3"/>
    <w:rsid w:val="003074DA"/>
    <w:rsid w:val="003270C0"/>
    <w:rsid w:val="00331F85"/>
    <w:rsid w:val="003339D9"/>
    <w:rsid w:val="00370A77"/>
    <w:rsid w:val="00373562"/>
    <w:rsid w:val="003931AE"/>
    <w:rsid w:val="003937DE"/>
    <w:rsid w:val="00393CBC"/>
    <w:rsid w:val="003B26F1"/>
    <w:rsid w:val="003E79B7"/>
    <w:rsid w:val="003F0173"/>
    <w:rsid w:val="00411B1C"/>
    <w:rsid w:val="00422932"/>
    <w:rsid w:val="004266C0"/>
    <w:rsid w:val="004373E1"/>
    <w:rsid w:val="00437827"/>
    <w:rsid w:val="00454E42"/>
    <w:rsid w:val="0046485B"/>
    <w:rsid w:val="004740F3"/>
    <w:rsid w:val="004842A5"/>
    <w:rsid w:val="004B2408"/>
    <w:rsid w:val="004E30E6"/>
    <w:rsid w:val="004E4C78"/>
    <w:rsid w:val="004E7F9C"/>
    <w:rsid w:val="00523659"/>
    <w:rsid w:val="00555AD5"/>
    <w:rsid w:val="005602E1"/>
    <w:rsid w:val="0056637E"/>
    <w:rsid w:val="00575D4C"/>
    <w:rsid w:val="00584179"/>
    <w:rsid w:val="00594B98"/>
    <w:rsid w:val="005C1F35"/>
    <w:rsid w:val="005E1675"/>
    <w:rsid w:val="005F49A8"/>
    <w:rsid w:val="00625473"/>
    <w:rsid w:val="006311B7"/>
    <w:rsid w:val="006C6E3A"/>
    <w:rsid w:val="006E026B"/>
    <w:rsid w:val="006E5788"/>
    <w:rsid w:val="006F56C1"/>
    <w:rsid w:val="00702706"/>
    <w:rsid w:val="00713197"/>
    <w:rsid w:val="0075706D"/>
    <w:rsid w:val="00791A22"/>
    <w:rsid w:val="00793F27"/>
    <w:rsid w:val="007B6C06"/>
    <w:rsid w:val="007D1BDD"/>
    <w:rsid w:val="007D1DED"/>
    <w:rsid w:val="007E361C"/>
    <w:rsid w:val="008106DC"/>
    <w:rsid w:val="00812709"/>
    <w:rsid w:val="00831226"/>
    <w:rsid w:val="00840368"/>
    <w:rsid w:val="00861E58"/>
    <w:rsid w:val="00886226"/>
    <w:rsid w:val="008963E4"/>
    <w:rsid w:val="008B1A4A"/>
    <w:rsid w:val="008E5E63"/>
    <w:rsid w:val="008E7415"/>
    <w:rsid w:val="008F1FF0"/>
    <w:rsid w:val="00905B03"/>
    <w:rsid w:val="00930427"/>
    <w:rsid w:val="00932B33"/>
    <w:rsid w:val="00980365"/>
    <w:rsid w:val="009C5CEC"/>
    <w:rsid w:val="009E1581"/>
    <w:rsid w:val="009E2A31"/>
    <w:rsid w:val="009E4962"/>
    <w:rsid w:val="009E771C"/>
    <w:rsid w:val="00A0576A"/>
    <w:rsid w:val="00A26D98"/>
    <w:rsid w:val="00A34771"/>
    <w:rsid w:val="00A834E9"/>
    <w:rsid w:val="00AA4E75"/>
    <w:rsid w:val="00AB26AE"/>
    <w:rsid w:val="00AC21BB"/>
    <w:rsid w:val="00AC3F41"/>
    <w:rsid w:val="00AC4379"/>
    <w:rsid w:val="00AD3DAD"/>
    <w:rsid w:val="00B129AD"/>
    <w:rsid w:val="00B26AA3"/>
    <w:rsid w:val="00B27449"/>
    <w:rsid w:val="00B557AB"/>
    <w:rsid w:val="00B8145B"/>
    <w:rsid w:val="00B821F4"/>
    <w:rsid w:val="00B824BE"/>
    <w:rsid w:val="00BA0DCA"/>
    <w:rsid w:val="00BA4AC4"/>
    <w:rsid w:val="00BB0A7F"/>
    <w:rsid w:val="00BB13A9"/>
    <w:rsid w:val="00BB2954"/>
    <w:rsid w:val="00BC7DC0"/>
    <w:rsid w:val="00C07F54"/>
    <w:rsid w:val="00C36688"/>
    <w:rsid w:val="00C75297"/>
    <w:rsid w:val="00CA5DEE"/>
    <w:rsid w:val="00CB798B"/>
    <w:rsid w:val="00CD258E"/>
    <w:rsid w:val="00CE3BFC"/>
    <w:rsid w:val="00CE5CD5"/>
    <w:rsid w:val="00CE69EE"/>
    <w:rsid w:val="00D31844"/>
    <w:rsid w:val="00D54996"/>
    <w:rsid w:val="00DC2760"/>
    <w:rsid w:val="00DE1D6B"/>
    <w:rsid w:val="00DF070F"/>
    <w:rsid w:val="00DF6D7B"/>
    <w:rsid w:val="00E1497F"/>
    <w:rsid w:val="00E41719"/>
    <w:rsid w:val="00E42344"/>
    <w:rsid w:val="00E427CE"/>
    <w:rsid w:val="00E74148"/>
    <w:rsid w:val="00E814CC"/>
    <w:rsid w:val="00E90EED"/>
    <w:rsid w:val="00E93F16"/>
    <w:rsid w:val="00E97533"/>
    <w:rsid w:val="00EA7F60"/>
    <w:rsid w:val="00EC4C2D"/>
    <w:rsid w:val="00EC56DF"/>
    <w:rsid w:val="00EE4A2D"/>
    <w:rsid w:val="00F00D47"/>
    <w:rsid w:val="00F11C80"/>
    <w:rsid w:val="00F26A6A"/>
    <w:rsid w:val="00F5126B"/>
    <w:rsid w:val="00F71F9E"/>
    <w:rsid w:val="00F975E8"/>
    <w:rsid w:val="00FB0581"/>
    <w:rsid w:val="00FD20F6"/>
    <w:rsid w:val="00FD52B7"/>
    <w:rsid w:val="00FF339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4527D1F"/>
  <w15:chartTrackingRefBased/>
  <w15:docId w15:val="{B0E902E8-C86F-484F-AAC1-C67BE5D110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AC21B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AD3DAD"/>
    <w:pPr>
      <w:spacing w:after="0" w:line="240" w:lineRule="auto"/>
      <w:ind w:left="720"/>
    </w:pPr>
    <w:rPr>
      <w:rFonts w:ascii="Calibri" w:hAnsi="Calibri" w:cs="Calibri"/>
    </w:rPr>
  </w:style>
  <w:style w:type="character" w:styleId="CommentReference">
    <w:name w:val="annotation reference"/>
    <w:basedOn w:val="DefaultParagraphFont"/>
    <w:uiPriority w:val="99"/>
    <w:semiHidden/>
    <w:unhideWhenUsed/>
    <w:rsid w:val="009E1581"/>
    <w:rPr>
      <w:sz w:val="16"/>
      <w:szCs w:val="16"/>
    </w:rPr>
  </w:style>
  <w:style w:type="paragraph" w:styleId="CommentText">
    <w:name w:val="annotation text"/>
    <w:basedOn w:val="Normal"/>
    <w:link w:val="CommentTextChar"/>
    <w:uiPriority w:val="99"/>
    <w:semiHidden/>
    <w:unhideWhenUsed/>
    <w:rsid w:val="009E1581"/>
    <w:pPr>
      <w:spacing w:line="240" w:lineRule="auto"/>
    </w:pPr>
    <w:rPr>
      <w:sz w:val="20"/>
      <w:szCs w:val="20"/>
    </w:rPr>
  </w:style>
  <w:style w:type="character" w:customStyle="1" w:styleId="CommentTextChar">
    <w:name w:val="Comment Text Char"/>
    <w:basedOn w:val="DefaultParagraphFont"/>
    <w:link w:val="CommentText"/>
    <w:uiPriority w:val="99"/>
    <w:semiHidden/>
    <w:rsid w:val="009E1581"/>
    <w:rPr>
      <w:sz w:val="20"/>
      <w:szCs w:val="20"/>
    </w:rPr>
  </w:style>
  <w:style w:type="paragraph" w:styleId="CommentSubject">
    <w:name w:val="annotation subject"/>
    <w:basedOn w:val="CommentText"/>
    <w:next w:val="CommentText"/>
    <w:link w:val="CommentSubjectChar"/>
    <w:uiPriority w:val="99"/>
    <w:semiHidden/>
    <w:unhideWhenUsed/>
    <w:rsid w:val="009E1581"/>
    <w:rPr>
      <w:b/>
      <w:bCs/>
    </w:rPr>
  </w:style>
  <w:style w:type="character" w:customStyle="1" w:styleId="CommentSubjectChar">
    <w:name w:val="Comment Subject Char"/>
    <w:basedOn w:val="CommentTextChar"/>
    <w:link w:val="CommentSubject"/>
    <w:uiPriority w:val="99"/>
    <w:semiHidden/>
    <w:rsid w:val="009E1581"/>
    <w:rPr>
      <w:b/>
      <w:bCs/>
      <w:sz w:val="20"/>
      <w:szCs w:val="20"/>
    </w:rPr>
  </w:style>
  <w:style w:type="paragraph" w:styleId="BalloonText">
    <w:name w:val="Balloon Text"/>
    <w:basedOn w:val="Normal"/>
    <w:link w:val="BalloonTextChar"/>
    <w:uiPriority w:val="99"/>
    <w:semiHidden/>
    <w:unhideWhenUsed/>
    <w:rsid w:val="009E158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E1581"/>
    <w:rPr>
      <w:rFonts w:ascii="Segoe UI" w:hAnsi="Segoe UI" w:cs="Segoe UI"/>
      <w:sz w:val="18"/>
      <w:szCs w:val="18"/>
    </w:rPr>
  </w:style>
  <w:style w:type="paragraph" w:styleId="NormalWeb">
    <w:name w:val="Normal (Web)"/>
    <w:basedOn w:val="Normal"/>
    <w:uiPriority w:val="99"/>
    <w:semiHidden/>
    <w:unhideWhenUsed/>
    <w:rsid w:val="004E4C78"/>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A0576A"/>
    <w:rPr>
      <w:color w:val="0000FF"/>
      <w:u w:val="single"/>
    </w:rPr>
  </w:style>
  <w:style w:type="character" w:styleId="UnresolvedMention">
    <w:name w:val="Unresolved Mention"/>
    <w:basedOn w:val="DefaultParagraphFont"/>
    <w:uiPriority w:val="99"/>
    <w:semiHidden/>
    <w:unhideWhenUsed/>
    <w:rsid w:val="002948B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4475098">
      <w:bodyDiv w:val="1"/>
      <w:marLeft w:val="0"/>
      <w:marRight w:val="0"/>
      <w:marTop w:val="0"/>
      <w:marBottom w:val="0"/>
      <w:divBdr>
        <w:top w:val="none" w:sz="0" w:space="0" w:color="auto"/>
        <w:left w:val="none" w:sz="0" w:space="0" w:color="auto"/>
        <w:bottom w:val="none" w:sz="0" w:space="0" w:color="auto"/>
        <w:right w:val="none" w:sz="0" w:space="0" w:color="auto"/>
      </w:divBdr>
    </w:div>
    <w:div w:id="515115165">
      <w:bodyDiv w:val="1"/>
      <w:marLeft w:val="0"/>
      <w:marRight w:val="0"/>
      <w:marTop w:val="0"/>
      <w:marBottom w:val="0"/>
      <w:divBdr>
        <w:top w:val="none" w:sz="0" w:space="0" w:color="auto"/>
        <w:left w:val="none" w:sz="0" w:space="0" w:color="auto"/>
        <w:bottom w:val="none" w:sz="0" w:space="0" w:color="auto"/>
        <w:right w:val="none" w:sz="0" w:space="0" w:color="auto"/>
      </w:divBdr>
    </w:div>
    <w:div w:id="602495308">
      <w:bodyDiv w:val="1"/>
      <w:marLeft w:val="0"/>
      <w:marRight w:val="0"/>
      <w:marTop w:val="0"/>
      <w:marBottom w:val="0"/>
      <w:divBdr>
        <w:top w:val="none" w:sz="0" w:space="0" w:color="auto"/>
        <w:left w:val="none" w:sz="0" w:space="0" w:color="auto"/>
        <w:bottom w:val="none" w:sz="0" w:space="0" w:color="auto"/>
        <w:right w:val="none" w:sz="0" w:space="0" w:color="auto"/>
      </w:divBdr>
    </w:div>
    <w:div w:id="845050060">
      <w:bodyDiv w:val="1"/>
      <w:marLeft w:val="0"/>
      <w:marRight w:val="0"/>
      <w:marTop w:val="0"/>
      <w:marBottom w:val="0"/>
      <w:divBdr>
        <w:top w:val="none" w:sz="0" w:space="0" w:color="auto"/>
        <w:left w:val="none" w:sz="0" w:space="0" w:color="auto"/>
        <w:bottom w:val="none" w:sz="0" w:space="0" w:color="auto"/>
        <w:right w:val="none" w:sz="0" w:space="0" w:color="auto"/>
      </w:divBdr>
    </w:div>
    <w:div w:id="906500383">
      <w:bodyDiv w:val="1"/>
      <w:marLeft w:val="0"/>
      <w:marRight w:val="0"/>
      <w:marTop w:val="0"/>
      <w:marBottom w:val="0"/>
      <w:divBdr>
        <w:top w:val="none" w:sz="0" w:space="0" w:color="auto"/>
        <w:left w:val="none" w:sz="0" w:space="0" w:color="auto"/>
        <w:bottom w:val="none" w:sz="0" w:space="0" w:color="auto"/>
        <w:right w:val="none" w:sz="0" w:space="0" w:color="auto"/>
      </w:divBdr>
    </w:div>
    <w:div w:id="1267545175">
      <w:bodyDiv w:val="1"/>
      <w:marLeft w:val="0"/>
      <w:marRight w:val="0"/>
      <w:marTop w:val="0"/>
      <w:marBottom w:val="0"/>
      <w:divBdr>
        <w:top w:val="none" w:sz="0" w:space="0" w:color="auto"/>
        <w:left w:val="none" w:sz="0" w:space="0" w:color="auto"/>
        <w:bottom w:val="none" w:sz="0" w:space="0" w:color="auto"/>
        <w:right w:val="none" w:sz="0" w:space="0" w:color="auto"/>
      </w:divBdr>
    </w:div>
    <w:div w:id="1392968250">
      <w:bodyDiv w:val="1"/>
      <w:marLeft w:val="0"/>
      <w:marRight w:val="0"/>
      <w:marTop w:val="0"/>
      <w:marBottom w:val="0"/>
      <w:divBdr>
        <w:top w:val="none" w:sz="0" w:space="0" w:color="auto"/>
        <w:left w:val="none" w:sz="0" w:space="0" w:color="auto"/>
        <w:bottom w:val="none" w:sz="0" w:space="0" w:color="auto"/>
        <w:right w:val="none" w:sz="0" w:space="0" w:color="auto"/>
      </w:divBdr>
      <w:divsChild>
        <w:div w:id="1643119832">
          <w:marLeft w:val="0"/>
          <w:marRight w:val="0"/>
          <w:marTop w:val="0"/>
          <w:marBottom w:val="0"/>
          <w:divBdr>
            <w:top w:val="none" w:sz="0" w:space="0" w:color="auto"/>
            <w:left w:val="none" w:sz="0" w:space="0" w:color="auto"/>
            <w:bottom w:val="none" w:sz="0" w:space="0" w:color="auto"/>
            <w:right w:val="none" w:sz="0" w:space="0" w:color="auto"/>
          </w:divBdr>
        </w:div>
      </w:divsChild>
    </w:div>
    <w:div w:id="1614363860">
      <w:bodyDiv w:val="1"/>
      <w:marLeft w:val="0"/>
      <w:marRight w:val="0"/>
      <w:marTop w:val="0"/>
      <w:marBottom w:val="0"/>
      <w:divBdr>
        <w:top w:val="none" w:sz="0" w:space="0" w:color="auto"/>
        <w:left w:val="none" w:sz="0" w:space="0" w:color="auto"/>
        <w:bottom w:val="none" w:sz="0" w:space="0" w:color="auto"/>
        <w:right w:val="none" w:sz="0" w:space="0" w:color="auto"/>
      </w:divBdr>
    </w:div>
    <w:div w:id="19379049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6.emf"/><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hyperlink" Target="mailto:Jennifer.McWilliams@dnvgl.com" TargetMode="External"/><Relationship Id="rId17" Type="http://schemas.openxmlformats.org/officeDocument/2006/relationships/package" Target="embeddings/Microsoft_Excel_Worksheet.xlsx"/><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oleObject" Target="embeddings/oleObject1.bin"/><Relationship Id="rId10" Type="http://schemas.openxmlformats.org/officeDocument/2006/relationships/image" Target="media/image1.png"/><Relationship Id="rId19" Type="http://schemas.openxmlformats.org/officeDocument/2006/relationships/package" Target="embeddings/Microsoft_Excel_Worksheet1.xlsx"/><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5C08E46F6001E44A80FA2AA80260DE1" ma:contentTypeVersion="10" ma:contentTypeDescription="Create a new document." ma:contentTypeScope="" ma:versionID="b4f6d0f3a8ef53720e102af2c43691cb">
  <xsd:schema xmlns:xsd="http://www.w3.org/2001/XMLSchema" xmlns:xs="http://www.w3.org/2001/XMLSchema" xmlns:p="http://schemas.microsoft.com/office/2006/metadata/properties" xmlns:ns2="cbde02a2-406c-407c-ab3b-d81f71e8ebcb" targetNamespace="http://schemas.microsoft.com/office/2006/metadata/properties" ma:root="true" ma:fieldsID="93012eedef19bed46d88f23d8ce093ce" ns2:_="">
    <xsd:import namespace="cbde02a2-406c-407c-ab3b-d81f71e8ebcb"/>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DateTaken" minOccurs="0"/>
                <xsd:element ref="ns2:MediaServiceLocation" minOccurs="0"/>
                <xsd:element ref="ns2:MediaServiceAutoKeyPoints" minOccurs="0"/>
                <xsd:element ref="ns2:MediaServiceKeyPoints"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bde02a2-406c-407c-ab3b-d81f71e8ebc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OCR" ma:index="17"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AECA008-122D-4F28-AE49-F158A7561EF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bde02a2-406c-407c-ab3b-d81f71e8ebc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EEF5474-A27B-4603-B32D-1E20EC3799E2}">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05B27C74-6A63-447E-A3FD-4E28F42769B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8</Pages>
  <Words>2420</Words>
  <Characters>13798</Characters>
  <Application>Microsoft Office Word</Application>
  <DocSecurity>0</DocSecurity>
  <Lines>114</Lines>
  <Paragraphs>32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16186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Kerri-Ann Richard</dc:creator>
  <cp:keywords/>
  <dc:description/>
  <cp:lastModifiedBy>Andres Fergadiotti</cp:lastModifiedBy>
  <cp:revision>3</cp:revision>
  <dcterms:created xsi:type="dcterms:W3CDTF">2021-07-02T17:00:00Z</dcterms:created>
  <dcterms:modified xsi:type="dcterms:W3CDTF">2021-07-02T17:01:00Z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0x01010055C08E46F6001E44A80FA2AA80260DE1</vt:lpwstr>
  </property>
  <property fmtid="{D5CDD505-2E9C-101B-9397-08002B2CF9AE}" pid="3" name="MSIP_Label_22fbb032-08bf-4f1e-af46-2528cd3f96ca_Enabled">
    <vt:lpwstr>true</vt:lpwstr>
  </property>
  <property fmtid="{D5CDD505-2E9C-101B-9397-08002B2CF9AE}" pid="4" name="MSIP_Label_22fbb032-08bf-4f1e-af46-2528cd3f96ca_SetDate">
    <vt:lpwstr>2021-04-14T18:47:24Z</vt:lpwstr>
  </property>
  <property fmtid="{D5CDD505-2E9C-101B-9397-08002B2CF9AE}" pid="5" name="MSIP_Label_22fbb032-08bf-4f1e-af46-2528cd3f96ca_Method">
    <vt:lpwstr>Privileged</vt:lpwstr>
  </property>
  <property fmtid="{D5CDD505-2E9C-101B-9397-08002B2CF9AE}" pid="6" name="MSIP_Label_22fbb032-08bf-4f1e-af46-2528cd3f96ca_Name">
    <vt:lpwstr>22fbb032-08bf-4f1e-af46-2528cd3f96ca</vt:lpwstr>
  </property>
  <property fmtid="{D5CDD505-2E9C-101B-9397-08002B2CF9AE}" pid="7" name="MSIP_Label_22fbb032-08bf-4f1e-af46-2528cd3f96ca_SiteId">
    <vt:lpwstr>adf10e2b-b6e9-41d6-be2f-c12bb566019c</vt:lpwstr>
  </property>
  <property fmtid="{D5CDD505-2E9C-101B-9397-08002B2CF9AE}" pid="8" name="MSIP_Label_22fbb032-08bf-4f1e-af46-2528cd3f96ca_ActionId">
    <vt:lpwstr>3388b63d-39df-4813-8118-ec24d6a32ccf</vt:lpwstr>
  </property>
  <property fmtid="{D5CDD505-2E9C-101B-9397-08002B2CF9AE}" pid="9" name="MSIP_Label_22fbb032-08bf-4f1e-af46-2528cd3f96ca_ContentBits">
    <vt:lpwstr>0</vt:lpwstr>
  </property>
</Properties>
</file>