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67BD4DD1" w14:textId="77777777" w:rsidTr="00BD221D">
        <w:trPr>
          <w:cantSplit/>
          <w:trHeight w:hRule="exact" w:val="1440"/>
          <w:jc w:val="right"/>
        </w:trPr>
        <w:tc>
          <w:tcPr>
            <w:tcW w:w="9000" w:type="dxa"/>
            <w:shd w:val="clear" w:color="auto" w:fill="8DC63F"/>
            <w:vAlign w:val="center"/>
          </w:tcPr>
          <w:p w14:paraId="5CA4091D" w14:textId="433D1D2B" w:rsidR="00BD221D" w:rsidRPr="00562B44" w:rsidRDefault="00F21A6B" w:rsidP="005F09B3">
            <w:pPr>
              <w:pStyle w:val="eTRMHeading2"/>
              <w:rPr>
                <w:color w:val="FFFFFF" w:themeColor="background1"/>
              </w:rPr>
            </w:pPr>
            <w:r>
              <w:rPr>
                <w:color w:val="FFFFFF" w:themeColor="background1"/>
              </w:rPr>
              <w:t xml:space="preserve">Heat pump </w:t>
            </w:r>
            <w:r w:rsidR="00033A09" w:rsidRPr="00562B44">
              <w:rPr>
                <w:color w:val="FFFFFF" w:themeColor="background1"/>
              </w:rPr>
              <w:t>pool heater</w:t>
            </w:r>
            <w:r w:rsidR="00700863" w:rsidRPr="00562B44">
              <w:rPr>
                <w:color w:val="FFFFFF" w:themeColor="background1"/>
              </w:rPr>
              <w:t>, Residential</w:t>
            </w:r>
            <w:r w:rsidR="00E43D71">
              <w:rPr>
                <w:color w:val="FFFFFF" w:themeColor="background1"/>
              </w:rPr>
              <w:t xml:space="preserve"> – Fuel Substitution</w:t>
            </w:r>
          </w:p>
          <w:p w14:paraId="10BE1877" w14:textId="73791788" w:rsidR="005044CA" w:rsidRPr="005044CA" w:rsidRDefault="00700863" w:rsidP="005F09B3">
            <w:pPr>
              <w:pStyle w:val="eTRMHeading2"/>
            </w:pPr>
            <w:r w:rsidRPr="00562B44">
              <w:rPr>
                <w:color w:val="FFFFFF" w:themeColor="background1"/>
              </w:rPr>
              <w:t>SWRE00</w:t>
            </w:r>
            <w:r w:rsidR="0051776E">
              <w:rPr>
                <w:color w:val="FFFFFF" w:themeColor="background1"/>
              </w:rPr>
              <w:t>5</w:t>
            </w:r>
            <w:r w:rsidR="005044CA" w:rsidRPr="00562B44">
              <w:rPr>
                <w:color w:val="FFFFFF" w:themeColor="background1"/>
              </w:rPr>
              <w:t>-01</w:t>
            </w:r>
          </w:p>
        </w:tc>
      </w:tr>
    </w:tbl>
    <w:p w14:paraId="645F3ACB" w14:textId="77777777" w:rsidR="00BD221D" w:rsidRDefault="00BD221D" w:rsidP="00BD221D"/>
    <w:p w14:paraId="31745A8D" w14:textId="45DC1270" w:rsidR="00D12B8C" w:rsidRPr="00E14349" w:rsidRDefault="007E1F66" w:rsidP="0053748E">
      <w:pPr>
        <w:jc w:val="center"/>
        <w:rPr>
          <w:spacing w:val="80"/>
          <w:sz w:val="28"/>
        </w:rPr>
      </w:pPr>
      <w:r w:rsidRPr="00E14349">
        <w:rPr>
          <w:spacing w:val="80"/>
          <w:sz w:val="28"/>
        </w:rPr>
        <w:t>CONTENTS</w:t>
      </w:r>
    </w:p>
    <w:p w14:paraId="3DD3B3AF" w14:textId="49A565F8" w:rsidR="00603043" w:rsidRDefault="001C6C9B">
      <w:pPr>
        <w:pStyle w:val="TOC3"/>
        <w:rPr>
          <w:rFonts w:asciiTheme="minorHAnsi" w:hAnsiTheme="minorHAnsi"/>
          <w:noProof/>
          <w:szCs w:val="22"/>
        </w:rPr>
      </w:pPr>
      <w:r>
        <w:fldChar w:fldCharType="begin"/>
      </w:r>
      <w:r>
        <w:instrText xml:space="preserve"> TOC \t "eTRM Heading 3,3" </w:instrText>
      </w:r>
      <w:r>
        <w:fldChar w:fldCharType="separate"/>
      </w:r>
      <w:r w:rsidR="00603043">
        <w:rPr>
          <w:noProof/>
        </w:rPr>
        <w:t>Measure Name</w:t>
      </w:r>
      <w:r w:rsidR="00603043">
        <w:rPr>
          <w:noProof/>
        </w:rPr>
        <w:tab/>
      </w:r>
      <w:r w:rsidR="00603043">
        <w:rPr>
          <w:noProof/>
        </w:rPr>
        <w:fldChar w:fldCharType="begin"/>
      </w:r>
      <w:r w:rsidR="00603043">
        <w:rPr>
          <w:noProof/>
        </w:rPr>
        <w:instrText xml:space="preserve"> PAGEREF _Toc67427711 \h </w:instrText>
      </w:r>
      <w:r w:rsidR="00603043">
        <w:rPr>
          <w:noProof/>
        </w:rPr>
      </w:r>
      <w:r w:rsidR="00603043">
        <w:rPr>
          <w:noProof/>
        </w:rPr>
        <w:fldChar w:fldCharType="separate"/>
      </w:r>
      <w:r w:rsidR="00411351">
        <w:rPr>
          <w:noProof/>
        </w:rPr>
        <w:t>2</w:t>
      </w:r>
      <w:r w:rsidR="00603043">
        <w:rPr>
          <w:noProof/>
        </w:rPr>
        <w:fldChar w:fldCharType="end"/>
      </w:r>
    </w:p>
    <w:p w14:paraId="7DA11FCE" w14:textId="328B82E0" w:rsidR="00603043" w:rsidRDefault="00603043">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_Toc67427712 \h </w:instrText>
      </w:r>
      <w:r>
        <w:rPr>
          <w:noProof/>
        </w:rPr>
      </w:r>
      <w:r>
        <w:rPr>
          <w:noProof/>
        </w:rPr>
        <w:fldChar w:fldCharType="separate"/>
      </w:r>
      <w:r w:rsidR="00411351">
        <w:rPr>
          <w:noProof/>
        </w:rPr>
        <w:t>2</w:t>
      </w:r>
      <w:r>
        <w:rPr>
          <w:noProof/>
        </w:rPr>
        <w:fldChar w:fldCharType="end"/>
      </w:r>
    </w:p>
    <w:p w14:paraId="294E1CDF" w14:textId="0B3A41F3" w:rsidR="00603043" w:rsidRDefault="00603043">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_Toc67427713 \h </w:instrText>
      </w:r>
      <w:r>
        <w:rPr>
          <w:noProof/>
        </w:rPr>
      </w:r>
      <w:r>
        <w:rPr>
          <w:noProof/>
        </w:rPr>
        <w:fldChar w:fldCharType="separate"/>
      </w:r>
      <w:r w:rsidR="00411351">
        <w:rPr>
          <w:noProof/>
        </w:rPr>
        <w:t>2</w:t>
      </w:r>
      <w:r>
        <w:rPr>
          <w:noProof/>
        </w:rPr>
        <w:fldChar w:fldCharType="end"/>
      </w:r>
    </w:p>
    <w:p w14:paraId="34B65461" w14:textId="18654BA6" w:rsidR="00603043" w:rsidRDefault="00603043">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_Toc67427714 \h </w:instrText>
      </w:r>
      <w:r>
        <w:rPr>
          <w:noProof/>
        </w:rPr>
      </w:r>
      <w:r>
        <w:rPr>
          <w:noProof/>
        </w:rPr>
        <w:fldChar w:fldCharType="separate"/>
      </w:r>
      <w:r w:rsidR="00411351">
        <w:rPr>
          <w:noProof/>
        </w:rPr>
        <w:t>3</w:t>
      </w:r>
      <w:r>
        <w:rPr>
          <w:noProof/>
        </w:rPr>
        <w:fldChar w:fldCharType="end"/>
      </w:r>
    </w:p>
    <w:p w14:paraId="51CFDE03" w14:textId="73B4AFDB" w:rsidR="00603043" w:rsidRDefault="00603043">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_Toc67427715 \h </w:instrText>
      </w:r>
      <w:r>
        <w:rPr>
          <w:noProof/>
        </w:rPr>
      </w:r>
      <w:r>
        <w:rPr>
          <w:noProof/>
        </w:rPr>
        <w:fldChar w:fldCharType="separate"/>
      </w:r>
      <w:r w:rsidR="00411351">
        <w:rPr>
          <w:noProof/>
        </w:rPr>
        <w:t>3</w:t>
      </w:r>
      <w:r>
        <w:rPr>
          <w:noProof/>
        </w:rPr>
        <w:fldChar w:fldCharType="end"/>
      </w:r>
    </w:p>
    <w:p w14:paraId="2E84EB96" w14:textId="1524FE4E" w:rsidR="00603043" w:rsidRDefault="00603043">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_Toc67427716 \h </w:instrText>
      </w:r>
      <w:r>
        <w:rPr>
          <w:noProof/>
        </w:rPr>
      </w:r>
      <w:r>
        <w:rPr>
          <w:noProof/>
        </w:rPr>
        <w:fldChar w:fldCharType="separate"/>
      </w:r>
      <w:r w:rsidR="00411351">
        <w:rPr>
          <w:noProof/>
        </w:rPr>
        <w:t>4</w:t>
      </w:r>
      <w:r>
        <w:rPr>
          <w:noProof/>
        </w:rPr>
        <w:fldChar w:fldCharType="end"/>
      </w:r>
    </w:p>
    <w:p w14:paraId="3C4EB2CF" w14:textId="7CBBA8B2" w:rsidR="00603043" w:rsidRDefault="00603043">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_Toc67427717 \h </w:instrText>
      </w:r>
      <w:r>
        <w:rPr>
          <w:noProof/>
        </w:rPr>
      </w:r>
      <w:r>
        <w:rPr>
          <w:noProof/>
        </w:rPr>
        <w:fldChar w:fldCharType="separate"/>
      </w:r>
      <w:r w:rsidR="00411351">
        <w:rPr>
          <w:noProof/>
        </w:rPr>
        <w:t>4</w:t>
      </w:r>
      <w:r>
        <w:rPr>
          <w:noProof/>
        </w:rPr>
        <w:fldChar w:fldCharType="end"/>
      </w:r>
    </w:p>
    <w:p w14:paraId="322E7675" w14:textId="308F629A" w:rsidR="00603043" w:rsidRDefault="00603043">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_Toc67427718 \h </w:instrText>
      </w:r>
      <w:r>
        <w:rPr>
          <w:noProof/>
        </w:rPr>
      </w:r>
      <w:r>
        <w:rPr>
          <w:noProof/>
        </w:rPr>
        <w:fldChar w:fldCharType="separate"/>
      </w:r>
      <w:r w:rsidR="00411351">
        <w:rPr>
          <w:noProof/>
        </w:rPr>
        <w:t>4</w:t>
      </w:r>
      <w:r>
        <w:rPr>
          <w:noProof/>
        </w:rPr>
        <w:fldChar w:fldCharType="end"/>
      </w:r>
    </w:p>
    <w:p w14:paraId="3B833661" w14:textId="62E74322" w:rsidR="00603043" w:rsidRDefault="00603043">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_Toc67427719 \h </w:instrText>
      </w:r>
      <w:r>
        <w:rPr>
          <w:noProof/>
        </w:rPr>
      </w:r>
      <w:r>
        <w:rPr>
          <w:noProof/>
        </w:rPr>
        <w:fldChar w:fldCharType="separate"/>
      </w:r>
      <w:r w:rsidR="00411351">
        <w:rPr>
          <w:noProof/>
        </w:rPr>
        <w:t>7</w:t>
      </w:r>
      <w:r>
        <w:rPr>
          <w:noProof/>
        </w:rPr>
        <w:fldChar w:fldCharType="end"/>
      </w:r>
    </w:p>
    <w:p w14:paraId="33C9F2D8" w14:textId="7FE25CAE" w:rsidR="00603043" w:rsidRDefault="00603043">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_Toc67427720 \h </w:instrText>
      </w:r>
      <w:r>
        <w:rPr>
          <w:noProof/>
        </w:rPr>
      </w:r>
      <w:r>
        <w:rPr>
          <w:noProof/>
        </w:rPr>
        <w:fldChar w:fldCharType="separate"/>
      </w:r>
      <w:r w:rsidR="00411351">
        <w:rPr>
          <w:noProof/>
        </w:rPr>
        <w:t>7</w:t>
      </w:r>
      <w:r>
        <w:rPr>
          <w:noProof/>
        </w:rPr>
        <w:fldChar w:fldCharType="end"/>
      </w:r>
    </w:p>
    <w:p w14:paraId="65760682" w14:textId="6DA78FC5" w:rsidR="00603043" w:rsidRDefault="00603043">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_Toc67427721 \h </w:instrText>
      </w:r>
      <w:r>
        <w:rPr>
          <w:noProof/>
        </w:rPr>
      </w:r>
      <w:r>
        <w:rPr>
          <w:noProof/>
        </w:rPr>
        <w:fldChar w:fldCharType="separate"/>
      </w:r>
      <w:r w:rsidR="00411351">
        <w:rPr>
          <w:noProof/>
        </w:rPr>
        <w:t>8</w:t>
      </w:r>
      <w:r>
        <w:rPr>
          <w:noProof/>
        </w:rPr>
        <w:fldChar w:fldCharType="end"/>
      </w:r>
    </w:p>
    <w:p w14:paraId="7BE49259" w14:textId="45802647" w:rsidR="00603043" w:rsidRDefault="00603043">
      <w:pPr>
        <w:pStyle w:val="TOC3"/>
        <w:rPr>
          <w:rFonts w:asciiTheme="minorHAnsi" w:hAnsiTheme="minorHAnsi"/>
          <w:noProof/>
          <w:szCs w:val="22"/>
        </w:rPr>
      </w:pPr>
      <w:r>
        <w:rPr>
          <w:noProof/>
        </w:rPr>
        <w:t>Electric Savings (kWh)</w:t>
      </w:r>
      <w:r>
        <w:rPr>
          <w:noProof/>
        </w:rPr>
        <w:tab/>
      </w:r>
      <w:r>
        <w:rPr>
          <w:noProof/>
        </w:rPr>
        <w:fldChar w:fldCharType="begin"/>
      </w:r>
      <w:r>
        <w:rPr>
          <w:noProof/>
        </w:rPr>
        <w:instrText xml:space="preserve"> PAGEREF _Toc67427722 \h </w:instrText>
      </w:r>
      <w:r>
        <w:rPr>
          <w:noProof/>
        </w:rPr>
      </w:r>
      <w:r>
        <w:rPr>
          <w:noProof/>
        </w:rPr>
        <w:fldChar w:fldCharType="separate"/>
      </w:r>
      <w:r w:rsidR="00411351">
        <w:rPr>
          <w:noProof/>
        </w:rPr>
        <w:t>8</w:t>
      </w:r>
      <w:r>
        <w:rPr>
          <w:noProof/>
        </w:rPr>
        <w:fldChar w:fldCharType="end"/>
      </w:r>
    </w:p>
    <w:p w14:paraId="0ACF5A78" w14:textId="7900DF56" w:rsidR="00603043" w:rsidRDefault="00603043">
      <w:pPr>
        <w:pStyle w:val="TOC3"/>
        <w:rPr>
          <w:rFonts w:asciiTheme="minorHAnsi" w:hAnsiTheme="minorHAnsi"/>
          <w:noProof/>
          <w:szCs w:val="22"/>
        </w:rPr>
      </w:pPr>
      <w:r>
        <w:rPr>
          <w:noProof/>
        </w:rPr>
        <w:t>Peak Electric Demand Reduction (kW)</w:t>
      </w:r>
      <w:r>
        <w:rPr>
          <w:noProof/>
        </w:rPr>
        <w:tab/>
      </w:r>
      <w:r>
        <w:rPr>
          <w:noProof/>
        </w:rPr>
        <w:fldChar w:fldCharType="begin"/>
      </w:r>
      <w:r>
        <w:rPr>
          <w:noProof/>
        </w:rPr>
        <w:instrText xml:space="preserve"> PAGEREF _Toc67427723 \h </w:instrText>
      </w:r>
      <w:r>
        <w:rPr>
          <w:noProof/>
        </w:rPr>
      </w:r>
      <w:r>
        <w:rPr>
          <w:noProof/>
        </w:rPr>
        <w:fldChar w:fldCharType="separate"/>
      </w:r>
      <w:r w:rsidR="00411351">
        <w:rPr>
          <w:noProof/>
        </w:rPr>
        <w:t>8</w:t>
      </w:r>
      <w:r>
        <w:rPr>
          <w:noProof/>
        </w:rPr>
        <w:fldChar w:fldCharType="end"/>
      </w:r>
    </w:p>
    <w:p w14:paraId="4FCE6411" w14:textId="51F6DBAE" w:rsidR="00603043" w:rsidRDefault="00603043">
      <w:pPr>
        <w:pStyle w:val="TOC3"/>
        <w:rPr>
          <w:rFonts w:asciiTheme="minorHAnsi" w:hAnsiTheme="minorHAnsi"/>
          <w:noProof/>
          <w:szCs w:val="22"/>
        </w:rPr>
      </w:pPr>
      <w:r>
        <w:rPr>
          <w:noProof/>
        </w:rPr>
        <w:t>Gas Savings (Therms)</w:t>
      </w:r>
      <w:r>
        <w:rPr>
          <w:noProof/>
        </w:rPr>
        <w:tab/>
      </w:r>
      <w:r>
        <w:rPr>
          <w:noProof/>
        </w:rPr>
        <w:fldChar w:fldCharType="begin"/>
      </w:r>
      <w:r>
        <w:rPr>
          <w:noProof/>
        </w:rPr>
        <w:instrText xml:space="preserve"> PAGEREF _Toc67427724 \h </w:instrText>
      </w:r>
      <w:r>
        <w:rPr>
          <w:noProof/>
        </w:rPr>
      </w:r>
      <w:r>
        <w:rPr>
          <w:noProof/>
        </w:rPr>
        <w:fldChar w:fldCharType="separate"/>
      </w:r>
      <w:r w:rsidR="00411351">
        <w:rPr>
          <w:noProof/>
        </w:rPr>
        <w:t>8</w:t>
      </w:r>
      <w:r>
        <w:rPr>
          <w:noProof/>
        </w:rPr>
        <w:fldChar w:fldCharType="end"/>
      </w:r>
    </w:p>
    <w:p w14:paraId="3BE1BC0A" w14:textId="4190D17C" w:rsidR="00603043" w:rsidRDefault="00603043">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_Toc67427725 \h </w:instrText>
      </w:r>
      <w:r>
        <w:rPr>
          <w:noProof/>
        </w:rPr>
      </w:r>
      <w:r>
        <w:rPr>
          <w:noProof/>
        </w:rPr>
        <w:fldChar w:fldCharType="separate"/>
      </w:r>
      <w:r w:rsidR="00411351">
        <w:rPr>
          <w:noProof/>
        </w:rPr>
        <w:t>16</w:t>
      </w:r>
      <w:r>
        <w:rPr>
          <w:noProof/>
        </w:rPr>
        <w:fldChar w:fldCharType="end"/>
      </w:r>
    </w:p>
    <w:p w14:paraId="5DF799A2" w14:textId="75BDB050" w:rsidR="00603043" w:rsidRDefault="00603043">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_Toc67427726 \h </w:instrText>
      </w:r>
      <w:r>
        <w:rPr>
          <w:noProof/>
        </w:rPr>
      </w:r>
      <w:r>
        <w:rPr>
          <w:noProof/>
        </w:rPr>
        <w:fldChar w:fldCharType="separate"/>
      </w:r>
      <w:r w:rsidR="00411351">
        <w:rPr>
          <w:noProof/>
        </w:rPr>
        <w:t>18</w:t>
      </w:r>
      <w:r>
        <w:rPr>
          <w:noProof/>
        </w:rPr>
        <w:fldChar w:fldCharType="end"/>
      </w:r>
    </w:p>
    <w:p w14:paraId="7ECDB90F" w14:textId="73D7AF9F" w:rsidR="00603043" w:rsidRDefault="00603043">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_Toc67427727 \h </w:instrText>
      </w:r>
      <w:r>
        <w:rPr>
          <w:noProof/>
        </w:rPr>
      </w:r>
      <w:r>
        <w:rPr>
          <w:noProof/>
        </w:rPr>
        <w:fldChar w:fldCharType="separate"/>
      </w:r>
      <w:r w:rsidR="00411351">
        <w:rPr>
          <w:noProof/>
        </w:rPr>
        <w:t>18</w:t>
      </w:r>
      <w:r>
        <w:rPr>
          <w:noProof/>
        </w:rPr>
        <w:fldChar w:fldCharType="end"/>
      </w:r>
    </w:p>
    <w:p w14:paraId="35417327" w14:textId="30058857" w:rsidR="00603043" w:rsidRDefault="00603043">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_Toc67427728 \h </w:instrText>
      </w:r>
      <w:r>
        <w:rPr>
          <w:noProof/>
        </w:rPr>
      </w:r>
      <w:r>
        <w:rPr>
          <w:noProof/>
        </w:rPr>
        <w:fldChar w:fldCharType="separate"/>
      </w:r>
      <w:r w:rsidR="00411351">
        <w:rPr>
          <w:noProof/>
        </w:rPr>
        <w:t>19</w:t>
      </w:r>
      <w:r>
        <w:rPr>
          <w:noProof/>
        </w:rPr>
        <w:fldChar w:fldCharType="end"/>
      </w:r>
    </w:p>
    <w:p w14:paraId="2AEB7F01" w14:textId="091772B5" w:rsidR="00603043" w:rsidRDefault="00603043">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_Toc67427729 \h </w:instrText>
      </w:r>
      <w:r>
        <w:rPr>
          <w:noProof/>
        </w:rPr>
      </w:r>
      <w:r>
        <w:rPr>
          <w:noProof/>
        </w:rPr>
        <w:fldChar w:fldCharType="separate"/>
      </w:r>
      <w:r w:rsidR="00411351">
        <w:rPr>
          <w:noProof/>
        </w:rPr>
        <w:t>20</w:t>
      </w:r>
      <w:r>
        <w:rPr>
          <w:noProof/>
        </w:rPr>
        <w:fldChar w:fldCharType="end"/>
      </w:r>
    </w:p>
    <w:p w14:paraId="2774090E" w14:textId="62B9AEDF" w:rsidR="00603043" w:rsidRDefault="00603043">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_Toc67427730 \h </w:instrText>
      </w:r>
      <w:r>
        <w:rPr>
          <w:noProof/>
        </w:rPr>
      </w:r>
      <w:r>
        <w:rPr>
          <w:noProof/>
        </w:rPr>
        <w:fldChar w:fldCharType="separate"/>
      </w:r>
      <w:r w:rsidR="00411351">
        <w:rPr>
          <w:noProof/>
        </w:rPr>
        <w:t>20</w:t>
      </w:r>
      <w:r>
        <w:rPr>
          <w:noProof/>
        </w:rPr>
        <w:fldChar w:fldCharType="end"/>
      </w:r>
    </w:p>
    <w:p w14:paraId="298C20B3" w14:textId="46115AD2" w:rsidR="00603043" w:rsidRDefault="00603043">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_Toc67427731 \h </w:instrText>
      </w:r>
      <w:r>
        <w:rPr>
          <w:noProof/>
        </w:rPr>
      </w:r>
      <w:r>
        <w:rPr>
          <w:noProof/>
        </w:rPr>
        <w:fldChar w:fldCharType="separate"/>
      </w:r>
      <w:r w:rsidR="00411351">
        <w:rPr>
          <w:noProof/>
        </w:rPr>
        <w:t>20</w:t>
      </w:r>
      <w:r>
        <w:rPr>
          <w:noProof/>
        </w:rPr>
        <w:fldChar w:fldCharType="end"/>
      </w:r>
    </w:p>
    <w:p w14:paraId="7FCF38DB" w14:textId="095A814A" w:rsidR="00603043" w:rsidRDefault="00603043">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_Toc67427732 \h </w:instrText>
      </w:r>
      <w:r>
        <w:rPr>
          <w:noProof/>
        </w:rPr>
      </w:r>
      <w:r>
        <w:rPr>
          <w:noProof/>
        </w:rPr>
        <w:fldChar w:fldCharType="separate"/>
      </w:r>
      <w:r w:rsidR="00411351">
        <w:rPr>
          <w:noProof/>
        </w:rPr>
        <w:t>20</w:t>
      </w:r>
      <w:r>
        <w:rPr>
          <w:noProof/>
        </w:rPr>
        <w:fldChar w:fldCharType="end"/>
      </w:r>
    </w:p>
    <w:p w14:paraId="4BC534DA" w14:textId="655A4B52" w:rsidR="00603043" w:rsidRDefault="00603043">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_Toc67427733 \h </w:instrText>
      </w:r>
      <w:r>
        <w:rPr>
          <w:noProof/>
        </w:rPr>
      </w:r>
      <w:r>
        <w:rPr>
          <w:noProof/>
        </w:rPr>
        <w:fldChar w:fldCharType="separate"/>
      </w:r>
      <w:r w:rsidR="00411351">
        <w:rPr>
          <w:noProof/>
        </w:rPr>
        <w:t>21</w:t>
      </w:r>
      <w:r>
        <w:rPr>
          <w:noProof/>
        </w:rPr>
        <w:fldChar w:fldCharType="end"/>
      </w:r>
    </w:p>
    <w:p w14:paraId="67895C72" w14:textId="65121A3D" w:rsidR="00603043" w:rsidRDefault="00603043">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_Toc67427734 \h </w:instrText>
      </w:r>
      <w:r>
        <w:rPr>
          <w:noProof/>
        </w:rPr>
      </w:r>
      <w:r>
        <w:rPr>
          <w:noProof/>
        </w:rPr>
        <w:fldChar w:fldCharType="separate"/>
      </w:r>
      <w:r w:rsidR="00411351">
        <w:rPr>
          <w:noProof/>
        </w:rPr>
        <w:t>21</w:t>
      </w:r>
      <w:r>
        <w:rPr>
          <w:noProof/>
        </w:rPr>
        <w:fldChar w:fldCharType="end"/>
      </w:r>
    </w:p>
    <w:p w14:paraId="4C194BAF" w14:textId="60327DFA" w:rsidR="001C6C9B" w:rsidRPr="00D12B8C" w:rsidRDefault="001C6C9B" w:rsidP="00D12B8C">
      <w:r>
        <w:fldChar w:fldCharType="end"/>
      </w:r>
    </w:p>
    <w:p w14:paraId="7DD78D3A" w14:textId="77777777" w:rsidR="007E1F66" w:rsidRDefault="007E1F66" w:rsidP="004F3F32">
      <w:pPr>
        <w:pStyle w:val="eTRMHeading3"/>
        <w:sectPr w:rsidR="007E1F66" w:rsidSect="004507F7">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1440" w:right="1440" w:bottom="1440" w:left="1440" w:header="720" w:footer="720" w:gutter="0"/>
          <w:cols w:space="720"/>
          <w:titlePg/>
          <w:docGrid w:linePitch="360"/>
        </w:sectPr>
      </w:pPr>
    </w:p>
    <w:p w14:paraId="39F3CABB" w14:textId="77777777" w:rsidR="00871123" w:rsidRPr="007E1F66" w:rsidRDefault="00871123" w:rsidP="00562B44">
      <w:pPr>
        <w:pStyle w:val="eTRMHeading3"/>
      </w:pPr>
      <w:bookmarkStart w:id="0" w:name="_Toc486490839"/>
      <w:bookmarkStart w:id="1" w:name="_Toc486580912"/>
      <w:bookmarkStart w:id="2" w:name="_Toc67427711"/>
      <w:r w:rsidRPr="007E1F66">
        <w:lastRenderedPageBreak/>
        <w:t>Measure Name</w:t>
      </w:r>
      <w:bookmarkEnd w:id="0"/>
      <w:bookmarkEnd w:id="1"/>
      <w:bookmarkEnd w:id="2"/>
    </w:p>
    <w:p w14:paraId="558A8B21" w14:textId="770E4C97" w:rsidR="00661844" w:rsidRDefault="00F21A6B" w:rsidP="00151553">
      <w:r>
        <w:t xml:space="preserve">Heat Pump </w:t>
      </w:r>
      <w:r w:rsidR="00385220" w:rsidRPr="00385220">
        <w:t>Pool</w:t>
      </w:r>
      <w:r w:rsidR="00700863">
        <w:t xml:space="preserve"> </w:t>
      </w:r>
      <w:r w:rsidR="00661844">
        <w:t>H</w:t>
      </w:r>
      <w:r w:rsidR="00385220" w:rsidRPr="00385220">
        <w:t>eater</w:t>
      </w:r>
      <w:r w:rsidR="00661844">
        <w:t>, Residential</w:t>
      </w:r>
      <w:r w:rsidR="00E43D71">
        <w:t xml:space="preserve"> – Fuel Substitution</w:t>
      </w:r>
    </w:p>
    <w:p w14:paraId="583BCBAB" w14:textId="77777777" w:rsidR="00700863" w:rsidRDefault="00700863" w:rsidP="00151553"/>
    <w:p w14:paraId="32CEC67B" w14:textId="7D0548E2" w:rsidR="00F860EE" w:rsidRPr="007E1F66" w:rsidRDefault="00F860EE" w:rsidP="00562B44">
      <w:pPr>
        <w:pStyle w:val="eTRMHeading3"/>
      </w:pPr>
      <w:bookmarkStart w:id="3" w:name="_Toc67427712"/>
      <w:r>
        <w:t>Statewide Measure ID</w:t>
      </w:r>
      <w:bookmarkEnd w:id="3"/>
    </w:p>
    <w:p w14:paraId="04CC75C5" w14:textId="3C1C518E" w:rsidR="00F860EE" w:rsidRDefault="00700863" w:rsidP="00151553">
      <w:r>
        <w:t>SW</w:t>
      </w:r>
      <w:r w:rsidR="00A2023E">
        <w:t>RE005</w:t>
      </w:r>
      <w:r>
        <w:t>-01</w:t>
      </w:r>
    </w:p>
    <w:p w14:paraId="084F3936" w14:textId="77777777" w:rsidR="00700863" w:rsidRDefault="00700863" w:rsidP="00151553"/>
    <w:p w14:paraId="0F7CA2E6" w14:textId="77777777" w:rsidR="00E70CBD" w:rsidRPr="00154391" w:rsidRDefault="00E70CBD" w:rsidP="004F3F32">
      <w:pPr>
        <w:pStyle w:val="eTRMHeading3"/>
      </w:pPr>
      <w:bookmarkStart w:id="4" w:name="_Toc486490847"/>
      <w:bookmarkStart w:id="5" w:name="_Toc486580918"/>
      <w:bookmarkStart w:id="6" w:name="_Toc67427713"/>
      <w:r w:rsidRPr="00154391">
        <w:t>Technology Summary</w:t>
      </w:r>
      <w:bookmarkEnd w:id="4"/>
      <w:bookmarkEnd w:id="5"/>
      <w:bookmarkEnd w:id="6"/>
      <w:r w:rsidRPr="00154391">
        <w:t xml:space="preserve"> </w:t>
      </w:r>
    </w:p>
    <w:p w14:paraId="40FE1FF7" w14:textId="2ADD42BC" w:rsidR="00FF2DC1" w:rsidRDefault="00FF2DC1" w:rsidP="00FF2DC1">
      <w:r w:rsidRPr="00FF2DC1">
        <w:t xml:space="preserve">Pool water heaters are types of hot water </w:t>
      </w:r>
      <w:r w:rsidR="00484437">
        <w:t>heaters</w:t>
      </w:r>
      <w:r w:rsidRPr="00FF2DC1">
        <w:t xml:space="preserve"> </w:t>
      </w:r>
      <w:r w:rsidR="001F6A4B">
        <w:t xml:space="preserve">that are </w:t>
      </w:r>
      <w:r w:rsidRPr="00FF2DC1">
        <w:t xml:space="preserve">designed to tolerate the chemicals found in pool water. </w:t>
      </w:r>
      <w:r w:rsidR="00484437">
        <w:t xml:space="preserve"> </w:t>
      </w:r>
      <w:proofErr w:type="gramStart"/>
      <w:r w:rsidR="00484437">
        <w:t>Similar to</w:t>
      </w:r>
      <w:proofErr w:type="gramEnd"/>
      <w:r w:rsidR="00484437">
        <w:t xml:space="preserve"> heat pump water heater systems, heat pump pool heaters are </w:t>
      </w:r>
      <w:r w:rsidR="00700863">
        <w:t>e</w:t>
      </w:r>
      <w:r w:rsidRPr="00FF2DC1">
        <w:t xml:space="preserve">nergy efficient </w:t>
      </w:r>
      <w:r w:rsidR="00700863">
        <w:t xml:space="preserve">pool </w:t>
      </w:r>
      <w:r w:rsidR="00484437">
        <w:t xml:space="preserve">heaters that use the vapor compression cycle rather than natural gas to heat incoming water. Unlike natural gas pool heaters which burn gas to generate heat, these systems take heat from the ambient air and move it to the pool water. </w:t>
      </w:r>
      <w:r w:rsidR="00B8463F">
        <w:t xml:space="preserve">This operation makes heat pump pool heaters capacity and efficiency dependent on ambient outdoor air temperatures. At lower </w:t>
      </w:r>
      <w:proofErr w:type="gramStart"/>
      <w:r w:rsidR="00B8463F">
        <w:t>temperatures</w:t>
      </w:r>
      <w:proofErr w:type="gramEnd"/>
      <w:r w:rsidR="00B8463F">
        <w:t xml:space="preserve"> their capacities and efficiencies reduce, but they can operate efficiently above temperatures between 45°F-50°F</w:t>
      </w:r>
      <w:r w:rsidR="00FD544A">
        <w:rPr>
          <w:rStyle w:val="FootnoteReference"/>
        </w:rPr>
        <w:footnoteReference w:id="1"/>
      </w:r>
      <w:r w:rsidR="00B8463F">
        <w:t xml:space="preserve">. </w:t>
      </w:r>
    </w:p>
    <w:p w14:paraId="3DA61B77" w14:textId="7058A34D" w:rsidR="00CE265F" w:rsidRPr="00CE265F" w:rsidRDefault="00CE265F" w:rsidP="00CE265F">
      <w:bookmarkStart w:id="7" w:name="_Toc484420117"/>
      <w:r w:rsidRPr="00C01AA0">
        <w:rPr>
          <w:b/>
          <w:bCs/>
        </w:rPr>
        <w:t>CEE High Efficiency Residential Swimming Pool Initiative</w:t>
      </w:r>
      <w:bookmarkEnd w:id="7"/>
      <w:r w:rsidR="00AB7DBC" w:rsidRPr="00C01AA0">
        <w:rPr>
          <w:b/>
          <w:bCs/>
        </w:rPr>
        <w:t xml:space="preserve"> (Consortium of Energy Efficiency, 2012).</w:t>
      </w:r>
      <w:r w:rsidR="00AB7DBC">
        <w:rPr>
          <w:rStyle w:val="FootnoteReference"/>
        </w:rPr>
        <w:footnoteReference w:id="2"/>
      </w:r>
      <w:r w:rsidR="00AB7DBC">
        <w:t xml:space="preserve"> The </w:t>
      </w:r>
      <w:r w:rsidR="00BA5E4E" w:rsidRPr="00C01AA0">
        <w:t>Consortium of Energy Efficiency</w:t>
      </w:r>
      <w:r w:rsidR="00BA5E4E" w:rsidRPr="00384806">
        <w:rPr>
          <w:b/>
          <w:bCs/>
        </w:rPr>
        <w:t xml:space="preserve"> </w:t>
      </w:r>
      <w:r w:rsidR="00BA5E4E">
        <w:t>(</w:t>
      </w:r>
      <w:r w:rsidRPr="00CE265F">
        <w:t>CEE</w:t>
      </w:r>
      <w:r w:rsidR="00BA5E4E">
        <w:t>)</w:t>
      </w:r>
      <w:r w:rsidRPr="00CE265F">
        <w:t xml:space="preserve"> identified several promising opportunities </w:t>
      </w:r>
      <w:r w:rsidR="0023644A">
        <w:t>for increased energy efficiency of</w:t>
      </w:r>
      <w:r w:rsidRPr="00CE265F">
        <w:t xml:space="preserve"> residential swimming pools</w:t>
      </w:r>
      <w:r w:rsidR="0023644A">
        <w:t xml:space="preserve">, including </w:t>
      </w:r>
      <w:r w:rsidRPr="00CE265F">
        <w:t>pool motors, pool timers, robotic cleaners, pool covers, and pool heaters.</w:t>
      </w:r>
      <w:r w:rsidR="004F4E0C">
        <w:t xml:space="preserve"> </w:t>
      </w:r>
      <w:r w:rsidR="0023644A">
        <w:t>The CEE initiative utilized the U.S. Department of Energy (</w:t>
      </w:r>
      <w:r w:rsidRPr="00CE265F">
        <w:t>DOE</w:t>
      </w:r>
      <w:r w:rsidR="0023644A">
        <w:t>)</w:t>
      </w:r>
      <w:r w:rsidRPr="00CE265F">
        <w:t xml:space="preserve"> 2009 Residential Energy Consumption Survey (RECS)</w:t>
      </w:r>
      <w:r w:rsidR="0023644A">
        <w:t xml:space="preserve"> to determine market potential. </w:t>
      </w:r>
      <w:proofErr w:type="gramStart"/>
      <w:r w:rsidR="0023644A">
        <w:t>In particular,</w:t>
      </w:r>
      <w:r w:rsidRPr="00CE265F">
        <w:t xml:space="preserve"> of</w:t>
      </w:r>
      <w:proofErr w:type="gramEnd"/>
      <w:r w:rsidRPr="00CE265F">
        <w:t xml:space="preserve"> the 8 million </w:t>
      </w:r>
      <w:r w:rsidR="0023644A">
        <w:t>U.S.</w:t>
      </w:r>
      <w:r w:rsidR="0023644A" w:rsidRPr="00CE265F">
        <w:t xml:space="preserve"> </w:t>
      </w:r>
      <w:r w:rsidRPr="00CE265F">
        <w:t xml:space="preserve">households </w:t>
      </w:r>
      <w:r w:rsidR="0023644A">
        <w:t>with a pool</w:t>
      </w:r>
      <w:r w:rsidRPr="00CE265F">
        <w:t xml:space="preserve"> (in-ground and above-ground) with filtration equipment, 2.1 million have pool heaters. Of </w:t>
      </w:r>
      <w:r w:rsidR="0023644A">
        <w:t>the</w:t>
      </w:r>
      <w:r w:rsidR="00BA5E4E">
        <w:t>se</w:t>
      </w:r>
      <w:r w:rsidR="0023644A" w:rsidRPr="00CE265F">
        <w:t xml:space="preserve"> </w:t>
      </w:r>
      <w:r w:rsidRPr="00CE265F">
        <w:t xml:space="preserve">households, 1.1 million use </w:t>
      </w:r>
      <w:r w:rsidR="0023644A">
        <w:t xml:space="preserve">a </w:t>
      </w:r>
      <w:r w:rsidRPr="00CE265F">
        <w:t>natural gas</w:t>
      </w:r>
      <w:r w:rsidR="0023644A">
        <w:t xml:space="preserve"> heater</w:t>
      </w:r>
      <w:r w:rsidR="00BA5E4E">
        <w:t xml:space="preserve"> that consume</w:t>
      </w:r>
      <w:r w:rsidRPr="00CE265F">
        <w:t xml:space="preserve"> an average 38 million </w:t>
      </w:r>
      <w:r w:rsidR="003259BE">
        <w:t>BTU</w:t>
      </w:r>
      <w:r w:rsidRPr="00CE265F">
        <w:t xml:space="preserve">/yr. The 2009 </w:t>
      </w:r>
      <w:r w:rsidR="0023644A">
        <w:t xml:space="preserve">RECS </w:t>
      </w:r>
      <w:r w:rsidRPr="00CE265F">
        <w:t xml:space="preserve">also </w:t>
      </w:r>
      <w:proofErr w:type="gramStart"/>
      <w:r w:rsidRPr="00CE265F">
        <w:t>indicates</w:t>
      </w:r>
      <w:proofErr w:type="gramEnd"/>
      <w:r w:rsidRPr="00CE265F">
        <w:t xml:space="preserve"> that 6.4 million </w:t>
      </w:r>
      <w:r w:rsidR="0023644A">
        <w:t>U.S.</w:t>
      </w:r>
      <w:r w:rsidR="0023644A" w:rsidRPr="00CE265F">
        <w:t xml:space="preserve"> </w:t>
      </w:r>
      <w:r w:rsidRPr="00CE265F">
        <w:t>households have hot tub or spa heaters</w:t>
      </w:r>
      <w:r w:rsidR="00BA5E4E">
        <w:t>,</w:t>
      </w:r>
      <w:r w:rsidRPr="00CE265F">
        <w:t xml:space="preserve"> 1.5 million</w:t>
      </w:r>
      <w:r w:rsidR="00BA5E4E">
        <w:t xml:space="preserve"> of which are</w:t>
      </w:r>
      <w:r w:rsidRPr="00CE265F">
        <w:t xml:space="preserve"> natural gas heaters. </w:t>
      </w:r>
      <w:r w:rsidR="00BA5E4E">
        <w:t>The RECS estimated that n</w:t>
      </w:r>
      <w:r w:rsidRPr="00CE265F">
        <w:t xml:space="preserve">atural gas </w:t>
      </w:r>
      <w:r w:rsidR="00BA5E4E">
        <w:t xml:space="preserve">spa </w:t>
      </w:r>
      <w:r w:rsidRPr="00CE265F">
        <w:t xml:space="preserve">heaters </w:t>
      </w:r>
      <w:r w:rsidR="00BA5E4E">
        <w:t xml:space="preserve">consume an </w:t>
      </w:r>
      <w:r w:rsidRPr="00CE265F">
        <w:t xml:space="preserve">average </w:t>
      </w:r>
      <w:r w:rsidR="00BA5E4E">
        <w:t>of</w:t>
      </w:r>
      <w:r w:rsidR="00BA5E4E" w:rsidRPr="00CE265F">
        <w:t xml:space="preserve"> </w:t>
      </w:r>
      <w:r w:rsidRPr="00CE265F">
        <w:t xml:space="preserve">35.9 million </w:t>
      </w:r>
      <w:r w:rsidR="003259BE">
        <w:t>BTU</w:t>
      </w:r>
      <w:r w:rsidRPr="00CE265F">
        <w:t>/yr.</w:t>
      </w:r>
      <w:r w:rsidR="00B8463F">
        <w:t xml:space="preserve"> Conversion to electric heat pump pool heaters has the potential to greatly reduce or eliminate this natural consumption.  </w:t>
      </w:r>
    </w:p>
    <w:p w14:paraId="4133F297" w14:textId="1A597D79" w:rsidR="00CE265F" w:rsidRDefault="00CE265F" w:rsidP="00CE265F">
      <w:bookmarkStart w:id="8" w:name="_Toc484420118"/>
      <w:r w:rsidRPr="00E91072">
        <w:rPr>
          <w:b/>
          <w:bCs/>
        </w:rPr>
        <w:t>2009 California Residential Appliance Saturation Study</w:t>
      </w:r>
      <w:bookmarkEnd w:id="8"/>
      <w:r w:rsidR="00D41A3C" w:rsidRPr="00E91072">
        <w:rPr>
          <w:b/>
          <w:bCs/>
        </w:rPr>
        <w:t xml:space="preserve"> (KEMA, Inc., 2010).</w:t>
      </w:r>
      <w:r w:rsidR="00D41A3C">
        <w:rPr>
          <w:rStyle w:val="FootnoteReference"/>
          <w:b/>
          <w:bCs/>
          <w:u w:val="single"/>
        </w:rPr>
        <w:footnoteReference w:id="3"/>
      </w:r>
      <w:r w:rsidR="00D41A3C">
        <w:t xml:space="preserve"> </w:t>
      </w:r>
      <w:r w:rsidRPr="00CE265F">
        <w:t>The study presents key findings from the 2009 California Residential Appliance Saturation Study (RASS) that was sponsored by the California Energy Commission</w:t>
      </w:r>
      <w:r w:rsidR="00D41A3C">
        <w:t xml:space="preserve"> (CEC)</w:t>
      </w:r>
      <w:r w:rsidRPr="00CE265F">
        <w:t>. The study yielded unit energy consumption estimates for 27 electric and 10 natural gas residential end uses and appliance saturations for households within the California territories of the participating utilities.</w:t>
      </w:r>
      <w:r w:rsidR="00AB7DBC">
        <w:t xml:space="preserve"> Data was collected through</w:t>
      </w:r>
      <w:r w:rsidRPr="00CE265F">
        <w:t xml:space="preserve"> a mail survey that requested households to provide information on appliances, equipment, and general consumption patterns. </w:t>
      </w:r>
      <w:r w:rsidR="00A87892">
        <w:t>The RASS study reports that pool heating</w:t>
      </w:r>
      <w:r w:rsidRPr="00CE265F">
        <w:t xml:space="preserve"> and </w:t>
      </w:r>
      <w:r w:rsidR="00A87892">
        <w:t xml:space="preserve">spa heating for a </w:t>
      </w:r>
      <w:proofErr w:type="gramStart"/>
      <w:r w:rsidR="00A87892">
        <w:t>single family</w:t>
      </w:r>
      <w:proofErr w:type="gramEnd"/>
      <w:r w:rsidR="00A87892">
        <w:t xml:space="preserve"> home</w:t>
      </w:r>
      <w:r w:rsidR="00564AFB">
        <w:t xml:space="preserve"> </w:t>
      </w:r>
      <w:r w:rsidRPr="00CE265F">
        <w:t xml:space="preserve">in Southern California use approximately 220 and 52 </w:t>
      </w:r>
      <w:proofErr w:type="spellStart"/>
      <w:r w:rsidRPr="00CE265F">
        <w:t>therms</w:t>
      </w:r>
      <w:proofErr w:type="spellEnd"/>
      <w:r w:rsidRPr="00CE265F">
        <w:t>/</w:t>
      </w:r>
      <w:proofErr w:type="spellStart"/>
      <w:r w:rsidRPr="00CE265F">
        <w:t>yr</w:t>
      </w:r>
      <w:proofErr w:type="spellEnd"/>
      <w:r w:rsidRPr="00CE265F">
        <w:t>, respectively.</w:t>
      </w:r>
    </w:p>
    <w:p w14:paraId="38D33D3A" w14:textId="54163203" w:rsidR="00700863" w:rsidRPr="00CE265F" w:rsidRDefault="00700863" w:rsidP="00CE265F"/>
    <w:p w14:paraId="5AF18021" w14:textId="77777777" w:rsidR="007D230B" w:rsidRPr="004B06E3" w:rsidRDefault="007D230B" w:rsidP="004F3F32">
      <w:pPr>
        <w:pStyle w:val="eTRMHeading3"/>
      </w:pPr>
      <w:bookmarkStart w:id="9" w:name="_Toc486490848"/>
      <w:bookmarkStart w:id="10" w:name="_Toc486580919"/>
      <w:bookmarkStart w:id="11" w:name="_Toc67427714"/>
      <w:r w:rsidRPr="004B06E3">
        <w:t>Measure Case Description</w:t>
      </w:r>
      <w:bookmarkEnd w:id="9"/>
      <w:bookmarkEnd w:id="10"/>
      <w:bookmarkEnd w:id="11"/>
    </w:p>
    <w:p w14:paraId="6DF6C036" w14:textId="6F027209" w:rsidR="00D11741" w:rsidRDefault="00A2023E" w:rsidP="00D11741">
      <w:r w:rsidRPr="007524D1">
        <w:t xml:space="preserve">This measure is defined as the replacement of a standard efficiency </w:t>
      </w:r>
      <w:r w:rsidR="009F1428" w:rsidRPr="007524D1">
        <w:t xml:space="preserve">natural </w:t>
      </w:r>
      <w:r w:rsidRPr="007524D1">
        <w:t>gas-fired pool water heater with an energy efficient heat pump (HP)</w:t>
      </w:r>
      <w:r w:rsidR="00D11741" w:rsidRPr="007524D1">
        <w:t xml:space="preserve"> with a minimum COP of 5.5</w:t>
      </w:r>
      <w:r w:rsidRPr="00A54340">
        <w:t>.</w:t>
      </w:r>
      <w:r w:rsidR="00D11741" w:rsidRPr="00A54340">
        <w:t xml:space="preserve"> </w:t>
      </w:r>
      <w:r w:rsidRPr="00A54340">
        <w:t xml:space="preserve"> </w:t>
      </w:r>
      <w:r w:rsidR="00D11741" w:rsidRPr="00A54340">
        <w:t xml:space="preserve">The measure case equipment </w:t>
      </w:r>
      <w:r w:rsidR="009F1428" w:rsidRPr="00A54340">
        <w:t>will</w:t>
      </w:r>
      <w:r w:rsidR="00D11741" w:rsidRPr="00A54340">
        <w:t xml:space="preserve"> exceed the Title 20 code requirements for a Coefficient of Performance (COP) of 3.5. See Code Requirements.</w:t>
      </w:r>
      <w:r w:rsidR="00D11741">
        <w:t xml:space="preserve"> </w:t>
      </w:r>
    </w:p>
    <w:p w14:paraId="42FDC3C0" w14:textId="4728ED1D" w:rsidR="00A2023E" w:rsidRDefault="002F2D97" w:rsidP="00A2023E">
      <w:r>
        <w:t>Due to pool size consideration</w:t>
      </w:r>
      <w:r w:rsidR="00FF356F">
        <w:t xml:space="preserve"> and heating load requirements</w:t>
      </w:r>
      <w:r>
        <w:t xml:space="preserve">, different measure offerings for single family residences and multifamily common areas are offered.  </w:t>
      </w:r>
      <w:r w:rsidR="00A2023E">
        <w:t>This measure is limited to installations of single heat pump systems due to concerns of excessive costs and noise impacts (single HP pool heaters generally range between 55db-65db</w:t>
      </w:r>
      <w:r w:rsidR="00A2023E">
        <w:rPr>
          <w:rStyle w:val="FootnoteReference"/>
        </w:rPr>
        <w:footnoteReference w:id="4"/>
      </w:r>
      <w:r w:rsidR="00A2023E">
        <w:t>)</w:t>
      </w:r>
      <w:r w:rsidR="00A2023E" w:rsidRPr="00FA7CDB">
        <w:t>.</w:t>
      </w:r>
      <w:r w:rsidR="00A2023E">
        <w:t xml:space="preserve"> </w:t>
      </w:r>
    </w:p>
    <w:p w14:paraId="13AF8EE8" w14:textId="305F5CAD" w:rsidR="00D42E62" w:rsidRDefault="00D42E62">
      <w:pPr>
        <w:pStyle w:val="Caption"/>
      </w:pPr>
      <w:r>
        <w:t>Measure Offerings</w:t>
      </w:r>
    </w:p>
    <w:tbl>
      <w:tblPr>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578"/>
        <w:gridCol w:w="1753"/>
        <w:gridCol w:w="2964"/>
        <w:gridCol w:w="3055"/>
      </w:tblGrid>
      <w:tr w:rsidR="00991FA0" w:rsidRPr="00D42E62" w14:paraId="053483C2" w14:textId="77777777" w:rsidTr="00411351">
        <w:trPr>
          <w:trHeight w:val="249"/>
        </w:trPr>
        <w:tc>
          <w:tcPr>
            <w:tcW w:w="1578" w:type="dxa"/>
            <w:shd w:val="clear" w:color="auto" w:fill="F2F2F2" w:themeFill="background1" w:themeFillShade="F2"/>
            <w:vAlign w:val="bottom"/>
          </w:tcPr>
          <w:p w14:paraId="3EC0962E" w14:textId="37C10E77" w:rsidR="00991FA0" w:rsidRPr="00E91072" w:rsidRDefault="00991FA0" w:rsidP="00991FA0">
            <w:pPr>
              <w:spacing w:before="0" w:after="0" w:line="240" w:lineRule="auto"/>
              <w:jc w:val="center"/>
              <w:rPr>
                <w:rFonts w:eastAsia="Times New Roman" w:cs="Calibri Light"/>
                <w:b/>
                <w:bCs/>
                <w:sz w:val="20"/>
                <w:szCs w:val="20"/>
              </w:rPr>
            </w:pPr>
            <w:r w:rsidRPr="00E91072">
              <w:rPr>
                <w:rFonts w:eastAsia="Times New Roman" w:cs="Calibri Light"/>
                <w:b/>
                <w:bCs/>
                <w:sz w:val="20"/>
                <w:szCs w:val="20"/>
              </w:rPr>
              <w:t>Statewide Measure Offering ID</w:t>
            </w:r>
          </w:p>
        </w:tc>
        <w:tc>
          <w:tcPr>
            <w:tcW w:w="1753" w:type="dxa"/>
            <w:shd w:val="clear" w:color="auto" w:fill="F2F2F2" w:themeFill="background1" w:themeFillShade="F2"/>
          </w:tcPr>
          <w:p w14:paraId="1843412A" w14:textId="1DE3DAD3" w:rsidR="00991FA0" w:rsidRDefault="00991FA0" w:rsidP="00991FA0">
            <w:pPr>
              <w:spacing w:before="0" w:after="0" w:line="240" w:lineRule="auto"/>
              <w:jc w:val="center"/>
              <w:rPr>
                <w:rFonts w:eastAsia="Times New Roman" w:cs="Calibri Light"/>
                <w:b/>
                <w:bCs/>
                <w:sz w:val="20"/>
                <w:szCs w:val="20"/>
              </w:rPr>
            </w:pPr>
            <w:r>
              <w:rPr>
                <w:rFonts w:eastAsia="Times New Roman" w:cs="Calibri Light"/>
                <w:b/>
                <w:bCs/>
                <w:sz w:val="20"/>
                <w:szCs w:val="20"/>
              </w:rPr>
              <w:t>Measure Application Type</w:t>
            </w:r>
          </w:p>
        </w:tc>
        <w:tc>
          <w:tcPr>
            <w:tcW w:w="2964" w:type="dxa"/>
            <w:shd w:val="clear" w:color="auto" w:fill="F2F2F2" w:themeFill="background1" w:themeFillShade="F2"/>
            <w:vAlign w:val="center"/>
          </w:tcPr>
          <w:p w14:paraId="739CD271" w14:textId="1AF312A5" w:rsidR="00991FA0" w:rsidRPr="00E91072" w:rsidRDefault="00991FA0" w:rsidP="00991FA0">
            <w:pPr>
              <w:spacing w:before="0" w:after="0" w:line="240" w:lineRule="auto"/>
              <w:jc w:val="center"/>
              <w:rPr>
                <w:rFonts w:eastAsia="Times New Roman" w:cs="Calibri Light"/>
                <w:b/>
                <w:bCs/>
                <w:sz w:val="20"/>
                <w:szCs w:val="20"/>
              </w:rPr>
            </w:pPr>
            <w:r>
              <w:rPr>
                <w:rFonts w:eastAsia="Times New Roman" w:cs="Calibri Light"/>
                <w:b/>
                <w:bCs/>
                <w:sz w:val="20"/>
                <w:szCs w:val="20"/>
              </w:rPr>
              <w:t>Base Description</w:t>
            </w:r>
          </w:p>
        </w:tc>
        <w:tc>
          <w:tcPr>
            <w:tcW w:w="3055" w:type="dxa"/>
            <w:shd w:val="clear" w:color="auto" w:fill="F2F2F2" w:themeFill="background1" w:themeFillShade="F2"/>
            <w:noWrap/>
            <w:vAlign w:val="center"/>
            <w:hideMark/>
          </w:tcPr>
          <w:p w14:paraId="5ED3FA41" w14:textId="20106BB5" w:rsidR="00991FA0" w:rsidRPr="00E91072" w:rsidRDefault="00991FA0" w:rsidP="00991FA0">
            <w:pPr>
              <w:spacing w:before="0" w:after="0" w:line="240" w:lineRule="auto"/>
              <w:jc w:val="center"/>
              <w:rPr>
                <w:rFonts w:eastAsia="Times New Roman" w:cs="Calibri Light"/>
                <w:b/>
                <w:bCs/>
                <w:sz w:val="20"/>
                <w:szCs w:val="20"/>
              </w:rPr>
            </w:pPr>
            <w:r w:rsidRPr="00E91072">
              <w:rPr>
                <w:rFonts w:eastAsia="Times New Roman" w:cs="Calibri Light"/>
                <w:b/>
                <w:bCs/>
                <w:sz w:val="20"/>
                <w:szCs w:val="20"/>
              </w:rPr>
              <w:t>Measure Description</w:t>
            </w:r>
          </w:p>
        </w:tc>
      </w:tr>
      <w:tr w:rsidR="00991FA0" w:rsidRPr="00D42E62" w14:paraId="41ED2C93" w14:textId="77777777" w:rsidTr="00411351">
        <w:trPr>
          <w:trHeight w:val="249"/>
        </w:trPr>
        <w:tc>
          <w:tcPr>
            <w:tcW w:w="1578" w:type="dxa"/>
            <w:vAlign w:val="center"/>
          </w:tcPr>
          <w:p w14:paraId="3A48437F" w14:textId="6F4AD72C" w:rsidR="00991FA0" w:rsidRPr="00E91072" w:rsidRDefault="00991FA0" w:rsidP="00991FA0">
            <w:pPr>
              <w:spacing w:before="0" w:after="0" w:line="240" w:lineRule="auto"/>
              <w:rPr>
                <w:rFonts w:eastAsia="Times New Roman" w:cs="Calibri Light"/>
                <w:sz w:val="20"/>
                <w:szCs w:val="20"/>
              </w:rPr>
            </w:pPr>
            <w:r w:rsidRPr="00E91072">
              <w:rPr>
                <w:rFonts w:cs="Calibri Light"/>
                <w:sz w:val="20"/>
                <w:szCs w:val="20"/>
              </w:rPr>
              <w:t>SWRE00</w:t>
            </w:r>
            <w:r>
              <w:rPr>
                <w:rFonts w:cs="Calibri Light"/>
                <w:sz w:val="20"/>
                <w:szCs w:val="20"/>
              </w:rPr>
              <w:t>5</w:t>
            </w:r>
            <w:r w:rsidRPr="00E91072">
              <w:rPr>
                <w:rFonts w:cs="Calibri Light"/>
                <w:sz w:val="20"/>
                <w:szCs w:val="20"/>
              </w:rPr>
              <w:t>A</w:t>
            </w:r>
          </w:p>
        </w:tc>
        <w:tc>
          <w:tcPr>
            <w:tcW w:w="1753" w:type="dxa"/>
          </w:tcPr>
          <w:p w14:paraId="74FE936F" w14:textId="494E9EBA" w:rsidR="00991FA0" w:rsidRDefault="00991FA0" w:rsidP="00991FA0">
            <w:pPr>
              <w:spacing w:before="0" w:after="0" w:line="240" w:lineRule="auto"/>
              <w:rPr>
                <w:rFonts w:eastAsia="Times New Roman" w:cs="Calibri Light"/>
                <w:sz w:val="20"/>
                <w:szCs w:val="20"/>
              </w:rPr>
            </w:pPr>
            <w:r>
              <w:rPr>
                <w:rFonts w:eastAsia="Times New Roman" w:cs="Calibri Light"/>
                <w:sz w:val="20"/>
                <w:szCs w:val="20"/>
              </w:rPr>
              <w:t>Normal Replacement</w:t>
            </w:r>
          </w:p>
        </w:tc>
        <w:tc>
          <w:tcPr>
            <w:tcW w:w="2964" w:type="dxa"/>
            <w:vAlign w:val="center"/>
          </w:tcPr>
          <w:p w14:paraId="1F22E0D0" w14:textId="155663E2" w:rsidR="00991FA0" w:rsidRPr="00E91072" w:rsidRDefault="00991FA0" w:rsidP="00991FA0">
            <w:pPr>
              <w:spacing w:before="0" w:after="0" w:line="240" w:lineRule="auto"/>
              <w:rPr>
                <w:rFonts w:eastAsia="Times New Roman" w:cs="Calibri Light"/>
                <w:sz w:val="20"/>
                <w:szCs w:val="20"/>
              </w:rPr>
            </w:pPr>
            <w:r>
              <w:rPr>
                <w:rFonts w:eastAsia="Times New Roman" w:cs="Calibri Light"/>
                <w:sz w:val="20"/>
                <w:szCs w:val="20"/>
              </w:rPr>
              <w:t>Standard Efficiency Natural Gas Pool Heater in Single Family Pool</w:t>
            </w:r>
          </w:p>
        </w:tc>
        <w:tc>
          <w:tcPr>
            <w:tcW w:w="3055" w:type="dxa"/>
            <w:shd w:val="clear" w:color="auto" w:fill="auto"/>
            <w:noWrap/>
            <w:vAlign w:val="center"/>
            <w:hideMark/>
          </w:tcPr>
          <w:p w14:paraId="4AAF4B6B" w14:textId="58F1CA69" w:rsidR="00991FA0" w:rsidRPr="00A54340" w:rsidRDefault="00991FA0" w:rsidP="00991FA0">
            <w:pPr>
              <w:spacing w:before="0" w:after="0" w:line="240" w:lineRule="auto"/>
              <w:rPr>
                <w:rFonts w:eastAsia="Times New Roman" w:cs="Calibri Light"/>
                <w:sz w:val="20"/>
                <w:szCs w:val="20"/>
              </w:rPr>
            </w:pPr>
            <w:r w:rsidRPr="00A54340">
              <w:rPr>
                <w:rFonts w:eastAsia="Times New Roman" w:cs="Calibri Light"/>
                <w:sz w:val="20"/>
                <w:szCs w:val="20"/>
              </w:rPr>
              <w:t>Efficient Heat Pump Pool Heater in Single Family Pool</w:t>
            </w:r>
          </w:p>
        </w:tc>
      </w:tr>
      <w:tr w:rsidR="00991FA0" w:rsidRPr="00D42E62" w14:paraId="7EC2F2A2" w14:textId="77777777" w:rsidTr="00411351">
        <w:trPr>
          <w:trHeight w:val="260"/>
        </w:trPr>
        <w:tc>
          <w:tcPr>
            <w:tcW w:w="1578" w:type="dxa"/>
            <w:vAlign w:val="center"/>
          </w:tcPr>
          <w:p w14:paraId="4048B5E2" w14:textId="0D780083" w:rsidR="00991FA0" w:rsidRPr="00E91072" w:rsidRDefault="00991FA0" w:rsidP="00991FA0">
            <w:pPr>
              <w:spacing w:before="0" w:after="0" w:line="240" w:lineRule="auto"/>
              <w:rPr>
                <w:rFonts w:cs="Calibri Light"/>
                <w:sz w:val="20"/>
                <w:szCs w:val="20"/>
              </w:rPr>
            </w:pPr>
            <w:r w:rsidRPr="00E91072">
              <w:rPr>
                <w:rFonts w:cs="Calibri Light"/>
                <w:sz w:val="20"/>
                <w:szCs w:val="20"/>
              </w:rPr>
              <w:t>SWRE00</w:t>
            </w:r>
            <w:r>
              <w:rPr>
                <w:rFonts w:cs="Calibri Light"/>
                <w:sz w:val="20"/>
                <w:szCs w:val="20"/>
              </w:rPr>
              <w:t>5B</w:t>
            </w:r>
          </w:p>
        </w:tc>
        <w:tc>
          <w:tcPr>
            <w:tcW w:w="1753" w:type="dxa"/>
          </w:tcPr>
          <w:p w14:paraId="52AA7C35" w14:textId="682C29BF" w:rsidR="00991FA0" w:rsidRDefault="00991FA0" w:rsidP="00991FA0">
            <w:pPr>
              <w:spacing w:before="0" w:after="0" w:line="240" w:lineRule="auto"/>
              <w:rPr>
                <w:rFonts w:eastAsia="Times New Roman" w:cs="Calibri Light"/>
                <w:sz w:val="20"/>
                <w:szCs w:val="20"/>
              </w:rPr>
            </w:pPr>
            <w:r>
              <w:rPr>
                <w:rFonts w:eastAsia="Times New Roman" w:cs="Calibri Light"/>
                <w:sz w:val="20"/>
                <w:szCs w:val="20"/>
              </w:rPr>
              <w:t>Normal Replacement</w:t>
            </w:r>
          </w:p>
        </w:tc>
        <w:tc>
          <w:tcPr>
            <w:tcW w:w="2964" w:type="dxa"/>
            <w:vAlign w:val="center"/>
          </w:tcPr>
          <w:p w14:paraId="40766A2E" w14:textId="4DC2B64B" w:rsidR="00991FA0" w:rsidRDefault="00991FA0" w:rsidP="00991FA0">
            <w:pPr>
              <w:spacing w:before="0" w:after="0" w:line="240" w:lineRule="auto"/>
              <w:rPr>
                <w:rFonts w:eastAsia="Times New Roman" w:cs="Calibri Light"/>
                <w:sz w:val="20"/>
                <w:szCs w:val="20"/>
              </w:rPr>
            </w:pPr>
            <w:r>
              <w:rPr>
                <w:rFonts w:eastAsia="Times New Roman" w:cs="Calibri Light"/>
                <w:sz w:val="20"/>
                <w:szCs w:val="20"/>
              </w:rPr>
              <w:t>Standard Efficiency Natural Gas Pool Heater in Common Area Pool</w:t>
            </w:r>
          </w:p>
        </w:tc>
        <w:tc>
          <w:tcPr>
            <w:tcW w:w="3055" w:type="dxa"/>
            <w:shd w:val="clear" w:color="auto" w:fill="auto"/>
            <w:noWrap/>
            <w:vAlign w:val="center"/>
          </w:tcPr>
          <w:p w14:paraId="19D440B4" w14:textId="4EEF167B" w:rsidR="00991FA0" w:rsidRPr="00A54340" w:rsidRDefault="00991FA0" w:rsidP="00991FA0">
            <w:pPr>
              <w:spacing w:before="0" w:after="0" w:line="240" w:lineRule="auto"/>
              <w:rPr>
                <w:rFonts w:eastAsia="Times New Roman" w:cs="Calibri Light"/>
                <w:sz w:val="20"/>
                <w:szCs w:val="20"/>
              </w:rPr>
            </w:pPr>
            <w:r w:rsidRPr="00A54340">
              <w:rPr>
                <w:rFonts w:eastAsia="Times New Roman" w:cs="Calibri Light"/>
                <w:sz w:val="20"/>
                <w:szCs w:val="20"/>
              </w:rPr>
              <w:t>Efficient Heat Pump Pool Heater in Common Area Pool</w:t>
            </w:r>
          </w:p>
        </w:tc>
      </w:tr>
      <w:tr w:rsidR="00991FA0" w:rsidRPr="00D42E62" w14:paraId="46076BA6" w14:textId="77777777" w:rsidTr="00411351">
        <w:trPr>
          <w:trHeight w:val="260"/>
        </w:trPr>
        <w:tc>
          <w:tcPr>
            <w:tcW w:w="1578" w:type="dxa"/>
            <w:vAlign w:val="center"/>
          </w:tcPr>
          <w:p w14:paraId="24B92605" w14:textId="454C01A7" w:rsidR="00991FA0" w:rsidRPr="00E91072" w:rsidRDefault="00991FA0" w:rsidP="00991FA0">
            <w:pPr>
              <w:spacing w:before="0" w:after="0" w:line="240" w:lineRule="auto"/>
              <w:rPr>
                <w:rFonts w:cs="Calibri Light"/>
                <w:sz w:val="20"/>
                <w:szCs w:val="20"/>
              </w:rPr>
            </w:pPr>
            <w:r w:rsidRPr="00E91072">
              <w:rPr>
                <w:rFonts w:cs="Calibri Light"/>
                <w:sz w:val="20"/>
                <w:szCs w:val="20"/>
              </w:rPr>
              <w:t>SWRE00</w:t>
            </w:r>
            <w:r>
              <w:rPr>
                <w:rFonts w:cs="Calibri Light"/>
                <w:sz w:val="20"/>
                <w:szCs w:val="20"/>
              </w:rPr>
              <w:t>5C</w:t>
            </w:r>
          </w:p>
        </w:tc>
        <w:tc>
          <w:tcPr>
            <w:tcW w:w="1753" w:type="dxa"/>
          </w:tcPr>
          <w:p w14:paraId="537A8A9F" w14:textId="014A7EF9" w:rsidR="00991FA0" w:rsidRDefault="00991FA0" w:rsidP="00991FA0">
            <w:pPr>
              <w:spacing w:before="0" w:after="0" w:line="240" w:lineRule="auto"/>
              <w:rPr>
                <w:rFonts w:eastAsia="Times New Roman" w:cs="Calibri Light"/>
                <w:sz w:val="20"/>
                <w:szCs w:val="20"/>
              </w:rPr>
            </w:pPr>
            <w:r>
              <w:rPr>
                <w:rFonts w:eastAsia="Times New Roman" w:cs="Calibri Light"/>
                <w:sz w:val="20"/>
                <w:szCs w:val="20"/>
              </w:rPr>
              <w:t>Accelerated Replacement</w:t>
            </w:r>
          </w:p>
        </w:tc>
        <w:tc>
          <w:tcPr>
            <w:tcW w:w="2964" w:type="dxa"/>
            <w:vAlign w:val="center"/>
          </w:tcPr>
          <w:p w14:paraId="4F76A089" w14:textId="723DCCA6" w:rsidR="00991FA0" w:rsidRDefault="00991FA0" w:rsidP="00991FA0">
            <w:pPr>
              <w:spacing w:before="0" w:after="0" w:line="240" w:lineRule="auto"/>
              <w:rPr>
                <w:rFonts w:eastAsia="Times New Roman" w:cs="Calibri Light"/>
                <w:sz w:val="20"/>
                <w:szCs w:val="20"/>
              </w:rPr>
            </w:pPr>
            <w:r>
              <w:rPr>
                <w:rFonts w:eastAsia="Times New Roman" w:cs="Calibri Light"/>
                <w:sz w:val="20"/>
                <w:szCs w:val="20"/>
              </w:rPr>
              <w:t>Standard Efficiency Natural Gas Pool Heater in Single Family Pool</w:t>
            </w:r>
          </w:p>
        </w:tc>
        <w:tc>
          <w:tcPr>
            <w:tcW w:w="3055" w:type="dxa"/>
            <w:shd w:val="clear" w:color="auto" w:fill="auto"/>
            <w:noWrap/>
            <w:vAlign w:val="center"/>
          </w:tcPr>
          <w:p w14:paraId="14F9964B" w14:textId="47E0F9A9" w:rsidR="00991FA0" w:rsidRPr="00A54340" w:rsidRDefault="00991FA0" w:rsidP="00991FA0">
            <w:pPr>
              <w:spacing w:before="0" w:after="0" w:line="240" w:lineRule="auto"/>
              <w:rPr>
                <w:rFonts w:eastAsia="Times New Roman" w:cs="Calibri Light"/>
                <w:sz w:val="20"/>
                <w:szCs w:val="20"/>
              </w:rPr>
            </w:pPr>
            <w:r w:rsidRPr="00A54340">
              <w:rPr>
                <w:rFonts w:eastAsia="Times New Roman" w:cs="Calibri Light"/>
                <w:sz w:val="20"/>
                <w:szCs w:val="20"/>
              </w:rPr>
              <w:t>Efficient Heat Pump Pool Heater in Single Family Pool</w:t>
            </w:r>
          </w:p>
        </w:tc>
      </w:tr>
      <w:tr w:rsidR="00991FA0" w:rsidRPr="00D42E62" w14:paraId="451ED8AC" w14:textId="77777777" w:rsidTr="00411351">
        <w:trPr>
          <w:trHeight w:val="260"/>
        </w:trPr>
        <w:tc>
          <w:tcPr>
            <w:tcW w:w="1578" w:type="dxa"/>
            <w:vAlign w:val="center"/>
          </w:tcPr>
          <w:p w14:paraId="16CFBC67" w14:textId="0FE8489A" w:rsidR="00991FA0" w:rsidRPr="00E91072" w:rsidRDefault="00991FA0" w:rsidP="00991FA0">
            <w:pPr>
              <w:spacing w:before="0" w:after="0" w:line="240" w:lineRule="auto"/>
              <w:rPr>
                <w:rFonts w:cs="Calibri Light"/>
                <w:sz w:val="20"/>
                <w:szCs w:val="20"/>
              </w:rPr>
            </w:pPr>
            <w:r w:rsidRPr="00E91072">
              <w:rPr>
                <w:rFonts w:cs="Calibri Light"/>
                <w:sz w:val="20"/>
                <w:szCs w:val="20"/>
              </w:rPr>
              <w:t>SWRE00</w:t>
            </w:r>
            <w:r>
              <w:rPr>
                <w:rFonts w:cs="Calibri Light"/>
                <w:sz w:val="20"/>
                <w:szCs w:val="20"/>
              </w:rPr>
              <w:t>5D</w:t>
            </w:r>
          </w:p>
        </w:tc>
        <w:tc>
          <w:tcPr>
            <w:tcW w:w="1753" w:type="dxa"/>
          </w:tcPr>
          <w:p w14:paraId="60D2E8E9" w14:textId="21F5D03B" w:rsidR="00991FA0" w:rsidRDefault="00991FA0" w:rsidP="00991FA0">
            <w:pPr>
              <w:spacing w:before="0" w:after="0" w:line="240" w:lineRule="auto"/>
              <w:rPr>
                <w:rFonts w:eastAsia="Times New Roman" w:cs="Calibri Light"/>
                <w:sz w:val="20"/>
                <w:szCs w:val="20"/>
              </w:rPr>
            </w:pPr>
            <w:r>
              <w:rPr>
                <w:rFonts w:eastAsia="Times New Roman" w:cs="Calibri Light"/>
                <w:sz w:val="20"/>
                <w:szCs w:val="20"/>
              </w:rPr>
              <w:t>Accelerated Replacement</w:t>
            </w:r>
          </w:p>
        </w:tc>
        <w:tc>
          <w:tcPr>
            <w:tcW w:w="2964" w:type="dxa"/>
            <w:vAlign w:val="center"/>
          </w:tcPr>
          <w:p w14:paraId="2F98D37D" w14:textId="1CD69DE4" w:rsidR="00991FA0" w:rsidRDefault="00991FA0" w:rsidP="00991FA0">
            <w:pPr>
              <w:spacing w:before="0" w:after="0" w:line="240" w:lineRule="auto"/>
              <w:rPr>
                <w:rFonts w:eastAsia="Times New Roman" w:cs="Calibri Light"/>
                <w:sz w:val="20"/>
                <w:szCs w:val="20"/>
              </w:rPr>
            </w:pPr>
            <w:r>
              <w:rPr>
                <w:rFonts w:eastAsia="Times New Roman" w:cs="Calibri Light"/>
                <w:sz w:val="20"/>
                <w:szCs w:val="20"/>
              </w:rPr>
              <w:t>Standard Efficiency Natural Gas Pool Heater in Common Area Pool</w:t>
            </w:r>
          </w:p>
        </w:tc>
        <w:tc>
          <w:tcPr>
            <w:tcW w:w="3055" w:type="dxa"/>
            <w:shd w:val="clear" w:color="auto" w:fill="auto"/>
            <w:noWrap/>
            <w:vAlign w:val="center"/>
          </w:tcPr>
          <w:p w14:paraId="14F63A14" w14:textId="7073F0F8" w:rsidR="00991FA0" w:rsidRPr="00A54340" w:rsidRDefault="00991FA0" w:rsidP="00991FA0">
            <w:pPr>
              <w:spacing w:before="0" w:after="0" w:line="240" w:lineRule="auto"/>
              <w:rPr>
                <w:rFonts w:eastAsia="Times New Roman" w:cs="Calibri Light"/>
                <w:sz w:val="20"/>
                <w:szCs w:val="20"/>
              </w:rPr>
            </w:pPr>
            <w:r w:rsidRPr="00A54340">
              <w:rPr>
                <w:rFonts w:eastAsia="Times New Roman" w:cs="Calibri Light"/>
                <w:sz w:val="20"/>
                <w:szCs w:val="20"/>
              </w:rPr>
              <w:t>Efficient Heat Pump Pool Heater in Common Area Pool</w:t>
            </w:r>
          </w:p>
        </w:tc>
      </w:tr>
    </w:tbl>
    <w:p w14:paraId="611D13CE" w14:textId="77777777" w:rsidR="00D42E62" w:rsidRDefault="00D42E62" w:rsidP="00E91072">
      <w:bookmarkStart w:id="12" w:name="_Toc486490849"/>
      <w:bookmarkStart w:id="13" w:name="_Toc486580920"/>
    </w:p>
    <w:p w14:paraId="54FD79D6" w14:textId="57047583" w:rsidR="00E70CBD" w:rsidRPr="00171BB8" w:rsidRDefault="00E70CBD" w:rsidP="004F3F32">
      <w:pPr>
        <w:pStyle w:val="eTRMHeading3"/>
      </w:pPr>
      <w:bookmarkStart w:id="14" w:name="_Toc67427715"/>
      <w:r w:rsidRPr="004B06E3">
        <w:t>Base Case Description</w:t>
      </w:r>
      <w:bookmarkEnd w:id="12"/>
      <w:bookmarkEnd w:id="13"/>
      <w:bookmarkEnd w:id="14"/>
      <w:r w:rsidRPr="00171BB8">
        <w:t xml:space="preserve"> </w:t>
      </w:r>
    </w:p>
    <w:p w14:paraId="6D67F546" w14:textId="166441EA" w:rsidR="00A67322" w:rsidRDefault="00F8464D" w:rsidP="00DA6088">
      <w:r w:rsidRPr="007524D1">
        <w:t xml:space="preserve">The base case is defined as </w:t>
      </w:r>
      <w:r w:rsidR="009F1428" w:rsidRPr="007524D1">
        <w:t xml:space="preserve">a </w:t>
      </w:r>
      <w:r w:rsidR="0071221B" w:rsidRPr="007524D1">
        <w:t xml:space="preserve">residential gas-fired pool water heater with a minimum thermal efficiency </w:t>
      </w:r>
      <w:r w:rsidR="00700863" w:rsidRPr="007524D1">
        <w:t xml:space="preserve">(TE) </w:t>
      </w:r>
      <w:r w:rsidR="00D42E62" w:rsidRPr="007524D1">
        <w:t xml:space="preserve">stipulated by the </w:t>
      </w:r>
      <w:r w:rsidR="002A0897" w:rsidRPr="007524D1">
        <w:t xml:space="preserve">Federal Code of Regulations and </w:t>
      </w:r>
      <w:r w:rsidR="00D42E62" w:rsidRPr="007524D1">
        <w:t>California Appliance Efficiency Regulations (Title 20)</w:t>
      </w:r>
      <w:r w:rsidR="0071221B" w:rsidRPr="007524D1">
        <w:t>.</w:t>
      </w:r>
      <w:r w:rsidR="00D42E62" w:rsidRPr="007524D1">
        <w:t xml:space="preserve"> See Code Requirements</w:t>
      </w:r>
      <w:r w:rsidR="00D42E62" w:rsidRPr="00ED21DD">
        <w:t>.</w:t>
      </w:r>
    </w:p>
    <w:p w14:paraId="0F17DE9F" w14:textId="14D34866" w:rsidR="00700863" w:rsidRDefault="002A0897" w:rsidP="00700863">
      <w:r>
        <w:t>For accelerated replacement (AR) measures, the existing case is also assumed to be</w:t>
      </w:r>
      <w:r w:rsidR="009F1428">
        <w:t xml:space="preserve"> a</w:t>
      </w:r>
      <w:r>
        <w:t xml:space="preserve"> Title 20 </w:t>
      </w:r>
      <w:r w:rsidR="009F1428">
        <w:t>compliant natural gas pool heater</w:t>
      </w:r>
      <w:r>
        <w:t>. Thus</w:t>
      </w:r>
      <w:r w:rsidR="00954D33">
        <w:t>,</w:t>
      </w:r>
      <w:r>
        <w:t xml:space="preserve"> both the first and second baseline for AR measures are the same. </w:t>
      </w:r>
      <w:bookmarkStart w:id="15" w:name="_Toc486490850"/>
      <w:bookmarkStart w:id="16" w:name="_Toc486580921"/>
    </w:p>
    <w:p w14:paraId="748BA408" w14:textId="44023598" w:rsidR="00B8463F" w:rsidRDefault="00B8463F" w:rsidP="00B8463F">
      <w:r>
        <w:t xml:space="preserve">Based on the 2015 </w:t>
      </w:r>
      <w:r w:rsidR="002373B1">
        <w:t>S</w:t>
      </w:r>
      <w:r>
        <w:t>tate-wide IOU Multifamily Pools study</w:t>
      </w:r>
      <w:r>
        <w:rPr>
          <w:rStyle w:val="FootnoteReference"/>
        </w:rPr>
        <w:footnoteReference w:id="5"/>
      </w:r>
      <w:r>
        <w:t>, of the pools that were heated</w:t>
      </w:r>
      <w:r w:rsidR="009F1428">
        <w:t>,</w:t>
      </w:r>
      <w:r>
        <w:t xml:space="preserve"> natural gas heaters were the dominant technology in the market. Thus, natural gas heaters are assumed to be the standard practice </w:t>
      </w:r>
      <w:r w:rsidR="009F1428">
        <w:t>technology</w:t>
      </w:r>
      <w:r>
        <w:t>.</w:t>
      </w:r>
    </w:p>
    <w:p w14:paraId="724F7E41" w14:textId="77777777" w:rsidR="00B8463F" w:rsidRDefault="00B8463F" w:rsidP="00700863"/>
    <w:p w14:paraId="7D9DA4A6" w14:textId="7DA3C70B" w:rsidR="007D230B" w:rsidRPr="00171BB8" w:rsidRDefault="007D230B" w:rsidP="004F3F32">
      <w:pPr>
        <w:pStyle w:val="eTRMHeading3"/>
      </w:pPr>
      <w:bookmarkStart w:id="17" w:name="_Toc67427716"/>
      <w:r w:rsidRPr="004B06E3">
        <w:lastRenderedPageBreak/>
        <w:t>Code Requirements</w:t>
      </w:r>
      <w:bookmarkEnd w:id="15"/>
      <w:bookmarkEnd w:id="16"/>
      <w:bookmarkEnd w:id="17"/>
    </w:p>
    <w:p w14:paraId="6E5CFD52" w14:textId="7BA4DE5A" w:rsidR="00D60987" w:rsidRDefault="0071221B" w:rsidP="00D0761C">
      <w:r>
        <w:t xml:space="preserve">The </w:t>
      </w:r>
      <w:r w:rsidRPr="0071221B">
        <w:t>California Appliance Efficiency Regulations (Title 20)</w:t>
      </w:r>
      <w:r>
        <w:t xml:space="preserve"> requires </w:t>
      </w:r>
      <w:r w:rsidRPr="0071221B">
        <w:t xml:space="preserve">a minimum </w:t>
      </w:r>
      <w:r w:rsidR="002A0897">
        <w:t xml:space="preserve">coefficient of performance (COP) of 3.5 for heat pump pool heaters and a minimum </w:t>
      </w:r>
      <w:r w:rsidRPr="0071221B">
        <w:t xml:space="preserve">thermal efficiency </w:t>
      </w:r>
      <w:r w:rsidR="00700863">
        <w:t xml:space="preserve">(TE) </w:t>
      </w:r>
      <w:r w:rsidRPr="0071221B">
        <w:t>of 82%</w:t>
      </w:r>
      <w:r>
        <w:t xml:space="preserve"> for </w:t>
      </w:r>
      <w:proofErr w:type="gramStart"/>
      <w:r>
        <w:t>all</w:t>
      </w:r>
      <w:r w:rsidR="002A0897">
        <w:t xml:space="preserve"> natural</w:t>
      </w:r>
      <w:proofErr w:type="gramEnd"/>
      <w:r>
        <w:t xml:space="preserve"> residential pool</w:t>
      </w:r>
      <w:r w:rsidR="00700863">
        <w:t xml:space="preserve"> </w:t>
      </w:r>
      <w:r>
        <w:t>water heaters.</w:t>
      </w:r>
      <w:r w:rsidR="00564AFB">
        <w:rPr>
          <w:rStyle w:val="FootnoteReference"/>
        </w:rPr>
        <w:footnoteReference w:id="6"/>
      </w:r>
    </w:p>
    <w:p w14:paraId="1C56FADF" w14:textId="5748A696" w:rsidR="002A0897" w:rsidRDefault="002A0897" w:rsidP="002A0897">
      <w:r>
        <w:t>Per § 1605.3. State Standards for Non-</w:t>
      </w:r>
      <w:proofErr w:type="gramStart"/>
      <w:r>
        <w:t>Federally-Regulated</w:t>
      </w:r>
      <w:proofErr w:type="gramEnd"/>
      <w:r>
        <w:t xml:space="preserve"> Appliances, Energy Efficiency Standard for Heat Pump Pool Heaters. For heat pump pool heaters manufactured on or after March 1, 2003, the average of the COP at Standard Temperature Rating and the COP at Low Temperature Rating shall not </w:t>
      </w:r>
      <w:r w:rsidR="002373B1">
        <w:t xml:space="preserve">be </w:t>
      </w:r>
      <w:r>
        <w:t>less than 3.5.</w:t>
      </w:r>
    </w:p>
    <w:p w14:paraId="192BAAF3" w14:textId="5CA5F150" w:rsidR="00C104B3" w:rsidRDefault="00C104B3" w:rsidP="002A0897">
      <w:r>
        <w:t>Per Title 24 2019 Section 110.4(b).2 the installation of any pool or spa equipment in a heated pool shall</w:t>
      </w:r>
      <w:r w:rsidR="00084CE7">
        <w:t xml:space="preserve"> be</w:t>
      </w:r>
      <w:r>
        <w:t xml:space="preserve"> installed with an outdoor pool cover. </w:t>
      </w:r>
    </w:p>
    <w:p w14:paraId="7E96141F" w14:textId="7A774D87" w:rsidR="00FD2C54" w:rsidRDefault="00FD2C54">
      <w:pPr>
        <w:pStyle w:val="Caption"/>
      </w:pPr>
      <w:r>
        <w:t xml:space="preserve">Applicable State and </w:t>
      </w:r>
      <w:r w:rsidRPr="00700863">
        <w:t>Federal</w:t>
      </w:r>
      <w:r>
        <w:t xml:space="preserve"> </w:t>
      </w:r>
      <w:r w:rsidRPr="00CD6698">
        <w:t>Code</w:t>
      </w:r>
      <w:r>
        <w:t>s and Standards</w:t>
      </w:r>
      <w:r w:rsidRPr="002C39E3">
        <w:t xml:space="preserve"> </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765"/>
        <w:gridCol w:w="2340"/>
        <w:gridCol w:w="2430"/>
      </w:tblGrid>
      <w:tr w:rsidR="00FC77BB" w:rsidRPr="00154391" w14:paraId="4623D54B" w14:textId="689B6080" w:rsidTr="00FC77BB">
        <w:trPr>
          <w:cantSplit/>
          <w:trHeight w:val="20"/>
        </w:trPr>
        <w:tc>
          <w:tcPr>
            <w:tcW w:w="4765" w:type="dxa"/>
            <w:shd w:val="clear" w:color="auto" w:fill="F2F2F2" w:themeFill="background1" w:themeFillShade="F2"/>
            <w:vAlign w:val="bottom"/>
          </w:tcPr>
          <w:p w14:paraId="5E8EE0C5" w14:textId="77777777" w:rsidR="00FC77BB" w:rsidRPr="00B8463F" w:rsidRDefault="00FC77BB" w:rsidP="00190874">
            <w:pPr>
              <w:keepNext/>
              <w:keepLines/>
              <w:spacing w:before="0" w:after="0" w:line="240" w:lineRule="auto"/>
              <w:rPr>
                <w:bCs/>
                <w:sz w:val="20"/>
                <w:szCs w:val="20"/>
              </w:rPr>
            </w:pPr>
            <w:r w:rsidRPr="00B8463F">
              <w:rPr>
                <w:bCs/>
                <w:sz w:val="20"/>
              </w:rPr>
              <w:t>Code</w:t>
            </w:r>
          </w:p>
        </w:tc>
        <w:tc>
          <w:tcPr>
            <w:tcW w:w="2340" w:type="dxa"/>
            <w:shd w:val="clear" w:color="auto" w:fill="F2F2F2" w:themeFill="background1" w:themeFillShade="F2"/>
            <w:vAlign w:val="bottom"/>
          </w:tcPr>
          <w:p w14:paraId="2A51DAFB" w14:textId="77777777" w:rsidR="00FC77BB" w:rsidRPr="00154391" w:rsidRDefault="00FC77BB" w:rsidP="00190874">
            <w:pPr>
              <w:keepNext/>
              <w:keepLines/>
              <w:spacing w:before="0" w:after="0" w:line="240" w:lineRule="auto"/>
              <w:jc w:val="center"/>
              <w:rPr>
                <w:b/>
                <w:sz w:val="20"/>
                <w:szCs w:val="20"/>
              </w:rPr>
            </w:pPr>
            <w:r w:rsidRPr="0079498E">
              <w:rPr>
                <w:b/>
                <w:sz w:val="20"/>
              </w:rPr>
              <w:t>Applicable Code Reference</w:t>
            </w:r>
          </w:p>
        </w:tc>
        <w:tc>
          <w:tcPr>
            <w:tcW w:w="2430" w:type="dxa"/>
            <w:shd w:val="clear" w:color="auto" w:fill="F2F2F2" w:themeFill="background1" w:themeFillShade="F2"/>
            <w:vAlign w:val="bottom"/>
          </w:tcPr>
          <w:p w14:paraId="214A9ADD" w14:textId="77777777" w:rsidR="00FC77BB" w:rsidRPr="00154391" w:rsidRDefault="00FC77BB" w:rsidP="00190874">
            <w:pPr>
              <w:keepNext/>
              <w:keepLines/>
              <w:spacing w:before="0" w:after="0" w:line="240" w:lineRule="auto"/>
              <w:jc w:val="center"/>
              <w:rPr>
                <w:b/>
                <w:sz w:val="20"/>
                <w:szCs w:val="20"/>
              </w:rPr>
            </w:pPr>
            <w:r w:rsidRPr="0079498E">
              <w:rPr>
                <w:b/>
                <w:sz w:val="20"/>
              </w:rPr>
              <w:t>Effective Date</w:t>
            </w:r>
          </w:p>
        </w:tc>
      </w:tr>
      <w:tr w:rsidR="002A0897" w:rsidRPr="00FB030E" w14:paraId="782F7264" w14:textId="345CFA23" w:rsidTr="00FC77BB">
        <w:trPr>
          <w:cantSplit/>
          <w:trHeight w:val="20"/>
        </w:trPr>
        <w:tc>
          <w:tcPr>
            <w:tcW w:w="4765" w:type="dxa"/>
            <w:shd w:val="clear" w:color="auto" w:fill="auto"/>
          </w:tcPr>
          <w:p w14:paraId="67BA833F" w14:textId="6A9581A7" w:rsidR="002A0897" w:rsidRPr="00BD6838" w:rsidRDefault="002A0897" w:rsidP="002A0897">
            <w:pPr>
              <w:keepNext/>
              <w:keepLines/>
              <w:spacing w:before="0" w:after="0" w:line="240" w:lineRule="auto"/>
              <w:rPr>
                <w:sz w:val="20"/>
                <w:szCs w:val="20"/>
              </w:rPr>
            </w:pPr>
            <w:r w:rsidRPr="00324B5D">
              <w:rPr>
                <w:sz w:val="20"/>
                <w:szCs w:val="20"/>
              </w:rPr>
              <w:t xml:space="preserve">CA Appliance Efficiency Regulations – Title 20 </w:t>
            </w:r>
            <w:r w:rsidRPr="00DB4B88">
              <w:rPr>
                <w:sz w:val="20"/>
                <w:szCs w:val="20"/>
              </w:rPr>
              <w:t>201</w:t>
            </w:r>
            <w:r>
              <w:rPr>
                <w:sz w:val="20"/>
                <w:szCs w:val="20"/>
              </w:rPr>
              <w:t>9</w:t>
            </w:r>
          </w:p>
        </w:tc>
        <w:tc>
          <w:tcPr>
            <w:tcW w:w="2340" w:type="dxa"/>
            <w:shd w:val="clear" w:color="auto" w:fill="auto"/>
          </w:tcPr>
          <w:p w14:paraId="794A0264" w14:textId="69512CE6" w:rsidR="002A0897" w:rsidRPr="00FB030E" w:rsidRDefault="002A0897" w:rsidP="002A0897">
            <w:pPr>
              <w:keepNext/>
              <w:keepLines/>
              <w:spacing w:before="0" w:after="0" w:line="240" w:lineRule="auto"/>
              <w:jc w:val="center"/>
              <w:rPr>
                <w:sz w:val="20"/>
                <w:szCs w:val="20"/>
              </w:rPr>
            </w:pPr>
            <w:r w:rsidRPr="00FA0B08">
              <w:rPr>
                <w:rFonts w:cs="Calibri Light"/>
                <w:sz w:val="20"/>
              </w:rPr>
              <w:t>Section 1605.1.</w:t>
            </w:r>
            <w:r>
              <w:rPr>
                <w:rFonts w:cs="Calibri Light"/>
                <w:sz w:val="20"/>
              </w:rPr>
              <w:t>(</w:t>
            </w:r>
            <w:r w:rsidRPr="00FA0B08">
              <w:rPr>
                <w:rFonts w:cs="Calibri Light"/>
                <w:sz w:val="20"/>
              </w:rPr>
              <w:t>g</w:t>
            </w:r>
            <w:r>
              <w:rPr>
                <w:rFonts w:cs="Calibri Light"/>
                <w:sz w:val="20"/>
              </w:rPr>
              <w:t>)</w:t>
            </w:r>
            <w:r w:rsidRPr="00FA0B08">
              <w:rPr>
                <w:rFonts w:cs="Calibri Light"/>
                <w:sz w:val="20"/>
              </w:rPr>
              <w:t>.1</w:t>
            </w:r>
          </w:p>
        </w:tc>
        <w:tc>
          <w:tcPr>
            <w:tcW w:w="2430" w:type="dxa"/>
            <w:shd w:val="clear" w:color="auto" w:fill="auto"/>
          </w:tcPr>
          <w:p w14:paraId="274AB5DC" w14:textId="78EACF6A" w:rsidR="002A0897" w:rsidRPr="00FB030E" w:rsidRDefault="002A0897" w:rsidP="002A0897">
            <w:pPr>
              <w:keepNext/>
              <w:keepLines/>
              <w:spacing w:before="0" w:after="0" w:line="240" w:lineRule="auto"/>
              <w:jc w:val="center"/>
              <w:rPr>
                <w:sz w:val="20"/>
                <w:szCs w:val="20"/>
              </w:rPr>
            </w:pPr>
            <w:r w:rsidRPr="00DB4B88">
              <w:rPr>
                <w:sz w:val="20"/>
                <w:szCs w:val="20"/>
              </w:rPr>
              <w:t>January 1, 201</w:t>
            </w:r>
            <w:r>
              <w:rPr>
                <w:sz w:val="20"/>
                <w:szCs w:val="20"/>
              </w:rPr>
              <w:t>9</w:t>
            </w:r>
          </w:p>
        </w:tc>
      </w:tr>
      <w:tr w:rsidR="002A0897" w:rsidRPr="00FB030E" w14:paraId="1238F946" w14:textId="64CC1E4E" w:rsidTr="00FC77BB">
        <w:trPr>
          <w:cantSplit/>
          <w:trHeight w:val="20"/>
        </w:trPr>
        <w:tc>
          <w:tcPr>
            <w:tcW w:w="4765" w:type="dxa"/>
            <w:shd w:val="clear" w:color="auto" w:fill="auto"/>
          </w:tcPr>
          <w:p w14:paraId="4F444C61" w14:textId="77B2B7B2" w:rsidR="002A0897" w:rsidRPr="00BD6838" w:rsidRDefault="002A0897" w:rsidP="002A0897">
            <w:pPr>
              <w:keepNext/>
              <w:keepLines/>
              <w:spacing w:before="0" w:after="0" w:line="240" w:lineRule="auto"/>
              <w:rPr>
                <w:sz w:val="20"/>
                <w:szCs w:val="20"/>
              </w:rPr>
            </w:pPr>
            <w:r w:rsidRPr="00324B5D">
              <w:rPr>
                <w:sz w:val="20"/>
                <w:szCs w:val="20"/>
              </w:rPr>
              <w:t xml:space="preserve">CA Appliance Efficiency Regulations – Title 20 </w:t>
            </w:r>
            <w:r w:rsidRPr="00DB4B88">
              <w:rPr>
                <w:sz w:val="20"/>
                <w:szCs w:val="20"/>
              </w:rPr>
              <w:t>201</w:t>
            </w:r>
            <w:r>
              <w:rPr>
                <w:sz w:val="20"/>
                <w:szCs w:val="20"/>
              </w:rPr>
              <w:t>9</w:t>
            </w:r>
          </w:p>
        </w:tc>
        <w:tc>
          <w:tcPr>
            <w:tcW w:w="2340" w:type="dxa"/>
            <w:shd w:val="clear" w:color="auto" w:fill="auto"/>
          </w:tcPr>
          <w:p w14:paraId="0A330E5E" w14:textId="4F9AF7D8" w:rsidR="002A0897" w:rsidRPr="00FB030E" w:rsidRDefault="002A0897" w:rsidP="002A0897">
            <w:pPr>
              <w:keepNext/>
              <w:keepLines/>
              <w:spacing w:before="0" w:after="0" w:line="240" w:lineRule="auto"/>
              <w:jc w:val="center"/>
              <w:rPr>
                <w:sz w:val="20"/>
                <w:szCs w:val="20"/>
              </w:rPr>
            </w:pPr>
            <w:r w:rsidRPr="00FA0B08">
              <w:rPr>
                <w:rFonts w:cs="Calibri Light"/>
                <w:sz w:val="20"/>
              </w:rPr>
              <w:t>Section 1605.</w:t>
            </w:r>
            <w:r>
              <w:rPr>
                <w:rFonts w:cs="Calibri Light"/>
                <w:sz w:val="20"/>
              </w:rPr>
              <w:t>3(g).3</w:t>
            </w:r>
          </w:p>
        </w:tc>
        <w:tc>
          <w:tcPr>
            <w:tcW w:w="2430" w:type="dxa"/>
            <w:shd w:val="clear" w:color="auto" w:fill="auto"/>
          </w:tcPr>
          <w:p w14:paraId="63BAD98E" w14:textId="627E13A3" w:rsidR="002A0897" w:rsidRPr="00FB030E" w:rsidRDefault="002A0897" w:rsidP="002A0897">
            <w:pPr>
              <w:keepNext/>
              <w:keepLines/>
              <w:spacing w:before="0" w:after="0" w:line="240" w:lineRule="auto"/>
              <w:jc w:val="center"/>
              <w:rPr>
                <w:sz w:val="20"/>
                <w:szCs w:val="20"/>
              </w:rPr>
            </w:pPr>
            <w:r w:rsidRPr="00DB4B88">
              <w:rPr>
                <w:sz w:val="20"/>
                <w:szCs w:val="20"/>
              </w:rPr>
              <w:t>January 1, 201</w:t>
            </w:r>
            <w:r>
              <w:rPr>
                <w:sz w:val="20"/>
                <w:szCs w:val="20"/>
              </w:rPr>
              <w:t>9</w:t>
            </w:r>
          </w:p>
        </w:tc>
      </w:tr>
      <w:tr w:rsidR="002A0897" w:rsidRPr="00FB030E" w14:paraId="23FB50B6" w14:textId="5078B94B" w:rsidTr="00FC77BB">
        <w:trPr>
          <w:cantSplit/>
          <w:trHeight w:val="20"/>
        </w:trPr>
        <w:tc>
          <w:tcPr>
            <w:tcW w:w="4765" w:type="dxa"/>
            <w:shd w:val="clear" w:color="auto" w:fill="auto"/>
          </w:tcPr>
          <w:p w14:paraId="2EBFC05B" w14:textId="19385D74" w:rsidR="002A0897" w:rsidRPr="00BD6838" w:rsidRDefault="002A0897" w:rsidP="002A0897">
            <w:pPr>
              <w:keepNext/>
              <w:keepLines/>
              <w:spacing w:before="0" w:after="0" w:line="240" w:lineRule="auto"/>
              <w:rPr>
                <w:sz w:val="20"/>
                <w:szCs w:val="20"/>
              </w:rPr>
            </w:pPr>
            <w:r w:rsidRPr="00324B5D">
              <w:rPr>
                <w:sz w:val="20"/>
                <w:szCs w:val="20"/>
              </w:rPr>
              <w:t xml:space="preserve">CA Building Energy Efficiency Standards – Title 24 </w:t>
            </w:r>
            <w:r w:rsidRPr="00DB4B88">
              <w:rPr>
                <w:sz w:val="20"/>
                <w:szCs w:val="20"/>
              </w:rPr>
              <w:t>201</w:t>
            </w:r>
            <w:r>
              <w:rPr>
                <w:sz w:val="20"/>
                <w:szCs w:val="20"/>
              </w:rPr>
              <w:t>9</w:t>
            </w:r>
          </w:p>
        </w:tc>
        <w:tc>
          <w:tcPr>
            <w:tcW w:w="2340" w:type="dxa"/>
            <w:shd w:val="clear" w:color="auto" w:fill="auto"/>
          </w:tcPr>
          <w:p w14:paraId="0D43394E" w14:textId="3CE8993B" w:rsidR="002A0897" w:rsidRPr="00FB030E" w:rsidRDefault="002A0897" w:rsidP="002A0897">
            <w:pPr>
              <w:keepNext/>
              <w:keepLines/>
              <w:spacing w:before="0" w:after="0" w:line="240" w:lineRule="auto"/>
              <w:jc w:val="center"/>
              <w:rPr>
                <w:sz w:val="20"/>
                <w:szCs w:val="20"/>
              </w:rPr>
            </w:pPr>
            <w:r w:rsidRPr="00DB4B88">
              <w:rPr>
                <w:sz w:val="20"/>
                <w:szCs w:val="20"/>
              </w:rPr>
              <w:t>Section 110.4</w:t>
            </w:r>
          </w:p>
        </w:tc>
        <w:tc>
          <w:tcPr>
            <w:tcW w:w="2430" w:type="dxa"/>
            <w:shd w:val="clear" w:color="auto" w:fill="auto"/>
          </w:tcPr>
          <w:p w14:paraId="66FA1B6F" w14:textId="5A5E396C" w:rsidR="002A0897" w:rsidRPr="00FB030E" w:rsidRDefault="002A0897" w:rsidP="002A0897">
            <w:pPr>
              <w:keepNext/>
              <w:keepLines/>
              <w:spacing w:before="0" w:after="0" w:line="240" w:lineRule="auto"/>
              <w:jc w:val="center"/>
              <w:rPr>
                <w:sz w:val="20"/>
                <w:szCs w:val="20"/>
              </w:rPr>
            </w:pPr>
            <w:r w:rsidRPr="00DB4B88">
              <w:rPr>
                <w:sz w:val="20"/>
                <w:szCs w:val="20"/>
              </w:rPr>
              <w:t>January 1, 2</w:t>
            </w:r>
            <w:r>
              <w:rPr>
                <w:sz w:val="20"/>
                <w:szCs w:val="20"/>
              </w:rPr>
              <w:t>020</w:t>
            </w:r>
          </w:p>
        </w:tc>
      </w:tr>
      <w:tr w:rsidR="002A0897" w:rsidRPr="00FB030E" w14:paraId="26A48291" w14:textId="77777777" w:rsidTr="00FC77BB">
        <w:trPr>
          <w:cantSplit/>
          <w:trHeight w:val="20"/>
        </w:trPr>
        <w:tc>
          <w:tcPr>
            <w:tcW w:w="4765" w:type="dxa"/>
            <w:shd w:val="clear" w:color="auto" w:fill="auto"/>
          </w:tcPr>
          <w:p w14:paraId="7151A929" w14:textId="6BCDD1C7" w:rsidR="002A0897" w:rsidRPr="00BD6838" w:rsidRDefault="002A0897" w:rsidP="002A0897">
            <w:pPr>
              <w:keepNext/>
              <w:keepLines/>
              <w:spacing w:before="0" w:after="0" w:line="240" w:lineRule="auto"/>
              <w:rPr>
                <w:sz w:val="20"/>
              </w:rPr>
            </w:pPr>
            <w:r w:rsidRPr="00BD6838">
              <w:rPr>
                <w:sz w:val="20"/>
              </w:rPr>
              <w:t>Federal Standards</w:t>
            </w:r>
          </w:p>
        </w:tc>
        <w:tc>
          <w:tcPr>
            <w:tcW w:w="2340" w:type="dxa"/>
            <w:shd w:val="clear" w:color="auto" w:fill="auto"/>
          </w:tcPr>
          <w:p w14:paraId="64D38D64" w14:textId="51F5AE90" w:rsidR="002A0897" w:rsidRDefault="002A0897" w:rsidP="002A0897">
            <w:pPr>
              <w:keepNext/>
              <w:keepLines/>
              <w:spacing w:before="0" w:after="0" w:line="240" w:lineRule="auto"/>
              <w:jc w:val="center"/>
              <w:rPr>
                <w:sz w:val="20"/>
                <w:szCs w:val="20"/>
              </w:rPr>
            </w:pPr>
            <w:r>
              <w:rPr>
                <w:sz w:val="20"/>
                <w:szCs w:val="20"/>
              </w:rPr>
              <w:t>10 CFR Part 430.3</w:t>
            </w:r>
            <w:r w:rsidRPr="00DB4B88">
              <w:rPr>
                <w:sz w:val="20"/>
                <w:szCs w:val="20"/>
              </w:rPr>
              <w:t>2</w:t>
            </w:r>
          </w:p>
        </w:tc>
        <w:tc>
          <w:tcPr>
            <w:tcW w:w="2430" w:type="dxa"/>
            <w:shd w:val="clear" w:color="auto" w:fill="auto"/>
          </w:tcPr>
          <w:p w14:paraId="22E42D24" w14:textId="59369A1C" w:rsidR="002A0897" w:rsidRDefault="002A0897" w:rsidP="002A0897">
            <w:pPr>
              <w:keepNext/>
              <w:keepLines/>
              <w:spacing w:before="0" w:after="0" w:line="240" w:lineRule="auto"/>
              <w:jc w:val="center"/>
              <w:rPr>
                <w:sz w:val="20"/>
                <w:szCs w:val="20"/>
              </w:rPr>
            </w:pPr>
            <w:r w:rsidRPr="004F01E9">
              <w:rPr>
                <w:rFonts w:cs="Calibri Light"/>
                <w:sz w:val="20"/>
              </w:rPr>
              <w:t>April 16, 2013</w:t>
            </w:r>
          </w:p>
        </w:tc>
      </w:tr>
    </w:tbl>
    <w:p w14:paraId="4194CEA9" w14:textId="77777777" w:rsidR="00647A6B" w:rsidRDefault="00647A6B" w:rsidP="004F3F32">
      <w:pPr>
        <w:pStyle w:val="eTRMHeading3"/>
      </w:pPr>
      <w:bookmarkStart w:id="18" w:name="_Toc486490851"/>
      <w:bookmarkStart w:id="19" w:name="_Toc486580922"/>
    </w:p>
    <w:p w14:paraId="1EE16D20" w14:textId="57C59DB2" w:rsidR="007D230B" w:rsidRPr="00171BB8" w:rsidRDefault="007D230B" w:rsidP="004F3F32">
      <w:pPr>
        <w:pStyle w:val="eTRMHeading3"/>
      </w:pPr>
      <w:bookmarkStart w:id="20" w:name="_Toc67427717"/>
      <w:r w:rsidRPr="00A83458">
        <w:t>Normalizing</w:t>
      </w:r>
      <w:r w:rsidRPr="00171BB8">
        <w:t xml:space="preserve"> Unit</w:t>
      </w:r>
      <w:bookmarkEnd w:id="18"/>
      <w:bookmarkEnd w:id="19"/>
      <w:bookmarkEnd w:id="20"/>
    </w:p>
    <w:p w14:paraId="0115BB45" w14:textId="6589125C" w:rsidR="009C31A4" w:rsidRDefault="001B15FB" w:rsidP="00486585">
      <w:r>
        <w:t>Each</w:t>
      </w:r>
    </w:p>
    <w:p w14:paraId="4610F087" w14:textId="77777777" w:rsidR="00AA2841" w:rsidRPr="007D230B" w:rsidRDefault="00AA2841" w:rsidP="00486585"/>
    <w:p w14:paraId="2F4904E6" w14:textId="4F178FEC" w:rsidR="007D230B" w:rsidRDefault="007D230B" w:rsidP="004F3F32">
      <w:pPr>
        <w:pStyle w:val="eTRMHeading3"/>
      </w:pPr>
      <w:bookmarkStart w:id="21" w:name="_Toc486490852"/>
      <w:bookmarkStart w:id="22" w:name="_Toc486580923"/>
      <w:bookmarkStart w:id="23" w:name="_Toc67427718"/>
      <w:bookmarkStart w:id="24" w:name="_Hlk515365299"/>
      <w:bookmarkStart w:id="25" w:name="_Hlk515878271"/>
      <w:r w:rsidRPr="004B06E3">
        <w:t>Program Requirements</w:t>
      </w:r>
      <w:bookmarkEnd w:id="21"/>
      <w:bookmarkEnd w:id="22"/>
      <w:bookmarkEnd w:id="23"/>
      <w:r w:rsidRPr="004B06E3">
        <w:t xml:space="preserve"> </w:t>
      </w:r>
    </w:p>
    <w:p w14:paraId="405C4A0A" w14:textId="77777777" w:rsidR="0068751E" w:rsidRDefault="0068751E" w:rsidP="0068751E">
      <w:pPr>
        <w:pStyle w:val="eTRMHeading5"/>
        <w:keepNext/>
      </w:pPr>
      <w:r>
        <w:t>Fuel Substitution Test</w:t>
      </w:r>
    </w:p>
    <w:p w14:paraId="2F913A46" w14:textId="2C566366" w:rsidR="0068751E" w:rsidRDefault="0068751E" w:rsidP="0068751E">
      <w:pPr>
        <w:pStyle w:val="xetrmbulletedtext"/>
        <w:ind w:left="0" w:firstLine="0"/>
      </w:pPr>
      <w:r>
        <w:t>Per CPUC Decision 19-08-009 Rulemaking 13-11-005 “Decision Modifying the Energy Efficiency Three-Prong Test Related to Fuel Substitution”, for all fuel substitution measures, the measure must ‘not increase total source energy consumption when compared with the baseline comparison measure available utilizing the original fuel’.</w:t>
      </w:r>
      <w:r w:rsidRPr="008B0000">
        <w:rPr>
          <w:rStyle w:val="FootnoteReference"/>
        </w:rPr>
        <w:t xml:space="preserve"> </w:t>
      </w:r>
      <w:r>
        <w:rPr>
          <w:rStyle w:val="FootnoteReference"/>
        </w:rPr>
        <w:footnoteReference w:id="7"/>
      </w:r>
      <w:r>
        <w:t xml:space="preserve"> Also, the measure ‘must not adversely impact the environment compared to the baseline measure utilizing the original fuel. Fuel substitution calculations were conducted using CPUC’s “Fuel Substitution Calculator” to confirm the measures in this workpaper pass Parts One and Two of the Fuel Substitution Test.</w:t>
      </w:r>
      <w:r w:rsidR="002373B1">
        <w:t>’</w:t>
      </w:r>
      <w:r w:rsidRPr="002C0B9B">
        <w:rPr>
          <w:rStyle w:val="FootnoteReference"/>
          <w:bCs/>
          <w:sz w:val="20"/>
        </w:rPr>
        <w:footnoteReference w:id="8"/>
      </w:r>
      <w:r>
        <w:t xml:space="preserve"> </w:t>
      </w:r>
    </w:p>
    <w:p w14:paraId="55F9203B" w14:textId="77777777" w:rsidR="0068751E" w:rsidRPr="004B06E3" w:rsidRDefault="0068751E" w:rsidP="004F3F32">
      <w:pPr>
        <w:pStyle w:val="eTRMHeading3"/>
      </w:pPr>
    </w:p>
    <w:p w14:paraId="76F286D8" w14:textId="77777777" w:rsidR="00AA2841" w:rsidRDefault="00AA2841" w:rsidP="00AA2841">
      <w:pPr>
        <w:pStyle w:val="eTRMHeading5"/>
        <w:keepNext/>
        <w:keepLines/>
      </w:pPr>
      <w:bookmarkStart w:id="26" w:name="_Hlk516047641"/>
      <w:bookmarkEnd w:id="24"/>
      <w:r>
        <w:t>Measure Implementation Eligibility</w:t>
      </w:r>
    </w:p>
    <w:p w14:paraId="512C0D1F" w14:textId="4B3823CD" w:rsidR="00AA2841" w:rsidRDefault="00AA2841" w:rsidP="00C01AA0">
      <w:bookmarkStart w:id="27" w:name="_Hlk527543844"/>
      <w:bookmarkStart w:id="28"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27"/>
    </w:p>
    <w:bookmarkEnd w:id="28"/>
    <w:p w14:paraId="22003375" w14:textId="43C2535A" w:rsidR="00AA2841" w:rsidRPr="00C01AA0" w:rsidRDefault="00AA2841" w:rsidP="00C01AA0">
      <w:pPr>
        <w:rPr>
          <w:i/>
          <w:iCs/>
        </w:rPr>
      </w:pPr>
      <w:r w:rsidRPr="00C01AA0">
        <w:rPr>
          <w:i/>
          <w:iCs/>
        </w:rPr>
        <w:t>Note</w:t>
      </w:r>
      <w:r w:rsidR="00700863">
        <w:rPr>
          <w:i/>
          <w:iCs/>
        </w:rPr>
        <w:t xml:space="preserve"> that</w:t>
      </w:r>
      <w:r w:rsidRPr="00C01AA0">
        <w:rPr>
          <w:i/>
          <w:iCs/>
        </w:rPr>
        <w:t xml:space="preserve"> some of the implementation combinations below may not be allowed for some measure offerings by all program administrators.</w:t>
      </w:r>
    </w:p>
    <w:p w14:paraId="4C20D576" w14:textId="51A07348" w:rsidR="001B426F" w:rsidRDefault="001B426F">
      <w:pPr>
        <w:pStyle w:val="Caption"/>
      </w:pPr>
      <w:r>
        <w:t>Implementation Eligibility</w:t>
      </w:r>
    </w:p>
    <w:tbl>
      <w:tblPr>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024"/>
        <w:gridCol w:w="3024"/>
      </w:tblGrid>
      <w:tr w:rsidR="001B426F" w:rsidRPr="00A47168" w14:paraId="40946250" w14:textId="77777777" w:rsidTr="004B7CAA">
        <w:trPr>
          <w:trHeight w:val="290"/>
        </w:trPr>
        <w:tc>
          <w:tcPr>
            <w:tcW w:w="3024" w:type="dxa"/>
            <w:shd w:val="clear" w:color="auto" w:fill="F2F2F2" w:themeFill="background1" w:themeFillShade="F2"/>
            <w:noWrap/>
            <w:tcMar>
              <w:top w:w="0" w:type="dxa"/>
              <w:left w:w="108" w:type="dxa"/>
              <w:bottom w:w="0" w:type="dxa"/>
              <w:right w:w="108" w:type="dxa"/>
            </w:tcMar>
            <w:vAlign w:val="bottom"/>
            <w:hideMark/>
          </w:tcPr>
          <w:p w14:paraId="22A9E909" w14:textId="77777777" w:rsidR="001B426F" w:rsidRPr="00A47168" w:rsidRDefault="001B426F" w:rsidP="001B426F">
            <w:pPr>
              <w:keepNext/>
              <w:spacing w:before="0" w:after="0"/>
              <w:rPr>
                <w:b/>
                <w:bCs/>
                <w:sz w:val="20"/>
              </w:rPr>
            </w:pPr>
            <w:r w:rsidRPr="00A47168">
              <w:rPr>
                <w:b/>
                <w:bCs/>
                <w:sz w:val="20"/>
              </w:rPr>
              <w:t>Measure Application Type</w:t>
            </w:r>
          </w:p>
        </w:tc>
        <w:tc>
          <w:tcPr>
            <w:tcW w:w="3024" w:type="dxa"/>
            <w:shd w:val="clear" w:color="auto" w:fill="F2F2F2" w:themeFill="background1" w:themeFillShade="F2"/>
            <w:noWrap/>
            <w:tcMar>
              <w:top w:w="0" w:type="dxa"/>
              <w:left w:w="108" w:type="dxa"/>
              <w:bottom w:w="0" w:type="dxa"/>
              <w:right w:w="108" w:type="dxa"/>
            </w:tcMar>
            <w:vAlign w:val="bottom"/>
            <w:hideMark/>
          </w:tcPr>
          <w:p w14:paraId="6B5DB796" w14:textId="77777777" w:rsidR="001B426F" w:rsidRPr="00A47168" w:rsidRDefault="001B426F" w:rsidP="001B426F">
            <w:pPr>
              <w:keepNext/>
              <w:spacing w:before="0" w:after="0"/>
              <w:rPr>
                <w:b/>
                <w:bCs/>
                <w:sz w:val="20"/>
              </w:rPr>
            </w:pPr>
            <w:r w:rsidRPr="00A47168">
              <w:rPr>
                <w:b/>
                <w:bCs/>
                <w:sz w:val="20"/>
              </w:rPr>
              <w:t>Delivery Type</w:t>
            </w:r>
          </w:p>
        </w:tc>
        <w:tc>
          <w:tcPr>
            <w:tcW w:w="3024" w:type="dxa"/>
            <w:shd w:val="clear" w:color="auto" w:fill="F2F2F2" w:themeFill="background1" w:themeFillShade="F2"/>
            <w:noWrap/>
            <w:tcMar>
              <w:top w:w="0" w:type="dxa"/>
              <w:left w:w="108" w:type="dxa"/>
              <w:bottom w:w="0" w:type="dxa"/>
              <w:right w:w="108" w:type="dxa"/>
            </w:tcMar>
            <w:vAlign w:val="bottom"/>
            <w:hideMark/>
          </w:tcPr>
          <w:p w14:paraId="0558F3FA" w14:textId="77777777" w:rsidR="001B426F" w:rsidRPr="00A47168" w:rsidRDefault="001B426F" w:rsidP="001B426F">
            <w:pPr>
              <w:keepNext/>
              <w:spacing w:before="0" w:after="0"/>
              <w:rPr>
                <w:b/>
                <w:bCs/>
                <w:sz w:val="20"/>
              </w:rPr>
            </w:pPr>
            <w:r w:rsidRPr="00A47168">
              <w:rPr>
                <w:b/>
                <w:bCs/>
                <w:sz w:val="20"/>
              </w:rPr>
              <w:t>Sector</w:t>
            </w:r>
          </w:p>
        </w:tc>
      </w:tr>
      <w:tr w:rsidR="002A0897" w:rsidRPr="00A47168" w14:paraId="54F21FF2" w14:textId="77777777" w:rsidTr="004B7CAA">
        <w:trPr>
          <w:trHeight w:val="290"/>
        </w:trPr>
        <w:tc>
          <w:tcPr>
            <w:tcW w:w="3024" w:type="dxa"/>
            <w:noWrap/>
            <w:tcMar>
              <w:top w:w="0" w:type="dxa"/>
              <w:left w:w="108" w:type="dxa"/>
              <w:bottom w:w="0" w:type="dxa"/>
              <w:right w:w="108" w:type="dxa"/>
            </w:tcMar>
            <w:vAlign w:val="bottom"/>
          </w:tcPr>
          <w:p w14:paraId="178C5C26" w14:textId="40AECB42" w:rsidR="002A0897" w:rsidRPr="00A47168" w:rsidRDefault="002A0897" w:rsidP="002A0897">
            <w:pPr>
              <w:keepNext/>
              <w:spacing w:before="0" w:after="0"/>
              <w:rPr>
                <w:color w:val="000000"/>
                <w:sz w:val="20"/>
              </w:rPr>
            </w:pPr>
            <w:r>
              <w:rPr>
                <w:color w:val="000000"/>
                <w:sz w:val="20"/>
                <w:szCs w:val="20"/>
              </w:rPr>
              <w:t>Normal replacement (NR)</w:t>
            </w:r>
          </w:p>
        </w:tc>
        <w:tc>
          <w:tcPr>
            <w:tcW w:w="3024" w:type="dxa"/>
            <w:noWrap/>
            <w:tcMar>
              <w:top w:w="0" w:type="dxa"/>
              <w:left w:w="108" w:type="dxa"/>
              <w:bottom w:w="0" w:type="dxa"/>
              <w:right w:w="108" w:type="dxa"/>
            </w:tcMar>
            <w:vAlign w:val="bottom"/>
          </w:tcPr>
          <w:p w14:paraId="7EB7E369" w14:textId="652E68A6" w:rsidR="002A0897" w:rsidRPr="00D53A79" w:rsidRDefault="002A0897" w:rsidP="002A0897">
            <w:pPr>
              <w:keepNext/>
              <w:spacing w:before="0" w:after="0"/>
              <w:rPr>
                <w:color w:val="000000"/>
                <w:sz w:val="20"/>
              </w:rPr>
            </w:pPr>
            <w:proofErr w:type="spellStart"/>
            <w:r>
              <w:rPr>
                <w:color w:val="000000"/>
                <w:sz w:val="20"/>
                <w:szCs w:val="20"/>
              </w:rPr>
              <w:t>DnDeemed</w:t>
            </w:r>
            <w:proofErr w:type="spellEnd"/>
          </w:p>
        </w:tc>
        <w:tc>
          <w:tcPr>
            <w:tcW w:w="3024" w:type="dxa"/>
            <w:noWrap/>
            <w:tcMar>
              <w:top w:w="0" w:type="dxa"/>
              <w:left w:w="108" w:type="dxa"/>
              <w:bottom w:w="0" w:type="dxa"/>
              <w:right w:w="108" w:type="dxa"/>
            </w:tcMar>
            <w:vAlign w:val="bottom"/>
          </w:tcPr>
          <w:p w14:paraId="6F9C2987" w14:textId="437B52A1" w:rsidR="002A0897" w:rsidRPr="00A47168" w:rsidRDefault="002A0897" w:rsidP="002A0897">
            <w:pPr>
              <w:keepNext/>
              <w:spacing w:before="0" w:after="0"/>
              <w:rPr>
                <w:color w:val="000000"/>
                <w:sz w:val="20"/>
              </w:rPr>
            </w:pPr>
            <w:r>
              <w:rPr>
                <w:color w:val="000000"/>
                <w:sz w:val="20"/>
              </w:rPr>
              <w:t>Residential</w:t>
            </w:r>
          </w:p>
        </w:tc>
      </w:tr>
      <w:tr w:rsidR="002A0897" w:rsidRPr="00A47168" w14:paraId="153F91F9" w14:textId="77777777" w:rsidTr="000603C7">
        <w:trPr>
          <w:trHeight w:val="290"/>
        </w:trPr>
        <w:tc>
          <w:tcPr>
            <w:tcW w:w="3024" w:type="dxa"/>
            <w:noWrap/>
            <w:tcMar>
              <w:top w:w="0" w:type="dxa"/>
              <w:left w:w="108" w:type="dxa"/>
              <w:bottom w:w="0" w:type="dxa"/>
              <w:right w:w="108" w:type="dxa"/>
            </w:tcMar>
          </w:tcPr>
          <w:p w14:paraId="3E15F312" w14:textId="4194B297" w:rsidR="002A0897" w:rsidRDefault="002A0897" w:rsidP="002A0897">
            <w:pPr>
              <w:keepNext/>
              <w:spacing w:before="0" w:after="0"/>
              <w:rPr>
                <w:color w:val="000000"/>
                <w:sz w:val="20"/>
              </w:rPr>
            </w:pPr>
            <w:r w:rsidRPr="000D7F1D">
              <w:rPr>
                <w:color w:val="000000"/>
                <w:sz w:val="20"/>
                <w:szCs w:val="20"/>
              </w:rPr>
              <w:t>Normal replacement (NR)</w:t>
            </w:r>
          </w:p>
        </w:tc>
        <w:tc>
          <w:tcPr>
            <w:tcW w:w="3024" w:type="dxa"/>
            <w:noWrap/>
            <w:tcMar>
              <w:top w:w="0" w:type="dxa"/>
              <w:left w:w="108" w:type="dxa"/>
              <w:bottom w:w="0" w:type="dxa"/>
              <w:right w:w="108" w:type="dxa"/>
            </w:tcMar>
            <w:vAlign w:val="bottom"/>
          </w:tcPr>
          <w:p w14:paraId="6B1AD6E6" w14:textId="11003A83" w:rsidR="002A0897" w:rsidRPr="00D53A79" w:rsidRDefault="002A0897" w:rsidP="002A0897">
            <w:pPr>
              <w:keepNext/>
              <w:spacing w:before="0" w:after="0"/>
              <w:rPr>
                <w:color w:val="000000"/>
                <w:sz w:val="20"/>
              </w:rPr>
            </w:pPr>
            <w:proofErr w:type="spellStart"/>
            <w:r>
              <w:rPr>
                <w:color w:val="000000"/>
                <w:sz w:val="20"/>
                <w:szCs w:val="20"/>
              </w:rPr>
              <w:t>DnDeemDI</w:t>
            </w:r>
            <w:proofErr w:type="spellEnd"/>
          </w:p>
        </w:tc>
        <w:tc>
          <w:tcPr>
            <w:tcW w:w="3024" w:type="dxa"/>
            <w:noWrap/>
            <w:tcMar>
              <w:top w:w="0" w:type="dxa"/>
              <w:left w:w="108" w:type="dxa"/>
              <w:bottom w:w="0" w:type="dxa"/>
              <w:right w:w="108" w:type="dxa"/>
            </w:tcMar>
            <w:vAlign w:val="bottom"/>
          </w:tcPr>
          <w:p w14:paraId="7FB31BD4" w14:textId="48A71191" w:rsidR="002A0897" w:rsidRDefault="002A0897" w:rsidP="002A0897">
            <w:pPr>
              <w:keepNext/>
              <w:spacing w:before="0" w:after="0"/>
              <w:rPr>
                <w:color w:val="000000"/>
                <w:sz w:val="20"/>
              </w:rPr>
            </w:pPr>
            <w:r>
              <w:rPr>
                <w:color w:val="000000"/>
                <w:sz w:val="20"/>
              </w:rPr>
              <w:t>Residential</w:t>
            </w:r>
          </w:p>
        </w:tc>
      </w:tr>
      <w:tr w:rsidR="002A0897" w:rsidRPr="00A47168" w14:paraId="5E820274" w14:textId="77777777" w:rsidTr="000603C7">
        <w:trPr>
          <w:trHeight w:val="290"/>
        </w:trPr>
        <w:tc>
          <w:tcPr>
            <w:tcW w:w="3024" w:type="dxa"/>
            <w:noWrap/>
            <w:tcMar>
              <w:top w:w="0" w:type="dxa"/>
              <w:left w:w="108" w:type="dxa"/>
              <w:bottom w:w="0" w:type="dxa"/>
              <w:right w:w="108" w:type="dxa"/>
            </w:tcMar>
          </w:tcPr>
          <w:p w14:paraId="2705DFCE" w14:textId="4D08E114" w:rsidR="002A0897" w:rsidRDefault="002A0897" w:rsidP="002A0897">
            <w:pPr>
              <w:keepNext/>
              <w:spacing w:before="0" w:after="0"/>
              <w:rPr>
                <w:color w:val="000000"/>
                <w:sz w:val="20"/>
              </w:rPr>
            </w:pPr>
            <w:r w:rsidRPr="000D7F1D">
              <w:rPr>
                <w:color w:val="000000"/>
                <w:sz w:val="20"/>
                <w:szCs w:val="20"/>
              </w:rPr>
              <w:t>Normal replacement (NR)</w:t>
            </w:r>
          </w:p>
        </w:tc>
        <w:tc>
          <w:tcPr>
            <w:tcW w:w="3024" w:type="dxa"/>
            <w:noWrap/>
            <w:tcMar>
              <w:top w:w="0" w:type="dxa"/>
              <w:left w:w="108" w:type="dxa"/>
              <w:bottom w:w="0" w:type="dxa"/>
              <w:right w:w="108" w:type="dxa"/>
            </w:tcMar>
            <w:vAlign w:val="bottom"/>
          </w:tcPr>
          <w:p w14:paraId="2767BA7A" w14:textId="0BB3D121" w:rsidR="002A0897" w:rsidRPr="00D53A79" w:rsidRDefault="002A0897" w:rsidP="002A0897">
            <w:pPr>
              <w:keepNext/>
              <w:spacing w:before="0" w:after="0"/>
              <w:rPr>
                <w:color w:val="000000"/>
                <w:sz w:val="20"/>
              </w:rPr>
            </w:pPr>
            <w:proofErr w:type="spellStart"/>
            <w:r w:rsidRPr="00370AF0">
              <w:rPr>
                <w:color w:val="000000"/>
                <w:sz w:val="20"/>
                <w:szCs w:val="20"/>
              </w:rPr>
              <w:t>UpDeemed</w:t>
            </w:r>
            <w:proofErr w:type="spellEnd"/>
          </w:p>
        </w:tc>
        <w:tc>
          <w:tcPr>
            <w:tcW w:w="3024" w:type="dxa"/>
            <w:noWrap/>
            <w:tcMar>
              <w:top w:w="0" w:type="dxa"/>
              <w:left w:w="108" w:type="dxa"/>
              <w:bottom w:w="0" w:type="dxa"/>
              <w:right w:w="108" w:type="dxa"/>
            </w:tcMar>
          </w:tcPr>
          <w:p w14:paraId="5169AF97" w14:textId="72618585" w:rsidR="002A0897" w:rsidRDefault="002A0897" w:rsidP="002A0897">
            <w:pPr>
              <w:keepNext/>
              <w:spacing w:before="0" w:after="0"/>
              <w:rPr>
                <w:color w:val="000000"/>
                <w:sz w:val="20"/>
              </w:rPr>
            </w:pPr>
            <w:r w:rsidRPr="00A84BEE">
              <w:rPr>
                <w:color w:val="000000"/>
                <w:sz w:val="20"/>
              </w:rPr>
              <w:t>Residential</w:t>
            </w:r>
          </w:p>
        </w:tc>
      </w:tr>
      <w:tr w:rsidR="002A0897" w:rsidRPr="00A47168" w14:paraId="4DA95C01" w14:textId="77777777" w:rsidTr="000603C7">
        <w:trPr>
          <w:trHeight w:val="290"/>
        </w:trPr>
        <w:tc>
          <w:tcPr>
            <w:tcW w:w="3024" w:type="dxa"/>
            <w:noWrap/>
            <w:tcMar>
              <w:top w:w="0" w:type="dxa"/>
              <w:left w:w="108" w:type="dxa"/>
              <w:bottom w:w="0" w:type="dxa"/>
              <w:right w:w="108" w:type="dxa"/>
            </w:tcMar>
            <w:vAlign w:val="bottom"/>
          </w:tcPr>
          <w:p w14:paraId="516D9F85" w14:textId="29F39B0C" w:rsidR="002A0897" w:rsidRDefault="002A0897" w:rsidP="002A0897">
            <w:pPr>
              <w:keepNext/>
              <w:spacing w:before="0" w:after="0"/>
              <w:rPr>
                <w:color w:val="000000"/>
                <w:sz w:val="20"/>
              </w:rPr>
            </w:pPr>
            <w:r>
              <w:rPr>
                <w:color w:val="000000"/>
                <w:sz w:val="20"/>
                <w:szCs w:val="20"/>
              </w:rPr>
              <w:t>Accelerated replacement (AR)</w:t>
            </w:r>
          </w:p>
        </w:tc>
        <w:tc>
          <w:tcPr>
            <w:tcW w:w="3024" w:type="dxa"/>
            <w:noWrap/>
            <w:tcMar>
              <w:top w:w="0" w:type="dxa"/>
              <w:left w:w="108" w:type="dxa"/>
              <w:bottom w:w="0" w:type="dxa"/>
              <w:right w:w="108" w:type="dxa"/>
            </w:tcMar>
            <w:vAlign w:val="bottom"/>
          </w:tcPr>
          <w:p w14:paraId="758DA36E" w14:textId="6EB879F4" w:rsidR="002A0897" w:rsidRPr="00D53A79" w:rsidRDefault="002A0897" w:rsidP="002A0897">
            <w:pPr>
              <w:keepNext/>
              <w:spacing w:before="0" w:after="0"/>
              <w:rPr>
                <w:color w:val="000000"/>
                <w:sz w:val="20"/>
              </w:rPr>
            </w:pPr>
            <w:proofErr w:type="spellStart"/>
            <w:r>
              <w:rPr>
                <w:color w:val="000000"/>
                <w:sz w:val="20"/>
                <w:szCs w:val="20"/>
              </w:rPr>
              <w:t>DnDeemDI</w:t>
            </w:r>
            <w:proofErr w:type="spellEnd"/>
          </w:p>
        </w:tc>
        <w:tc>
          <w:tcPr>
            <w:tcW w:w="3024" w:type="dxa"/>
            <w:noWrap/>
            <w:tcMar>
              <w:top w:w="0" w:type="dxa"/>
              <w:left w:w="108" w:type="dxa"/>
              <w:bottom w:w="0" w:type="dxa"/>
              <w:right w:w="108" w:type="dxa"/>
            </w:tcMar>
          </w:tcPr>
          <w:p w14:paraId="55C3A54D" w14:textId="224C4717" w:rsidR="002A0897" w:rsidRDefault="002A0897" w:rsidP="002A0897">
            <w:pPr>
              <w:keepNext/>
              <w:spacing w:before="0" w:after="0"/>
              <w:rPr>
                <w:color w:val="000000"/>
                <w:sz w:val="20"/>
              </w:rPr>
            </w:pPr>
            <w:r w:rsidRPr="00A84BEE">
              <w:rPr>
                <w:color w:val="000000"/>
                <w:sz w:val="20"/>
              </w:rPr>
              <w:t>Residential</w:t>
            </w:r>
          </w:p>
        </w:tc>
      </w:tr>
    </w:tbl>
    <w:p w14:paraId="3E356E0D" w14:textId="7844846C" w:rsidR="0068751E" w:rsidRDefault="0068751E" w:rsidP="0068751E">
      <w:r>
        <w:t xml:space="preserve">For upstream/mid-stream delivery method, the participant baselines are </w:t>
      </w:r>
      <w:proofErr w:type="gramStart"/>
      <w:r>
        <w:t>unknown</w:t>
      </w:r>
      <w:proofErr w:type="gramEnd"/>
      <w:r>
        <w:t xml:space="preserve"> and the spillover effects are unknown.  The manufacturer or distributor does</w:t>
      </w:r>
      <w:r w:rsidR="002373B1">
        <w:t xml:space="preserve"> not</w:t>
      </w:r>
      <w:r>
        <w:t xml:space="preserve"> know whether the purchased measure is replacing a gas or an electric baseline appliance. Claimed savings for these delivery types will be adjusted using the ratio of baseline gas appliance to total baseline appliances. These ratios will be determined from Residential Appliance Saturation Survey (RASS)</w:t>
      </w:r>
      <w:r>
        <w:rPr>
          <w:rStyle w:val="FootnoteReference"/>
        </w:rPr>
        <w:footnoteReference w:id="9"/>
      </w:r>
      <w:r>
        <w:t>. The implementer shall survey 10% of the mid-stream and upstream installations, to determine actual gas/electric baseline proportions, and the program administrator shall adjust claimed savings based upon these survey results.</w:t>
      </w:r>
    </w:p>
    <w:p w14:paraId="021E9180" w14:textId="77777777" w:rsidR="0068751E" w:rsidRDefault="0068751E" w:rsidP="00C172E7">
      <w:pPr>
        <w:spacing w:before="0" w:after="0"/>
      </w:pPr>
    </w:p>
    <w:bookmarkEnd w:id="25"/>
    <w:bookmarkEnd w:id="26"/>
    <w:p w14:paraId="50711562" w14:textId="5D0894B2" w:rsidR="00AA46AF" w:rsidRDefault="00196649" w:rsidP="0026110B">
      <w:pPr>
        <w:pStyle w:val="eTRMHeading5"/>
        <w:keepNext/>
        <w:keepLines/>
      </w:pPr>
      <w:r>
        <w:t>Eligible Products</w:t>
      </w:r>
    </w:p>
    <w:p w14:paraId="2BB736FF" w14:textId="133B6975" w:rsidR="001A753E" w:rsidRDefault="001A753E" w:rsidP="002308CA">
      <w:r>
        <w:t>The</w:t>
      </w:r>
      <w:r w:rsidR="002A0897">
        <w:t xml:space="preserve"> heat pump</w:t>
      </w:r>
      <w:r>
        <w:t xml:space="preserve"> pool heater must meet </w:t>
      </w:r>
      <w:r w:rsidR="00D11741">
        <w:t>the minimum COP</w:t>
      </w:r>
      <w:r>
        <w:t xml:space="preserve"> requirements in the Measure Case Description.</w:t>
      </w:r>
      <w:r w:rsidR="00D11741">
        <w:t xml:space="preserve"> </w:t>
      </w:r>
      <w:r w:rsidR="00D11741" w:rsidRPr="007524D1">
        <w:t>The COP value used to verify the eligibility of the product should be the High Air Temperature - Mid Humidity value from the AHRI database</w:t>
      </w:r>
      <w:r w:rsidR="00D11741" w:rsidRPr="002A161D">
        <w:t>.</w:t>
      </w:r>
      <w:r w:rsidR="00D11741">
        <w:t xml:space="preserve"> </w:t>
      </w:r>
    </w:p>
    <w:p w14:paraId="141A9A6C" w14:textId="2300E51D" w:rsidR="00700863" w:rsidRDefault="002A0897" w:rsidP="002308CA">
      <w:r w:rsidRPr="002A0897">
        <w:t>This measure is eligible for heated pools installed in single family residential</w:t>
      </w:r>
      <w:r w:rsidR="00337250">
        <w:t xml:space="preserve">, </w:t>
      </w:r>
      <w:r w:rsidR="007524D1">
        <w:t xml:space="preserve">and </w:t>
      </w:r>
      <w:r w:rsidR="00337250">
        <w:t>mobile home</w:t>
      </w:r>
      <w:r w:rsidR="007524D1">
        <w:t xml:space="preserve"> and multifamily</w:t>
      </w:r>
      <w:r w:rsidR="00337250">
        <w:t xml:space="preserve"> </w:t>
      </w:r>
      <w:r w:rsidR="007524D1">
        <w:t>“</w:t>
      </w:r>
      <w:r w:rsidR="00337250">
        <w:t>common areas</w:t>
      </w:r>
      <w:r w:rsidR="007524D1">
        <w:t xml:space="preserve">” </w:t>
      </w:r>
      <w:r w:rsidRPr="002A0897">
        <w:t>such</w:t>
      </w:r>
      <w:r w:rsidR="00DE73E8">
        <w:t xml:space="preserve"> as</w:t>
      </w:r>
      <w:r w:rsidRPr="002A0897">
        <w:t xml:space="preserve"> homeowner association properties and</w:t>
      </w:r>
      <w:r w:rsidR="007524D1">
        <w:t>/or</w:t>
      </w:r>
      <w:r w:rsidRPr="002A0897">
        <w:t xml:space="preserve"> multifamily properties. The measure is limited to installations of single heat pump systems due to concerns of excessive costs, </w:t>
      </w:r>
      <w:r w:rsidR="00647A6B">
        <w:t>structural requirements</w:t>
      </w:r>
      <w:r w:rsidRPr="002A0897">
        <w:t>,</w:t>
      </w:r>
      <w:r w:rsidR="00647A6B">
        <w:t xml:space="preserve"> and </w:t>
      </w:r>
      <w:r w:rsidRPr="002A0897">
        <w:t>noise impacts</w:t>
      </w:r>
      <w:r w:rsidR="00647A6B">
        <w:t>, among others</w:t>
      </w:r>
      <w:r w:rsidRPr="002A0897">
        <w:t>.</w:t>
      </w:r>
    </w:p>
    <w:p w14:paraId="667782B7" w14:textId="70ED43D0" w:rsidR="002F2D97" w:rsidRDefault="002F2D97" w:rsidP="002308CA">
      <w:r>
        <w:t>Heat pump pool heaters typically have larger footprints than the base case natural gas pool heaters which may necessitate site upgrades such as larger concrete pads or supports</w:t>
      </w:r>
      <w:r w:rsidR="00647A6B">
        <w:t xml:space="preserve"> and/or additional structural requirements</w:t>
      </w:r>
      <w:r>
        <w:t xml:space="preserve">. Implementers should consider all necessary installation requirements when pursuing this measure. </w:t>
      </w:r>
    </w:p>
    <w:p w14:paraId="594F737A" w14:textId="176C8E49" w:rsidR="008D7C41" w:rsidRDefault="008D7C41" w:rsidP="002308CA">
      <w:r>
        <w:lastRenderedPageBreak/>
        <w:t xml:space="preserve">Pool heaters have minimum flow requirements which may be greater than minimum pool filter pump minimum flows. </w:t>
      </w:r>
      <w:r w:rsidR="009855A1">
        <w:t>I</w:t>
      </w:r>
      <w:r>
        <w:t>mplementer sh</w:t>
      </w:r>
      <w:r w:rsidR="009855A1">
        <w:t>all</w:t>
      </w:r>
      <w:r>
        <w:t xml:space="preserve"> ensure that pool heater has an integrated safety shut-off feature </w:t>
      </w:r>
      <w:r w:rsidR="009855A1">
        <w:t xml:space="preserve">that disabled equipment </w:t>
      </w:r>
      <w:r>
        <w:t>when minimum flows are not met or install an interlock</w:t>
      </w:r>
      <w:r w:rsidR="009855A1">
        <w:t xml:space="preserve"> (per heater’s manufacturer recommendation)</w:t>
      </w:r>
      <w:r>
        <w:t xml:space="preserve"> with existing pool pump</w:t>
      </w:r>
      <w:r w:rsidR="009855A1">
        <w:t>(s)</w:t>
      </w:r>
      <w:r>
        <w:t xml:space="preserve"> to ensure minimum flows are met</w:t>
      </w:r>
      <w:r w:rsidR="009855A1">
        <w:t xml:space="preserve"> during equipment operation. </w:t>
      </w:r>
    </w:p>
    <w:p w14:paraId="643E797E" w14:textId="6CD09FEA" w:rsidR="00647A6B" w:rsidRDefault="00647A6B" w:rsidP="00647A6B">
      <w:r>
        <w:t xml:space="preserve">Measure implementation shall comply with all applicable Codes and Regulations including but not limited to latest versions of California Energy Standards Title 24, Part 6; the California Building Code; and National Electric Code.  </w:t>
      </w:r>
      <w:r w:rsidR="00F87D18">
        <w:t>Since the installation of pool covers are required for alterations of pool equipment systems,</w:t>
      </w:r>
      <w:r w:rsidR="009855A1">
        <w:t xml:space="preserve"> Implementer shall insure that existing pool already includes a pool cover OR that as part of measure implementation a pool cover is install in full compliance with Code.</w:t>
      </w:r>
      <w:r w:rsidR="00F87D18">
        <w:t xml:space="preserve">. </w:t>
      </w:r>
    </w:p>
    <w:p w14:paraId="46E34907" w14:textId="77777777" w:rsidR="002373B1" w:rsidRDefault="002373B1" w:rsidP="007524D1"/>
    <w:p w14:paraId="7CE938DA" w14:textId="779915B9" w:rsidR="007B6A74" w:rsidRPr="00401C43" w:rsidRDefault="007B6A74" w:rsidP="00401C43">
      <w:pPr>
        <w:pStyle w:val="eTRMHeading5"/>
      </w:pPr>
      <w:r w:rsidRPr="00401C43">
        <w:t>Eligible Building Types</w:t>
      </w:r>
      <w:r w:rsidR="00E57AAD">
        <w:t xml:space="preserve"> and Vintages</w:t>
      </w:r>
    </w:p>
    <w:p w14:paraId="4DF44EE9" w14:textId="69654EEA" w:rsidR="00117C5D" w:rsidRDefault="00117C5D" w:rsidP="00117C5D">
      <w:r w:rsidRPr="00117C5D">
        <w:t xml:space="preserve">This measure is applicable </w:t>
      </w:r>
      <w:r w:rsidR="00700863">
        <w:t>for a pre-existing pool of a residential single</w:t>
      </w:r>
      <w:r w:rsidR="001B2C94">
        <w:t xml:space="preserve"> </w:t>
      </w:r>
      <w:r w:rsidR="00700863">
        <w:t>family</w:t>
      </w:r>
      <w:r w:rsidR="002A0897">
        <w:t xml:space="preserve">, multifamily, or mobile home for all existing building vintages. </w:t>
      </w:r>
      <w:r w:rsidR="00A54340">
        <w:t xml:space="preserve">The </w:t>
      </w:r>
      <w:proofErr w:type="gramStart"/>
      <w:r w:rsidR="00A54340">
        <w:t>single family</w:t>
      </w:r>
      <w:proofErr w:type="gramEnd"/>
      <w:r w:rsidR="00A54340">
        <w:t xml:space="preserve"> pool measure</w:t>
      </w:r>
      <w:r w:rsidR="00F00BE3">
        <w:t>s</w:t>
      </w:r>
      <w:r w:rsidR="00A54340">
        <w:t>, SWRE005A</w:t>
      </w:r>
      <w:r w:rsidR="00F00BE3">
        <w:t xml:space="preserve"> and SWRE005C</w:t>
      </w:r>
      <w:r w:rsidR="00A54340">
        <w:t xml:space="preserve">, </w:t>
      </w:r>
      <w:r w:rsidR="00F00BE3">
        <w:t>are</w:t>
      </w:r>
      <w:r w:rsidR="00A54340">
        <w:t xml:space="preserve"> only eligible for single family buildings. The common area pool measure</w:t>
      </w:r>
      <w:r w:rsidR="00F00BE3">
        <w:t>s</w:t>
      </w:r>
      <w:r w:rsidR="00A54340">
        <w:t>, SWRE005B</w:t>
      </w:r>
      <w:r w:rsidR="00F00BE3">
        <w:t xml:space="preserve"> and SWRE005D</w:t>
      </w:r>
      <w:r w:rsidR="00A54340">
        <w:t xml:space="preserve">, </w:t>
      </w:r>
      <w:r w:rsidR="00F00BE3">
        <w:t>are</w:t>
      </w:r>
      <w:r w:rsidR="00A54340">
        <w:t xml:space="preserve"> only eligible for multifamily and mobile home buildings. </w:t>
      </w:r>
    </w:p>
    <w:p w14:paraId="699FF78D" w14:textId="77777777" w:rsidR="002373B1" w:rsidRDefault="002373B1" w:rsidP="00154391">
      <w:pPr>
        <w:pStyle w:val="eTRMHeading5"/>
      </w:pPr>
    </w:p>
    <w:p w14:paraId="1A3705F3" w14:textId="18755DE6" w:rsidR="007B6A74" w:rsidRPr="004B06E3" w:rsidRDefault="00196649" w:rsidP="00154391">
      <w:pPr>
        <w:pStyle w:val="eTRMHeading5"/>
      </w:pPr>
      <w:r>
        <w:t>Eligible Climate Zones</w:t>
      </w:r>
    </w:p>
    <w:p w14:paraId="4A9FD22A" w14:textId="280DAA4D" w:rsidR="004B6780" w:rsidRDefault="004B6780" w:rsidP="004B6780">
      <w:r>
        <w:t xml:space="preserve">This measure is applicable </w:t>
      </w:r>
      <w:r w:rsidR="0026110B">
        <w:t>in</w:t>
      </w:r>
      <w:r>
        <w:t xml:space="preserve"> </w:t>
      </w:r>
      <w:r w:rsidR="0026110B">
        <w:t>all</w:t>
      </w:r>
      <w:r>
        <w:t xml:space="preserve"> California climate zones.</w:t>
      </w:r>
    </w:p>
    <w:p w14:paraId="4DDD092A" w14:textId="77777777" w:rsidR="002373B1" w:rsidRDefault="002373B1" w:rsidP="002373B1">
      <w:pPr>
        <w:pStyle w:val="eTRMHeading5"/>
        <w:spacing w:line="0" w:lineRule="atLeast"/>
      </w:pPr>
    </w:p>
    <w:p w14:paraId="2B8258F0" w14:textId="33A14B93" w:rsidR="0068751E" w:rsidRPr="001519B0" w:rsidRDefault="0068751E" w:rsidP="002373B1">
      <w:pPr>
        <w:pStyle w:val="eTRMHeading5"/>
        <w:spacing w:line="0" w:lineRule="atLeast"/>
      </w:pPr>
      <w:r w:rsidRPr="001519B0">
        <w:t xml:space="preserve">Required Documentation for </w:t>
      </w:r>
      <w:r>
        <w:t>Accelerated Replacement</w:t>
      </w:r>
    </w:p>
    <w:p w14:paraId="429AAE5A" w14:textId="6119E1AF" w:rsidR="0068751E" w:rsidRDefault="0068751E" w:rsidP="0068751E">
      <w:pPr>
        <w:spacing w:before="0" w:after="0" w:line="0" w:lineRule="atLeast"/>
      </w:pPr>
      <w:r>
        <w:t xml:space="preserve">Preponderance of evidence (POE) must be documented. Notably, programs shall document if </w:t>
      </w:r>
      <w:r w:rsidR="00F82711">
        <w:t xml:space="preserve">the </w:t>
      </w:r>
      <w:r>
        <w:t xml:space="preserve">measure was replaced as a direct result of information, recommendations, and support provided by the Program Administrator, and programs shall require the collection and submission of documentation to ensure proper conformance to eligibility and implementation requirements. The following are the types of information that will be required for all projects: </w:t>
      </w:r>
    </w:p>
    <w:p w14:paraId="431F9141" w14:textId="6DD5EB29" w:rsidR="0068751E" w:rsidRDefault="0068751E" w:rsidP="00CB3B94">
      <w:pPr>
        <w:pStyle w:val="ListParagraph"/>
        <w:numPr>
          <w:ilvl w:val="0"/>
          <w:numId w:val="34"/>
        </w:numPr>
      </w:pPr>
      <w:r>
        <w:t>Customer/site information</w:t>
      </w:r>
      <w:r w:rsidR="006323BC">
        <w:t xml:space="preserve">. This must </w:t>
      </w:r>
      <w:r w:rsidR="00ED21DD">
        <w:t>includ</w:t>
      </w:r>
      <w:r w:rsidR="006323BC">
        <w:t>e</w:t>
      </w:r>
      <w:r w:rsidR="00ED21DD">
        <w:t xml:space="preserve"> whether the pool is for single family or multifamily common area</w:t>
      </w:r>
    </w:p>
    <w:p w14:paraId="2D144D4C" w14:textId="77777777" w:rsidR="0068751E" w:rsidRDefault="0068751E" w:rsidP="00CB3B94">
      <w:pPr>
        <w:pStyle w:val="ListParagraph"/>
        <w:numPr>
          <w:ilvl w:val="0"/>
          <w:numId w:val="34"/>
        </w:numPr>
      </w:pPr>
      <w:r>
        <w:t>Specifications of existing equipment</w:t>
      </w:r>
    </w:p>
    <w:p w14:paraId="7EE6188C" w14:textId="38C1A9B2" w:rsidR="0068751E" w:rsidRDefault="0068751E" w:rsidP="00CB3B94">
      <w:pPr>
        <w:pStyle w:val="ListParagraph"/>
        <w:numPr>
          <w:ilvl w:val="0"/>
          <w:numId w:val="34"/>
        </w:numPr>
      </w:pPr>
      <w:r>
        <w:t>Proof that natural gas pool water heater is still operating as intended</w:t>
      </w:r>
    </w:p>
    <w:p w14:paraId="5C48BF0C" w14:textId="4051FB7D" w:rsidR="0068751E" w:rsidRDefault="0068751E" w:rsidP="00CB3B94">
      <w:pPr>
        <w:pStyle w:val="ListParagraph"/>
        <w:numPr>
          <w:ilvl w:val="0"/>
          <w:numId w:val="34"/>
        </w:numPr>
      </w:pPr>
      <w:r>
        <w:t>Existing water heater nameplate data with manufacturer date to confirm remaining useful life</w:t>
      </w:r>
    </w:p>
    <w:p w14:paraId="2429B7F7" w14:textId="4EA527E4" w:rsidR="001B15FB" w:rsidRDefault="001B15FB" w:rsidP="00CB3B94">
      <w:pPr>
        <w:pStyle w:val="ListParagraph"/>
        <w:numPr>
          <w:ilvl w:val="0"/>
          <w:numId w:val="34"/>
        </w:numPr>
      </w:pPr>
      <w:r>
        <w:t>Pool water temperature setpoint</w:t>
      </w:r>
    </w:p>
    <w:p w14:paraId="6DD629DD" w14:textId="0F7B58B6" w:rsidR="0068751E" w:rsidRDefault="0068751E" w:rsidP="00CB3B94">
      <w:pPr>
        <w:pStyle w:val="ListParagraph"/>
        <w:numPr>
          <w:ilvl w:val="0"/>
          <w:numId w:val="34"/>
        </w:numPr>
      </w:pPr>
      <w:r>
        <w:t>Replacement heat pump pool water heater information</w:t>
      </w:r>
    </w:p>
    <w:p w14:paraId="4C1102D0" w14:textId="5C3A33D6" w:rsidR="0068751E" w:rsidRDefault="0068751E" w:rsidP="0068751E">
      <w:r>
        <w:t>To document POE, the provided Preponderance of evidence (POE) survey</w:t>
      </w:r>
      <w:r>
        <w:rPr>
          <w:rStyle w:val="FootnoteReference"/>
        </w:rPr>
        <w:footnoteReference w:id="10"/>
      </w:r>
      <w:r>
        <w:t>, or similar, should be completed.</w:t>
      </w:r>
    </w:p>
    <w:p w14:paraId="2260C309" w14:textId="77777777" w:rsidR="002C3AFB" w:rsidRDefault="002C3AFB" w:rsidP="002C3AFB">
      <w:bookmarkStart w:id="29" w:name="_Hlk66263301"/>
      <w:r w:rsidRPr="00CF19BB">
        <w:rPr>
          <w:i/>
          <w:color w:val="5F5F5F"/>
        </w:rPr>
        <w:t xml:space="preserve">Required Documentation for </w:t>
      </w:r>
      <w:r>
        <w:rPr>
          <w:i/>
          <w:color w:val="5F5F5F"/>
        </w:rPr>
        <w:t xml:space="preserve">Normal Replacement, New Construction, and </w:t>
      </w:r>
      <w:r w:rsidRPr="00CF19BB">
        <w:rPr>
          <w:i/>
          <w:color w:val="5F5F5F"/>
        </w:rPr>
        <w:t>Accelerated Replacement</w:t>
      </w:r>
      <w:r>
        <w:rPr>
          <w:i/>
          <w:color w:val="5F5F5F"/>
        </w:rPr>
        <w:t xml:space="preserve"> in Downstream and Direct Install Delivery</w:t>
      </w:r>
    </w:p>
    <w:p w14:paraId="7526E5FD" w14:textId="77777777" w:rsidR="002C3AFB" w:rsidRDefault="002C3AFB" w:rsidP="002C3AFB">
      <w:r>
        <w:lastRenderedPageBreak/>
        <w:t xml:space="preserve">For downstream deemed and downstream direct-install delivery types, in addition to the standard information such as building type, climate zone, and capacity of the units, the following data must be submitted with each project application by the project developer: </w:t>
      </w:r>
    </w:p>
    <w:p w14:paraId="7052242D" w14:textId="6E9159A5" w:rsidR="002C3AFB" w:rsidRDefault="002C3AFB" w:rsidP="002C3AFB">
      <w:pPr>
        <w:pStyle w:val="eTRMBulletedText"/>
        <w:numPr>
          <w:ilvl w:val="0"/>
          <w:numId w:val="37"/>
        </w:numPr>
        <w:ind w:left="720"/>
      </w:pPr>
      <w:r>
        <w:t xml:space="preserve">What is the existing fuel type for </w:t>
      </w:r>
      <w:r w:rsidR="00A52716">
        <w:t xml:space="preserve">pool </w:t>
      </w:r>
      <w:r>
        <w:t>heating?</w:t>
      </w:r>
    </w:p>
    <w:p w14:paraId="1A42C990" w14:textId="59290BB2" w:rsidR="002C3AFB" w:rsidRDefault="002C3AFB" w:rsidP="002C3AFB">
      <w:pPr>
        <w:pStyle w:val="eTRMBulletedText"/>
        <w:numPr>
          <w:ilvl w:val="0"/>
          <w:numId w:val="37"/>
        </w:numPr>
        <w:ind w:left="720"/>
      </w:pPr>
      <w:r>
        <w:t xml:space="preserve">Did the site </w:t>
      </w:r>
      <w:r w:rsidR="00A52716">
        <w:t>require</w:t>
      </w:r>
      <w:r>
        <w:t xml:space="preserve"> any electric infrastructure upgrades for the proposed electrification measure? If yes, provide the itemized invoices with infrastructure upgrade costs. </w:t>
      </w:r>
    </w:p>
    <w:p w14:paraId="0F3B4C7E" w14:textId="77777777" w:rsidR="002C3AFB" w:rsidRDefault="002C3AFB" w:rsidP="002C3AFB">
      <w:pPr>
        <w:pStyle w:val="eTRMBulletedText"/>
        <w:numPr>
          <w:ilvl w:val="0"/>
          <w:numId w:val="37"/>
        </w:numPr>
        <w:ind w:left="720"/>
      </w:pPr>
      <w:r>
        <w:t xml:space="preserve">Did the owner install any other electrification measures at this site? If yes, list the measures and provide the itemized invoices with infrastructure upgrade costs (if any). </w:t>
      </w:r>
    </w:p>
    <w:bookmarkEnd w:id="29"/>
    <w:p w14:paraId="3FE38D8E" w14:textId="77777777" w:rsidR="002C3AFB" w:rsidRDefault="002C3AFB" w:rsidP="0068751E"/>
    <w:p w14:paraId="695AD99C" w14:textId="77777777" w:rsidR="002C3AFB" w:rsidRDefault="002C3AFB" w:rsidP="002C3AFB">
      <w:bookmarkStart w:id="30" w:name="_Hlk66263208"/>
      <w:r>
        <w:rPr>
          <w:i/>
          <w:color w:val="5F5F5F"/>
        </w:rPr>
        <w:t xml:space="preserve">Required Documentation </w:t>
      </w:r>
      <w:r w:rsidRPr="00CF19BB">
        <w:rPr>
          <w:i/>
          <w:color w:val="5F5F5F"/>
        </w:rPr>
        <w:t xml:space="preserve">for </w:t>
      </w:r>
      <w:r>
        <w:rPr>
          <w:i/>
          <w:color w:val="5F5F5F"/>
        </w:rPr>
        <w:t>Normal Replacement in Upstream and Mid-Stream Delivery</w:t>
      </w:r>
    </w:p>
    <w:p w14:paraId="310FA15A" w14:textId="755BE932" w:rsidR="002C3AFB" w:rsidRDefault="002C3AFB" w:rsidP="002C3AFB">
      <w:r>
        <w:t xml:space="preserve">For upstream/midstream delivery types, the participant baselines and spillover effects are unknown. Furthermore, the manufacturer(s) and distributor(s) do not know if the purchased measure is replacing a gas or an electric baseline appliance. Claimed savings for these delivery types will be adjusted using the ratio of baseline gas appliance to total baseline appliances. These ratios will be determined from the </w:t>
      </w:r>
      <w:r w:rsidR="00994AAD">
        <w:t>CPUC sponsored saturation studies.</w:t>
      </w:r>
      <w:r>
        <w:t xml:space="preserve">  The implementer shall survey 10% of </w:t>
      </w:r>
      <w:r w:rsidRPr="004E15AF">
        <w:t xml:space="preserve">the </w:t>
      </w:r>
      <w:r>
        <w:t>midstream</w:t>
      </w:r>
      <w:r w:rsidRPr="004E15AF">
        <w:t xml:space="preserve"> </w:t>
      </w:r>
      <w:r>
        <w:t>installations, to determine actual gas/electric baseline proportions, and the program administrator shall adjust claimed savings based upon these survey results. This survey will be conducted monthly, by e-mail. A sample survey question is as follows:</w:t>
      </w:r>
    </w:p>
    <w:p w14:paraId="3FADD855" w14:textId="77777777" w:rsidR="002C3AFB" w:rsidRDefault="002C3AFB" w:rsidP="002C3AFB">
      <w:r>
        <w:t xml:space="preserve">“What was the fuel source of the equipment you </w:t>
      </w:r>
      <w:r w:rsidRPr="0096734B">
        <w:rPr>
          <w:u w:val="single"/>
        </w:rPr>
        <w:t>replaced</w:t>
      </w:r>
      <w:r>
        <w:t>?”</w:t>
      </w:r>
    </w:p>
    <w:p w14:paraId="0B50F82B" w14:textId="77777777" w:rsidR="002C3AFB" w:rsidRDefault="002C3AFB" w:rsidP="002C3AFB">
      <w:pPr>
        <w:pStyle w:val="ListParagraph"/>
        <w:numPr>
          <w:ilvl w:val="0"/>
          <w:numId w:val="35"/>
        </w:numPr>
        <w:spacing w:before="0" w:after="160" w:line="259" w:lineRule="auto"/>
      </w:pPr>
      <w:r>
        <w:t xml:space="preserve">Gas </w:t>
      </w:r>
    </w:p>
    <w:p w14:paraId="3C4D4171" w14:textId="77777777" w:rsidR="002C3AFB" w:rsidRDefault="002C3AFB" w:rsidP="002C3AFB">
      <w:pPr>
        <w:pStyle w:val="ListParagraph"/>
        <w:numPr>
          <w:ilvl w:val="0"/>
          <w:numId w:val="35"/>
        </w:numPr>
        <w:spacing w:before="0" w:after="160" w:line="259" w:lineRule="auto"/>
      </w:pPr>
      <w:r>
        <w:t>Electric</w:t>
      </w:r>
    </w:p>
    <w:p w14:paraId="7AD47240" w14:textId="77777777" w:rsidR="002C3AFB" w:rsidRDefault="002C3AFB" w:rsidP="002C3AFB">
      <w:pPr>
        <w:pStyle w:val="ListParagraph"/>
        <w:numPr>
          <w:ilvl w:val="0"/>
          <w:numId w:val="35"/>
        </w:numPr>
        <w:spacing w:before="0" w:after="160" w:line="259" w:lineRule="auto"/>
      </w:pPr>
      <w:r>
        <w:t xml:space="preserve">I </w:t>
      </w:r>
      <w:proofErr w:type="gramStart"/>
      <w:r>
        <w:t>don’t</w:t>
      </w:r>
      <w:proofErr w:type="gramEnd"/>
      <w:r>
        <w:t xml:space="preserve"> know/I’m not sure</w:t>
      </w:r>
    </w:p>
    <w:p w14:paraId="432FF829" w14:textId="620E0DEF" w:rsidR="002C3AFB" w:rsidRDefault="002C3AFB" w:rsidP="002C3AFB">
      <w:r>
        <w:t>In addition, for midstream</w:t>
      </w:r>
      <w:r w:rsidRPr="002751E9">
        <w:t xml:space="preserve"> delivery method</w:t>
      </w:r>
      <w:r>
        <w:t>, the implementer should provide the retailer or distribution location where the product was sold, rated capacity, and proposed building type in which the product will be installed.</w:t>
      </w:r>
    </w:p>
    <w:p w14:paraId="225020ED" w14:textId="77777777" w:rsidR="002C3AFB" w:rsidRDefault="002C3AFB" w:rsidP="002C3AFB">
      <w:r>
        <w:t>A survey will not be administered for upstream delivery types.</w:t>
      </w:r>
    </w:p>
    <w:bookmarkEnd w:id="30"/>
    <w:p w14:paraId="336DAA2F" w14:textId="77777777" w:rsidR="002C3AFB" w:rsidRDefault="002C3AFB" w:rsidP="002C3AFB">
      <w:pPr>
        <w:rPr>
          <w:i/>
          <w:color w:val="5F5F5F"/>
        </w:rPr>
      </w:pPr>
    </w:p>
    <w:p w14:paraId="1C2F6BC7" w14:textId="5742A981" w:rsidR="002C3AFB" w:rsidRPr="00411351" w:rsidRDefault="002C3AFB" w:rsidP="002C3AFB">
      <w:pPr>
        <w:rPr>
          <w:i/>
          <w:color w:val="5F5F5F"/>
        </w:rPr>
      </w:pPr>
      <w:r w:rsidRPr="00411351">
        <w:rPr>
          <w:i/>
          <w:color w:val="5F5F5F"/>
        </w:rPr>
        <w:t>Incentive Requirements</w:t>
      </w:r>
    </w:p>
    <w:p w14:paraId="3812796C" w14:textId="55B8DB27" w:rsidR="002C3AFB" w:rsidRDefault="00F87D18" w:rsidP="002C3AFB">
      <w:r w:rsidRPr="00F87D18">
        <w:t>Deployment of the program may require rebates or financial incentives to participants that exceed the Incremental Measure Cost (IMC). Incentives or rebates that exceed the incremental cost for a measure must be justified by individual PAs and/or third-party implemented programs as applicable and for each instance in addendum to workpaper submissions to document program implementation practice prior to program implementation.</w:t>
      </w:r>
    </w:p>
    <w:p w14:paraId="33B6DCDC" w14:textId="77777777" w:rsidR="002C3AFB" w:rsidRDefault="002C3AFB" w:rsidP="002C3AFB"/>
    <w:p w14:paraId="47630D60" w14:textId="77777777" w:rsidR="007D230B" w:rsidRPr="004B06E3" w:rsidRDefault="007D230B" w:rsidP="004F3F32">
      <w:pPr>
        <w:pStyle w:val="eTRMHeading3"/>
      </w:pPr>
      <w:bookmarkStart w:id="31" w:name="_Toc486490853"/>
      <w:bookmarkStart w:id="32" w:name="_Toc486580924"/>
      <w:bookmarkStart w:id="33" w:name="_Toc67427719"/>
      <w:r w:rsidRPr="004B06E3">
        <w:t>Program Exclusions</w:t>
      </w:r>
      <w:bookmarkEnd w:id="31"/>
      <w:bookmarkEnd w:id="32"/>
      <w:bookmarkEnd w:id="33"/>
      <w:r w:rsidRPr="004B06E3">
        <w:t xml:space="preserve"> </w:t>
      </w:r>
    </w:p>
    <w:p w14:paraId="21F59913" w14:textId="3BC9516E" w:rsidR="001A753E" w:rsidRDefault="0068751E" w:rsidP="00F82711">
      <w:pPr>
        <w:spacing w:line="240" w:lineRule="auto"/>
      </w:pPr>
      <w:r>
        <w:t>As this is a fuel substitution measure, it is</w:t>
      </w:r>
      <w:r w:rsidR="00F82711">
        <w:t xml:space="preserve"> only</w:t>
      </w:r>
      <w:r>
        <w:t xml:space="preserve"> eligible for replacement of existing gas equipment.</w:t>
      </w:r>
    </w:p>
    <w:p w14:paraId="57E4645A" w14:textId="17F30399" w:rsidR="00E43D71" w:rsidRDefault="00E43D71" w:rsidP="00F82711">
      <w:pPr>
        <w:spacing w:line="240" w:lineRule="auto"/>
      </w:pPr>
      <w:r>
        <w:t xml:space="preserve">Spa equipment is not eligible. </w:t>
      </w:r>
    </w:p>
    <w:p w14:paraId="3093982F" w14:textId="77777777" w:rsidR="0068751E" w:rsidRPr="00117C5D" w:rsidRDefault="0068751E" w:rsidP="00117C5D"/>
    <w:p w14:paraId="655E299F" w14:textId="393DAF33" w:rsidR="007D230B" w:rsidRDefault="007D230B" w:rsidP="004F3F32">
      <w:pPr>
        <w:pStyle w:val="eTRMHeading3"/>
      </w:pPr>
      <w:bookmarkStart w:id="34" w:name="_Toc486490854"/>
      <w:bookmarkStart w:id="35" w:name="_Toc486580925"/>
      <w:bookmarkStart w:id="36" w:name="_Toc67427720"/>
      <w:r w:rsidRPr="004B06E3">
        <w:lastRenderedPageBreak/>
        <w:t>Data Collection Requirements</w:t>
      </w:r>
      <w:bookmarkEnd w:id="34"/>
      <w:bookmarkEnd w:id="35"/>
      <w:bookmarkEnd w:id="36"/>
      <w:r w:rsidRPr="004B06E3">
        <w:t xml:space="preserve"> </w:t>
      </w:r>
    </w:p>
    <w:p w14:paraId="4D6D43D0" w14:textId="3F5A95D2" w:rsidR="0068751E" w:rsidRDefault="0068751E" w:rsidP="0068751E">
      <w:r>
        <w:t xml:space="preserve">Baseline equipment type and fuel source must be verified for downstream and direct install measures. </w:t>
      </w:r>
    </w:p>
    <w:p w14:paraId="73CF5701" w14:textId="0B7AE604" w:rsidR="0068751E" w:rsidRDefault="0068751E" w:rsidP="0068751E">
      <w:r>
        <w:t>Per CPUC Decision 19-08-009</w:t>
      </w:r>
      <w:r>
        <w:rPr>
          <w:rStyle w:val="FootnoteReference"/>
        </w:rPr>
        <w:footnoteReference w:id="11"/>
      </w:r>
      <w:r>
        <w:t>, building infrastructure costs which include panel upgrades or gas line installations/upgrades required to facilitate these fuel substitution measures shall be collected for all downstream and direct install measures.</w:t>
      </w:r>
    </w:p>
    <w:p w14:paraId="04D6F130" w14:textId="0F6CCDA7" w:rsidR="00C104B3" w:rsidRDefault="00C104B3" w:rsidP="0068751E">
      <w:r>
        <w:t xml:space="preserve">This workpaper currently uses DEER load </w:t>
      </w:r>
      <w:r w:rsidRPr="001F5B22">
        <w:t>shape “</w:t>
      </w:r>
      <w:proofErr w:type="spellStart"/>
      <w:proofErr w:type="gramStart"/>
      <w:r w:rsidR="001F5B22" w:rsidRPr="001F5B22">
        <w:t>DEER:RefgFrzr</w:t>
      </w:r>
      <w:proofErr w:type="gramEnd"/>
      <w:r w:rsidR="001F5B22" w:rsidRPr="001F5B22">
        <w:t>_Recyc-UnConditioned</w:t>
      </w:r>
      <w:proofErr w:type="spellEnd"/>
      <w:r w:rsidR="001F5B22" w:rsidRPr="00F726B4" w:rsidDel="001F5B22">
        <w:t xml:space="preserve"> </w:t>
      </w:r>
      <w:r w:rsidRPr="001F5B22">
        <w:t>”</w:t>
      </w:r>
      <w:r>
        <w:t xml:space="preserve"> as it is the best approximation of this measure available. </w:t>
      </w:r>
      <w:r w:rsidR="009855A1">
        <w:t>F</w:t>
      </w:r>
      <w:r>
        <w:t xml:space="preserve">uture updates to this workpaper should </w:t>
      </w:r>
      <w:r w:rsidR="008D7C41">
        <w:t>evaluate</w:t>
      </w:r>
      <w:r w:rsidR="00302086">
        <w:t xml:space="preserve"> latest </w:t>
      </w:r>
      <w:r w:rsidR="009855A1">
        <w:t xml:space="preserve">CPUC load shape updates and/or create a </w:t>
      </w:r>
      <w:r w:rsidR="00302086">
        <w:t xml:space="preserve">new </w:t>
      </w:r>
      <w:r w:rsidR="009855A1">
        <w:t xml:space="preserve">load shape more align with application. </w:t>
      </w:r>
    </w:p>
    <w:p w14:paraId="4A802C03" w14:textId="77777777" w:rsidR="002A0897" w:rsidRPr="004B06E3" w:rsidRDefault="002A0897" w:rsidP="002A0897"/>
    <w:p w14:paraId="4891FCAB" w14:textId="77777777" w:rsidR="007D230B" w:rsidRPr="004B06E3" w:rsidRDefault="007D230B" w:rsidP="004F3F32">
      <w:pPr>
        <w:pStyle w:val="eTRMHeading3"/>
      </w:pPr>
      <w:bookmarkStart w:id="37" w:name="_Toc486490855"/>
      <w:bookmarkStart w:id="38" w:name="_Toc486580926"/>
      <w:bookmarkStart w:id="39" w:name="_Toc67427721"/>
      <w:r w:rsidRPr="004B06E3">
        <w:t>Use Category</w:t>
      </w:r>
      <w:bookmarkEnd w:id="37"/>
      <w:bookmarkEnd w:id="38"/>
      <w:bookmarkEnd w:id="39"/>
    </w:p>
    <w:p w14:paraId="21442A32" w14:textId="4B6689F7" w:rsidR="001A753E" w:rsidRDefault="001A753E" w:rsidP="004B06E3">
      <w:r>
        <w:t>Recreation</w:t>
      </w:r>
    </w:p>
    <w:p w14:paraId="69458728" w14:textId="73B65B52" w:rsidR="00132E1A" w:rsidRPr="004B06E3" w:rsidRDefault="00132E1A" w:rsidP="004B06E3"/>
    <w:p w14:paraId="4B62D367" w14:textId="370A839E" w:rsidR="007D230B" w:rsidRPr="004B06E3" w:rsidRDefault="007D230B" w:rsidP="004F3F32">
      <w:pPr>
        <w:pStyle w:val="eTRMHeading3"/>
      </w:pPr>
      <w:bookmarkStart w:id="40" w:name="_Toc486490857"/>
      <w:bookmarkStart w:id="41" w:name="_Toc486580928"/>
      <w:bookmarkStart w:id="42" w:name="_Toc67427722"/>
      <w:r w:rsidRPr="004B06E3">
        <w:t>Electric Savings</w:t>
      </w:r>
      <w:r w:rsidR="00245AFF" w:rsidRPr="004B06E3">
        <w:t xml:space="preserve"> (</w:t>
      </w:r>
      <w:r w:rsidR="00E14349" w:rsidRPr="001D5580">
        <w:t>k</w:t>
      </w:r>
      <w:r w:rsidR="00245AFF" w:rsidRPr="001D5580">
        <w:t>Wh</w:t>
      </w:r>
      <w:r w:rsidR="00245AFF" w:rsidRPr="004B06E3">
        <w:t>)</w:t>
      </w:r>
      <w:bookmarkEnd w:id="40"/>
      <w:bookmarkEnd w:id="41"/>
      <w:bookmarkEnd w:id="42"/>
    </w:p>
    <w:p w14:paraId="65FD1BC4" w14:textId="4600D249" w:rsidR="00E827BA" w:rsidRDefault="00867B6C" w:rsidP="00AB71BC">
      <w:r>
        <w:t xml:space="preserve">See the Gas Savings section for details on the electric savings. </w:t>
      </w:r>
    </w:p>
    <w:p w14:paraId="394520DF" w14:textId="77777777" w:rsidR="001A753E" w:rsidRPr="00914B24" w:rsidRDefault="001A753E" w:rsidP="00AB71BC"/>
    <w:p w14:paraId="46B7702E" w14:textId="77777777" w:rsidR="00BB4F22" w:rsidRPr="004B06E3" w:rsidRDefault="00BB4F22" w:rsidP="004F3F32">
      <w:pPr>
        <w:pStyle w:val="eTRMHeading3"/>
      </w:pPr>
      <w:bookmarkStart w:id="43" w:name="_Toc486490856"/>
      <w:bookmarkStart w:id="44" w:name="_Toc486580927"/>
      <w:bookmarkStart w:id="45" w:name="_Toc67427723"/>
      <w:r w:rsidRPr="004B06E3">
        <w:t>Peak Electric Demand Reduction (</w:t>
      </w:r>
      <w:r w:rsidRPr="0026110B">
        <w:t>kW</w:t>
      </w:r>
      <w:r w:rsidRPr="004B06E3">
        <w:t>)</w:t>
      </w:r>
      <w:bookmarkEnd w:id="43"/>
      <w:bookmarkEnd w:id="44"/>
      <w:bookmarkEnd w:id="45"/>
    </w:p>
    <w:p w14:paraId="2F2C5FF1" w14:textId="77777777" w:rsidR="001B15FB" w:rsidRDefault="001B15FB" w:rsidP="001B15FB">
      <w:r w:rsidRPr="001653F0">
        <w:t>In accordance with the requirements of the CPUC Fuel Substitution Technical Guidance, for Energy Efficiency, October 31, 2019, there will not be any peak demand reduction or penalty towards peak demand goal achievement from fuel substitution measures.</w:t>
      </w:r>
      <w:r>
        <w:rPr>
          <w:rStyle w:val="FootnoteReference"/>
        </w:rPr>
        <w:footnoteReference w:id="12"/>
      </w:r>
    </w:p>
    <w:p w14:paraId="4088DA07" w14:textId="77777777" w:rsidR="001A753E" w:rsidRPr="00914B24" w:rsidRDefault="001A753E" w:rsidP="00914B24"/>
    <w:p w14:paraId="02E97124" w14:textId="77777777" w:rsidR="00177EB6" w:rsidRPr="004B06E3" w:rsidRDefault="00177EB6" w:rsidP="004F3F32">
      <w:pPr>
        <w:pStyle w:val="eTRMHeading3"/>
      </w:pPr>
      <w:bookmarkStart w:id="46" w:name="_Toc486490858"/>
      <w:bookmarkStart w:id="47" w:name="_Toc486580929"/>
      <w:bookmarkStart w:id="48" w:name="_Toc67427724"/>
      <w:r w:rsidRPr="004B06E3">
        <w:t>Gas Savings (</w:t>
      </w:r>
      <w:r w:rsidRPr="0026110B">
        <w:t>Therms</w:t>
      </w:r>
      <w:r w:rsidRPr="004B06E3">
        <w:t>)</w:t>
      </w:r>
      <w:bookmarkEnd w:id="46"/>
      <w:bookmarkEnd w:id="47"/>
      <w:bookmarkEnd w:id="48"/>
    </w:p>
    <w:p w14:paraId="12772F6D" w14:textId="4F01E724" w:rsidR="00D44B11" w:rsidRDefault="00D44B11" w:rsidP="00C01AA0">
      <w:pPr>
        <w:pStyle w:val="BodyText"/>
      </w:pPr>
      <w:r>
        <w:t xml:space="preserve">The annual gas unit energy savings (UES) of a residential </w:t>
      </w:r>
      <w:r w:rsidR="00954D33">
        <w:t xml:space="preserve">heat pump </w:t>
      </w:r>
      <w:r>
        <w:t>pool were calculated as the difference between baseline and measure case annual unit energy consumption</w:t>
      </w:r>
      <w:r w:rsidR="001A753E">
        <w:t xml:space="preserve"> (UEC)</w:t>
      </w:r>
      <w:r>
        <w:t>.</w:t>
      </w:r>
      <w:r w:rsidR="00FF5735">
        <w:t xml:space="preserve"> Since the measure case is an electric heat pump, the gas savings is simply the consumption of the baseline gas heater. </w:t>
      </w:r>
      <w:r w:rsidR="00867B6C">
        <w:t xml:space="preserve">There is also an electric energy penalty that is equal to the consumption of the heat pump. </w:t>
      </w:r>
    </w:p>
    <w:p w14:paraId="0C3FBBCB" w14:textId="656C4C76" w:rsidR="000603C7" w:rsidRDefault="000603C7" w:rsidP="000603C7">
      <w:r>
        <w:t>This workpaper adopts the same calculation methodology and calculation tool as</w:t>
      </w:r>
      <w:r w:rsidR="005E777D">
        <w:t xml:space="preserve"> the</w:t>
      </w:r>
      <w:r>
        <w:t xml:space="preserve"> </w:t>
      </w:r>
      <w:r w:rsidR="003A78B8">
        <w:t xml:space="preserve">CPUC approved </w:t>
      </w:r>
      <w:r>
        <w:t>SWRE001-01 Pool Cover and SWRE004-01 Pool and Spa Heater, Residential</w:t>
      </w:r>
      <w:r w:rsidR="005E777D">
        <w:t xml:space="preserve"> workpapers</w:t>
      </w:r>
      <w:r w:rsidR="00ED21DD">
        <w:t>.</w:t>
      </w:r>
      <w:r w:rsidR="00ED21DD">
        <w:rPr>
          <w:rStyle w:val="FootnoteReference"/>
        </w:rPr>
        <w:footnoteReference w:id="13"/>
      </w:r>
      <w:r>
        <w:t xml:space="preserve"> </w:t>
      </w:r>
      <w:r w:rsidR="00867B6C">
        <w:t>Some</w:t>
      </w:r>
      <w:r>
        <w:t xml:space="preserve"> modifications were made to the calculation tool in order to accommodate the inclusion of heat pump technologies</w:t>
      </w:r>
      <w:r w:rsidR="00867B6C">
        <w:t xml:space="preserve">. These modifications are described in the following sections. </w:t>
      </w:r>
    </w:p>
    <w:p w14:paraId="759AD3F2" w14:textId="1CAF770F" w:rsidR="0035670F" w:rsidRPr="0035670F" w:rsidRDefault="005C7B6B" w:rsidP="0035670F">
      <w:pPr>
        <w:pStyle w:val="eTRMHeading4"/>
      </w:pPr>
      <w:r>
        <w:lastRenderedPageBreak/>
        <w:t>Methodology</w:t>
      </w:r>
    </w:p>
    <w:p w14:paraId="44D41C0A" w14:textId="0D49442D" w:rsidR="00382DB3" w:rsidRDefault="00382DB3" w:rsidP="0035670F">
      <w:r>
        <w:t>The annual</w:t>
      </w:r>
      <w:r w:rsidR="00867B6C">
        <w:t xml:space="preserve"> </w:t>
      </w:r>
      <w:r w:rsidR="00297AAE">
        <w:t>UEC</w:t>
      </w:r>
      <w:r>
        <w:t xml:space="preserve"> calculations are based on a pool heat transfer model</w:t>
      </w:r>
      <w:r w:rsidR="00337EE2">
        <w:t>. The pool heat transfer model was developed for swimming pools in California to ascertain the benefits of using efficient pool heaters at various types of swimming pools.</w:t>
      </w:r>
    </w:p>
    <w:p w14:paraId="6CD4124B" w14:textId="77777777" w:rsidR="00723239" w:rsidRPr="0035670F" w:rsidRDefault="00723239" w:rsidP="00723239">
      <w:r w:rsidRPr="0035670F">
        <w:t xml:space="preserve">In general, the hourly change in the average pool water temperature is equal to the sum of the heat transferred into the pool each hour, divided by the specific heat of the pool. </w:t>
      </w:r>
    </w:p>
    <w:p w14:paraId="1ECEC98C" w14:textId="4FB1A48F" w:rsidR="00723239" w:rsidRPr="0055409E" w:rsidRDefault="0055409E" w:rsidP="0055409E">
      <w:pPr>
        <w:jc w:val="center"/>
        <w:rPr>
          <w:i/>
        </w:rPr>
      </w:pPr>
      <m:oMathPara>
        <m:oMathParaPr>
          <m:jc m:val="left"/>
        </m:oMathParaPr>
        <m:oMath>
          <m:r>
            <w:rPr>
              <w:rFonts w:ascii="Cambria Math" w:eastAsia="Times New Roman" w:hAnsiTheme="minorHAnsi" w:cs="Times New Roman"/>
              <w:sz w:val="28"/>
              <w:szCs w:val="32"/>
            </w:rPr>
            <m:t>Δ</m:t>
          </m:r>
          <m:sSub>
            <m:sSubPr>
              <m:ctrlPr>
                <w:rPr>
                  <w:rFonts w:ascii="Cambria Math" w:eastAsia="Times New Roman" w:hAnsiTheme="minorHAnsi" w:cs="Times New Roman"/>
                  <w:i/>
                  <w:sz w:val="28"/>
                  <w:szCs w:val="32"/>
                </w:rPr>
              </m:ctrlPr>
            </m:sSubPr>
            <m:e>
              <m:r>
                <w:rPr>
                  <w:rFonts w:ascii="Cambria Math" w:eastAsia="Times New Roman" w:hAnsiTheme="minorHAnsi" w:cs="Times New Roman"/>
                  <w:sz w:val="28"/>
                  <w:szCs w:val="32"/>
                </w:rPr>
                <m:t>T</m:t>
              </m:r>
            </m:e>
            <m:sub>
              <m:r>
                <w:rPr>
                  <w:rFonts w:ascii="Cambria Math" w:eastAsia="Times New Roman" w:hAnsiTheme="minorHAnsi" w:cs="Times New Roman"/>
                  <w:sz w:val="28"/>
                  <w:szCs w:val="32"/>
                </w:rPr>
                <m:t>pool</m:t>
              </m:r>
            </m:sub>
          </m:sSub>
          <m:r>
            <w:rPr>
              <w:rFonts w:ascii="Cambria Math" w:eastAsia="Times New Roman" w:hAnsiTheme="minorHAnsi" w:cs="Times New Roman"/>
              <w:sz w:val="28"/>
              <w:szCs w:val="32"/>
            </w:rPr>
            <m:t>=</m:t>
          </m:r>
          <m:f>
            <m:fPr>
              <m:ctrlPr>
                <w:rPr>
                  <w:rFonts w:ascii="Cambria Math" w:eastAsia="Times New Roman" w:hAnsi="Cambria Math" w:cs="Times New Roman"/>
                  <w:i/>
                  <w:sz w:val="28"/>
                  <w:szCs w:val="32"/>
                </w:rPr>
              </m:ctrlPr>
            </m:fPr>
            <m:num>
              <m:r>
                <w:rPr>
                  <w:rFonts w:ascii="Cambria Math" w:eastAsia="Times New Roman" w:hAnsiTheme="minorHAnsi" w:cs="Times New Roman"/>
                  <w:sz w:val="28"/>
                  <w:szCs w:val="32"/>
                </w:rPr>
                <m:t>Σ</m:t>
              </m:r>
              <m:sSub>
                <m:sSubPr>
                  <m:ctrlPr>
                    <w:rPr>
                      <w:rFonts w:ascii="Cambria Math" w:eastAsia="Times New Roman" w:hAnsiTheme="minorHAnsi" w:cs="Times New Roman"/>
                      <w:i/>
                      <w:sz w:val="28"/>
                      <w:szCs w:val="32"/>
                    </w:rPr>
                  </m:ctrlPr>
                </m:sSubPr>
                <m:e>
                  <m:r>
                    <w:rPr>
                      <w:rFonts w:ascii="Cambria Math" w:eastAsia="Times New Roman" w:hAnsiTheme="minorHAnsi" w:cs="Times New Roman"/>
                      <w:sz w:val="28"/>
                      <w:szCs w:val="32"/>
                    </w:rPr>
                    <m:t>q</m:t>
                  </m:r>
                </m:e>
                <m:sub>
                  <m:r>
                    <w:rPr>
                      <w:rFonts w:ascii="Cambria Math" w:eastAsia="Times New Roman" w:hAnsiTheme="minorHAnsi" w:cs="Times New Roman"/>
                      <w:sz w:val="28"/>
                      <w:szCs w:val="32"/>
                    </w:rPr>
                    <m:t>in</m:t>
                  </m:r>
                </m:sub>
              </m:sSub>
              <m:ctrlPr>
                <w:rPr>
                  <w:rFonts w:ascii="Cambria Math" w:eastAsia="Times New Roman" w:hAnsiTheme="minorHAnsi" w:cs="Times New Roman"/>
                  <w:i/>
                  <w:sz w:val="28"/>
                  <w:szCs w:val="32"/>
                </w:rPr>
              </m:ctrlPr>
            </m:num>
            <m:den>
              <m:sSub>
                <m:sSubPr>
                  <m:ctrlPr>
                    <w:rPr>
                      <w:rFonts w:ascii="Cambria Math" w:eastAsia="Times New Roman" w:hAnsiTheme="minorHAnsi" w:cs="Times New Roman"/>
                      <w:i/>
                      <w:sz w:val="28"/>
                      <w:szCs w:val="32"/>
                    </w:rPr>
                  </m:ctrlPr>
                </m:sSubPr>
                <m:e>
                  <m:r>
                    <w:rPr>
                      <w:rFonts w:ascii="Cambria Math" w:eastAsia="Times New Roman" w:hAnsiTheme="minorHAnsi" w:cs="Times New Roman"/>
                      <w:sz w:val="28"/>
                      <w:szCs w:val="32"/>
                    </w:rPr>
                    <m:t>ρ</m:t>
                  </m:r>
                </m:e>
                <m:sub>
                  <m:r>
                    <w:rPr>
                      <w:rFonts w:ascii="Cambria Math" w:eastAsia="Times New Roman" w:hAnsiTheme="minorHAnsi" w:cs="Times New Roman"/>
                      <w:sz w:val="28"/>
                      <w:szCs w:val="32"/>
                    </w:rPr>
                    <m:t>w</m:t>
                  </m:r>
                </m:sub>
              </m:sSub>
              <m:sSub>
                <m:sSubPr>
                  <m:ctrlPr>
                    <w:rPr>
                      <w:rFonts w:ascii="Cambria Math" w:eastAsia="Times New Roman" w:hAnsiTheme="minorHAnsi" w:cs="Times New Roman"/>
                      <w:i/>
                      <w:sz w:val="28"/>
                      <w:szCs w:val="32"/>
                    </w:rPr>
                  </m:ctrlPr>
                </m:sSubPr>
                <m:e>
                  <m:r>
                    <w:rPr>
                      <w:rFonts w:ascii="Cambria Math" w:eastAsia="Times New Roman" w:hAnsiTheme="minorHAnsi" w:cs="Times New Roman"/>
                      <w:sz w:val="28"/>
                      <w:szCs w:val="32"/>
                    </w:rPr>
                    <m:t>C</m:t>
                  </m:r>
                </m:e>
                <m:sub>
                  <m:r>
                    <w:rPr>
                      <w:rFonts w:ascii="Cambria Math" w:eastAsia="Times New Roman" w:hAnsiTheme="minorHAnsi" w:cs="Times New Roman"/>
                      <w:sz w:val="28"/>
                      <w:szCs w:val="32"/>
                    </w:rPr>
                    <m:t>w</m:t>
                  </m:r>
                </m:sub>
              </m:sSub>
              <m:sSub>
                <m:sSubPr>
                  <m:ctrlPr>
                    <w:rPr>
                      <w:rFonts w:ascii="Cambria Math" w:eastAsia="Times New Roman" w:hAnsiTheme="minorHAnsi" w:cs="Times New Roman"/>
                      <w:i/>
                      <w:sz w:val="28"/>
                      <w:szCs w:val="32"/>
                    </w:rPr>
                  </m:ctrlPr>
                </m:sSubPr>
                <m:e>
                  <m:r>
                    <w:rPr>
                      <w:rFonts w:ascii="Cambria Math" w:eastAsia="Times New Roman" w:hAnsiTheme="minorHAnsi" w:cs="Times New Roman"/>
                      <w:sz w:val="28"/>
                      <w:szCs w:val="32"/>
                    </w:rPr>
                    <m:t>A</m:t>
                  </m:r>
                </m:e>
                <m:sub>
                  <m:r>
                    <w:rPr>
                      <w:rFonts w:ascii="Cambria Math" w:eastAsia="Times New Roman" w:hAnsiTheme="minorHAnsi" w:cs="Times New Roman"/>
                      <w:sz w:val="28"/>
                      <w:szCs w:val="32"/>
                    </w:rPr>
                    <m:t>pool</m:t>
                  </m:r>
                </m:sub>
              </m:sSub>
              <m:sSub>
                <m:sSubPr>
                  <m:ctrlPr>
                    <w:rPr>
                      <w:rFonts w:ascii="Cambria Math" w:eastAsia="Times New Roman" w:hAnsiTheme="minorHAnsi" w:cs="Times New Roman"/>
                      <w:i/>
                      <w:sz w:val="28"/>
                      <w:szCs w:val="32"/>
                    </w:rPr>
                  </m:ctrlPr>
                </m:sSubPr>
                <m:e>
                  <m:r>
                    <w:rPr>
                      <w:rFonts w:ascii="Cambria Math" w:eastAsia="Times New Roman" w:hAnsiTheme="minorHAnsi" w:cs="Times New Roman"/>
                      <w:sz w:val="28"/>
                      <w:szCs w:val="32"/>
                    </w:rPr>
                    <m:t>d</m:t>
                  </m:r>
                </m:e>
                <m:sub>
                  <m:r>
                    <w:rPr>
                      <w:rFonts w:ascii="Cambria Math" w:eastAsia="Times New Roman" w:hAnsiTheme="minorHAnsi" w:cs="Times New Roman"/>
                      <w:sz w:val="28"/>
                      <w:szCs w:val="32"/>
                    </w:rPr>
                    <m:t>pool</m:t>
                  </m:r>
                </m:sub>
              </m:sSub>
            </m:den>
          </m:f>
        </m:oMath>
      </m:oMathPara>
    </w:p>
    <w:p w14:paraId="7E16D4E6" w14:textId="32C71940" w:rsidR="00723239" w:rsidRPr="00271F0D" w:rsidRDefault="00723239" w:rsidP="00723239">
      <w:pPr>
        <w:rPr>
          <w:rFonts w:ascii="Cambria Math" w:hAnsi="Cambria Math"/>
          <w:i/>
          <w:sz w:val="18"/>
          <w:szCs w:val="20"/>
        </w:rPr>
      </w:pPr>
      <w:r w:rsidRPr="00271F0D">
        <w:rPr>
          <w:rFonts w:ascii="Cambria Math" w:hAnsi="Cambria Math"/>
          <w:i/>
          <w:sz w:val="18"/>
          <w:szCs w:val="20"/>
        </w:rPr>
        <w:tab/>
      </w:r>
      <w:proofErr w:type="spellStart"/>
      <w:r w:rsidRPr="00271F0D">
        <w:rPr>
          <w:rFonts w:ascii="Cambria Math" w:hAnsi="Cambria Math"/>
          <w:i/>
          <w:sz w:val="18"/>
          <w:szCs w:val="20"/>
        </w:rPr>
        <w:t>q</w:t>
      </w:r>
      <w:r w:rsidRPr="00384806">
        <w:rPr>
          <w:rFonts w:ascii="Cambria Math" w:hAnsi="Cambria Math"/>
          <w:i/>
          <w:sz w:val="18"/>
          <w:szCs w:val="20"/>
          <w:vertAlign w:val="subscript"/>
        </w:rPr>
        <w:t>in</w:t>
      </w:r>
      <w:proofErr w:type="spellEnd"/>
      <w:r w:rsidRPr="00271F0D">
        <w:rPr>
          <w:rFonts w:ascii="Cambria Math" w:hAnsi="Cambria Math"/>
          <w:i/>
          <w:sz w:val="18"/>
          <w:szCs w:val="20"/>
        </w:rPr>
        <w:t xml:space="preserve"> = Heat added to the pool via each heat transfer mechanism (</w:t>
      </w:r>
      <w:r w:rsidR="003259BE">
        <w:rPr>
          <w:rFonts w:ascii="Cambria Math" w:hAnsi="Cambria Math"/>
          <w:i/>
          <w:sz w:val="18"/>
          <w:szCs w:val="20"/>
        </w:rPr>
        <w:t>BTU</w:t>
      </w:r>
      <w:r w:rsidRPr="00271F0D">
        <w:rPr>
          <w:rFonts w:ascii="Cambria Math" w:hAnsi="Cambria Math"/>
          <w:i/>
          <w:sz w:val="18"/>
          <w:szCs w:val="20"/>
        </w:rPr>
        <w:t>/</w:t>
      </w:r>
      <w:proofErr w:type="spellStart"/>
      <w:r w:rsidRPr="00271F0D">
        <w:rPr>
          <w:rFonts w:ascii="Cambria Math" w:hAnsi="Cambria Math"/>
          <w:i/>
          <w:sz w:val="18"/>
          <w:szCs w:val="20"/>
        </w:rPr>
        <w:t>hr</w:t>
      </w:r>
      <w:proofErr w:type="spellEnd"/>
      <w:r w:rsidRPr="00271F0D">
        <w:rPr>
          <w:rFonts w:ascii="Cambria Math" w:hAnsi="Cambria Math"/>
          <w:i/>
          <w:sz w:val="18"/>
          <w:szCs w:val="20"/>
        </w:rPr>
        <w:t>)</w:t>
      </w:r>
    </w:p>
    <w:p w14:paraId="4CF281FA" w14:textId="77777777" w:rsidR="00723239" w:rsidRPr="00271F0D" w:rsidRDefault="00723239" w:rsidP="00723239">
      <w:pPr>
        <w:rPr>
          <w:rFonts w:ascii="Cambria Math" w:hAnsi="Cambria Math"/>
          <w:i/>
          <w:sz w:val="18"/>
          <w:szCs w:val="20"/>
        </w:rPr>
      </w:pPr>
      <w:r w:rsidRPr="00271F0D">
        <w:rPr>
          <w:rFonts w:ascii="Cambria Math" w:hAnsi="Cambria Math"/>
          <w:i/>
          <w:sz w:val="18"/>
          <w:szCs w:val="20"/>
        </w:rPr>
        <w:tab/>
      </w:r>
      <w:proofErr w:type="spellStart"/>
      <w:r>
        <w:rPr>
          <w:rFonts w:ascii="Cambria Math" w:hAnsi="Cambria Math"/>
          <w:i/>
          <w:sz w:val="18"/>
          <w:szCs w:val="20"/>
        </w:rPr>
        <w:t>ρ</w:t>
      </w:r>
      <w:r w:rsidRPr="00384806">
        <w:rPr>
          <w:rFonts w:ascii="Cambria Math" w:hAnsi="Cambria Math"/>
          <w:i/>
          <w:sz w:val="18"/>
          <w:szCs w:val="20"/>
          <w:vertAlign w:val="subscript"/>
        </w:rPr>
        <w:t>w</w:t>
      </w:r>
      <w:proofErr w:type="spellEnd"/>
      <w:r w:rsidRPr="00271F0D">
        <w:rPr>
          <w:rFonts w:ascii="Cambria Math" w:hAnsi="Cambria Math"/>
          <w:i/>
          <w:sz w:val="18"/>
          <w:szCs w:val="20"/>
        </w:rPr>
        <w:t xml:space="preserve"> = Density of water (</w:t>
      </w:r>
      <w:proofErr w:type="spellStart"/>
      <w:r w:rsidRPr="00271F0D">
        <w:rPr>
          <w:rFonts w:ascii="Cambria Math" w:hAnsi="Cambria Math"/>
          <w:i/>
          <w:sz w:val="18"/>
          <w:szCs w:val="20"/>
        </w:rPr>
        <w:t>lb</w:t>
      </w:r>
      <w:proofErr w:type="spellEnd"/>
      <w:r w:rsidRPr="00271F0D">
        <w:rPr>
          <w:rFonts w:ascii="Cambria Math" w:hAnsi="Cambria Math"/>
          <w:i/>
          <w:sz w:val="18"/>
          <w:szCs w:val="20"/>
        </w:rPr>
        <w:t>/ft</w:t>
      </w:r>
      <w:r w:rsidRPr="001F6A4B">
        <w:rPr>
          <w:rFonts w:ascii="Cambria Math" w:hAnsi="Cambria Math"/>
          <w:i/>
          <w:sz w:val="18"/>
          <w:szCs w:val="20"/>
          <w:vertAlign w:val="superscript"/>
        </w:rPr>
        <w:t>3</w:t>
      </w:r>
      <w:r w:rsidRPr="00271F0D">
        <w:rPr>
          <w:rFonts w:ascii="Cambria Math" w:hAnsi="Cambria Math"/>
          <w:i/>
          <w:sz w:val="18"/>
          <w:szCs w:val="20"/>
        </w:rPr>
        <w:t>)</w:t>
      </w:r>
    </w:p>
    <w:p w14:paraId="0E712891" w14:textId="4A436C56" w:rsidR="00723239" w:rsidRPr="00271F0D" w:rsidRDefault="00723239" w:rsidP="00723239">
      <w:pPr>
        <w:rPr>
          <w:rFonts w:ascii="Cambria Math" w:hAnsi="Cambria Math"/>
          <w:i/>
          <w:sz w:val="18"/>
          <w:szCs w:val="20"/>
        </w:rPr>
      </w:pPr>
      <w:r w:rsidRPr="00271F0D">
        <w:rPr>
          <w:rFonts w:ascii="Cambria Math" w:hAnsi="Cambria Math"/>
          <w:i/>
          <w:sz w:val="18"/>
          <w:szCs w:val="20"/>
        </w:rPr>
        <w:tab/>
      </w:r>
      <w:proofErr w:type="spellStart"/>
      <w:r w:rsidRPr="00271F0D">
        <w:rPr>
          <w:rFonts w:ascii="Cambria Math" w:hAnsi="Cambria Math"/>
          <w:i/>
          <w:sz w:val="18"/>
          <w:szCs w:val="20"/>
        </w:rPr>
        <w:t>C</w:t>
      </w:r>
      <w:r w:rsidRPr="00384806">
        <w:rPr>
          <w:rFonts w:ascii="Cambria Math" w:hAnsi="Cambria Math"/>
          <w:i/>
          <w:sz w:val="18"/>
          <w:szCs w:val="20"/>
          <w:vertAlign w:val="subscript"/>
        </w:rPr>
        <w:t>w</w:t>
      </w:r>
      <w:proofErr w:type="spellEnd"/>
      <w:r w:rsidRPr="00271F0D">
        <w:rPr>
          <w:rFonts w:ascii="Cambria Math" w:hAnsi="Cambria Math"/>
          <w:i/>
          <w:sz w:val="18"/>
          <w:szCs w:val="20"/>
        </w:rPr>
        <w:t xml:space="preserve"> = Specific heat of water (</w:t>
      </w:r>
      <w:r w:rsidR="003259BE">
        <w:rPr>
          <w:rFonts w:ascii="Cambria Math" w:hAnsi="Cambria Math"/>
          <w:i/>
          <w:sz w:val="18"/>
          <w:szCs w:val="20"/>
        </w:rPr>
        <w:t>BTU</w:t>
      </w:r>
      <w:r w:rsidRPr="00271F0D">
        <w:rPr>
          <w:rFonts w:ascii="Cambria Math" w:hAnsi="Cambria Math"/>
          <w:i/>
          <w:sz w:val="18"/>
          <w:szCs w:val="20"/>
        </w:rPr>
        <w:t>/</w:t>
      </w:r>
      <w:proofErr w:type="spellStart"/>
      <w:r w:rsidRPr="00271F0D">
        <w:rPr>
          <w:rFonts w:ascii="Cambria Math" w:hAnsi="Cambria Math"/>
          <w:i/>
          <w:sz w:val="18"/>
          <w:szCs w:val="20"/>
        </w:rPr>
        <w:t>lb</w:t>
      </w:r>
      <w:proofErr w:type="spellEnd"/>
      <w:r w:rsidRPr="00271F0D">
        <w:rPr>
          <w:rFonts w:ascii="Cambria Math" w:hAnsi="Cambria Math"/>
          <w:i/>
          <w:sz w:val="18"/>
          <w:szCs w:val="20"/>
        </w:rPr>
        <w:t>-°F)</w:t>
      </w:r>
    </w:p>
    <w:p w14:paraId="262E06DD" w14:textId="77777777" w:rsidR="00723239" w:rsidRPr="00271F0D" w:rsidRDefault="00723239" w:rsidP="00723239">
      <w:pPr>
        <w:rPr>
          <w:rFonts w:ascii="Cambria Math" w:hAnsi="Cambria Math"/>
          <w:i/>
          <w:sz w:val="18"/>
          <w:szCs w:val="20"/>
        </w:rPr>
      </w:pPr>
      <w:r w:rsidRPr="00271F0D">
        <w:rPr>
          <w:rFonts w:ascii="Cambria Math" w:hAnsi="Cambria Math"/>
          <w:i/>
          <w:sz w:val="18"/>
          <w:szCs w:val="20"/>
        </w:rPr>
        <w:tab/>
      </w:r>
      <w:proofErr w:type="spellStart"/>
      <w:r w:rsidRPr="00271F0D">
        <w:rPr>
          <w:rFonts w:ascii="Cambria Math" w:hAnsi="Cambria Math"/>
          <w:i/>
          <w:sz w:val="18"/>
          <w:szCs w:val="20"/>
        </w:rPr>
        <w:t>A</w:t>
      </w:r>
      <w:r w:rsidRPr="00271F0D">
        <w:rPr>
          <w:rFonts w:ascii="Cambria Math" w:hAnsi="Cambria Math"/>
          <w:i/>
          <w:sz w:val="18"/>
          <w:szCs w:val="20"/>
          <w:vertAlign w:val="subscript"/>
        </w:rPr>
        <w:t>pool</w:t>
      </w:r>
      <w:proofErr w:type="spellEnd"/>
      <w:r w:rsidRPr="00271F0D">
        <w:rPr>
          <w:rFonts w:ascii="Cambria Math" w:hAnsi="Cambria Math"/>
          <w:i/>
          <w:sz w:val="18"/>
          <w:szCs w:val="20"/>
        </w:rPr>
        <w:t xml:space="preserve"> = Pool area (ft</w:t>
      </w:r>
      <w:r w:rsidRPr="001F6A4B">
        <w:rPr>
          <w:rFonts w:ascii="Cambria Math" w:hAnsi="Cambria Math"/>
          <w:i/>
          <w:sz w:val="18"/>
          <w:szCs w:val="20"/>
          <w:vertAlign w:val="superscript"/>
        </w:rPr>
        <w:t>2</w:t>
      </w:r>
      <w:r w:rsidRPr="00271F0D">
        <w:rPr>
          <w:rFonts w:ascii="Cambria Math" w:hAnsi="Cambria Math"/>
          <w:i/>
          <w:sz w:val="18"/>
          <w:szCs w:val="20"/>
        </w:rPr>
        <w:t>)</w:t>
      </w:r>
    </w:p>
    <w:p w14:paraId="4ECA0B00" w14:textId="77777777" w:rsidR="00723239" w:rsidRPr="00271F0D" w:rsidRDefault="00723239" w:rsidP="00723239">
      <w:pPr>
        <w:rPr>
          <w:rFonts w:ascii="Cambria Math" w:hAnsi="Cambria Math"/>
          <w:i/>
          <w:sz w:val="18"/>
          <w:szCs w:val="20"/>
        </w:rPr>
      </w:pPr>
      <w:r w:rsidRPr="00271F0D">
        <w:rPr>
          <w:rFonts w:ascii="Cambria Math" w:hAnsi="Cambria Math"/>
          <w:i/>
          <w:sz w:val="18"/>
          <w:szCs w:val="20"/>
        </w:rPr>
        <w:tab/>
      </w:r>
      <w:proofErr w:type="spellStart"/>
      <w:r w:rsidRPr="00271F0D">
        <w:rPr>
          <w:rFonts w:ascii="Cambria Math" w:hAnsi="Cambria Math"/>
          <w:i/>
          <w:sz w:val="18"/>
          <w:szCs w:val="20"/>
        </w:rPr>
        <w:t>d</w:t>
      </w:r>
      <w:r w:rsidRPr="00271F0D">
        <w:rPr>
          <w:rFonts w:ascii="Cambria Math" w:hAnsi="Cambria Math"/>
          <w:i/>
          <w:sz w:val="18"/>
          <w:szCs w:val="20"/>
          <w:vertAlign w:val="subscript"/>
        </w:rPr>
        <w:t>pool</w:t>
      </w:r>
      <w:proofErr w:type="spellEnd"/>
      <w:r w:rsidRPr="00271F0D">
        <w:rPr>
          <w:rFonts w:ascii="Cambria Math" w:hAnsi="Cambria Math"/>
          <w:i/>
          <w:sz w:val="18"/>
          <w:szCs w:val="20"/>
          <w:vertAlign w:val="subscript"/>
        </w:rPr>
        <w:t xml:space="preserve"> </w:t>
      </w:r>
      <w:r w:rsidRPr="00271F0D">
        <w:rPr>
          <w:rFonts w:ascii="Cambria Math" w:hAnsi="Cambria Math"/>
          <w:i/>
          <w:sz w:val="18"/>
          <w:szCs w:val="20"/>
        </w:rPr>
        <w:t>= Average pool depth (ft)</w:t>
      </w:r>
    </w:p>
    <w:p w14:paraId="49F9C093" w14:textId="77777777" w:rsidR="00723239" w:rsidRDefault="00723239" w:rsidP="0035670F"/>
    <w:p w14:paraId="5FA3F79C" w14:textId="6EA4E2AA" w:rsidR="00221A25" w:rsidRDefault="00221A25" w:rsidP="00221A25">
      <w:pPr>
        <w:rPr>
          <w:rFonts w:asciiTheme="minorHAnsi" w:hAnsiTheme="minorHAnsi"/>
        </w:rPr>
      </w:pPr>
      <w:r>
        <w:t xml:space="preserve">The </w:t>
      </w:r>
      <w:r w:rsidR="00723239">
        <w:t>UES</w:t>
      </w:r>
      <w:r>
        <w:t xml:space="preserve"> calculation accounts for the following heat transfer mechanisms:</w:t>
      </w:r>
      <w:r w:rsidR="00297AAE">
        <w:rPr>
          <w:rStyle w:val="FootnoteReference"/>
        </w:rPr>
        <w:footnoteReference w:id="14"/>
      </w:r>
      <w:r>
        <w:t xml:space="preserve">  </w:t>
      </w:r>
    </w:p>
    <w:p w14:paraId="305F174E" w14:textId="79EC99F1" w:rsidR="00221A25" w:rsidRPr="00194A8B" w:rsidRDefault="00221A25" w:rsidP="00C01AA0">
      <w:pPr>
        <w:pStyle w:val="eTRMBulletedText"/>
      </w:pPr>
      <w:r w:rsidRPr="00194A8B">
        <w:t>Natural gas</w:t>
      </w:r>
      <w:r w:rsidR="00297AAE">
        <w:t>-</w:t>
      </w:r>
      <w:r w:rsidRPr="00194A8B">
        <w:t xml:space="preserve">fired </w:t>
      </w:r>
      <w:r w:rsidR="00FF5735">
        <w:t xml:space="preserve">or heat pump </w:t>
      </w:r>
      <w:r w:rsidRPr="00194A8B">
        <w:t>pool heater to maintain the pool water temperature</w:t>
      </w:r>
    </w:p>
    <w:p w14:paraId="4B0DD9EF" w14:textId="77777777" w:rsidR="00221A25" w:rsidRPr="00194A8B" w:rsidRDefault="00221A25" w:rsidP="00C01AA0">
      <w:pPr>
        <w:pStyle w:val="eTRMBulletedText"/>
      </w:pPr>
      <w:r w:rsidRPr="00194A8B">
        <w:t>Solar direct radiative heating of the pool surface (reduced by shading and atmospheric clearness factor, which includes haze and cloud cover)</w:t>
      </w:r>
    </w:p>
    <w:p w14:paraId="6D6E946A" w14:textId="77777777" w:rsidR="00221A25" w:rsidRPr="00194A8B" w:rsidRDefault="00221A25" w:rsidP="00C01AA0">
      <w:pPr>
        <w:pStyle w:val="eTRMBulletedText"/>
      </w:pPr>
      <w:r w:rsidRPr="00194A8B">
        <w:t xml:space="preserve">Evaporative cooling from the pool surface </w:t>
      </w:r>
    </w:p>
    <w:p w14:paraId="4640AA9B" w14:textId="77777777" w:rsidR="00221A25" w:rsidRPr="00194A8B" w:rsidRDefault="00221A25" w:rsidP="00C01AA0">
      <w:pPr>
        <w:pStyle w:val="eTRMBulletedText"/>
      </w:pPr>
      <w:r w:rsidRPr="00194A8B">
        <w:t>Radiation heat transfer from the pool surface to the sky</w:t>
      </w:r>
    </w:p>
    <w:p w14:paraId="39DDDF24" w14:textId="77777777" w:rsidR="00221A25" w:rsidRPr="00194A8B" w:rsidRDefault="00221A25" w:rsidP="00C01AA0">
      <w:pPr>
        <w:pStyle w:val="eTRMBulletedText"/>
      </w:pPr>
      <w:r w:rsidRPr="00194A8B">
        <w:t>Convection heat transfer from the pool surface to the air (free convection under calm conditions, forced convection when windy)</w:t>
      </w:r>
    </w:p>
    <w:p w14:paraId="0FC631F6" w14:textId="77777777" w:rsidR="00221A25" w:rsidRPr="00194A8B" w:rsidRDefault="00221A25" w:rsidP="00C01AA0">
      <w:pPr>
        <w:pStyle w:val="eTRMBulletedText"/>
      </w:pPr>
      <w:r w:rsidRPr="00194A8B">
        <w:t>Conduction heat transfer from the pool water to the piping and the soil</w:t>
      </w:r>
    </w:p>
    <w:p w14:paraId="41776197" w14:textId="77777777" w:rsidR="00221A25" w:rsidRPr="00194A8B" w:rsidRDefault="00221A25" w:rsidP="00C01AA0">
      <w:pPr>
        <w:pStyle w:val="eTRMBulletedText"/>
      </w:pPr>
      <w:r w:rsidRPr="00194A8B">
        <w:t>Heating the makeup water needed to replace pool water lost by evaporation.</w:t>
      </w:r>
    </w:p>
    <w:p w14:paraId="0E36994E" w14:textId="77777777" w:rsidR="00221A25" w:rsidRDefault="00221A25" w:rsidP="0035670F"/>
    <w:p w14:paraId="5D758DE8" w14:textId="262403B2" w:rsidR="004B0E22" w:rsidRPr="00A94443" w:rsidRDefault="004B0E22" w:rsidP="00C01AA0">
      <w:pPr>
        <w:pStyle w:val="eTRMHeading5"/>
        <w:keepNext/>
        <w:keepLines/>
      </w:pPr>
      <w:r w:rsidRPr="00A94443">
        <w:t>Pool Heat</w:t>
      </w:r>
      <w:r w:rsidR="00E31E33">
        <w:t xml:space="preserve"> Transfer Model</w:t>
      </w:r>
    </w:p>
    <w:p w14:paraId="029EDF95" w14:textId="76AF013D" w:rsidR="004B0E22" w:rsidRDefault="00981DF2" w:rsidP="00C01AA0">
      <w:pPr>
        <w:keepNext/>
        <w:keepLines/>
      </w:pPr>
      <w:r>
        <w:t xml:space="preserve">Annual </w:t>
      </w:r>
      <w:r w:rsidR="003259BE">
        <w:t>BTU</w:t>
      </w:r>
      <w:r>
        <w:t xml:space="preserve"> UEC </w:t>
      </w:r>
      <w:r w:rsidR="00723239">
        <w:t>was</w:t>
      </w:r>
      <w:r>
        <w:t xml:space="preserve"> calculated for baseline and measure conditions to determine the energy savings.</w:t>
      </w:r>
      <w:r w:rsidR="00FF5735">
        <w:t xml:space="preserve"> The </w:t>
      </w:r>
      <w:r w:rsidR="003259BE">
        <w:t>BTU</w:t>
      </w:r>
      <w:r w:rsidR="00FF5735">
        <w:t xml:space="preserve"> values were converted to either natural gas </w:t>
      </w:r>
      <w:proofErr w:type="spellStart"/>
      <w:r w:rsidR="00FF5735">
        <w:t>therms</w:t>
      </w:r>
      <w:proofErr w:type="spellEnd"/>
      <w:r w:rsidR="00FF5735">
        <w:t xml:space="preserve"> for the base case or electric kWh for the measure case to provide the final </w:t>
      </w:r>
      <w:r w:rsidR="005E777D">
        <w:t>impact</w:t>
      </w:r>
      <w:r w:rsidR="00FF5735">
        <w:t xml:space="preserve"> values. </w:t>
      </w:r>
    </w:p>
    <w:p w14:paraId="7ED2D66E" w14:textId="47F7A0E6" w:rsidR="00981DF2" w:rsidRDefault="00981DF2" w:rsidP="0035670F">
      <w:r>
        <w:t>The climate zone</w:t>
      </w:r>
      <w:r w:rsidR="006323BC">
        <w:t xml:space="preserve"> data</w:t>
      </w:r>
      <w:r>
        <w:t xml:space="preserve"> </w:t>
      </w:r>
      <w:r w:rsidR="00723239">
        <w:t>was</w:t>
      </w:r>
      <w:r>
        <w:t xml:space="preserve"> determined from the pool location in California</w:t>
      </w:r>
      <w:r w:rsidR="00723239">
        <w:t>. T</w:t>
      </w:r>
      <w:r>
        <w:t xml:space="preserve">he incident solar radiation </w:t>
      </w:r>
      <w:r w:rsidR="00723239">
        <w:t>was</w:t>
      </w:r>
      <w:r>
        <w:t xml:space="preserve"> determined </w:t>
      </w:r>
      <w:r w:rsidR="00337250">
        <w:t xml:space="preserve">using </w:t>
      </w:r>
      <w:r>
        <w:t>a centrally located airport weather station within each climate zone.</w:t>
      </w:r>
      <w:r w:rsidR="00A54340">
        <w:t xml:space="preserve"> </w:t>
      </w:r>
      <w:r w:rsidR="00564D63">
        <w:t xml:space="preserve">NREL </w:t>
      </w:r>
      <w:r w:rsidR="00A54340">
        <w:t xml:space="preserve">TMY3 weather files were </w:t>
      </w:r>
      <w:r w:rsidR="00564D63">
        <w:t>used for this analysis.</w:t>
      </w:r>
      <w:r w:rsidR="00564D63">
        <w:rPr>
          <w:rStyle w:val="FootnoteReference"/>
        </w:rPr>
        <w:footnoteReference w:id="15"/>
      </w:r>
      <w:r w:rsidR="00564D63">
        <w:t xml:space="preserve"> </w:t>
      </w:r>
    </w:p>
    <w:p w14:paraId="576CDE9F" w14:textId="39D46027" w:rsidR="00981DF2" w:rsidRDefault="00E00808" w:rsidP="0035670F">
      <w:r>
        <w:lastRenderedPageBreak/>
        <w:t>Pool heaters</w:t>
      </w:r>
      <w:r w:rsidR="00981DF2">
        <w:t xml:space="preserve"> do not have a regular heater</w:t>
      </w:r>
      <w:r w:rsidR="00B24A3E">
        <w:t xml:space="preserve"> </w:t>
      </w:r>
      <w:r w:rsidR="00981DF2">
        <w:t>operating pattern</w:t>
      </w:r>
      <w:r w:rsidR="00182EF4">
        <w:t>. T</w:t>
      </w:r>
      <w:r w:rsidR="00B62472">
        <w:t>herefore,</w:t>
      </w:r>
      <w:r w:rsidR="00A94443">
        <w:t xml:space="preserve"> this analysis assumed</w:t>
      </w:r>
      <w:r w:rsidR="00981DF2">
        <w:t xml:space="preserve"> a short </w:t>
      </w:r>
      <w:r w:rsidR="00A94443">
        <w:t xml:space="preserve">pool heater operating </w:t>
      </w:r>
      <w:r w:rsidR="00981DF2">
        <w:t>schedule and calibrated the energy use with the pre-determined baseline.</w:t>
      </w:r>
    </w:p>
    <w:p w14:paraId="68B2EB21" w14:textId="6DF2ABFE" w:rsidR="00981DF2" w:rsidRDefault="00981DF2" w:rsidP="0035670F">
      <w:r w:rsidRPr="007524D1">
        <w:t xml:space="preserve">The </w:t>
      </w:r>
      <w:r w:rsidR="008F3C5C" w:rsidRPr="007524D1">
        <w:t xml:space="preserve">hourly baseline and measure case </w:t>
      </w:r>
      <w:r w:rsidR="00723239" w:rsidRPr="007524D1">
        <w:t>UEC</w:t>
      </w:r>
      <w:r w:rsidR="008F3C5C" w:rsidRPr="007524D1">
        <w:t xml:space="preserve"> values</w:t>
      </w:r>
      <w:r w:rsidRPr="007524D1">
        <w:t xml:space="preserve"> </w:t>
      </w:r>
      <w:r w:rsidR="00A94443" w:rsidRPr="007524D1">
        <w:t>were calculated</w:t>
      </w:r>
      <w:r w:rsidR="00B81F35" w:rsidRPr="007524D1">
        <w:t xml:space="preserve"> using the</w:t>
      </w:r>
      <w:r w:rsidR="00A94443" w:rsidRPr="007524D1">
        <w:t xml:space="preserve"> </w:t>
      </w:r>
      <w:r w:rsidR="00B81F35" w:rsidRPr="007524D1">
        <w:t>Pool Cover and Pool Heater Energy Savings calculator developed by ICF International</w:t>
      </w:r>
      <w:r w:rsidR="00B81F35" w:rsidRPr="00ED21DD">
        <w:t>.</w:t>
      </w:r>
      <w:r w:rsidR="00BA5E4E" w:rsidRPr="00ED21DD">
        <w:rPr>
          <w:rStyle w:val="FootnoteReference"/>
        </w:rPr>
        <w:footnoteReference w:id="16"/>
      </w:r>
      <w:r w:rsidRPr="00981DF2">
        <w:t xml:space="preserve"> The pool heat transfer model was </w:t>
      </w:r>
      <w:r w:rsidR="00C23B32">
        <w:t>validated</w:t>
      </w:r>
      <w:r w:rsidR="00C23B32" w:rsidRPr="00981DF2">
        <w:t xml:space="preserve"> </w:t>
      </w:r>
      <w:r w:rsidR="00A54340">
        <w:t>against</w:t>
      </w:r>
      <w:r w:rsidR="00A54340" w:rsidRPr="00981DF2">
        <w:t xml:space="preserve"> </w:t>
      </w:r>
      <w:r w:rsidRPr="00981DF2">
        <w:t xml:space="preserve">the Energy Smart Pools software program </w:t>
      </w:r>
      <w:r w:rsidR="0085751C">
        <w:t>(</w:t>
      </w:r>
      <w:r w:rsidRPr="00981DF2">
        <w:t>RSPEC</w:t>
      </w:r>
      <w:r w:rsidR="0085751C">
        <w:t>!)</w:t>
      </w:r>
      <w:r w:rsidR="00B62472">
        <w:t>.</w:t>
      </w:r>
      <w:r w:rsidR="00B62472">
        <w:rPr>
          <w:rStyle w:val="FootnoteReference"/>
        </w:rPr>
        <w:footnoteReference w:id="17"/>
      </w:r>
    </w:p>
    <w:p w14:paraId="7C1C2117" w14:textId="77777777" w:rsidR="00403E3B" w:rsidRDefault="00403E3B" w:rsidP="00403E3B">
      <w:pPr>
        <w:pStyle w:val="eTRMHeading5"/>
      </w:pPr>
    </w:p>
    <w:p w14:paraId="37F69D0F" w14:textId="0BFFD5BF" w:rsidR="00403E3B" w:rsidRDefault="00403E3B" w:rsidP="00403E3B">
      <w:pPr>
        <w:pStyle w:val="eTRMHeading5"/>
      </w:pPr>
      <w:r>
        <w:t>Heat Pump Performance Data</w:t>
      </w:r>
    </w:p>
    <w:p w14:paraId="70B7C458" w14:textId="435B18B5" w:rsidR="00FB6AD9" w:rsidRPr="003C2102" w:rsidRDefault="00FB6AD9" w:rsidP="00FB6AD9">
      <w:r w:rsidRPr="003C2102">
        <w:t xml:space="preserve">The following section details changes made to the original pool calculator to accommodate the use of heat pump water heater measure cases. </w:t>
      </w:r>
    </w:p>
    <w:p w14:paraId="0AF40E96" w14:textId="69057D44" w:rsidR="00403E3B" w:rsidRPr="001E4506" w:rsidRDefault="00403E3B" w:rsidP="00403E3B">
      <w:r w:rsidRPr="003C2102">
        <w:t xml:space="preserve">Unlike natural gas heaters, the performance of heat pumps is dependent </w:t>
      </w:r>
      <w:r w:rsidR="006323BC">
        <w:t>up</w:t>
      </w:r>
      <w:r w:rsidRPr="003C2102">
        <w:t xml:space="preserve">on ambient outdoor temperatures. </w:t>
      </w:r>
      <w:r w:rsidRPr="007524D1">
        <w:t>To adjust heat pump performance across the year</w:t>
      </w:r>
      <w:r w:rsidR="00AA6942" w:rsidRPr="007524D1">
        <w:t>,</w:t>
      </w:r>
      <w:r w:rsidRPr="007524D1">
        <w:t xml:space="preserve"> this workpaper adopts a methodology </w:t>
      </w:r>
      <w:proofErr w:type="gramStart"/>
      <w:r w:rsidRPr="007524D1">
        <w:t>similar to</w:t>
      </w:r>
      <w:proofErr w:type="gramEnd"/>
      <w:r w:rsidRPr="007524D1">
        <w:t xml:space="preserve"> what is used in the DEER Water Heater Calculator v4.</w:t>
      </w:r>
      <w:r w:rsidR="005E777D" w:rsidRPr="007524D1">
        <w:t>1</w:t>
      </w:r>
      <w:r w:rsidR="005E777D" w:rsidRPr="00ED21DD">
        <w:rPr>
          <w:rStyle w:val="FootnoteReference"/>
        </w:rPr>
        <w:footnoteReference w:id="18"/>
      </w:r>
      <w:r w:rsidRPr="00ED21DD">
        <w:t xml:space="preserve">, </w:t>
      </w:r>
      <w:r w:rsidRPr="007524D1">
        <w:t>which uses a COP adjustment factor. The COP adjustment factor scales the heat pump nominal COP by a factor based on a calculated relationship with ambient temperature</w:t>
      </w:r>
      <w:r w:rsidRPr="00ED21DD">
        <w:t>. For</w:t>
      </w:r>
      <w:r>
        <w:t xml:space="preserve"> this workpaper, the relationship between the wet-bulb temperature and heat pump COP for all eligible products is used.</w:t>
      </w:r>
    </w:p>
    <w:p w14:paraId="4FE04491" w14:textId="09C4C227" w:rsidR="00403E3B" w:rsidRDefault="00403E3B" w:rsidP="00403E3B">
      <w:r>
        <w:t xml:space="preserve">Heat pump pool heater product data </w:t>
      </w:r>
      <w:r w:rsidR="006E54A9">
        <w:t xml:space="preserve">comprising of 311 models </w:t>
      </w:r>
      <w:r>
        <w:t>was extracted from the Air Conditioning, Heating, and Refrigeration Institute (AHRI) in August of 2020</w:t>
      </w:r>
      <w:r w:rsidR="005E777D">
        <w:rPr>
          <w:rStyle w:val="FootnoteReference"/>
        </w:rPr>
        <w:footnoteReference w:id="19"/>
      </w:r>
      <w:r>
        <w:t xml:space="preserve"> and filtered for heat pumps that meet the Title 20 minimum COP of 3.5. AHRI Standard 1160-2014</w:t>
      </w:r>
      <w:r w:rsidR="005E777D">
        <w:rPr>
          <w:rStyle w:val="FootnoteReference"/>
        </w:rPr>
        <w:footnoteReference w:id="20"/>
      </w:r>
      <w:r>
        <w:t xml:space="preserve"> is the method by which both Federal and Title 20 code require testing for heat pump pool heaters. This standard requires that heat pumps be tested at three sets of standard conditions which produce different heat pump capacities and COPs. See the table below for the standard test conditions. </w:t>
      </w:r>
    </w:p>
    <w:p w14:paraId="69B351BB" w14:textId="77777777" w:rsidR="00403E3B" w:rsidRPr="000603C7" w:rsidRDefault="00403E3B" w:rsidP="00403E3B">
      <w:pPr>
        <w:jc w:val="center"/>
      </w:pPr>
      <w:r>
        <w:rPr>
          <w:noProof/>
        </w:rPr>
        <w:lastRenderedPageBreak/>
        <w:drawing>
          <wp:inline distT="0" distB="0" distL="0" distR="0" wp14:anchorId="4CAED93A" wp14:editId="6AD05438">
            <wp:extent cx="4718304" cy="2585723"/>
            <wp:effectExtent l="0" t="0" r="6350" b="5080"/>
            <wp:docPr id="5" name="Picture 1">
              <a:extLst xmlns:a="http://schemas.openxmlformats.org/drawingml/2006/main">
                <a:ext uri="{FF2B5EF4-FFF2-40B4-BE49-F238E27FC236}">
                  <a16:creationId xmlns:a16="http://schemas.microsoft.com/office/drawing/2014/main" id="{A7216A28-5957-42CB-AE11-697A5A9A23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A7216A28-5957-42CB-AE11-697A5A9A23AE}"/>
                        </a:ext>
                      </a:extLst>
                    </pic:cNvPr>
                    <pic:cNvPicPr>
                      <a:picLocks noChangeAspect="1"/>
                    </pic:cNvPicPr>
                  </pic:nvPicPr>
                  <pic:blipFill rotWithShape="1">
                    <a:blip r:embed="rId17"/>
                    <a:srcRect l="1847" t="2252" r="4000" b="3366"/>
                    <a:stretch/>
                  </pic:blipFill>
                  <pic:spPr bwMode="auto">
                    <a:xfrm>
                      <a:off x="0" y="0"/>
                      <a:ext cx="4747159" cy="2601536"/>
                    </a:xfrm>
                    <a:prstGeom prst="rect">
                      <a:avLst/>
                    </a:prstGeom>
                    <a:ln>
                      <a:noFill/>
                    </a:ln>
                    <a:extLst>
                      <a:ext uri="{53640926-AAD7-44D8-BBD7-CCE9431645EC}">
                        <a14:shadowObscured xmlns:a14="http://schemas.microsoft.com/office/drawing/2010/main"/>
                      </a:ext>
                    </a:extLst>
                  </pic:spPr>
                </pic:pic>
              </a:graphicData>
            </a:graphic>
          </wp:inline>
        </w:drawing>
      </w:r>
    </w:p>
    <w:p w14:paraId="1F5351B8" w14:textId="77777777" w:rsidR="00403E3B" w:rsidRDefault="00403E3B" w:rsidP="00403E3B"/>
    <w:p w14:paraId="5A72D111" w14:textId="5B4C59FD" w:rsidR="00403E3B" w:rsidRDefault="00403E3B" w:rsidP="00403E3B">
      <w:r>
        <w:t xml:space="preserve">A linear regression between the test wet-bulb temperature and heat pump COP </w:t>
      </w:r>
      <w:r w:rsidR="00FB6AD9">
        <w:t xml:space="preserve">for all heat pump models in the AHRI database was performed and </w:t>
      </w:r>
      <w:r>
        <w:t xml:space="preserve">the correlation </w:t>
      </w:r>
      <w:r w:rsidR="00FB6AD9">
        <w:t xml:space="preserve">is </w:t>
      </w:r>
      <w:r>
        <w:t>shown below.</w:t>
      </w:r>
      <w:r w:rsidR="008A72B9">
        <w:rPr>
          <w:rStyle w:val="FootnoteReference"/>
        </w:rPr>
        <w:footnoteReference w:id="21"/>
      </w:r>
      <w:r>
        <w:t xml:space="preserve"> </w:t>
      </w:r>
    </w:p>
    <w:p w14:paraId="01CB4F1F" w14:textId="77777777" w:rsidR="00403E3B" w:rsidRDefault="00403E3B" w:rsidP="00403E3B">
      <w:pPr>
        <w:jc w:val="center"/>
      </w:pPr>
      <w:r>
        <w:rPr>
          <w:noProof/>
        </w:rPr>
        <w:drawing>
          <wp:inline distT="0" distB="0" distL="0" distR="0" wp14:anchorId="553BD37E" wp14:editId="732D5905">
            <wp:extent cx="4950460" cy="3121660"/>
            <wp:effectExtent l="0" t="0" r="2540"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950460" cy="3121660"/>
                    </a:xfrm>
                    <a:prstGeom prst="rect">
                      <a:avLst/>
                    </a:prstGeom>
                    <a:noFill/>
                  </pic:spPr>
                </pic:pic>
              </a:graphicData>
            </a:graphic>
          </wp:inline>
        </w:drawing>
      </w:r>
    </w:p>
    <w:p w14:paraId="6FA718D9" w14:textId="3C060568" w:rsidR="00403E3B" w:rsidRDefault="00403E3B" w:rsidP="00403E3B">
      <w:r>
        <w:t>These values represent the linear regressions for the AHRI data.</w:t>
      </w:r>
      <w:r w:rsidR="008A72B9">
        <w:rPr>
          <w:rStyle w:val="FootnoteReference"/>
        </w:rPr>
        <w:footnoteReference w:id="22"/>
      </w:r>
      <w:r>
        <w:t xml:space="preserve"> </w:t>
      </w:r>
    </w:p>
    <w:tbl>
      <w:tblPr>
        <w:tblW w:w="890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3235"/>
        <w:gridCol w:w="2970"/>
        <w:gridCol w:w="2700"/>
      </w:tblGrid>
      <w:tr w:rsidR="00403E3B" w:rsidRPr="0035670F" w14:paraId="51F504E0" w14:textId="77777777" w:rsidTr="00484437">
        <w:trPr>
          <w:trHeight w:val="10"/>
          <w:tblHeader/>
        </w:trPr>
        <w:tc>
          <w:tcPr>
            <w:tcW w:w="3235" w:type="dxa"/>
            <w:shd w:val="clear" w:color="auto" w:fill="F2F2F2" w:themeFill="background1" w:themeFillShade="F2"/>
            <w:vAlign w:val="bottom"/>
            <w:hideMark/>
          </w:tcPr>
          <w:p w14:paraId="78712CB3" w14:textId="77777777" w:rsidR="00403E3B" w:rsidRPr="005F09B3" w:rsidRDefault="00403E3B" w:rsidP="00484437">
            <w:pPr>
              <w:keepNext/>
              <w:keepLines/>
              <w:spacing w:before="0" w:after="0"/>
              <w:jc w:val="center"/>
              <w:rPr>
                <w:b/>
                <w:bCs/>
                <w:sz w:val="20"/>
                <w:szCs w:val="22"/>
              </w:rPr>
            </w:pPr>
            <w:r>
              <w:rPr>
                <w:b/>
                <w:bCs/>
                <w:sz w:val="20"/>
                <w:szCs w:val="22"/>
              </w:rPr>
              <w:t>Slope</w:t>
            </w:r>
          </w:p>
        </w:tc>
        <w:tc>
          <w:tcPr>
            <w:tcW w:w="2970" w:type="dxa"/>
            <w:shd w:val="clear" w:color="auto" w:fill="F2F2F2" w:themeFill="background1" w:themeFillShade="F2"/>
            <w:vAlign w:val="bottom"/>
            <w:hideMark/>
          </w:tcPr>
          <w:p w14:paraId="28CCC724" w14:textId="77777777" w:rsidR="00403E3B" w:rsidRPr="005F09B3" w:rsidRDefault="00403E3B" w:rsidP="00484437">
            <w:pPr>
              <w:keepNext/>
              <w:keepLines/>
              <w:spacing w:before="0" w:after="0"/>
              <w:jc w:val="center"/>
              <w:rPr>
                <w:b/>
                <w:bCs/>
                <w:sz w:val="20"/>
                <w:szCs w:val="22"/>
              </w:rPr>
            </w:pPr>
            <w:r>
              <w:rPr>
                <w:b/>
                <w:bCs/>
                <w:sz w:val="20"/>
                <w:szCs w:val="22"/>
              </w:rPr>
              <w:t>Intercept</w:t>
            </w:r>
          </w:p>
        </w:tc>
        <w:tc>
          <w:tcPr>
            <w:tcW w:w="2700" w:type="dxa"/>
            <w:shd w:val="clear" w:color="auto" w:fill="F2F2F2" w:themeFill="background1" w:themeFillShade="F2"/>
            <w:vAlign w:val="bottom"/>
            <w:hideMark/>
          </w:tcPr>
          <w:p w14:paraId="53006A26" w14:textId="77777777" w:rsidR="00403E3B" w:rsidRPr="005F09B3" w:rsidRDefault="00403E3B" w:rsidP="00484437">
            <w:pPr>
              <w:keepNext/>
              <w:keepLines/>
              <w:spacing w:before="0" w:after="0"/>
              <w:jc w:val="center"/>
              <w:rPr>
                <w:b/>
                <w:bCs/>
                <w:sz w:val="20"/>
                <w:szCs w:val="22"/>
              </w:rPr>
            </w:pPr>
            <w:r>
              <w:rPr>
                <w:b/>
                <w:bCs/>
                <w:sz w:val="20"/>
                <w:szCs w:val="22"/>
              </w:rPr>
              <w:t>R-Squared</w:t>
            </w:r>
          </w:p>
        </w:tc>
      </w:tr>
      <w:tr w:rsidR="00403E3B" w:rsidRPr="0035670F" w14:paraId="197F673C" w14:textId="77777777" w:rsidTr="00484437">
        <w:trPr>
          <w:trHeight w:val="10"/>
        </w:trPr>
        <w:tc>
          <w:tcPr>
            <w:tcW w:w="3235" w:type="dxa"/>
            <w:vAlign w:val="bottom"/>
          </w:tcPr>
          <w:p w14:paraId="3FC8F3BF" w14:textId="77777777" w:rsidR="00403E3B" w:rsidRPr="005F09B3" w:rsidRDefault="00403E3B" w:rsidP="00484437">
            <w:pPr>
              <w:spacing w:before="0" w:after="0"/>
              <w:jc w:val="center"/>
              <w:rPr>
                <w:sz w:val="20"/>
                <w:szCs w:val="22"/>
              </w:rPr>
            </w:pPr>
            <w:r>
              <w:rPr>
                <w:sz w:val="20"/>
                <w:szCs w:val="22"/>
              </w:rPr>
              <w:t>0.0572</w:t>
            </w:r>
          </w:p>
        </w:tc>
        <w:tc>
          <w:tcPr>
            <w:tcW w:w="2970" w:type="dxa"/>
            <w:vAlign w:val="bottom"/>
          </w:tcPr>
          <w:p w14:paraId="1B3BAF38" w14:textId="77777777" w:rsidR="00403E3B" w:rsidRPr="005F09B3" w:rsidRDefault="00403E3B" w:rsidP="00484437">
            <w:pPr>
              <w:spacing w:before="0" w:after="0"/>
              <w:jc w:val="center"/>
              <w:rPr>
                <w:sz w:val="20"/>
                <w:szCs w:val="22"/>
              </w:rPr>
            </w:pPr>
            <w:r>
              <w:rPr>
                <w:sz w:val="20"/>
                <w:szCs w:val="22"/>
              </w:rPr>
              <w:t>1.4626</w:t>
            </w:r>
          </w:p>
        </w:tc>
        <w:tc>
          <w:tcPr>
            <w:tcW w:w="2700" w:type="dxa"/>
            <w:vAlign w:val="bottom"/>
          </w:tcPr>
          <w:p w14:paraId="5BBDC019" w14:textId="77777777" w:rsidR="00403E3B" w:rsidRPr="005F09B3" w:rsidRDefault="00403E3B" w:rsidP="00484437">
            <w:pPr>
              <w:spacing w:before="0" w:after="0"/>
              <w:ind w:right="340"/>
              <w:jc w:val="center"/>
              <w:rPr>
                <w:sz w:val="20"/>
                <w:szCs w:val="22"/>
              </w:rPr>
            </w:pPr>
            <w:r>
              <w:rPr>
                <w:sz w:val="20"/>
                <w:szCs w:val="22"/>
              </w:rPr>
              <w:t>0.8455</w:t>
            </w:r>
          </w:p>
        </w:tc>
      </w:tr>
    </w:tbl>
    <w:p w14:paraId="47A82EB4" w14:textId="397B22F7" w:rsidR="00403E3B" w:rsidRDefault="00403E3B" w:rsidP="00403E3B">
      <w:r>
        <w:lastRenderedPageBreak/>
        <w:t xml:space="preserve">Using the linear fit regression from the AHRI data, the estimated COP at </w:t>
      </w:r>
      <w:r w:rsidR="00FB6AD9">
        <w:t>each of the</w:t>
      </w:r>
      <w:r>
        <w:t xml:space="preserve"> test condition</w:t>
      </w:r>
      <w:r w:rsidR="00FB6AD9">
        <w:t>s</w:t>
      </w:r>
      <w:r>
        <w:t xml:space="preserve"> are shown below.</w:t>
      </w:r>
      <w:r w:rsidR="008A72B9">
        <w:rPr>
          <w:rStyle w:val="FootnoteReference"/>
        </w:rPr>
        <w:footnoteReference w:id="23"/>
      </w:r>
      <w:r>
        <w:t xml:space="preserve">  </w:t>
      </w:r>
    </w:p>
    <w:tbl>
      <w:tblPr>
        <w:tblW w:w="890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4405"/>
        <w:gridCol w:w="2340"/>
        <w:gridCol w:w="2160"/>
      </w:tblGrid>
      <w:tr w:rsidR="00403E3B" w:rsidRPr="0035670F" w14:paraId="5E42829E" w14:textId="77777777" w:rsidTr="00484437">
        <w:trPr>
          <w:trHeight w:val="10"/>
          <w:tblHeader/>
        </w:trPr>
        <w:tc>
          <w:tcPr>
            <w:tcW w:w="4405" w:type="dxa"/>
            <w:shd w:val="clear" w:color="auto" w:fill="F2F2F2" w:themeFill="background1" w:themeFillShade="F2"/>
            <w:vAlign w:val="bottom"/>
            <w:hideMark/>
          </w:tcPr>
          <w:p w14:paraId="1A149B4A" w14:textId="77777777" w:rsidR="00403E3B" w:rsidRPr="005F09B3" w:rsidRDefault="00403E3B" w:rsidP="00484437">
            <w:pPr>
              <w:keepNext/>
              <w:keepLines/>
              <w:spacing w:before="0" w:after="0"/>
              <w:jc w:val="center"/>
              <w:rPr>
                <w:b/>
                <w:bCs/>
                <w:sz w:val="20"/>
                <w:szCs w:val="22"/>
              </w:rPr>
            </w:pPr>
            <w:r>
              <w:rPr>
                <w:b/>
                <w:bCs/>
                <w:sz w:val="20"/>
                <w:szCs w:val="22"/>
              </w:rPr>
              <w:t>Test Condition</w:t>
            </w:r>
          </w:p>
        </w:tc>
        <w:tc>
          <w:tcPr>
            <w:tcW w:w="2340" w:type="dxa"/>
            <w:shd w:val="clear" w:color="auto" w:fill="F2F2F2" w:themeFill="background1" w:themeFillShade="F2"/>
            <w:vAlign w:val="bottom"/>
            <w:hideMark/>
          </w:tcPr>
          <w:p w14:paraId="23962EF1" w14:textId="77777777" w:rsidR="00403E3B" w:rsidRPr="005F09B3" w:rsidRDefault="00403E3B" w:rsidP="00484437">
            <w:pPr>
              <w:keepNext/>
              <w:keepLines/>
              <w:spacing w:before="0" w:after="0"/>
              <w:jc w:val="center"/>
              <w:rPr>
                <w:b/>
                <w:bCs/>
                <w:sz w:val="20"/>
                <w:szCs w:val="22"/>
              </w:rPr>
            </w:pPr>
            <w:r>
              <w:rPr>
                <w:b/>
                <w:bCs/>
                <w:sz w:val="20"/>
                <w:szCs w:val="22"/>
              </w:rPr>
              <w:t>Test Wet Bulb Temperature (°F)</w:t>
            </w:r>
          </w:p>
        </w:tc>
        <w:tc>
          <w:tcPr>
            <w:tcW w:w="2160" w:type="dxa"/>
            <w:shd w:val="clear" w:color="auto" w:fill="F2F2F2" w:themeFill="background1" w:themeFillShade="F2"/>
            <w:vAlign w:val="bottom"/>
            <w:hideMark/>
          </w:tcPr>
          <w:p w14:paraId="53938AD9" w14:textId="77777777" w:rsidR="00403E3B" w:rsidRPr="005F09B3" w:rsidRDefault="00403E3B" w:rsidP="00484437">
            <w:pPr>
              <w:keepNext/>
              <w:keepLines/>
              <w:spacing w:before="0" w:after="0"/>
              <w:jc w:val="center"/>
              <w:rPr>
                <w:b/>
                <w:bCs/>
                <w:sz w:val="20"/>
                <w:szCs w:val="22"/>
              </w:rPr>
            </w:pPr>
            <w:r>
              <w:rPr>
                <w:b/>
                <w:bCs/>
                <w:sz w:val="20"/>
                <w:szCs w:val="22"/>
              </w:rPr>
              <w:t>COP at WB Temperature</w:t>
            </w:r>
          </w:p>
        </w:tc>
      </w:tr>
      <w:tr w:rsidR="00403E3B" w:rsidRPr="0035670F" w14:paraId="0E3A6EB8" w14:textId="77777777" w:rsidTr="00484437">
        <w:trPr>
          <w:trHeight w:val="10"/>
        </w:trPr>
        <w:tc>
          <w:tcPr>
            <w:tcW w:w="4405" w:type="dxa"/>
            <w:vAlign w:val="bottom"/>
          </w:tcPr>
          <w:p w14:paraId="3899D4CB" w14:textId="0F3F29FC" w:rsidR="00403E3B" w:rsidRPr="00373874" w:rsidRDefault="00403E3B" w:rsidP="00484437">
            <w:pPr>
              <w:spacing w:before="0" w:after="0"/>
              <w:rPr>
                <w:rFonts w:cs="Calibri Light"/>
                <w:sz w:val="20"/>
                <w:szCs w:val="20"/>
              </w:rPr>
            </w:pPr>
            <w:r w:rsidRPr="00373874">
              <w:rPr>
                <w:rFonts w:cs="Calibri Light"/>
                <w:color w:val="000000"/>
                <w:sz w:val="20"/>
                <w:szCs w:val="20"/>
              </w:rPr>
              <w:t>High Air Temperature -</w:t>
            </w:r>
            <w:r w:rsidR="003C2102">
              <w:rPr>
                <w:rFonts w:cs="Calibri Light"/>
                <w:color w:val="000000"/>
                <w:sz w:val="20"/>
                <w:szCs w:val="20"/>
              </w:rPr>
              <w:t xml:space="preserve"> </w:t>
            </w:r>
            <w:r w:rsidRPr="00373874">
              <w:rPr>
                <w:rFonts w:cs="Calibri Light"/>
                <w:color w:val="000000"/>
                <w:sz w:val="20"/>
                <w:szCs w:val="20"/>
              </w:rPr>
              <w:t>High Humidity Heating</w:t>
            </w:r>
          </w:p>
        </w:tc>
        <w:tc>
          <w:tcPr>
            <w:tcW w:w="2340" w:type="dxa"/>
            <w:vAlign w:val="bottom"/>
          </w:tcPr>
          <w:p w14:paraId="00855115" w14:textId="77777777" w:rsidR="00403E3B" w:rsidRPr="00373874" w:rsidRDefault="00403E3B" w:rsidP="00484437">
            <w:pPr>
              <w:spacing w:before="0" w:after="0"/>
              <w:jc w:val="center"/>
              <w:rPr>
                <w:rFonts w:cs="Calibri Light"/>
                <w:sz w:val="20"/>
                <w:szCs w:val="20"/>
              </w:rPr>
            </w:pPr>
            <w:r w:rsidRPr="00373874">
              <w:rPr>
                <w:rFonts w:cs="Calibri Light"/>
                <w:color w:val="000000"/>
                <w:sz w:val="20"/>
                <w:szCs w:val="20"/>
              </w:rPr>
              <w:t>75.8</w:t>
            </w:r>
          </w:p>
        </w:tc>
        <w:tc>
          <w:tcPr>
            <w:tcW w:w="2160" w:type="dxa"/>
            <w:vAlign w:val="bottom"/>
          </w:tcPr>
          <w:p w14:paraId="1584443C" w14:textId="77777777" w:rsidR="00403E3B" w:rsidRPr="00373874" w:rsidRDefault="00403E3B" w:rsidP="00484437">
            <w:pPr>
              <w:spacing w:before="0" w:after="0"/>
              <w:ind w:right="340"/>
              <w:jc w:val="center"/>
              <w:rPr>
                <w:rFonts w:cs="Calibri Light"/>
                <w:sz w:val="20"/>
                <w:szCs w:val="20"/>
              </w:rPr>
            </w:pPr>
            <w:r w:rsidRPr="00373874">
              <w:rPr>
                <w:rFonts w:cs="Calibri Light"/>
                <w:color w:val="000000"/>
                <w:sz w:val="20"/>
                <w:szCs w:val="20"/>
              </w:rPr>
              <w:t>5.8</w:t>
            </w:r>
          </w:p>
        </w:tc>
      </w:tr>
      <w:tr w:rsidR="00403E3B" w:rsidRPr="0035670F" w14:paraId="15F08E46" w14:textId="77777777" w:rsidTr="00484437">
        <w:trPr>
          <w:trHeight w:val="10"/>
        </w:trPr>
        <w:tc>
          <w:tcPr>
            <w:tcW w:w="4405" w:type="dxa"/>
            <w:vAlign w:val="bottom"/>
          </w:tcPr>
          <w:p w14:paraId="72B63B4E" w14:textId="77777777" w:rsidR="00403E3B" w:rsidRPr="007524D1" w:rsidRDefault="00403E3B" w:rsidP="00484437">
            <w:pPr>
              <w:spacing w:before="0" w:after="0"/>
              <w:rPr>
                <w:rFonts w:cs="Calibri Light"/>
                <w:sz w:val="20"/>
                <w:szCs w:val="20"/>
              </w:rPr>
            </w:pPr>
            <w:r w:rsidRPr="007524D1">
              <w:rPr>
                <w:rFonts w:cs="Calibri Light"/>
                <w:color w:val="000000"/>
                <w:sz w:val="20"/>
                <w:szCs w:val="20"/>
              </w:rPr>
              <w:t>High Air Temperature - Mid Humidity Heating</w:t>
            </w:r>
          </w:p>
        </w:tc>
        <w:tc>
          <w:tcPr>
            <w:tcW w:w="2340" w:type="dxa"/>
            <w:vAlign w:val="bottom"/>
          </w:tcPr>
          <w:p w14:paraId="540E1935" w14:textId="77777777" w:rsidR="00403E3B" w:rsidRPr="007524D1" w:rsidRDefault="00403E3B" w:rsidP="00484437">
            <w:pPr>
              <w:spacing w:before="0" w:after="0"/>
              <w:jc w:val="center"/>
              <w:rPr>
                <w:rFonts w:cs="Calibri Light"/>
                <w:sz w:val="20"/>
                <w:szCs w:val="20"/>
              </w:rPr>
            </w:pPr>
            <w:r w:rsidRPr="007524D1">
              <w:rPr>
                <w:rFonts w:cs="Calibri Light"/>
                <w:color w:val="000000"/>
                <w:sz w:val="20"/>
                <w:szCs w:val="20"/>
              </w:rPr>
              <w:t>71.2</w:t>
            </w:r>
          </w:p>
        </w:tc>
        <w:tc>
          <w:tcPr>
            <w:tcW w:w="2160" w:type="dxa"/>
            <w:vAlign w:val="bottom"/>
          </w:tcPr>
          <w:p w14:paraId="3BE9DDD8" w14:textId="0AFBBEB7" w:rsidR="00403E3B" w:rsidRPr="007524D1" w:rsidRDefault="00403E3B" w:rsidP="00484437">
            <w:pPr>
              <w:spacing w:before="0" w:after="0"/>
              <w:ind w:right="340"/>
              <w:jc w:val="center"/>
              <w:rPr>
                <w:rFonts w:cs="Calibri Light"/>
                <w:sz w:val="20"/>
                <w:szCs w:val="20"/>
              </w:rPr>
            </w:pPr>
            <w:r w:rsidRPr="007524D1">
              <w:rPr>
                <w:rFonts w:cs="Calibri Light"/>
                <w:color w:val="000000"/>
                <w:sz w:val="20"/>
                <w:szCs w:val="20"/>
              </w:rPr>
              <w:t>5.5</w:t>
            </w:r>
          </w:p>
        </w:tc>
      </w:tr>
      <w:tr w:rsidR="00403E3B" w:rsidRPr="0035670F" w14:paraId="01C63409" w14:textId="77777777" w:rsidTr="00484437">
        <w:trPr>
          <w:trHeight w:val="10"/>
        </w:trPr>
        <w:tc>
          <w:tcPr>
            <w:tcW w:w="4405" w:type="dxa"/>
            <w:vAlign w:val="bottom"/>
          </w:tcPr>
          <w:p w14:paraId="488ECEFF" w14:textId="77777777" w:rsidR="00403E3B" w:rsidRPr="00373874" w:rsidRDefault="00403E3B" w:rsidP="00484437">
            <w:pPr>
              <w:spacing w:before="0" w:after="0"/>
              <w:rPr>
                <w:rFonts w:cs="Calibri Light"/>
                <w:sz w:val="20"/>
                <w:szCs w:val="20"/>
              </w:rPr>
            </w:pPr>
            <w:r w:rsidRPr="00373874">
              <w:rPr>
                <w:rFonts w:cs="Calibri Light"/>
                <w:color w:val="000000"/>
                <w:sz w:val="20"/>
                <w:szCs w:val="20"/>
              </w:rPr>
              <w:t>Low Air Temperature - Mid Humidity</w:t>
            </w:r>
          </w:p>
        </w:tc>
        <w:tc>
          <w:tcPr>
            <w:tcW w:w="2340" w:type="dxa"/>
            <w:vAlign w:val="bottom"/>
          </w:tcPr>
          <w:p w14:paraId="29A7F5FD" w14:textId="77777777" w:rsidR="00403E3B" w:rsidRPr="00373874" w:rsidRDefault="00403E3B" w:rsidP="00484437">
            <w:pPr>
              <w:spacing w:before="0" w:after="0"/>
              <w:jc w:val="center"/>
              <w:rPr>
                <w:rFonts w:cs="Calibri Light"/>
                <w:sz w:val="20"/>
                <w:szCs w:val="20"/>
              </w:rPr>
            </w:pPr>
            <w:r w:rsidRPr="00373874">
              <w:rPr>
                <w:rFonts w:cs="Calibri Light"/>
                <w:color w:val="000000"/>
                <w:sz w:val="20"/>
                <w:szCs w:val="20"/>
              </w:rPr>
              <w:t>44.3</w:t>
            </w:r>
          </w:p>
        </w:tc>
        <w:tc>
          <w:tcPr>
            <w:tcW w:w="2160" w:type="dxa"/>
            <w:vAlign w:val="bottom"/>
          </w:tcPr>
          <w:p w14:paraId="2B94AD39" w14:textId="76D03876" w:rsidR="00403E3B" w:rsidRPr="00373874" w:rsidRDefault="00403E3B" w:rsidP="00484437">
            <w:pPr>
              <w:spacing w:before="0" w:after="0"/>
              <w:ind w:right="340"/>
              <w:jc w:val="center"/>
              <w:rPr>
                <w:rFonts w:cs="Calibri Light"/>
                <w:sz w:val="20"/>
                <w:szCs w:val="20"/>
              </w:rPr>
            </w:pPr>
            <w:r w:rsidRPr="00373874">
              <w:rPr>
                <w:rFonts w:cs="Calibri Light"/>
                <w:color w:val="000000"/>
                <w:sz w:val="20"/>
                <w:szCs w:val="20"/>
              </w:rPr>
              <w:t>4.0</w:t>
            </w:r>
          </w:p>
        </w:tc>
      </w:tr>
    </w:tbl>
    <w:p w14:paraId="2BC6E5F5" w14:textId="77777777" w:rsidR="00403E3B" w:rsidRDefault="00403E3B" w:rsidP="00403E3B"/>
    <w:p w14:paraId="0870B3B0" w14:textId="0055333B" w:rsidR="00403E3B" w:rsidRDefault="00403E3B" w:rsidP="00403E3B">
      <w:r>
        <w:t>The weather dependent COP</w:t>
      </w:r>
      <w:r w:rsidR="00FB6AD9">
        <w:t xml:space="preserve"> adjustment</w:t>
      </w:r>
      <w:r>
        <w:t xml:space="preserve"> is calculated hourly by using the wet-bulb field from the climate zone’s weather file and dividing by the COP from the standard test condition to find the COP adjustment factor</w:t>
      </w:r>
      <w:r w:rsidR="006920A9">
        <w:rPr>
          <w:rStyle w:val="FootnoteReference"/>
        </w:rPr>
        <w:footnoteReference w:id="24"/>
      </w:r>
      <w:r>
        <w:t xml:space="preserve">. The </w:t>
      </w:r>
      <w:r w:rsidRPr="00373874">
        <w:t>High Air Temperature - Mid Humidity Heating</w:t>
      </w:r>
      <w:r>
        <w:t xml:space="preserve"> was selected as the most representative test condition</w:t>
      </w:r>
      <w:r w:rsidR="00FB6AD9">
        <w:t xml:space="preserve"> for the California pool season</w:t>
      </w:r>
      <w:r>
        <w:t>, so the COP value at that test condition is used as the normalizing value for the adjustment factor. The adjustment factor is calculated as follow</w:t>
      </w:r>
      <w:r w:rsidR="008A72B9">
        <w:t>s</w:t>
      </w:r>
      <w:r>
        <w:t xml:space="preserve">: </w:t>
      </w:r>
    </w:p>
    <w:p w14:paraId="66AA1C96" w14:textId="77777777" w:rsidR="00403E3B" w:rsidRDefault="00403E3B" w:rsidP="00403E3B">
      <m:oMathPara>
        <m:oMath>
          <m:r>
            <w:rPr>
              <w:rFonts w:ascii="Cambria Math" w:hAnsi="Cambria Math"/>
            </w:rPr>
            <m:t xml:space="preserve">COP Adjustement Factor= </m:t>
          </m:r>
          <m:f>
            <m:fPr>
              <m:ctrlPr>
                <w:rPr>
                  <w:rFonts w:ascii="Cambria Math" w:hAnsi="Cambria Math"/>
                  <w:i/>
                </w:rPr>
              </m:ctrlPr>
            </m:fPr>
            <m:num>
              <m:sSub>
                <m:sSubPr>
                  <m:ctrlPr>
                    <w:rPr>
                      <w:rFonts w:ascii="Cambria Math" w:hAnsi="Cambria Math"/>
                      <w:i/>
                    </w:rPr>
                  </m:ctrlPr>
                </m:sSubPr>
                <m:e>
                  <m:r>
                    <w:rPr>
                      <w:rFonts w:ascii="Cambria Math" w:hAnsi="Cambria Math"/>
                    </w:rPr>
                    <m:t>COP</m:t>
                  </m:r>
                </m:e>
                <m:sub>
                  <m:r>
                    <w:rPr>
                      <w:rFonts w:ascii="Cambria Math" w:hAnsi="Cambria Math"/>
                    </w:rPr>
                    <m:t>WB-Hourly Weather</m:t>
                  </m:r>
                </m:sub>
              </m:sSub>
            </m:num>
            <m:den>
              <m:sSub>
                <m:sSubPr>
                  <m:ctrlPr>
                    <w:rPr>
                      <w:rFonts w:ascii="Cambria Math" w:hAnsi="Cambria Math"/>
                      <w:i/>
                    </w:rPr>
                  </m:ctrlPr>
                </m:sSubPr>
                <m:e>
                  <m:r>
                    <w:rPr>
                      <w:rFonts w:ascii="Cambria Math" w:hAnsi="Cambria Math"/>
                    </w:rPr>
                    <m:t>COP</m:t>
                  </m:r>
                </m:e>
                <m:sub>
                  <m:r>
                    <w:rPr>
                      <w:rFonts w:ascii="Cambria Math" w:hAnsi="Cambria Math"/>
                    </w:rPr>
                    <m:t>WB-Test Condition</m:t>
                  </m:r>
                </m:sub>
              </m:sSub>
            </m:den>
          </m:f>
        </m:oMath>
      </m:oMathPara>
    </w:p>
    <w:p w14:paraId="2717826E" w14:textId="77777777" w:rsidR="00403E3B" w:rsidRDefault="00403E3B" w:rsidP="00403E3B">
      <w:r>
        <w:t xml:space="preserve">Where: </w:t>
      </w:r>
    </w:p>
    <w:p w14:paraId="4BF38AEE" w14:textId="77777777" w:rsidR="00403E3B" w:rsidRDefault="0029167C" w:rsidP="00403E3B">
      <m:oMathPara>
        <m:oMath>
          <m:sSub>
            <m:sSubPr>
              <m:ctrlPr>
                <w:rPr>
                  <w:rFonts w:ascii="Cambria Math" w:hAnsi="Cambria Math"/>
                  <w:i/>
                </w:rPr>
              </m:ctrlPr>
            </m:sSubPr>
            <m:e>
              <m:r>
                <w:rPr>
                  <w:rFonts w:ascii="Cambria Math" w:hAnsi="Cambria Math"/>
                </w:rPr>
                <m:t>COP</m:t>
              </m:r>
            </m:e>
            <m:sub>
              <m:r>
                <w:rPr>
                  <w:rFonts w:ascii="Cambria Math" w:hAnsi="Cambria Math"/>
                </w:rPr>
                <m:t>WB-Hourly Weather</m:t>
              </m:r>
            </m:sub>
          </m:sSub>
          <m:r>
            <w:rPr>
              <w:rFonts w:ascii="Cambria Math" w:hAnsi="Cambria Math"/>
            </w:rPr>
            <m:t>=</m:t>
          </m:r>
          <m:d>
            <m:dPr>
              <m:ctrlPr>
                <w:rPr>
                  <w:rFonts w:ascii="Cambria Math" w:hAnsi="Cambria Math"/>
                  <w:i/>
                </w:rPr>
              </m:ctrlPr>
            </m:dPr>
            <m:e>
              <m:r>
                <w:rPr>
                  <w:rFonts w:ascii="Cambria Math" w:hAnsi="Cambria Math"/>
                </w:rPr>
                <m:t xml:space="preserve">0.0572× </m:t>
              </m:r>
              <m:sSub>
                <m:sSubPr>
                  <m:ctrlPr>
                    <w:rPr>
                      <w:rFonts w:ascii="Cambria Math" w:hAnsi="Cambria Math"/>
                      <w:i/>
                    </w:rPr>
                  </m:ctrlPr>
                </m:sSubPr>
                <m:e>
                  <m:r>
                    <w:rPr>
                      <w:rFonts w:ascii="Cambria Math" w:hAnsi="Cambria Math"/>
                    </w:rPr>
                    <m:t>T</m:t>
                  </m:r>
                </m:e>
                <m:sub>
                  <m:r>
                    <w:rPr>
                      <w:rFonts w:ascii="Cambria Math" w:hAnsi="Cambria Math"/>
                    </w:rPr>
                    <m:t>WB-Hourly Weather</m:t>
                  </m:r>
                </m:sub>
              </m:sSub>
            </m:e>
          </m:d>
          <m:r>
            <w:rPr>
              <w:rFonts w:ascii="Cambria Math" w:hAnsi="Cambria Math"/>
            </w:rPr>
            <m:t>+1.4626</m:t>
          </m:r>
        </m:oMath>
      </m:oMathPara>
    </w:p>
    <w:p w14:paraId="5925A58D" w14:textId="77777777" w:rsidR="00403E3B" w:rsidRDefault="00403E3B" w:rsidP="00403E3B">
      <w:r>
        <w:t xml:space="preserve">And </w:t>
      </w:r>
    </w:p>
    <w:p w14:paraId="144CEAF1" w14:textId="77777777" w:rsidR="00403E3B" w:rsidRDefault="0029167C" w:rsidP="00403E3B">
      <m:oMathPara>
        <m:oMath>
          <m:sSub>
            <m:sSubPr>
              <m:ctrlPr>
                <w:rPr>
                  <w:rFonts w:ascii="Cambria Math" w:hAnsi="Cambria Math"/>
                  <w:i/>
                </w:rPr>
              </m:ctrlPr>
            </m:sSubPr>
            <m:e>
              <m:r>
                <w:rPr>
                  <w:rFonts w:ascii="Cambria Math" w:hAnsi="Cambria Math"/>
                </w:rPr>
                <m:t>COP</m:t>
              </m:r>
            </m:e>
            <m:sub>
              <m:r>
                <w:rPr>
                  <w:rFonts w:ascii="Cambria Math" w:hAnsi="Cambria Math"/>
                </w:rPr>
                <m:t>WB-Test Condition</m:t>
              </m:r>
            </m:sub>
          </m:sSub>
          <m:r>
            <w:rPr>
              <w:rFonts w:ascii="Cambria Math" w:hAnsi="Cambria Math"/>
            </w:rPr>
            <m:t>=</m:t>
          </m:r>
          <m:d>
            <m:dPr>
              <m:ctrlPr>
                <w:rPr>
                  <w:rFonts w:ascii="Cambria Math" w:hAnsi="Cambria Math"/>
                  <w:i/>
                </w:rPr>
              </m:ctrlPr>
            </m:dPr>
            <m:e>
              <m:r>
                <w:rPr>
                  <w:rFonts w:ascii="Cambria Math" w:hAnsi="Cambria Math"/>
                </w:rPr>
                <m:t>0.0572× 71.2</m:t>
              </m:r>
            </m:e>
          </m:d>
          <m:r>
            <w:rPr>
              <w:rFonts w:ascii="Cambria Math" w:hAnsi="Cambria Math"/>
            </w:rPr>
            <m:t>+1.4626=5.53</m:t>
          </m:r>
        </m:oMath>
      </m:oMathPara>
    </w:p>
    <w:p w14:paraId="0A518114" w14:textId="2CDFE26A" w:rsidR="00403E3B" w:rsidRDefault="00403E3B" w:rsidP="00403E3B"/>
    <w:p w14:paraId="23FDBFDF" w14:textId="7114434D" w:rsidR="00FB6AD9" w:rsidRDefault="00FB6AD9" w:rsidP="00403E3B">
      <w:r>
        <w:t>The adjusted COP value is calculated</w:t>
      </w:r>
      <w:r w:rsidR="008A72B9">
        <w:t xml:space="preserve"> in the tool hourly</w:t>
      </w:r>
      <w:r>
        <w:t xml:space="preserve"> by multiplying the heat pumps nominal COP by the adjustment factor. </w:t>
      </w:r>
    </w:p>
    <w:p w14:paraId="2738E155" w14:textId="34232B28" w:rsidR="00FB6AD9" w:rsidRDefault="0029167C" w:rsidP="00403E3B">
      <m:oMathPara>
        <m:oMath>
          <m:sSub>
            <m:sSubPr>
              <m:ctrlPr>
                <w:rPr>
                  <w:rFonts w:ascii="Cambria Math" w:hAnsi="Cambria Math"/>
                  <w:i/>
                </w:rPr>
              </m:ctrlPr>
            </m:sSubPr>
            <m:e>
              <m:r>
                <w:rPr>
                  <w:rFonts w:ascii="Cambria Math" w:hAnsi="Cambria Math"/>
                </w:rPr>
                <m:t>COP</m:t>
              </m:r>
            </m:e>
            <m:sub>
              <m:r>
                <w:rPr>
                  <w:rFonts w:ascii="Cambria Math" w:hAnsi="Cambria Math"/>
                </w:rPr>
                <m:t>Adjusted</m:t>
              </m:r>
            </m:sub>
          </m:sSub>
          <m:r>
            <w:rPr>
              <w:rFonts w:ascii="Cambria Math" w:hAnsi="Cambria Math"/>
            </w:rPr>
            <m:t xml:space="preserve">= </m:t>
          </m:r>
          <m:sSub>
            <m:sSubPr>
              <m:ctrlPr>
                <w:rPr>
                  <w:rFonts w:ascii="Cambria Math" w:hAnsi="Cambria Math"/>
                  <w:i/>
                </w:rPr>
              </m:ctrlPr>
            </m:sSubPr>
            <m:e>
              <m:r>
                <w:rPr>
                  <w:rFonts w:ascii="Cambria Math" w:hAnsi="Cambria Math"/>
                </w:rPr>
                <m:t>COP</m:t>
              </m:r>
            </m:e>
            <m:sub>
              <m:r>
                <w:rPr>
                  <w:rFonts w:ascii="Cambria Math" w:hAnsi="Cambria Math"/>
                </w:rPr>
                <m:t>Nominal</m:t>
              </m:r>
            </m:sub>
          </m:sSub>
          <m:r>
            <w:rPr>
              <w:rFonts w:ascii="Cambria Math" w:hAnsi="Cambria Math"/>
            </w:rPr>
            <m:t>× COP Adjustement Factor</m:t>
          </m:r>
        </m:oMath>
      </m:oMathPara>
    </w:p>
    <w:p w14:paraId="33465962" w14:textId="77777777" w:rsidR="00FB6AD9" w:rsidRDefault="00FB6AD9" w:rsidP="00403E3B"/>
    <w:p w14:paraId="4A3501B2" w14:textId="7E1BE735" w:rsidR="00867B6C" w:rsidRDefault="00403E3B" w:rsidP="00403E3B">
      <w:r>
        <w:t xml:space="preserve">The </w:t>
      </w:r>
      <w:r w:rsidR="00867B6C">
        <w:t xml:space="preserve">hourly </w:t>
      </w:r>
      <w:r w:rsidR="00435FB8">
        <w:t xml:space="preserve">TMY </w:t>
      </w:r>
      <w:r>
        <w:t>weather files used in the calculation are from NREL</w:t>
      </w:r>
      <w:r w:rsidR="003259BE">
        <w:t xml:space="preserve"> </w:t>
      </w:r>
      <w:r>
        <w:t>and do not directly provide wet-bulb temperature</w:t>
      </w:r>
      <w:r w:rsidR="00867B6C">
        <w:t>s</w:t>
      </w:r>
      <w:r>
        <w:t xml:space="preserve">. The following equation from </w:t>
      </w:r>
      <w:r w:rsidR="00B802D1">
        <w:t>Stull</w:t>
      </w:r>
      <w:r>
        <w:t xml:space="preserve"> estimate</w:t>
      </w:r>
      <w:r w:rsidR="00867B6C">
        <w:t>s</w:t>
      </w:r>
      <w:r>
        <w:t xml:space="preserve"> the wet-bulb temperature by using the dry-bulb temperature and relative humidity.</w:t>
      </w:r>
      <w:r w:rsidR="008A72B9">
        <w:rPr>
          <w:rStyle w:val="FootnoteReference"/>
        </w:rPr>
        <w:footnoteReference w:id="25"/>
      </w:r>
      <w:r>
        <w:t xml:space="preserve"> </w:t>
      </w:r>
    </w:p>
    <w:p w14:paraId="7CB486C5" w14:textId="647DF83A" w:rsidR="00867B6C" w:rsidRDefault="00867B6C" w:rsidP="00403E3B">
      <w:r>
        <w:rPr>
          <w:noProof/>
        </w:rPr>
        <w:drawing>
          <wp:inline distT="0" distB="0" distL="0" distR="0" wp14:anchorId="4FA8BC62" wp14:editId="3E4475AA">
            <wp:extent cx="5943600" cy="546100"/>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943600" cy="546100"/>
                    </a:xfrm>
                    <a:prstGeom prst="rect">
                      <a:avLst/>
                    </a:prstGeom>
                  </pic:spPr>
                </pic:pic>
              </a:graphicData>
            </a:graphic>
          </wp:inline>
        </w:drawing>
      </w:r>
    </w:p>
    <w:p w14:paraId="7484589F" w14:textId="77777777" w:rsidR="00867B6C" w:rsidRDefault="00867B6C" w:rsidP="00403E3B"/>
    <w:p w14:paraId="0B39C3C3" w14:textId="294B892A" w:rsidR="00403E3B" w:rsidRDefault="00403E3B" w:rsidP="00C01AA0">
      <w:r>
        <w:t xml:space="preserve">Per the study, </w:t>
      </w:r>
      <w:r w:rsidR="000006A2">
        <w:t>the formula</w:t>
      </w:r>
      <w:r>
        <w:t xml:space="preserve"> is accurate </w:t>
      </w:r>
      <w:r w:rsidR="000006A2">
        <w:t xml:space="preserve">to </w:t>
      </w:r>
      <w:r>
        <w:t xml:space="preserve">within </w:t>
      </w:r>
      <w:r w:rsidR="00867B6C">
        <w:t xml:space="preserve">0.54 </w:t>
      </w:r>
      <w:r w:rsidR="00B802D1">
        <w:t xml:space="preserve">°F </w:t>
      </w:r>
      <w:r w:rsidR="00867B6C">
        <w:t>for</w:t>
      </w:r>
      <w:r>
        <w:t xml:space="preserve"> temperature</w:t>
      </w:r>
      <w:r w:rsidR="00867B6C">
        <w:t>s within the</w:t>
      </w:r>
      <w:r>
        <w:t xml:space="preserve"> range of </w:t>
      </w:r>
      <w:r w:rsidR="00B802D1">
        <w:t xml:space="preserve">-4° </w:t>
      </w:r>
      <w:r>
        <w:t xml:space="preserve">F and </w:t>
      </w:r>
      <w:r w:rsidR="00B802D1">
        <w:t xml:space="preserve">122° F and relative </w:t>
      </w:r>
      <w:proofErr w:type="spellStart"/>
      <w:r w:rsidR="00B802D1">
        <w:t>humidities</w:t>
      </w:r>
      <w:proofErr w:type="spellEnd"/>
      <w:r w:rsidR="00B802D1">
        <w:t xml:space="preserve"> between 5% and 99%. Since heat pumps for this analysis are assumed to </w:t>
      </w:r>
      <w:r w:rsidR="00B802D1">
        <w:lastRenderedPageBreak/>
        <w:t>run only during the operating season of</w:t>
      </w:r>
      <w:r>
        <w:t xml:space="preserve"> </w:t>
      </w:r>
      <w:r w:rsidR="00B802D1">
        <w:t xml:space="preserve">May to September, this </w:t>
      </w:r>
      <w:r w:rsidR="003C2102">
        <w:t>was</w:t>
      </w:r>
      <w:r>
        <w:t xml:space="preserve"> deemed reasonable for the purposes of this workpaper. The calculator uses this equation to estimate the </w:t>
      </w:r>
      <w:r w:rsidR="005204DA">
        <w:t xml:space="preserve">hourly </w:t>
      </w:r>
      <w:r>
        <w:t xml:space="preserve">wet-bulb temperature to be used in the COP adjustment equations. </w:t>
      </w:r>
    </w:p>
    <w:p w14:paraId="0E3C3CD6" w14:textId="77777777" w:rsidR="00403E3B" w:rsidRPr="00666A49" w:rsidRDefault="00403E3B" w:rsidP="00C01AA0"/>
    <w:p w14:paraId="5FEBDC38" w14:textId="34792E20" w:rsidR="00FF4DF4" w:rsidRDefault="005F09B3" w:rsidP="0085751C">
      <w:pPr>
        <w:pStyle w:val="eTRMHeading4"/>
      </w:pPr>
      <w:r>
        <w:t>Inputs and Assumptions</w:t>
      </w:r>
    </w:p>
    <w:p w14:paraId="27EB5D57" w14:textId="62FA773C" w:rsidR="00F33B4D" w:rsidRDefault="00F33B4D" w:rsidP="00F33B4D">
      <w:pPr>
        <w:pStyle w:val="eTRMHeading5"/>
      </w:pPr>
      <w:r>
        <w:t>Baseline Consumption Calibration</w:t>
      </w:r>
    </w:p>
    <w:p w14:paraId="28A327D6" w14:textId="3B1451DE" w:rsidR="00FF4DF4" w:rsidRPr="00C172E7" w:rsidRDefault="00FF4DF4" w:rsidP="00FF4DF4">
      <w:pPr>
        <w:rPr>
          <w:i/>
        </w:rPr>
      </w:pPr>
      <w:r w:rsidRPr="00C172E7">
        <w:t xml:space="preserve">To verify the baseline gas heating for swimming pools in </w:t>
      </w:r>
      <w:r w:rsidR="00963A1F">
        <w:t xml:space="preserve">single family </w:t>
      </w:r>
      <w:r w:rsidRPr="00C172E7">
        <w:t xml:space="preserve">residential homes, gas </w:t>
      </w:r>
      <w:r>
        <w:t xml:space="preserve">consumption </w:t>
      </w:r>
      <w:r w:rsidRPr="00C172E7">
        <w:t xml:space="preserve">bills were collected from customers with </w:t>
      </w:r>
      <w:r>
        <w:t xml:space="preserve">a </w:t>
      </w:r>
      <w:r w:rsidRPr="00C172E7">
        <w:t>heated pool</w:t>
      </w:r>
      <w:r>
        <w:t xml:space="preserve"> </w:t>
      </w:r>
      <w:r w:rsidRPr="00C172E7">
        <w:t xml:space="preserve">in five different cities in </w:t>
      </w:r>
      <w:r>
        <w:t>Southern California</w:t>
      </w:r>
      <w:r w:rsidRPr="00C172E7">
        <w:t xml:space="preserve">. </w:t>
      </w:r>
      <w:r>
        <w:t xml:space="preserve">A </w:t>
      </w:r>
      <w:r w:rsidRPr="00C172E7">
        <w:t xml:space="preserve">billing analysis </w:t>
      </w:r>
      <w:r w:rsidR="00FF5735">
        <w:t>was</w:t>
      </w:r>
      <w:r w:rsidRPr="00C172E7">
        <w:t xml:space="preserve"> done to baseline the home’s heating and water heating energy usage. Data for regional heating degree days (HDDs) were collected and charted against the monthly gas usage from the billing data. </w:t>
      </w:r>
      <w:r>
        <w:t>A l</w:t>
      </w:r>
      <w:r w:rsidRPr="00C172E7">
        <w:t>inear regression analyses identif</w:t>
      </w:r>
      <w:r>
        <w:t>ied</w:t>
      </w:r>
      <w:r w:rsidRPr="00C172E7">
        <w:t xml:space="preserve"> the relationship between heating gas usage and HDDs. The gas usage at the point where the linear regression line intercepts the Y</w:t>
      </w:r>
      <w:r>
        <w:t>-</w:t>
      </w:r>
      <w:r w:rsidRPr="00C172E7">
        <w:t xml:space="preserve">axis at zero </w:t>
      </w:r>
      <w:r>
        <w:t>HDDs</w:t>
      </w:r>
      <w:r w:rsidRPr="00C172E7">
        <w:t xml:space="preserve"> was deemed non-space heating gas usage and assumed to be for hot water heating and other indoor gas </w:t>
      </w:r>
      <w:r>
        <w:t>uses</w:t>
      </w:r>
      <w:r w:rsidRPr="00C172E7">
        <w:t xml:space="preserve">. The difference between the annual gas usage and the calculated loads were </w:t>
      </w:r>
      <w:r>
        <w:t>attributed</w:t>
      </w:r>
      <w:r w:rsidRPr="00C172E7">
        <w:t xml:space="preserve"> to the swimming pools and spa heating</w:t>
      </w:r>
      <w:r>
        <w:t>.</w:t>
      </w:r>
      <w:r>
        <w:rPr>
          <w:rStyle w:val="FootnoteReference"/>
        </w:rPr>
        <w:footnoteReference w:id="26"/>
      </w:r>
      <w:r w:rsidRPr="00C172E7">
        <w:t xml:space="preserve"> </w:t>
      </w:r>
    </w:p>
    <w:p w14:paraId="163BF790" w14:textId="77777777" w:rsidR="00FF4DF4" w:rsidRPr="00C172E7" w:rsidRDefault="00FF4DF4" w:rsidP="00FF4DF4"/>
    <w:p w14:paraId="15951958" w14:textId="77777777" w:rsidR="00FF4DF4" w:rsidRPr="00C172E7" w:rsidRDefault="00FF4DF4" w:rsidP="00FF4DF4">
      <w:pPr>
        <w:jc w:val="center"/>
      </w:pPr>
      <w:r w:rsidRPr="00C172E7">
        <w:rPr>
          <w:noProof/>
        </w:rPr>
        <w:drawing>
          <wp:inline distT="0" distB="0" distL="0" distR="0" wp14:anchorId="7A636090" wp14:editId="517C6694">
            <wp:extent cx="5575300" cy="2114550"/>
            <wp:effectExtent l="0" t="0" r="635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3260F34B" w14:textId="1A331944" w:rsidR="00FF4DF4" w:rsidRDefault="00FF4DF4" w:rsidP="00722B75">
      <w:pPr>
        <w:pStyle w:val="Caption"/>
        <w:ind w:left="2880" w:firstLine="720"/>
      </w:pPr>
      <w:r w:rsidRPr="00C172E7">
        <w:t xml:space="preserve">Utility Bill Heat Load </w:t>
      </w:r>
      <w:r>
        <w:t xml:space="preserve">Regression </w:t>
      </w:r>
      <w:r w:rsidRPr="00C172E7">
        <w:t>Analysis</w:t>
      </w:r>
    </w:p>
    <w:p w14:paraId="43F41B0E" w14:textId="4590A0B7" w:rsidR="00B30FFC" w:rsidRDefault="00B30FFC" w:rsidP="00403E3B"/>
    <w:p w14:paraId="58725516" w14:textId="008CCBF5" w:rsidR="00F33B4D" w:rsidRDefault="00F33B4D" w:rsidP="00F33B4D">
      <w:pPr>
        <w:pStyle w:val="eTRMHeading5"/>
      </w:pPr>
      <w:r>
        <w:t>Capacity and Efficiency Assumptions</w:t>
      </w:r>
    </w:p>
    <w:p w14:paraId="64F4B1BF" w14:textId="2C9DF94B" w:rsidR="00403E3B" w:rsidRDefault="00403E3B" w:rsidP="00403E3B">
      <w:r w:rsidRPr="007524D1">
        <w:t>Since the normalizing COP is found by using the High Air Temperature - Mid Humidity</w:t>
      </w:r>
      <w:r w:rsidRPr="00ED21DD">
        <w:t>, the</w:t>
      </w:r>
      <w:r>
        <w:t xml:space="preserve"> measure nominal efficiency used in the calculator reflect</w:t>
      </w:r>
      <w:r w:rsidR="00D11741">
        <w:t>s</w:t>
      </w:r>
      <w:r>
        <w:t xml:space="preserve"> the efficiency at that test condition. An analysis of the AHRI database shows the following values for the COP at the High Air Temperature - Mid Humidity test condition</w:t>
      </w:r>
      <w:r w:rsidR="005204DA">
        <w:t>s</w:t>
      </w:r>
      <w:r w:rsidR="008A72B9">
        <w:rPr>
          <w:rStyle w:val="FootnoteReference"/>
        </w:rPr>
        <w:footnoteReference w:id="27"/>
      </w:r>
      <w:r>
        <w:t xml:space="preserve">: </w:t>
      </w:r>
    </w:p>
    <w:tbl>
      <w:tblPr>
        <w:tblW w:w="929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155"/>
        <w:gridCol w:w="2070"/>
        <w:gridCol w:w="1710"/>
        <w:gridCol w:w="1838"/>
        <w:gridCol w:w="1517"/>
      </w:tblGrid>
      <w:tr w:rsidR="00403E3B" w:rsidRPr="0035670F" w14:paraId="1D70162A" w14:textId="77777777" w:rsidTr="00484437">
        <w:trPr>
          <w:trHeight w:val="9"/>
          <w:tblHeader/>
        </w:trPr>
        <w:tc>
          <w:tcPr>
            <w:tcW w:w="2155" w:type="dxa"/>
            <w:shd w:val="clear" w:color="auto" w:fill="F2F2F2" w:themeFill="background1" w:themeFillShade="F2"/>
            <w:vAlign w:val="bottom"/>
          </w:tcPr>
          <w:p w14:paraId="1A53D045" w14:textId="77777777" w:rsidR="00403E3B" w:rsidRPr="005F09B3" w:rsidRDefault="00403E3B" w:rsidP="00484437">
            <w:pPr>
              <w:keepNext/>
              <w:keepLines/>
              <w:spacing w:before="0" w:after="0"/>
              <w:jc w:val="center"/>
              <w:rPr>
                <w:b/>
                <w:bCs/>
                <w:sz w:val="20"/>
                <w:szCs w:val="22"/>
              </w:rPr>
            </w:pPr>
            <w:r>
              <w:rPr>
                <w:b/>
                <w:bCs/>
                <w:sz w:val="20"/>
                <w:szCs w:val="22"/>
              </w:rPr>
              <w:lastRenderedPageBreak/>
              <w:t>Dataset Count</w:t>
            </w:r>
          </w:p>
        </w:tc>
        <w:tc>
          <w:tcPr>
            <w:tcW w:w="2070" w:type="dxa"/>
            <w:shd w:val="clear" w:color="auto" w:fill="F2F2F2" w:themeFill="background1" w:themeFillShade="F2"/>
          </w:tcPr>
          <w:p w14:paraId="1C699F6A" w14:textId="77777777" w:rsidR="00403E3B" w:rsidRDefault="00403E3B" w:rsidP="00484437">
            <w:pPr>
              <w:keepNext/>
              <w:keepLines/>
              <w:spacing w:before="0" w:after="0"/>
              <w:jc w:val="center"/>
              <w:rPr>
                <w:b/>
                <w:bCs/>
                <w:sz w:val="20"/>
                <w:szCs w:val="22"/>
              </w:rPr>
            </w:pPr>
            <w:r>
              <w:rPr>
                <w:b/>
                <w:bCs/>
                <w:sz w:val="20"/>
                <w:szCs w:val="22"/>
              </w:rPr>
              <w:t>Average COP</w:t>
            </w:r>
          </w:p>
        </w:tc>
        <w:tc>
          <w:tcPr>
            <w:tcW w:w="1710" w:type="dxa"/>
            <w:shd w:val="clear" w:color="auto" w:fill="F2F2F2" w:themeFill="background1" w:themeFillShade="F2"/>
            <w:vAlign w:val="bottom"/>
          </w:tcPr>
          <w:p w14:paraId="1B156FC4" w14:textId="77777777" w:rsidR="00403E3B" w:rsidRPr="005F09B3" w:rsidRDefault="00403E3B" w:rsidP="00484437">
            <w:pPr>
              <w:keepNext/>
              <w:keepLines/>
              <w:spacing w:before="0" w:after="0"/>
              <w:jc w:val="center"/>
              <w:rPr>
                <w:b/>
                <w:bCs/>
                <w:sz w:val="20"/>
                <w:szCs w:val="22"/>
              </w:rPr>
            </w:pPr>
            <w:r>
              <w:rPr>
                <w:b/>
                <w:bCs/>
                <w:sz w:val="20"/>
                <w:szCs w:val="22"/>
              </w:rPr>
              <w:t>Median COP</w:t>
            </w:r>
          </w:p>
        </w:tc>
        <w:tc>
          <w:tcPr>
            <w:tcW w:w="1838" w:type="dxa"/>
            <w:shd w:val="clear" w:color="auto" w:fill="F2F2F2" w:themeFill="background1" w:themeFillShade="F2"/>
            <w:vAlign w:val="bottom"/>
          </w:tcPr>
          <w:p w14:paraId="206D65E8" w14:textId="77777777" w:rsidR="00403E3B" w:rsidRPr="005F09B3" w:rsidRDefault="00403E3B" w:rsidP="00484437">
            <w:pPr>
              <w:keepNext/>
              <w:keepLines/>
              <w:spacing w:before="0" w:after="0"/>
              <w:jc w:val="center"/>
              <w:rPr>
                <w:b/>
                <w:bCs/>
                <w:sz w:val="20"/>
                <w:szCs w:val="22"/>
              </w:rPr>
            </w:pPr>
            <w:r>
              <w:rPr>
                <w:b/>
                <w:bCs/>
                <w:sz w:val="20"/>
                <w:szCs w:val="22"/>
              </w:rPr>
              <w:t>Minimum COP</w:t>
            </w:r>
          </w:p>
        </w:tc>
        <w:tc>
          <w:tcPr>
            <w:tcW w:w="1517" w:type="dxa"/>
            <w:shd w:val="clear" w:color="auto" w:fill="F2F2F2" w:themeFill="background1" w:themeFillShade="F2"/>
          </w:tcPr>
          <w:p w14:paraId="1FEB357F" w14:textId="77777777" w:rsidR="00403E3B" w:rsidRDefault="00403E3B" w:rsidP="00484437">
            <w:pPr>
              <w:keepNext/>
              <w:keepLines/>
              <w:spacing w:before="0" w:after="0"/>
              <w:jc w:val="center"/>
              <w:rPr>
                <w:b/>
                <w:bCs/>
                <w:sz w:val="20"/>
                <w:szCs w:val="22"/>
              </w:rPr>
            </w:pPr>
            <w:r>
              <w:rPr>
                <w:b/>
                <w:bCs/>
                <w:sz w:val="20"/>
                <w:szCs w:val="22"/>
              </w:rPr>
              <w:t>Maximum COP</w:t>
            </w:r>
          </w:p>
        </w:tc>
      </w:tr>
      <w:tr w:rsidR="00403E3B" w:rsidRPr="0035670F" w14:paraId="5BCFD8A7" w14:textId="77777777" w:rsidTr="00484437">
        <w:trPr>
          <w:trHeight w:val="9"/>
        </w:trPr>
        <w:tc>
          <w:tcPr>
            <w:tcW w:w="2155" w:type="dxa"/>
            <w:vAlign w:val="bottom"/>
          </w:tcPr>
          <w:p w14:paraId="700F189B" w14:textId="77777777" w:rsidR="00403E3B" w:rsidRPr="00373874" w:rsidRDefault="00403E3B" w:rsidP="00403E3B">
            <w:pPr>
              <w:spacing w:before="0" w:after="0"/>
              <w:jc w:val="center"/>
              <w:rPr>
                <w:rFonts w:cs="Calibri Light"/>
                <w:sz w:val="20"/>
                <w:szCs w:val="20"/>
              </w:rPr>
            </w:pPr>
            <w:r>
              <w:rPr>
                <w:rFonts w:cs="Calibri Light"/>
                <w:sz w:val="20"/>
                <w:szCs w:val="20"/>
              </w:rPr>
              <w:t>311</w:t>
            </w:r>
          </w:p>
        </w:tc>
        <w:tc>
          <w:tcPr>
            <w:tcW w:w="2070" w:type="dxa"/>
          </w:tcPr>
          <w:p w14:paraId="0E2FD9DD" w14:textId="77777777" w:rsidR="00403E3B" w:rsidRPr="00373874" w:rsidRDefault="00403E3B" w:rsidP="00403E3B">
            <w:pPr>
              <w:spacing w:before="0" w:after="0"/>
              <w:jc w:val="center"/>
              <w:rPr>
                <w:rFonts w:cs="Calibri Light"/>
                <w:sz w:val="20"/>
                <w:szCs w:val="20"/>
              </w:rPr>
            </w:pPr>
            <w:r>
              <w:rPr>
                <w:rFonts w:cs="Calibri Light"/>
                <w:sz w:val="20"/>
                <w:szCs w:val="20"/>
              </w:rPr>
              <w:t>5.54</w:t>
            </w:r>
          </w:p>
        </w:tc>
        <w:tc>
          <w:tcPr>
            <w:tcW w:w="1710" w:type="dxa"/>
            <w:vAlign w:val="bottom"/>
          </w:tcPr>
          <w:p w14:paraId="5CC5A7F5" w14:textId="78865F06" w:rsidR="00403E3B" w:rsidRPr="00373874" w:rsidRDefault="00403E3B" w:rsidP="00403E3B">
            <w:pPr>
              <w:spacing w:before="0" w:after="0"/>
              <w:jc w:val="center"/>
              <w:rPr>
                <w:rFonts w:cs="Calibri Light"/>
                <w:sz w:val="20"/>
                <w:szCs w:val="20"/>
              </w:rPr>
            </w:pPr>
            <w:r>
              <w:rPr>
                <w:rFonts w:cs="Calibri Light"/>
                <w:sz w:val="20"/>
                <w:szCs w:val="20"/>
              </w:rPr>
              <w:t>5.5</w:t>
            </w:r>
            <w:r w:rsidR="004E1D1A">
              <w:rPr>
                <w:rFonts w:cs="Calibri Light"/>
                <w:sz w:val="20"/>
                <w:szCs w:val="20"/>
              </w:rPr>
              <w:t>0</w:t>
            </w:r>
          </w:p>
        </w:tc>
        <w:tc>
          <w:tcPr>
            <w:tcW w:w="1838" w:type="dxa"/>
            <w:vAlign w:val="bottom"/>
          </w:tcPr>
          <w:p w14:paraId="25C95672" w14:textId="77777777" w:rsidR="00403E3B" w:rsidRPr="00373874" w:rsidRDefault="00403E3B" w:rsidP="00403E3B">
            <w:pPr>
              <w:spacing w:before="0" w:after="0"/>
              <w:ind w:right="340"/>
              <w:jc w:val="center"/>
              <w:rPr>
                <w:rFonts w:cs="Calibri Light"/>
                <w:sz w:val="20"/>
                <w:szCs w:val="20"/>
              </w:rPr>
            </w:pPr>
            <w:r>
              <w:rPr>
                <w:rFonts w:cs="Calibri Light"/>
                <w:sz w:val="20"/>
                <w:szCs w:val="20"/>
              </w:rPr>
              <w:t>4.10</w:t>
            </w:r>
          </w:p>
        </w:tc>
        <w:tc>
          <w:tcPr>
            <w:tcW w:w="1517" w:type="dxa"/>
          </w:tcPr>
          <w:p w14:paraId="3806113B" w14:textId="77777777" w:rsidR="00403E3B" w:rsidRPr="00373874" w:rsidRDefault="00403E3B" w:rsidP="00403E3B">
            <w:pPr>
              <w:spacing w:before="0" w:after="0"/>
              <w:ind w:right="340"/>
              <w:jc w:val="center"/>
              <w:rPr>
                <w:rFonts w:cs="Calibri Light"/>
                <w:sz w:val="20"/>
                <w:szCs w:val="20"/>
              </w:rPr>
            </w:pPr>
            <w:r>
              <w:rPr>
                <w:rFonts w:cs="Calibri Light"/>
                <w:sz w:val="20"/>
                <w:szCs w:val="20"/>
              </w:rPr>
              <w:t>6.80</w:t>
            </w:r>
          </w:p>
        </w:tc>
      </w:tr>
    </w:tbl>
    <w:p w14:paraId="355D0EE9" w14:textId="1138FD77" w:rsidR="00403E3B" w:rsidRDefault="00403E3B" w:rsidP="00403E3B">
      <w:r w:rsidRPr="007D3461">
        <w:t>A COP of 5.5 was selected for the measure case in this analysis since it is representative of both the average and median COP values in the dataset.</w:t>
      </w:r>
      <w:r>
        <w:t xml:space="preserve"> </w:t>
      </w:r>
    </w:p>
    <w:p w14:paraId="532199E2" w14:textId="0ACEFF0D" w:rsidR="00CE602C" w:rsidRDefault="00CE602C" w:rsidP="00403E3B">
      <w:r>
        <w:t>Many inputs to the pool heater calculator have been adopted from the previous</w:t>
      </w:r>
      <w:r w:rsidR="000B3F30">
        <w:t xml:space="preserve"> CPUC approved</w:t>
      </w:r>
      <w:r>
        <w:t xml:space="preserve"> SWRE004 – Residential Pool and Spa Heater workpaper. This includes pool operating characteristics such as water temperature, </w:t>
      </w:r>
      <w:r w:rsidR="003F3E32">
        <w:t xml:space="preserve">open </w:t>
      </w:r>
      <w:r>
        <w:t xml:space="preserve">season, and </w:t>
      </w:r>
      <w:r w:rsidR="000D5D8C">
        <w:t xml:space="preserve">pool </w:t>
      </w:r>
      <w:r>
        <w:t>schedule, as well has pool physical characteristics such as wind shielding factor, activity factor and average pool depth.  The pool surface area and baseline</w:t>
      </w:r>
      <w:r w:rsidR="003F3E32">
        <w:t xml:space="preserve"> natural gas</w:t>
      </w:r>
      <w:r>
        <w:t xml:space="preserve"> pool heater capacity from SWRE004 were also adopted for the </w:t>
      </w:r>
      <w:proofErr w:type="gramStart"/>
      <w:r>
        <w:t>single</w:t>
      </w:r>
      <w:r w:rsidR="001B2C94">
        <w:t xml:space="preserve"> </w:t>
      </w:r>
      <w:r>
        <w:t>family</w:t>
      </w:r>
      <w:proofErr w:type="gramEnd"/>
      <w:r>
        <w:t xml:space="preserve"> pool calculations. </w:t>
      </w:r>
    </w:p>
    <w:p w14:paraId="1BF0CCBF" w14:textId="7AC89632" w:rsidR="000055E6" w:rsidRDefault="000D5D8C" w:rsidP="00403E3B">
      <w:r>
        <w:t>For common area pools, the pool surface area was</w:t>
      </w:r>
      <w:r w:rsidR="000055E6">
        <w:t xml:space="preserve"> calculated by using the weighted average pool volume of 27,527 gallons from SCE’s 2016 multifamily pool pump report </w:t>
      </w:r>
      <w:r w:rsidR="000055E6">
        <w:rPr>
          <w:rStyle w:val="FootnoteReference"/>
        </w:rPr>
        <w:footnoteReference w:id="28"/>
      </w:r>
      <w:r w:rsidR="000055E6">
        <w:t xml:space="preserve"> </w:t>
      </w:r>
      <w:r w:rsidR="00CC6076">
        <w:t xml:space="preserve">and </w:t>
      </w:r>
      <w:r w:rsidR="003F3E32">
        <w:t>the</w:t>
      </w:r>
      <w:r w:rsidR="000055E6">
        <w:t xml:space="preserve"> </w:t>
      </w:r>
      <w:proofErr w:type="gramStart"/>
      <w:r w:rsidR="000055E6">
        <w:t>4.5 foot</w:t>
      </w:r>
      <w:proofErr w:type="gramEnd"/>
      <w:r w:rsidR="000055E6">
        <w:t xml:space="preserve"> average depth from SWRE004. </w:t>
      </w:r>
      <w:r w:rsidR="00ED21DD">
        <w:rPr>
          <w:rStyle w:val="FootnoteReference"/>
        </w:rPr>
        <w:footnoteReference w:id="29"/>
      </w:r>
    </w:p>
    <w:p w14:paraId="15FC1796" w14:textId="0CB8B5F6" w:rsidR="00B30FFC" w:rsidRDefault="000055E6" w:rsidP="00403E3B">
      <w:r>
        <w:t xml:space="preserve">The base case </w:t>
      </w:r>
      <w:r w:rsidR="002756A4">
        <w:t xml:space="preserve">multifamily natural gas boiler capacities are based on the </w:t>
      </w:r>
      <w:r w:rsidR="00E3027E">
        <w:t xml:space="preserve">California Energy </w:t>
      </w:r>
      <w:proofErr w:type="gramStart"/>
      <w:r w:rsidR="00E3027E">
        <w:t xml:space="preserve">Commission </w:t>
      </w:r>
      <w:r w:rsidR="002756A4">
        <w:t xml:space="preserve"> appliance</w:t>
      </w:r>
      <w:proofErr w:type="gramEnd"/>
      <w:r w:rsidR="002756A4">
        <w:t xml:space="preserve"> database </w:t>
      </w:r>
      <w:r w:rsidR="00563C63">
        <w:t xml:space="preserve">and </w:t>
      </w:r>
      <w:r w:rsidR="002756A4">
        <w:t xml:space="preserve">SCE’s 2016 multifamily pool pump report </w:t>
      </w:r>
      <w:r w:rsidR="002756A4">
        <w:rPr>
          <w:rStyle w:val="FootnoteReference"/>
        </w:rPr>
        <w:footnoteReference w:id="30"/>
      </w:r>
      <w:r w:rsidR="002756A4">
        <w:t xml:space="preserve">. </w:t>
      </w:r>
      <w:r w:rsidR="001E0555">
        <w:t>The list of b</w:t>
      </w:r>
      <w:r w:rsidR="00B30FFC">
        <w:t xml:space="preserve">ase case gas pool heater models </w:t>
      </w:r>
      <w:r w:rsidR="00963A1F">
        <w:t>was</w:t>
      </w:r>
      <w:r w:rsidR="00B30FFC">
        <w:t xml:space="preserve"> downloaded from the </w:t>
      </w:r>
      <w:r w:rsidR="00E3027E">
        <w:t>CEC</w:t>
      </w:r>
      <w:r w:rsidR="00B30FFC">
        <w:t xml:space="preserve"> appliance database and </w:t>
      </w:r>
      <w:r w:rsidR="001E0555">
        <w:t xml:space="preserve">the </w:t>
      </w:r>
      <w:r w:rsidR="00B30FFC">
        <w:t xml:space="preserve">average capacity of the 236 entries in the database was found to be 360 </w:t>
      </w:r>
      <w:proofErr w:type="spellStart"/>
      <w:r w:rsidR="00B30FFC">
        <w:t>k</w:t>
      </w:r>
      <w:r w:rsidR="003259BE">
        <w:t>BTU</w:t>
      </w:r>
      <w:proofErr w:type="spellEnd"/>
      <w:r w:rsidR="00B30FFC">
        <w:t>/</w:t>
      </w:r>
      <w:proofErr w:type="spellStart"/>
      <w:r w:rsidR="00B30FFC">
        <w:t>hr</w:t>
      </w:r>
      <w:proofErr w:type="spellEnd"/>
      <w:r w:rsidR="001E0555">
        <w:rPr>
          <w:rStyle w:val="FootnoteReference"/>
        </w:rPr>
        <w:footnoteReference w:id="31"/>
      </w:r>
      <w:r w:rsidR="00B30FFC">
        <w:t xml:space="preserve">. </w:t>
      </w:r>
      <w:r w:rsidR="001E0555">
        <w:t>Furthermore, t</w:t>
      </w:r>
      <w:r w:rsidR="00B30FFC">
        <w:t xml:space="preserve">he average pool heater size from SCE’s 2016 </w:t>
      </w:r>
      <w:r w:rsidR="001E0555">
        <w:t>m</w:t>
      </w:r>
      <w:r w:rsidR="00B30FFC">
        <w:t xml:space="preserve">ultifamily </w:t>
      </w:r>
      <w:r w:rsidR="001E0555">
        <w:t>p</w:t>
      </w:r>
      <w:r w:rsidR="00B30FFC">
        <w:t xml:space="preserve">ool </w:t>
      </w:r>
      <w:r w:rsidR="001E0555">
        <w:t>pump r</w:t>
      </w:r>
      <w:r w:rsidR="00B30FFC">
        <w:t xml:space="preserve">eport was found to be 352 </w:t>
      </w:r>
      <w:proofErr w:type="spellStart"/>
      <w:r w:rsidR="00B30FFC">
        <w:t>k</w:t>
      </w:r>
      <w:r w:rsidR="003259BE">
        <w:t>BTU</w:t>
      </w:r>
      <w:proofErr w:type="spellEnd"/>
      <w:r w:rsidR="00B30FFC">
        <w:t>/</w:t>
      </w:r>
      <w:proofErr w:type="spellStart"/>
      <w:r w:rsidR="00B30FFC">
        <w:t>hr</w:t>
      </w:r>
      <w:proofErr w:type="spellEnd"/>
      <w:r w:rsidR="001E0555">
        <w:rPr>
          <w:rStyle w:val="FootnoteReference"/>
        </w:rPr>
        <w:footnoteReference w:id="32"/>
      </w:r>
      <w:r w:rsidR="00B30FFC">
        <w:t xml:space="preserve">. Thus, a baseline natural gas pool heater of 350 </w:t>
      </w:r>
      <w:proofErr w:type="spellStart"/>
      <w:r w:rsidR="00B30FFC">
        <w:t>k</w:t>
      </w:r>
      <w:r w:rsidR="003259BE">
        <w:t>BTU</w:t>
      </w:r>
      <w:proofErr w:type="spellEnd"/>
      <w:r w:rsidR="00B30FFC">
        <w:t>/</w:t>
      </w:r>
      <w:proofErr w:type="spellStart"/>
      <w:r w:rsidR="00B30FFC">
        <w:t>hr</w:t>
      </w:r>
      <w:proofErr w:type="spellEnd"/>
      <w:r w:rsidR="00B30FFC">
        <w:t xml:space="preserve"> is used for </w:t>
      </w:r>
      <w:r w:rsidR="002756A4">
        <w:t xml:space="preserve">the multifamily pools in </w:t>
      </w:r>
      <w:r w:rsidR="00B30FFC">
        <w:t xml:space="preserve">this analysis. </w:t>
      </w:r>
    </w:p>
    <w:p w14:paraId="34D2B03D" w14:textId="2529500C" w:rsidR="002756A4" w:rsidRDefault="002756A4" w:rsidP="00403E3B">
      <w:r>
        <w:t>Baseline natural gas pool heaters are often oversized for their pool heating applications.</w:t>
      </w:r>
      <w:r>
        <w:rPr>
          <w:rStyle w:val="FootnoteReference"/>
        </w:rPr>
        <w:footnoteReference w:id="33"/>
      </w:r>
      <w:r>
        <w:t xml:space="preserve"> Thus, heat pump pool heaters will usually have lower heating capacities than the natural gas heaters that they are replacing. This results in longer pool heating time but does not greatly affect the total energy required to heat the pool because the pool load (heat losses) does not change. </w:t>
      </w:r>
    </w:p>
    <w:p w14:paraId="24CA7BF0" w14:textId="72970CF1" w:rsidR="002756A4" w:rsidRDefault="002756A4" w:rsidP="00403E3B">
      <w:r>
        <w:t xml:space="preserve">The US Department of Energy provides the following formula to estimate heat pump pool heater sizing based on pool </w:t>
      </w:r>
      <w:r w:rsidR="00852CDC">
        <w:t>surface area</w:t>
      </w:r>
      <w:r>
        <w:t xml:space="preserve"> and temperature rise requirements</w:t>
      </w:r>
      <w:r w:rsidR="00D1787B">
        <w:t>:</w:t>
      </w:r>
      <w:r w:rsidR="00ED21DD">
        <w:rPr>
          <w:rStyle w:val="FootnoteReference"/>
        </w:rPr>
        <w:footnoteReference w:id="34"/>
      </w:r>
      <w:r>
        <w:t xml:space="preserve"> </w:t>
      </w:r>
    </w:p>
    <w:p w14:paraId="2DCC22D0" w14:textId="66CF87A9" w:rsidR="002756A4" w:rsidRDefault="002756A4" w:rsidP="00403E3B">
      <m:oMathPara>
        <m:oMath>
          <m:r>
            <w:rPr>
              <w:rFonts w:ascii="Cambria Math" w:hAnsi="Cambria Math"/>
            </w:rPr>
            <m:t xml:space="preserve">Heat Pump Capacity </m:t>
          </m:r>
          <m:d>
            <m:dPr>
              <m:ctrlPr>
                <w:rPr>
                  <w:rFonts w:ascii="Cambria Math" w:hAnsi="Cambria Math"/>
                  <w:i/>
                </w:rPr>
              </m:ctrlPr>
            </m:dPr>
            <m:e>
              <m:f>
                <m:fPr>
                  <m:ctrlPr>
                    <w:rPr>
                      <w:rFonts w:ascii="Cambria Math" w:hAnsi="Cambria Math"/>
                      <w:i/>
                    </w:rPr>
                  </m:ctrlPr>
                </m:fPr>
                <m:num>
                  <m:r>
                    <w:rPr>
                      <w:rFonts w:ascii="Cambria Math" w:hAnsi="Cambria Math"/>
                    </w:rPr>
                    <m:t>Btu</m:t>
                  </m:r>
                </m:num>
                <m:den>
                  <m:r>
                    <w:rPr>
                      <w:rFonts w:ascii="Cambria Math" w:hAnsi="Cambria Math"/>
                    </w:rPr>
                    <m:t>hr</m:t>
                  </m:r>
                </m:den>
              </m:f>
            </m:e>
          </m:d>
          <m:r>
            <w:rPr>
              <w:rFonts w:ascii="Cambria Math" w:hAnsi="Cambria Math"/>
            </w:rPr>
            <m:t xml:space="preserve">=Pool Area </m:t>
          </m:r>
          <m:d>
            <m:dPr>
              <m:ctrlPr>
                <w:rPr>
                  <w:rFonts w:ascii="Cambria Math" w:hAnsi="Cambria Math"/>
                  <w:i/>
                </w:rPr>
              </m:ctrlPr>
            </m:dPr>
            <m:e>
              <m:r>
                <w:rPr>
                  <w:rFonts w:ascii="Cambria Math" w:hAnsi="Cambria Math"/>
                </w:rPr>
                <m:t>sf</m:t>
              </m:r>
            </m:e>
          </m:d>
          <m:r>
            <w:rPr>
              <w:rFonts w:ascii="Cambria Math" w:hAnsi="Cambria Math"/>
            </w:rPr>
            <m:t xml:space="preserve">×Temperature Rise </m:t>
          </m:r>
          <m:d>
            <m:dPr>
              <m:ctrlPr>
                <w:rPr>
                  <w:rFonts w:ascii="Cambria Math" w:hAnsi="Cambria Math"/>
                  <w:i/>
                </w:rPr>
              </m:ctrlPr>
            </m:dPr>
            <m:e>
              <m:r>
                <w:rPr>
                  <w:rFonts w:ascii="Cambria Math" w:hAnsi="Cambria Math"/>
                </w:rPr>
                <m:t>°F</m:t>
              </m:r>
            </m:e>
          </m:d>
          <m:r>
            <w:rPr>
              <w:rFonts w:ascii="Cambria Math" w:hAnsi="Cambria Math"/>
            </w:rPr>
            <m:t>×12</m:t>
          </m:r>
        </m:oMath>
      </m:oMathPara>
    </w:p>
    <w:p w14:paraId="4DED288F" w14:textId="77777777" w:rsidR="00852CDC" w:rsidRDefault="00852CDC" w:rsidP="00403E3B"/>
    <w:p w14:paraId="67AA0BA0" w14:textId="2F49B3CD" w:rsidR="002756A4" w:rsidRDefault="003E43D4" w:rsidP="00403E3B">
      <w:r>
        <w:lastRenderedPageBreak/>
        <w:t>T</w:t>
      </w:r>
      <w:r w:rsidR="00852CDC">
        <w:t>he temperature rise is calculated as the difference in temperature</w:t>
      </w:r>
      <w:r w:rsidR="00563C63">
        <w:t xml:space="preserve"> setpoint</w:t>
      </w:r>
      <w:r w:rsidR="00852CDC">
        <w:t xml:space="preserve"> of the pool water and the average temperature for the coldest month of the pool operating season. Using the </w:t>
      </w:r>
      <w:r w:rsidR="00435FB8">
        <w:t xml:space="preserve">TMY </w:t>
      </w:r>
      <w:r w:rsidR="00852CDC">
        <w:t>NREL weather data and the 80°F pool water setpoint from the pool calculator</w:t>
      </w:r>
      <w:r>
        <w:t>,</w:t>
      </w:r>
      <w:r w:rsidR="00D1787B">
        <w:rPr>
          <w:rStyle w:val="FootnoteReference"/>
        </w:rPr>
        <w:footnoteReference w:id="35"/>
      </w:r>
      <w:r w:rsidR="00852CDC">
        <w:t xml:space="preserve"> the temperature rise for each climate zone was </w:t>
      </w:r>
      <w:r w:rsidR="00E3027E">
        <w:t>calculated</w:t>
      </w:r>
      <w:r w:rsidR="00852CDC">
        <w:t xml:space="preserve">. The analysis showed an average of 101 </w:t>
      </w:r>
      <w:proofErr w:type="spellStart"/>
      <w:r w:rsidR="00852CDC">
        <w:t>kBTU</w:t>
      </w:r>
      <w:proofErr w:type="spellEnd"/>
      <w:r w:rsidR="00852CDC">
        <w:t>/</w:t>
      </w:r>
      <w:proofErr w:type="spellStart"/>
      <w:r w:rsidR="00852CDC">
        <w:t>hr</w:t>
      </w:r>
      <w:proofErr w:type="spellEnd"/>
      <w:r w:rsidR="00852CDC">
        <w:t xml:space="preserve"> and 166 </w:t>
      </w:r>
      <w:proofErr w:type="spellStart"/>
      <w:r w:rsidR="00852CDC">
        <w:t>kBTU</w:t>
      </w:r>
      <w:proofErr w:type="spellEnd"/>
      <w:r w:rsidR="00852CDC">
        <w:t>/</w:t>
      </w:r>
      <w:proofErr w:type="spellStart"/>
      <w:r w:rsidR="00852CDC">
        <w:t>hr</w:t>
      </w:r>
      <w:proofErr w:type="spellEnd"/>
      <w:r w:rsidR="00852CDC">
        <w:t xml:space="preserve"> for single family and multifamily common area pools</w:t>
      </w:r>
      <w:r>
        <w:t>,</w:t>
      </w:r>
      <w:r w:rsidR="00852CDC">
        <w:t xml:space="preserve"> respectively.</w:t>
      </w:r>
      <w:r w:rsidR="00D1787B">
        <w:rPr>
          <w:rStyle w:val="FootnoteReference"/>
        </w:rPr>
        <w:footnoteReference w:id="36"/>
      </w:r>
      <w:r w:rsidR="00852CDC">
        <w:t xml:space="preserve"> </w:t>
      </w:r>
    </w:p>
    <w:p w14:paraId="63E8EF4F" w14:textId="2D8E94D2" w:rsidR="00852CDC" w:rsidRDefault="00852CDC" w:rsidP="00403E3B">
      <w:r>
        <w:t>To further explore measure heat pump sizing</w:t>
      </w:r>
      <w:r w:rsidR="00CB537B">
        <w:t xml:space="preserve">, </w:t>
      </w:r>
      <w:r w:rsidR="003259BE">
        <w:t>heat pump</w:t>
      </w:r>
      <w:r w:rsidR="007D7DE1">
        <w:t xml:space="preserve"> pool heater models were downloaded from the </w:t>
      </w:r>
      <w:r w:rsidR="00E3027E">
        <w:t>CEC</w:t>
      </w:r>
      <w:r w:rsidR="007D7DE1">
        <w:t xml:space="preserve"> appliance</w:t>
      </w:r>
      <w:r w:rsidR="00D11741">
        <w:t xml:space="preserve"> and AHRI</w:t>
      </w:r>
      <w:r w:rsidR="007D7DE1">
        <w:t xml:space="preserve"> database</w:t>
      </w:r>
      <w:r w:rsidR="00D11741">
        <w:t>s</w:t>
      </w:r>
      <w:r w:rsidR="001E0555">
        <w:t>.</w:t>
      </w:r>
      <w:r w:rsidR="001E0555">
        <w:rPr>
          <w:rStyle w:val="FootnoteReference"/>
        </w:rPr>
        <w:footnoteReference w:id="37"/>
      </w:r>
      <w:r w:rsidR="003259BE">
        <w:t xml:space="preserve"> The </w:t>
      </w:r>
      <w:r w:rsidR="007D7DE1">
        <w:t xml:space="preserve">average pool heater capacity of the </w:t>
      </w:r>
      <w:r w:rsidR="003259BE">
        <w:t>197</w:t>
      </w:r>
      <w:r w:rsidR="007D7DE1">
        <w:t xml:space="preserve"> entries in the </w:t>
      </w:r>
      <w:r w:rsidR="00D11741">
        <w:t xml:space="preserve">CEC </w:t>
      </w:r>
      <w:r w:rsidR="007D7DE1">
        <w:t xml:space="preserve">database was found to be </w:t>
      </w:r>
      <w:r w:rsidR="003259BE">
        <w:t>105</w:t>
      </w:r>
      <w:r w:rsidR="007D7DE1">
        <w:t xml:space="preserve"> </w:t>
      </w:r>
      <w:proofErr w:type="spellStart"/>
      <w:r w:rsidR="007D7DE1">
        <w:t>k</w:t>
      </w:r>
      <w:r w:rsidR="003259BE">
        <w:t>BTU</w:t>
      </w:r>
      <w:proofErr w:type="spellEnd"/>
      <w:r w:rsidR="007D7DE1">
        <w:t>/</w:t>
      </w:r>
      <w:proofErr w:type="spellStart"/>
      <w:r w:rsidR="007D7DE1">
        <w:t>hr</w:t>
      </w:r>
      <w:proofErr w:type="spellEnd"/>
      <w:r w:rsidR="003259BE">
        <w:t xml:space="preserve"> and the median was found to be 110 </w:t>
      </w:r>
      <w:proofErr w:type="spellStart"/>
      <w:r w:rsidR="003259BE">
        <w:t>kBTU</w:t>
      </w:r>
      <w:proofErr w:type="spellEnd"/>
      <w:r w:rsidR="003259BE">
        <w:t xml:space="preserve">/hr. Likewise, the average heat pump pool heater capacity of the 311 entries in the AHRI database was found to be 103 </w:t>
      </w:r>
      <w:proofErr w:type="spellStart"/>
      <w:r w:rsidR="003259BE">
        <w:t>kBTU</w:t>
      </w:r>
      <w:proofErr w:type="spellEnd"/>
      <w:r w:rsidR="003259BE">
        <w:t>/</w:t>
      </w:r>
      <w:proofErr w:type="spellStart"/>
      <w:r w:rsidR="003259BE">
        <w:t>hr</w:t>
      </w:r>
      <w:proofErr w:type="spellEnd"/>
      <w:r w:rsidR="003259BE">
        <w:t xml:space="preserve"> and the median was found to be 110 </w:t>
      </w:r>
      <w:proofErr w:type="spellStart"/>
      <w:r w:rsidR="003259BE">
        <w:t>kBTU</w:t>
      </w:r>
      <w:proofErr w:type="spellEnd"/>
      <w:r w:rsidR="003259BE">
        <w:t xml:space="preserve">/hr. </w:t>
      </w:r>
      <w:r w:rsidR="001E0555">
        <w:t>Furthermore, the</w:t>
      </w:r>
      <w:r w:rsidR="003259BE">
        <w:t xml:space="preserve"> heat pump pool heater size selected in </w:t>
      </w:r>
      <w:r w:rsidR="001E0555">
        <w:t xml:space="preserve">a </w:t>
      </w:r>
      <w:r w:rsidR="00563C63">
        <w:t xml:space="preserve">2019 </w:t>
      </w:r>
      <w:r w:rsidR="001E0555">
        <w:t>cost effectiveness study</w:t>
      </w:r>
      <w:r>
        <w:t xml:space="preserve"> for single family pools</w:t>
      </w:r>
      <w:r w:rsidR="003259BE">
        <w:t xml:space="preserve"> </w:t>
      </w:r>
      <w:r w:rsidR="00A275BC">
        <w:t>prepared</w:t>
      </w:r>
      <w:r w:rsidR="003259BE">
        <w:t xml:space="preserve"> for the </w:t>
      </w:r>
      <w:r w:rsidR="001E0555">
        <w:t>SDGE Codes and Standards team</w:t>
      </w:r>
      <w:r w:rsidR="003259BE">
        <w:t xml:space="preserve"> </w:t>
      </w:r>
      <w:r w:rsidR="001E0555">
        <w:t>was</w:t>
      </w:r>
      <w:r w:rsidR="003259BE">
        <w:t xml:space="preserve"> 110 </w:t>
      </w:r>
      <w:proofErr w:type="spellStart"/>
      <w:r w:rsidR="003259BE">
        <w:t>kBTU</w:t>
      </w:r>
      <w:proofErr w:type="spellEnd"/>
      <w:r w:rsidR="003259BE">
        <w:t>/hr</w:t>
      </w:r>
      <w:r w:rsidR="001E0555">
        <w:t>.</w:t>
      </w:r>
      <w:r w:rsidR="001E0555">
        <w:rPr>
          <w:rStyle w:val="FootnoteReference"/>
        </w:rPr>
        <w:footnoteReference w:id="38"/>
      </w:r>
      <w:r w:rsidR="003259BE">
        <w:t xml:space="preserve"> </w:t>
      </w:r>
    </w:p>
    <w:p w14:paraId="607FD2A3" w14:textId="7F6605FF" w:rsidR="00CE602C" w:rsidRDefault="00852CDC" w:rsidP="00403E3B">
      <w:r>
        <w:t>To be conservative</w:t>
      </w:r>
      <w:r w:rsidR="003259BE">
        <w:t xml:space="preserve">, </w:t>
      </w:r>
      <w:r>
        <w:t xml:space="preserve">a </w:t>
      </w:r>
      <w:r w:rsidR="003259BE">
        <w:t xml:space="preserve">measure case heat pump pool heater of 110 </w:t>
      </w:r>
      <w:proofErr w:type="spellStart"/>
      <w:r w:rsidR="003259BE">
        <w:t>kBTU</w:t>
      </w:r>
      <w:proofErr w:type="spellEnd"/>
      <w:r w:rsidR="003259BE">
        <w:t>/</w:t>
      </w:r>
      <w:proofErr w:type="spellStart"/>
      <w:r w:rsidR="003259BE">
        <w:t>hr</w:t>
      </w:r>
      <w:proofErr w:type="spellEnd"/>
      <w:r w:rsidR="003259BE">
        <w:t xml:space="preserve"> is used for </w:t>
      </w:r>
      <w:r>
        <w:t xml:space="preserve">the </w:t>
      </w:r>
      <w:proofErr w:type="gramStart"/>
      <w:r>
        <w:t>single</w:t>
      </w:r>
      <w:r w:rsidR="001B2C94">
        <w:t xml:space="preserve"> </w:t>
      </w:r>
      <w:r>
        <w:t>family</w:t>
      </w:r>
      <w:proofErr w:type="gramEnd"/>
      <w:r>
        <w:t xml:space="preserve"> pool in </w:t>
      </w:r>
      <w:r w:rsidR="003259BE">
        <w:t xml:space="preserve">this analysis. </w:t>
      </w:r>
      <w:r>
        <w:t xml:space="preserve">The multifamily common area pool </w:t>
      </w:r>
      <w:r w:rsidR="003E43D4">
        <w:t xml:space="preserve">capacity </w:t>
      </w:r>
      <w:r>
        <w:t xml:space="preserve">used for this analysis is 166 </w:t>
      </w:r>
      <w:proofErr w:type="spellStart"/>
      <w:r>
        <w:t>kBTU</w:t>
      </w:r>
      <w:proofErr w:type="spellEnd"/>
      <w:r>
        <w:t>/</w:t>
      </w:r>
      <w:proofErr w:type="spellStart"/>
      <w:r>
        <w:t>hr</w:t>
      </w:r>
      <w:proofErr w:type="spellEnd"/>
      <w:r>
        <w:t xml:space="preserve"> based on the DOE sizing analysis. </w:t>
      </w:r>
    </w:p>
    <w:p w14:paraId="14508FDE" w14:textId="2153C523" w:rsidR="00D11741" w:rsidRDefault="00D11741" w:rsidP="00403E3B">
      <w:r>
        <w:t xml:space="preserve">The table below shows the inputs to the analysis tool and their sources. </w:t>
      </w:r>
    </w:p>
    <w:p w14:paraId="4A734CD4" w14:textId="1C4617F3" w:rsidR="0035670F" w:rsidRPr="0035670F" w:rsidRDefault="005F09B3">
      <w:pPr>
        <w:pStyle w:val="Caption"/>
      </w:pPr>
      <w:bookmarkStart w:id="49" w:name="_Toc478652644"/>
      <w:bookmarkStart w:id="50" w:name="_Toc484420097"/>
      <w:r>
        <w:t xml:space="preserve">UEC Calculation Inputs - </w:t>
      </w:r>
      <w:r w:rsidR="004507F7">
        <w:t xml:space="preserve">Pool Heater </w:t>
      </w:r>
      <w:bookmarkEnd w:id="49"/>
      <w:bookmarkEnd w:id="50"/>
    </w:p>
    <w:tbl>
      <w:tblPr>
        <w:tblW w:w="947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82"/>
        <w:gridCol w:w="3416"/>
        <w:gridCol w:w="2101"/>
        <w:gridCol w:w="2972"/>
      </w:tblGrid>
      <w:tr w:rsidR="003F202D" w:rsidRPr="0035670F" w14:paraId="07C35913" w14:textId="77777777" w:rsidTr="007524D1">
        <w:trPr>
          <w:trHeight w:val="20"/>
          <w:tblHeader/>
        </w:trPr>
        <w:tc>
          <w:tcPr>
            <w:tcW w:w="982" w:type="dxa"/>
            <w:shd w:val="clear" w:color="auto" w:fill="F2F2F2" w:themeFill="background1" w:themeFillShade="F2"/>
            <w:vAlign w:val="bottom"/>
            <w:hideMark/>
          </w:tcPr>
          <w:p w14:paraId="44574FAF" w14:textId="4A4B51F5" w:rsidR="0035670F" w:rsidRPr="005F09B3" w:rsidRDefault="008F3C5C" w:rsidP="001F6A4B">
            <w:pPr>
              <w:keepNext/>
              <w:keepLines/>
              <w:spacing w:before="0" w:after="0"/>
              <w:jc w:val="center"/>
              <w:rPr>
                <w:b/>
                <w:bCs/>
                <w:sz w:val="20"/>
                <w:szCs w:val="22"/>
              </w:rPr>
            </w:pPr>
            <w:r>
              <w:rPr>
                <w:b/>
                <w:bCs/>
                <w:sz w:val="20"/>
                <w:szCs w:val="22"/>
              </w:rPr>
              <w:t>Variable</w:t>
            </w:r>
          </w:p>
        </w:tc>
        <w:tc>
          <w:tcPr>
            <w:tcW w:w="3416" w:type="dxa"/>
            <w:shd w:val="clear" w:color="auto" w:fill="F2F2F2" w:themeFill="background1" w:themeFillShade="F2"/>
            <w:vAlign w:val="bottom"/>
            <w:hideMark/>
          </w:tcPr>
          <w:p w14:paraId="6498D147" w14:textId="77777777" w:rsidR="0035670F" w:rsidRPr="005F09B3" w:rsidRDefault="0035670F" w:rsidP="001F6A4B">
            <w:pPr>
              <w:keepNext/>
              <w:keepLines/>
              <w:spacing w:before="0" w:after="0"/>
              <w:jc w:val="center"/>
              <w:rPr>
                <w:b/>
                <w:bCs/>
                <w:sz w:val="20"/>
                <w:szCs w:val="22"/>
              </w:rPr>
            </w:pPr>
            <w:r w:rsidRPr="005F09B3">
              <w:rPr>
                <w:b/>
                <w:bCs/>
                <w:sz w:val="20"/>
                <w:szCs w:val="22"/>
              </w:rPr>
              <w:t>Description</w:t>
            </w:r>
          </w:p>
        </w:tc>
        <w:tc>
          <w:tcPr>
            <w:tcW w:w="2101" w:type="dxa"/>
            <w:shd w:val="clear" w:color="auto" w:fill="F2F2F2" w:themeFill="background1" w:themeFillShade="F2"/>
            <w:vAlign w:val="bottom"/>
            <w:hideMark/>
          </w:tcPr>
          <w:p w14:paraId="55A16F6D" w14:textId="77777777" w:rsidR="0035670F" w:rsidRPr="005F09B3" w:rsidRDefault="0035670F" w:rsidP="001F6A4B">
            <w:pPr>
              <w:keepNext/>
              <w:keepLines/>
              <w:spacing w:before="0" w:after="0"/>
              <w:jc w:val="center"/>
              <w:rPr>
                <w:b/>
                <w:bCs/>
                <w:sz w:val="20"/>
                <w:szCs w:val="22"/>
              </w:rPr>
            </w:pPr>
            <w:r w:rsidRPr="005F09B3">
              <w:rPr>
                <w:b/>
                <w:bCs/>
                <w:sz w:val="20"/>
                <w:szCs w:val="22"/>
              </w:rPr>
              <w:t>Value</w:t>
            </w:r>
          </w:p>
        </w:tc>
        <w:tc>
          <w:tcPr>
            <w:tcW w:w="2972" w:type="dxa"/>
            <w:shd w:val="clear" w:color="auto" w:fill="F2F2F2" w:themeFill="background1" w:themeFillShade="F2"/>
            <w:vAlign w:val="bottom"/>
            <w:hideMark/>
          </w:tcPr>
          <w:p w14:paraId="2D3C923F" w14:textId="46940257" w:rsidR="0035670F" w:rsidRPr="005F09B3" w:rsidRDefault="004507F7" w:rsidP="001F6A4B">
            <w:pPr>
              <w:keepNext/>
              <w:keepLines/>
              <w:spacing w:before="0" w:after="0"/>
              <w:jc w:val="center"/>
              <w:rPr>
                <w:b/>
                <w:bCs/>
                <w:sz w:val="20"/>
                <w:szCs w:val="22"/>
              </w:rPr>
            </w:pPr>
            <w:r w:rsidRPr="005F09B3">
              <w:rPr>
                <w:b/>
                <w:bCs/>
                <w:sz w:val="20"/>
                <w:szCs w:val="22"/>
              </w:rPr>
              <w:t>Source</w:t>
            </w:r>
          </w:p>
        </w:tc>
      </w:tr>
      <w:tr w:rsidR="0056380B" w:rsidRPr="0035670F" w14:paraId="254A6F89" w14:textId="77777777" w:rsidTr="007524D1">
        <w:trPr>
          <w:trHeight w:val="20"/>
        </w:trPr>
        <w:tc>
          <w:tcPr>
            <w:tcW w:w="982" w:type="dxa"/>
            <w:vAlign w:val="center"/>
            <w:hideMark/>
          </w:tcPr>
          <w:p w14:paraId="6C3CEDBD" w14:textId="2B966945" w:rsidR="0056380B" w:rsidRPr="005F09B3" w:rsidRDefault="0056380B" w:rsidP="0056380B">
            <w:pPr>
              <w:keepNext/>
              <w:keepLines/>
              <w:spacing w:before="0" w:after="0"/>
              <w:rPr>
                <w:sz w:val="20"/>
                <w:szCs w:val="22"/>
              </w:rPr>
            </w:pPr>
            <w:proofErr w:type="spellStart"/>
            <w:r w:rsidRPr="005F09B3">
              <w:rPr>
                <w:i/>
                <w:sz w:val="20"/>
                <w:szCs w:val="22"/>
              </w:rPr>
              <w:t>T</w:t>
            </w:r>
            <w:r w:rsidRPr="005F09B3">
              <w:rPr>
                <w:i/>
                <w:sz w:val="20"/>
                <w:szCs w:val="22"/>
                <w:vertAlign w:val="subscript"/>
              </w:rPr>
              <w:t>pool</w:t>
            </w:r>
            <w:proofErr w:type="spellEnd"/>
          </w:p>
        </w:tc>
        <w:tc>
          <w:tcPr>
            <w:tcW w:w="3416" w:type="dxa"/>
            <w:vAlign w:val="center"/>
            <w:hideMark/>
          </w:tcPr>
          <w:p w14:paraId="78796291" w14:textId="7B354A0F" w:rsidR="0056380B" w:rsidRPr="005F09B3" w:rsidRDefault="0056380B" w:rsidP="0056380B">
            <w:pPr>
              <w:keepNext/>
              <w:keepLines/>
              <w:spacing w:before="0" w:after="0"/>
              <w:rPr>
                <w:sz w:val="20"/>
                <w:szCs w:val="22"/>
              </w:rPr>
            </w:pPr>
            <w:r w:rsidRPr="005F09B3">
              <w:rPr>
                <w:sz w:val="20"/>
                <w:szCs w:val="22"/>
              </w:rPr>
              <w:t xml:space="preserve">Desired </w:t>
            </w:r>
            <w:r>
              <w:rPr>
                <w:sz w:val="20"/>
                <w:szCs w:val="22"/>
              </w:rPr>
              <w:t>water t</w:t>
            </w:r>
            <w:r w:rsidRPr="005F09B3">
              <w:rPr>
                <w:sz w:val="20"/>
                <w:szCs w:val="22"/>
              </w:rPr>
              <w:t xml:space="preserve">emperature </w:t>
            </w:r>
            <w:r>
              <w:rPr>
                <w:sz w:val="20"/>
                <w:szCs w:val="22"/>
              </w:rPr>
              <w:t>(</w:t>
            </w:r>
            <w:r>
              <w:rPr>
                <w:rFonts w:cs="Calibri Light"/>
                <w:sz w:val="20"/>
                <w:szCs w:val="22"/>
              </w:rPr>
              <w:t>°</w:t>
            </w:r>
            <w:r w:rsidRPr="00384806">
              <w:rPr>
                <w:sz w:val="20"/>
                <w:szCs w:val="22"/>
              </w:rPr>
              <w:t>F</w:t>
            </w:r>
            <w:r>
              <w:rPr>
                <w:sz w:val="20"/>
                <w:szCs w:val="22"/>
              </w:rPr>
              <w:t>)</w:t>
            </w:r>
          </w:p>
        </w:tc>
        <w:tc>
          <w:tcPr>
            <w:tcW w:w="2101" w:type="dxa"/>
            <w:vAlign w:val="center"/>
            <w:hideMark/>
          </w:tcPr>
          <w:p w14:paraId="63C75F11" w14:textId="46672912" w:rsidR="0056380B" w:rsidRPr="005F09B3" w:rsidRDefault="0056380B" w:rsidP="0056380B">
            <w:pPr>
              <w:keepNext/>
              <w:keepLines/>
              <w:spacing w:before="0" w:after="0"/>
              <w:ind w:right="340"/>
              <w:jc w:val="right"/>
              <w:rPr>
                <w:sz w:val="20"/>
                <w:szCs w:val="22"/>
              </w:rPr>
            </w:pPr>
            <w:r w:rsidRPr="005F09B3">
              <w:rPr>
                <w:sz w:val="20"/>
                <w:szCs w:val="22"/>
              </w:rPr>
              <w:t xml:space="preserve">80 </w:t>
            </w:r>
            <w:r>
              <w:rPr>
                <w:rFonts w:cs="Calibri Light"/>
                <w:sz w:val="20"/>
                <w:szCs w:val="22"/>
              </w:rPr>
              <w:t>°</w:t>
            </w:r>
            <w:r w:rsidRPr="005F09B3">
              <w:rPr>
                <w:sz w:val="20"/>
                <w:szCs w:val="22"/>
              </w:rPr>
              <w:t>F</w:t>
            </w:r>
          </w:p>
        </w:tc>
        <w:tc>
          <w:tcPr>
            <w:tcW w:w="2972" w:type="dxa"/>
            <w:vMerge w:val="restart"/>
            <w:vAlign w:val="center"/>
            <w:hideMark/>
          </w:tcPr>
          <w:p w14:paraId="7296FBE5" w14:textId="0EC2CB53" w:rsidR="0056380B" w:rsidRPr="001F6A4B" w:rsidRDefault="0056380B" w:rsidP="0056380B">
            <w:pPr>
              <w:keepNext/>
              <w:keepLines/>
              <w:spacing w:before="0" w:after="0"/>
              <w:rPr>
                <w:sz w:val="18"/>
                <w:szCs w:val="20"/>
              </w:rPr>
            </w:pPr>
            <w:r w:rsidRPr="001F6A4B">
              <w:rPr>
                <w:sz w:val="18"/>
                <w:szCs w:val="20"/>
              </w:rPr>
              <w:t xml:space="preserve">Southern California Gas Company (SCG). </w:t>
            </w:r>
            <w:r>
              <w:rPr>
                <w:sz w:val="18"/>
                <w:szCs w:val="20"/>
              </w:rPr>
              <w:t>2017</w:t>
            </w:r>
            <w:r w:rsidRPr="001F6A4B">
              <w:rPr>
                <w:sz w:val="18"/>
                <w:szCs w:val="20"/>
              </w:rPr>
              <w:t xml:space="preserve"> "Pool Heater Energy Savings model.pdf</w:t>
            </w:r>
            <w:r>
              <w:rPr>
                <w:sz w:val="18"/>
                <w:szCs w:val="20"/>
              </w:rPr>
              <w:t>.</w:t>
            </w:r>
            <w:r w:rsidRPr="001F6A4B">
              <w:rPr>
                <w:sz w:val="18"/>
                <w:szCs w:val="20"/>
              </w:rPr>
              <w:t>”</w:t>
            </w:r>
          </w:p>
        </w:tc>
      </w:tr>
      <w:tr w:rsidR="0056380B" w:rsidRPr="0035670F" w14:paraId="6EA8BF2A" w14:textId="77777777" w:rsidTr="007524D1">
        <w:trPr>
          <w:trHeight w:val="20"/>
        </w:trPr>
        <w:tc>
          <w:tcPr>
            <w:tcW w:w="982" w:type="dxa"/>
            <w:vAlign w:val="center"/>
            <w:hideMark/>
          </w:tcPr>
          <w:p w14:paraId="33A5B19D" w14:textId="447FF6E9" w:rsidR="0056380B" w:rsidRPr="005F09B3" w:rsidRDefault="0056380B" w:rsidP="0056380B">
            <w:pPr>
              <w:keepNext/>
              <w:keepLines/>
              <w:spacing w:before="0" w:after="0"/>
              <w:rPr>
                <w:sz w:val="20"/>
                <w:szCs w:val="22"/>
              </w:rPr>
            </w:pPr>
            <w:r>
              <w:rPr>
                <w:i/>
                <w:sz w:val="20"/>
                <w:szCs w:val="22"/>
              </w:rPr>
              <w:t>F</w:t>
            </w:r>
            <w:r>
              <w:rPr>
                <w:i/>
                <w:sz w:val="20"/>
                <w:szCs w:val="22"/>
                <w:vertAlign w:val="subscript"/>
              </w:rPr>
              <w:t>S</w:t>
            </w:r>
          </w:p>
        </w:tc>
        <w:tc>
          <w:tcPr>
            <w:tcW w:w="3416" w:type="dxa"/>
            <w:vAlign w:val="center"/>
            <w:hideMark/>
          </w:tcPr>
          <w:p w14:paraId="769B9B84" w14:textId="177136CF" w:rsidR="0056380B" w:rsidRPr="005F09B3" w:rsidRDefault="0056380B" w:rsidP="0056380B">
            <w:pPr>
              <w:keepNext/>
              <w:keepLines/>
              <w:spacing w:before="0" w:after="0"/>
              <w:rPr>
                <w:sz w:val="20"/>
                <w:szCs w:val="22"/>
              </w:rPr>
            </w:pPr>
            <w:r>
              <w:rPr>
                <w:sz w:val="20"/>
                <w:szCs w:val="22"/>
              </w:rPr>
              <w:t>Solar Sha</w:t>
            </w:r>
            <w:r w:rsidR="00232AD3">
              <w:rPr>
                <w:sz w:val="20"/>
                <w:szCs w:val="22"/>
              </w:rPr>
              <w:t>d</w:t>
            </w:r>
            <w:r>
              <w:rPr>
                <w:sz w:val="20"/>
                <w:szCs w:val="22"/>
              </w:rPr>
              <w:t>ing Factor</w:t>
            </w:r>
          </w:p>
        </w:tc>
        <w:tc>
          <w:tcPr>
            <w:tcW w:w="2101" w:type="dxa"/>
            <w:vAlign w:val="center"/>
            <w:hideMark/>
          </w:tcPr>
          <w:p w14:paraId="4AA9FBBB" w14:textId="6D505B78" w:rsidR="0056380B" w:rsidRPr="005F09B3" w:rsidRDefault="0056380B" w:rsidP="0056380B">
            <w:pPr>
              <w:keepNext/>
              <w:keepLines/>
              <w:spacing w:before="0" w:after="0"/>
              <w:ind w:right="340"/>
              <w:jc w:val="right"/>
              <w:rPr>
                <w:sz w:val="20"/>
                <w:szCs w:val="22"/>
              </w:rPr>
            </w:pPr>
            <w:r>
              <w:rPr>
                <w:sz w:val="20"/>
                <w:szCs w:val="22"/>
              </w:rPr>
              <w:t>10%</w:t>
            </w:r>
          </w:p>
        </w:tc>
        <w:tc>
          <w:tcPr>
            <w:tcW w:w="2972" w:type="dxa"/>
            <w:vMerge/>
            <w:vAlign w:val="center"/>
          </w:tcPr>
          <w:p w14:paraId="762B1A9C" w14:textId="713EB89E" w:rsidR="0056380B" w:rsidRPr="005F09B3" w:rsidRDefault="0056380B" w:rsidP="0056380B">
            <w:pPr>
              <w:keepNext/>
              <w:keepLines/>
              <w:spacing w:before="0" w:after="0"/>
              <w:rPr>
                <w:sz w:val="20"/>
                <w:szCs w:val="22"/>
              </w:rPr>
            </w:pPr>
          </w:p>
        </w:tc>
      </w:tr>
      <w:tr w:rsidR="0056380B" w:rsidRPr="0035670F" w14:paraId="21014231" w14:textId="77777777" w:rsidTr="007524D1">
        <w:trPr>
          <w:trHeight w:val="494"/>
        </w:trPr>
        <w:tc>
          <w:tcPr>
            <w:tcW w:w="982" w:type="dxa"/>
            <w:vAlign w:val="center"/>
            <w:hideMark/>
          </w:tcPr>
          <w:p w14:paraId="5ABAAF0F" w14:textId="1793CCDC" w:rsidR="0056380B" w:rsidRPr="005F09B3" w:rsidRDefault="0056380B" w:rsidP="0056380B">
            <w:pPr>
              <w:spacing w:before="0" w:after="0"/>
              <w:rPr>
                <w:sz w:val="20"/>
                <w:szCs w:val="22"/>
              </w:rPr>
            </w:pPr>
            <w:r>
              <w:rPr>
                <w:i/>
                <w:sz w:val="20"/>
                <w:szCs w:val="22"/>
              </w:rPr>
              <w:t>F</w:t>
            </w:r>
            <w:r>
              <w:rPr>
                <w:i/>
                <w:sz w:val="20"/>
                <w:szCs w:val="22"/>
                <w:vertAlign w:val="subscript"/>
              </w:rPr>
              <w:t>W</w:t>
            </w:r>
          </w:p>
        </w:tc>
        <w:tc>
          <w:tcPr>
            <w:tcW w:w="3416" w:type="dxa"/>
            <w:vAlign w:val="center"/>
            <w:hideMark/>
          </w:tcPr>
          <w:p w14:paraId="46DAB594" w14:textId="0F10D780" w:rsidR="0056380B" w:rsidRPr="005F09B3" w:rsidRDefault="0056380B" w:rsidP="0056380B">
            <w:pPr>
              <w:spacing w:before="0" w:after="0"/>
              <w:rPr>
                <w:sz w:val="20"/>
                <w:szCs w:val="22"/>
              </w:rPr>
            </w:pPr>
            <w:r>
              <w:rPr>
                <w:sz w:val="20"/>
                <w:szCs w:val="22"/>
              </w:rPr>
              <w:t>Wind Shield Factor</w:t>
            </w:r>
          </w:p>
        </w:tc>
        <w:tc>
          <w:tcPr>
            <w:tcW w:w="2101" w:type="dxa"/>
            <w:vAlign w:val="center"/>
            <w:hideMark/>
          </w:tcPr>
          <w:p w14:paraId="4F74D485" w14:textId="74FDEC8D" w:rsidR="0056380B" w:rsidRPr="005F09B3" w:rsidRDefault="0056380B" w:rsidP="0056380B">
            <w:pPr>
              <w:spacing w:before="0" w:after="0"/>
              <w:ind w:right="340"/>
              <w:jc w:val="right"/>
              <w:rPr>
                <w:sz w:val="20"/>
                <w:szCs w:val="22"/>
              </w:rPr>
            </w:pPr>
            <w:r>
              <w:rPr>
                <w:sz w:val="20"/>
                <w:szCs w:val="22"/>
              </w:rPr>
              <w:t>50%</w:t>
            </w:r>
          </w:p>
        </w:tc>
        <w:tc>
          <w:tcPr>
            <w:tcW w:w="2972" w:type="dxa"/>
            <w:vMerge/>
            <w:vAlign w:val="center"/>
          </w:tcPr>
          <w:p w14:paraId="5009BF6B" w14:textId="4215BD19" w:rsidR="0056380B" w:rsidRPr="005F09B3" w:rsidRDefault="0056380B" w:rsidP="0056380B">
            <w:pPr>
              <w:spacing w:before="0" w:after="0"/>
              <w:rPr>
                <w:sz w:val="20"/>
                <w:szCs w:val="22"/>
              </w:rPr>
            </w:pPr>
          </w:p>
        </w:tc>
      </w:tr>
      <w:tr w:rsidR="0056380B" w:rsidRPr="0035670F" w14:paraId="1EDAE1AA" w14:textId="77777777" w:rsidTr="007524D1">
        <w:trPr>
          <w:trHeight w:val="494"/>
        </w:trPr>
        <w:tc>
          <w:tcPr>
            <w:tcW w:w="982" w:type="dxa"/>
            <w:vAlign w:val="center"/>
          </w:tcPr>
          <w:p w14:paraId="4EF13BE0" w14:textId="6A88586F" w:rsidR="0056380B" w:rsidRPr="00B802D1" w:rsidRDefault="0056380B" w:rsidP="0056380B">
            <w:pPr>
              <w:spacing w:before="0" w:after="0"/>
              <w:rPr>
                <w:i/>
                <w:sz w:val="20"/>
                <w:szCs w:val="22"/>
                <w:vertAlign w:val="subscript"/>
              </w:rPr>
            </w:pPr>
            <w:r>
              <w:rPr>
                <w:i/>
                <w:sz w:val="20"/>
                <w:szCs w:val="22"/>
              </w:rPr>
              <w:t>F</w:t>
            </w:r>
            <w:r>
              <w:rPr>
                <w:i/>
                <w:sz w:val="20"/>
                <w:szCs w:val="22"/>
                <w:vertAlign w:val="subscript"/>
              </w:rPr>
              <w:t>a</w:t>
            </w:r>
          </w:p>
        </w:tc>
        <w:tc>
          <w:tcPr>
            <w:tcW w:w="3416" w:type="dxa"/>
            <w:vAlign w:val="center"/>
          </w:tcPr>
          <w:p w14:paraId="1792D26D" w14:textId="4DEB01C3" w:rsidR="0056380B" w:rsidRPr="005F09B3" w:rsidRDefault="0056380B" w:rsidP="0056380B">
            <w:pPr>
              <w:spacing w:before="0" w:after="0"/>
              <w:rPr>
                <w:sz w:val="20"/>
                <w:szCs w:val="22"/>
              </w:rPr>
            </w:pPr>
            <w:r>
              <w:rPr>
                <w:sz w:val="20"/>
                <w:szCs w:val="22"/>
              </w:rPr>
              <w:t>Pool Activity Factor</w:t>
            </w:r>
          </w:p>
        </w:tc>
        <w:tc>
          <w:tcPr>
            <w:tcW w:w="2101" w:type="dxa"/>
            <w:vAlign w:val="center"/>
          </w:tcPr>
          <w:p w14:paraId="769F4F19" w14:textId="4BAF7380" w:rsidR="0056380B" w:rsidRPr="005F09B3" w:rsidRDefault="0056380B" w:rsidP="0056380B">
            <w:pPr>
              <w:spacing w:before="0" w:after="0"/>
              <w:ind w:right="340"/>
              <w:jc w:val="right"/>
              <w:rPr>
                <w:sz w:val="20"/>
                <w:szCs w:val="22"/>
              </w:rPr>
            </w:pPr>
            <w:r>
              <w:rPr>
                <w:sz w:val="20"/>
                <w:szCs w:val="22"/>
              </w:rPr>
              <w:t>0.5</w:t>
            </w:r>
          </w:p>
        </w:tc>
        <w:tc>
          <w:tcPr>
            <w:tcW w:w="2972" w:type="dxa"/>
            <w:vMerge/>
            <w:vAlign w:val="center"/>
          </w:tcPr>
          <w:p w14:paraId="58AA786D" w14:textId="77777777" w:rsidR="0056380B" w:rsidRPr="005F09B3" w:rsidRDefault="0056380B" w:rsidP="0056380B">
            <w:pPr>
              <w:spacing w:before="0" w:after="0"/>
              <w:rPr>
                <w:sz w:val="20"/>
                <w:szCs w:val="22"/>
              </w:rPr>
            </w:pPr>
          </w:p>
        </w:tc>
      </w:tr>
      <w:tr w:rsidR="0056380B" w:rsidRPr="0035670F" w14:paraId="13B68623" w14:textId="77777777" w:rsidTr="007524D1">
        <w:trPr>
          <w:trHeight w:val="494"/>
        </w:trPr>
        <w:tc>
          <w:tcPr>
            <w:tcW w:w="982" w:type="dxa"/>
            <w:vAlign w:val="center"/>
          </w:tcPr>
          <w:p w14:paraId="3E3CB023" w14:textId="78DFCAE9" w:rsidR="0056380B" w:rsidRPr="00B802D1" w:rsidRDefault="0056380B" w:rsidP="0056380B">
            <w:pPr>
              <w:spacing w:before="0" w:after="0"/>
              <w:rPr>
                <w:i/>
                <w:sz w:val="20"/>
                <w:szCs w:val="22"/>
                <w:vertAlign w:val="subscript"/>
              </w:rPr>
            </w:pPr>
            <w:r>
              <w:rPr>
                <w:i/>
                <w:sz w:val="20"/>
                <w:szCs w:val="22"/>
              </w:rPr>
              <w:t>Season</w:t>
            </w:r>
          </w:p>
        </w:tc>
        <w:tc>
          <w:tcPr>
            <w:tcW w:w="3416" w:type="dxa"/>
            <w:vAlign w:val="center"/>
          </w:tcPr>
          <w:p w14:paraId="393DFCA4" w14:textId="6F4865A5" w:rsidR="0056380B" w:rsidRPr="005F09B3" w:rsidRDefault="0056380B" w:rsidP="0056380B">
            <w:pPr>
              <w:spacing w:before="0" w:after="0"/>
              <w:rPr>
                <w:sz w:val="20"/>
                <w:szCs w:val="22"/>
              </w:rPr>
            </w:pPr>
            <w:r>
              <w:rPr>
                <w:sz w:val="20"/>
                <w:szCs w:val="22"/>
              </w:rPr>
              <w:t>Pool Season Start and End Dates</w:t>
            </w:r>
          </w:p>
        </w:tc>
        <w:tc>
          <w:tcPr>
            <w:tcW w:w="2101" w:type="dxa"/>
            <w:vAlign w:val="center"/>
          </w:tcPr>
          <w:p w14:paraId="1A11F5D3" w14:textId="47705531" w:rsidR="0056380B" w:rsidRPr="005F09B3" w:rsidRDefault="0056380B" w:rsidP="0056380B">
            <w:pPr>
              <w:spacing w:before="0" w:after="0"/>
              <w:ind w:right="340"/>
              <w:jc w:val="right"/>
              <w:rPr>
                <w:sz w:val="20"/>
                <w:szCs w:val="22"/>
              </w:rPr>
            </w:pPr>
            <w:r>
              <w:rPr>
                <w:sz w:val="20"/>
                <w:szCs w:val="22"/>
              </w:rPr>
              <w:t>5/1-9/30</w:t>
            </w:r>
          </w:p>
        </w:tc>
        <w:tc>
          <w:tcPr>
            <w:tcW w:w="2972" w:type="dxa"/>
            <w:vMerge/>
            <w:vAlign w:val="center"/>
          </w:tcPr>
          <w:p w14:paraId="3E1055C0" w14:textId="77777777" w:rsidR="0056380B" w:rsidRPr="005F09B3" w:rsidRDefault="0056380B" w:rsidP="0056380B">
            <w:pPr>
              <w:spacing w:before="0" w:after="0"/>
              <w:rPr>
                <w:sz w:val="20"/>
                <w:szCs w:val="22"/>
              </w:rPr>
            </w:pPr>
          </w:p>
        </w:tc>
      </w:tr>
      <w:tr w:rsidR="0056380B" w:rsidRPr="0035670F" w14:paraId="4644E2D0" w14:textId="77777777" w:rsidTr="007524D1">
        <w:trPr>
          <w:trHeight w:val="494"/>
        </w:trPr>
        <w:tc>
          <w:tcPr>
            <w:tcW w:w="982" w:type="dxa"/>
            <w:vAlign w:val="center"/>
          </w:tcPr>
          <w:p w14:paraId="58A6D595" w14:textId="5F3C8BB3" w:rsidR="0056380B" w:rsidRPr="00B802D1" w:rsidRDefault="0056380B" w:rsidP="0056380B">
            <w:pPr>
              <w:spacing w:before="0" w:after="0"/>
              <w:rPr>
                <w:i/>
                <w:sz w:val="20"/>
                <w:szCs w:val="22"/>
                <w:vertAlign w:val="subscript"/>
              </w:rPr>
            </w:pPr>
            <w:r>
              <w:rPr>
                <w:i/>
                <w:sz w:val="20"/>
                <w:szCs w:val="22"/>
              </w:rPr>
              <w:t>Hours</w:t>
            </w:r>
          </w:p>
        </w:tc>
        <w:tc>
          <w:tcPr>
            <w:tcW w:w="3416" w:type="dxa"/>
            <w:vAlign w:val="center"/>
          </w:tcPr>
          <w:p w14:paraId="135C938B" w14:textId="30C843B2" w:rsidR="0056380B" w:rsidRPr="005F09B3" w:rsidRDefault="0056380B" w:rsidP="0056380B">
            <w:pPr>
              <w:spacing w:before="0" w:after="0"/>
              <w:rPr>
                <w:sz w:val="20"/>
                <w:szCs w:val="22"/>
              </w:rPr>
            </w:pPr>
            <w:r>
              <w:rPr>
                <w:sz w:val="20"/>
                <w:szCs w:val="22"/>
              </w:rPr>
              <w:t>Season Open Hours</w:t>
            </w:r>
          </w:p>
        </w:tc>
        <w:tc>
          <w:tcPr>
            <w:tcW w:w="2101" w:type="dxa"/>
            <w:vAlign w:val="center"/>
          </w:tcPr>
          <w:p w14:paraId="6194E9E0" w14:textId="0DD9CC33" w:rsidR="0056380B" w:rsidRPr="005F09B3" w:rsidRDefault="0056380B" w:rsidP="0056380B">
            <w:pPr>
              <w:spacing w:before="0" w:after="0"/>
              <w:ind w:right="340"/>
              <w:jc w:val="right"/>
              <w:rPr>
                <w:sz w:val="20"/>
                <w:szCs w:val="22"/>
              </w:rPr>
            </w:pPr>
            <w:r>
              <w:rPr>
                <w:sz w:val="20"/>
                <w:szCs w:val="22"/>
              </w:rPr>
              <w:t>12:00 PM-6:00PM</w:t>
            </w:r>
          </w:p>
        </w:tc>
        <w:tc>
          <w:tcPr>
            <w:tcW w:w="2972" w:type="dxa"/>
            <w:vMerge/>
            <w:vAlign w:val="center"/>
          </w:tcPr>
          <w:p w14:paraId="28DD20ED" w14:textId="77777777" w:rsidR="0056380B" w:rsidRPr="005F09B3" w:rsidRDefault="0056380B" w:rsidP="0056380B">
            <w:pPr>
              <w:spacing w:before="0" w:after="0"/>
              <w:rPr>
                <w:sz w:val="20"/>
                <w:szCs w:val="22"/>
              </w:rPr>
            </w:pPr>
          </w:p>
        </w:tc>
      </w:tr>
      <w:tr w:rsidR="0056380B" w:rsidRPr="0035670F" w14:paraId="36D096CE" w14:textId="77777777" w:rsidTr="007524D1">
        <w:trPr>
          <w:trHeight w:val="494"/>
        </w:trPr>
        <w:tc>
          <w:tcPr>
            <w:tcW w:w="982" w:type="dxa"/>
            <w:vAlign w:val="center"/>
          </w:tcPr>
          <w:p w14:paraId="13EB582C" w14:textId="777B6D68" w:rsidR="0056380B" w:rsidRDefault="0056380B" w:rsidP="0056380B">
            <w:pPr>
              <w:spacing w:before="0" w:after="0"/>
              <w:rPr>
                <w:i/>
                <w:sz w:val="20"/>
                <w:szCs w:val="22"/>
              </w:rPr>
            </w:pPr>
            <w:proofErr w:type="spellStart"/>
            <w:r w:rsidRPr="005F09B3">
              <w:rPr>
                <w:i/>
                <w:iCs/>
                <w:sz w:val="20"/>
                <w:szCs w:val="22"/>
              </w:rPr>
              <w:t>d</w:t>
            </w:r>
            <w:r w:rsidRPr="005F09B3">
              <w:rPr>
                <w:i/>
                <w:iCs/>
                <w:sz w:val="20"/>
                <w:szCs w:val="22"/>
                <w:vertAlign w:val="subscript"/>
              </w:rPr>
              <w:t>pool</w:t>
            </w:r>
            <w:proofErr w:type="spellEnd"/>
          </w:p>
        </w:tc>
        <w:tc>
          <w:tcPr>
            <w:tcW w:w="3416" w:type="dxa"/>
            <w:vAlign w:val="center"/>
          </w:tcPr>
          <w:p w14:paraId="46A23B4B" w14:textId="5521276A" w:rsidR="0056380B" w:rsidRDefault="0056380B" w:rsidP="0056380B">
            <w:pPr>
              <w:spacing w:before="0" w:after="0"/>
              <w:rPr>
                <w:sz w:val="20"/>
                <w:szCs w:val="22"/>
              </w:rPr>
            </w:pPr>
            <w:r w:rsidRPr="005F09B3">
              <w:rPr>
                <w:sz w:val="20"/>
                <w:szCs w:val="22"/>
              </w:rPr>
              <w:t xml:space="preserve">Average </w:t>
            </w:r>
            <w:r>
              <w:rPr>
                <w:sz w:val="20"/>
                <w:szCs w:val="22"/>
              </w:rPr>
              <w:t>d</w:t>
            </w:r>
            <w:r w:rsidRPr="005F09B3">
              <w:rPr>
                <w:sz w:val="20"/>
                <w:szCs w:val="22"/>
              </w:rPr>
              <w:t xml:space="preserve">epth </w:t>
            </w:r>
            <w:r>
              <w:rPr>
                <w:sz w:val="20"/>
                <w:szCs w:val="22"/>
              </w:rPr>
              <w:t>(ft)</w:t>
            </w:r>
          </w:p>
        </w:tc>
        <w:tc>
          <w:tcPr>
            <w:tcW w:w="2101" w:type="dxa"/>
            <w:vAlign w:val="center"/>
          </w:tcPr>
          <w:p w14:paraId="58C985A2" w14:textId="73F1F86D" w:rsidR="0056380B" w:rsidRDefault="0056380B" w:rsidP="0056380B">
            <w:pPr>
              <w:spacing w:before="0" w:after="0"/>
              <w:ind w:right="340"/>
              <w:jc w:val="right"/>
              <w:rPr>
                <w:sz w:val="20"/>
                <w:szCs w:val="22"/>
              </w:rPr>
            </w:pPr>
            <w:r w:rsidRPr="005F09B3">
              <w:rPr>
                <w:sz w:val="20"/>
                <w:szCs w:val="22"/>
              </w:rPr>
              <w:t xml:space="preserve">4.5 </w:t>
            </w:r>
          </w:p>
        </w:tc>
        <w:tc>
          <w:tcPr>
            <w:tcW w:w="2972" w:type="dxa"/>
            <w:vMerge/>
            <w:vAlign w:val="center"/>
          </w:tcPr>
          <w:p w14:paraId="46188C71" w14:textId="77777777" w:rsidR="0056380B" w:rsidRPr="005F09B3" w:rsidRDefault="0056380B" w:rsidP="0056380B">
            <w:pPr>
              <w:spacing w:before="0" w:after="0"/>
              <w:rPr>
                <w:sz w:val="20"/>
                <w:szCs w:val="22"/>
              </w:rPr>
            </w:pPr>
          </w:p>
        </w:tc>
      </w:tr>
      <w:tr w:rsidR="0056380B" w:rsidRPr="0035670F" w14:paraId="0DA600B8" w14:textId="77777777" w:rsidTr="007524D1">
        <w:trPr>
          <w:trHeight w:val="494"/>
        </w:trPr>
        <w:tc>
          <w:tcPr>
            <w:tcW w:w="982" w:type="dxa"/>
            <w:vAlign w:val="center"/>
          </w:tcPr>
          <w:p w14:paraId="16DE02F8" w14:textId="24D47585" w:rsidR="0056380B" w:rsidRDefault="0056380B" w:rsidP="0056380B">
            <w:pPr>
              <w:spacing w:before="0" w:after="0"/>
              <w:rPr>
                <w:i/>
                <w:sz w:val="20"/>
                <w:szCs w:val="22"/>
              </w:rPr>
            </w:pPr>
            <w:proofErr w:type="spellStart"/>
            <w:r w:rsidRPr="005F09B3">
              <w:rPr>
                <w:i/>
                <w:sz w:val="20"/>
                <w:szCs w:val="22"/>
              </w:rPr>
              <w:t>A</w:t>
            </w:r>
            <w:r w:rsidRPr="005F09B3">
              <w:rPr>
                <w:i/>
                <w:sz w:val="20"/>
                <w:szCs w:val="22"/>
                <w:vertAlign w:val="subscript"/>
              </w:rPr>
              <w:t>pool</w:t>
            </w:r>
            <w:proofErr w:type="spellEnd"/>
          </w:p>
        </w:tc>
        <w:tc>
          <w:tcPr>
            <w:tcW w:w="3416" w:type="dxa"/>
            <w:vAlign w:val="center"/>
          </w:tcPr>
          <w:p w14:paraId="5E24AEF2" w14:textId="05AD35FA" w:rsidR="0056380B" w:rsidRDefault="0056380B" w:rsidP="0056380B">
            <w:pPr>
              <w:spacing w:before="0" w:after="0"/>
              <w:rPr>
                <w:sz w:val="20"/>
                <w:szCs w:val="22"/>
              </w:rPr>
            </w:pPr>
            <w:r w:rsidRPr="005F09B3">
              <w:rPr>
                <w:sz w:val="20"/>
                <w:szCs w:val="22"/>
              </w:rPr>
              <w:t>Pool surface area</w:t>
            </w:r>
            <w:r>
              <w:rPr>
                <w:sz w:val="20"/>
                <w:szCs w:val="22"/>
              </w:rPr>
              <w:t xml:space="preserve"> (ft</w:t>
            </w:r>
            <w:r w:rsidRPr="005F09B3">
              <w:rPr>
                <w:sz w:val="20"/>
                <w:szCs w:val="22"/>
                <w:vertAlign w:val="superscript"/>
              </w:rPr>
              <w:t>2</w:t>
            </w:r>
            <w:r>
              <w:rPr>
                <w:sz w:val="20"/>
                <w:szCs w:val="22"/>
              </w:rPr>
              <w:t>)</w:t>
            </w:r>
            <w:r w:rsidRPr="005F09B3">
              <w:rPr>
                <w:sz w:val="20"/>
                <w:szCs w:val="22"/>
              </w:rPr>
              <w:t xml:space="preserve"> </w:t>
            </w:r>
            <w:r>
              <w:rPr>
                <w:sz w:val="20"/>
                <w:szCs w:val="22"/>
              </w:rPr>
              <w:t>– Single Family Pools</w:t>
            </w:r>
          </w:p>
        </w:tc>
        <w:tc>
          <w:tcPr>
            <w:tcW w:w="2101" w:type="dxa"/>
            <w:vAlign w:val="center"/>
          </w:tcPr>
          <w:p w14:paraId="4058655D" w14:textId="60FC764F" w:rsidR="0056380B" w:rsidRDefault="0056380B" w:rsidP="0056380B">
            <w:pPr>
              <w:spacing w:before="0" w:after="0"/>
              <w:ind w:right="340"/>
              <w:jc w:val="right"/>
              <w:rPr>
                <w:sz w:val="20"/>
                <w:szCs w:val="22"/>
              </w:rPr>
            </w:pPr>
            <w:r w:rsidRPr="005F09B3">
              <w:rPr>
                <w:sz w:val="20"/>
                <w:szCs w:val="22"/>
              </w:rPr>
              <w:t xml:space="preserve">500 </w:t>
            </w:r>
          </w:p>
        </w:tc>
        <w:tc>
          <w:tcPr>
            <w:tcW w:w="2972" w:type="dxa"/>
            <w:vMerge/>
            <w:vAlign w:val="center"/>
          </w:tcPr>
          <w:p w14:paraId="1A356665" w14:textId="77777777" w:rsidR="0056380B" w:rsidRPr="005F09B3" w:rsidRDefault="0056380B" w:rsidP="0056380B">
            <w:pPr>
              <w:spacing w:before="0" w:after="0"/>
              <w:rPr>
                <w:sz w:val="20"/>
                <w:szCs w:val="22"/>
              </w:rPr>
            </w:pPr>
          </w:p>
        </w:tc>
      </w:tr>
      <w:tr w:rsidR="0056380B" w:rsidRPr="0035670F" w14:paraId="58686DB5" w14:textId="77777777" w:rsidTr="007524D1">
        <w:trPr>
          <w:trHeight w:val="494"/>
        </w:trPr>
        <w:tc>
          <w:tcPr>
            <w:tcW w:w="982" w:type="dxa"/>
            <w:vAlign w:val="center"/>
          </w:tcPr>
          <w:p w14:paraId="051CF7A3" w14:textId="49042276" w:rsidR="0056380B" w:rsidRDefault="0056380B" w:rsidP="0056380B">
            <w:pPr>
              <w:spacing w:before="0" w:after="0"/>
              <w:rPr>
                <w:i/>
                <w:sz w:val="20"/>
                <w:szCs w:val="22"/>
              </w:rPr>
            </w:pPr>
            <w:proofErr w:type="spellStart"/>
            <w:r w:rsidRPr="005F09B3">
              <w:rPr>
                <w:i/>
                <w:sz w:val="20"/>
                <w:szCs w:val="22"/>
              </w:rPr>
              <w:t>A</w:t>
            </w:r>
            <w:r w:rsidRPr="005F09B3">
              <w:rPr>
                <w:i/>
                <w:sz w:val="20"/>
                <w:szCs w:val="22"/>
                <w:vertAlign w:val="subscript"/>
              </w:rPr>
              <w:t>pool</w:t>
            </w:r>
            <w:proofErr w:type="spellEnd"/>
          </w:p>
        </w:tc>
        <w:tc>
          <w:tcPr>
            <w:tcW w:w="3416" w:type="dxa"/>
            <w:vAlign w:val="center"/>
          </w:tcPr>
          <w:p w14:paraId="4354ED4D" w14:textId="29F44E18" w:rsidR="0056380B" w:rsidRDefault="0056380B" w:rsidP="0056380B">
            <w:pPr>
              <w:spacing w:before="0" w:after="0"/>
              <w:rPr>
                <w:sz w:val="20"/>
                <w:szCs w:val="22"/>
              </w:rPr>
            </w:pPr>
            <w:r w:rsidRPr="005F09B3">
              <w:rPr>
                <w:sz w:val="20"/>
                <w:szCs w:val="22"/>
              </w:rPr>
              <w:t>Pool surface area</w:t>
            </w:r>
            <w:r>
              <w:rPr>
                <w:sz w:val="20"/>
                <w:szCs w:val="22"/>
              </w:rPr>
              <w:t xml:space="preserve"> (ft</w:t>
            </w:r>
            <w:r w:rsidRPr="005F09B3">
              <w:rPr>
                <w:sz w:val="20"/>
                <w:szCs w:val="22"/>
                <w:vertAlign w:val="superscript"/>
              </w:rPr>
              <w:t>2</w:t>
            </w:r>
            <w:r>
              <w:rPr>
                <w:sz w:val="20"/>
                <w:szCs w:val="22"/>
              </w:rPr>
              <w:t>)</w:t>
            </w:r>
            <w:r w:rsidRPr="005F09B3">
              <w:rPr>
                <w:sz w:val="20"/>
                <w:szCs w:val="22"/>
              </w:rPr>
              <w:t xml:space="preserve"> </w:t>
            </w:r>
            <w:r>
              <w:rPr>
                <w:sz w:val="20"/>
                <w:szCs w:val="22"/>
              </w:rPr>
              <w:t>– Multi-family Common Area Pools</w:t>
            </w:r>
          </w:p>
        </w:tc>
        <w:tc>
          <w:tcPr>
            <w:tcW w:w="2101" w:type="dxa"/>
            <w:vAlign w:val="center"/>
          </w:tcPr>
          <w:p w14:paraId="2C206895" w14:textId="68220C80" w:rsidR="0056380B" w:rsidRDefault="00852CDC" w:rsidP="0056380B">
            <w:pPr>
              <w:spacing w:before="0" w:after="0"/>
              <w:ind w:right="340"/>
              <w:jc w:val="right"/>
              <w:rPr>
                <w:sz w:val="20"/>
                <w:szCs w:val="22"/>
              </w:rPr>
            </w:pPr>
            <w:r>
              <w:rPr>
                <w:sz w:val="20"/>
                <w:szCs w:val="22"/>
              </w:rPr>
              <w:t>818</w:t>
            </w:r>
            <w:r w:rsidR="0056380B" w:rsidRPr="005F09B3">
              <w:rPr>
                <w:sz w:val="20"/>
                <w:szCs w:val="22"/>
              </w:rPr>
              <w:t xml:space="preserve"> </w:t>
            </w:r>
          </w:p>
        </w:tc>
        <w:tc>
          <w:tcPr>
            <w:tcW w:w="2972" w:type="dxa"/>
            <w:vAlign w:val="center"/>
          </w:tcPr>
          <w:p w14:paraId="14858F69" w14:textId="77777777" w:rsidR="0056380B" w:rsidRDefault="007D2D9F" w:rsidP="0056380B">
            <w:pPr>
              <w:spacing w:before="0" w:after="0"/>
              <w:rPr>
                <w:sz w:val="18"/>
                <w:szCs w:val="20"/>
              </w:rPr>
            </w:pPr>
            <w:r w:rsidRPr="007524D1">
              <w:rPr>
                <w:sz w:val="18"/>
                <w:szCs w:val="20"/>
              </w:rPr>
              <w:t xml:space="preserve"> ADM Associates, Inc. 2016. “Metering and Measuring of Multi-Family Pool Pumps, Final Report – Phase 1 &amp; 2”. Prepared for Southern California Edison, San Diego Gas and </w:t>
            </w:r>
            <w:r w:rsidRPr="007524D1">
              <w:rPr>
                <w:sz w:val="18"/>
                <w:szCs w:val="20"/>
              </w:rPr>
              <w:lastRenderedPageBreak/>
              <w:t>Electric, Southern California Gas, and Pacific Gas and Electric.</w:t>
            </w:r>
          </w:p>
          <w:p w14:paraId="07716F5E" w14:textId="77777777" w:rsidR="003E43D4" w:rsidRDefault="003E43D4" w:rsidP="0056380B">
            <w:pPr>
              <w:spacing w:before="0" w:after="0"/>
              <w:rPr>
                <w:sz w:val="18"/>
                <w:szCs w:val="20"/>
              </w:rPr>
            </w:pPr>
          </w:p>
          <w:p w14:paraId="7258EC26" w14:textId="4F9A3013" w:rsidR="007D2D9F" w:rsidRPr="005F09B3" w:rsidRDefault="007D2D9F" w:rsidP="0056380B">
            <w:pPr>
              <w:spacing w:before="0" w:after="0"/>
              <w:rPr>
                <w:sz w:val="20"/>
                <w:szCs w:val="22"/>
              </w:rPr>
            </w:pPr>
            <w:r>
              <w:rPr>
                <w:sz w:val="18"/>
                <w:szCs w:val="20"/>
              </w:rPr>
              <w:t>Calculated using 4.5 feet average depth</w:t>
            </w:r>
            <w:r w:rsidR="003E43D4">
              <w:rPr>
                <w:sz w:val="18"/>
                <w:szCs w:val="20"/>
              </w:rPr>
              <w:t xml:space="preserve"> in file </w:t>
            </w:r>
            <w:r w:rsidR="003E43D4" w:rsidRPr="001E0555">
              <w:rPr>
                <w:sz w:val="18"/>
                <w:szCs w:val="20"/>
              </w:rPr>
              <w:t>Southern California Edison (SCE). 202</w:t>
            </w:r>
            <w:r w:rsidR="006323BC">
              <w:rPr>
                <w:sz w:val="18"/>
                <w:szCs w:val="20"/>
              </w:rPr>
              <w:t>1</w:t>
            </w:r>
            <w:r w:rsidR="003E43D4" w:rsidRPr="001E0555">
              <w:rPr>
                <w:sz w:val="18"/>
                <w:szCs w:val="20"/>
              </w:rPr>
              <w:t>. " SWRE005-01 HP Pool Heater Analysis Summary.xlsx"</w:t>
            </w:r>
          </w:p>
        </w:tc>
      </w:tr>
      <w:tr w:rsidR="0056380B" w:rsidRPr="0035670F" w14:paraId="32C98AA7" w14:textId="77777777" w:rsidTr="007524D1">
        <w:trPr>
          <w:trHeight w:val="494"/>
        </w:trPr>
        <w:tc>
          <w:tcPr>
            <w:tcW w:w="982" w:type="dxa"/>
            <w:vAlign w:val="center"/>
          </w:tcPr>
          <w:p w14:paraId="7C7374AD" w14:textId="254A227B" w:rsidR="0056380B" w:rsidRDefault="0056380B" w:rsidP="0056380B">
            <w:pPr>
              <w:spacing w:before="0" w:after="0"/>
              <w:rPr>
                <w:i/>
                <w:sz w:val="20"/>
                <w:szCs w:val="22"/>
              </w:rPr>
            </w:pPr>
            <w:r w:rsidRPr="00271F0D">
              <w:rPr>
                <w:rFonts w:cs="Calibri Light"/>
                <w:sz w:val="20"/>
                <w:szCs w:val="20"/>
              </w:rPr>
              <w:lastRenderedPageBreak/>
              <w:t>Ƞ</w:t>
            </w:r>
            <w:r>
              <w:rPr>
                <w:sz w:val="20"/>
                <w:szCs w:val="22"/>
                <w:vertAlign w:val="subscript"/>
              </w:rPr>
              <w:t>Pre</w:t>
            </w:r>
            <w:r w:rsidRPr="005F09B3">
              <w:rPr>
                <w:sz w:val="20"/>
                <w:szCs w:val="22"/>
                <w:vertAlign w:val="subscript"/>
              </w:rPr>
              <w:t xml:space="preserve"> Avg</w:t>
            </w:r>
          </w:p>
        </w:tc>
        <w:tc>
          <w:tcPr>
            <w:tcW w:w="3416" w:type="dxa"/>
            <w:vAlign w:val="center"/>
          </w:tcPr>
          <w:p w14:paraId="744FFC5E" w14:textId="28197F88" w:rsidR="0056380B" w:rsidRDefault="0056380B" w:rsidP="0056380B">
            <w:pPr>
              <w:spacing w:before="0" w:after="0"/>
              <w:rPr>
                <w:sz w:val="20"/>
                <w:szCs w:val="22"/>
              </w:rPr>
            </w:pPr>
            <w:r w:rsidRPr="005F09B3">
              <w:rPr>
                <w:sz w:val="20"/>
                <w:szCs w:val="22"/>
              </w:rPr>
              <w:t xml:space="preserve">Baseline </w:t>
            </w:r>
            <w:r>
              <w:rPr>
                <w:sz w:val="20"/>
                <w:szCs w:val="22"/>
              </w:rPr>
              <w:t>t</w:t>
            </w:r>
            <w:r w:rsidRPr="005F09B3">
              <w:rPr>
                <w:sz w:val="20"/>
                <w:szCs w:val="22"/>
              </w:rPr>
              <w:t xml:space="preserve">hermal </w:t>
            </w:r>
            <w:r>
              <w:rPr>
                <w:sz w:val="20"/>
                <w:szCs w:val="22"/>
              </w:rPr>
              <w:t>e</w:t>
            </w:r>
            <w:r w:rsidRPr="005F09B3">
              <w:rPr>
                <w:sz w:val="20"/>
                <w:szCs w:val="22"/>
              </w:rPr>
              <w:t>fficiency</w:t>
            </w:r>
            <w:r>
              <w:rPr>
                <w:sz w:val="20"/>
                <w:szCs w:val="22"/>
              </w:rPr>
              <w:t xml:space="preserve"> (TE, %)</w:t>
            </w:r>
            <w:r w:rsidRPr="005F09B3">
              <w:rPr>
                <w:sz w:val="20"/>
                <w:szCs w:val="22"/>
              </w:rPr>
              <w:t xml:space="preserve"> </w:t>
            </w:r>
          </w:p>
        </w:tc>
        <w:tc>
          <w:tcPr>
            <w:tcW w:w="2101" w:type="dxa"/>
            <w:vAlign w:val="center"/>
          </w:tcPr>
          <w:p w14:paraId="3B91952A" w14:textId="753E5CBE" w:rsidR="0056380B" w:rsidRDefault="0056380B" w:rsidP="0056380B">
            <w:pPr>
              <w:spacing w:before="0" w:after="0"/>
              <w:ind w:right="340"/>
              <w:jc w:val="right"/>
              <w:rPr>
                <w:sz w:val="20"/>
                <w:szCs w:val="22"/>
              </w:rPr>
            </w:pPr>
            <w:r w:rsidRPr="005F09B3">
              <w:rPr>
                <w:sz w:val="20"/>
                <w:szCs w:val="22"/>
              </w:rPr>
              <w:t>82%</w:t>
            </w:r>
          </w:p>
        </w:tc>
        <w:tc>
          <w:tcPr>
            <w:tcW w:w="2972" w:type="dxa"/>
            <w:vAlign w:val="center"/>
          </w:tcPr>
          <w:p w14:paraId="59E6C4C8" w14:textId="77777777" w:rsidR="0056380B" w:rsidRDefault="0056380B" w:rsidP="0056380B">
            <w:pPr>
              <w:spacing w:before="0" w:after="0"/>
              <w:rPr>
                <w:sz w:val="18"/>
                <w:szCs w:val="20"/>
              </w:rPr>
            </w:pPr>
            <w:r w:rsidRPr="001E0555">
              <w:rPr>
                <w:sz w:val="18"/>
                <w:szCs w:val="20"/>
              </w:rPr>
              <w:t>California Energy Commission (CEC). 2019. 2019 Appliance Efficiency Regulations. CEC-140-2019-002</w:t>
            </w:r>
          </w:p>
          <w:p w14:paraId="5B143F34" w14:textId="18463EE0" w:rsidR="007D2D9F" w:rsidRPr="005F09B3" w:rsidRDefault="007D2D9F" w:rsidP="0056380B">
            <w:pPr>
              <w:spacing w:before="0" w:after="0"/>
              <w:rPr>
                <w:sz w:val="20"/>
                <w:szCs w:val="22"/>
              </w:rPr>
            </w:pPr>
          </w:p>
        </w:tc>
      </w:tr>
      <w:tr w:rsidR="0056380B" w:rsidRPr="0035670F" w14:paraId="27A8F4E6" w14:textId="77777777" w:rsidTr="007524D1">
        <w:trPr>
          <w:trHeight w:val="20"/>
        </w:trPr>
        <w:tc>
          <w:tcPr>
            <w:tcW w:w="982" w:type="dxa"/>
            <w:vAlign w:val="center"/>
            <w:hideMark/>
          </w:tcPr>
          <w:p w14:paraId="48550EDE" w14:textId="6A732A0F" w:rsidR="0056380B" w:rsidRPr="005F09B3" w:rsidRDefault="0056380B" w:rsidP="0056380B">
            <w:pPr>
              <w:spacing w:before="0" w:after="0"/>
              <w:rPr>
                <w:sz w:val="20"/>
                <w:szCs w:val="22"/>
              </w:rPr>
            </w:pPr>
            <w:proofErr w:type="spellStart"/>
            <w:r w:rsidRPr="005F09B3">
              <w:rPr>
                <w:sz w:val="20"/>
                <w:szCs w:val="22"/>
              </w:rPr>
              <w:t>Q</w:t>
            </w:r>
            <w:r w:rsidRPr="005F09B3">
              <w:rPr>
                <w:i/>
                <w:sz w:val="20"/>
                <w:szCs w:val="22"/>
                <w:vertAlign w:val="subscript"/>
              </w:rPr>
              <w:t>p</w:t>
            </w:r>
            <w:r>
              <w:rPr>
                <w:i/>
                <w:sz w:val="20"/>
                <w:szCs w:val="22"/>
                <w:vertAlign w:val="subscript"/>
              </w:rPr>
              <w:t>re</w:t>
            </w:r>
            <w:proofErr w:type="spellEnd"/>
            <w:r>
              <w:rPr>
                <w:i/>
                <w:sz w:val="20"/>
                <w:szCs w:val="22"/>
                <w:vertAlign w:val="subscript"/>
              </w:rPr>
              <w:t xml:space="preserve"> p</w:t>
            </w:r>
            <w:r w:rsidRPr="005F09B3">
              <w:rPr>
                <w:i/>
                <w:sz w:val="20"/>
                <w:szCs w:val="22"/>
                <w:vertAlign w:val="subscript"/>
              </w:rPr>
              <w:t>ool</w:t>
            </w:r>
          </w:p>
        </w:tc>
        <w:tc>
          <w:tcPr>
            <w:tcW w:w="3416" w:type="dxa"/>
            <w:vAlign w:val="center"/>
            <w:hideMark/>
          </w:tcPr>
          <w:p w14:paraId="022835EA" w14:textId="38A5B1A6" w:rsidR="0056380B" w:rsidRPr="001E0555" w:rsidRDefault="0056380B" w:rsidP="0056380B">
            <w:pPr>
              <w:spacing w:before="0" w:after="0"/>
              <w:rPr>
                <w:sz w:val="20"/>
                <w:szCs w:val="22"/>
              </w:rPr>
            </w:pPr>
            <w:r w:rsidRPr="001E0555">
              <w:rPr>
                <w:sz w:val="20"/>
                <w:szCs w:val="22"/>
              </w:rPr>
              <w:t>Baseline Gas Pool heater capacity (</w:t>
            </w:r>
            <w:proofErr w:type="spellStart"/>
            <w:r w:rsidRPr="001E0555">
              <w:rPr>
                <w:sz w:val="20"/>
                <w:szCs w:val="22"/>
              </w:rPr>
              <w:t>kBTU</w:t>
            </w:r>
            <w:proofErr w:type="spellEnd"/>
            <w:r w:rsidRPr="001E0555">
              <w:rPr>
                <w:sz w:val="20"/>
                <w:szCs w:val="22"/>
              </w:rPr>
              <w:t>/</w:t>
            </w:r>
            <w:proofErr w:type="spellStart"/>
            <w:r w:rsidRPr="001E0555">
              <w:rPr>
                <w:sz w:val="20"/>
                <w:szCs w:val="22"/>
              </w:rPr>
              <w:t>hr</w:t>
            </w:r>
            <w:proofErr w:type="spellEnd"/>
            <w:r w:rsidRPr="001E0555">
              <w:rPr>
                <w:sz w:val="20"/>
                <w:szCs w:val="22"/>
              </w:rPr>
              <w:t>)</w:t>
            </w:r>
            <w:r w:rsidR="003E43D4">
              <w:rPr>
                <w:sz w:val="20"/>
                <w:szCs w:val="22"/>
              </w:rPr>
              <w:t xml:space="preserve"> – Single Family Pools</w:t>
            </w:r>
          </w:p>
        </w:tc>
        <w:tc>
          <w:tcPr>
            <w:tcW w:w="2101" w:type="dxa"/>
            <w:vAlign w:val="center"/>
            <w:hideMark/>
          </w:tcPr>
          <w:p w14:paraId="5BA90EA0" w14:textId="5053A145" w:rsidR="0056380B" w:rsidRPr="001E0555" w:rsidRDefault="0056380B" w:rsidP="0056380B">
            <w:pPr>
              <w:spacing w:before="0" w:after="0"/>
              <w:ind w:right="340"/>
              <w:jc w:val="right"/>
              <w:rPr>
                <w:sz w:val="20"/>
                <w:szCs w:val="22"/>
              </w:rPr>
            </w:pPr>
            <w:r w:rsidRPr="001E0555">
              <w:rPr>
                <w:sz w:val="20"/>
                <w:szCs w:val="22"/>
              </w:rPr>
              <w:t>3</w:t>
            </w:r>
            <w:r w:rsidR="003E43D4">
              <w:rPr>
                <w:sz w:val="20"/>
                <w:szCs w:val="22"/>
              </w:rPr>
              <w:t>00</w:t>
            </w:r>
          </w:p>
        </w:tc>
        <w:tc>
          <w:tcPr>
            <w:tcW w:w="2972" w:type="dxa"/>
            <w:vMerge w:val="restart"/>
            <w:vAlign w:val="center"/>
          </w:tcPr>
          <w:p w14:paraId="7FA2E7F1" w14:textId="335EB579" w:rsidR="0056380B" w:rsidRPr="005F09B3" w:rsidRDefault="0056380B" w:rsidP="0056380B">
            <w:pPr>
              <w:spacing w:before="0" w:after="0"/>
              <w:rPr>
                <w:sz w:val="20"/>
                <w:szCs w:val="22"/>
              </w:rPr>
            </w:pPr>
            <w:r w:rsidRPr="001E0555">
              <w:rPr>
                <w:sz w:val="18"/>
                <w:szCs w:val="20"/>
              </w:rPr>
              <w:t>Southern California Edison (SCE). 202</w:t>
            </w:r>
            <w:r w:rsidR="006323BC">
              <w:rPr>
                <w:sz w:val="18"/>
                <w:szCs w:val="20"/>
              </w:rPr>
              <w:t>1</w:t>
            </w:r>
            <w:r w:rsidRPr="001E0555">
              <w:rPr>
                <w:sz w:val="18"/>
                <w:szCs w:val="20"/>
              </w:rPr>
              <w:t>. " SWRE005-01 HP Pool Heater Analysis Summary.xlsx"</w:t>
            </w:r>
          </w:p>
        </w:tc>
      </w:tr>
      <w:tr w:rsidR="003E43D4" w:rsidRPr="0035670F" w14:paraId="573142A6" w14:textId="77777777" w:rsidTr="0056380B">
        <w:trPr>
          <w:trHeight w:val="20"/>
        </w:trPr>
        <w:tc>
          <w:tcPr>
            <w:tcW w:w="982" w:type="dxa"/>
            <w:vAlign w:val="center"/>
          </w:tcPr>
          <w:p w14:paraId="04802678" w14:textId="74264417" w:rsidR="003E43D4" w:rsidRPr="005F09B3" w:rsidRDefault="003E43D4" w:rsidP="003E43D4">
            <w:pPr>
              <w:spacing w:before="0" w:after="0"/>
              <w:rPr>
                <w:sz w:val="20"/>
                <w:szCs w:val="22"/>
              </w:rPr>
            </w:pPr>
            <w:proofErr w:type="spellStart"/>
            <w:r w:rsidRPr="005F09B3">
              <w:rPr>
                <w:sz w:val="20"/>
                <w:szCs w:val="22"/>
              </w:rPr>
              <w:t>Q</w:t>
            </w:r>
            <w:r w:rsidRPr="005F09B3">
              <w:rPr>
                <w:i/>
                <w:sz w:val="20"/>
                <w:szCs w:val="22"/>
                <w:vertAlign w:val="subscript"/>
              </w:rPr>
              <w:t>p</w:t>
            </w:r>
            <w:r>
              <w:rPr>
                <w:i/>
                <w:sz w:val="20"/>
                <w:szCs w:val="22"/>
                <w:vertAlign w:val="subscript"/>
              </w:rPr>
              <w:t>re</w:t>
            </w:r>
            <w:proofErr w:type="spellEnd"/>
            <w:r>
              <w:rPr>
                <w:i/>
                <w:sz w:val="20"/>
                <w:szCs w:val="22"/>
                <w:vertAlign w:val="subscript"/>
              </w:rPr>
              <w:t xml:space="preserve"> p</w:t>
            </w:r>
            <w:r w:rsidRPr="005F09B3">
              <w:rPr>
                <w:i/>
                <w:sz w:val="20"/>
                <w:szCs w:val="22"/>
                <w:vertAlign w:val="subscript"/>
              </w:rPr>
              <w:t>ool</w:t>
            </w:r>
          </w:p>
        </w:tc>
        <w:tc>
          <w:tcPr>
            <w:tcW w:w="3416" w:type="dxa"/>
            <w:vAlign w:val="center"/>
          </w:tcPr>
          <w:p w14:paraId="43508516" w14:textId="754D6A11" w:rsidR="003E43D4" w:rsidRPr="001E0555" w:rsidRDefault="003E43D4" w:rsidP="003E43D4">
            <w:pPr>
              <w:spacing w:before="0" w:after="0"/>
              <w:rPr>
                <w:sz w:val="20"/>
                <w:szCs w:val="22"/>
              </w:rPr>
            </w:pPr>
            <w:r w:rsidRPr="001E0555">
              <w:rPr>
                <w:sz w:val="20"/>
                <w:szCs w:val="22"/>
              </w:rPr>
              <w:t>Baseline Gas Pool heater capacity (</w:t>
            </w:r>
            <w:proofErr w:type="spellStart"/>
            <w:r w:rsidRPr="001E0555">
              <w:rPr>
                <w:sz w:val="20"/>
                <w:szCs w:val="22"/>
              </w:rPr>
              <w:t>kBTU</w:t>
            </w:r>
            <w:proofErr w:type="spellEnd"/>
            <w:r w:rsidRPr="001E0555">
              <w:rPr>
                <w:sz w:val="20"/>
                <w:szCs w:val="22"/>
              </w:rPr>
              <w:t>/</w:t>
            </w:r>
            <w:proofErr w:type="spellStart"/>
            <w:r w:rsidRPr="001E0555">
              <w:rPr>
                <w:sz w:val="20"/>
                <w:szCs w:val="22"/>
              </w:rPr>
              <w:t>hr</w:t>
            </w:r>
            <w:proofErr w:type="spellEnd"/>
            <w:r w:rsidRPr="001E0555">
              <w:rPr>
                <w:sz w:val="20"/>
                <w:szCs w:val="22"/>
              </w:rPr>
              <w:t>)</w:t>
            </w:r>
            <w:r>
              <w:rPr>
                <w:sz w:val="20"/>
                <w:szCs w:val="22"/>
              </w:rPr>
              <w:t xml:space="preserve"> – Multi-family Common Area Pools</w:t>
            </w:r>
          </w:p>
        </w:tc>
        <w:tc>
          <w:tcPr>
            <w:tcW w:w="2101" w:type="dxa"/>
            <w:vAlign w:val="center"/>
          </w:tcPr>
          <w:p w14:paraId="030E7F61" w14:textId="63CAACF2" w:rsidR="003E43D4" w:rsidRPr="001E0555" w:rsidRDefault="003E43D4" w:rsidP="003E43D4">
            <w:pPr>
              <w:spacing w:before="0" w:after="0"/>
              <w:ind w:right="340"/>
              <w:jc w:val="right"/>
              <w:rPr>
                <w:sz w:val="20"/>
                <w:szCs w:val="22"/>
              </w:rPr>
            </w:pPr>
            <w:r>
              <w:rPr>
                <w:sz w:val="20"/>
                <w:szCs w:val="22"/>
              </w:rPr>
              <w:t>350</w:t>
            </w:r>
          </w:p>
        </w:tc>
        <w:tc>
          <w:tcPr>
            <w:tcW w:w="2972" w:type="dxa"/>
            <w:vMerge/>
            <w:vAlign w:val="center"/>
          </w:tcPr>
          <w:p w14:paraId="5E394C4E" w14:textId="77777777" w:rsidR="003E43D4" w:rsidRPr="001E0555" w:rsidRDefault="003E43D4" w:rsidP="003E43D4">
            <w:pPr>
              <w:spacing w:before="0" w:after="0"/>
              <w:rPr>
                <w:sz w:val="18"/>
                <w:szCs w:val="20"/>
              </w:rPr>
            </w:pPr>
          </w:p>
        </w:tc>
      </w:tr>
      <w:tr w:rsidR="0056380B" w:rsidRPr="0035670F" w14:paraId="4E41C4FB" w14:textId="77777777" w:rsidTr="007524D1">
        <w:trPr>
          <w:trHeight w:val="20"/>
        </w:trPr>
        <w:tc>
          <w:tcPr>
            <w:tcW w:w="982" w:type="dxa"/>
            <w:vAlign w:val="center"/>
          </w:tcPr>
          <w:p w14:paraId="0BCCAE21" w14:textId="33FFB744" w:rsidR="0056380B" w:rsidRPr="005F09B3" w:rsidRDefault="0056380B" w:rsidP="0056380B">
            <w:pPr>
              <w:spacing w:before="0" w:after="0"/>
              <w:rPr>
                <w:sz w:val="20"/>
                <w:szCs w:val="22"/>
              </w:rPr>
            </w:pPr>
            <w:proofErr w:type="spellStart"/>
            <w:r w:rsidRPr="00271F0D">
              <w:rPr>
                <w:rFonts w:cs="Calibri Light"/>
                <w:sz w:val="20"/>
                <w:szCs w:val="20"/>
              </w:rPr>
              <w:t>ƞ</w:t>
            </w:r>
            <w:r w:rsidRPr="00271F0D">
              <w:rPr>
                <w:rFonts w:cs="Calibri Light"/>
                <w:sz w:val="20"/>
                <w:szCs w:val="20"/>
                <w:vertAlign w:val="subscript"/>
              </w:rPr>
              <w:t>post</w:t>
            </w:r>
            <w:proofErr w:type="spellEnd"/>
            <w:r w:rsidRPr="00271F0D">
              <w:rPr>
                <w:rFonts w:cs="Calibri Light"/>
                <w:sz w:val="20"/>
                <w:szCs w:val="20"/>
                <w:vertAlign w:val="subscript"/>
              </w:rPr>
              <w:t xml:space="preserve"> Avg</w:t>
            </w:r>
          </w:p>
        </w:tc>
        <w:tc>
          <w:tcPr>
            <w:tcW w:w="3416" w:type="dxa"/>
            <w:vAlign w:val="center"/>
          </w:tcPr>
          <w:p w14:paraId="4640CCB4" w14:textId="0567F0F7" w:rsidR="0056380B" w:rsidRPr="001E0555" w:rsidRDefault="0056380B" w:rsidP="0056380B">
            <w:pPr>
              <w:spacing w:before="0" w:after="0"/>
              <w:rPr>
                <w:sz w:val="20"/>
                <w:szCs w:val="22"/>
              </w:rPr>
            </w:pPr>
            <w:r w:rsidRPr="001E0555">
              <w:rPr>
                <w:sz w:val="20"/>
                <w:szCs w:val="22"/>
              </w:rPr>
              <w:t>Measure Coefficient of Performance (COP)</w:t>
            </w:r>
          </w:p>
        </w:tc>
        <w:tc>
          <w:tcPr>
            <w:tcW w:w="2101" w:type="dxa"/>
            <w:vAlign w:val="center"/>
          </w:tcPr>
          <w:p w14:paraId="3EF9EF61" w14:textId="7F93E0E9" w:rsidR="0056380B" w:rsidRPr="001E0555" w:rsidRDefault="0056380B" w:rsidP="0056380B">
            <w:pPr>
              <w:spacing w:before="0" w:after="0"/>
              <w:ind w:right="340"/>
              <w:jc w:val="right"/>
              <w:rPr>
                <w:sz w:val="20"/>
                <w:szCs w:val="22"/>
              </w:rPr>
            </w:pPr>
            <w:r w:rsidRPr="001E0555">
              <w:rPr>
                <w:sz w:val="20"/>
                <w:szCs w:val="22"/>
              </w:rPr>
              <w:t>5.5</w:t>
            </w:r>
          </w:p>
        </w:tc>
        <w:tc>
          <w:tcPr>
            <w:tcW w:w="2972" w:type="dxa"/>
            <w:vMerge/>
          </w:tcPr>
          <w:p w14:paraId="15613BDA" w14:textId="774B8A65" w:rsidR="0056380B" w:rsidRPr="005F09B3" w:rsidRDefault="0056380B" w:rsidP="0056380B">
            <w:pPr>
              <w:spacing w:before="0" w:after="0"/>
              <w:rPr>
                <w:sz w:val="20"/>
                <w:szCs w:val="22"/>
              </w:rPr>
            </w:pPr>
          </w:p>
        </w:tc>
      </w:tr>
      <w:tr w:rsidR="003E43D4" w:rsidRPr="0035670F" w14:paraId="1DB58355" w14:textId="77777777" w:rsidTr="0056380B">
        <w:trPr>
          <w:trHeight w:val="20"/>
        </w:trPr>
        <w:tc>
          <w:tcPr>
            <w:tcW w:w="982" w:type="dxa"/>
            <w:vAlign w:val="center"/>
          </w:tcPr>
          <w:p w14:paraId="7828EF64" w14:textId="0C30E767" w:rsidR="003E43D4" w:rsidRPr="00271F0D" w:rsidRDefault="003E43D4" w:rsidP="003E43D4">
            <w:pPr>
              <w:spacing w:before="0" w:after="0"/>
              <w:rPr>
                <w:rFonts w:cs="Calibri Light"/>
                <w:sz w:val="20"/>
                <w:szCs w:val="20"/>
              </w:rPr>
            </w:pPr>
            <w:proofErr w:type="spellStart"/>
            <w:r w:rsidRPr="005F09B3">
              <w:rPr>
                <w:sz w:val="20"/>
                <w:szCs w:val="22"/>
              </w:rPr>
              <w:t>Q</w:t>
            </w:r>
            <w:r w:rsidRPr="005F09B3">
              <w:rPr>
                <w:i/>
                <w:sz w:val="20"/>
                <w:szCs w:val="22"/>
                <w:vertAlign w:val="subscript"/>
              </w:rPr>
              <w:t>p</w:t>
            </w:r>
            <w:r>
              <w:rPr>
                <w:i/>
                <w:sz w:val="20"/>
                <w:szCs w:val="22"/>
                <w:vertAlign w:val="subscript"/>
              </w:rPr>
              <w:t>ost</w:t>
            </w:r>
            <w:proofErr w:type="spellEnd"/>
            <w:r>
              <w:rPr>
                <w:i/>
                <w:sz w:val="20"/>
                <w:szCs w:val="22"/>
                <w:vertAlign w:val="subscript"/>
              </w:rPr>
              <w:t xml:space="preserve"> p</w:t>
            </w:r>
            <w:r w:rsidRPr="005F09B3">
              <w:rPr>
                <w:i/>
                <w:sz w:val="20"/>
                <w:szCs w:val="22"/>
                <w:vertAlign w:val="subscript"/>
              </w:rPr>
              <w:t>ool</w:t>
            </w:r>
          </w:p>
        </w:tc>
        <w:tc>
          <w:tcPr>
            <w:tcW w:w="3416" w:type="dxa"/>
            <w:vAlign w:val="center"/>
          </w:tcPr>
          <w:p w14:paraId="5574C9AF" w14:textId="7A34C301" w:rsidR="003E43D4" w:rsidRPr="001E0555" w:rsidRDefault="003E43D4" w:rsidP="003E43D4">
            <w:pPr>
              <w:spacing w:before="0" w:after="0"/>
              <w:rPr>
                <w:sz w:val="20"/>
                <w:szCs w:val="22"/>
              </w:rPr>
            </w:pPr>
            <w:r w:rsidRPr="001E0555">
              <w:rPr>
                <w:sz w:val="20"/>
                <w:szCs w:val="22"/>
              </w:rPr>
              <w:t>Measure Heat Pump Pool heater capacity (</w:t>
            </w:r>
            <w:proofErr w:type="spellStart"/>
            <w:r w:rsidRPr="001E0555">
              <w:rPr>
                <w:sz w:val="20"/>
                <w:szCs w:val="22"/>
              </w:rPr>
              <w:t>kBTU</w:t>
            </w:r>
            <w:proofErr w:type="spellEnd"/>
            <w:r w:rsidRPr="001E0555">
              <w:rPr>
                <w:sz w:val="20"/>
                <w:szCs w:val="22"/>
              </w:rPr>
              <w:t>/</w:t>
            </w:r>
            <w:proofErr w:type="spellStart"/>
            <w:r w:rsidRPr="001E0555">
              <w:rPr>
                <w:sz w:val="20"/>
                <w:szCs w:val="22"/>
              </w:rPr>
              <w:t>hr</w:t>
            </w:r>
            <w:proofErr w:type="spellEnd"/>
            <w:r w:rsidRPr="001E0555">
              <w:rPr>
                <w:sz w:val="20"/>
                <w:szCs w:val="22"/>
              </w:rPr>
              <w:t>)</w:t>
            </w:r>
            <w:r>
              <w:rPr>
                <w:sz w:val="20"/>
                <w:szCs w:val="22"/>
              </w:rPr>
              <w:t xml:space="preserve"> – Single Family Pools</w:t>
            </w:r>
          </w:p>
        </w:tc>
        <w:tc>
          <w:tcPr>
            <w:tcW w:w="2101" w:type="dxa"/>
            <w:vAlign w:val="center"/>
          </w:tcPr>
          <w:p w14:paraId="7C6A303D" w14:textId="3CC5AC50" w:rsidR="003E43D4" w:rsidRPr="001E0555" w:rsidRDefault="003E43D4" w:rsidP="003E43D4">
            <w:pPr>
              <w:spacing w:before="0" w:after="0"/>
              <w:ind w:right="340"/>
              <w:jc w:val="right"/>
              <w:rPr>
                <w:sz w:val="20"/>
                <w:szCs w:val="22"/>
              </w:rPr>
            </w:pPr>
            <w:r>
              <w:rPr>
                <w:sz w:val="20"/>
                <w:szCs w:val="22"/>
              </w:rPr>
              <w:t>110</w:t>
            </w:r>
          </w:p>
        </w:tc>
        <w:tc>
          <w:tcPr>
            <w:tcW w:w="2972" w:type="dxa"/>
            <w:vMerge/>
          </w:tcPr>
          <w:p w14:paraId="10C9830F" w14:textId="77777777" w:rsidR="003E43D4" w:rsidRPr="005F09B3" w:rsidRDefault="003E43D4" w:rsidP="003E43D4">
            <w:pPr>
              <w:spacing w:before="0" w:after="0"/>
              <w:rPr>
                <w:sz w:val="20"/>
                <w:szCs w:val="22"/>
              </w:rPr>
            </w:pPr>
          </w:p>
        </w:tc>
      </w:tr>
      <w:tr w:rsidR="0056380B" w:rsidRPr="0035670F" w14:paraId="199B904A" w14:textId="77777777" w:rsidTr="007524D1">
        <w:trPr>
          <w:trHeight w:val="20"/>
        </w:trPr>
        <w:tc>
          <w:tcPr>
            <w:tcW w:w="982" w:type="dxa"/>
            <w:vAlign w:val="center"/>
          </w:tcPr>
          <w:p w14:paraId="49B3D41D" w14:textId="73B889B8" w:rsidR="0056380B" w:rsidRPr="005F09B3" w:rsidRDefault="0056380B" w:rsidP="0056380B">
            <w:pPr>
              <w:spacing w:before="0" w:after="0"/>
              <w:rPr>
                <w:sz w:val="20"/>
                <w:szCs w:val="22"/>
              </w:rPr>
            </w:pPr>
            <w:proofErr w:type="spellStart"/>
            <w:r w:rsidRPr="005F09B3">
              <w:rPr>
                <w:sz w:val="20"/>
                <w:szCs w:val="22"/>
              </w:rPr>
              <w:t>Q</w:t>
            </w:r>
            <w:r w:rsidRPr="005F09B3">
              <w:rPr>
                <w:i/>
                <w:sz w:val="20"/>
                <w:szCs w:val="22"/>
                <w:vertAlign w:val="subscript"/>
              </w:rPr>
              <w:t>p</w:t>
            </w:r>
            <w:r>
              <w:rPr>
                <w:i/>
                <w:sz w:val="20"/>
                <w:szCs w:val="22"/>
                <w:vertAlign w:val="subscript"/>
              </w:rPr>
              <w:t>ost</w:t>
            </w:r>
            <w:proofErr w:type="spellEnd"/>
            <w:r>
              <w:rPr>
                <w:i/>
                <w:sz w:val="20"/>
                <w:szCs w:val="22"/>
                <w:vertAlign w:val="subscript"/>
              </w:rPr>
              <w:t xml:space="preserve"> p</w:t>
            </w:r>
            <w:r w:rsidRPr="005F09B3">
              <w:rPr>
                <w:i/>
                <w:sz w:val="20"/>
                <w:szCs w:val="22"/>
                <w:vertAlign w:val="subscript"/>
              </w:rPr>
              <w:t>ool</w:t>
            </w:r>
          </w:p>
        </w:tc>
        <w:tc>
          <w:tcPr>
            <w:tcW w:w="3416" w:type="dxa"/>
            <w:vAlign w:val="center"/>
          </w:tcPr>
          <w:p w14:paraId="12DD266B" w14:textId="7C2D156B" w:rsidR="0056380B" w:rsidRPr="001E0555" w:rsidRDefault="0056380B" w:rsidP="0056380B">
            <w:pPr>
              <w:spacing w:before="0" w:after="0"/>
              <w:rPr>
                <w:sz w:val="20"/>
                <w:szCs w:val="22"/>
              </w:rPr>
            </w:pPr>
            <w:r w:rsidRPr="001E0555">
              <w:rPr>
                <w:sz w:val="20"/>
                <w:szCs w:val="22"/>
              </w:rPr>
              <w:t>Measure Heat Pump Pool heater capacity (</w:t>
            </w:r>
            <w:proofErr w:type="spellStart"/>
            <w:r w:rsidRPr="001E0555">
              <w:rPr>
                <w:sz w:val="20"/>
                <w:szCs w:val="22"/>
              </w:rPr>
              <w:t>kBTU</w:t>
            </w:r>
            <w:proofErr w:type="spellEnd"/>
            <w:r w:rsidRPr="001E0555">
              <w:rPr>
                <w:sz w:val="20"/>
                <w:szCs w:val="22"/>
              </w:rPr>
              <w:t>/</w:t>
            </w:r>
            <w:proofErr w:type="spellStart"/>
            <w:r w:rsidRPr="001E0555">
              <w:rPr>
                <w:sz w:val="20"/>
                <w:szCs w:val="22"/>
              </w:rPr>
              <w:t>hr</w:t>
            </w:r>
            <w:proofErr w:type="spellEnd"/>
            <w:r w:rsidRPr="001E0555">
              <w:rPr>
                <w:sz w:val="20"/>
                <w:szCs w:val="22"/>
              </w:rPr>
              <w:t>)</w:t>
            </w:r>
            <w:r w:rsidR="003E43D4">
              <w:rPr>
                <w:sz w:val="20"/>
                <w:szCs w:val="22"/>
              </w:rPr>
              <w:t xml:space="preserve"> – Multi-family Common Area Pools</w:t>
            </w:r>
          </w:p>
        </w:tc>
        <w:tc>
          <w:tcPr>
            <w:tcW w:w="2101" w:type="dxa"/>
            <w:vAlign w:val="center"/>
          </w:tcPr>
          <w:p w14:paraId="49178E18" w14:textId="5364C1E4" w:rsidR="0056380B" w:rsidRPr="001E0555" w:rsidRDefault="0056380B" w:rsidP="0056380B">
            <w:pPr>
              <w:spacing w:before="0" w:after="0"/>
              <w:ind w:right="340"/>
              <w:jc w:val="right"/>
              <w:rPr>
                <w:sz w:val="20"/>
                <w:szCs w:val="22"/>
              </w:rPr>
            </w:pPr>
            <w:r w:rsidRPr="001E0555">
              <w:rPr>
                <w:sz w:val="20"/>
                <w:szCs w:val="22"/>
              </w:rPr>
              <w:t>1</w:t>
            </w:r>
            <w:r w:rsidR="003E43D4">
              <w:rPr>
                <w:sz w:val="20"/>
                <w:szCs w:val="22"/>
              </w:rPr>
              <w:t>66</w:t>
            </w:r>
          </w:p>
        </w:tc>
        <w:tc>
          <w:tcPr>
            <w:tcW w:w="2972" w:type="dxa"/>
            <w:vMerge/>
          </w:tcPr>
          <w:p w14:paraId="27B3038A" w14:textId="577EAC94" w:rsidR="0056380B" w:rsidRPr="00FF5735" w:rsidRDefault="0056380B" w:rsidP="0056380B">
            <w:pPr>
              <w:spacing w:before="0" w:after="0"/>
              <w:rPr>
                <w:sz w:val="20"/>
                <w:szCs w:val="22"/>
                <w:highlight w:val="yellow"/>
              </w:rPr>
            </w:pPr>
          </w:p>
        </w:tc>
      </w:tr>
    </w:tbl>
    <w:p w14:paraId="4AF80CB1" w14:textId="1437A7A3" w:rsidR="003438CC" w:rsidRDefault="003438CC" w:rsidP="00AB71BC"/>
    <w:p w14:paraId="3626D249" w14:textId="4CD98406" w:rsidR="00B52950" w:rsidRDefault="00B52950" w:rsidP="00B52950">
      <w:pPr>
        <w:pStyle w:val="eTRMHeading5"/>
      </w:pPr>
      <w:r>
        <w:t>Pool Cover Weighting</w:t>
      </w:r>
    </w:p>
    <w:p w14:paraId="4FAABDAF" w14:textId="5B6F26FC" w:rsidR="00B52950" w:rsidRDefault="00410D8A" w:rsidP="00AB71BC">
      <w:r>
        <w:t xml:space="preserve">The use of a pool cover drastically reduces the amount of pool heating required by the heater. </w:t>
      </w:r>
      <w:r w:rsidR="00B52950">
        <w:t xml:space="preserve">The installation of pool covers on new residential pools has been a requirement of Title 24 since the </w:t>
      </w:r>
      <w:r w:rsidR="001E0555">
        <w:t>2008</w:t>
      </w:r>
      <w:r w:rsidR="00B52950">
        <w:t xml:space="preserve"> code cycle</w:t>
      </w:r>
      <w:r w:rsidR="007B5336">
        <w:rPr>
          <w:rStyle w:val="FootnoteReference"/>
        </w:rPr>
        <w:footnoteReference w:id="39"/>
      </w:r>
      <w:r w:rsidR="00B52950">
        <w:t xml:space="preserve">. However, the use of pool covers is dependent </w:t>
      </w:r>
      <w:r w:rsidR="00DC0BFA">
        <w:t xml:space="preserve">upon </w:t>
      </w:r>
      <w:r w:rsidR="00B52950">
        <w:t>the behavior of the owner of the pool. Based on the 200</w:t>
      </w:r>
      <w:r>
        <w:t>4</w:t>
      </w:r>
      <w:r w:rsidR="00B52950">
        <w:t xml:space="preserve"> study from </w:t>
      </w:r>
      <w:proofErr w:type="spellStart"/>
      <w:r w:rsidRPr="00410D8A">
        <w:t>Koeller</w:t>
      </w:r>
      <w:proofErr w:type="spellEnd"/>
      <w:r w:rsidRPr="00410D8A">
        <w:t xml:space="preserve"> and Company</w:t>
      </w:r>
      <w:r w:rsidR="0055409E">
        <w:t>,</w:t>
      </w:r>
      <w:r w:rsidR="0055409E">
        <w:rPr>
          <w:rStyle w:val="FootnoteReference"/>
        </w:rPr>
        <w:footnoteReference w:id="40"/>
      </w:r>
      <w:r w:rsidR="00B52950">
        <w:t xml:space="preserve"> from a population </w:t>
      </w:r>
      <w:r w:rsidR="00B52950" w:rsidRPr="007B5336">
        <w:t xml:space="preserve">of </w:t>
      </w:r>
      <w:r w:rsidRPr="007B5336">
        <w:t>38</w:t>
      </w:r>
      <w:r w:rsidR="00B52950" w:rsidRPr="007B5336">
        <w:t xml:space="preserve"> </w:t>
      </w:r>
      <w:r w:rsidRPr="007B5336">
        <w:t xml:space="preserve">residential </w:t>
      </w:r>
      <w:r w:rsidR="00B52950" w:rsidRPr="007B5336">
        <w:t xml:space="preserve">pools in Southern California, only </w:t>
      </w:r>
      <w:r w:rsidRPr="007B5336">
        <w:t>42</w:t>
      </w:r>
      <w:r w:rsidR="00B52950" w:rsidRPr="007B5336">
        <w:t xml:space="preserve">% of pools </w:t>
      </w:r>
      <w:r w:rsidR="0055409E" w:rsidRPr="007B5336">
        <w:t>were found to use</w:t>
      </w:r>
      <w:r w:rsidR="00B52950" w:rsidRPr="007B5336">
        <w:t xml:space="preserve"> their pool covers.</w:t>
      </w:r>
      <w:r w:rsidRPr="007B5336">
        <w:t xml:space="preserve"> </w:t>
      </w:r>
      <w:r w:rsidRPr="007524D1">
        <w:t>To account for the usage of pool covers on the energy consumption of the pool heaters</w:t>
      </w:r>
      <w:r w:rsidR="00A275BC" w:rsidRPr="007524D1">
        <w:t>,</w:t>
      </w:r>
      <w:r w:rsidRPr="007524D1">
        <w:t xml:space="preserve"> a weighted savings is used assuming that 42% of pools use covers and 58% of pools do not</w:t>
      </w:r>
      <w:r w:rsidRPr="007B5336">
        <w:t>.</w:t>
      </w:r>
      <w:r>
        <w:t xml:space="preserve"> </w:t>
      </w:r>
    </w:p>
    <w:p w14:paraId="68AD151A" w14:textId="66165380" w:rsidR="00410D8A" w:rsidRDefault="00410D8A" w:rsidP="00AB71BC">
      <w:r>
        <w:t>The pool heater calculation tool includes the ability to add pool covers to the analysis</w:t>
      </w:r>
      <w:r w:rsidR="0055409E">
        <w:t>.</w:t>
      </w:r>
      <w:r w:rsidR="0055409E">
        <w:rPr>
          <w:rStyle w:val="FootnoteReference"/>
        </w:rPr>
        <w:footnoteReference w:id="41"/>
      </w:r>
      <w:r>
        <w:t xml:space="preserve"> </w:t>
      </w:r>
      <w:r w:rsidR="0055409E">
        <w:t>For each set of calculations</w:t>
      </w:r>
      <w:r w:rsidR="00A275BC">
        <w:t xml:space="preserve"> the</w:t>
      </w:r>
      <w:r w:rsidR="00AF2339">
        <w:t xml:space="preserve"> same pool cover was assumed to cover 100% of the pool and be the same material in both the base and measure case calculations. Each pool cover has a different thermal resistance (R-value) which impacts the insulation that the pool cover provides.  </w:t>
      </w:r>
      <w:r>
        <w:t xml:space="preserve">The </w:t>
      </w:r>
      <w:r w:rsidR="00563C63">
        <w:t xml:space="preserve">pool calculator has </w:t>
      </w:r>
      <w:r>
        <w:t xml:space="preserve">three </w:t>
      </w:r>
      <w:r w:rsidR="00563C63">
        <w:t>built-in options f</w:t>
      </w:r>
      <w:r>
        <w:t xml:space="preserve">or </w:t>
      </w:r>
      <w:r w:rsidR="00A275BC">
        <w:t>p</w:t>
      </w:r>
      <w:r>
        <w:t>ool covers</w:t>
      </w:r>
      <w:r w:rsidR="00563C63">
        <w:t>. T</w:t>
      </w:r>
      <w:r>
        <w:t xml:space="preserve">heir </w:t>
      </w:r>
      <w:r w:rsidR="00563C63">
        <w:t xml:space="preserve">descriptions and </w:t>
      </w:r>
      <w:r w:rsidR="00AF2339">
        <w:t>R-values</w:t>
      </w:r>
      <w:r>
        <w:t xml:space="preserve"> are included in the table below. </w:t>
      </w:r>
    </w:p>
    <w:tbl>
      <w:tblPr>
        <w:tblW w:w="9074"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615"/>
        <w:gridCol w:w="6120"/>
        <w:gridCol w:w="1339"/>
      </w:tblGrid>
      <w:tr w:rsidR="00AF2339" w:rsidRPr="0035670F" w14:paraId="098E2BC3" w14:textId="77777777" w:rsidTr="0005067A">
        <w:trPr>
          <w:trHeight w:val="8"/>
          <w:tblHeader/>
        </w:trPr>
        <w:tc>
          <w:tcPr>
            <w:tcW w:w="1615" w:type="dxa"/>
            <w:shd w:val="clear" w:color="auto" w:fill="F2F2F2" w:themeFill="background1" w:themeFillShade="F2"/>
            <w:vAlign w:val="bottom"/>
          </w:tcPr>
          <w:p w14:paraId="778A86F3" w14:textId="187F9E48" w:rsidR="00AF2339" w:rsidRPr="005F09B3" w:rsidRDefault="00AF2339" w:rsidP="00A275BC">
            <w:pPr>
              <w:keepNext/>
              <w:keepLines/>
              <w:spacing w:before="0" w:after="0"/>
              <w:rPr>
                <w:b/>
                <w:bCs/>
                <w:sz w:val="20"/>
                <w:szCs w:val="22"/>
              </w:rPr>
            </w:pPr>
            <w:r>
              <w:rPr>
                <w:b/>
                <w:bCs/>
                <w:sz w:val="20"/>
                <w:szCs w:val="22"/>
              </w:rPr>
              <w:lastRenderedPageBreak/>
              <w:t>Pool Cover Type</w:t>
            </w:r>
          </w:p>
        </w:tc>
        <w:tc>
          <w:tcPr>
            <w:tcW w:w="6120" w:type="dxa"/>
            <w:shd w:val="clear" w:color="auto" w:fill="F2F2F2" w:themeFill="background1" w:themeFillShade="F2"/>
          </w:tcPr>
          <w:p w14:paraId="353CC8A0" w14:textId="77777777" w:rsidR="00A275BC" w:rsidRDefault="00A275BC" w:rsidP="00A275BC">
            <w:pPr>
              <w:keepNext/>
              <w:keepLines/>
              <w:spacing w:before="0" w:after="0"/>
              <w:jc w:val="center"/>
              <w:rPr>
                <w:b/>
                <w:bCs/>
                <w:sz w:val="20"/>
                <w:szCs w:val="22"/>
              </w:rPr>
            </w:pPr>
          </w:p>
          <w:p w14:paraId="18680D9E" w14:textId="6E1BA2AD" w:rsidR="00AF2339" w:rsidRDefault="00AF2339" w:rsidP="00A275BC">
            <w:pPr>
              <w:keepNext/>
              <w:keepLines/>
              <w:spacing w:before="0" w:after="0"/>
              <w:jc w:val="center"/>
              <w:rPr>
                <w:b/>
                <w:bCs/>
                <w:sz w:val="20"/>
                <w:szCs w:val="22"/>
              </w:rPr>
            </w:pPr>
            <w:r>
              <w:rPr>
                <w:b/>
                <w:bCs/>
                <w:sz w:val="20"/>
                <w:szCs w:val="22"/>
              </w:rPr>
              <w:t>Description</w:t>
            </w:r>
          </w:p>
        </w:tc>
        <w:tc>
          <w:tcPr>
            <w:tcW w:w="1339" w:type="dxa"/>
            <w:shd w:val="clear" w:color="auto" w:fill="F2F2F2" w:themeFill="background1" w:themeFillShade="F2"/>
            <w:vAlign w:val="bottom"/>
          </w:tcPr>
          <w:p w14:paraId="5060D9A7" w14:textId="77777777" w:rsidR="00AF2339" w:rsidRDefault="00AF2339" w:rsidP="00A275BC">
            <w:pPr>
              <w:keepNext/>
              <w:keepLines/>
              <w:spacing w:before="0" w:after="0"/>
              <w:jc w:val="center"/>
              <w:rPr>
                <w:b/>
                <w:bCs/>
                <w:sz w:val="20"/>
                <w:szCs w:val="22"/>
              </w:rPr>
            </w:pPr>
            <w:r>
              <w:rPr>
                <w:b/>
                <w:bCs/>
                <w:sz w:val="20"/>
                <w:szCs w:val="22"/>
              </w:rPr>
              <w:t>R-Value</w:t>
            </w:r>
          </w:p>
          <w:p w14:paraId="6ADF2B41" w14:textId="50B3F0E6" w:rsidR="00AF2339" w:rsidRPr="00AF2339" w:rsidRDefault="00AF2339" w:rsidP="00A275BC">
            <w:pPr>
              <w:keepNext/>
              <w:keepLines/>
              <w:spacing w:before="0" w:after="0"/>
              <w:jc w:val="center"/>
              <w:rPr>
                <w:b/>
                <w:bCs/>
                <w:sz w:val="20"/>
                <w:szCs w:val="22"/>
              </w:rPr>
            </w:pPr>
            <w:r>
              <w:rPr>
                <w:b/>
                <w:bCs/>
                <w:sz w:val="20"/>
                <w:szCs w:val="22"/>
              </w:rPr>
              <w:t>(hr-ft</w:t>
            </w:r>
            <w:r>
              <w:rPr>
                <w:b/>
                <w:bCs/>
                <w:sz w:val="20"/>
                <w:szCs w:val="22"/>
                <w:vertAlign w:val="superscript"/>
              </w:rPr>
              <w:t>2</w:t>
            </w:r>
            <w:r>
              <w:rPr>
                <w:b/>
                <w:bCs/>
                <w:sz w:val="20"/>
                <w:szCs w:val="22"/>
              </w:rPr>
              <w:t xml:space="preserve"> -ׄF/Btu)</w:t>
            </w:r>
          </w:p>
        </w:tc>
      </w:tr>
      <w:tr w:rsidR="00AF2339" w:rsidRPr="0035670F" w14:paraId="4E5B9F31" w14:textId="77777777" w:rsidTr="0055409E">
        <w:trPr>
          <w:trHeight w:val="8"/>
        </w:trPr>
        <w:tc>
          <w:tcPr>
            <w:tcW w:w="1615" w:type="dxa"/>
            <w:vAlign w:val="center"/>
          </w:tcPr>
          <w:p w14:paraId="2E318FF6" w14:textId="3D710291" w:rsidR="00AF2339" w:rsidRPr="00373874" w:rsidRDefault="00AF2339" w:rsidP="0055409E">
            <w:pPr>
              <w:spacing w:before="0" w:after="0"/>
              <w:jc w:val="center"/>
              <w:rPr>
                <w:rFonts w:cs="Calibri Light"/>
                <w:sz w:val="20"/>
                <w:szCs w:val="20"/>
              </w:rPr>
            </w:pPr>
            <w:r>
              <w:rPr>
                <w:rFonts w:cs="Calibri Light"/>
                <w:sz w:val="20"/>
                <w:szCs w:val="20"/>
              </w:rPr>
              <w:t>Vinyl</w:t>
            </w:r>
          </w:p>
        </w:tc>
        <w:tc>
          <w:tcPr>
            <w:tcW w:w="6120" w:type="dxa"/>
          </w:tcPr>
          <w:p w14:paraId="3E6CAC14" w14:textId="385E8419" w:rsidR="00AF2339" w:rsidRPr="00373874" w:rsidRDefault="0005067A" w:rsidP="00AF2339">
            <w:pPr>
              <w:spacing w:before="0" w:after="0"/>
              <w:rPr>
                <w:rFonts w:cs="Calibri Light"/>
                <w:sz w:val="20"/>
                <w:szCs w:val="20"/>
              </w:rPr>
            </w:pPr>
            <w:r>
              <w:rPr>
                <w:rFonts w:cs="Calibri Light"/>
                <w:sz w:val="20"/>
                <w:szCs w:val="20"/>
              </w:rPr>
              <w:t>Soft vinyl pool</w:t>
            </w:r>
            <w:r w:rsidR="00AF2339" w:rsidRPr="00AF2339">
              <w:rPr>
                <w:rFonts w:cs="Calibri Light"/>
                <w:sz w:val="20"/>
                <w:szCs w:val="20"/>
              </w:rPr>
              <w:t xml:space="preserve"> covers </w:t>
            </w:r>
            <w:r>
              <w:rPr>
                <w:rFonts w:cs="Calibri Light"/>
                <w:sz w:val="20"/>
                <w:szCs w:val="20"/>
              </w:rPr>
              <w:t>that are</w:t>
            </w:r>
            <w:r w:rsidR="00AF2339" w:rsidRPr="00AF2339">
              <w:rPr>
                <w:rFonts w:cs="Calibri Light"/>
                <w:sz w:val="20"/>
                <w:szCs w:val="20"/>
              </w:rPr>
              <w:t xml:space="preserve"> stretched over the pool to keep out debris and prevent heat loss through evaporation, but they provide little insulating value</w:t>
            </w:r>
            <w:r w:rsidR="0055409E">
              <w:rPr>
                <w:rFonts w:cs="Calibri Light"/>
                <w:sz w:val="20"/>
                <w:szCs w:val="20"/>
              </w:rPr>
              <w:t xml:space="preserve">. </w:t>
            </w:r>
          </w:p>
        </w:tc>
        <w:tc>
          <w:tcPr>
            <w:tcW w:w="1339" w:type="dxa"/>
            <w:vAlign w:val="center"/>
          </w:tcPr>
          <w:p w14:paraId="6A1261B1" w14:textId="2383AFC8" w:rsidR="00AF2339" w:rsidRPr="00373874" w:rsidRDefault="00AF2339" w:rsidP="0055409E">
            <w:pPr>
              <w:spacing w:before="0" w:after="0"/>
              <w:jc w:val="center"/>
              <w:rPr>
                <w:rFonts w:cs="Calibri Light"/>
                <w:sz w:val="20"/>
                <w:szCs w:val="20"/>
              </w:rPr>
            </w:pPr>
            <w:r>
              <w:rPr>
                <w:rFonts w:cs="Calibri Light"/>
                <w:sz w:val="20"/>
                <w:szCs w:val="20"/>
              </w:rPr>
              <w:t>0.1</w:t>
            </w:r>
          </w:p>
        </w:tc>
      </w:tr>
      <w:tr w:rsidR="00AF2339" w:rsidRPr="0035670F" w14:paraId="2C955608" w14:textId="77777777" w:rsidTr="0055409E">
        <w:trPr>
          <w:trHeight w:val="8"/>
        </w:trPr>
        <w:tc>
          <w:tcPr>
            <w:tcW w:w="1615" w:type="dxa"/>
            <w:vAlign w:val="center"/>
          </w:tcPr>
          <w:p w14:paraId="7AD8B790" w14:textId="4F42E97E" w:rsidR="00AF2339" w:rsidRDefault="00AF2339" w:rsidP="0055409E">
            <w:pPr>
              <w:spacing w:before="0" w:after="0"/>
              <w:jc w:val="center"/>
              <w:rPr>
                <w:rFonts w:cs="Calibri Light"/>
                <w:sz w:val="20"/>
                <w:szCs w:val="20"/>
              </w:rPr>
            </w:pPr>
            <w:r>
              <w:rPr>
                <w:rFonts w:cs="Calibri Light"/>
                <w:sz w:val="20"/>
                <w:szCs w:val="20"/>
              </w:rPr>
              <w:t>Bubble/Solar</w:t>
            </w:r>
          </w:p>
        </w:tc>
        <w:tc>
          <w:tcPr>
            <w:tcW w:w="6120" w:type="dxa"/>
          </w:tcPr>
          <w:p w14:paraId="670706E5" w14:textId="6C292EA3" w:rsidR="00AF2339" w:rsidRDefault="00AF2339" w:rsidP="00AF2339">
            <w:pPr>
              <w:spacing w:before="0" w:after="0"/>
              <w:rPr>
                <w:rFonts w:cs="Calibri Light"/>
                <w:sz w:val="20"/>
                <w:szCs w:val="20"/>
              </w:rPr>
            </w:pPr>
            <w:r>
              <w:rPr>
                <w:rFonts w:cs="Calibri Light"/>
                <w:sz w:val="20"/>
                <w:szCs w:val="20"/>
              </w:rPr>
              <w:t>M</w:t>
            </w:r>
            <w:r w:rsidRPr="00AF2339">
              <w:rPr>
                <w:rFonts w:cs="Calibri Light"/>
                <w:sz w:val="20"/>
                <w:szCs w:val="20"/>
              </w:rPr>
              <w:t>ade from a highly buoyant, air-filled bubble material that provides insulation and prevents heat loss through evaporation</w:t>
            </w:r>
            <w:r w:rsidR="0055409E">
              <w:rPr>
                <w:rFonts w:cs="Calibri Light"/>
                <w:sz w:val="20"/>
                <w:szCs w:val="20"/>
              </w:rPr>
              <w:t xml:space="preserve">. </w:t>
            </w:r>
          </w:p>
        </w:tc>
        <w:tc>
          <w:tcPr>
            <w:tcW w:w="1339" w:type="dxa"/>
            <w:vAlign w:val="center"/>
          </w:tcPr>
          <w:p w14:paraId="13A07B80" w14:textId="2B3CC2E4" w:rsidR="00AF2339" w:rsidRDefault="00AF2339" w:rsidP="0055409E">
            <w:pPr>
              <w:spacing w:before="0" w:after="0"/>
              <w:jc w:val="center"/>
              <w:rPr>
                <w:rFonts w:cs="Calibri Light"/>
                <w:sz w:val="20"/>
                <w:szCs w:val="20"/>
              </w:rPr>
            </w:pPr>
            <w:r>
              <w:rPr>
                <w:rFonts w:cs="Calibri Light"/>
                <w:sz w:val="20"/>
                <w:szCs w:val="20"/>
              </w:rPr>
              <w:t>1.5</w:t>
            </w:r>
          </w:p>
        </w:tc>
      </w:tr>
      <w:tr w:rsidR="00AF2339" w:rsidRPr="0035670F" w14:paraId="75755727" w14:textId="77777777" w:rsidTr="0055409E">
        <w:trPr>
          <w:trHeight w:val="8"/>
        </w:trPr>
        <w:tc>
          <w:tcPr>
            <w:tcW w:w="1615" w:type="dxa"/>
            <w:vAlign w:val="center"/>
          </w:tcPr>
          <w:p w14:paraId="76397D25" w14:textId="2A5455E8" w:rsidR="00AF2339" w:rsidRDefault="00AF2339" w:rsidP="0055409E">
            <w:pPr>
              <w:spacing w:before="0" w:after="0"/>
              <w:jc w:val="center"/>
              <w:rPr>
                <w:rFonts w:cs="Calibri Light"/>
                <w:sz w:val="20"/>
                <w:szCs w:val="20"/>
              </w:rPr>
            </w:pPr>
            <w:r>
              <w:rPr>
                <w:rFonts w:cs="Calibri Light"/>
                <w:sz w:val="20"/>
                <w:szCs w:val="20"/>
              </w:rPr>
              <w:t>Insulated</w:t>
            </w:r>
          </w:p>
        </w:tc>
        <w:tc>
          <w:tcPr>
            <w:tcW w:w="6120" w:type="dxa"/>
          </w:tcPr>
          <w:p w14:paraId="1682F732" w14:textId="46310BF9" w:rsidR="00AF2339" w:rsidRDefault="00AF2339" w:rsidP="00AF2339">
            <w:pPr>
              <w:spacing w:before="0" w:after="0"/>
              <w:rPr>
                <w:rFonts w:cs="Calibri Light"/>
                <w:sz w:val="20"/>
                <w:szCs w:val="20"/>
              </w:rPr>
            </w:pPr>
            <w:r>
              <w:rPr>
                <w:rFonts w:cs="Calibri Light"/>
                <w:sz w:val="20"/>
                <w:szCs w:val="20"/>
              </w:rPr>
              <w:t>W</w:t>
            </w:r>
            <w:r w:rsidRPr="00AF2339">
              <w:rPr>
                <w:rFonts w:cs="Calibri Light"/>
                <w:sz w:val="20"/>
                <w:szCs w:val="20"/>
              </w:rPr>
              <w:t>oven, high-density, UV stabilized polyethylene fabric outer layers and cross-linked polyethylene foam sandwiched between the outer layers</w:t>
            </w:r>
            <w:r>
              <w:rPr>
                <w:rFonts w:cs="Calibri Light"/>
                <w:sz w:val="20"/>
                <w:szCs w:val="20"/>
              </w:rPr>
              <w:t xml:space="preserve">. </w:t>
            </w:r>
            <w:r w:rsidR="0005067A">
              <w:rPr>
                <w:rFonts w:cs="Calibri Light"/>
                <w:sz w:val="20"/>
                <w:szCs w:val="20"/>
              </w:rPr>
              <w:t>Th</w:t>
            </w:r>
            <w:r w:rsidR="0055409E">
              <w:rPr>
                <w:rFonts w:cs="Calibri Light"/>
                <w:sz w:val="20"/>
                <w:szCs w:val="20"/>
              </w:rPr>
              <w:t>is</w:t>
            </w:r>
            <w:r w:rsidR="0005067A">
              <w:rPr>
                <w:rFonts w:cs="Calibri Light"/>
                <w:sz w:val="20"/>
                <w:szCs w:val="20"/>
              </w:rPr>
              <w:t xml:space="preserve"> pool cover </w:t>
            </w:r>
            <w:r w:rsidR="0055409E">
              <w:rPr>
                <w:rFonts w:cs="Calibri Light"/>
                <w:sz w:val="20"/>
                <w:szCs w:val="20"/>
              </w:rPr>
              <w:t xml:space="preserve">provides the best insulation. </w:t>
            </w:r>
            <w:r w:rsidR="0005067A">
              <w:rPr>
                <w:rFonts w:cs="Calibri Light"/>
                <w:sz w:val="20"/>
                <w:szCs w:val="20"/>
              </w:rPr>
              <w:t xml:space="preserve"> </w:t>
            </w:r>
          </w:p>
        </w:tc>
        <w:tc>
          <w:tcPr>
            <w:tcW w:w="1339" w:type="dxa"/>
            <w:vAlign w:val="center"/>
          </w:tcPr>
          <w:p w14:paraId="3951EB4B" w14:textId="550D7FB7" w:rsidR="00AF2339" w:rsidRDefault="00AF2339" w:rsidP="0055409E">
            <w:pPr>
              <w:spacing w:before="0" w:after="0"/>
              <w:jc w:val="center"/>
              <w:rPr>
                <w:rFonts w:cs="Calibri Light"/>
                <w:sz w:val="20"/>
                <w:szCs w:val="20"/>
              </w:rPr>
            </w:pPr>
            <w:r>
              <w:rPr>
                <w:rFonts w:cs="Calibri Light"/>
                <w:sz w:val="20"/>
                <w:szCs w:val="20"/>
              </w:rPr>
              <w:t>2</w:t>
            </w:r>
          </w:p>
        </w:tc>
      </w:tr>
    </w:tbl>
    <w:p w14:paraId="0F62DCE9" w14:textId="77777777" w:rsidR="0055409E" w:rsidRDefault="0055409E" w:rsidP="0055409E"/>
    <w:p w14:paraId="5EC18B2B" w14:textId="018E42AD" w:rsidR="0055409E" w:rsidRDefault="0055409E" w:rsidP="00D83660">
      <w:r>
        <w:t xml:space="preserve">The UES values with each of the pool cover options and </w:t>
      </w:r>
      <w:r w:rsidR="00563C63">
        <w:t xml:space="preserve">the option with </w:t>
      </w:r>
      <w:r>
        <w:t>no cover were calculated for each climate zone using the inputs stated above. The findings were weighted based</w:t>
      </w:r>
      <w:r w:rsidR="00D83660">
        <w:t xml:space="preserve"> on</w:t>
      </w:r>
      <w:r>
        <w:t xml:space="preserve"> assuming that 58% of pools have no cover and 42% of the pools use covers. For the sake of this analysis, the average UES values between all three pool cover types is used for the representative pool cover savings. The final savings per climate zone is </w:t>
      </w:r>
      <w:r w:rsidR="00D83660">
        <w:t xml:space="preserve">calculated with </w:t>
      </w:r>
      <w:r>
        <w:t xml:space="preserve">the formula below: </w:t>
      </w:r>
    </w:p>
    <w:p w14:paraId="2A8C8E17" w14:textId="7FDD9587" w:rsidR="0055409E" w:rsidRDefault="0029167C" w:rsidP="0055409E">
      <m:oMathPara>
        <m:oMath>
          <m:sSub>
            <m:sSubPr>
              <m:ctrlPr>
                <w:rPr>
                  <w:rFonts w:ascii="Cambria Math" w:hAnsi="Cambria Math"/>
                  <w:i/>
                </w:rPr>
              </m:ctrlPr>
            </m:sSubPr>
            <m:e>
              <m:r>
                <w:rPr>
                  <w:rFonts w:ascii="Cambria Math" w:hAnsi="Cambria Math"/>
                </w:rPr>
                <m:t>UES</m:t>
              </m:r>
            </m:e>
            <m:sub>
              <m:r>
                <w:rPr>
                  <w:rFonts w:ascii="Cambria Math" w:hAnsi="Cambria Math"/>
                </w:rPr>
                <m:t>Final</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UES</m:t>
                  </m:r>
                </m:e>
                <m:sub>
                  <m:r>
                    <w:rPr>
                      <w:rFonts w:ascii="Cambria Math" w:hAnsi="Cambria Math"/>
                    </w:rPr>
                    <m:t>No Cover</m:t>
                  </m:r>
                </m:sub>
              </m:sSub>
              <m:r>
                <w:rPr>
                  <w:rFonts w:ascii="Cambria Math" w:hAnsi="Cambria Math"/>
                </w:rPr>
                <m:t>×58%</m:t>
              </m:r>
            </m:e>
          </m:d>
          <m:r>
            <w:rPr>
              <w:rFonts w:ascii="Cambria Math" w:hAnsi="Cambria Math"/>
            </w:rPr>
            <m:t>+(</m:t>
          </m:r>
          <m:sSub>
            <m:sSubPr>
              <m:ctrlPr>
                <w:rPr>
                  <w:rFonts w:ascii="Cambria Math" w:hAnsi="Cambria Math"/>
                  <w:i/>
                </w:rPr>
              </m:ctrlPr>
            </m:sSubPr>
            <m:e>
              <m:r>
                <w:rPr>
                  <w:rFonts w:ascii="Cambria Math" w:hAnsi="Cambria Math"/>
                </w:rPr>
                <m:t>UES</m:t>
              </m:r>
            </m:e>
            <m:sub>
              <m:r>
                <w:rPr>
                  <w:rFonts w:ascii="Cambria Math" w:hAnsi="Cambria Math"/>
                </w:rPr>
                <m:t>Avg All Covers</m:t>
              </m:r>
            </m:sub>
          </m:sSub>
          <m:r>
            <w:rPr>
              <w:rFonts w:ascii="Cambria Math" w:hAnsi="Cambria Math"/>
            </w:rPr>
            <m:t>×42%)</m:t>
          </m:r>
        </m:oMath>
      </m:oMathPara>
    </w:p>
    <w:p w14:paraId="59CF68EA" w14:textId="77777777" w:rsidR="00F1554D" w:rsidRDefault="00F1554D" w:rsidP="00AB71BC"/>
    <w:p w14:paraId="0AB928EE" w14:textId="59032F0D" w:rsidR="00410D8A" w:rsidRDefault="00F1554D" w:rsidP="00AB71BC">
      <w:r>
        <w:t xml:space="preserve">The same savings values are assumed for </w:t>
      </w:r>
      <w:r w:rsidR="00832432">
        <w:t xml:space="preserve">common area pools in both </w:t>
      </w:r>
      <w:proofErr w:type="spellStart"/>
      <w:r w:rsidR="00832432">
        <w:t>MFm</w:t>
      </w:r>
      <w:proofErr w:type="spellEnd"/>
      <w:r w:rsidR="00832432">
        <w:t xml:space="preserve"> and </w:t>
      </w:r>
      <w:proofErr w:type="spellStart"/>
      <w:r w:rsidR="00832432">
        <w:t>DMo</w:t>
      </w:r>
      <w:proofErr w:type="spellEnd"/>
      <w:r>
        <w:t xml:space="preserve"> building types within the same climate zone. </w:t>
      </w:r>
      <w:r w:rsidR="00842F68" w:rsidRPr="00842F68">
        <w:t>For accelerated replacement (AR) measures, the existing case is also assumed to be a Title 20 compliant natural gas pool heater. Thus, both the first and second baseline</w:t>
      </w:r>
      <w:r w:rsidR="00842F68">
        <w:t xml:space="preserve"> savings</w:t>
      </w:r>
      <w:r w:rsidR="00842F68" w:rsidRPr="00842F68">
        <w:t xml:space="preserve"> for AR measures are the same.</w:t>
      </w:r>
    </w:p>
    <w:p w14:paraId="7B42E7F5" w14:textId="77777777" w:rsidR="00F1554D" w:rsidRPr="005C36B6" w:rsidRDefault="00F1554D" w:rsidP="00AB71BC"/>
    <w:p w14:paraId="4DDCD51F" w14:textId="4F2BBAD7" w:rsidR="007D230B" w:rsidRPr="004B06E3" w:rsidRDefault="00245AFF" w:rsidP="004F3F32">
      <w:pPr>
        <w:pStyle w:val="eTRMHeading3"/>
      </w:pPr>
      <w:bookmarkStart w:id="51" w:name="_Toc67427725"/>
      <w:bookmarkStart w:id="52" w:name="_Toc486490859"/>
      <w:bookmarkStart w:id="53" w:name="_Toc486580930"/>
      <w:r w:rsidRPr="004B06E3">
        <w:t>Life Cycle</w:t>
      </w:r>
      <w:bookmarkEnd w:id="51"/>
      <w:r w:rsidR="007D230B" w:rsidRPr="004B06E3">
        <w:t xml:space="preserve"> </w:t>
      </w:r>
      <w:bookmarkEnd w:id="52"/>
      <w:bookmarkEnd w:id="53"/>
    </w:p>
    <w:p w14:paraId="6459579D" w14:textId="10990DA4" w:rsidR="00177EB6" w:rsidRDefault="007F669E" w:rsidP="004142EF">
      <w:r w:rsidRPr="000F211A">
        <w:t xml:space="preserve">Effective </w:t>
      </w:r>
      <w:r>
        <w:t>u</w:t>
      </w:r>
      <w:r w:rsidRPr="000F211A">
        <w:t xml:space="preserve">seful </w:t>
      </w:r>
      <w:r>
        <w:t>l</w:t>
      </w:r>
      <w:r w:rsidRPr="000F211A">
        <w:t xml:space="preserve">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Remaining </w:t>
      </w:r>
      <w:r>
        <w:t>u</w:t>
      </w:r>
      <w:r w:rsidRPr="000F211A">
        <w:t xml:space="preserve">seful </w:t>
      </w:r>
      <w:r>
        <w:t>l</w:t>
      </w:r>
      <w:r w:rsidRPr="000F211A">
        <w:t xml:space="preserve">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t xml:space="preserve">have </w:t>
      </w:r>
      <w:r w:rsidRPr="000F211A">
        <w:t>remain</w:t>
      </w:r>
      <w:r>
        <w:t>ed</w:t>
      </w:r>
      <w:r w:rsidRPr="000F211A">
        <w:t xml:space="preserve"> in service and operational had the program intervention not cause</w:t>
      </w:r>
      <w:r>
        <w:t>d</w:t>
      </w:r>
      <w:r w:rsidRPr="000F211A">
        <w:t xml:space="preserve"> the replacement or alteration.</w:t>
      </w:r>
      <w:r>
        <w:t xml:space="preserve"> </w:t>
      </w:r>
    </w:p>
    <w:p w14:paraId="06AA5F2D" w14:textId="2F4AAAFA" w:rsidR="00BC5A43" w:rsidRPr="00961018" w:rsidRDefault="00BC5A43" w:rsidP="00BC5A43">
      <w:r w:rsidRPr="00961018">
        <w:t xml:space="preserve">The methodology to calculate the RUL conforms with Version </w:t>
      </w:r>
      <w:r w:rsidR="006C775C">
        <w:t>6</w:t>
      </w:r>
      <w:r w:rsidRPr="00961018">
        <w:t xml:space="preserve"> of the Energy Efficiency Policy Manual, which recommends “one-third of the effective useful life in DEER as the remaining useful life until further study results are available to establish more accurate values.”</w:t>
      </w:r>
      <w:r w:rsidRPr="00961018">
        <w:rPr>
          <w:vertAlign w:val="superscript"/>
        </w:rPr>
        <w:footnoteReference w:id="42"/>
      </w:r>
      <w:r w:rsidRPr="00961018">
        <w:t xml:space="preserve"> This approach provides a reasonable RUL estimate without the requiring any a priori knowledge about the age of the equipment being replaced.</w:t>
      </w:r>
      <w:r w:rsidRPr="00961018">
        <w:rPr>
          <w:vertAlign w:val="superscript"/>
        </w:rPr>
        <w:footnoteReference w:id="43"/>
      </w:r>
      <w:r w:rsidRPr="00961018">
        <w:t xml:space="preserve"> Further, as per Resolution E-4807, the California Public Utilities Commission (CPUC) revised add-on measures so that the EUL of the measure is equal to the lower of the RUL of the modified system or equipment or the EUL of the add-on component.” </w:t>
      </w:r>
      <w:r w:rsidRPr="00961018">
        <w:rPr>
          <w:vertAlign w:val="superscript"/>
        </w:rPr>
        <w:footnoteReference w:id="44"/>
      </w:r>
    </w:p>
    <w:p w14:paraId="427CD961" w14:textId="6BA5A701" w:rsidR="00556FC2" w:rsidRDefault="007F669E" w:rsidP="00305515">
      <w:r>
        <w:lastRenderedPageBreak/>
        <w:t>The EUL and RUL</w:t>
      </w:r>
      <w:r w:rsidR="001F196B">
        <w:t xml:space="preserve"> for </w:t>
      </w:r>
      <w:r w:rsidR="00297AAE">
        <w:t xml:space="preserve">a residential pool </w:t>
      </w:r>
      <w:r w:rsidR="00D11741">
        <w:t xml:space="preserve">heater </w:t>
      </w:r>
      <w:proofErr w:type="gramStart"/>
      <w:r w:rsidR="001F196B">
        <w:t>are</w:t>
      </w:r>
      <w:proofErr w:type="gramEnd"/>
      <w:r>
        <w:t xml:space="preserve"> </w:t>
      </w:r>
      <w:r w:rsidR="0026110B">
        <w:t>specified below</w:t>
      </w:r>
      <w:r w:rsidR="001F196B">
        <w:t>.</w:t>
      </w:r>
      <w:r w:rsidR="00B62472">
        <w:t xml:space="preserve"> </w:t>
      </w:r>
      <w:r w:rsidR="00556FC2">
        <w:t xml:space="preserve">An EUL ID specifically for a residential heat pump </w:t>
      </w:r>
      <w:proofErr w:type="gramStart"/>
      <w:r w:rsidR="00556FC2">
        <w:t>pool  heater</w:t>
      </w:r>
      <w:proofErr w:type="gramEnd"/>
      <w:r w:rsidR="00556FC2">
        <w:t xml:space="preserve"> is not available. Since the technologies are both similar, in that they are both air to water heat pumps, the EUL for a residential heat pump water heater is used for the measure case. </w:t>
      </w:r>
    </w:p>
    <w:p w14:paraId="0D840B0B" w14:textId="30489713" w:rsidR="00472075" w:rsidRDefault="00545202" w:rsidP="00305515">
      <w:r>
        <w:t xml:space="preserve">A </w:t>
      </w:r>
      <w:r w:rsidR="003857FE" w:rsidRPr="00C172E7">
        <w:t xml:space="preserve">gas water heater for </w:t>
      </w:r>
      <w:r>
        <w:t xml:space="preserve">a </w:t>
      </w:r>
      <w:r w:rsidR="003857FE" w:rsidRPr="00C172E7">
        <w:t xml:space="preserve">pool </w:t>
      </w:r>
      <w:r w:rsidR="00D11741">
        <w:t xml:space="preserve">heater </w:t>
      </w:r>
      <w:r>
        <w:t>is</w:t>
      </w:r>
      <w:r w:rsidRPr="00C172E7">
        <w:t xml:space="preserve"> </w:t>
      </w:r>
      <w:r w:rsidR="003857FE" w:rsidRPr="00C172E7">
        <w:t xml:space="preserve">expected </w:t>
      </w:r>
      <w:r w:rsidR="00450C21">
        <w:t xml:space="preserve">to </w:t>
      </w:r>
      <w:r w:rsidR="003857FE" w:rsidRPr="00C172E7">
        <w:t xml:space="preserve">have </w:t>
      </w:r>
      <w:r>
        <w:t xml:space="preserve">a </w:t>
      </w:r>
      <w:r w:rsidR="00450C21">
        <w:t xml:space="preserve">similar </w:t>
      </w:r>
      <w:r>
        <w:t xml:space="preserve">expected </w:t>
      </w:r>
      <w:r w:rsidR="00450C21">
        <w:t>life</w:t>
      </w:r>
      <w:r>
        <w:t>time</w:t>
      </w:r>
      <w:r w:rsidR="00450C21">
        <w:t xml:space="preserve"> as </w:t>
      </w:r>
      <w:r>
        <w:t xml:space="preserve">a </w:t>
      </w:r>
      <w:r w:rsidR="00450C21">
        <w:t>pool pump</w:t>
      </w:r>
      <w:r>
        <w:t>.</w:t>
      </w:r>
      <w:r w:rsidR="003857FE" w:rsidRPr="00C172E7">
        <w:t xml:space="preserve"> </w:t>
      </w:r>
      <w:r>
        <w:t xml:space="preserve">Additionally, an EUL ID </w:t>
      </w:r>
      <w:r w:rsidR="00B62472">
        <w:t xml:space="preserve">specifically </w:t>
      </w:r>
      <w:r>
        <w:t xml:space="preserve">for a residential pool heater is not available. </w:t>
      </w:r>
      <w:r w:rsidR="00472075">
        <w:t>Thus, t</w:t>
      </w:r>
      <w:r w:rsidR="00472075" w:rsidRPr="004F3505">
        <w:t xml:space="preserve">he EUL for </w:t>
      </w:r>
      <w:r w:rsidR="00AB7DBC">
        <w:t xml:space="preserve">a </w:t>
      </w:r>
      <w:r w:rsidRPr="004F3505">
        <w:t xml:space="preserve">residential pool pump </w:t>
      </w:r>
      <w:r>
        <w:t>is adopted for t</w:t>
      </w:r>
      <w:r w:rsidR="00D11741">
        <w:t>he baseline natural gas pool heater</w:t>
      </w:r>
      <w:r>
        <w:t xml:space="preserve">. </w:t>
      </w:r>
      <w:r w:rsidR="006A46BB">
        <w:t>Th</w:t>
      </w:r>
      <w:r w:rsidR="006A46BB" w:rsidRPr="006A46BB">
        <w:t>e estimated lifetime of a high-efficiency pool pump was derived from a Codes and Standards Enhancement (CASE) initiative study that assessed the impact of proposed revisions to the California Appliance Efficiency Regulations (Title 20) relating to pools and spas.</w:t>
      </w:r>
      <w:r w:rsidR="006A46BB">
        <w:rPr>
          <w:rStyle w:val="FootnoteReference"/>
        </w:rPr>
        <w:footnoteReference w:id="45"/>
      </w:r>
      <w:r w:rsidR="006A46BB" w:rsidRPr="006A46BB">
        <w:t> </w:t>
      </w:r>
      <w:r w:rsidR="006A46BB">
        <w:t xml:space="preserve"> </w:t>
      </w:r>
    </w:p>
    <w:p w14:paraId="0D7AB117" w14:textId="77777777" w:rsidR="00D11741" w:rsidRDefault="00D11741" w:rsidP="00305515"/>
    <w:p w14:paraId="7D542FEF" w14:textId="55C7ECFE" w:rsidR="00FD2C54" w:rsidRPr="00920905" w:rsidRDefault="00FD2C54">
      <w:pPr>
        <w:pStyle w:val="Caption"/>
      </w:pPr>
      <w:r>
        <w:t>Effective Useful Life</w:t>
      </w:r>
      <w:r w:rsidR="00BB4F22">
        <w:t xml:space="preserve"> and Remaining Useful Life</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245"/>
        <w:gridCol w:w="1080"/>
        <w:gridCol w:w="6210"/>
      </w:tblGrid>
      <w:tr w:rsidR="00485834" w:rsidRPr="00500C4E" w14:paraId="1FE81044" w14:textId="0C091959" w:rsidTr="00222105">
        <w:trPr>
          <w:cantSplit/>
          <w:trHeight w:val="20"/>
        </w:trPr>
        <w:tc>
          <w:tcPr>
            <w:tcW w:w="2245" w:type="dxa"/>
            <w:shd w:val="clear" w:color="auto" w:fill="F2F2F2" w:themeFill="background1" w:themeFillShade="F2"/>
            <w:vAlign w:val="bottom"/>
          </w:tcPr>
          <w:p w14:paraId="1666F440" w14:textId="31AB2C31" w:rsidR="00485834" w:rsidRPr="00694410" w:rsidRDefault="00485834" w:rsidP="009C31A4">
            <w:pPr>
              <w:keepNext/>
              <w:keepLines/>
              <w:spacing w:before="20" w:after="20"/>
              <w:jc w:val="center"/>
              <w:rPr>
                <w:rFonts w:cstheme="minorHAnsi"/>
                <w:b/>
                <w:sz w:val="20"/>
                <w:szCs w:val="20"/>
              </w:rPr>
            </w:pPr>
            <w:r>
              <w:rPr>
                <w:rFonts w:cstheme="minorHAnsi"/>
                <w:b/>
                <w:sz w:val="20"/>
                <w:szCs w:val="20"/>
              </w:rPr>
              <w:t>Parameter</w:t>
            </w:r>
          </w:p>
        </w:tc>
        <w:tc>
          <w:tcPr>
            <w:tcW w:w="1080" w:type="dxa"/>
            <w:shd w:val="clear" w:color="auto" w:fill="F2F2F2" w:themeFill="background1" w:themeFillShade="F2"/>
          </w:tcPr>
          <w:p w14:paraId="18E57BF8" w14:textId="7074E315" w:rsidR="00485834" w:rsidRPr="00694410" w:rsidRDefault="00485834" w:rsidP="009C31A4">
            <w:pPr>
              <w:keepNext/>
              <w:keepLines/>
              <w:spacing w:before="20" w:after="20"/>
              <w:jc w:val="center"/>
              <w:rPr>
                <w:rFonts w:cstheme="minorHAnsi"/>
                <w:b/>
                <w:sz w:val="20"/>
                <w:szCs w:val="20"/>
              </w:rPr>
            </w:pPr>
            <w:r>
              <w:rPr>
                <w:rFonts w:cstheme="minorHAnsi"/>
                <w:b/>
                <w:sz w:val="20"/>
                <w:szCs w:val="20"/>
              </w:rPr>
              <w:t>Value</w:t>
            </w:r>
          </w:p>
        </w:tc>
        <w:tc>
          <w:tcPr>
            <w:tcW w:w="6210" w:type="dxa"/>
            <w:shd w:val="clear" w:color="auto" w:fill="F2F2F2" w:themeFill="background1" w:themeFillShade="F2"/>
          </w:tcPr>
          <w:p w14:paraId="541E1750" w14:textId="139E5C00" w:rsidR="00485834" w:rsidRPr="00694410" w:rsidRDefault="00485834" w:rsidP="009C31A4">
            <w:pPr>
              <w:keepNext/>
              <w:keepLines/>
              <w:spacing w:before="20" w:after="20"/>
              <w:jc w:val="center"/>
              <w:rPr>
                <w:rFonts w:cstheme="minorHAnsi"/>
                <w:b/>
                <w:sz w:val="20"/>
                <w:szCs w:val="20"/>
              </w:rPr>
            </w:pPr>
            <w:r w:rsidRPr="00C172E7">
              <w:rPr>
                <w:rFonts w:cstheme="minorHAnsi"/>
                <w:b/>
                <w:sz w:val="20"/>
                <w:szCs w:val="20"/>
              </w:rPr>
              <w:t>Source</w:t>
            </w:r>
          </w:p>
        </w:tc>
      </w:tr>
      <w:tr w:rsidR="008578E4" w:rsidRPr="00500C4E" w14:paraId="7B636A73" w14:textId="217149CE" w:rsidTr="00222105">
        <w:trPr>
          <w:cantSplit/>
          <w:trHeight w:val="20"/>
        </w:trPr>
        <w:tc>
          <w:tcPr>
            <w:tcW w:w="2245" w:type="dxa"/>
            <w:vAlign w:val="center"/>
          </w:tcPr>
          <w:p w14:paraId="088026A0" w14:textId="77777777" w:rsidR="008578E4" w:rsidRDefault="008578E4" w:rsidP="008578E4">
            <w:pPr>
              <w:keepNext/>
              <w:keepLines/>
              <w:spacing w:before="20" w:after="20"/>
              <w:rPr>
                <w:rFonts w:cstheme="minorHAnsi"/>
                <w:sz w:val="20"/>
                <w:szCs w:val="20"/>
              </w:rPr>
            </w:pPr>
            <w:r w:rsidRPr="00FA7CDB">
              <w:rPr>
                <w:rFonts w:cstheme="minorHAnsi"/>
                <w:sz w:val="20"/>
                <w:szCs w:val="20"/>
              </w:rPr>
              <w:t>EUL (Years)</w:t>
            </w:r>
          </w:p>
          <w:p w14:paraId="64E6D65F" w14:textId="37567A8D" w:rsidR="008578E4" w:rsidRPr="00177EB6" w:rsidRDefault="008578E4" w:rsidP="008578E4">
            <w:pPr>
              <w:keepNext/>
              <w:keepLines/>
              <w:spacing w:before="20" w:after="20"/>
              <w:rPr>
                <w:sz w:val="20"/>
                <w:szCs w:val="20"/>
              </w:rPr>
            </w:pPr>
            <w:r>
              <w:rPr>
                <w:rFonts w:cstheme="minorHAnsi"/>
                <w:sz w:val="20"/>
                <w:szCs w:val="20"/>
              </w:rPr>
              <w:t xml:space="preserve">EUL ID: </w:t>
            </w:r>
            <w:proofErr w:type="spellStart"/>
            <w:r w:rsidRPr="0092218E">
              <w:rPr>
                <w:rFonts w:cstheme="minorHAnsi"/>
                <w:sz w:val="20"/>
                <w:szCs w:val="20"/>
              </w:rPr>
              <w:t>WtrHt-HtPmp</w:t>
            </w:r>
            <w:proofErr w:type="spellEnd"/>
          </w:p>
        </w:tc>
        <w:tc>
          <w:tcPr>
            <w:tcW w:w="1080" w:type="dxa"/>
            <w:vAlign w:val="center"/>
          </w:tcPr>
          <w:p w14:paraId="636160CC" w14:textId="54088051" w:rsidR="008578E4" w:rsidRPr="0026110B" w:rsidRDefault="008578E4" w:rsidP="008578E4">
            <w:pPr>
              <w:keepNext/>
              <w:keepLines/>
              <w:spacing w:before="20" w:after="20"/>
              <w:jc w:val="center"/>
              <w:rPr>
                <w:sz w:val="20"/>
                <w:szCs w:val="20"/>
              </w:rPr>
            </w:pPr>
            <w:r>
              <w:rPr>
                <w:sz w:val="20"/>
                <w:szCs w:val="20"/>
              </w:rPr>
              <w:t>10</w:t>
            </w:r>
          </w:p>
        </w:tc>
        <w:tc>
          <w:tcPr>
            <w:tcW w:w="6210" w:type="dxa"/>
            <w:vAlign w:val="center"/>
          </w:tcPr>
          <w:p w14:paraId="6D1E6642" w14:textId="77777777" w:rsidR="008578E4" w:rsidRPr="00E07469" w:rsidRDefault="008578E4" w:rsidP="008578E4">
            <w:pPr>
              <w:keepNext/>
              <w:keepLines/>
              <w:spacing w:before="20" w:after="20"/>
              <w:rPr>
                <w:sz w:val="18"/>
                <w:szCs w:val="18"/>
              </w:rPr>
            </w:pPr>
            <w:r w:rsidRPr="00E07469">
              <w:rPr>
                <w:sz w:val="18"/>
                <w:szCs w:val="18"/>
              </w:rPr>
              <w:t>California Public Utilities Commission (CPUC). 2014. “DEER2014-EUL-table-update_2014-02-05.xlsx.”</w:t>
            </w:r>
          </w:p>
          <w:p w14:paraId="12293357" w14:textId="4245D1E3" w:rsidR="008578E4" w:rsidRPr="001F6A4B" w:rsidRDefault="008578E4" w:rsidP="008578E4">
            <w:pPr>
              <w:rPr>
                <w:rFonts w:cs="Calibri Light"/>
                <w:sz w:val="18"/>
                <w:szCs w:val="18"/>
                <w:highlight w:val="lightGray"/>
              </w:rPr>
            </w:pPr>
            <w:r w:rsidRPr="00E07469">
              <w:rPr>
                <w:sz w:val="18"/>
                <w:szCs w:val="18"/>
              </w:rPr>
              <w:t xml:space="preserve">This EUL will be used for the heat pump pool heater. </w:t>
            </w:r>
          </w:p>
        </w:tc>
      </w:tr>
      <w:tr w:rsidR="008578E4" w:rsidRPr="00500C4E" w14:paraId="71871DE1" w14:textId="51A3395E" w:rsidTr="00222105">
        <w:trPr>
          <w:cantSplit/>
          <w:trHeight w:val="20"/>
        </w:trPr>
        <w:tc>
          <w:tcPr>
            <w:tcW w:w="2245" w:type="dxa"/>
            <w:vAlign w:val="center"/>
          </w:tcPr>
          <w:p w14:paraId="7051621D" w14:textId="77777777" w:rsidR="008578E4" w:rsidRDefault="008578E4" w:rsidP="008578E4">
            <w:pPr>
              <w:keepNext/>
              <w:keepLines/>
              <w:spacing w:before="20" w:after="20"/>
              <w:rPr>
                <w:rFonts w:cstheme="minorHAnsi"/>
                <w:sz w:val="20"/>
                <w:szCs w:val="20"/>
              </w:rPr>
            </w:pPr>
            <w:r w:rsidRPr="00FA7CDB">
              <w:rPr>
                <w:rFonts w:cstheme="minorHAnsi"/>
                <w:sz w:val="20"/>
                <w:szCs w:val="20"/>
              </w:rPr>
              <w:t>EUL (Years)</w:t>
            </w:r>
          </w:p>
          <w:p w14:paraId="4BA48D82" w14:textId="7D2DDF1A" w:rsidR="008578E4" w:rsidRPr="00177EB6" w:rsidRDefault="008578E4" w:rsidP="008578E4">
            <w:pPr>
              <w:keepNext/>
              <w:keepLines/>
              <w:spacing w:before="20" w:after="20"/>
              <w:rPr>
                <w:sz w:val="20"/>
                <w:szCs w:val="20"/>
              </w:rPr>
            </w:pPr>
            <w:r>
              <w:rPr>
                <w:rFonts w:cstheme="minorHAnsi"/>
                <w:sz w:val="20"/>
                <w:szCs w:val="20"/>
              </w:rPr>
              <w:t xml:space="preserve">EUL ID: </w:t>
            </w:r>
            <w:proofErr w:type="spellStart"/>
            <w:r w:rsidRPr="00A303ED">
              <w:rPr>
                <w:rFonts w:cstheme="minorHAnsi"/>
                <w:sz w:val="20"/>
                <w:szCs w:val="20"/>
              </w:rPr>
              <w:t>OutD-PoolPump</w:t>
            </w:r>
            <w:proofErr w:type="spellEnd"/>
          </w:p>
        </w:tc>
        <w:tc>
          <w:tcPr>
            <w:tcW w:w="1080" w:type="dxa"/>
            <w:vAlign w:val="center"/>
          </w:tcPr>
          <w:p w14:paraId="012CC38D" w14:textId="7B132CDB" w:rsidR="008578E4" w:rsidRPr="0026110B" w:rsidRDefault="008578E4" w:rsidP="008578E4">
            <w:pPr>
              <w:keepNext/>
              <w:keepLines/>
              <w:spacing w:before="20" w:after="20"/>
              <w:jc w:val="center"/>
              <w:rPr>
                <w:sz w:val="20"/>
                <w:szCs w:val="20"/>
              </w:rPr>
            </w:pPr>
            <w:r>
              <w:rPr>
                <w:sz w:val="20"/>
                <w:szCs w:val="20"/>
              </w:rPr>
              <w:t>10</w:t>
            </w:r>
          </w:p>
        </w:tc>
        <w:tc>
          <w:tcPr>
            <w:tcW w:w="6210" w:type="dxa"/>
            <w:vAlign w:val="center"/>
          </w:tcPr>
          <w:p w14:paraId="6697D56A" w14:textId="41C9CFEC" w:rsidR="008578E4" w:rsidRDefault="008578E4" w:rsidP="008578E4">
            <w:pPr>
              <w:keepNext/>
              <w:keepLines/>
              <w:spacing w:before="20" w:after="20"/>
              <w:rPr>
                <w:sz w:val="18"/>
                <w:szCs w:val="18"/>
              </w:rPr>
            </w:pPr>
            <w:r w:rsidRPr="00E07469">
              <w:rPr>
                <w:sz w:val="18"/>
                <w:szCs w:val="18"/>
              </w:rPr>
              <w:t>Davis Energy Group and Energy Solutions. 2004. Codes and Standards Enhancement Initiative for PY2004: Title 20 Standards Development - Analysis of Standards Options for Residential Pool Pumps, Motors, and Controls. Prepared for Pacific Gas and Electric (PG&amp;E). May 12.</w:t>
            </w:r>
          </w:p>
          <w:p w14:paraId="763A73DD" w14:textId="77777777" w:rsidR="00D413DC" w:rsidRPr="00E07469" w:rsidRDefault="00D413DC" w:rsidP="008578E4">
            <w:pPr>
              <w:keepNext/>
              <w:keepLines/>
              <w:spacing w:before="20" w:after="20"/>
              <w:rPr>
                <w:sz w:val="18"/>
                <w:szCs w:val="18"/>
              </w:rPr>
            </w:pPr>
          </w:p>
          <w:p w14:paraId="7DDC9DCA" w14:textId="1DB5F8E7" w:rsidR="008578E4" w:rsidRPr="00F8464D" w:rsidRDefault="008578E4" w:rsidP="008578E4">
            <w:pPr>
              <w:keepNext/>
              <w:keepLines/>
              <w:spacing w:before="20" w:after="20"/>
              <w:rPr>
                <w:sz w:val="20"/>
                <w:szCs w:val="20"/>
              </w:rPr>
            </w:pPr>
            <w:r w:rsidRPr="00E07469">
              <w:rPr>
                <w:sz w:val="18"/>
                <w:szCs w:val="18"/>
              </w:rPr>
              <w:t xml:space="preserve">This EUL will be used for the </w:t>
            </w:r>
            <w:r>
              <w:rPr>
                <w:sz w:val="18"/>
                <w:szCs w:val="18"/>
              </w:rPr>
              <w:t>natural gas</w:t>
            </w:r>
            <w:r w:rsidRPr="00E07469">
              <w:rPr>
                <w:sz w:val="18"/>
                <w:szCs w:val="18"/>
              </w:rPr>
              <w:t xml:space="preserve"> pool heater.</w:t>
            </w:r>
          </w:p>
        </w:tc>
      </w:tr>
      <w:tr w:rsidR="008578E4" w:rsidRPr="00500C4E" w14:paraId="18479DF1" w14:textId="77777777" w:rsidTr="00222105">
        <w:trPr>
          <w:cantSplit/>
          <w:trHeight w:val="20"/>
        </w:trPr>
        <w:tc>
          <w:tcPr>
            <w:tcW w:w="2245" w:type="dxa"/>
            <w:vAlign w:val="center"/>
          </w:tcPr>
          <w:p w14:paraId="4A84BE83" w14:textId="77777777" w:rsidR="008578E4" w:rsidRDefault="008578E4" w:rsidP="008578E4">
            <w:pPr>
              <w:keepNext/>
              <w:keepLines/>
              <w:spacing w:before="20" w:after="20"/>
              <w:rPr>
                <w:rFonts w:cstheme="minorHAnsi"/>
                <w:sz w:val="20"/>
                <w:szCs w:val="20"/>
              </w:rPr>
            </w:pPr>
            <w:r w:rsidRPr="00FA7CDB">
              <w:rPr>
                <w:rFonts w:cstheme="minorHAnsi"/>
                <w:sz w:val="20"/>
                <w:szCs w:val="20"/>
              </w:rPr>
              <w:t>RUL (Years)</w:t>
            </w:r>
          </w:p>
          <w:p w14:paraId="4CDD9F22" w14:textId="618D731E" w:rsidR="008578E4" w:rsidRPr="00177EB6" w:rsidRDefault="008578E4" w:rsidP="008578E4">
            <w:pPr>
              <w:keepNext/>
              <w:keepLines/>
              <w:spacing w:before="20" w:after="20"/>
              <w:rPr>
                <w:rFonts w:cstheme="minorHAnsi"/>
                <w:sz w:val="20"/>
                <w:szCs w:val="20"/>
              </w:rPr>
            </w:pPr>
            <w:r>
              <w:rPr>
                <w:rFonts w:cstheme="minorHAnsi"/>
                <w:sz w:val="20"/>
                <w:szCs w:val="20"/>
              </w:rPr>
              <w:t xml:space="preserve">EUL ID: </w:t>
            </w:r>
            <w:proofErr w:type="spellStart"/>
            <w:r w:rsidRPr="00A303ED">
              <w:rPr>
                <w:rFonts w:cstheme="minorHAnsi"/>
                <w:sz w:val="20"/>
                <w:szCs w:val="20"/>
              </w:rPr>
              <w:t>OutD-PoolPump</w:t>
            </w:r>
            <w:proofErr w:type="spellEnd"/>
          </w:p>
        </w:tc>
        <w:tc>
          <w:tcPr>
            <w:tcW w:w="1080" w:type="dxa"/>
            <w:vAlign w:val="center"/>
          </w:tcPr>
          <w:p w14:paraId="6D2EB20B" w14:textId="0A862356" w:rsidR="008578E4" w:rsidRDefault="008578E4" w:rsidP="008578E4">
            <w:pPr>
              <w:keepNext/>
              <w:keepLines/>
              <w:spacing w:before="20" w:after="20"/>
              <w:jc w:val="center"/>
              <w:rPr>
                <w:sz w:val="20"/>
                <w:szCs w:val="20"/>
              </w:rPr>
            </w:pPr>
            <w:r>
              <w:rPr>
                <w:sz w:val="20"/>
                <w:szCs w:val="20"/>
              </w:rPr>
              <w:t>3.3</w:t>
            </w:r>
          </w:p>
        </w:tc>
        <w:tc>
          <w:tcPr>
            <w:tcW w:w="6210" w:type="dxa"/>
            <w:vAlign w:val="center"/>
          </w:tcPr>
          <w:p w14:paraId="57066120" w14:textId="3B7BCB0A" w:rsidR="008578E4" w:rsidRDefault="008578E4" w:rsidP="008578E4">
            <w:pPr>
              <w:keepNext/>
              <w:keepLines/>
              <w:spacing w:before="20" w:after="20"/>
              <w:rPr>
                <w:sz w:val="18"/>
                <w:szCs w:val="18"/>
              </w:rPr>
            </w:pPr>
            <w:r w:rsidRPr="00E07469">
              <w:rPr>
                <w:sz w:val="18"/>
                <w:szCs w:val="18"/>
              </w:rPr>
              <w:t>Davis Energy Group and Energy Solutions. 2004. Codes and Standards Enhancement Initiative for PY2004: Title 20 Standards Development - Analysis of Standards Options for Residential Pool Pumps, Motors, and Controls. Prepared for Pacific Gas and Electric (PG&amp;E). May 12.</w:t>
            </w:r>
          </w:p>
          <w:p w14:paraId="17290BE3" w14:textId="77777777" w:rsidR="00D413DC" w:rsidRPr="00E07469" w:rsidRDefault="00D413DC" w:rsidP="008578E4">
            <w:pPr>
              <w:keepNext/>
              <w:keepLines/>
              <w:spacing w:before="20" w:after="20"/>
              <w:rPr>
                <w:sz w:val="18"/>
                <w:szCs w:val="18"/>
              </w:rPr>
            </w:pPr>
          </w:p>
          <w:p w14:paraId="33712FE8" w14:textId="32864167" w:rsidR="008578E4" w:rsidRDefault="008578E4" w:rsidP="008578E4">
            <w:pPr>
              <w:keepNext/>
              <w:keepLines/>
              <w:spacing w:before="20" w:after="20"/>
              <w:rPr>
                <w:sz w:val="20"/>
                <w:szCs w:val="20"/>
              </w:rPr>
            </w:pPr>
            <w:r w:rsidRPr="00E07469">
              <w:rPr>
                <w:sz w:val="18"/>
                <w:szCs w:val="18"/>
              </w:rPr>
              <w:t xml:space="preserve">This </w:t>
            </w:r>
            <w:r>
              <w:rPr>
                <w:sz w:val="18"/>
                <w:szCs w:val="18"/>
              </w:rPr>
              <w:t>R</w:t>
            </w:r>
            <w:r w:rsidRPr="00E07469">
              <w:rPr>
                <w:sz w:val="18"/>
                <w:szCs w:val="18"/>
              </w:rPr>
              <w:t xml:space="preserve">UL will be used for the </w:t>
            </w:r>
            <w:r>
              <w:rPr>
                <w:sz w:val="18"/>
                <w:szCs w:val="18"/>
              </w:rPr>
              <w:t>natural gas</w:t>
            </w:r>
            <w:r w:rsidRPr="00E07469">
              <w:rPr>
                <w:sz w:val="18"/>
                <w:szCs w:val="18"/>
              </w:rPr>
              <w:t xml:space="preserve"> pool heater.</w:t>
            </w:r>
          </w:p>
        </w:tc>
      </w:tr>
    </w:tbl>
    <w:p w14:paraId="21BBC22B" w14:textId="77777777" w:rsidR="007D230B" w:rsidRPr="004B06E3" w:rsidRDefault="007D230B" w:rsidP="004142EF"/>
    <w:p w14:paraId="3B14B593" w14:textId="77777777" w:rsidR="007D230B" w:rsidRPr="004B06E3" w:rsidRDefault="007D230B" w:rsidP="004F3F32">
      <w:pPr>
        <w:pStyle w:val="eTRMHeading3"/>
      </w:pPr>
      <w:bookmarkStart w:id="54" w:name="_Toc486490860"/>
      <w:bookmarkStart w:id="55" w:name="_Toc486580931"/>
      <w:bookmarkStart w:id="56" w:name="_Toc67427726"/>
      <w:r w:rsidRPr="004B06E3">
        <w:t>Base Case Material Cost ($/unit)</w:t>
      </w:r>
      <w:bookmarkEnd w:id="54"/>
      <w:bookmarkEnd w:id="55"/>
      <w:bookmarkEnd w:id="56"/>
    </w:p>
    <w:p w14:paraId="73D3929E" w14:textId="547C1834" w:rsidR="00EC1831" w:rsidRDefault="00EC1831" w:rsidP="00EC1831">
      <w:r>
        <w:t>Base</w:t>
      </w:r>
      <w:r w:rsidR="00BE746E">
        <w:t xml:space="preserve"> case</w:t>
      </w:r>
      <w:r>
        <w:t xml:space="preserve"> </w:t>
      </w:r>
      <w:r w:rsidR="00551FBF">
        <w:t xml:space="preserve">material </w:t>
      </w:r>
      <w:r>
        <w:t xml:space="preserve">cost data was collected using online </w:t>
      </w:r>
      <w:r w:rsidR="00F33B4D">
        <w:t>retailer data</w:t>
      </w:r>
      <w:r w:rsidRPr="00EE2874">
        <w:t xml:space="preserve"> </w:t>
      </w:r>
      <w:r>
        <w:t xml:space="preserve">of applicable natural gas </w:t>
      </w:r>
      <w:r w:rsidR="005A0D63">
        <w:t>pool</w:t>
      </w:r>
      <w:r>
        <w:t xml:space="preserve"> heaters during the </w:t>
      </w:r>
      <w:r w:rsidR="005A0D63">
        <w:t>fourth</w:t>
      </w:r>
      <w:r>
        <w:t xml:space="preserve"> quarter of 2020.</w:t>
      </w:r>
      <w:r>
        <w:rPr>
          <w:rStyle w:val="FootnoteReference"/>
        </w:rPr>
        <w:footnoteReference w:id="46"/>
      </w:r>
      <w:r>
        <w:t xml:space="preserve"> </w:t>
      </w:r>
      <w:r w:rsidR="00C80526" w:rsidRPr="00556FC2">
        <w:t>The</w:t>
      </w:r>
      <w:r w:rsidR="00C80526">
        <w:t xml:space="preserve"> prices were collected from the two most popular online retailers</w:t>
      </w:r>
      <w:r w:rsidR="00551FBF">
        <w:t xml:space="preserve">, </w:t>
      </w:r>
      <w:r w:rsidR="00C80526">
        <w:t>Leslie Pools and Inyo Pools</w:t>
      </w:r>
      <w:r w:rsidR="00551FBF">
        <w:t>,</w:t>
      </w:r>
      <w:r w:rsidR="00C80526">
        <w:t xml:space="preserve"> and included brands such as Hayward, Jacuzzi, </w:t>
      </w:r>
      <w:proofErr w:type="spellStart"/>
      <w:r w:rsidR="00C80526">
        <w:t>Raypack</w:t>
      </w:r>
      <w:proofErr w:type="spellEnd"/>
      <w:r w:rsidR="00C80526">
        <w:t>, Pentair, and Sta-Rite</w:t>
      </w:r>
      <w:r>
        <w:t xml:space="preserve">. </w:t>
      </w:r>
      <w:r w:rsidR="003412E8">
        <w:t>U</w:t>
      </w:r>
      <w:r>
        <w:t>nit capacity</w:t>
      </w:r>
      <w:r w:rsidR="00C80526">
        <w:t xml:space="preserve"> ranged</w:t>
      </w:r>
      <w:r>
        <w:t xml:space="preserve"> between 150 and 406 </w:t>
      </w:r>
      <w:proofErr w:type="spellStart"/>
      <w:r>
        <w:t>k</w:t>
      </w:r>
      <w:r w:rsidR="003259BE">
        <w:t>BTU</w:t>
      </w:r>
      <w:proofErr w:type="spellEnd"/>
      <w:r>
        <w:t>/</w:t>
      </w:r>
      <w:proofErr w:type="spellStart"/>
      <w:r>
        <w:t>hr</w:t>
      </w:r>
      <w:proofErr w:type="spellEnd"/>
      <w:r>
        <w:t>, with an average capacity of 29</w:t>
      </w:r>
      <w:r w:rsidR="00C80526">
        <w:t>3</w:t>
      </w:r>
      <w:r>
        <w:t xml:space="preserve"> </w:t>
      </w:r>
      <w:proofErr w:type="spellStart"/>
      <w:r>
        <w:t>k</w:t>
      </w:r>
      <w:r w:rsidR="003259BE">
        <w:t>BTU</w:t>
      </w:r>
      <w:proofErr w:type="spellEnd"/>
      <w:r>
        <w:t>/hr</w:t>
      </w:r>
      <w:r w:rsidR="00F33B4D">
        <w:t>. U</w:t>
      </w:r>
      <w:r w:rsidR="00C80526">
        <w:t>nit efficiencies ranged between 82% and 84%</w:t>
      </w:r>
      <w:r w:rsidR="00BE746E">
        <w:t xml:space="preserve"> thermal efficiency</w:t>
      </w:r>
      <w:r w:rsidR="00C80526">
        <w:t>, with an average of 83%</w:t>
      </w:r>
      <w:r>
        <w:t xml:space="preserve">. </w:t>
      </w:r>
    </w:p>
    <w:p w14:paraId="7FB93DC8" w14:textId="5C0863AE" w:rsidR="00F33B4D" w:rsidRDefault="00F33B4D" w:rsidP="00551FBF">
      <w:r>
        <w:t xml:space="preserve">A linear regression of equipment cost versus heater capacity in </w:t>
      </w:r>
      <w:proofErr w:type="spellStart"/>
      <w:r>
        <w:t>kBTU</w:t>
      </w:r>
      <w:proofErr w:type="spellEnd"/>
      <w:r>
        <w:t>/</w:t>
      </w:r>
      <w:proofErr w:type="spellStart"/>
      <w:r>
        <w:t>hr</w:t>
      </w:r>
      <w:proofErr w:type="spellEnd"/>
      <w:r>
        <w:t xml:space="preserve"> was performed </w:t>
      </w:r>
      <w:r w:rsidR="003412E8">
        <w:t>using the collected data</w:t>
      </w:r>
      <w:r w:rsidR="00551FBF">
        <w:t xml:space="preserve">. </w:t>
      </w:r>
      <w:r w:rsidR="003412E8">
        <w:t>The base cost</w:t>
      </w:r>
      <w:r w:rsidR="001B2C94">
        <w:t>s</w:t>
      </w:r>
      <w:r w:rsidR="003412E8">
        <w:t xml:space="preserve"> </w:t>
      </w:r>
      <w:r w:rsidR="001B2C94">
        <w:t xml:space="preserve">were </w:t>
      </w:r>
      <w:r w:rsidR="003412E8">
        <w:t>found using the linear regression formula and</w:t>
      </w:r>
      <w:r w:rsidR="0022128F">
        <w:t xml:space="preserve"> the </w:t>
      </w:r>
      <w:r w:rsidR="007B5336" w:rsidRPr="007B5336">
        <w:t>single</w:t>
      </w:r>
      <w:r w:rsidR="001B2C94">
        <w:t xml:space="preserve"> </w:t>
      </w:r>
      <w:r w:rsidR="007B5336" w:rsidRPr="007B5336">
        <w:t xml:space="preserve">family and common area </w:t>
      </w:r>
      <w:r w:rsidR="007B5336">
        <w:t>natural gas</w:t>
      </w:r>
      <w:r w:rsidR="007B5336" w:rsidRPr="007B5336">
        <w:t xml:space="preserve"> pool heater capacities assumed in the calculations</w:t>
      </w:r>
      <w:r w:rsidR="003412E8">
        <w:t xml:space="preserve">. </w:t>
      </w:r>
    </w:p>
    <w:p w14:paraId="36145FC0" w14:textId="77777777" w:rsidR="00450C21" w:rsidRDefault="00450C21" w:rsidP="00C172E7">
      <w:bookmarkStart w:id="57" w:name="_Toc486490861"/>
      <w:bookmarkStart w:id="58" w:name="_Toc486580932"/>
    </w:p>
    <w:p w14:paraId="44E8DBEB" w14:textId="3A0A3EB4" w:rsidR="007D230B" w:rsidRPr="004B06E3" w:rsidRDefault="007D230B" w:rsidP="004F3F32">
      <w:pPr>
        <w:pStyle w:val="eTRMHeading3"/>
      </w:pPr>
      <w:bookmarkStart w:id="59" w:name="_Toc67427727"/>
      <w:r w:rsidRPr="004B06E3">
        <w:t>Measure Case Material Cost ($/unit)</w:t>
      </w:r>
      <w:bookmarkEnd w:id="57"/>
      <w:bookmarkEnd w:id="58"/>
      <w:bookmarkEnd w:id="59"/>
    </w:p>
    <w:p w14:paraId="52EACC4A" w14:textId="788F0471" w:rsidR="00C80526" w:rsidRDefault="00C80526" w:rsidP="00C80526">
      <w:r>
        <w:t>Measure</w:t>
      </w:r>
      <w:r w:rsidR="00BE746E">
        <w:t xml:space="preserve"> material</w:t>
      </w:r>
      <w:r>
        <w:t xml:space="preserve"> cost data was collected using online </w:t>
      </w:r>
      <w:r w:rsidR="00F33B4D">
        <w:t>retailer data</w:t>
      </w:r>
      <w:r w:rsidRPr="00EE2874">
        <w:t xml:space="preserve"> </w:t>
      </w:r>
      <w:r>
        <w:t xml:space="preserve">of applicable </w:t>
      </w:r>
      <w:r w:rsidR="005A0D63">
        <w:t xml:space="preserve">heat pump pool </w:t>
      </w:r>
      <w:r>
        <w:t xml:space="preserve">heaters during the </w:t>
      </w:r>
      <w:r w:rsidR="005A0D63">
        <w:t>fourth</w:t>
      </w:r>
      <w:r>
        <w:t xml:space="preserve"> quarter of 2020.</w:t>
      </w:r>
      <w:r>
        <w:rPr>
          <w:rStyle w:val="FootnoteReference"/>
        </w:rPr>
        <w:footnoteReference w:id="47"/>
      </w:r>
      <w:r>
        <w:t xml:space="preserve"> </w:t>
      </w:r>
      <w:r w:rsidRPr="00556FC2">
        <w:t>The</w:t>
      </w:r>
      <w:r>
        <w:t xml:space="preserve"> prices were collected from the two most popular online retailers</w:t>
      </w:r>
      <w:r w:rsidR="003412E8">
        <w:t>,</w:t>
      </w:r>
      <w:r>
        <w:t xml:space="preserve"> Leslie Pools and Inyo Pools</w:t>
      </w:r>
      <w:r w:rsidR="003412E8">
        <w:t>,</w:t>
      </w:r>
      <w:r>
        <w:t xml:space="preserve"> and included brands such as Hayward, Jacuzzi, </w:t>
      </w:r>
      <w:proofErr w:type="spellStart"/>
      <w:r>
        <w:t>Raypack</w:t>
      </w:r>
      <w:proofErr w:type="spellEnd"/>
      <w:r>
        <w:t xml:space="preserve">, Pentair, and </w:t>
      </w:r>
      <w:proofErr w:type="spellStart"/>
      <w:r w:rsidR="005A0D63">
        <w:t>Aquacal</w:t>
      </w:r>
      <w:proofErr w:type="spellEnd"/>
      <w:r>
        <w:t xml:space="preserve">. </w:t>
      </w:r>
      <w:r w:rsidR="003412E8">
        <w:t>U</w:t>
      </w:r>
      <w:r>
        <w:t xml:space="preserve">nits capacity ranged between </w:t>
      </w:r>
      <w:r w:rsidR="005A0D63">
        <w:t>36</w:t>
      </w:r>
      <w:r>
        <w:t xml:space="preserve"> and </w:t>
      </w:r>
      <w:r w:rsidR="005A0D63">
        <w:t>143</w:t>
      </w:r>
      <w:r>
        <w:t xml:space="preserve"> </w:t>
      </w:r>
      <w:proofErr w:type="spellStart"/>
      <w:r>
        <w:t>k</w:t>
      </w:r>
      <w:r w:rsidR="003259BE">
        <w:t>BTU</w:t>
      </w:r>
      <w:proofErr w:type="spellEnd"/>
      <w:r>
        <w:t>/</w:t>
      </w:r>
      <w:proofErr w:type="spellStart"/>
      <w:r>
        <w:t>hr</w:t>
      </w:r>
      <w:proofErr w:type="spellEnd"/>
      <w:r w:rsidR="003412E8">
        <w:t>,</w:t>
      </w:r>
      <w:r>
        <w:t xml:space="preserve"> with an average capacity of </w:t>
      </w:r>
      <w:r w:rsidR="005A0D63">
        <w:t>10</w:t>
      </w:r>
      <w:r w:rsidR="00755EB1">
        <w:t>9</w:t>
      </w:r>
      <w:r>
        <w:t xml:space="preserve"> </w:t>
      </w:r>
      <w:proofErr w:type="spellStart"/>
      <w:r>
        <w:t>k</w:t>
      </w:r>
      <w:r w:rsidR="003259BE">
        <w:t>BTU</w:t>
      </w:r>
      <w:proofErr w:type="spellEnd"/>
      <w:r>
        <w:t>/hr</w:t>
      </w:r>
      <w:r w:rsidR="00F33B4D">
        <w:t>. U</w:t>
      </w:r>
      <w:r>
        <w:t xml:space="preserve">nit </w:t>
      </w:r>
      <w:r w:rsidR="005A0D63">
        <w:t>COPs</w:t>
      </w:r>
      <w:r>
        <w:t xml:space="preserve"> ranged between </w:t>
      </w:r>
      <w:r w:rsidR="00755EB1">
        <w:t>5.5</w:t>
      </w:r>
      <w:r w:rsidR="006E54A9">
        <w:t>0</w:t>
      </w:r>
      <w:r w:rsidR="00755EB1">
        <w:t xml:space="preserve"> </w:t>
      </w:r>
      <w:r>
        <w:t xml:space="preserve">and </w:t>
      </w:r>
      <w:r w:rsidR="005A0D63">
        <w:t>6.8</w:t>
      </w:r>
      <w:r w:rsidR="006E54A9">
        <w:t>0</w:t>
      </w:r>
      <w:r>
        <w:t xml:space="preserve">, with an average of </w:t>
      </w:r>
      <w:r w:rsidR="005A0D63">
        <w:t>5.8</w:t>
      </w:r>
      <w:r w:rsidR="00755EB1">
        <w:t>6</w:t>
      </w:r>
      <w:r>
        <w:t xml:space="preserve">. </w:t>
      </w:r>
    </w:p>
    <w:p w14:paraId="166A21E9" w14:textId="2D18BA18" w:rsidR="00556FC2" w:rsidRDefault="00551FBF" w:rsidP="00556FC2">
      <w:r>
        <w:t xml:space="preserve">A linear regression of equipment cost versus heater capacity in </w:t>
      </w:r>
      <w:proofErr w:type="spellStart"/>
      <w:r>
        <w:t>kBTU</w:t>
      </w:r>
      <w:proofErr w:type="spellEnd"/>
      <w:r>
        <w:t>/</w:t>
      </w:r>
      <w:proofErr w:type="spellStart"/>
      <w:r>
        <w:t>hr</w:t>
      </w:r>
      <w:proofErr w:type="spellEnd"/>
      <w:r>
        <w:t xml:space="preserve"> was performed </w:t>
      </w:r>
      <w:r w:rsidR="003412E8">
        <w:t>using</w:t>
      </w:r>
      <w:r>
        <w:t xml:space="preserve"> the</w:t>
      </w:r>
      <w:r w:rsidR="003412E8">
        <w:t xml:space="preserve"> </w:t>
      </w:r>
      <w:r>
        <w:t xml:space="preserve">collected </w:t>
      </w:r>
      <w:r w:rsidR="003412E8">
        <w:t>data</w:t>
      </w:r>
      <w:r>
        <w:t xml:space="preserve">. </w:t>
      </w:r>
      <w:r w:rsidR="003412E8">
        <w:t>The measure cost</w:t>
      </w:r>
      <w:r w:rsidR="001B2C94">
        <w:t>s</w:t>
      </w:r>
      <w:r w:rsidR="003412E8">
        <w:t xml:space="preserve"> </w:t>
      </w:r>
      <w:r w:rsidR="001B2C94">
        <w:t xml:space="preserve">were </w:t>
      </w:r>
      <w:r w:rsidR="003412E8">
        <w:t xml:space="preserve">found using the linear regression formula and </w:t>
      </w:r>
      <w:r w:rsidR="00556FC2">
        <w:t xml:space="preserve">the </w:t>
      </w:r>
      <w:r w:rsidR="00DE76A4">
        <w:t>single</w:t>
      </w:r>
      <w:r w:rsidR="001B2C94">
        <w:t xml:space="preserve"> </w:t>
      </w:r>
      <w:r w:rsidR="00DE76A4">
        <w:t>family and common area</w:t>
      </w:r>
      <w:r w:rsidR="00556FC2">
        <w:t xml:space="preserve"> </w:t>
      </w:r>
      <w:r w:rsidR="003412E8">
        <w:t>heat pump</w:t>
      </w:r>
      <w:r w:rsidR="00556FC2">
        <w:t xml:space="preserve"> </w:t>
      </w:r>
      <w:r w:rsidR="003412E8">
        <w:t xml:space="preserve">pool </w:t>
      </w:r>
      <w:r w:rsidR="00556FC2">
        <w:t>heater capacit</w:t>
      </w:r>
      <w:r w:rsidR="00DE76A4">
        <w:t>ies</w:t>
      </w:r>
      <w:r w:rsidR="00556FC2">
        <w:t xml:space="preserve"> assumed in the calculations</w:t>
      </w:r>
      <w:r w:rsidR="003412E8">
        <w:t>.</w:t>
      </w:r>
    </w:p>
    <w:p w14:paraId="58121D12" w14:textId="3B047534" w:rsidR="00472075" w:rsidRDefault="00472075" w:rsidP="00676F43">
      <w:pPr>
        <w:rPr>
          <w:b/>
          <w:bCs/>
        </w:rPr>
      </w:pPr>
    </w:p>
    <w:p w14:paraId="4861C076" w14:textId="47D0F56B" w:rsidR="00676F43" w:rsidRDefault="00676F43" w:rsidP="00676F43">
      <w:pPr>
        <w:pStyle w:val="NoSpacing"/>
        <w:rPr>
          <w:rFonts w:ascii="Calibri Light" w:hAnsi="Calibri Light"/>
        </w:rPr>
      </w:pPr>
      <w:r>
        <w:rPr>
          <w:rFonts w:ascii="Calibri Light" w:eastAsiaTheme="minorEastAsia" w:hAnsi="Calibri Light" w:cs="Calibri Light"/>
          <w:b/>
          <w:szCs w:val="24"/>
        </w:rPr>
        <w:t>Infrastructure Costs</w:t>
      </w:r>
      <w:r w:rsidRPr="004058CF">
        <w:rPr>
          <w:rFonts w:ascii="Calibri Light" w:hAnsi="Calibri Light"/>
        </w:rPr>
        <w:t xml:space="preserve">. For a natural gas </w:t>
      </w:r>
      <w:r>
        <w:rPr>
          <w:rFonts w:ascii="Calibri Light" w:hAnsi="Calibri Light"/>
        </w:rPr>
        <w:t xml:space="preserve">pool heater </w:t>
      </w:r>
      <w:r w:rsidRPr="004058CF">
        <w:rPr>
          <w:rFonts w:ascii="Calibri Light" w:hAnsi="Calibri Light"/>
        </w:rPr>
        <w:t xml:space="preserve">to heat pump </w:t>
      </w:r>
      <w:r>
        <w:rPr>
          <w:rFonts w:ascii="Calibri Light" w:hAnsi="Calibri Light"/>
        </w:rPr>
        <w:t>pool heater</w:t>
      </w:r>
      <w:r w:rsidR="003412E8">
        <w:rPr>
          <w:rFonts w:ascii="Calibri Light" w:hAnsi="Calibri Light"/>
        </w:rPr>
        <w:t xml:space="preserve"> installation,</w:t>
      </w:r>
      <w:r>
        <w:rPr>
          <w:rFonts w:ascii="Calibri Light" w:hAnsi="Calibri Light"/>
        </w:rPr>
        <w:t xml:space="preserve"> </w:t>
      </w:r>
      <w:r w:rsidRPr="004058CF">
        <w:rPr>
          <w:rFonts w:ascii="Calibri Light" w:hAnsi="Calibri Light"/>
        </w:rPr>
        <w:t xml:space="preserve">infrastructure upgrades would include capping off the natural gas line, </w:t>
      </w:r>
      <w:r>
        <w:rPr>
          <w:rFonts w:ascii="Calibri Light" w:hAnsi="Calibri Light"/>
        </w:rPr>
        <w:t xml:space="preserve">adding a </w:t>
      </w:r>
      <w:r w:rsidR="003412E8">
        <w:rPr>
          <w:rFonts w:ascii="Calibri Light" w:hAnsi="Calibri Light"/>
        </w:rPr>
        <w:t>larger amperage</w:t>
      </w:r>
      <w:r>
        <w:rPr>
          <w:rFonts w:ascii="Calibri Light" w:hAnsi="Calibri Light"/>
        </w:rPr>
        <w:t xml:space="preserve"> service to the existing breaker, running </w:t>
      </w:r>
      <w:r w:rsidRPr="004058CF">
        <w:rPr>
          <w:rFonts w:ascii="Calibri Light" w:hAnsi="Calibri Light"/>
        </w:rPr>
        <w:t>240</w:t>
      </w:r>
      <w:r w:rsidR="003412E8">
        <w:rPr>
          <w:rFonts w:ascii="Calibri Light" w:hAnsi="Calibri Light"/>
        </w:rPr>
        <w:t>V</w:t>
      </w:r>
      <w:r w:rsidRPr="004058CF">
        <w:rPr>
          <w:rFonts w:ascii="Calibri Light" w:hAnsi="Calibri Light"/>
        </w:rPr>
        <w:t xml:space="preserve"> power </w:t>
      </w:r>
      <w:r>
        <w:rPr>
          <w:rFonts w:ascii="Calibri Light" w:hAnsi="Calibri Light"/>
        </w:rPr>
        <w:t>to the heater</w:t>
      </w:r>
      <w:r w:rsidR="003412E8">
        <w:rPr>
          <w:rFonts w:ascii="Calibri Light" w:hAnsi="Calibri Light"/>
        </w:rPr>
        <w:t>, and potentially expanding the heater’s concrete pad</w:t>
      </w:r>
      <w:r w:rsidRPr="004058CF">
        <w:rPr>
          <w:rFonts w:ascii="Calibri Light" w:hAnsi="Calibri Light"/>
        </w:rPr>
        <w:t xml:space="preserve">. </w:t>
      </w:r>
      <w:r>
        <w:rPr>
          <w:rFonts w:ascii="Calibri Light" w:hAnsi="Calibri Light"/>
        </w:rPr>
        <w:t>Existing gas pool heaters will typically only use a 20A breaker, but heat pump pool heaters will</w:t>
      </w:r>
      <w:r w:rsidR="003412E8">
        <w:rPr>
          <w:rFonts w:ascii="Calibri Light" w:hAnsi="Calibri Light"/>
        </w:rPr>
        <w:t xml:space="preserve"> generally</w:t>
      </w:r>
      <w:r>
        <w:rPr>
          <w:rFonts w:ascii="Calibri Light" w:hAnsi="Calibri Light"/>
        </w:rPr>
        <w:t xml:space="preserve"> need a higher amperage service</w:t>
      </w:r>
      <w:r w:rsidR="003412E8">
        <w:rPr>
          <w:rFonts w:ascii="Calibri Light" w:hAnsi="Calibri Light"/>
        </w:rPr>
        <w:t xml:space="preserve"> such as a 50A</w:t>
      </w:r>
      <w:r>
        <w:rPr>
          <w:rFonts w:ascii="Calibri Light" w:hAnsi="Calibri Light"/>
        </w:rPr>
        <w:t xml:space="preserve">. Furthermore, heat pump pool heaters often have a larger footprint than gas pool heaters so an expansion of the pool heater’s concrete pad may be needed. These infrastructure costs were estimated using 2021 </w:t>
      </w:r>
      <w:proofErr w:type="spellStart"/>
      <w:r>
        <w:rPr>
          <w:rFonts w:ascii="Calibri Light" w:hAnsi="Calibri Light"/>
        </w:rPr>
        <w:t>RSMeans</w:t>
      </w:r>
      <w:proofErr w:type="spellEnd"/>
      <w:r>
        <w:rPr>
          <w:rFonts w:ascii="Calibri Light" w:hAnsi="Calibri Light"/>
        </w:rPr>
        <w:t xml:space="preserve"> Online data</w:t>
      </w:r>
      <w:r>
        <w:rPr>
          <w:rStyle w:val="FootnoteReference"/>
          <w:rFonts w:ascii="Calibri Light" w:hAnsi="Calibri Light"/>
        </w:rPr>
        <w:footnoteReference w:id="48"/>
      </w:r>
      <w:r>
        <w:rPr>
          <w:rFonts w:ascii="Calibri Light" w:hAnsi="Calibri Light"/>
        </w:rPr>
        <w:t xml:space="preserve"> and online retailer costs. </w:t>
      </w:r>
      <w:proofErr w:type="spellStart"/>
      <w:r>
        <w:rPr>
          <w:rFonts w:ascii="Calibri Light" w:hAnsi="Calibri Light"/>
        </w:rPr>
        <w:t>RSMeans</w:t>
      </w:r>
      <w:proofErr w:type="spellEnd"/>
      <w:r>
        <w:rPr>
          <w:rFonts w:ascii="Calibri Light" w:hAnsi="Calibri Light"/>
        </w:rPr>
        <w:t xml:space="preserve"> hourly labor rates for a residential electrician and plumber</w:t>
      </w:r>
      <w:r>
        <w:rPr>
          <w:rStyle w:val="FootnoteReference"/>
          <w:rFonts w:ascii="Calibri Light" w:hAnsi="Calibri Light"/>
        </w:rPr>
        <w:footnoteReference w:id="49"/>
      </w:r>
      <w:r>
        <w:rPr>
          <w:rFonts w:ascii="Calibri Light" w:hAnsi="Calibri Light"/>
        </w:rPr>
        <w:t xml:space="preserve"> were used to estimate labor costs.  See the table below for details and the cost calculations for </w:t>
      </w:r>
      <w:r w:rsidR="00BE746E">
        <w:rPr>
          <w:rFonts w:ascii="Calibri Light" w:hAnsi="Calibri Light"/>
        </w:rPr>
        <w:t>additional</w:t>
      </w:r>
      <w:r>
        <w:rPr>
          <w:rFonts w:ascii="Calibri Light" w:hAnsi="Calibri Light"/>
        </w:rPr>
        <w:t xml:space="preserve"> details.</w:t>
      </w:r>
      <w:r>
        <w:rPr>
          <w:rStyle w:val="FootnoteReference"/>
          <w:rFonts w:ascii="Calibri Light" w:hAnsi="Calibri Light"/>
        </w:rPr>
        <w:footnoteReference w:id="50"/>
      </w:r>
      <w:r>
        <w:rPr>
          <w:rFonts w:ascii="Calibri Light" w:hAnsi="Calibri Light"/>
        </w:rPr>
        <w:t xml:space="preserve">  </w:t>
      </w:r>
    </w:p>
    <w:p w14:paraId="69213E37" w14:textId="77777777" w:rsidR="00676F43" w:rsidRPr="004058CF" w:rsidRDefault="00676F43" w:rsidP="00676F43">
      <w:pPr>
        <w:pStyle w:val="NoSpacing"/>
        <w:rPr>
          <w:rFonts w:ascii="Calibri Light" w:hAnsi="Calibri Light"/>
        </w:rPr>
      </w:pPr>
    </w:p>
    <w:tbl>
      <w:tblPr>
        <w:tblW w:w="45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7"/>
        <w:gridCol w:w="801"/>
        <w:gridCol w:w="1015"/>
        <w:gridCol w:w="939"/>
        <w:gridCol w:w="1026"/>
      </w:tblGrid>
      <w:tr w:rsidR="00676F43" w:rsidRPr="00AF1AC2" w14:paraId="2DD629F0" w14:textId="77777777" w:rsidTr="00676F43">
        <w:trPr>
          <w:trHeight w:val="444"/>
        </w:trPr>
        <w:tc>
          <w:tcPr>
            <w:tcW w:w="4707" w:type="dxa"/>
            <w:shd w:val="clear" w:color="auto" w:fill="D9D9D9" w:themeFill="background1" w:themeFillShade="D9"/>
            <w:noWrap/>
            <w:vAlign w:val="center"/>
            <w:hideMark/>
          </w:tcPr>
          <w:p w14:paraId="3B5CAB88" w14:textId="77777777" w:rsidR="00676F43" w:rsidRPr="00AF1AC2" w:rsidRDefault="00676F43" w:rsidP="002657E8">
            <w:pPr>
              <w:jc w:val="center"/>
              <w:rPr>
                <w:rFonts w:eastAsia="Times New Roman" w:cs="Calibri Light"/>
                <w:b/>
                <w:bCs/>
                <w:sz w:val="20"/>
                <w:szCs w:val="20"/>
              </w:rPr>
            </w:pPr>
            <w:r>
              <w:rPr>
                <w:rFonts w:eastAsia="Times New Roman" w:cs="Calibri Light"/>
                <w:b/>
                <w:bCs/>
                <w:sz w:val="20"/>
                <w:szCs w:val="20"/>
              </w:rPr>
              <w:t>Description of Work</w:t>
            </w:r>
          </w:p>
        </w:tc>
        <w:tc>
          <w:tcPr>
            <w:tcW w:w="801" w:type="dxa"/>
            <w:shd w:val="clear" w:color="auto" w:fill="D9D9D9" w:themeFill="background1" w:themeFillShade="D9"/>
            <w:vAlign w:val="center"/>
          </w:tcPr>
          <w:p w14:paraId="6D2D5B4B" w14:textId="77777777" w:rsidR="00676F43" w:rsidRDefault="00676F43" w:rsidP="002657E8">
            <w:pPr>
              <w:jc w:val="center"/>
              <w:rPr>
                <w:rFonts w:eastAsia="Times New Roman" w:cs="Calibri Light"/>
                <w:b/>
                <w:bCs/>
                <w:sz w:val="20"/>
                <w:szCs w:val="20"/>
              </w:rPr>
            </w:pPr>
            <w:r>
              <w:rPr>
                <w:rFonts w:eastAsia="Times New Roman" w:cs="Calibri Light"/>
                <w:b/>
                <w:bCs/>
                <w:sz w:val="20"/>
                <w:szCs w:val="20"/>
              </w:rPr>
              <w:t>Labor Hours</w:t>
            </w:r>
          </w:p>
        </w:tc>
        <w:tc>
          <w:tcPr>
            <w:tcW w:w="1015" w:type="dxa"/>
            <w:shd w:val="clear" w:color="auto" w:fill="D9D9D9" w:themeFill="background1" w:themeFillShade="D9"/>
            <w:vAlign w:val="center"/>
          </w:tcPr>
          <w:p w14:paraId="001432C1" w14:textId="77777777" w:rsidR="00676F43" w:rsidRPr="00AF1AC2" w:rsidRDefault="00676F43" w:rsidP="002657E8">
            <w:pPr>
              <w:jc w:val="center"/>
              <w:rPr>
                <w:rFonts w:eastAsia="Times New Roman" w:cs="Calibri Light"/>
                <w:b/>
                <w:bCs/>
                <w:sz w:val="20"/>
                <w:szCs w:val="20"/>
              </w:rPr>
            </w:pPr>
            <w:r>
              <w:rPr>
                <w:rFonts w:eastAsia="Times New Roman" w:cs="Calibri Light"/>
                <w:b/>
                <w:bCs/>
                <w:sz w:val="20"/>
                <w:szCs w:val="20"/>
              </w:rPr>
              <w:t>Labor Cost</w:t>
            </w:r>
          </w:p>
        </w:tc>
        <w:tc>
          <w:tcPr>
            <w:tcW w:w="939" w:type="dxa"/>
            <w:shd w:val="clear" w:color="auto" w:fill="D9D9D9" w:themeFill="background1" w:themeFillShade="D9"/>
            <w:vAlign w:val="center"/>
            <w:hideMark/>
          </w:tcPr>
          <w:p w14:paraId="21EBB5CF" w14:textId="77777777" w:rsidR="00676F43" w:rsidRPr="00AF1AC2" w:rsidRDefault="00676F43" w:rsidP="002657E8">
            <w:pPr>
              <w:jc w:val="center"/>
              <w:rPr>
                <w:rFonts w:eastAsia="Times New Roman" w:cs="Calibri Light"/>
                <w:b/>
                <w:bCs/>
                <w:sz w:val="20"/>
                <w:szCs w:val="20"/>
              </w:rPr>
            </w:pPr>
            <w:r>
              <w:rPr>
                <w:rFonts w:eastAsia="Times New Roman" w:cs="Calibri Light"/>
                <w:b/>
                <w:bCs/>
                <w:sz w:val="20"/>
                <w:szCs w:val="20"/>
              </w:rPr>
              <w:t>Material Cost</w:t>
            </w:r>
          </w:p>
        </w:tc>
        <w:tc>
          <w:tcPr>
            <w:tcW w:w="1026" w:type="dxa"/>
            <w:shd w:val="clear" w:color="auto" w:fill="D9D9D9" w:themeFill="background1" w:themeFillShade="D9"/>
            <w:vAlign w:val="center"/>
          </w:tcPr>
          <w:p w14:paraId="6AAA99AB" w14:textId="77777777" w:rsidR="00676F43" w:rsidRPr="00AF1AC2" w:rsidRDefault="00676F43" w:rsidP="002657E8">
            <w:pPr>
              <w:jc w:val="center"/>
              <w:rPr>
                <w:rFonts w:eastAsia="Times New Roman" w:cs="Calibri Light"/>
                <w:b/>
                <w:bCs/>
                <w:sz w:val="20"/>
                <w:szCs w:val="20"/>
              </w:rPr>
            </w:pPr>
            <w:r>
              <w:rPr>
                <w:rFonts w:eastAsia="Times New Roman" w:cs="Calibri Light"/>
                <w:b/>
                <w:bCs/>
                <w:sz w:val="20"/>
                <w:szCs w:val="20"/>
              </w:rPr>
              <w:t>Total Cost</w:t>
            </w:r>
          </w:p>
        </w:tc>
      </w:tr>
      <w:tr w:rsidR="00C93B20" w:rsidRPr="00AF1AC2" w14:paraId="74E175BE" w14:textId="77777777" w:rsidTr="00676F43">
        <w:trPr>
          <w:trHeight w:val="228"/>
        </w:trPr>
        <w:tc>
          <w:tcPr>
            <w:tcW w:w="4707" w:type="dxa"/>
            <w:shd w:val="clear" w:color="auto" w:fill="auto"/>
            <w:vAlign w:val="bottom"/>
          </w:tcPr>
          <w:p w14:paraId="0C13967C" w14:textId="3B49D22F" w:rsidR="00C93B20" w:rsidRPr="00676F43" w:rsidRDefault="00C93B20" w:rsidP="00C93B20">
            <w:pPr>
              <w:rPr>
                <w:rFonts w:eastAsia="Times New Roman" w:cs="Calibri Light"/>
                <w:sz w:val="20"/>
                <w:szCs w:val="20"/>
              </w:rPr>
            </w:pPr>
            <w:r w:rsidRPr="00676F43">
              <w:rPr>
                <w:rFonts w:cs="Calibri Light"/>
                <w:color w:val="000000"/>
                <w:sz w:val="20"/>
                <w:szCs w:val="20"/>
              </w:rPr>
              <w:t>Add 50A service to breaker feeding pool area</w:t>
            </w:r>
          </w:p>
        </w:tc>
        <w:tc>
          <w:tcPr>
            <w:tcW w:w="801" w:type="dxa"/>
          </w:tcPr>
          <w:p w14:paraId="6680D2A9" w14:textId="6251E848" w:rsidR="00C93B20" w:rsidRPr="00C93B20" w:rsidRDefault="00C93B20" w:rsidP="00C93B20">
            <w:pPr>
              <w:jc w:val="center"/>
              <w:rPr>
                <w:rFonts w:eastAsia="Times New Roman" w:cs="Calibri Light"/>
                <w:sz w:val="20"/>
                <w:szCs w:val="20"/>
              </w:rPr>
            </w:pPr>
            <w:r w:rsidRPr="00C93B20">
              <w:rPr>
                <w:sz w:val="20"/>
                <w:szCs w:val="20"/>
              </w:rPr>
              <w:t>1.29</w:t>
            </w:r>
          </w:p>
        </w:tc>
        <w:tc>
          <w:tcPr>
            <w:tcW w:w="1015" w:type="dxa"/>
          </w:tcPr>
          <w:p w14:paraId="771E7F66" w14:textId="765E873E" w:rsidR="00C93B20" w:rsidRPr="00C93B20" w:rsidRDefault="00C93B20" w:rsidP="00C93B20">
            <w:pPr>
              <w:jc w:val="center"/>
              <w:rPr>
                <w:rFonts w:eastAsia="Times New Roman" w:cs="Calibri Light"/>
                <w:sz w:val="20"/>
                <w:szCs w:val="20"/>
              </w:rPr>
            </w:pPr>
            <w:r w:rsidRPr="00C93B20">
              <w:rPr>
                <w:sz w:val="20"/>
                <w:szCs w:val="20"/>
              </w:rPr>
              <w:t>$89.59</w:t>
            </w:r>
          </w:p>
        </w:tc>
        <w:tc>
          <w:tcPr>
            <w:tcW w:w="939" w:type="dxa"/>
            <w:shd w:val="clear" w:color="auto" w:fill="auto"/>
            <w:noWrap/>
          </w:tcPr>
          <w:p w14:paraId="680A5C5F" w14:textId="2CBF7C23" w:rsidR="00C93B20" w:rsidRPr="00C93B20" w:rsidRDefault="00C93B20" w:rsidP="00C93B20">
            <w:pPr>
              <w:jc w:val="center"/>
              <w:rPr>
                <w:rFonts w:eastAsia="Times New Roman" w:cs="Calibri Light"/>
                <w:sz w:val="20"/>
                <w:szCs w:val="20"/>
              </w:rPr>
            </w:pPr>
            <w:r w:rsidRPr="00C93B20">
              <w:rPr>
                <w:sz w:val="20"/>
                <w:szCs w:val="20"/>
              </w:rPr>
              <w:t>$130.82</w:t>
            </w:r>
          </w:p>
        </w:tc>
        <w:tc>
          <w:tcPr>
            <w:tcW w:w="1026" w:type="dxa"/>
          </w:tcPr>
          <w:p w14:paraId="70868D23" w14:textId="7A293E7B" w:rsidR="00C93B20" w:rsidRPr="00C93B20" w:rsidRDefault="00C93B20" w:rsidP="00C93B20">
            <w:pPr>
              <w:jc w:val="center"/>
              <w:rPr>
                <w:rFonts w:eastAsia="Times New Roman" w:cs="Calibri Light"/>
                <w:sz w:val="20"/>
                <w:szCs w:val="20"/>
              </w:rPr>
            </w:pPr>
            <w:r w:rsidRPr="00C93B20">
              <w:rPr>
                <w:sz w:val="20"/>
                <w:szCs w:val="20"/>
              </w:rPr>
              <w:t>$220.41</w:t>
            </w:r>
          </w:p>
        </w:tc>
      </w:tr>
      <w:tr w:rsidR="00C93B20" w:rsidRPr="00AF1AC2" w14:paraId="7E7146E5" w14:textId="77777777" w:rsidTr="00676F43">
        <w:trPr>
          <w:trHeight w:val="261"/>
        </w:trPr>
        <w:tc>
          <w:tcPr>
            <w:tcW w:w="4707" w:type="dxa"/>
            <w:shd w:val="clear" w:color="auto" w:fill="auto"/>
            <w:vAlign w:val="bottom"/>
          </w:tcPr>
          <w:p w14:paraId="086EE7F2" w14:textId="293FFCAD" w:rsidR="00C93B20" w:rsidRPr="00676F43" w:rsidRDefault="00C93B20" w:rsidP="00C93B20">
            <w:pPr>
              <w:rPr>
                <w:rFonts w:eastAsia="Times New Roman" w:cs="Calibri Light"/>
                <w:sz w:val="20"/>
                <w:szCs w:val="20"/>
              </w:rPr>
            </w:pPr>
            <w:r w:rsidRPr="00676F43">
              <w:rPr>
                <w:rFonts w:cs="Calibri Light"/>
                <w:color w:val="000000"/>
                <w:sz w:val="20"/>
                <w:szCs w:val="20"/>
              </w:rPr>
              <w:t>Run new wiring and cabling for higher service power, estimating about 50’</w:t>
            </w:r>
          </w:p>
        </w:tc>
        <w:tc>
          <w:tcPr>
            <w:tcW w:w="801" w:type="dxa"/>
          </w:tcPr>
          <w:p w14:paraId="21C4F460" w14:textId="39755195" w:rsidR="00C93B20" w:rsidRPr="00C93B20" w:rsidRDefault="00C93B20" w:rsidP="00C93B20">
            <w:pPr>
              <w:jc w:val="center"/>
              <w:rPr>
                <w:rFonts w:eastAsia="Times New Roman" w:cs="Calibri Light"/>
                <w:sz w:val="20"/>
                <w:szCs w:val="20"/>
              </w:rPr>
            </w:pPr>
            <w:r w:rsidRPr="00C93B20">
              <w:rPr>
                <w:sz w:val="20"/>
                <w:szCs w:val="20"/>
              </w:rPr>
              <w:t>2.5</w:t>
            </w:r>
          </w:p>
        </w:tc>
        <w:tc>
          <w:tcPr>
            <w:tcW w:w="1015" w:type="dxa"/>
          </w:tcPr>
          <w:p w14:paraId="1BDFC8F7" w14:textId="303B1F1F" w:rsidR="00C93B20" w:rsidRPr="00C93B20" w:rsidRDefault="00C93B20" w:rsidP="00C93B20">
            <w:pPr>
              <w:jc w:val="center"/>
              <w:rPr>
                <w:rFonts w:eastAsia="Times New Roman" w:cs="Calibri Light"/>
                <w:sz w:val="20"/>
                <w:szCs w:val="20"/>
              </w:rPr>
            </w:pPr>
            <w:r w:rsidRPr="00C93B20">
              <w:rPr>
                <w:sz w:val="20"/>
                <w:szCs w:val="20"/>
              </w:rPr>
              <w:t>$173.63</w:t>
            </w:r>
          </w:p>
        </w:tc>
        <w:tc>
          <w:tcPr>
            <w:tcW w:w="939" w:type="dxa"/>
            <w:shd w:val="clear" w:color="auto" w:fill="auto"/>
            <w:noWrap/>
          </w:tcPr>
          <w:p w14:paraId="732D6725" w14:textId="25710A07" w:rsidR="00C93B20" w:rsidRPr="00C93B20" w:rsidRDefault="00C93B20" w:rsidP="00C93B20">
            <w:pPr>
              <w:jc w:val="center"/>
              <w:rPr>
                <w:rFonts w:eastAsia="Times New Roman" w:cs="Calibri Light"/>
                <w:sz w:val="20"/>
                <w:szCs w:val="20"/>
              </w:rPr>
            </w:pPr>
            <w:r w:rsidRPr="00C93B20">
              <w:rPr>
                <w:sz w:val="20"/>
                <w:szCs w:val="20"/>
              </w:rPr>
              <w:t>$30.53</w:t>
            </w:r>
          </w:p>
        </w:tc>
        <w:tc>
          <w:tcPr>
            <w:tcW w:w="1026" w:type="dxa"/>
          </w:tcPr>
          <w:p w14:paraId="2FDAF838" w14:textId="409C68A0" w:rsidR="00C93B20" w:rsidRPr="00C93B20" w:rsidRDefault="00C93B20" w:rsidP="00C93B20">
            <w:pPr>
              <w:jc w:val="center"/>
              <w:rPr>
                <w:rFonts w:eastAsia="Times New Roman" w:cs="Calibri Light"/>
                <w:sz w:val="20"/>
                <w:szCs w:val="20"/>
              </w:rPr>
            </w:pPr>
            <w:r w:rsidRPr="00C93B20">
              <w:rPr>
                <w:sz w:val="20"/>
                <w:szCs w:val="20"/>
              </w:rPr>
              <w:t>$204.15</w:t>
            </w:r>
          </w:p>
        </w:tc>
      </w:tr>
      <w:tr w:rsidR="00C93B20" w:rsidRPr="00AF1AC2" w14:paraId="4E1111EF" w14:textId="77777777" w:rsidTr="00676F43">
        <w:trPr>
          <w:trHeight w:val="542"/>
        </w:trPr>
        <w:tc>
          <w:tcPr>
            <w:tcW w:w="4707" w:type="dxa"/>
            <w:shd w:val="clear" w:color="auto" w:fill="auto"/>
            <w:vAlign w:val="bottom"/>
          </w:tcPr>
          <w:p w14:paraId="5AB9B521" w14:textId="36B695AF" w:rsidR="00C93B20" w:rsidRPr="00676F43" w:rsidRDefault="00C93B20" w:rsidP="00C93B20">
            <w:pPr>
              <w:rPr>
                <w:rFonts w:eastAsia="Times New Roman" w:cs="Calibri Light"/>
                <w:sz w:val="20"/>
                <w:szCs w:val="20"/>
              </w:rPr>
            </w:pPr>
            <w:r w:rsidRPr="00676F43">
              <w:rPr>
                <w:rFonts w:cs="Calibri Light"/>
                <w:color w:val="000000"/>
                <w:sz w:val="20"/>
                <w:szCs w:val="20"/>
              </w:rPr>
              <w:t>Expand concrete pad for HP Pool Heater, estimating 5’x5’ pad added</w:t>
            </w:r>
          </w:p>
        </w:tc>
        <w:tc>
          <w:tcPr>
            <w:tcW w:w="801" w:type="dxa"/>
          </w:tcPr>
          <w:p w14:paraId="2166893C" w14:textId="58407163" w:rsidR="00C93B20" w:rsidRPr="00C93B20" w:rsidRDefault="00C93B20" w:rsidP="00C93B20">
            <w:pPr>
              <w:jc w:val="center"/>
              <w:rPr>
                <w:rFonts w:eastAsia="Times New Roman" w:cs="Calibri Light"/>
                <w:sz w:val="20"/>
                <w:szCs w:val="20"/>
              </w:rPr>
            </w:pPr>
            <w:r w:rsidRPr="00C93B20">
              <w:rPr>
                <w:sz w:val="20"/>
                <w:szCs w:val="20"/>
              </w:rPr>
              <w:t>1.6</w:t>
            </w:r>
          </w:p>
        </w:tc>
        <w:tc>
          <w:tcPr>
            <w:tcW w:w="1015" w:type="dxa"/>
          </w:tcPr>
          <w:p w14:paraId="75AB78E4" w14:textId="2A5881E0" w:rsidR="00C93B20" w:rsidRPr="00C93B20" w:rsidRDefault="00C93B20" w:rsidP="00C93B20">
            <w:pPr>
              <w:jc w:val="center"/>
              <w:rPr>
                <w:rFonts w:eastAsia="Times New Roman" w:cs="Calibri Light"/>
                <w:sz w:val="20"/>
                <w:szCs w:val="20"/>
              </w:rPr>
            </w:pPr>
            <w:r w:rsidRPr="00C93B20">
              <w:rPr>
                <w:sz w:val="20"/>
                <w:szCs w:val="20"/>
              </w:rPr>
              <w:t>$107.84</w:t>
            </w:r>
          </w:p>
        </w:tc>
        <w:tc>
          <w:tcPr>
            <w:tcW w:w="939" w:type="dxa"/>
            <w:shd w:val="clear" w:color="auto" w:fill="auto"/>
            <w:noWrap/>
          </w:tcPr>
          <w:p w14:paraId="4E49C893" w14:textId="4B6CB771" w:rsidR="00C93B20" w:rsidRPr="00C93B20" w:rsidRDefault="00C93B20" w:rsidP="00C93B20">
            <w:pPr>
              <w:jc w:val="center"/>
              <w:rPr>
                <w:rFonts w:eastAsia="Times New Roman" w:cs="Calibri Light"/>
                <w:sz w:val="20"/>
                <w:szCs w:val="20"/>
              </w:rPr>
            </w:pPr>
            <w:r w:rsidRPr="00C93B20">
              <w:rPr>
                <w:sz w:val="20"/>
                <w:szCs w:val="20"/>
              </w:rPr>
              <w:t>$65.60</w:t>
            </w:r>
          </w:p>
        </w:tc>
        <w:tc>
          <w:tcPr>
            <w:tcW w:w="1026" w:type="dxa"/>
          </w:tcPr>
          <w:p w14:paraId="7FA09214" w14:textId="37F36180" w:rsidR="00C93B20" w:rsidRPr="00C93B20" w:rsidRDefault="00C93B20" w:rsidP="00C93B20">
            <w:pPr>
              <w:jc w:val="center"/>
              <w:rPr>
                <w:rFonts w:eastAsia="Times New Roman" w:cs="Calibri Light"/>
                <w:sz w:val="20"/>
                <w:szCs w:val="20"/>
              </w:rPr>
            </w:pPr>
            <w:r w:rsidRPr="00C93B20">
              <w:rPr>
                <w:sz w:val="20"/>
                <w:szCs w:val="20"/>
              </w:rPr>
              <w:t>$173.44</w:t>
            </w:r>
          </w:p>
        </w:tc>
      </w:tr>
      <w:tr w:rsidR="00C93B20" w:rsidRPr="00AF1AC2" w14:paraId="3EEF4389" w14:textId="77777777" w:rsidTr="00676F43">
        <w:trPr>
          <w:trHeight w:val="542"/>
        </w:trPr>
        <w:tc>
          <w:tcPr>
            <w:tcW w:w="4707" w:type="dxa"/>
            <w:shd w:val="clear" w:color="auto" w:fill="auto"/>
            <w:vAlign w:val="bottom"/>
          </w:tcPr>
          <w:p w14:paraId="56D10F37" w14:textId="7A93C50B" w:rsidR="00C93B20" w:rsidRPr="00676F43" w:rsidRDefault="00C93B20" w:rsidP="00C93B20">
            <w:pPr>
              <w:rPr>
                <w:rFonts w:cs="Calibri Light"/>
                <w:sz w:val="20"/>
                <w:szCs w:val="20"/>
              </w:rPr>
            </w:pPr>
            <w:r w:rsidRPr="00676F43">
              <w:rPr>
                <w:rFonts w:cs="Calibri Light"/>
                <w:color w:val="000000"/>
                <w:sz w:val="20"/>
                <w:szCs w:val="20"/>
              </w:rPr>
              <w:t>Cap Existing Gas Line. Brass Plug for Natural Gas lines.</w:t>
            </w:r>
          </w:p>
        </w:tc>
        <w:tc>
          <w:tcPr>
            <w:tcW w:w="801" w:type="dxa"/>
          </w:tcPr>
          <w:p w14:paraId="2D419BC1" w14:textId="3D343CC4" w:rsidR="00C93B20" w:rsidRPr="00C93B20" w:rsidRDefault="00C93B20" w:rsidP="00C93B20">
            <w:pPr>
              <w:jc w:val="center"/>
              <w:rPr>
                <w:sz w:val="20"/>
                <w:szCs w:val="20"/>
              </w:rPr>
            </w:pPr>
            <w:r w:rsidRPr="00C93B20">
              <w:rPr>
                <w:sz w:val="20"/>
                <w:szCs w:val="20"/>
              </w:rPr>
              <w:t>0.25</w:t>
            </w:r>
          </w:p>
        </w:tc>
        <w:tc>
          <w:tcPr>
            <w:tcW w:w="1015" w:type="dxa"/>
          </w:tcPr>
          <w:p w14:paraId="49010EBC" w14:textId="319A39AB" w:rsidR="00C93B20" w:rsidRPr="00C93B20" w:rsidRDefault="00C93B20" w:rsidP="00C93B20">
            <w:pPr>
              <w:jc w:val="center"/>
              <w:rPr>
                <w:sz w:val="20"/>
                <w:szCs w:val="20"/>
              </w:rPr>
            </w:pPr>
            <w:r w:rsidRPr="00C93B20">
              <w:rPr>
                <w:sz w:val="20"/>
                <w:szCs w:val="20"/>
              </w:rPr>
              <w:t>$16.85</w:t>
            </w:r>
          </w:p>
        </w:tc>
        <w:tc>
          <w:tcPr>
            <w:tcW w:w="939" w:type="dxa"/>
            <w:shd w:val="clear" w:color="auto" w:fill="auto"/>
            <w:noWrap/>
          </w:tcPr>
          <w:p w14:paraId="489F110C" w14:textId="671B7CFF" w:rsidR="00C93B20" w:rsidRPr="00C93B20" w:rsidRDefault="00C93B20" w:rsidP="00C93B20">
            <w:pPr>
              <w:jc w:val="center"/>
              <w:rPr>
                <w:sz w:val="20"/>
                <w:szCs w:val="20"/>
              </w:rPr>
            </w:pPr>
            <w:r w:rsidRPr="00C93B20">
              <w:rPr>
                <w:sz w:val="20"/>
                <w:szCs w:val="20"/>
              </w:rPr>
              <w:t>$4.04</w:t>
            </w:r>
          </w:p>
        </w:tc>
        <w:tc>
          <w:tcPr>
            <w:tcW w:w="1026" w:type="dxa"/>
          </w:tcPr>
          <w:p w14:paraId="195DCF88" w14:textId="3389C1CE" w:rsidR="00C93B20" w:rsidRPr="00C93B20" w:rsidRDefault="00C93B20" w:rsidP="00C93B20">
            <w:pPr>
              <w:jc w:val="center"/>
              <w:rPr>
                <w:sz w:val="20"/>
                <w:szCs w:val="20"/>
              </w:rPr>
            </w:pPr>
            <w:r w:rsidRPr="00C93B20">
              <w:rPr>
                <w:sz w:val="20"/>
                <w:szCs w:val="20"/>
              </w:rPr>
              <w:t>$20.89</w:t>
            </w:r>
          </w:p>
        </w:tc>
      </w:tr>
      <w:tr w:rsidR="00C93B20" w:rsidRPr="00AF1AC2" w14:paraId="0947E6D4" w14:textId="77777777" w:rsidTr="00676F43">
        <w:trPr>
          <w:trHeight w:val="261"/>
        </w:trPr>
        <w:tc>
          <w:tcPr>
            <w:tcW w:w="4707" w:type="dxa"/>
            <w:shd w:val="clear" w:color="auto" w:fill="auto"/>
          </w:tcPr>
          <w:p w14:paraId="7FE9E3A6" w14:textId="77777777" w:rsidR="00C93B20" w:rsidRPr="00676F43" w:rsidRDefault="00C93B20" w:rsidP="00C93B20">
            <w:pPr>
              <w:rPr>
                <w:rFonts w:eastAsia="Times New Roman" w:cs="Calibri Light"/>
                <w:b/>
                <w:bCs/>
                <w:sz w:val="20"/>
                <w:szCs w:val="20"/>
              </w:rPr>
            </w:pPr>
            <w:r w:rsidRPr="00676F43">
              <w:rPr>
                <w:b/>
                <w:bCs/>
                <w:sz w:val="20"/>
                <w:szCs w:val="20"/>
              </w:rPr>
              <w:t>Total</w:t>
            </w:r>
          </w:p>
        </w:tc>
        <w:tc>
          <w:tcPr>
            <w:tcW w:w="801" w:type="dxa"/>
          </w:tcPr>
          <w:p w14:paraId="4ACF51BD" w14:textId="7139E233" w:rsidR="00C93B20" w:rsidRPr="00C93B20" w:rsidRDefault="00C93B20" w:rsidP="00C93B20">
            <w:pPr>
              <w:jc w:val="center"/>
              <w:rPr>
                <w:rFonts w:eastAsia="Times New Roman" w:cs="Calibri Light"/>
                <w:b/>
                <w:bCs/>
                <w:sz w:val="20"/>
                <w:szCs w:val="20"/>
              </w:rPr>
            </w:pPr>
            <w:r w:rsidRPr="00C93B20">
              <w:rPr>
                <w:rFonts w:eastAsia="Times New Roman" w:cs="Calibri Light"/>
                <w:b/>
                <w:bCs/>
                <w:sz w:val="20"/>
                <w:szCs w:val="20"/>
              </w:rPr>
              <w:t>5.64</w:t>
            </w:r>
          </w:p>
        </w:tc>
        <w:tc>
          <w:tcPr>
            <w:tcW w:w="1015" w:type="dxa"/>
          </w:tcPr>
          <w:p w14:paraId="0E7F9202" w14:textId="7EEF3758" w:rsidR="00C93B20" w:rsidRPr="00C93B20" w:rsidRDefault="00C93B20" w:rsidP="00C93B20">
            <w:pPr>
              <w:jc w:val="center"/>
              <w:rPr>
                <w:rFonts w:eastAsia="Times New Roman" w:cs="Calibri Light"/>
                <w:b/>
                <w:bCs/>
                <w:sz w:val="20"/>
                <w:szCs w:val="20"/>
              </w:rPr>
            </w:pPr>
            <w:r w:rsidRPr="00C93B20">
              <w:rPr>
                <w:b/>
                <w:bCs/>
                <w:sz w:val="20"/>
                <w:szCs w:val="20"/>
              </w:rPr>
              <w:t>$387.91</w:t>
            </w:r>
          </w:p>
        </w:tc>
        <w:tc>
          <w:tcPr>
            <w:tcW w:w="939" w:type="dxa"/>
            <w:shd w:val="clear" w:color="auto" w:fill="auto"/>
            <w:noWrap/>
          </w:tcPr>
          <w:p w14:paraId="4F11221B" w14:textId="138C4DDD" w:rsidR="00C93B20" w:rsidRPr="00C93B20" w:rsidRDefault="00C93B20" w:rsidP="00C93B20">
            <w:pPr>
              <w:jc w:val="center"/>
              <w:rPr>
                <w:rFonts w:eastAsia="Times New Roman" w:cs="Calibri Light"/>
                <w:b/>
                <w:bCs/>
                <w:sz w:val="20"/>
                <w:szCs w:val="20"/>
              </w:rPr>
            </w:pPr>
            <w:r w:rsidRPr="00C93B20">
              <w:rPr>
                <w:rFonts w:eastAsia="Times New Roman" w:cs="Calibri Light"/>
                <w:b/>
                <w:bCs/>
                <w:sz w:val="20"/>
                <w:szCs w:val="20"/>
              </w:rPr>
              <w:t>$230.99</w:t>
            </w:r>
          </w:p>
        </w:tc>
        <w:tc>
          <w:tcPr>
            <w:tcW w:w="1026" w:type="dxa"/>
          </w:tcPr>
          <w:p w14:paraId="5F56354E" w14:textId="1CE4EEBA" w:rsidR="00C93B20" w:rsidRPr="00C93B20" w:rsidRDefault="00C93B20" w:rsidP="00C93B20">
            <w:pPr>
              <w:jc w:val="center"/>
              <w:rPr>
                <w:rFonts w:eastAsia="Times New Roman" w:cs="Calibri Light"/>
                <w:b/>
                <w:bCs/>
                <w:sz w:val="20"/>
                <w:szCs w:val="20"/>
              </w:rPr>
            </w:pPr>
            <w:r w:rsidRPr="00C93B20">
              <w:rPr>
                <w:b/>
                <w:bCs/>
                <w:sz w:val="20"/>
                <w:szCs w:val="20"/>
              </w:rPr>
              <w:t>$618.89</w:t>
            </w:r>
          </w:p>
        </w:tc>
      </w:tr>
    </w:tbl>
    <w:p w14:paraId="2F1B30C4" w14:textId="77777777" w:rsidR="00676F43" w:rsidRPr="003D6E3D" w:rsidRDefault="00676F43" w:rsidP="00676F43">
      <w:pPr>
        <w:rPr>
          <w:b/>
          <w:bCs/>
        </w:rPr>
      </w:pPr>
    </w:p>
    <w:p w14:paraId="02691007" w14:textId="3C007D4F" w:rsidR="007D230B" w:rsidRPr="004B06E3" w:rsidRDefault="002E5874" w:rsidP="004F3F32">
      <w:pPr>
        <w:pStyle w:val="eTRMHeading3"/>
      </w:pPr>
      <w:bookmarkStart w:id="60" w:name="_Toc486490862"/>
      <w:bookmarkStart w:id="61" w:name="_Toc486580933"/>
      <w:bookmarkStart w:id="62" w:name="_Toc67427728"/>
      <w:r>
        <w:t xml:space="preserve">Base Case </w:t>
      </w:r>
      <w:r w:rsidR="007D230B" w:rsidRPr="004B06E3">
        <w:t>Labor Cost ($/unit)</w:t>
      </w:r>
      <w:bookmarkEnd w:id="60"/>
      <w:bookmarkEnd w:id="61"/>
      <w:bookmarkEnd w:id="62"/>
    </w:p>
    <w:p w14:paraId="25E68894" w14:textId="5FC5839D" w:rsidR="00777586" w:rsidRDefault="00777586" w:rsidP="00777586">
      <w:r>
        <w:t xml:space="preserve">The estimated installation hours for the baseline natural gas pool heater </w:t>
      </w:r>
      <w:r w:rsidR="003412E8">
        <w:t>were</w:t>
      </w:r>
      <w:r>
        <w:t xml:space="preserve"> obtained from </w:t>
      </w:r>
      <w:proofErr w:type="spellStart"/>
      <w:r>
        <w:t>RSMeans</w:t>
      </w:r>
      <w:proofErr w:type="spellEnd"/>
      <w:r>
        <w:t xml:space="preserve"> 2021</w:t>
      </w:r>
      <w:r>
        <w:rPr>
          <w:rStyle w:val="FootnoteReference"/>
        </w:rPr>
        <w:footnoteReference w:id="51"/>
      </w:r>
      <w:r>
        <w:t xml:space="preserve"> and multiplied by the </w:t>
      </w:r>
      <w:proofErr w:type="spellStart"/>
      <w:r>
        <w:t>RSMeans</w:t>
      </w:r>
      <w:proofErr w:type="spellEnd"/>
      <w:r>
        <w:t xml:space="preserve"> 2021 hourly plumber rate ($/</w:t>
      </w:r>
      <w:proofErr w:type="spellStart"/>
      <w:r>
        <w:t>hr</w:t>
      </w:r>
      <w:proofErr w:type="spellEnd"/>
      <w:r>
        <w:t>).</w:t>
      </w:r>
      <w:r>
        <w:rPr>
          <w:rStyle w:val="FootnoteReference"/>
        </w:rPr>
        <w:footnoteReference w:id="52"/>
      </w:r>
      <w:r>
        <w:t xml:space="preserve"> This </w:t>
      </w:r>
      <w:r w:rsidR="003412E8">
        <w:t xml:space="preserve">labor </w:t>
      </w:r>
      <w:r>
        <w:t xml:space="preserve">assumes a retrofit application and excludes labor for new piping, wiring, or concrete pad. </w:t>
      </w:r>
    </w:p>
    <w:p w14:paraId="657CC314" w14:textId="77777777" w:rsidR="00AB7DBC" w:rsidRPr="00425FAA" w:rsidRDefault="00AB7DBC" w:rsidP="00F517F5">
      <w:pPr>
        <w:rPr>
          <w:rFonts w:cs="Arial"/>
          <w:szCs w:val="22"/>
        </w:rPr>
      </w:pPr>
    </w:p>
    <w:p w14:paraId="5E89BC5E" w14:textId="22B628A3" w:rsidR="002E5874" w:rsidRPr="004B06E3" w:rsidRDefault="002E5874" w:rsidP="004F3F32">
      <w:pPr>
        <w:pStyle w:val="eTRMHeading3"/>
      </w:pPr>
      <w:bookmarkStart w:id="63" w:name="_Toc67427729"/>
      <w:r>
        <w:t xml:space="preserve">Measure Case </w:t>
      </w:r>
      <w:r w:rsidRPr="004B06E3">
        <w:t>Labor Cost ($/unit)</w:t>
      </w:r>
      <w:bookmarkEnd w:id="63"/>
    </w:p>
    <w:p w14:paraId="7685DDE7" w14:textId="4023247C" w:rsidR="00777586" w:rsidRDefault="00777586" w:rsidP="00777586">
      <w:r>
        <w:t xml:space="preserve">The estimated installation hours for the heat pump pool heater measure </w:t>
      </w:r>
      <w:r w:rsidR="003412E8">
        <w:t>were</w:t>
      </w:r>
      <w:r>
        <w:t xml:space="preserve"> obtained from </w:t>
      </w:r>
      <w:proofErr w:type="spellStart"/>
      <w:r>
        <w:t>RSMeans</w:t>
      </w:r>
      <w:proofErr w:type="spellEnd"/>
      <w:r>
        <w:t xml:space="preserve"> 2021</w:t>
      </w:r>
      <w:r>
        <w:rPr>
          <w:rStyle w:val="FootnoteReference"/>
        </w:rPr>
        <w:footnoteReference w:id="53"/>
      </w:r>
      <w:r>
        <w:t xml:space="preserve"> and multiplied by the </w:t>
      </w:r>
      <w:proofErr w:type="spellStart"/>
      <w:r>
        <w:t>RSMeans</w:t>
      </w:r>
      <w:proofErr w:type="spellEnd"/>
      <w:r>
        <w:t xml:space="preserve"> 2021 hourly plumber rate ($/</w:t>
      </w:r>
      <w:proofErr w:type="spellStart"/>
      <w:r>
        <w:t>hr</w:t>
      </w:r>
      <w:proofErr w:type="spellEnd"/>
      <w:r>
        <w:t>).</w:t>
      </w:r>
      <w:r>
        <w:rPr>
          <w:rStyle w:val="FootnoteReference"/>
        </w:rPr>
        <w:footnoteReference w:id="54"/>
      </w:r>
      <w:r>
        <w:t xml:space="preserve"> Labor hours for heat pump pools heaters were not specifically </w:t>
      </w:r>
      <w:r w:rsidR="000A1D89">
        <w:t xml:space="preserve">provided in </w:t>
      </w:r>
      <w:proofErr w:type="spellStart"/>
      <w:r w:rsidR="000A1D89">
        <w:t>RSMeans</w:t>
      </w:r>
      <w:proofErr w:type="spellEnd"/>
      <w:r w:rsidR="000A1D89">
        <w:t xml:space="preserve"> </w:t>
      </w:r>
      <w:r>
        <w:t xml:space="preserve">so the hours for the natural gas pool heaters were used. The </w:t>
      </w:r>
      <w:proofErr w:type="spellStart"/>
      <w:r>
        <w:t>RSMeans</w:t>
      </w:r>
      <w:proofErr w:type="spellEnd"/>
      <w:r>
        <w:t xml:space="preserve"> description of the labor for the natural gas pool heaters excludes any wiring or piping that would differentiate heat pump from the natural gas </w:t>
      </w:r>
      <w:proofErr w:type="gramStart"/>
      <w:r>
        <w:t>heater</w:t>
      </w:r>
      <w:proofErr w:type="gramEnd"/>
      <w:r>
        <w:t xml:space="preserve"> so the same cost is assumed to be applicable. </w:t>
      </w:r>
    </w:p>
    <w:p w14:paraId="1414150A" w14:textId="77777777" w:rsidR="00AB7DBC" w:rsidRPr="00425FAA" w:rsidRDefault="00AB7DBC" w:rsidP="003D6E3D">
      <w:pPr>
        <w:rPr>
          <w:rFonts w:cs="Arial"/>
          <w:szCs w:val="22"/>
        </w:rPr>
      </w:pPr>
    </w:p>
    <w:p w14:paraId="050D9183" w14:textId="7ABF5C13" w:rsidR="007D230B" w:rsidRPr="004B06E3" w:rsidRDefault="004B06E3" w:rsidP="004F3F32">
      <w:pPr>
        <w:pStyle w:val="eTRMHeading3"/>
      </w:pPr>
      <w:bookmarkStart w:id="64" w:name="_Toc486490863"/>
      <w:bookmarkStart w:id="65" w:name="_Toc486580934"/>
      <w:bookmarkStart w:id="66" w:name="_Toc67427730"/>
      <w:r>
        <w:t>Net-to-Gross</w:t>
      </w:r>
      <w:bookmarkEnd w:id="64"/>
      <w:bookmarkEnd w:id="65"/>
      <w:r w:rsidR="008D4652">
        <w:t xml:space="preserve"> (NTG)</w:t>
      </w:r>
      <w:bookmarkEnd w:id="66"/>
    </w:p>
    <w:p w14:paraId="68D32054" w14:textId="77777777" w:rsidR="00EC1831" w:rsidRDefault="00EC1831" w:rsidP="00EC1831">
      <w:pPr>
        <w:rPr>
          <w:szCs w:val="22"/>
        </w:rPr>
      </w:pPr>
      <w:r w:rsidRPr="00F7114F">
        <w:rPr>
          <w:szCs w:val="22"/>
        </w:rPr>
        <w:t xml:space="preserve">The net-to-gross (NTG) ratio represents the portion of gross impacts that are determined to be directly attributed to a specific program intervention. Based on the CPUC’s Fuel Substitution Technical Guidance for Energy </w:t>
      </w:r>
      <w:r>
        <w:rPr>
          <w:rFonts w:cs="Calibri Light"/>
        </w:rPr>
        <w:t>Efficiency</w:t>
      </w:r>
      <w:r>
        <w:rPr>
          <w:rStyle w:val="FootnoteReference"/>
          <w:rFonts w:cs="Calibri Light"/>
        </w:rPr>
        <w:footnoteReference w:id="55"/>
      </w:r>
      <w:r>
        <w:rPr>
          <w:rFonts w:cs="Calibri Light"/>
        </w:rPr>
        <w:t xml:space="preserve"> </w:t>
      </w:r>
      <w:r w:rsidRPr="00F7114F">
        <w:rPr>
          <w:szCs w:val="22"/>
        </w:rPr>
        <w:t>document, the value below should be used for fuel substitution measures until further data is available.</w:t>
      </w:r>
    </w:p>
    <w:p w14:paraId="2BFA5A79" w14:textId="79B0BDD6" w:rsidR="00087C53" w:rsidRPr="00087C53" w:rsidRDefault="00087C53">
      <w:pPr>
        <w:pStyle w:val="Caption"/>
      </w:pPr>
      <w:r w:rsidRPr="00087C53">
        <w:t xml:space="preserve">NTGR Ratios </w:t>
      </w:r>
    </w:p>
    <w:tbl>
      <w:tblPr>
        <w:tblW w:w="962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245"/>
        <w:gridCol w:w="1080"/>
        <w:gridCol w:w="6300"/>
      </w:tblGrid>
      <w:tr w:rsidR="00AA3E2A" w:rsidRPr="00B022D8" w14:paraId="0D2B92AF" w14:textId="662FBAEE" w:rsidTr="000A1D89">
        <w:trPr>
          <w:cantSplit/>
          <w:trHeight w:val="20"/>
        </w:trPr>
        <w:tc>
          <w:tcPr>
            <w:tcW w:w="2245" w:type="dxa"/>
            <w:shd w:val="clear" w:color="000000" w:fill="F2F2F2" w:themeFill="background1" w:themeFillShade="F2"/>
            <w:vAlign w:val="bottom"/>
          </w:tcPr>
          <w:p w14:paraId="2A033AD8" w14:textId="3B553F77" w:rsidR="00AA3E2A" w:rsidRPr="00B022D8" w:rsidRDefault="00177EB6" w:rsidP="006D6644">
            <w:pPr>
              <w:keepNext/>
              <w:keepLines/>
              <w:spacing w:before="0" w:after="0" w:line="200" w:lineRule="atLeast"/>
              <w:jc w:val="center"/>
              <w:rPr>
                <w:rFonts w:cs="Arial"/>
                <w:b/>
                <w:color w:val="000000"/>
                <w:sz w:val="20"/>
                <w:szCs w:val="20"/>
              </w:rPr>
            </w:pPr>
            <w:r w:rsidRPr="00B022D8">
              <w:rPr>
                <w:rFonts w:cs="Arial"/>
                <w:b/>
                <w:color w:val="000000"/>
                <w:sz w:val="20"/>
                <w:szCs w:val="20"/>
              </w:rPr>
              <w:t>Parameter</w:t>
            </w:r>
          </w:p>
        </w:tc>
        <w:tc>
          <w:tcPr>
            <w:tcW w:w="1080" w:type="dxa"/>
            <w:shd w:val="clear" w:color="000000" w:fill="F2F2F2" w:themeFill="background1" w:themeFillShade="F2"/>
            <w:vAlign w:val="bottom"/>
          </w:tcPr>
          <w:p w14:paraId="547E5263" w14:textId="4D6989E1" w:rsidR="00AA3E2A" w:rsidRPr="00B022D8" w:rsidRDefault="00177EB6" w:rsidP="006D6644">
            <w:pPr>
              <w:keepNext/>
              <w:keepLines/>
              <w:spacing w:before="0" w:after="0" w:line="200" w:lineRule="atLeast"/>
              <w:jc w:val="center"/>
              <w:rPr>
                <w:rFonts w:cs="Arial"/>
                <w:b/>
                <w:color w:val="000000"/>
                <w:sz w:val="20"/>
                <w:szCs w:val="20"/>
              </w:rPr>
            </w:pPr>
            <w:r w:rsidRPr="00B022D8">
              <w:rPr>
                <w:rFonts w:cs="Arial"/>
                <w:b/>
                <w:color w:val="000000"/>
                <w:sz w:val="20"/>
                <w:szCs w:val="20"/>
              </w:rPr>
              <w:t>Value</w:t>
            </w:r>
          </w:p>
        </w:tc>
        <w:tc>
          <w:tcPr>
            <w:tcW w:w="6300" w:type="dxa"/>
            <w:shd w:val="clear" w:color="000000" w:fill="F2F2F2" w:themeFill="background1" w:themeFillShade="F2"/>
          </w:tcPr>
          <w:p w14:paraId="50233CF6" w14:textId="0C7F65AC" w:rsidR="00AA3E2A" w:rsidRPr="00B022D8" w:rsidRDefault="00AA3E2A" w:rsidP="006D6644">
            <w:pPr>
              <w:keepNext/>
              <w:keepLines/>
              <w:spacing w:before="0" w:after="0" w:line="200" w:lineRule="atLeast"/>
              <w:jc w:val="center"/>
              <w:rPr>
                <w:rFonts w:cs="Arial"/>
                <w:b/>
                <w:color w:val="000000"/>
                <w:sz w:val="20"/>
                <w:szCs w:val="20"/>
              </w:rPr>
            </w:pPr>
            <w:r w:rsidRPr="00B022D8">
              <w:rPr>
                <w:rFonts w:cs="Arial"/>
                <w:b/>
                <w:color w:val="000000"/>
                <w:sz w:val="20"/>
                <w:szCs w:val="20"/>
              </w:rPr>
              <w:t>Source</w:t>
            </w:r>
          </w:p>
        </w:tc>
      </w:tr>
      <w:tr w:rsidR="008578E4" w:rsidRPr="00B022D8" w14:paraId="682BF062" w14:textId="72E696E9" w:rsidTr="000A1D89">
        <w:trPr>
          <w:cantSplit/>
          <w:trHeight w:val="20"/>
        </w:trPr>
        <w:tc>
          <w:tcPr>
            <w:tcW w:w="2245" w:type="dxa"/>
            <w:vAlign w:val="center"/>
          </w:tcPr>
          <w:p w14:paraId="5BA6FA92" w14:textId="1271CA14" w:rsidR="008578E4" w:rsidRPr="00D262BE" w:rsidRDefault="008578E4" w:rsidP="008578E4">
            <w:pPr>
              <w:keepNext/>
              <w:keepLines/>
              <w:spacing w:before="0" w:after="0" w:line="200" w:lineRule="atLeast"/>
              <w:rPr>
                <w:rFonts w:cstheme="minorHAnsi"/>
                <w:sz w:val="20"/>
                <w:szCs w:val="20"/>
              </w:rPr>
            </w:pPr>
            <w:r w:rsidRPr="00D262BE">
              <w:rPr>
                <w:rFonts w:cstheme="minorHAnsi"/>
                <w:sz w:val="20"/>
                <w:szCs w:val="20"/>
              </w:rPr>
              <w:t xml:space="preserve">NTG – </w:t>
            </w:r>
            <w:proofErr w:type="spellStart"/>
            <w:r w:rsidRPr="00D262BE">
              <w:rPr>
                <w:rFonts w:cstheme="minorHAnsi"/>
                <w:sz w:val="20"/>
                <w:szCs w:val="20"/>
              </w:rPr>
              <w:t>FuelSubst</w:t>
            </w:r>
            <w:proofErr w:type="spellEnd"/>
            <w:r w:rsidRPr="00D262BE">
              <w:rPr>
                <w:rFonts w:cstheme="minorHAnsi"/>
                <w:sz w:val="20"/>
                <w:szCs w:val="20"/>
              </w:rPr>
              <w:t>-Default</w:t>
            </w:r>
          </w:p>
        </w:tc>
        <w:tc>
          <w:tcPr>
            <w:tcW w:w="1080" w:type="dxa"/>
            <w:shd w:val="clear" w:color="auto" w:fill="auto"/>
            <w:noWrap/>
            <w:vAlign w:val="center"/>
          </w:tcPr>
          <w:p w14:paraId="62F18FF1" w14:textId="782FC9C7" w:rsidR="008578E4" w:rsidRPr="00D262BE" w:rsidRDefault="008578E4" w:rsidP="008578E4">
            <w:pPr>
              <w:keepNext/>
              <w:keepLines/>
              <w:spacing w:before="0" w:after="0" w:line="200" w:lineRule="atLeast"/>
              <w:jc w:val="center"/>
              <w:rPr>
                <w:sz w:val="20"/>
                <w:szCs w:val="20"/>
              </w:rPr>
            </w:pPr>
            <w:r w:rsidRPr="00D262BE">
              <w:rPr>
                <w:sz w:val="20"/>
                <w:szCs w:val="20"/>
              </w:rPr>
              <w:t>1.0</w:t>
            </w:r>
          </w:p>
        </w:tc>
        <w:tc>
          <w:tcPr>
            <w:tcW w:w="6300" w:type="dxa"/>
            <w:vAlign w:val="center"/>
          </w:tcPr>
          <w:p w14:paraId="7039FB17" w14:textId="77777777" w:rsidR="008578E4" w:rsidRPr="00E30871" w:rsidRDefault="008578E4" w:rsidP="008578E4">
            <w:pPr>
              <w:keepNext/>
              <w:keepLines/>
              <w:spacing w:before="20" w:after="20"/>
              <w:rPr>
                <w:sz w:val="18"/>
              </w:rPr>
            </w:pPr>
            <w:r w:rsidRPr="00E30871">
              <w:rPr>
                <w:sz w:val="18"/>
              </w:rPr>
              <w:t>California Public Utilities Commission. 2019. Decision 19-06-008. And</w:t>
            </w:r>
          </w:p>
          <w:p w14:paraId="133857EB" w14:textId="7B6287B4" w:rsidR="008578E4" w:rsidRPr="00E91072" w:rsidRDefault="008578E4" w:rsidP="008578E4">
            <w:pPr>
              <w:rPr>
                <w:sz w:val="18"/>
                <w:szCs w:val="18"/>
              </w:rPr>
            </w:pPr>
            <w:r w:rsidRPr="00E30871">
              <w:rPr>
                <w:sz w:val="18"/>
              </w:rPr>
              <w:t xml:space="preserve">California Public Utilities Commission. 2019. Fuel Substitution Technical Guidance for Energy Efficiency. </w:t>
            </w:r>
          </w:p>
        </w:tc>
      </w:tr>
    </w:tbl>
    <w:p w14:paraId="46BD0BB0" w14:textId="5D7637BA" w:rsidR="0000521D" w:rsidRDefault="0000521D" w:rsidP="004142EF"/>
    <w:p w14:paraId="323B5B02" w14:textId="4C4B13DC" w:rsidR="007D230B" w:rsidRPr="004B06E3" w:rsidRDefault="00D02C36" w:rsidP="004F3F32">
      <w:pPr>
        <w:pStyle w:val="eTRMHeading3"/>
      </w:pPr>
      <w:bookmarkStart w:id="67" w:name="_Toc486490864"/>
      <w:bookmarkStart w:id="68" w:name="_Toc486580935"/>
      <w:bookmarkStart w:id="69" w:name="_Toc67427731"/>
      <w:r>
        <w:t>Gross Savings Installation Adjustment (</w:t>
      </w:r>
      <w:r w:rsidR="007D230B" w:rsidRPr="004B06E3">
        <w:t>GSIA</w:t>
      </w:r>
      <w:bookmarkEnd w:id="67"/>
      <w:bookmarkEnd w:id="68"/>
      <w:r>
        <w:t>)</w:t>
      </w:r>
      <w:bookmarkEnd w:id="69"/>
    </w:p>
    <w:p w14:paraId="2A1F1C17" w14:textId="229F04AB" w:rsidR="007D230B" w:rsidRPr="00485834" w:rsidRDefault="00AA3E2A" w:rsidP="004142EF">
      <w:pPr>
        <w:rPr>
          <w:rFonts w:cs="Arial"/>
        </w:rPr>
      </w:pPr>
      <w:r w:rsidRPr="00AD00D3">
        <w:t xml:space="preserve">The </w:t>
      </w:r>
      <w:r>
        <w:t xml:space="preserve">gross savings </w:t>
      </w:r>
      <w:r w:rsidRPr="00AD00D3">
        <w:t xml:space="preserve">installation </w:t>
      </w:r>
      <w:r>
        <w:t xml:space="preserve">adjustment (GSIA) rate </w:t>
      </w:r>
      <w:r w:rsidRPr="00AD00D3">
        <w:t xml:space="preserve">represents the ratio of the number of verified installations of the measure to the number of claimed installations </w:t>
      </w:r>
      <w:r>
        <w:t>reported</w:t>
      </w:r>
      <w:r w:rsidRPr="00AD00D3">
        <w:t xml:space="preserve"> by the utility. </w:t>
      </w:r>
      <w:r>
        <w:t>This factor</w:t>
      </w:r>
      <w:r w:rsidRPr="00AD00D3">
        <w:t xml:space="preserve"> </w:t>
      </w:r>
      <w:r w:rsidRPr="00AD00D3">
        <w:lastRenderedPageBreak/>
        <w:t>varies by end use, sector, technology, application, and delivery method.</w:t>
      </w:r>
      <w:r>
        <w:t xml:space="preserve"> </w:t>
      </w:r>
      <w:bookmarkStart w:id="70" w:name="_Hlk505693433"/>
      <w:r w:rsidR="00485834">
        <w:t>This GSIA rate is the current “default” rate specified for measures for which an alternative GSIA has not been estimated and approved.</w:t>
      </w:r>
      <w:bookmarkEnd w:id="70"/>
    </w:p>
    <w:p w14:paraId="022915CE" w14:textId="7749664A" w:rsidR="00DE1A0F" w:rsidRPr="0059426D" w:rsidRDefault="00AA2841">
      <w:pPr>
        <w:pStyle w:val="Caption"/>
      </w:pPr>
      <w:r>
        <w:t>Gross Savings</w:t>
      </w:r>
      <w:r w:rsidR="00DE1A0F">
        <w:t xml:space="preserve"> Installation </w:t>
      </w:r>
      <w:r>
        <w:t xml:space="preserve">Adjustment </w:t>
      </w:r>
    </w:p>
    <w:tbl>
      <w:tblPr>
        <w:tblW w:w="935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066"/>
        <w:gridCol w:w="1618"/>
        <w:gridCol w:w="5671"/>
      </w:tblGrid>
      <w:tr w:rsidR="00AA3E2A" w:rsidRPr="0059426D" w14:paraId="60BDA2BB" w14:textId="744FC0FC" w:rsidTr="00AA2841">
        <w:trPr>
          <w:cantSplit/>
          <w:trHeight w:val="20"/>
        </w:trPr>
        <w:tc>
          <w:tcPr>
            <w:tcW w:w="1104" w:type="pct"/>
            <w:shd w:val="clear" w:color="000000" w:fill="F2F2F2" w:themeFill="background1" w:themeFillShade="F2"/>
            <w:vAlign w:val="bottom"/>
          </w:tcPr>
          <w:p w14:paraId="7D363CC0" w14:textId="709302B7" w:rsidR="00AA3E2A" w:rsidRPr="0059426D" w:rsidRDefault="00177EB6" w:rsidP="00F8464D">
            <w:pPr>
              <w:keepNext/>
              <w:keepLines/>
              <w:spacing w:before="0" w:after="0" w:line="200" w:lineRule="atLeast"/>
              <w:jc w:val="center"/>
              <w:rPr>
                <w:rFonts w:cs="Arial"/>
                <w:b/>
                <w:color w:val="000000"/>
                <w:sz w:val="20"/>
                <w:szCs w:val="20"/>
              </w:rPr>
            </w:pPr>
            <w:r>
              <w:rPr>
                <w:rFonts w:cs="Arial"/>
                <w:b/>
                <w:color w:val="000000"/>
                <w:sz w:val="20"/>
                <w:szCs w:val="20"/>
              </w:rPr>
              <w:t>Parameter</w:t>
            </w:r>
          </w:p>
        </w:tc>
        <w:tc>
          <w:tcPr>
            <w:tcW w:w="865" w:type="pct"/>
            <w:shd w:val="clear" w:color="000000" w:fill="F2F2F2" w:themeFill="background1" w:themeFillShade="F2"/>
            <w:vAlign w:val="center"/>
          </w:tcPr>
          <w:p w14:paraId="2A1AC9D4" w14:textId="3263DC2B" w:rsidR="00AA3E2A" w:rsidRPr="0059426D" w:rsidRDefault="00AA3E2A" w:rsidP="00F8464D">
            <w:pPr>
              <w:keepNext/>
              <w:keepLines/>
              <w:spacing w:before="0" w:after="0" w:line="200" w:lineRule="atLeast"/>
              <w:jc w:val="center"/>
              <w:rPr>
                <w:rFonts w:cs="Arial"/>
                <w:b/>
                <w:color w:val="000000"/>
                <w:sz w:val="20"/>
                <w:szCs w:val="20"/>
              </w:rPr>
            </w:pPr>
            <w:r w:rsidRPr="00D02DA8">
              <w:rPr>
                <w:rFonts w:cs="Arial"/>
                <w:b/>
                <w:sz w:val="20"/>
                <w:szCs w:val="20"/>
              </w:rPr>
              <w:t>GSIA</w:t>
            </w:r>
            <w:r>
              <w:rPr>
                <w:rFonts w:cs="Arial"/>
                <w:b/>
                <w:sz w:val="20"/>
                <w:szCs w:val="20"/>
              </w:rPr>
              <w:t xml:space="preserve"> </w:t>
            </w:r>
          </w:p>
        </w:tc>
        <w:tc>
          <w:tcPr>
            <w:tcW w:w="3030" w:type="pct"/>
            <w:shd w:val="clear" w:color="000000" w:fill="F2F2F2" w:themeFill="background1" w:themeFillShade="F2"/>
          </w:tcPr>
          <w:p w14:paraId="32AB7FEE" w14:textId="77936D4E" w:rsidR="00AA3E2A" w:rsidRPr="00D02DA8" w:rsidRDefault="00AA3E2A" w:rsidP="00F8464D">
            <w:pPr>
              <w:keepNext/>
              <w:keepLines/>
              <w:spacing w:before="0" w:after="0" w:line="200" w:lineRule="atLeast"/>
              <w:jc w:val="center"/>
              <w:rPr>
                <w:rFonts w:cs="Arial"/>
                <w:b/>
                <w:sz w:val="20"/>
                <w:szCs w:val="20"/>
              </w:rPr>
            </w:pPr>
            <w:r>
              <w:rPr>
                <w:rFonts w:cs="Arial"/>
                <w:b/>
                <w:sz w:val="20"/>
                <w:szCs w:val="20"/>
              </w:rPr>
              <w:t>Source</w:t>
            </w:r>
          </w:p>
        </w:tc>
      </w:tr>
      <w:tr w:rsidR="00AA3E2A" w:rsidRPr="0059426D" w14:paraId="2209CD52" w14:textId="78579504" w:rsidTr="00594142">
        <w:trPr>
          <w:cantSplit/>
          <w:trHeight w:val="20"/>
        </w:trPr>
        <w:tc>
          <w:tcPr>
            <w:tcW w:w="1104" w:type="pct"/>
            <w:vAlign w:val="center"/>
          </w:tcPr>
          <w:p w14:paraId="6618BC2B" w14:textId="5ADBCA04" w:rsidR="00AA3E2A" w:rsidRPr="0059426D" w:rsidRDefault="00177EB6" w:rsidP="00594142">
            <w:pPr>
              <w:keepNext/>
              <w:keepLines/>
              <w:spacing w:before="0" w:after="0" w:line="200" w:lineRule="atLeast"/>
              <w:rPr>
                <w:rFonts w:cstheme="minorHAnsi"/>
                <w:sz w:val="20"/>
                <w:szCs w:val="20"/>
              </w:rPr>
            </w:pPr>
            <w:r>
              <w:rPr>
                <w:rFonts w:cstheme="minorHAnsi"/>
                <w:sz w:val="20"/>
                <w:szCs w:val="20"/>
              </w:rPr>
              <w:t xml:space="preserve">GSIA - </w:t>
            </w:r>
            <w:r w:rsidR="00485834">
              <w:rPr>
                <w:rFonts w:cstheme="minorHAnsi"/>
                <w:sz w:val="20"/>
                <w:szCs w:val="20"/>
              </w:rPr>
              <w:t>Default</w:t>
            </w:r>
          </w:p>
        </w:tc>
        <w:tc>
          <w:tcPr>
            <w:tcW w:w="865" w:type="pct"/>
            <w:vAlign w:val="center"/>
          </w:tcPr>
          <w:p w14:paraId="6D1D8F27" w14:textId="53124B47" w:rsidR="00AA3E2A" w:rsidRPr="00AA2841" w:rsidRDefault="00485834" w:rsidP="00F8464D">
            <w:pPr>
              <w:keepNext/>
              <w:keepLines/>
              <w:spacing w:before="0" w:after="0" w:line="200" w:lineRule="atLeast"/>
              <w:jc w:val="center"/>
              <w:rPr>
                <w:sz w:val="20"/>
                <w:szCs w:val="20"/>
              </w:rPr>
            </w:pPr>
            <w:r w:rsidRPr="00AA2841">
              <w:rPr>
                <w:sz w:val="20"/>
                <w:szCs w:val="20"/>
              </w:rPr>
              <w:t>1</w:t>
            </w:r>
            <w:r w:rsidR="00AA3E2A" w:rsidRPr="00AA2841">
              <w:rPr>
                <w:sz w:val="20"/>
                <w:szCs w:val="20"/>
              </w:rPr>
              <w:t>.</w:t>
            </w:r>
            <w:r w:rsidRPr="00AA2841">
              <w:rPr>
                <w:sz w:val="20"/>
                <w:szCs w:val="20"/>
              </w:rPr>
              <w:t>00</w:t>
            </w:r>
          </w:p>
        </w:tc>
        <w:tc>
          <w:tcPr>
            <w:tcW w:w="3030" w:type="pct"/>
          </w:tcPr>
          <w:p w14:paraId="52FCA633" w14:textId="43525B48" w:rsidR="00AA3E2A" w:rsidRPr="00BB4F22" w:rsidRDefault="00485834" w:rsidP="00F8464D">
            <w:pPr>
              <w:keepNext/>
              <w:keepLines/>
              <w:spacing w:before="0" w:after="0" w:line="200" w:lineRule="atLeast"/>
              <w:rPr>
                <w:color w:val="FF0000"/>
                <w:sz w:val="20"/>
                <w:szCs w:val="20"/>
              </w:rPr>
            </w:pPr>
            <w:r w:rsidRPr="00297B33">
              <w:rPr>
                <w:rFonts w:eastAsia="Times New Roman" w:cs="Times New Roman"/>
                <w:color w:val="000000"/>
                <w:sz w:val="18"/>
                <w:szCs w:val="18"/>
              </w:rPr>
              <w:t xml:space="preserve">California Public Utilities Commission (CPUC), Energy Division. 2013. </w:t>
            </w:r>
            <w:r w:rsidRPr="00297B33">
              <w:rPr>
                <w:rFonts w:eastAsia="Times New Roman" w:cs="Times New Roman"/>
                <w:i/>
                <w:color w:val="000000"/>
                <w:sz w:val="18"/>
                <w:szCs w:val="18"/>
              </w:rPr>
              <w:t>Energy Efficiency Policy Manual Version 5</w:t>
            </w:r>
            <w:r w:rsidRPr="00297B33">
              <w:rPr>
                <w:rFonts w:eastAsia="Times New Roman" w:cs="Times New Roman"/>
                <w:color w:val="000000"/>
                <w:sz w:val="18"/>
                <w:szCs w:val="18"/>
              </w:rPr>
              <w:t>.</w:t>
            </w:r>
            <w:r>
              <w:rPr>
                <w:rFonts w:eastAsia="Times New Roman" w:cs="Times New Roman"/>
                <w:color w:val="000000"/>
                <w:sz w:val="18"/>
                <w:szCs w:val="18"/>
              </w:rPr>
              <w:t xml:space="preserve"> Page 31.</w:t>
            </w:r>
          </w:p>
        </w:tc>
      </w:tr>
    </w:tbl>
    <w:p w14:paraId="08395124" w14:textId="77777777" w:rsidR="00DE1A0F" w:rsidRDefault="00DE1A0F" w:rsidP="00DE1A0F">
      <w:pPr>
        <w:rPr>
          <w:rFonts w:cs="Arial"/>
          <w:sz w:val="20"/>
          <w:szCs w:val="20"/>
        </w:rPr>
      </w:pPr>
    </w:p>
    <w:p w14:paraId="498C05E5" w14:textId="232D8547" w:rsidR="002C67DF" w:rsidRPr="004B06E3" w:rsidRDefault="002C67DF" w:rsidP="004F3F32">
      <w:pPr>
        <w:pStyle w:val="eTRMHeading3"/>
      </w:pPr>
      <w:bookmarkStart w:id="71" w:name="_Toc486490865"/>
      <w:bookmarkStart w:id="72" w:name="_Toc486580936"/>
      <w:bookmarkStart w:id="73" w:name="_Toc67427732"/>
      <w:r w:rsidRPr="004B06E3">
        <w:t xml:space="preserve">Non-Energy </w:t>
      </w:r>
      <w:bookmarkEnd w:id="71"/>
      <w:bookmarkEnd w:id="72"/>
      <w:r w:rsidR="00DA6B7E">
        <w:t>Impacts</w:t>
      </w:r>
      <w:bookmarkEnd w:id="73"/>
    </w:p>
    <w:p w14:paraId="0D73FC70" w14:textId="27339D17" w:rsidR="00697A88" w:rsidRDefault="00697A88" w:rsidP="004A2CEE">
      <w:r>
        <w:t xml:space="preserve">Non-energy benefits for this measure have not been </w:t>
      </w:r>
      <w:r w:rsidR="009D7F4D">
        <w:t>quantified</w:t>
      </w:r>
      <w:r>
        <w:t>.</w:t>
      </w:r>
    </w:p>
    <w:p w14:paraId="0C37F289" w14:textId="77777777" w:rsidR="00697A88" w:rsidRDefault="00697A88" w:rsidP="004142EF"/>
    <w:p w14:paraId="7D8551BB" w14:textId="760F7D39" w:rsidR="009C31A4" w:rsidRPr="004B06E3" w:rsidRDefault="009C31A4" w:rsidP="004F3F32">
      <w:pPr>
        <w:pStyle w:val="eTRMHeading3"/>
      </w:pPr>
      <w:bookmarkStart w:id="74" w:name="_Toc67427733"/>
      <w:r>
        <w:t>DEER Differences Analysis</w:t>
      </w:r>
      <w:bookmarkEnd w:id="74"/>
    </w:p>
    <w:p w14:paraId="575E579E" w14:textId="3F2BF71B" w:rsidR="002C67DF" w:rsidRDefault="003F21D2" w:rsidP="004142EF">
      <w:r>
        <w:t>This section provides a summary of inputs and methods</w:t>
      </w:r>
      <w:r w:rsidR="008A3163">
        <w:t xml:space="preserve"> based upon the Database of Energy Efficient Resources (DEER)</w:t>
      </w:r>
      <w:r>
        <w:t>, and the rationale for inputs and methods that are not DEER-based.</w:t>
      </w:r>
    </w:p>
    <w:p w14:paraId="756C62FB" w14:textId="70A8FF6C" w:rsidR="00EA057C" w:rsidRPr="00920905" w:rsidRDefault="00EA057C">
      <w:pPr>
        <w:pStyle w:val="Caption"/>
      </w:pPr>
      <w:r w:rsidRPr="00920905">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EA057C" w:rsidRPr="00500C4E" w14:paraId="59D017C8" w14:textId="77777777" w:rsidTr="00EA057C">
        <w:trPr>
          <w:trHeight w:val="20"/>
        </w:trPr>
        <w:tc>
          <w:tcPr>
            <w:tcW w:w="1730" w:type="pct"/>
            <w:shd w:val="clear" w:color="auto" w:fill="F2F2F2" w:themeFill="background1" w:themeFillShade="F2"/>
          </w:tcPr>
          <w:p w14:paraId="5A1E2CE5" w14:textId="77777777" w:rsidR="00EA057C" w:rsidRPr="00EA057C" w:rsidRDefault="00EA057C" w:rsidP="005710BF">
            <w:pPr>
              <w:tabs>
                <w:tab w:val="right" w:pos="2957"/>
              </w:tabs>
              <w:spacing w:before="20" w:after="20"/>
              <w:rPr>
                <w:rFonts w:cs="Arial"/>
                <w:b/>
                <w:sz w:val="20"/>
                <w:szCs w:val="20"/>
              </w:rPr>
            </w:pPr>
            <w:r w:rsidRPr="00EA057C">
              <w:rPr>
                <w:rFonts w:cs="Arial"/>
                <w:b/>
                <w:sz w:val="20"/>
                <w:szCs w:val="20"/>
              </w:rPr>
              <w:t>DEER Item</w:t>
            </w:r>
          </w:p>
        </w:tc>
        <w:tc>
          <w:tcPr>
            <w:tcW w:w="3270" w:type="pct"/>
            <w:shd w:val="clear" w:color="auto" w:fill="F2F2F2" w:themeFill="background1" w:themeFillShade="F2"/>
          </w:tcPr>
          <w:p w14:paraId="52AD34D1" w14:textId="2633ACD5" w:rsidR="00EA057C" w:rsidRPr="00EA057C" w:rsidRDefault="00EA057C" w:rsidP="005710BF">
            <w:pPr>
              <w:spacing w:before="20" w:after="20"/>
              <w:rPr>
                <w:rFonts w:cs="Arial"/>
                <w:b/>
                <w:sz w:val="20"/>
                <w:szCs w:val="20"/>
              </w:rPr>
            </w:pPr>
            <w:r>
              <w:rPr>
                <w:rFonts w:cs="Arial"/>
                <w:b/>
                <w:sz w:val="20"/>
                <w:szCs w:val="20"/>
              </w:rPr>
              <w:t xml:space="preserve">Comment </w:t>
            </w:r>
          </w:p>
        </w:tc>
      </w:tr>
      <w:tr w:rsidR="002E714C" w:rsidRPr="00500C4E" w14:paraId="33003020" w14:textId="77777777" w:rsidTr="00EA057C">
        <w:trPr>
          <w:trHeight w:val="20"/>
        </w:trPr>
        <w:tc>
          <w:tcPr>
            <w:tcW w:w="1730" w:type="pct"/>
          </w:tcPr>
          <w:p w14:paraId="1F2D360A" w14:textId="77777777" w:rsidR="002E714C" w:rsidRPr="00EA057C" w:rsidRDefault="002E714C" w:rsidP="005710BF">
            <w:pPr>
              <w:spacing w:before="20" w:after="20"/>
              <w:rPr>
                <w:rFonts w:cs="Arial"/>
                <w:sz w:val="20"/>
                <w:szCs w:val="20"/>
              </w:rPr>
            </w:pPr>
            <w:r w:rsidRPr="00EA057C">
              <w:rPr>
                <w:rFonts w:cs="Arial"/>
                <w:sz w:val="20"/>
                <w:szCs w:val="20"/>
              </w:rPr>
              <w:t>Modified DEER methodology</w:t>
            </w:r>
          </w:p>
        </w:tc>
        <w:tc>
          <w:tcPr>
            <w:tcW w:w="3270" w:type="pct"/>
          </w:tcPr>
          <w:p w14:paraId="247EE411" w14:textId="25C82AE1" w:rsidR="002E714C" w:rsidRPr="00594142" w:rsidRDefault="008E693F" w:rsidP="005710BF">
            <w:pPr>
              <w:spacing w:before="20" w:after="20"/>
              <w:rPr>
                <w:rFonts w:cs="Arial"/>
                <w:sz w:val="20"/>
                <w:szCs w:val="20"/>
              </w:rPr>
            </w:pPr>
            <w:r>
              <w:rPr>
                <w:rFonts w:cs="Arial"/>
                <w:sz w:val="20"/>
                <w:szCs w:val="20"/>
              </w:rPr>
              <w:t>No</w:t>
            </w:r>
          </w:p>
        </w:tc>
      </w:tr>
      <w:tr w:rsidR="002E714C" w:rsidRPr="00500C4E" w14:paraId="507422EA" w14:textId="77777777" w:rsidTr="00EA057C">
        <w:trPr>
          <w:trHeight w:val="20"/>
        </w:trPr>
        <w:tc>
          <w:tcPr>
            <w:tcW w:w="1730" w:type="pct"/>
          </w:tcPr>
          <w:p w14:paraId="29430E33" w14:textId="77777777" w:rsidR="002E714C" w:rsidRPr="00EA057C" w:rsidRDefault="002E714C" w:rsidP="005710BF">
            <w:pPr>
              <w:spacing w:before="20" w:after="20"/>
              <w:rPr>
                <w:rFonts w:cs="Arial"/>
                <w:sz w:val="20"/>
                <w:szCs w:val="20"/>
              </w:rPr>
            </w:pPr>
            <w:r w:rsidRPr="00EA057C">
              <w:rPr>
                <w:rFonts w:cs="Arial"/>
                <w:sz w:val="20"/>
                <w:szCs w:val="20"/>
              </w:rPr>
              <w:t>Scaled DEER measure</w:t>
            </w:r>
          </w:p>
        </w:tc>
        <w:tc>
          <w:tcPr>
            <w:tcW w:w="3270" w:type="pct"/>
          </w:tcPr>
          <w:p w14:paraId="0C847473" w14:textId="28F5C683" w:rsidR="002E714C" w:rsidRPr="00594142" w:rsidRDefault="008E693F" w:rsidP="005710BF">
            <w:pPr>
              <w:spacing w:before="20" w:after="20"/>
              <w:rPr>
                <w:rFonts w:cs="Arial"/>
                <w:sz w:val="20"/>
                <w:szCs w:val="20"/>
              </w:rPr>
            </w:pPr>
            <w:r>
              <w:rPr>
                <w:rFonts w:cs="Arial"/>
                <w:sz w:val="20"/>
                <w:szCs w:val="20"/>
              </w:rPr>
              <w:t>No</w:t>
            </w:r>
          </w:p>
        </w:tc>
      </w:tr>
      <w:tr w:rsidR="002E714C" w:rsidRPr="00500C4E" w14:paraId="335CDE40" w14:textId="77777777" w:rsidTr="00EA057C">
        <w:trPr>
          <w:trHeight w:val="20"/>
        </w:trPr>
        <w:tc>
          <w:tcPr>
            <w:tcW w:w="1730" w:type="pct"/>
          </w:tcPr>
          <w:p w14:paraId="126C3B42" w14:textId="77777777" w:rsidR="002E714C" w:rsidRPr="00EA057C" w:rsidRDefault="002E714C" w:rsidP="005710BF">
            <w:pPr>
              <w:spacing w:before="20" w:after="20"/>
              <w:rPr>
                <w:rFonts w:cs="Arial"/>
                <w:sz w:val="20"/>
                <w:szCs w:val="20"/>
              </w:rPr>
            </w:pPr>
            <w:r w:rsidRPr="00EA057C">
              <w:rPr>
                <w:rFonts w:cs="Arial"/>
                <w:sz w:val="20"/>
                <w:szCs w:val="20"/>
              </w:rPr>
              <w:t>DEER Base Case</w:t>
            </w:r>
          </w:p>
        </w:tc>
        <w:tc>
          <w:tcPr>
            <w:tcW w:w="3270" w:type="pct"/>
          </w:tcPr>
          <w:p w14:paraId="5D2A1B0E" w14:textId="77CD5B30" w:rsidR="002E714C" w:rsidRPr="00594142" w:rsidRDefault="008E693F" w:rsidP="005710BF">
            <w:pPr>
              <w:spacing w:before="20" w:after="20"/>
              <w:rPr>
                <w:rFonts w:cs="Arial"/>
                <w:sz w:val="20"/>
                <w:szCs w:val="20"/>
              </w:rPr>
            </w:pPr>
            <w:r>
              <w:rPr>
                <w:rFonts w:cs="Arial"/>
                <w:sz w:val="20"/>
                <w:szCs w:val="20"/>
              </w:rPr>
              <w:t>No</w:t>
            </w:r>
          </w:p>
        </w:tc>
      </w:tr>
      <w:tr w:rsidR="002E714C" w:rsidRPr="00500C4E" w14:paraId="1F8399E1" w14:textId="77777777" w:rsidTr="00EA057C">
        <w:trPr>
          <w:trHeight w:val="20"/>
        </w:trPr>
        <w:tc>
          <w:tcPr>
            <w:tcW w:w="1730" w:type="pct"/>
          </w:tcPr>
          <w:p w14:paraId="0CC701E3" w14:textId="77777777" w:rsidR="002E714C" w:rsidRPr="00EA057C" w:rsidRDefault="002E714C" w:rsidP="005710BF">
            <w:pPr>
              <w:spacing w:before="20" w:after="20"/>
              <w:rPr>
                <w:rFonts w:cs="Arial"/>
                <w:sz w:val="20"/>
                <w:szCs w:val="20"/>
              </w:rPr>
            </w:pPr>
            <w:r w:rsidRPr="00EA057C">
              <w:rPr>
                <w:rFonts w:cs="Arial"/>
                <w:sz w:val="20"/>
                <w:szCs w:val="20"/>
              </w:rPr>
              <w:t>DEER Measure Case</w:t>
            </w:r>
          </w:p>
        </w:tc>
        <w:tc>
          <w:tcPr>
            <w:tcW w:w="3270" w:type="pct"/>
          </w:tcPr>
          <w:p w14:paraId="49A023A0" w14:textId="1C304B35" w:rsidR="002E714C" w:rsidRPr="00594142" w:rsidRDefault="008E693F" w:rsidP="005710BF">
            <w:pPr>
              <w:spacing w:before="20" w:after="20"/>
              <w:rPr>
                <w:rFonts w:cs="Arial"/>
                <w:sz w:val="20"/>
                <w:szCs w:val="20"/>
              </w:rPr>
            </w:pPr>
            <w:r>
              <w:rPr>
                <w:rFonts w:cs="Arial"/>
                <w:sz w:val="20"/>
                <w:szCs w:val="20"/>
              </w:rPr>
              <w:t>No</w:t>
            </w:r>
          </w:p>
        </w:tc>
      </w:tr>
      <w:tr w:rsidR="002E714C" w:rsidRPr="00500C4E" w14:paraId="663742C6" w14:textId="77777777" w:rsidTr="00EA057C">
        <w:trPr>
          <w:trHeight w:val="20"/>
        </w:trPr>
        <w:tc>
          <w:tcPr>
            <w:tcW w:w="1730" w:type="pct"/>
          </w:tcPr>
          <w:p w14:paraId="16B2FDAB" w14:textId="77777777" w:rsidR="002E714C" w:rsidRPr="00EA057C" w:rsidRDefault="002E714C" w:rsidP="005710BF">
            <w:pPr>
              <w:spacing w:before="20" w:after="20"/>
              <w:rPr>
                <w:rFonts w:cs="Arial"/>
                <w:sz w:val="20"/>
                <w:szCs w:val="20"/>
              </w:rPr>
            </w:pPr>
            <w:r w:rsidRPr="00EA057C">
              <w:rPr>
                <w:rFonts w:cs="Arial"/>
                <w:sz w:val="20"/>
                <w:szCs w:val="20"/>
              </w:rPr>
              <w:t>DEER Building Types</w:t>
            </w:r>
          </w:p>
        </w:tc>
        <w:tc>
          <w:tcPr>
            <w:tcW w:w="3270" w:type="pct"/>
          </w:tcPr>
          <w:p w14:paraId="6BBA540C" w14:textId="03C1F305" w:rsidR="002E714C" w:rsidRPr="00594142" w:rsidRDefault="008E693F" w:rsidP="005710BF">
            <w:pPr>
              <w:spacing w:before="20" w:after="20"/>
              <w:rPr>
                <w:rFonts w:cs="Arial"/>
                <w:sz w:val="20"/>
                <w:szCs w:val="20"/>
              </w:rPr>
            </w:pPr>
            <w:r>
              <w:rPr>
                <w:rFonts w:cs="Arial"/>
                <w:sz w:val="20"/>
                <w:szCs w:val="20"/>
              </w:rPr>
              <w:t>No</w:t>
            </w:r>
          </w:p>
        </w:tc>
      </w:tr>
      <w:tr w:rsidR="002E714C" w:rsidRPr="00500C4E" w14:paraId="424F1325" w14:textId="77777777" w:rsidTr="00EA057C">
        <w:trPr>
          <w:trHeight w:val="20"/>
        </w:trPr>
        <w:tc>
          <w:tcPr>
            <w:tcW w:w="1730" w:type="pct"/>
          </w:tcPr>
          <w:p w14:paraId="71098DDA" w14:textId="77777777" w:rsidR="002E714C" w:rsidRPr="00EA057C" w:rsidRDefault="002E714C" w:rsidP="005710BF">
            <w:pPr>
              <w:spacing w:before="20" w:after="20"/>
              <w:rPr>
                <w:rFonts w:cs="Arial"/>
                <w:sz w:val="20"/>
                <w:szCs w:val="20"/>
              </w:rPr>
            </w:pPr>
            <w:r w:rsidRPr="00EA057C">
              <w:rPr>
                <w:rFonts w:cs="Arial"/>
                <w:sz w:val="20"/>
                <w:szCs w:val="20"/>
              </w:rPr>
              <w:t>DEER Operating Hours</w:t>
            </w:r>
          </w:p>
        </w:tc>
        <w:tc>
          <w:tcPr>
            <w:tcW w:w="3270" w:type="pct"/>
          </w:tcPr>
          <w:p w14:paraId="1693E1EE" w14:textId="4294B439" w:rsidR="002E714C" w:rsidRPr="00594142" w:rsidRDefault="008E693F" w:rsidP="005710BF">
            <w:pPr>
              <w:spacing w:before="20" w:after="20"/>
              <w:rPr>
                <w:rFonts w:cs="Arial"/>
                <w:sz w:val="20"/>
                <w:szCs w:val="20"/>
              </w:rPr>
            </w:pPr>
            <w:r>
              <w:rPr>
                <w:rFonts w:cs="Arial"/>
                <w:sz w:val="20"/>
                <w:szCs w:val="20"/>
              </w:rPr>
              <w:t>No</w:t>
            </w:r>
          </w:p>
        </w:tc>
      </w:tr>
      <w:tr w:rsidR="002E714C" w:rsidRPr="00500C4E" w14:paraId="0B93AD47" w14:textId="77777777" w:rsidTr="00EA057C">
        <w:trPr>
          <w:trHeight w:val="20"/>
        </w:trPr>
        <w:tc>
          <w:tcPr>
            <w:tcW w:w="1730" w:type="pct"/>
          </w:tcPr>
          <w:p w14:paraId="6E9E484F" w14:textId="77777777" w:rsidR="002E714C" w:rsidRPr="00EA057C" w:rsidRDefault="002E714C" w:rsidP="005710BF">
            <w:pPr>
              <w:spacing w:before="20" w:after="20"/>
              <w:rPr>
                <w:rFonts w:cs="Arial"/>
                <w:sz w:val="20"/>
                <w:szCs w:val="20"/>
              </w:rPr>
            </w:pPr>
            <w:r w:rsidRPr="00EA057C">
              <w:rPr>
                <w:rFonts w:cs="Arial"/>
                <w:sz w:val="20"/>
                <w:szCs w:val="20"/>
              </w:rPr>
              <w:t xml:space="preserve">DEER </w:t>
            </w:r>
            <w:proofErr w:type="spellStart"/>
            <w:r w:rsidRPr="00EA057C">
              <w:rPr>
                <w:rFonts w:cs="Arial"/>
                <w:sz w:val="20"/>
                <w:szCs w:val="20"/>
              </w:rPr>
              <w:t>eQUEST</w:t>
            </w:r>
            <w:proofErr w:type="spellEnd"/>
            <w:r w:rsidRPr="00EA057C">
              <w:rPr>
                <w:rFonts w:cs="Arial"/>
                <w:sz w:val="20"/>
                <w:szCs w:val="20"/>
              </w:rPr>
              <w:t xml:space="preserve"> Prototypes</w:t>
            </w:r>
          </w:p>
        </w:tc>
        <w:tc>
          <w:tcPr>
            <w:tcW w:w="3270" w:type="pct"/>
          </w:tcPr>
          <w:p w14:paraId="4948DEAF" w14:textId="5DD2CB64" w:rsidR="002E714C" w:rsidRPr="00594142" w:rsidDel="00505CEC" w:rsidRDefault="008E693F" w:rsidP="005710BF">
            <w:pPr>
              <w:spacing w:before="20" w:after="20"/>
              <w:rPr>
                <w:rFonts w:cs="Arial"/>
                <w:sz w:val="20"/>
                <w:szCs w:val="20"/>
              </w:rPr>
            </w:pPr>
            <w:r>
              <w:rPr>
                <w:rFonts w:cs="Arial"/>
                <w:sz w:val="20"/>
                <w:szCs w:val="20"/>
              </w:rPr>
              <w:t>No</w:t>
            </w:r>
          </w:p>
        </w:tc>
      </w:tr>
      <w:tr w:rsidR="002E714C" w:rsidRPr="00500C4E" w14:paraId="2CFDE9D3" w14:textId="77777777" w:rsidTr="00EA057C">
        <w:trPr>
          <w:trHeight w:val="180"/>
        </w:trPr>
        <w:tc>
          <w:tcPr>
            <w:tcW w:w="1730" w:type="pct"/>
          </w:tcPr>
          <w:p w14:paraId="3B6B3E22" w14:textId="77777777" w:rsidR="002E714C" w:rsidRPr="00EA057C" w:rsidRDefault="002E714C" w:rsidP="005710BF">
            <w:pPr>
              <w:spacing w:before="20" w:after="20"/>
              <w:rPr>
                <w:rFonts w:cs="Arial"/>
                <w:sz w:val="20"/>
                <w:szCs w:val="20"/>
              </w:rPr>
            </w:pPr>
            <w:r w:rsidRPr="00EA057C">
              <w:rPr>
                <w:rFonts w:cs="Arial"/>
                <w:sz w:val="20"/>
                <w:szCs w:val="20"/>
              </w:rPr>
              <w:t>DEER Version</w:t>
            </w:r>
          </w:p>
        </w:tc>
        <w:tc>
          <w:tcPr>
            <w:tcW w:w="3270" w:type="pct"/>
          </w:tcPr>
          <w:p w14:paraId="1C3B60D1" w14:textId="4BAB0148" w:rsidR="002E714C" w:rsidRPr="00594142" w:rsidRDefault="00777586" w:rsidP="005710BF">
            <w:pPr>
              <w:spacing w:before="20" w:after="20"/>
              <w:rPr>
                <w:rFonts w:cs="Arial"/>
                <w:sz w:val="20"/>
                <w:szCs w:val="20"/>
              </w:rPr>
            </w:pPr>
            <w:r>
              <w:rPr>
                <w:rFonts w:cs="Arial"/>
                <w:sz w:val="20"/>
                <w:szCs w:val="20"/>
              </w:rPr>
              <w:t>None</w:t>
            </w:r>
          </w:p>
        </w:tc>
      </w:tr>
      <w:tr w:rsidR="002E714C" w:rsidRPr="00500C4E" w14:paraId="3B7464D7" w14:textId="77777777" w:rsidTr="00EA057C">
        <w:trPr>
          <w:trHeight w:val="20"/>
        </w:trPr>
        <w:tc>
          <w:tcPr>
            <w:tcW w:w="1730" w:type="pct"/>
          </w:tcPr>
          <w:p w14:paraId="24000A76" w14:textId="77777777" w:rsidR="002E714C" w:rsidRPr="00EA057C" w:rsidRDefault="002E714C" w:rsidP="005710BF">
            <w:pPr>
              <w:spacing w:before="20" w:after="20"/>
              <w:rPr>
                <w:rFonts w:cs="Arial"/>
                <w:sz w:val="20"/>
                <w:szCs w:val="20"/>
              </w:rPr>
            </w:pPr>
            <w:r w:rsidRPr="00EA057C">
              <w:rPr>
                <w:rFonts w:cs="Arial"/>
                <w:sz w:val="20"/>
                <w:szCs w:val="20"/>
              </w:rPr>
              <w:t>Reason for Deviation from DEER</w:t>
            </w:r>
          </w:p>
        </w:tc>
        <w:tc>
          <w:tcPr>
            <w:tcW w:w="3270" w:type="pct"/>
          </w:tcPr>
          <w:p w14:paraId="125AAB90" w14:textId="1A2F84C2" w:rsidR="002E714C" w:rsidRPr="00594142" w:rsidRDefault="008E693F" w:rsidP="005710BF">
            <w:pPr>
              <w:spacing w:before="20" w:after="20"/>
              <w:rPr>
                <w:rFonts w:cs="Arial"/>
                <w:sz w:val="20"/>
                <w:szCs w:val="20"/>
              </w:rPr>
            </w:pPr>
            <w:r w:rsidRPr="008E693F">
              <w:rPr>
                <w:rFonts w:cs="Arial"/>
                <w:sz w:val="20"/>
                <w:szCs w:val="20"/>
              </w:rPr>
              <w:t>DEER does not contain Energy Efficient</w:t>
            </w:r>
            <w:r>
              <w:rPr>
                <w:rFonts w:cs="Arial"/>
                <w:sz w:val="20"/>
                <w:szCs w:val="20"/>
              </w:rPr>
              <w:t xml:space="preserve"> </w:t>
            </w:r>
            <w:r w:rsidR="000A1D89">
              <w:rPr>
                <w:rFonts w:cs="Arial"/>
                <w:sz w:val="20"/>
                <w:szCs w:val="20"/>
              </w:rPr>
              <w:t xml:space="preserve">Heat Pump </w:t>
            </w:r>
            <w:r>
              <w:rPr>
                <w:rFonts w:cs="Arial"/>
                <w:sz w:val="20"/>
                <w:szCs w:val="20"/>
              </w:rPr>
              <w:t>Pool Heaters.</w:t>
            </w:r>
          </w:p>
        </w:tc>
      </w:tr>
      <w:tr w:rsidR="002E714C" w:rsidRPr="00500C4E" w14:paraId="4A7EE859" w14:textId="77777777" w:rsidTr="00EA057C">
        <w:trPr>
          <w:trHeight w:val="20"/>
        </w:trPr>
        <w:tc>
          <w:tcPr>
            <w:tcW w:w="1730" w:type="pct"/>
          </w:tcPr>
          <w:p w14:paraId="7B4D686A" w14:textId="77777777" w:rsidR="002E714C" w:rsidRPr="00EA057C" w:rsidRDefault="002E714C" w:rsidP="005710BF">
            <w:pPr>
              <w:spacing w:before="20" w:after="20"/>
              <w:rPr>
                <w:rFonts w:cs="Arial"/>
                <w:sz w:val="20"/>
                <w:szCs w:val="20"/>
              </w:rPr>
            </w:pPr>
            <w:r w:rsidRPr="00EA057C">
              <w:rPr>
                <w:rFonts w:cs="Arial"/>
                <w:sz w:val="20"/>
                <w:szCs w:val="20"/>
              </w:rPr>
              <w:t>DEER Measure IDs Used</w:t>
            </w:r>
          </w:p>
        </w:tc>
        <w:tc>
          <w:tcPr>
            <w:tcW w:w="3270" w:type="pct"/>
          </w:tcPr>
          <w:p w14:paraId="63ABA251" w14:textId="22A1F709" w:rsidR="002E714C" w:rsidRPr="00594142" w:rsidRDefault="008E693F" w:rsidP="005710BF">
            <w:pPr>
              <w:spacing w:before="20" w:after="20"/>
              <w:rPr>
                <w:rFonts w:cs="Arial"/>
                <w:sz w:val="20"/>
                <w:szCs w:val="20"/>
              </w:rPr>
            </w:pPr>
            <w:r>
              <w:rPr>
                <w:rFonts w:cs="Arial"/>
                <w:sz w:val="20"/>
                <w:szCs w:val="20"/>
              </w:rPr>
              <w:t>None</w:t>
            </w:r>
          </w:p>
        </w:tc>
      </w:tr>
      <w:tr w:rsidR="00777586" w:rsidRPr="00500C4E" w14:paraId="5A83EC74" w14:textId="77777777" w:rsidTr="00EA057C">
        <w:trPr>
          <w:trHeight w:val="20"/>
        </w:trPr>
        <w:tc>
          <w:tcPr>
            <w:tcW w:w="1730" w:type="pct"/>
          </w:tcPr>
          <w:p w14:paraId="2C82A9E0" w14:textId="121308D7" w:rsidR="00777586" w:rsidRPr="00EA057C" w:rsidRDefault="00777586" w:rsidP="00777586">
            <w:pPr>
              <w:spacing w:before="20" w:after="20"/>
              <w:rPr>
                <w:rFonts w:cs="Arial"/>
                <w:sz w:val="20"/>
                <w:szCs w:val="20"/>
              </w:rPr>
            </w:pPr>
            <w:r>
              <w:rPr>
                <w:rFonts w:cs="Arial"/>
                <w:sz w:val="20"/>
                <w:szCs w:val="20"/>
              </w:rPr>
              <w:t>NTG</w:t>
            </w:r>
          </w:p>
        </w:tc>
        <w:tc>
          <w:tcPr>
            <w:tcW w:w="3270" w:type="pct"/>
          </w:tcPr>
          <w:p w14:paraId="2BBBB10C" w14:textId="4070E57E" w:rsidR="00777586" w:rsidRPr="00777586" w:rsidRDefault="00777586" w:rsidP="00777586">
            <w:pPr>
              <w:spacing w:before="20" w:after="20"/>
              <w:rPr>
                <w:rFonts w:cs="Arial"/>
                <w:i/>
                <w:sz w:val="20"/>
                <w:szCs w:val="20"/>
              </w:rPr>
            </w:pPr>
            <w:r w:rsidRPr="00777586">
              <w:rPr>
                <w:rFonts w:cs="Calibri Light"/>
                <w:sz w:val="20"/>
                <w:szCs w:val="20"/>
              </w:rPr>
              <w:t xml:space="preserve">Source: DEER. The NTG of 1.0 is associated with NTG ID:  </w:t>
            </w:r>
            <w:proofErr w:type="spellStart"/>
            <w:r w:rsidRPr="00777586">
              <w:rPr>
                <w:rFonts w:cs="Calibri Light"/>
                <w:i/>
                <w:iCs/>
                <w:sz w:val="20"/>
                <w:szCs w:val="20"/>
              </w:rPr>
              <w:t>FuelSubst</w:t>
            </w:r>
            <w:proofErr w:type="spellEnd"/>
            <w:r w:rsidRPr="00777586">
              <w:rPr>
                <w:rFonts w:cs="Calibri Light"/>
                <w:i/>
                <w:iCs/>
                <w:sz w:val="20"/>
                <w:szCs w:val="20"/>
              </w:rPr>
              <w:t>-Default</w:t>
            </w:r>
          </w:p>
        </w:tc>
      </w:tr>
      <w:tr w:rsidR="00777586" w:rsidRPr="00500C4E" w14:paraId="131D1F9D" w14:textId="77777777" w:rsidTr="00EA057C">
        <w:trPr>
          <w:trHeight w:val="20"/>
        </w:trPr>
        <w:tc>
          <w:tcPr>
            <w:tcW w:w="1730" w:type="pct"/>
          </w:tcPr>
          <w:p w14:paraId="45FFA983" w14:textId="5F527A83" w:rsidR="00777586" w:rsidRDefault="00777586" w:rsidP="00777586">
            <w:pPr>
              <w:spacing w:before="20" w:after="20"/>
              <w:rPr>
                <w:rFonts w:cs="Arial"/>
                <w:sz w:val="20"/>
                <w:szCs w:val="20"/>
              </w:rPr>
            </w:pPr>
            <w:r>
              <w:rPr>
                <w:rFonts w:cs="Arial"/>
                <w:sz w:val="20"/>
                <w:szCs w:val="20"/>
              </w:rPr>
              <w:t>GSIA</w:t>
            </w:r>
          </w:p>
        </w:tc>
        <w:tc>
          <w:tcPr>
            <w:tcW w:w="3270" w:type="pct"/>
          </w:tcPr>
          <w:p w14:paraId="7C16D603" w14:textId="79052A7D" w:rsidR="00777586" w:rsidRPr="00777586" w:rsidRDefault="00777586" w:rsidP="00777586">
            <w:pPr>
              <w:spacing w:before="20" w:after="20"/>
              <w:rPr>
                <w:rFonts w:cs="Arial"/>
                <w:sz w:val="20"/>
                <w:szCs w:val="20"/>
              </w:rPr>
            </w:pPr>
            <w:r w:rsidRPr="00777586">
              <w:rPr>
                <w:rFonts w:cs="Calibri Light"/>
                <w:sz w:val="20"/>
                <w:szCs w:val="20"/>
              </w:rPr>
              <w:t xml:space="preserve">Source: DEER. The GSIA of 1.0 is associated with GSIA ID: </w:t>
            </w:r>
            <w:r w:rsidRPr="00777586">
              <w:rPr>
                <w:rFonts w:cs="Calibri Light"/>
                <w:i/>
                <w:sz w:val="20"/>
                <w:szCs w:val="20"/>
              </w:rPr>
              <w:t>Def-GSIA</w:t>
            </w:r>
          </w:p>
        </w:tc>
      </w:tr>
      <w:tr w:rsidR="00EA057C" w:rsidRPr="00500C4E" w14:paraId="4D0F7E1B" w14:textId="77777777" w:rsidTr="00EA057C">
        <w:trPr>
          <w:trHeight w:val="20"/>
        </w:trPr>
        <w:tc>
          <w:tcPr>
            <w:tcW w:w="1730" w:type="pct"/>
          </w:tcPr>
          <w:p w14:paraId="103BA947" w14:textId="6665B2EA" w:rsidR="00EA057C" w:rsidRDefault="00EA057C" w:rsidP="005710BF">
            <w:pPr>
              <w:spacing w:before="20" w:after="20"/>
              <w:rPr>
                <w:rFonts w:cs="Arial"/>
                <w:sz w:val="20"/>
                <w:szCs w:val="20"/>
              </w:rPr>
            </w:pPr>
            <w:r>
              <w:rPr>
                <w:rFonts w:cs="Arial"/>
                <w:sz w:val="20"/>
                <w:szCs w:val="20"/>
              </w:rPr>
              <w:t>EUL/RUL</w:t>
            </w:r>
          </w:p>
        </w:tc>
        <w:tc>
          <w:tcPr>
            <w:tcW w:w="3270" w:type="pct"/>
          </w:tcPr>
          <w:p w14:paraId="0E959224" w14:textId="768731E7" w:rsidR="00777586" w:rsidRPr="00777586" w:rsidRDefault="005A74DC" w:rsidP="005710BF">
            <w:pPr>
              <w:spacing w:before="20" w:after="20"/>
              <w:rPr>
                <w:rFonts w:cs="Arial"/>
                <w:i/>
                <w:iCs/>
                <w:sz w:val="20"/>
                <w:szCs w:val="20"/>
              </w:rPr>
            </w:pPr>
            <w:r w:rsidRPr="00777586">
              <w:rPr>
                <w:rFonts w:cs="Arial"/>
                <w:sz w:val="20"/>
                <w:szCs w:val="20"/>
              </w:rPr>
              <w:t xml:space="preserve">Source: </w:t>
            </w:r>
            <w:r w:rsidR="00450C21" w:rsidRPr="00777586">
              <w:rPr>
                <w:rFonts w:cs="Arial"/>
                <w:sz w:val="20"/>
                <w:szCs w:val="20"/>
              </w:rPr>
              <w:t>DEER 2014</w:t>
            </w:r>
            <w:r w:rsidR="004A2CEE" w:rsidRPr="00777586">
              <w:rPr>
                <w:rFonts w:cs="Arial"/>
                <w:sz w:val="20"/>
                <w:szCs w:val="20"/>
              </w:rPr>
              <w:t>.</w:t>
            </w:r>
            <w:r w:rsidRPr="00777586">
              <w:rPr>
                <w:rFonts w:cs="Arial"/>
                <w:sz w:val="20"/>
                <w:szCs w:val="20"/>
              </w:rPr>
              <w:t xml:space="preserve"> The value of </w:t>
            </w:r>
            <w:r w:rsidR="00613FFE" w:rsidRPr="00777586">
              <w:rPr>
                <w:rFonts w:cs="Arial"/>
                <w:sz w:val="20"/>
                <w:szCs w:val="20"/>
              </w:rPr>
              <w:t>10</w:t>
            </w:r>
            <w:r w:rsidRPr="00777586">
              <w:rPr>
                <w:rFonts w:cs="Arial"/>
                <w:sz w:val="20"/>
                <w:szCs w:val="20"/>
              </w:rPr>
              <w:t xml:space="preserve"> years is associated with </w:t>
            </w:r>
            <w:r w:rsidR="00777586" w:rsidRPr="00777586">
              <w:rPr>
                <w:rFonts w:cs="Arial"/>
                <w:i/>
                <w:iCs/>
                <w:sz w:val="20"/>
                <w:szCs w:val="20"/>
              </w:rPr>
              <w:t xml:space="preserve">EUL ID: </w:t>
            </w:r>
            <w:proofErr w:type="spellStart"/>
            <w:r w:rsidR="00777586" w:rsidRPr="00777586">
              <w:rPr>
                <w:rFonts w:cs="Arial"/>
                <w:i/>
                <w:iCs/>
                <w:sz w:val="20"/>
                <w:szCs w:val="20"/>
              </w:rPr>
              <w:t>WtrHt-HtPmp</w:t>
            </w:r>
            <w:proofErr w:type="spellEnd"/>
            <w:r w:rsidR="00777586">
              <w:rPr>
                <w:rFonts w:cs="Arial"/>
                <w:i/>
                <w:iCs/>
                <w:sz w:val="20"/>
                <w:szCs w:val="20"/>
              </w:rPr>
              <w:t>.</w:t>
            </w:r>
          </w:p>
          <w:p w14:paraId="5BD9C961" w14:textId="0164F121" w:rsidR="00EA057C" w:rsidRPr="00777586" w:rsidRDefault="00777586" w:rsidP="005710BF">
            <w:pPr>
              <w:spacing w:before="20" w:after="20"/>
              <w:rPr>
                <w:rFonts w:cs="Arial"/>
                <w:sz w:val="20"/>
                <w:szCs w:val="20"/>
              </w:rPr>
            </w:pPr>
            <w:r w:rsidRPr="00777586">
              <w:rPr>
                <w:rFonts w:cs="Arial"/>
                <w:sz w:val="20"/>
                <w:szCs w:val="20"/>
              </w:rPr>
              <w:t>The value of 3.3 years is associated with R</w:t>
            </w:r>
            <w:r w:rsidR="005A74DC" w:rsidRPr="00777586">
              <w:rPr>
                <w:rFonts w:cs="Arial"/>
                <w:sz w:val="20"/>
                <w:szCs w:val="20"/>
              </w:rPr>
              <w:t xml:space="preserve">UL ID: </w:t>
            </w:r>
            <w:proofErr w:type="spellStart"/>
            <w:r w:rsidR="004F3F32" w:rsidRPr="00777586">
              <w:rPr>
                <w:rFonts w:cs="Arial"/>
                <w:i/>
                <w:sz w:val="20"/>
                <w:szCs w:val="20"/>
              </w:rPr>
              <w:t>OutD</w:t>
            </w:r>
            <w:r w:rsidR="00E91072" w:rsidRPr="00777586">
              <w:rPr>
                <w:rFonts w:cs="Arial"/>
                <w:i/>
                <w:sz w:val="20"/>
                <w:szCs w:val="20"/>
              </w:rPr>
              <w:t>-PoolPump</w:t>
            </w:r>
            <w:proofErr w:type="spellEnd"/>
            <w:r w:rsidRPr="00777586">
              <w:rPr>
                <w:rFonts w:cs="Arial"/>
                <w:i/>
                <w:sz w:val="20"/>
                <w:szCs w:val="20"/>
              </w:rPr>
              <w:t xml:space="preserve">. </w:t>
            </w:r>
          </w:p>
        </w:tc>
      </w:tr>
    </w:tbl>
    <w:p w14:paraId="3D440479" w14:textId="77777777" w:rsidR="00EA057C" w:rsidRDefault="00EA057C" w:rsidP="004142EF">
      <w:bookmarkStart w:id="75" w:name="_Hlk516051142"/>
    </w:p>
    <w:p w14:paraId="59542C0D" w14:textId="77777777" w:rsidR="007D230B" w:rsidRDefault="007D230B" w:rsidP="004F3F32">
      <w:pPr>
        <w:pStyle w:val="eTRMHeading3"/>
      </w:pPr>
      <w:bookmarkStart w:id="76" w:name="_Toc486490866"/>
      <w:bookmarkStart w:id="77" w:name="_Toc486580937"/>
      <w:bookmarkStart w:id="78" w:name="_Toc67427734"/>
      <w:bookmarkStart w:id="79" w:name="_Hlk516047558"/>
      <w:r w:rsidRPr="004B06E3">
        <w:lastRenderedPageBreak/>
        <w:t>Revision History</w:t>
      </w:r>
      <w:bookmarkEnd w:id="76"/>
      <w:bookmarkEnd w:id="77"/>
      <w:bookmarkEnd w:id="78"/>
    </w:p>
    <w:p w14:paraId="3661732B" w14:textId="277A4005" w:rsidR="00CA1CB3" w:rsidRDefault="00742F88">
      <w:pPr>
        <w:pStyle w:val="Caption"/>
      </w:pPr>
      <w:bookmarkStart w:id="80" w:name="_Hlk515959178"/>
      <w:r>
        <w:t>Measure Characterization Revision History</w:t>
      </w:r>
    </w:p>
    <w:tbl>
      <w:tblPr>
        <w:tblW w:w="534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1"/>
        <w:gridCol w:w="1664"/>
        <w:gridCol w:w="1979"/>
        <w:gridCol w:w="5402"/>
      </w:tblGrid>
      <w:tr w:rsidR="00CA1CB3" w:rsidRPr="00500C4E" w14:paraId="1904D58C" w14:textId="6E96D877" w:rsidTr="00087C53">
        <w:trPr>
          <w:trHeight w:val="20"/>
        </w:trPr>
        <w:tc>
          <w:tcPr>
            <w:tcW w:w="471" w:type="pct"/>
            <w:shd w:val="clear" w:color="auto" w:fill="F2F2F2" w:themeFill="background1" w:themeFillShade="F2"/>
            <w:vAlign w:val="bottom"/>
          </w:tcPr>
          <w:p w14:paraId="5365A71C" w14:textId="5EB86E00" w:rsidR="00CA1CB3" w:rsidRPr="00EA057C" w:rsidRDefault="00CA1CB3" w:rsidP="00871123">
            <w:pPr>
              <w:keepNext/>
              <w:keepLines/>
              <w:tabs>
                <w:tab w:val="right" w:pos="2957"/>
              </w:tabs>
              <w:spacing w:before="20" w:after="20"/>
              <w:rPr>
                <w:rFonts w:cs="Arial"/>
                <w:b/>
                <w:sz w:val="20"/>
                <w:szCs w:val="20"/>
              </w:rPr>
            </w:pPr>
            <w:r>
              <w:rPr>
                <w:rFonts w:cs="Arial"/>
                <w:b/>
                <w:sz w:val="20"/>
                <w:szCs w:val="20"/>
              </w:rPr>
              <w:t>Revision Number</w:t>
            </w:r>
          </w:p>
        </w:tc>
        <w:tc>
          <w:tcPr>
            <w:tcW w:w="833" w:type="pct"/>
            <w:shd w:val="clear" w:color="auto" w:fill="F2F2F2" w:themeFill="background1" w:themeFillShade="F2"/>
            <w:vAlign w:val="bottom"/>
          </w:tcPr>
          <w:p w14:paraId="7DC8BCED" w14:textId="014AA234" w:rsidR="00CA1CB3" w:rsidRPr="00EA057C" w:rsidRDefault="00036EFF" w:rsidP="00871123">
            <w:pPr>
              <w:keepNext/>
              <w:keepLines/>
              <w:spacing w:before="20" w:after="20"/>
              <w:rPr>
                <w:rFonts w:cs="Arial"/>
                <w:b/>
                <w:sz w:val="20"/>
                <w:szCs w:val="20"/>
              </w:rPr>
            </w:pPr>
            <w:r>
              <w:rPr>
                <w:rFonts w:cs="Arial"/>
                <w:b/>
                <w:sz w:val="20"/>
                <w:szCs w:val="20"/>
              </w:rPr>
              <w:t xml:space="preserve">Revision Complete </w:t>
            </w:r>
            <w:r w:rsidR="00CA1CB3">
              <w:rPr>
                <w:rFonts w:cs="Arial"/>
                <w:b/>
                <w:sz w:val="20"/>
                <w:szCs w:val="20"/>
              </w:rPr>
              <w:t>Date</w:t>
            </w:r>
          </w:p>
        </w:tc>
        <w:tc>
          <w:tcPr>
            <w:tcW w:w="991" w:type="pct"/>
            <w:shd w:val="clear" w:color="auto" w:fill="F2F2F2" w:themeFill="background1" w:themeFillShade="F2"/>
            <w:vAlign w:val="bottom"/>
          </w:tcPr>
          <w:p w14:paraId="10DC2402" w14:textId="63223EB6" w:rsidR="00CA1CB3" w:rsidRDefault="00CA1CB3" w:rsidP="00871123">
            <w:pPr>
              <w:keepNext/>
              <w:keepLines/>
              <w:spacing w:before="20" w:after="20"/>
              <w:rPr>
                <w:rFonts w:cs="Arial"/>
                <w:b/>
                <w:sz w:val="20"/>
                <w:szCs w:val="20"/>
              </w:rPr>
            </w:pPr>
            <w:r>
              <w:rPr>
                <w:rFonts w:cs="Arial"/>
                <w:b/>
                <w:sz w:val="20"/>
                <w:szCs w:val="20"/>
              </w:rPr>
              <w:t>Primary Author, Title, Organization</w:t>
            </w:r>
          </w:p>
        </w:tc>
        <w:tc>
          <w:tcPr>
            <w:tcW w:w="2705" w:type="pct"/>
            <w:shd w:val="clear" w:color="auto" w:fill="F2F2F2" w:themeFill="background1" w:themeFillShade="F2"/>
            <w:vAlign w:val="bottom"/>
          </w:tcPr>
          <w:p w14:paraId="2BFB4352" w14:textId="7D444C41" w:rsidR="00CA1CB3" w:rsidRDefault="00CA1CB3" w:rsidP="00871123">
            <w:pPr>
              <w:keepNext/>
              <w:keepLines/>
              <w:spacing w:before="20" w:after="20"/>
              <w:rPr>
                <w:rFonts w:cs="Arial"/>
                <w:b/>
                <w:sz w:val="20"/>
                <w:szCs w:val="20"/>
              </w:rPr>
            </w:pPr>
            <w:r>
              <w:rPr>
                <w:rFonts w:cs="Arial"/>
                <w:b/>
                <w:sz w:val="20"/>
                <w:szCs w:val="20"/>
              </w:rPr>
              <w:t>Revision Summary and Rationale for Revision</w:t>
            </w:r>
          </w:p>
        </w:tc>
      </w:tr>
      <w:tr w:rsidR="00777586" w:rsidRPr="00CA1CB3" w14:paraId="0A9DBD7D" w14:textId="04A29668" w:rsidTr="007524D1">
        <w:trPr>
          <w:trHeight w:val="197"/>
        </w:trPr>
        <w:tc>
          <w:tcPr>
            <w:tcW w:w="471" w:type="pct"/>
          </w:tcPr>
          <w:p w14:paraId="38788C98" w14:textId="63552028" w:rsidR="00777586" w:rsidRPr="00CA1CB3" w:rsidRDefault="00777586" w:rsidP="00D60987">
            <w:pPr>
              <w:keepNext/>
              <w:keepLines/>
              <w:spacing w:before="20" w:after="20"/>
              <w:rPr>
                <w:rFonts w:cs="Arial"/>
                <w:sz w:val="20"/>
                <w:szCs w:val="20"/>
              </w:rPr>
            </w:pPr>
            <w:r>
              <w:rPr>
                <w:rFonts w:cs="Arial"/>
                <w:sz w:val="20"/>
                <w:szCs w:val="20"/>
              </w:rPr>
              <w:t>01</w:t>
            </w:r>
          </w:p>
        </w:tc>
        <w:tc>
          <w:tcPr>
            <w:tcW w:w="833" w:type="pct"/>
          </w:tcPr>
          <w:p w14:paraId="03B67B1D" w14:textId="1E5200DE" w:rsidR="00777586" w:rsidRPr="009C12A7" w:rsidRDefault="00497302" w:rsidP="00D60987">
            <w:pPr>
              <w:keepNext/>
              <w:keepLines/>
              <w:spacing w:before="20" w:after="20"/>
              <w:rPr>
                <w:rFonts w:cs="Arial"/>
                <w:sz w:val="20"/>
                <w:szCs w:val="20"/>
                <w:highlight w:val="lightGray"/>
              </w:rPr>
            </w:pPr>
            <w:r>
              <w:rPr>
                <w:rFonts w:cs="Arial"/>
                <w:sz w:val="20"/>
                <w:szCs w:val="20"/>
              </w:rPr>
              <w:t>07</w:t>
            </w:r>
            <w:r w:rsidR="0051776E">
              <w:rPr>
                <w:rFonts w:cs="Arial"/>
                <w:sz w:val="20"/>
                <w:szCs w:val="20"/>
              </w:rPr>
              <w:t>/</w:t>
            </w:r>
            <w:r>
              <w:rPr>
                <w:rFonts w:cs="Arial"/>
                <w:sz w:val="20"/>
                <w:szCs w:val="20"/>
              </w:rPr>
              <w:t>01</w:t>
            </w:r>
            <w:r w:rsidR="0051776E">
              <w:rPr>
                <w:rFonts w:cs="Arial"/>
                <w:sz w:val="20"/>
                <w:szCs w:val="20"/>
              </w:rPr>
              <w:t>/21</w:t>
            </w:r>
          </w:p>
        </w:tc>
        <w:tc>
          <w:tcPr>
            <w:tcW w:w="991" w:type="pct"/>
          </w:tcPr>
          <w:p w14:paraId="5B560583" w14:textId="77777777" w:rsidR="00777586" w:rsidRPr="004260EF" w:rsidRDefault="00777586" w:rsidP="00D60987">
            <w:pPr>
              <w:keepNext/>
              <w:keepLines/>
              <w:spacing w:before="20" w:after="20"/>
              <w:rPr>
                <w:rFonts w:cs="Arial"/>
                <w:sz w:val="20"/>
                <w:szCs w:val="20"/>
              </w:rPr>
            </w:pPr>
            <w:r w:rsidRPr="004260EF">
              <w:rPr>
                <w:rFonts w:cs="Arial"/>
                <w:sz w:val="20"/>
                <w:szCs w:val="20"/>
              </w:rPr>
              <w:t>Lake Casco PE, TRC</w:t>
            </w:r>
          </w:p>
          <w:p w14:paraId="3F1FCF40" w14:textId="77777777" w:rsidR="004260EF" w:rsidRDefault="004260EF" w:rsidP="00D60987">
            <w:pPr>
              <w:keepNext/>
              <w:keepLines/>
              <w:spacing w:before="20" w:after="20"/>
              <w:rPr>
                <w:rFonts w:cs="Arial"/>
                <w:sz w:val="20"/>
                <w:szCs w:val="20"/>
              </w:rPr>
            </w:pPr>
            <w:r w:rsidRPr="007524D1">
              <w:rPr>
                <w:rFonts w:cs="Arial"/>
                <w:sz w:val="20"/>
                <w:szCs w:val="20"/>
              </w:rPr>
              <w:t>Kara Vega, TRC</w:t>
            </w:r>
          </w:p>
          <w:p w14:paraId="32D154D7" w14:textId="3500C092" w:rsidR="00497302" w:rsidRPr="007524D1" w:rsidRDefault="00497302" w:rsidP="00D60987">
            <w:pPr>
              <w:keepNext/>
              <w:keepLines/>
              <w:spacing w:before="20" w:after="20"/>
              <w:rPr>
                <w:rFonts w:cs="Arial"/>
                <w:sz w:val="20"/>
                <w:szCs w:val="20"/>
              </w:rPr>
            </w:pPr>
            <w:r>
              <w:rPr>
                <w:rFonts w:cs="Arial"/>
                <w:sz w:val="20"/>
                <w:szCs w:val="20"/>
              </w:rPr>
              <w:t>Andres Fergadiotti, SCE</w:t>
            </w:r>
          </w:p>
        </w:tc>
        <w:tc>
          <w:tcPr>
            <w:tcW w:w="2705" w:type="pct"/>
          </w:tcPr>
          <w:p w14:paraId="40A34CC0" w14:textId="210F8B5A" w:rsidR="00777586" w:rsidRDefault="00777586">
            <w:pPr>
              <w:keepNext/>
              <w:keepLines/>
              <w:spacing w:before="20" w:after="20"/>
              <w:rPr>
                <w:rFonts w:cs="Calibri Light"/>
                <w:sz w:val="20"/>
                <w:szCs w:val="20"/>
              </w:rPr>
            </w:pPr>
            <w:r>
              <w:rPr>
                <w:rFonts w:cs="Calibri Light"/>
                <w:sz w:val="20"/>
                <w:szCs w:val="20"/>
              </w:rPr>
              <w:t xml:space="preserve">First draft of workpaper. </w:t>
            </w:r>
          </w:p>
          <w:p w14:paraId="6C70C36F" w14:textId="0B1BB2B4" w:rsidR="00777586" w:rsidRPr="00087C53" w:rsidRDefault="00777586">
            <w:pPr>
              <w:keepNext/>
              <w:keepLines/>
              <w:spacing w:before="20" w:after="20"/>
              <w:rPr>
                <w:rFonts w:cs="Calibri Light"/>
                <w:sz w:val="20"/>
                <w:szCs w:val="20"/>
              </w:rPr>
            </w:pPr>
          </w:p>
        </w:tc>
      </w:tr>
      <w:bookmarkEnd w:id="75"/>
      <w:bookmarkEnd w:id="79"/>
      <w:bookmarkEnd w:id="80"/>
    </w:tbl>
    <w:p w14:paraId="5C9CAB2A" w14:textId="77777777" w:rsidR="00085726" w:rsidRDefault="00085726" w:rsidP="00387072"/>
    <w:sectPr w:rsidR="00085726" w:rsidSect="0037129D">
      <w:headerReference w:type="default" r:id="rId21"/>
      <w:headerReference w:type="first" r:id="rId22"/>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AF6F63" w14:textId="77777777" w:rsidR="0029167C" w:rsidRDefault="0029167C" w:rsidP="00A2690C">
      <w:r>
        <w:separator/>
      </w:r>
    </w:p>
    <w:p w14:paraId="3851257F" w14:textId="77777777" w:rsidR="0029167C" w:rsidRDefault="0029167C"/>
  </w:endnote>
  <w:endnote w:type="continuationSeparator" w:id="0">
    <w:p w14:paraId="6B9319BB" w14:textId="77777777" w:rsidR="0029167C" w:rsidRDefault="0029167C" w:rsidP="00A2690C">
      <w:r>
        <w:continuationSeparator/>
      </w:r>
    </w:p>
    <w:p w14:paraId="054F1B4A" w14:textId="77777777" w:rsidR="0029167C" w:rsidRDefault="002916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MS PMincho">
    <w:charset w:val="80"/>
    <w:family w:val="roman"/>
    <w:pitch w:val="variable"/>
    <w:sig w:usb0="E00002FF" w:usb1="6AC7FDFB" w:usb2="08000012" w:usb3="00000000" w:csb0="0002009F" w:csb1="00000000"/>
  </w:font>
  <w:font w:name="Avenir Next">
    <w:altName w:val="Trebuchet MS"/>
    <w:charset w:val="00"/>
    <w:family w:val="swiss"/>
    <w:pitch w:val="variable"/>
    <w:sig w:usb0="00000001" w:usb1="5000204A" w:usb2="00000000" w:usb3="00000000" w:csb0="0000009B" w:csb1="00000000"/>
  </w:font>
  <w:font w:name="Proxima Nova Regular">
    <w:altName w:val="Times New Roman"/>
    <w:charset w:val="00"/>
    <w:family w:val="auto"/>
    <w:pitch w:val="variable"/>
    <w:sig w:usb0="800000AF" w:usb1="5000E0FB" w:usb2="00000000" w:usb3="00000000" w:csb0="0000019B"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800000AF" w:usb1="5000E0FB" w:usb2="00000000" w:usb3="00000000" w:csb0="0000019B"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58D06" w14:textId="77777777" w:rsidR="00084CE7" w:rsidRDefault="00084CE7"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7" name="Picture 7"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084CE7" w:rsidRPr="00B837C1" w:rsidRDefault="00084CE7"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9F114B" w14:textId="77777777" w:rsidR="00084CE7" w:rsidRDefault="00084CE7"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8" name="Picture 8"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63673553" w:rsidR="00084CE7" w:rsidRPr="00B837C1" w:rsidRDefault="00084CE7"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4</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79099" w14:textId="77777777" w:rsidR="00084CE7" w:rsidRDefault="00084CE7"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12" name="Picture 12"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4508C1FB" w:rsidR="00084CE7" w:rsidRPr="005F505E" w:rsidRDefault="00084CE7"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ADBDF2" w14:textId="77777777" w:rsidR="0029167C" w:rsidRDefault="0029167C" w:rsidP="00A2690C">
      <w:r>
        <w:separator/>
      </w:r>
    </w:p>
    <w:p w14:paraId="355CB97E" w14:textId="77777777" w:rsidR="0029167C" w:rsidRDefault="0029167C"/>
  </w:footnote>
  <w:footnote w:type="continuationSeparator" w:id="0">
    <w:p w14:paraId="0AB8E0C4" w14:textId="77777777" w:rsidR="0029167C" w:rsidRDefault="0029167C" w:rsidP="00A2690C">
      <w:r>
        <w:continuationSeparator/>
      </w:r>
    </w:p>
    <w:p w14:paraId="7193717A" w14:textId="77777777" w:rsidR="0029167C" w:rsidRDefault="0029167C"/>
  </w:footnote>
  <w:footnote w:id="1">
    <w:p w14:paraId="0555EDC8" w14:textId="6C57A1C4" w:rsidR="00084CE7" w:rsidRDefault="00084CE7">
      <w:pPr>
        <w:pStyle w:val="FootnoteText"/>
      </w:pPr>
      <w:r>
        <w:rPr>
          <w:rStyle w:val="FootnoteReference"/>
        </w:rPr>
        <w:footnoteRef/>
      </w:r>
      <w:r>
        <w:t xml:space="preserve"> U.S. Department of Energy. “Heat Pump Swimming Pool Heaters”, </w:t>
      </w:r>
      <w:r w:rsidRPr="00FD544A">
        <w:t>https://www.energy.gov/energysaver/heat-pump-swimming-pool-heaters</w:t>
      </w:r>
    </w:p>
  </w:footnote>
  <w:footnote w:id="2">
    <w:p w14:paraId="310098B2" w14:textId="08312234" w:rsidR="00084CE7" w:rsidRPr="000A21D4" w:rsidRDefault="00084CE7">
      <w:pPr>
        <w:pStyle w:val="FootnoteText"/>
      </w:pPr>
      <w:r>
        <w:rPr>
          <w:rStyle w:val="FootnoteReference"/>
        </w:rPr>
        <w:footnoteRef/>
      </w:r>
      <w:r>
        <w:t xml:space="preserve"> Consortium for Energy Efficiency (CEE). 2012. </w:t>
      </w:r>
      <w:r w:rsidRPr="00E91072">
        <w:rPr>
          <w:i/>
          <w:iCs/>
        </w:rPr>
        <w:t>CEE</w:t>
      </w:r>
      <w:r w:rsidRPr="00E91072">
        <w:rPr>
          <w:i/>
          <w:iCs/>
          <w:vertAlign w:val="superscript"/>
        </w:rPr>
        <w:t>SM</w:t>
      </w:r>
      <w:r w:rsidRPr="00E91072">
        <w:rPr>
          <w:i/>
          <w:iCs/>
        </w:rPr>
        <w:t xml:space="preserve"> High Efficiency Residential Swimming Pool Initiative.</w:t>
      </w:r>
      <w:r>
        <w:t xml:space="preserve"> December.</w:t>
      </w:r>
    </w:p>
  </w:footnote>
  <w:footnote w:id="3">
    <w:p w14:paraId="5A30F011" w14:textId="7451D899" w:rsidR="00084CE7" w:rsidRDefault="00084CE7">
      <w:pPr>
        <w:pStyle w:val="FootnoteText"/>
      </w:pPr>
      <w:r>
        <w:rPr>
          <w:rStyle w:val="FootnoteReference"/>
        </w:rPr>
        <w:footnoteRef/>
      </w:r>
      <w:r>
        <w:t xml:space="preserve"> KEMA, Inc. 2010. </w:t>
      </w:r>
      <w:r>
        <w:rPr>
          <w:rStyle w:val="Emphasis"/>
        </w:rPr>
        <w:t>2009 California Residential Appliance Saturation Survey. Volume 2: Results.</w:t>
      </w:r>
      <w:r>
        <w:t> Prepared for the California Energy Commission. CC-200-2010-004.</w:t>
      </w:r>
      <w:r w:rsidRPr="00CE265F">
        <w:rPr>
          <w:highlight w:val="yellow"/>
        </w:rPr>
        <w:t xml:space="preserve"> </w:t>
      </w:r>
    </w:p>
  </w:footnote>
  <w:footnote w:id="4">
    <w:p w14:paraId="1C4B8175" w14:textId="77777777" w:rsidR="00084CE7" w:rsidRDefault="00084CE7" w:rsidP="00A2023E">
      <w:pPr>
        <w:pStyle w:val="FootnoteText"/>
      </w:pPr>
      <w:r>
        <w:rPr>
          <w:rStyle w:val="FootnoteReference"/>
        </w:rPr>
        <w:footnoteRef/>
      </w:r>
      <w:r>
        <w:t xml:space="preserve"> “</w:t>
      </w:r>
      <w:r w:rsidRPr="00E07469">
        <w:t>Best Pool Heat Pumps | 2020 Ultimate Buyer’s Guide</w:t>
      </w:r>
      <w:r>
        <w:t xml:space="preserve">”, Gadget-Reviews.com.  </w:t>
      </w:r>
      <w:r w:rsidRPr="007F2B2B">
        <w:t>https://gadgets-reviews.com/review/1568-best-pool-heat-pumps.html</w:t>
      </w:r>
    </w:p>
  </w:footnote>
  <w:footnote w:id="5">
    <w:p w14:paraId="2C20AE29" w14:textId="77777777" w:rsidR="00084CE7" w:rsidRDefault="00084CE7" w:rsidP="00B8463F">
      <w:pPr>
        <w:pStyle w:val="FootnoteText"/>
      </w:pPr>
      <w:r>
        <w:rPr>
          <w:rStyle w:val="FootnoteReference"/>
        </w:rPr>
        <w:footnoteRef/>
      </w:r>
      <w:r>
        <w:t xml:space="preserve"> ADM Associate, Inc. 2016. “Metering and Measuring of Multi-family Pool Pumps, Final Report – Phase 1 &amp; 2”. Prepared for Southern California Edison Company, San Diego Gas and Electric Company, Southern California Gas Company, and Pacific Gas and Electric Company.</w:t>
      </w:r>
    </w:p>
  </w:footnote>
  <w:footnote w:id="6">
    <w:p w14:paraId="026E49D6" w14:textId="517FDCC8" w:rsidR="00084CE7" w:rsidRDefault="00084CE7">
      <w:pPr>
        <w:pStyle w:val="FootnoteText"/>
      </w:pPr>
      <w:r>
        <w:rPr>
          <w:rStyle w:val="FootnoteReference"/>
        </w:rPr>
        <w:footnoteRef/>
      </w:r>
      <w:r>
        <w:t xml:space="preserve"> California Energy Commission (CEC). 2019. </w:t>
      </w:r>
      <w:r>
        <w:rPr>
          <w:rStyle w:val="Emphasis"/>
        </w:rPr>
        <w:t>2019 Appliance Efficiency Regulations</w:t>
      </w:r>
      <w:r>
        <w:t>. CEC-140-2019-002</w:t>
      </w:r>
    </w:p>
  </w:footnote>
  <w:footnote w:id="7">
    <w:p w14:paraId="717564B2" w14:textId="77777777" w:rsidR="00084CE7" w:rsidRDefault="00084CE7" w:rsidP="0068751E">
      <w:pPr>
        <w:pStyle w:val="FootnoteText"/>
      </w:pPr>
      <w:r>
        <w:rPr>
          <w:rStyle w:val="FootnoteReference"/>
        </w:rPr>
        <w:footnoteRef/>
      </w:r>
      <w:r>
        <w:t xml:space="preserve"> California Public Utilities Commission (CPUC). 2019. “Decision 19-08-009 Rulemaking 13-11-005 Decision Modifying the Energy Efficiency Three-Prong Test Related to Fuel Substitution”. August 1.</w:t>
      </w:r>
    </w:p>
  </w:footnote>
  <w:footnote w:id="8">
    <w:p w14:paraId="3FA4F5A1" w14:textId="314663D3" w:rsidR="00084CE7" w:rsidRDefault="00084CE7" w:rsidP="0068751E">
      <w:pPr>
        <w:pStyle w:val="FootnoteText"/>
      </w:pPr>
      <w:r>
        <w:rPr>
          <w:rStyle w:val="FootnoteReference"/>
        </w:rPr>
        <w:footnoteRef/>
      </w:r>
      <w:r>
        <w:t xml:space="preserve"> Southern California Edison (SCE). 2021. “SWRE005-01 Fuel Substitution Calculator.xlsx”.</w:t>
      </w:r>
    </w:p>
  </w:footnote>
  <w:footnote w:id="9">
    <w:p w14:paraId="22CBBDC5" w14:textId="77777777" w:rsidR="00084CE7" w:rsidRDefault="00084CE7" w:rsidP="0068751E">
      <w:pPr>
        <w:pStyle w:val="FootnoteText"/>
      </w:pPr>
      <w:r>
        <w:rPr>
          <w:rStyle w:val="FootnoteReference"/>
        </w:rPr>
        <w:footnoteRef/>
      </w:r>
      <w:r>
        <w:t xml:space="preserve"> California Energy Commission. 2010. “2009 California Residential Appliance Saturation Study”.</w:t>
      </w:r>
    </w:p>
  </w:footnote>
  <w:footnote w:id="10">
    <w:p w14:paraId="43A5C565" w14:textId="06D43AF5" w:rsidR="00084CE7" w:rsidRDefault="00084CE7" w:rsidP="0068751E">
      <w:pPr>
        <w:pStyle w:val="FootnoteText"/>
      </w:pPr>
      <w:r>
        <w:rPr>
          <w:rStyle w:val="FootnoteReference"/>
        </w:rPr>
        <w:footnoteRef/>
      </w:r>
      <w:r>
        <w:t xml:space="preserve"> SWRE005</w:t>
      </w:r>
      <w:r w:rsidRPr="00C8323D">
        <w:t xml:space="preserve"> POE Survey</w:t>
      </w:r>
      <w:r>
        <w:t>.docx</w:t>
      </w:r>
    </w:p>
  </w:footnote>
  <w:footnote w:id="11">
    <w:p w14:paraId="7449B666" w14:textId="77777777" w:rsidR="00084CE7" w:rsidRDefault="00084CE7" w:rsidP="0068751E">
      <w:pPr>
        <w:pStyle w:val="FootnoteText"/>
      </w:pPr>
      <w:r>
        <w:rPr>
          <w:rStyle w:val="FootnoteReference"/>
        </w:rPr>
        <w:footnoteRef/>
      </w:r>
      <w:r>
        <w:t xml:space="preserve"> </w:t>
      </w:r>
      <w:r w:rsidRPr="00910778">
        <w:t>California Public Utilities Commission (CPUC). 2019. “Decision 19-08-009 Rulemaking 13-11-005 Decision Modifying the Energy Efficiency Three-Prong Test Related to Fuel Substitution”. August 1</w:t>
      </w:r>
    </w:p>
  </w:footnote>
  <w:footnote w:id="12">
    <w:p w14:paraId="5469737F" w14:textId="77777777" w:rsidR="00084CE7" w:rsidRDefault="00084CE7" w:rsidP="001B15FB">
      <w:pPr>
        <w:pStyle w:val="FootnoteText"/>
      </w:pPr>
      <w:r>
        <w:rPr>
          <w:rStyle w:val="FootnoteReference"/>
        </w:rPr>
        <w:footnoteRef/>
      </w:r>
      <w:r>
        <w:t xml:space="preserve"> </w:t>
      </w:r>
      <w:r w:rsidRPr="00910778">
        <w:t>California Public Utilities Commission. 2019. “Fuel Substitution Technical Guidance for Energy Efficiency”.</w:t>
      </w:r>
    </w:p>
  </w:footnote>
  <w:footnote w:id="13">
    <w:p w14:paraId="4F53605B" w14:textId="5A7045A9" w:rsidR="00084CE7" w:rsidRDefault="00084CE7">
      <w:pPr>
        <w:pStyle w:val="FootnoteText"/>
      </w:pPr>
      <w:r>
        <w:rPr>
          <w:rStyle w:val="FootnoteReference"/>
        </w:rPr>
        <w:footnoteRef/>
      </w:r>
      <w:r>
        <w:t xml:space="preserve"> </w:t>
      </w:r>
      <w:r w:rsidRPr="00297AAE">
        <w:rPr>
          <w:rStyle w:val="eTRMFootnoteTextChar"/>
        </w:rPr>
        <w:t>Southern California Gas Company (SCG). 2018. “SWRE001 Pool Cover, Commercial Detailed Savings Methodology.”</w:t>
      </w:r>
    </w:p>
  </w:footnote>
  <w:footnote w:id="14">
    <w:p w14:paraId="25287BD4" w14:textId="12D1E3D3" w:rsidR="00084CE7" w:rsidRDefault="00084CE7">
      <w:pPr>
        <w:pStyle w:val="FootnoteText"/>
      </w:pPr>
      <w:r>
        <w:rPr>
          <w:rStyle w:val="FootnoteReference"/>
        </w:rPr>
        <w:footnoteRef/>
      </w:r>
      <w:r>
        <w:t xml:space="preserve"> </w:t>
      </w:r>
      <w:r w:rsidRPr="00297AAE">
        <w:rPr>
          <w:rStyle w:val="eTRMFootnoteTextChar"/>
        </w:rPr>
        <w:t>Southern California Gas Company (SCG). 2018. “SWRE001 Pool Cover, Commercial Detailed Savings Methodology.”</w:t>
      </w:r>
    </w:p>
  </w:footnote>
  <w:footnote w:id="15">
    <w:p w14:paraId="66BD2A19" w14:textId="60D4E223" w:rsidR="00084CE7" w:rsidRDefault="00084CE7">
      <w:pPr>
        <w:pStyle w:val="FootnoteText"/>
      </w:pPr>
      <w:r>
        <w:rPr>
          <w:rStyle w:val="FootnoteReference"/>
        </w:rPr>
        <w:footnoteRef/>
      </w:r>
      <w:r>
        <w:t xml:space="preserve"> (No author). (n.d.) “</w:t>
      </w:r>
      <w:r w:rsidRPr="00E4442E">
        <w:t>Weather File-v2.xlsx</w:t>
      </w:r>
      <w:r>
        <w:t xml:space="preserve">.” Downloaded from the National Renewable Energy Laboratory (NREL) National Solar Radiation Database (NSRD) on January 28, 2010. </w:t>
      </w:r>
    </w:p>
  </w:footnote>
  <w:footnote w:id="16">
    <w:p w14:paraId="347E7087" w14:textId="6F1997C1" w:rsidR="00084CE7" w:rsidRDefault="00084CE7" w:rsidP="00981DF2">
      <w:pPr>
        <w:pStyle w:val="FootnoteText"/>
      </w:pPr>
      <w:r>
        <w:rPr>
          <w:rStyle w:val="FootnoteReference"/>
        </w:rPr>
        <w:footnoteRef/>
      </w:r>
      <w:r>
        <w:t xml:space="preserve"> Southern California Gas Company (SCG). 2018. “Pool Cover Summary &amp; Savings Calculations 2018.xlsm.”</w:t>
      </w:r>
    </w:p>
  </w:footnote>
  <w:footnote w:id="17">
    <w:p w14:paraId="593852E5" w14:textId="77777777" w:rsidR="00084CE7" w:rsidRDefault="00084CE7" w:rsidP="00B62472">
      <w:pPr>
        <w:pStyle w:val="FootnoteText"/>
      </w:pPr>
      <w:r>
        <w:rPr>
          <w:rStyle w:val="FootnoteReference"/>
        </w:rPr>
        <w:footnoteRef/>
      </w:r>
      <w:r>
        <w:t xml:space="preserve"> R.L. Martin &amp; Associates, Inc. Energy Smart Pools Software (RSPEC!). (n.d.) Accessed July 4, 2012 at: http://www.rlmartin.com/rspec/software.htm.</w:t>
      </w:r>
    </w:p>
  </w:footnote>
  <w:footnote w:id="18">
    <w:p w14:paraId="110D84F1" w14:textId="66E87841" w:rsidR="00084CE7" w:rsidRDefault="00084CE7">
      <w:pPr>
        <w:pStyle w:val="FootnoteText"/>
      </w:pPr>
      <w:r>
        <w:rPr>
          <w:rStyle w:val="FootnoteReference"/>
        </w:rPr>
        <w:footnoteRef/>
      </w:r>
      <w:r>
        <w:t xml:space="preserve"> </w:t>
      </w:r>
      <w:r w:rsidRPr="00A7691F">
        <w:t>California Public Utilities Commission (CPUC), Energy Division. 20</w:t>
      </w:r>
      <w:r>
        <w:t>20</w:t>
      </w:r>
      <w:r w:rsidRPr="00A7691F">
        <w:t>. DEER20</w:t>
      </w:r>
      <w:r>
        <w:t>21</w:t>
      </w:r>
      <w:r w:rsidRPr="00A7691F">
        <w:t xml:space="preserve"> </w:t>
      </w:r>
      <w:r>
        <w:t>DEER Water Heater Calculator Documentation</w:t>
      </w:r>
      <w:r w:rsidRPr="00A7691F">
        <w:t>. "DEER-WaterHeater-Calculator-v</w:t>
      </w:r>
      <w:r>
        <w:t>4.1</w:t>
      </w:r>
      <w:r w:rsidRPr="00A7691F">
        <w:t xml:space="preserve">.xlsm." Updated </w:t>
      </w:r>
      <w:r>
        <w:t>June 1</w:t>
      </w:r>
      <w:r w:rsidRPr="00A7691F">
        <w:t>, 20</w:t>
      </w:r>
      <w:r>
        <w:t>20</w:t>
      </w:r>
      <w:r w:rsidRPr="00A7691F">
        <w:t>.</w:t>
      </w:r>
    </w:p>
  </w:footnote>
  <w:footnote w:id="19">
    <w:p w14:paraId="7708F6F3" w14:textId="5229ACC5" w:rsidR="00084CE7" w:rsidRDefault="00084CE7">
      <w:pPr>
        <w:pStyle w:val="FootnoteText"/>
      </w:pPr>
      <w:r>
        <w:rPr>
          <w:rStyle w:val="FootnoteReference"/>
        </w:rPr>
        <w:footnoteRef/>
      </w:r>
      <w:r>
        <w:t xml:space="preserve"> </w:t>
      </w:r>
      <w:r>
        <w:rPr>
          <w:szCs w:val="18"/>
        </w:rPr>
        <w:t>Southern California Edison (SCE). 2020. "</w:t>
      </w:r>
      <w:r w:rsidRPr="009F065B">
        <w:t xml:space="preserve"> </w:t>
      </w:r>
      <w:r w:rsidRPr="005E777D">
        <w:rPr>
          <w:szCs w:val="18"/>
        </w:rPr>
        <w:t>SWRE005-01 HP Pool Heater Analysis Summar</w:t>
      </w:r>
      <w:r>
        <w:rPr>
          <w:szCs w:val="18"/>
        </w:rPr>
        <w:t>y.xlsx"</w:t>
      </w:r>
    </w:p>
  </w:footnote>
  <w:footnote w:id="20">
    <w:p w14:paraId="77C336DC" w14:textId="313A8405" w:rsidR="00084CE7" w:rsidRDefault="00084CE7">
      <w:pPr>
        <w:pStyle w:val="FootnoteText"/>
      </w:pPr>
      <w:r>
        <w:rPr>
          <w:rStyle w:val="FootnoteReference"/>
        </w:rPr>
        <w:footnoteRef/>
      </w:r>
      <w:r>
        <w:t xml:space="preserve"> Air-Conditioning, Heating, and Refrigeration Institute (AHRI). 2014. “2014 Standard for Performance Rating of Heat Pump Pool Heaters. “</w:t>
      </w:r>
    </w:p>
  </w:footnote>
  <w:footnote w:id="21">
    <w:p w14:paraId="1B251E72" w14:textId="741BC7D2" w:rsidR="00084CE7" w:rsidRDefault="00084CE7">
      <w:pPr>
        <w:pStyle w:val="FootnoteText"/>
      </w:pPr>
      <w:r>
        <w:rPr>
          <w:rStyle w:val="FootnoteReference"/>
        </w:rPr>
        <w:footnoteRef/>
      </w:r>
      <w:r>
        <w:t xml:space="preserve"> </w:t>
      </w:r>
      <w:r>
        <w:rPr>
          <w:szCs w:val="18"/>
        </w:rPr>
        <w:t>Southern California Edison (SCE). 2020. "</w:t>
      </w:r>
      <w:r w:rsidRPr="009F065B">
        <w:t xml:space="preserve"> </w:t>
      </w:r>
      <w:r w:rsidRPr="005E777D">
        <w:rPr>
          <w:szCs w:val="18"/>
        </w:rPr>
        <w:t>SWRE005-01 HP Pool Heater Analysis Summar</w:t>
      </w:r>
      <w:r>
        <w:rPr>
          <w:szCs w:val="18"/>
        </w:rPr>
        <w:t>y.xlsx"</w:t>
      </w:r>
    </w:p>
  </w:footnote>
  <w:footnote w:id="22">
    <w:p w14:paraId="4E0A38D4" w14:textId="68CDC7E9" w:rsidR="00084CE7" w:rsidRDefault="00084CE7">
      <w:pPr>
        <w:pStyle w:val="FootnoteText"/>
      </w:pPr>
      <w:r>
        <w:rPr>
          <w:rStyle w:val="FootnoteReference"/>
        </w:rPr>
        <w:footnoteRef/>
      </w:r>
      <w:r>
        <w:t xml:space="preserve"> </w:t>
      </w:r>
      <w:r>
        <w:rPr>
          <w:szCs w:val="18"/>
        </w:rPr>
        <w:t>Southern California Edison (SCE). 2020. "</w:t>
      </w:r>
      <w:r w:rsidRPr="009F065B">
        <w:t xml:space="preserve"> </w:t>
      </w:r>
      <w:r w:rsidRPr="005E777D">
        <w:rPr>
          <w:szCs w:val="18"/>
        </w:rPr>
        <w:t>SWRE005-01 HP Pool Heater Analysis Summar</w:t>
      </w:r>
      <w:r>
        <w:rPr>
          <w:szCs w:val="18"/>
        </w:rPr>
        <w:t>y.xlsx"</w:t>
      </w:r>
    </w:p>
  </w:footnote>
  <w:footnote w:id="23">
    <w:p w14:paraId="43F93818" w14:textId="21EB7384" w:rsidR="00084CE7" w:rsidRDefault="00084CE7">
      <w:pPr>
        <w:pStyle w:val="FootnoteText"/>
      </w:pPr>
      <w:r>
        <w:rPr>
          <w:rStyle w:val="FootnoteReference"/>
        </w:rPr>
        <w:footnoteRef/>
      </w:r>
      <w:r>
        <w:t xml:space="preserve"> </w:t>
      </w:r>
      <w:r>
        <w:rPr>
          <w:szCs w:val="18"/>
        </w:rPr>
        <w:t>Southern California Edison (SCE). 2020. "</w:t>
      </w:r>
      <w:r w:rsidRPr="009F065B">
        <w:t xml:space="preserve"> </w:t>
      </w:r>
      <w:r w:rsidRPr="005E777D">
        <w:rPr>
          <w:szCs w:val="18"/>
        </w:rPr>
        <w:t>SWRE005-01 HP Pool Heater Analysis Summar</w:t>
      </w:r>
      <w:r>
        <w:rPr>
          <w:szCs w:val="18"/>
        </w:rPr>
        <w:t>y.xlsx"</w:t>
      </w:r>
    </w:p>
  </w:footnote>
  <w:footnote w:id="24">
    <w:p w14:paraId="5F9AFBE1" w14:textId="28D39B2D" w:rsidR="00084CE7" w:rsidRDefault="00084CE7">
      <w:pPr>
        <w:pStyle w:val="FootnoteText"/>
      </w:pPr>
      <w:r>
        <w:rPr>
          <w:rStyle w:val="FootnoteReference"/>
        </w:rPr>
        <w:footnoteRef/>
      </w:r>
      <w:r>
        <w:t xml:space="preserve"> Southern California Edison (SCE). 2020. “</w:t>
      </w:r>
      <w:r w:rsidRPr="0055409E">
        <w:t>SWRE005-01 Pool Heater Calculator-V32</w:t>
      </w:r>
      <w:r>
        <w:t>.xlsm”, Calcs tab and HP Data tab.</w:t>
      </w:r>
    </w:p>
  </w:footnote>
  <w:footnote w:id="25">
    <w:p w14:paraId="63F6F60D" w14:textId="7BA47FF9" w:rsidR="00084CE7" w:rsidRDefault="00084CE7">
      <w:pPr>
        <w:pStyle w:val="FootnoteText"/>
      </w:pPr>
      <w:r>
        <w:rPr>
          <w:rStyle w:val="FootnoteReference"/>
        </w:rPr>
        <w:footnoteRef/>
      </w:r>
      <w:r>
        <w:t xml:space="preserve"> Stull, Roland. </w:t>
      </w:r>
      <w:r w:rsidRPr="008A72B9">
        <w:t>University of British Columbia</w:t>
      </w:r>
      <w:r>
        <w:t>.  2011. “</w:t>
      </w:r>
      <w:r w:rsidRPr="008A72B9">
        <w:t>Wet-Bulb Temperature from Relative Humidity and Air Temperature</w:t>
      </w:r>
      <w:r>
        <w:t>.”</w:t>
      </w:r>
    </w:p>
  </w:footnote>
  <w:footnote w:id="26">
    <w:p w14:paraId="5697E663" w14:textId="07611549" w:rsidR="00084CE7" w:rsidRDefault="00084CE7" w:rsidP="00FF4DF4">
      <w:pPr>
        <w:pStyle w:val="FootnoteText"/>
      </w:pPr>
      <w:r>
        <w:rPr>
          <w:rStyle w:val="FootnoteReference"/>
        </w:rPr>
        <w:footnoteRef/>
      </w:r>
      <w:r>
        <w:t xml:space="preserve"> Southern California Gas Company (SCG). 2017. “</w:t>
      </w:r>
      <w:r w:rsidRPr="005F09B3">
        <w:rPr>
          <w:iCs/>
        </w:rPr>
        <w:t>Customers database and heating baseline analysis.xlsx.</w:t>
      </w:r>
      <w:r>
        <w:rPr>
          <w:i/>
        </w:rPr>
        <w:t>”</w:t>
      </w:r>
    </w:p>
  </w:footnote>
  <w:footnote w:id="27">
    <w:p w14:paraId="6819ADCF" w14:textId="14998719" w:rsidR="00084CE7" w:rsidRDefault="00084CE7">
      <w:pPr>
        <w:pStyle w:val="FootnoteText"/>
      </w:pPr>
      <w:r>
        <w:rPr>
          <w:rStyle w:val="FootnoteReference"/>
        </w:rPr>
        <w:footnoteRef/>
      </w:r>
      <w:r>
        <w:t xml:space="preserve"> </w:t>
      </w:r>
      <w:r>
        <w:rPr>
          <w:szCs w:val="18"/>
        </w:rPr>
        <w:t>Southern California Edison (SCE). 2020. "</w:t>
      </w:r>
      <w:r w:rsidRPr="009F065B">
        <w:t xml:space="preserve"> </w:t>
      </w:r>
      <w:r w:rsidRPr="005E777D">
        <w:rPr>
          <w:szCs w:val="18"/>
        </w:rPr>
        <w:t>SWRE005-01 HP Pool Heater Analysis Summar</w:t>
      </w:r>
      <w:r>
        <w:rPr>
          <w:szCs w:val="18"/>
        </w:rPr>
        <w:t>y.xlsx"</w:t>
      </w:r>
    </w:p>
  </w:footnote>
  <w:footnote w:id="28">
    <w:p w14:paraId="66B45D40" w14:textId="77777777" w:rsidR="00084CE7" w:rsidRDefault="00084CE7" w:rsidP="000055E6">
      <w:pPr>
        <w:pStyle w:val="FootnoteText"/>
      </w:pPr>
      <w:r>
        <w:rPr>
          <w:rStyle w:val="FootnoteReference"/>
        </w:rPr>
        <w:footnoteRef/>
      </w:r>
      <w:r>
        <w:t xml:space="preserve"> ADM Associates, Inc. 2016. “Metering and Measuring of Multi-Family Pool Pumps, Final Report – Phase 1 &amp; 2”. Prepared for Southern California Edison, San Diego Gas and Electric, Southern California Gas, and Pacific Gas and Electric. </w:t>
      </w:r>
    </w:p>
  </w:footnote>
  <w:footnote w:id="29">
    <w:p w14:paraId="1EFF3DBF" w14:textId="62F80278" w:rsidR="00084CE7" w:rsidRDefault="00084CE7">
      <w:pPr>
        <w:pStyle w:val="FootnoteText"/>
      </w:pPr>
      <w:r>
        <w:rPr>
          <w:rStyle w:val="FootnoteReference"/>
        </w:rPr>
        <w:footnoteRef/>
      </w:r>
      <w:r>
        <w:t xml:space="preserve"> </w:t>
      </w:r>
      <w:r>
        <w:rPr>
          <w:szCs w:val="18"/>
        </w:rPr>
        <w:t>Southern California Edison (SCE). 2020. "</w:t>
      </w:r>
      <w:r w:rsidRPr="009F065B">
        <w:t xml:space="preserve"> </w:t>
      </w:r>
      <w:r w:rsidRPr="005E777D">
        <w:rPr>
          <w:szCs w:val="18"/>
        </w:rPr>
        <w:t>SWRE005-01 HP Pool Heater Analysis Summar</w:t>
      </w:r>
      <w:r>
        <w:rPr>
          <w:szCs w:val="18"/>
        </w:rPr>
        <w:t xml:space="preserve">y.xlsx", Sizing Analysis tab. </w:t>
      </w:r>
    </w:p>
  </w:footnote>
  <w:footnote w:id="30">
    <w:p w14:paraId="6DE65301" w14:textId="77777777" w:rsidR="00084CE7" w:rsidRDefault="00084CE7" w:rsidP="002756A4">
      <w:pPr>
        <w:pStyle w:val="FootnoteText"/>
      </w:pPr>
      <w:r>
        <w:rPr>
          <w:rStyle w:val="FootnoteReference"/>
        </w:rPr>
        <w:footnoteRef/>
      </w:r>
      <w:r>
        <w:t xml:space="preserve"> ADM Associates, Inc. 2016. “Metering and Measuring of Multi-Family Pool Pumps, Final Report – Phase 1 &amp; 2”. Prepared for Southern California Edison, San Diego Gas and Electric, Southern California Gas, and Pacific Gas and Electric. </w:t>
      </w:r>
    </w:p>
  </w:footnote>
  <w:footnote w:id="31">
    <w:p w14:paraId="59367AF6" w14:textId="5D7186BC" w:rsidR="00084CE7" w:rsidRDefault="00084CE7">
      <w:pPr>
        <w:pStyle w:val="FootnoteText"/>
      </w:pPr>
      <w:r>
        <w:rPr>
          <w:rStyle w:val="FootnoteReference"/>
        </w:rPr>
        <w:footnoteRef/>
      </w:r>
      <w:r>
        <w:t xml:space="preserve"> </w:t>
      </w:r>
      <w:r>
        <w:rPr>
          <w:szCs w:val="18"/>
        </w:rPr>
        <w:t>Southern California Edison (SCE). 2020. "</w:t>
      </w:r>
      <w:r w:rsidRPr="009F065B">
        <w:t xml:space="preserve"> </w:t>
      </w:r>
      <w:r w:rsidRPr="005E777D">
        <w:rPr>
          <w:szCs w:val="18"/>
        </w:rPr>
        <w:t>SWRE005-01 HP Pool Heater Analysis Summar</w:t>
      </w:r>
      <w:r>
        <w:rPr>
          <w:szCs w:val="18"/>
        </w:rPr>
        <w:t>y.xlsx"</w:t>
      </w:r>
    </w:p>
  </w:footnote>
  <w:footnote w:id="32">
    <w:p w14:paraId="3CD59BDF" w14:textId="2D31EB60" w:rsidR="00084CE7" w:rsidRDefault="00084CE7">
      <w:pPr>
        <w:pStyle w:val="FootnoteText"/>
      </w:pPr>
      <w:r>
        <w:rPr>
          <w:rStyle w:val="FootnoteReference"/>
        </w:rPr>
        <w:footnoteRef/>
      </w:r>
      <w:r>
        <w:t xml:space="preserve"> ADM Associates, Inc. 2016. “Metering and Measuring of Multi-Family Pool Pumps, Final Report – Phase 1 &amp; 2”. Prepared for Southern California Edison, San Diego Gas and Electric, Southern California Gas, and Pacific Gas and Electric. </w:t>
      </w:r>
    </w:p>
  </w:footnote>
  <w:footnote w:id="33">
    <w:p w14:paraId="1C6BE221" w14:textId="77777777" w:rsidR="00084CE7" w:rsidRDefault="00084CE7" w:rsidP="002756A4">
      <w:pPr>
        <w:pStyle w:val="FootnoteText"/>
      </w:pPr>
      <w:r>
        <w:rPr>
          <w:rStyle w:val="FootnoteReference"/>
        </w:rPr>
        <w:footnoteRef/>
      </w:r>
      <w:r>
        <w:t xml:space="preserve"> Energy Solutions and Misti </w:t>
      </w:r>
      <w:proofErr w:type="spellStart"/>
      <w:r>
        <w:t>Bruceri</w:t>
      </w:r>
      <w:proofErr w:type="spellEnd"/>
      <w:r>
        <w:t xml:space="preserve"> &amp; Associate, LLC. 2019. “Cost Effectiveness </w:t>
      </w:r>
      <w:proofErr w:type="spellStart"/>
      <w:proofErr w:type="gramStart"/>
      <w:r>
        <w:t>Study:All</w:t>
      </w:r>
      <w:proofErr w:type="spellEnd"/>
      <w:proofErr w:type="gramEnd"/>
      <w:r>
        <w:t xml:space="preserve"> Electric Heat Pump Pool Heating - Non-Preempted”. Prepared for Jeremy </w:t>
      </w:r>
      <w:proofErr w:type="spellStart"/>
      <w:r>
        <w:t>Reefe</w:t>
      </w:r>
      <w:proofErr w:type="spellEnd"/>
      <w:r>
        <w:t>, Codes and Standards Program at San Diego Gas and Electric.</w:t>
      </w:r>
    </w:p>
  </w:footnote>
  <w:footnote w:id="34">
    <w:p w14:paraId="292D72E6" w14:textId="172B6500" w:rsidR="00084CE7" w:rsidRDefault="00084CE7">
      <w:pPr>
        <w:pStyle w:val="FootnoteText"/>
      </w:pPr>
      <w:r>
        <w:rPr>
          <w:rStyle w:val="FootnoteReference"/>
        </w:rPr>
        <w:footnoteRef/>
      </w:r>
      <w:r>
        <w:t xml:space="preserve"> United States Department of Energy. “Heat Pump Swimming Pool Heaters, Energy Saver.” </w:t>
      </w:r>
      <w:r w:rsidRPr="00ED21DD">
        <w:t>https://www.energy.gov/energysaver/heat-pump-swimming-pool-heaters</w:t>
      </w:r>
    </w:p>
  </w:footnote>
  <w:footnote w:id="35">
    <w:p w14:paraId="58F7C558" w14:textId="001602AE" w:rsidR="00084CE7" w:rsidRDefault="00084CE7">
      <w:pPr>
        <w:pStyle w:val="FootnoteText"/>
      </w:pPr>
      <w:r>
        <w:rPr>
          <w:rStyle w:val="FootnoteReference"/>
        </w:rPr>
        <w:footnoteRef/>
      </w:r>
      <w:r>
        <w:t xml:space="preserve"> Southern California Gas Company (SCG). 2018. “Pool Cover Summary &amp; Savings Calculations 2018.xlsm.”</w:t>
      </w:r>
    </w:p>
  </w:footnote>
  <w:footnote w:id="36">
    <w:p w14:paraId="193665CE" w14:textId="7A0CDCBB" w:rsidR="00084CE7" w:rsidRDefault="00084CE7">
      <w:pPr>
        <w:pStyle w:val="FootnoteText"/>
      </w:pPr>
      <w:r>
        <w:rPr>
          <w:rStyle w:val="FootnoteReference"/>
        </w:rPr>
        <w:footnoteRef/>
      </w:r>
      <w:r>
        <w:t xml:space="preserve"> </w:t>
      </w:r>
      <w:r>
        <w:rPr>
          <w:szCs w:val="18"/>
        </w:rPr>
        <w:t>Southern California Edison (SCE). 2020. "</w:t>
      </w:r>
      <w:r w:rsidRPr="009F065B">
        <w:t xml:space="preserve"> </w:t>
      </w:r>
      <w:r w:rsidRPr="005E777D">
        <w:rPr>
          <w:szCs w:val="18"/>
        </w:rPr>
        <w:t>SWRE005-01 HP Pool Heater Analysis Summar</w:t>
      </w:r>
      <w:r>
        <w:rPr>
          <w:szCs w:val="18"/>
        </w:rPr>
        <w:t>y.xlsx", Sizing Analysis tab.</w:t>
      </w:r>
    </w:p>
  </w:footnote>
  <w:footnote w:id="37">
    <w:p w14:paraId="6BBFF922" w14:textId="04EF76D8" w:rsidR="00084CE7" w:rsidRDefault="00084CE7">
      <w:pPr>
        <w:pStyle w:val="FootnoteText"/>
      </w:pPr>
      <w:r>
        <w:rPr>
          <w:rStyle w:val="FootnoteReference"/>
        </w:rPr>
        <w:footnoteRef/>
      </w:r>
      <w:r>
        <w:t xml:space="preserve"> </w:t>
      </w:r>
      <w:r>
        <w:rPr>
          <w:szCs w:val="18"/>
        </w:rPr>
        <w:t>Southern California Edison (SCE). 2020. "</w:t>
      </w:r>
      <w:r w:rsidRPr="009F065B">
        <w:t xml:space="preserve"> </w:t>
      </w:r>
      <w:r w:rsidRPr="005E777D">
        <w:rPr>
          <w:szCs w:val="18"/>
        </w:rPr>
        <w:t>SWRE005-01 HP Pool Heater Analysis Summar</w:t>
      </w:r>
      <w:r>
        <w:rPr>
          <w:szCs w:val="18"/>
        </w:rPr>
        <w:t>y.xlsx"</w:t>
      </w:r>
    </w:p>
  </w:footnote>
  <w:footnote w:id="38">
    <w:p w14:paraId="497CF32E" w14:textId="378A784C" w:rsidR="00084CE7" w:rsidRDefault="00084CE7">
      <w:pPr>
        <w:pStyle w:val="FootnoteText"/>
      </w:pPr>
      <w:r>
        <w:rPr>
          <w:rStyle w:val="FootnoteReference"/>
        </w:rPr>
        <w:footnoteRef/>
      </w:r>
      <w:r>
        <w:t xml:space="preserve"> Energy Solutions and Misti </w:t>
      </w:r>
      <w:proofErr w:type="spellStart"/>
      <w:r>
        <w:t>Bruceri</w:t>
      </w:r>
      <w:proofErr w:type="spellEnd"/>
      <w:r>
        <w:t xml:space="preserve"> &amp; Associate, LLC. 2019. “Cost Effectiveness </w:t>
      </w:r>
      <w:proofErr w:type="spellStart"/>
      <w:proofErr w:type="gramStart"/>
      <w:r>
        <w:t>Study:All</w:t>
      </w:r>
      <w:proofErr w:type="spellEnd"/>
      <w:proofErr w:type="gramEnd"/>
      <w:r>
        <w:t xml:space="preserve"> Electric Heat Pump Pool Heating - Non-Preempted”. Prepared for Jeremy </w:t>
      </w:r>
      <w:proofErr w:type="spellStart"/>
      <w:r>
        <w:t>Reefe</w:t>
      </w:r>
      <w:proofErr w:type="spellEnd"/>
      <w:r>
        <w:t>, Codes and Standards Program at San Diego Gas and Electric.</w:t>
      </w:r>
    </w:p>
  </w:footnote>
  <w:footnote w:id="39">
    <w:p w14:paraId="1CF34036" w14:textId="6895D270" w:rsidR="00084CE7" w:rsidRDefault="00084CE7">
      <w:pPr>
        <w:pStyle w:val="FootnoteText"/>
      </w:pPr>
      <w:r>
        <w:rPr>
          <w:rStyle w:val="FootnoteReference"/>
        </w:rPr>
        <w:footnoteRef/>
      </w:r>
      <w:r>
        <w:t xml:space="preserve"> California Energy Commission (CEC). 2010. </w:t>
      </w:r>
      <w:r w:rsidRPr="007B5336">
        <w:rPr>
          <w:rStyle w:val="Emphasis"/>
        </w:rPr>
        <w:t>CA Building Energy Efficiency Standards – Title 24 (</w:t>
      </w:r>
      <w:r>
        <w:rPr>
          <w:rStyle w:val="Emphasis"/>
        </w:rPr>
        <w:t>2008</w:t>
      </w:r>
      <w:r w:rsidRPr="007B5336">
        <w:rPr>
          <w:rStyle w:val="Emphasis"/>
        </w:rPr>
        <w:t>)</w:t>
      </w:r>
      <w:r>
        <w:t>. CEC-400-2008-001-CMF</w:t>
      </w:r>
    </w:p>
  </w:footnote>
  <w:footnote w:id="40">
    <w:p w14:paraId="6619E9FC" w14:textId="39EDA005" w:rsidR="00084CE7" w:rsidRDefault="00084CE7">
      <w:pPr>
        <w:pStyle w:val="FootnoteText"/>
      </w:pPr>
      <w:r>
        <w:rPr>
          <w:rStyle w:val="FootnoteReference"/>
        </w:rPr>
        <w:footnoteRef/>
      </w:r>
      <w:r>
        <w:t xml:space="preserve"> </w:t>
      </w:r>
      <w:proofErr w:type="spellStart"/>
      <w:r>
        <w:t>Koeller</w:t>
      </w:r>
      <w:proofErr w:type="spellEnd"/>
      <w:r>
        <w:t xml:space="preserve"> and Company. 2004. “Swimming Pool Cover Rebate Program, Follow-up Customer Survey.” Prepared for the Inland Empire Utilities Agency and Metropolitan Water District of Southern California. </w:t>
      </w:r>
    </w:p>
  </w:footnote>
  <w:footnote w:id="41">
    <w:p w14:paraId="46C2EB77" w14:textId="36C3BD3E" w:rsidR="00084CE7" w:rsidRDefault="00084CE7">
      <w:pPr>
        <w:pStyle w:val="FootnoteText"/>
      </w:pPr>
      <w:r>
        <w:rPr>
          <w:rStyle w:val="FootnoteReference"/>
        </w:rPr>
        <w:footnoteRef/>
      </w:r>
      <w:r>
        <w:t xml:space="preserve"> Southern California Edison. 2020. “</w:t>
      </w:r>
      <w:r w:rsidRPr="0055409E">
        <w:t>SWRE005-01 Pool Heater Calculator-V32_11-10-2020</w:t>
      </w:r>
      <w:r>
        <w:t>.xlsm”</w:t>
      </w:r>
    </w:p>
  </w:footnote>
  <w:footnote w:id="42">
    <w:p w14:paraId="5111F952" w14:textId="7AB4D9E5" w:rsidR="00084CE7" w:rsidRDefault="00084CE7" w:rsidP="00BC5A43">
      <w:pPr>
        <w:pStyle w:val="FootnoteText"/>
      </w:pPr>
      <w:r>
        <w:rPr>
          <w:rStyle w:val="FootnoteReference"/>
        </w:rPr>
        <w:footnoteRef/>
      </w:r>
      <w:r>
        <w:t xml:space="preserve"> California Public Utilities Commission, Energy Division. 2020. </w:t>
      </w:r>
      <w:r>
        <w:rPr>
          <w:i/>
        </w:rPr>
        <w:t>Energy Efficiency Policy Manual Version 6</w:t>
      </w:r>
      <w:r>
        <w:t>. Page 34.</w:t>
      </w:r>
      <w:r w:rsidRPr="00C554DF" w:rsidDel="006C775C">
        <w:t xml:space="preserve"> </w:t>
      </w:r>
    </w:p>
  </w:footnote>
  <w:footnote w:id="43">
    <w:p w14:paraId="39968C91" w14:textId="77777777" w:rsidR="00084CE7" w:rsidRDefault="00084CE7" w:rsidP="00BC5A43">
      <w:pPr>
        <w:pStyle w:val="FootnoteText"/>
      </w:pPr>
      <w:r>
        <w:rPr>
          <w:rStyle w:val="FootnoteReference"/>
        </w:rPr>
        <w:footnoteRef/>
      </w:r>
      <w:r>
        <w:t xml:space="preserve"> </w:t>
      </w:r>
      <w:r w:rsidRPr="00C554DF">
        <w:rPr>
          <w:rFonts w:eastAsia="Times New Roman" w:cs="Times New Roman"/>
          <w:color w:val="000000"/>
          <w:szCs w:val="18"/>
        </w:rPr>
        <w:t xml:space="preserve">KEMA, Inc. 2008. "Summary of EUL-RUL Analysis for the April 2008 Update to DEER." </w:t>
      </w:r>
      <w:r w:rsidRPr="00C554DF">
        <w:rPr>
          <w:rFonts w:eastAsia="Times New Roman" w:cs="Times New Roman"/>
          <w:szCs w:val="18"/>
        </w:rPr>
        <w:t xml:space="preserve">Memorandum submitted to </w:t>
      </w:r>
      <w:proofErr w:type="spellStart"/>
      <w:r w:rsidRPr="00C554DF">
        <w:rPr>
          <w:rFonts w:eastAsia="Times New Roman" w:cs="Times New Roman"/>
          <w:szCs w:val="18"/>
        </w:rPr>
        <w:t>Itron</w:t>
      </w:r>
      <w:proofErr w:type="spellEnd"/>
      <w:r w:rsidRPr="00C554DF">
        <w:rPr>
          <w:rFonts w:eastAsia="Times New Roman" w:cs="Times New Roman"/>
          <w:szCs w:val="18"/>
        </w:rPr>
        <w:t>, Inc.</w:t>
      </w:r>
    </w:p>
  </w:footnote>
  <w:footnote w:id="44">
    <w:p w14:paraId="5F9B5EFB" w14:textId="77777777" w:rsidR="00084CE7" w:rsidRDefault="00084CE7" w:rsidP="00BC5A43">
      <w:pPr>
        <w:pStyle w:val="FootnoteText"/>
      </w:pPr>
      <w:r>
        <w:rPr>
          <w:rStyle w:val="FootnoteReference"/>
        </w:rPr>
        <w:footnoteRef/>
      </w:r>
      <w:r>
        <w:t xml:space="preserve"> </w:t>
      </w:r>
      <w:r w:rsidRPr="00EF5144">
        <w:t>California Public Utilities Commission</w:t>
      </w:r>
      <w:r>
        <w:t xml:space="preserve"> (CPUC)</w:t>
      </w:r>
      <w:r w:rsidRPr="00EF5144">
        <w:t xml:space="preserve">. </w:t>
      </w:r>
      <w:r>
        <w:t xml:space="preserve">2016. </w:t>
      </w:r>
      <w:r w:rsidRPr="00EF5144">
        <w:t>Resolution E-4807</w:t>
      </w:r>
      <w:r>
        <w:t>.</w:t>
      </w:r>
      <w:r w:rsidRPr="00EF5144">
        <w:t xml:space="preserve"> December </w:t>
      </w:r>
      <w:r>
        <w:t>16.</w:t>
      </w:r>
      <w:r w:rsidRPr="00F3041A">
        <w:t xml:space="preserve"> </w:t>
      </w:r>
      <w:r w:rsidRPr="0008447C">
        <w:rPr>
          <w:rStyle w:val="eTRMFootnoteTextChar"/>
        </w:rPr>
        <w:t>P</w:t>
      </w:r>
      <w:r>
        <w:rPr>
          <w:rStyle w:val="eTRMFootnoteTextChar"/>
        </w:rPr>
        <w:t xml:space="preserve">age </w:t>
      </w:r>
      <w:r w:rsidRPr="0008447C">
        <w:rPr>
          <w:rStyle w:val="eTRMFootnoteTextChar"/>
        </w:rPr>
        <w:t>13</w:t>
      </w:r>
      <w:r>
        <w:rPr>
          <w:rStyle w:val="eTRMFootnoteTextChar"/>
        </w:rPr>
        <w:t>.</w:t>
      </w:r>
      <w:r w:rsidRPr="0008447C">
        <w:rPr>
          <w:rStyle w:val="eTRMFootnoteTextChar"/>
        </w:rPr>
        <w:t xml:space="preserve">  </w:t>
      </w:r>
    </w:p>
  </w:footnote>
  <w:footnote w:id="45">
    <w:p w14:paraId="0D3A39BE" w14:textId="0159F1C2" w:rsidR="00084CE7" w:rsidRDefault="00084CE7">
      <w:pPr>
        <w:pStyle w:val="FootnoteText"/>
      </w:pPr>
      <w:r>
        <w:rPr>
          <w:rStyle w:val="FootnoteReference"/>
        </w:rPr>
        <w:footnoteRef/>
      </w:r>
      <w:r>
        <w:t xml:space="preserve"> Davis Energy Group and Energy Solutions. 2004. </w:t>
      </w:r>
      <w:r>
        <w:rPr>
          <w:rStyle w:val="Emphasis"/>
        </w:rPr>
        <w:t xml:space="preserve">Codes and Standards Enhancement Initiative for PY2004: Title 20 Standards Development - Analysis of Standards Options for Residential Pool Pumps, Motors, and Controls. </w:t>
      </w:r>
      <w:r>
        <w:t>Prepared for Pacific Gas and Electric (PG&amp;E). May 12.</w:t>
      </w:r>
    </w:p>
  </w:footnote>
  <w:footnote w:id="46">
    <w:p w14:paraId="16ACA3F9" w14:textId="07182AD1" w:rsidR="00084CE7" w:rsidRDefault="00084CE7" w:rsidP="00EC1831">
      <w:pPr>
        <w:pStyle w:val="FootnoteText"/>
      </w:pPr>
      <w:r>
        <w:rPr>
          <w:rStyle w:val="FootnoteReference"/>
        </w:rPr>
        <w:footnoteRef/>
      </w:r>
      <w:r>
        <w:t xml:space="preserve"> </w:t>
      </w:r>
      <w:r>
        <w:rPr>
          <w:szCs w:val="18"/>
        </w:rPr>
        <w:t>Southern California Edison (SCE). 2021. "</w:t>
      </w:r>
      <w:r w:rsidRPr="009F065B">
        <w:t xml:space="preserve"> </w:t>
      </w:r>
      <w:r>
        <w:rPr>
          <w:szCs w:val="18"/>
        </w:rPr>
        <w:t>SWRE005-01 Measure DataSpec.xlsm,” Online Retailer Cost Tab</w:t>
      </w:r>
    </w:p>
  </w:footnote>
  <w:footnote w:id="47">
    <w:p w14:paraId="5974185D" w14:textId="452F5AE2" w:rsidR="00084CE7" w:rsidRDefault="00084CE7" w:rsidP="00C80526">
      <w:pPr>
        <w:pStyle w:val="FootnoteText"/>
      </w:pPr>
      <w:r>
        <w:rPr>
          <w:rStyle w:val="FootnoteReference"/>
        </w:rPr>
        <w:footnoteRef/>
      </w:r>
      <w:r>
        <w:rPr>
          <w:szCs w:val="18"/>
        </w:rPr>
        <w:t xml:space="preserve"> Southern California Edison (SCE). 2021. "</w:t>
      </w:r>
      <w:r w:rsidRPr="009F065B">
        <w:t xml:space="preserve"> </w:t>
      </w:r>
      <w:r>
        <w:rPr>
          <w:szCs w:val="18"/>
        </w:rPr>
        <w:t>SWRE005-01 Measure DataSpec.xlsm,” Online Retailer Cost Tab</w:t>
      </w:r>
    </w:p>
  </w:footnote>
  <w:footnote w:id="48">
    <w:p w14:paraId="266EFF4D" w14:textId="15A1D0AD" w:rsidR="00084CE7" w:rsidRDefault="00084CE7" w:rsidP="00676F43">
      <w:pPr>
        <w:pStyle w:val="FootnoteText"/>
      </w:pPr>
      <w:r>
        <w:rPr>
          <w:rStyle w:val="FootnoteReference"/>
        </w:rPr>
        <w:footnoteRef/>
      </w:r>
      <w:r>
        <w:t xml:space="preserve"> </w:t>
      </w:r>
      <w:r w:rsidRPr="00873146">
        <w:t>20</w:t>
      </w:r>
      <w:r>
        <w:t>21</w:t>
      </w:r>
      <w:r w:rsidRPr="00873146">
        <w:t xml:space="preserve"> </w:t>
      </w:r>
      <w:proofErr w:type="spellStart"/>
      <w:r w:rsidRPr="00873146">
        <w:t>RSMeans</w:t>
      </w:r>
      <w:proofErr w:type="spellEnd"/>
      <w:r w:rsidRPr="00873146">
        <w:t xml:space="preserve"> Cost Data</w:t>
      </w:r>
    </w:p>
  </w:footnote>
  <w:footnote w:id="49">
    <w:p w14:paraId="0B44EDDD" w14:textId="056BAA12" w:rsidR="00084CE7" w:rsidRDefault="00084CE7" w:rsidP="00676F43">
      <w:pPr>
        <w:pStyle w:val="FootnoteText"/>
      </w:pPr>
      <w:r>
        <w:rPr>
          <w:rStyle w:val="FootnoteReference"/>
        </w:rPr>
        <w:footnoteRef/>
      </w:r>
      <w:r>
        <w:t xml:space="preserve"> </w:t>
      </w:r>
      <w:proofErr w:type="spellStart"/>
      <w:r w:rsidRPr="005F1955">
        <w:t>RSMeans</w:t>
      </w:r>
      <w:proofErr w:type="spellEnd"/>
      <w:r w:rsidRPr="005F1955">
        <w:t xml:space="preserve"> </w:t>
      </w:r>
      <w:r>
        <w:t xml:space="preserve">2021 </w:t>
      </w:r>
      <w:proofErr w:type="spellStart"/>
      <w:r w:rsidRPr="00873146">
        <w:t>RSMeans</w:t>
      </w:r>
      <w:proofErr w:type="spellEnd"/>
      <w:r w:rsidRPr="00873146">
        <w:t xml:space="preserve"> </w:t>
      </w:r>
      <w:r>
        <w:t xml:space="preserve">Residential Labor Rates, </w:t>
      </w:r>
      <w:r w:rsidRPr="003412E8">
        <w:t>https://www.rsmeansonline.com/References/LABORRATE/2-Year%202021%20Labor%20Rates/Residential%20Labor%20Rates.PDF</w:t>
      </w:r>
      <w:r>
        <w:t xml:space="preserve">, </w:t>
      </w:r>
      <w:r w:rsidRPr="00873146">
        <w:t>“</w:t>
      </w:r>
      <w:r>
        <w:t>Residential Labor Rates.</w:t>
      </w:r>
      <w:r w:rsidRPr="00873146">
        <w:t>pdf””</w:t>
      </w:r>
    </w:p>
  </w:footnote>
  <w:footnote w:id="50">
    <w:p w14:paraId="6E65F64C" w14:textId="44BE6A77" w:rsidR="00084CE7" w:rsidRDefault="00084CE7" w:rsidP="00676F43">
      <w:pPr>
        <w:pStyle w:val="FootnoteText"/>
      </w:pPr>
      <w:r>
        <w:rPr>
          <w:rStyle w:val="FootnoteReference"/>
        </w:rPr>
        <w:footnoteRef/>
      </w:r>
      <w:r>
        <w:t xml:space="preserve"> </w:t>
      </w:r>
      <w:r>
        <w:rPr>
          <w:szCs w:val="18"/>
        </w:rPr>
        <w:t>Southern California Edison (SCE). 2021. "</w:t>
      </w:r>
      <w:r w:rsidRPr="009F065B">
        <w:t xml:space="preserve"> </w:t>
      </w:r>
      <w:r>
        <w:rPr>
          <w:szCs w:val="18"/>
        </w:rPr>
        <w:t>SWRE005-01 Measure DataSpec.xlsm,” Cost Summary Tab</w:t>
      </w:r>
    </w:p>
  </w:footnote>
  <w:footnote w:id="51">
    <w:p w14:paraId="18125CA7" w14:textId="3B20AF09" w:rsidR="00084CE7" w:rsidRDefault="00084CE7" w:rsidP="00777586">
      <w:pPr>
        <w:pStyle w:val="FootnoteText"/>
      </w:pPr>
      <w:r>
        <w:rPr>
          <w:rStyle w:val="FootnoteReference"/>
        </w:rPr>
        <w:footnoteRef/>
      </w:r>
      <w:r>
        <w:t xml:space="preserve"> </w:t>
      </w:r>
      <w:r w:rsidRPr="00873146">
        <w:t>20</w:t>
      </w:r>
      <w:r>
        <w:t>21</w:t>
      </w:r>
      <w:r w:rsidRPr="00873146">
        <w:t xml:space="preserve"> </w:t>
      </w:r>
      <w:proofErr w:type="spellStart"/>
      <w:r w:rsidRPr="00873146">
        <w:t>RSMeans</w:t>
      </w:r>
      <w:proofErr w:type="spellEnd"/>
      <w:r w:rsidRPr="00873146">
        <w:t xml:space="preserve"> Cost Data</w:t>
      </w:r>
    </w:p>
  </w:footnote>
  <w:footnote w:id="52">
    <w:p w14:paraId="13791FB4" w14:textId="487CCB15" w:rsidR="00084CE7" w:rsidRDefault="00084CE7" w:rsidP="00777586">
      <w:pPr>
        <w:pStyle w:val="FootnoteText"/>
      </w:pPr>
      <w:r>
        <w:rPr>
          <w:rStyle w:val="FootnoteReference"/>
        </w:rPr>
        <w:footnoteRef/>
      </w:r>
      <w:r>
        <w:t xml:space="preserve"> </w:t>
      </w:r>
      <w:proofErr w:type="spellStart"/>
      <w:r w:rsidRPr="005F1955">
        <w:t>RSMeans</w:t>
      </w:r>
      <w:proofErr w:type="spellEnd"/>
      <w:r w:rsidRPr="005F1955">
        <w:t xml:space="preserve"> </w:t>
      </w:r>
      <w:r>
        <w:t xml:space="preserve">2021 </w:t>
      </w:r>
      <w:proofErr w:type="spellStart"/>
      <w:r w:rsidRPr="00873146">
        <w:t>RSMeans</w:t>
      </w:r>
      <w:proofErr w:type="spellEnd"/>
      <w:r w:rsidRPr="00873146">
        <w:t xml:space="preserve"> </w:t>
      </w:r>
      <w:r>
        <w:t xml:space="preserve">Residential Labor Rates, </w:t>
      </w:r>
      <w:r w:rsidRPr="003412E8">
        <w:t>https://www.rsmeansonline.com/References/LABORRATE/2-Year%202021%20Labor%20Rates/Residential%20Labor%20Rates.PDF</w:t>
      </w:r>
      <w:r>
        <w:t xml:space="preserve">, </w:t>
      </w:r>
      <w:r w:rsidRPr="00873146">
        <w:t>“</w:t>
      </w:r>
      <w:r>
        <w:t>Residential Labor Rates.</w:t>
      </w:r>
      <w:r w:rsidRPr="00873146">
        <w:t>pdf”</w:t>
      </w:r>
    </w:p>
  </w:footnote>
  <w:footnote w:id="53">
    <w:p w14:paraId="089EDCDC" w14:textId="77777777" w:rsidR="00084CE7" w:rsidRDefault="00084CE7" w:rsidP="00777586">
      <w:pPr>
        <w:pStyle w:val="FootnoteText"/>
      </w:pPr>
      <w:r>
        <w:rPr>
          <w:rStyle w:val="FootnoteReference"/>
        </w:rPr>
        <w:footnoteRef/>
      </w:r>
      <w:r>
        <w:t xml:space="preserve"> </w:t>
      </w:r>
      <w:r w:rsidRPr="00873146">
        <w:t>20</w:t>
      </w:r>
      <w:r>
        <w:t>20</w:t>
      </w:r>
      <w:r w:rsidRPr="00873146">
        <w:t xml:space="preserve"> </w:t>
      </w:r>
      <w:proofErr w:type="spellStart"/>
      <w:r w:rsidRPr="00873146">
        <w:t>RSMeans</w:t>
      </w:r>
      <w:proofErr w:type="spellEnd"/>
      <w:r w:rsidRPr="00873146">
        <w:t xml:space="preserve"> </w:t>
      </w:r>
      <w:r>
        <w:t>Electrical</w:t>
      </w:r>
      <w:r w:rsidRPr="00873146">
        <w:t xml:space="preserve"> Cost Data</w:t>
      </w:r>
    </w:p>
  </w:footnote>
  <w:footnote w:id="54">
    <w:p w14:paraId="518B93CD" w14:textId="77777777" w:rsidR="00084CE7" w:rsidRDefault="00084CE7" w:rsidP="00777586">
      <w:pPr>
        <w:pStyle w:val="FootnoteText"/>
      </w:pPr>
      <w:r>
        <w:rPr>
          <w:rStyle w:val="FootnoteReference"/>
        </w:rPr>
        <w:footnoteRef/>
      </w:r>
      <w:r>
        <w:t xml:space="preserve"> </w:t>
      </w:r>
      <w:proofErr w:type="spellStart"/>
      <w:r w:rsidRPr="005F1955">
        <w:t>RSMeans</w:t>
      </w:r>
      <w:proofErr w:type="spellEnd"/>
      <w:r w:rsidRPr="005F1955">
        <w:t xml:space="preserve"> </w:t>
      </w:r>
      <w:r>
        <w:t xml:space="preserve">2020 Residential Labor Rates. </w:t>
      </w:r>
      <w:r w:rsidRPr="00EE2874">
        <w:t>https://www.rsmeansonline.com/References/LABORRATE/2-Year%202020%20Labor%20Rates/Residential%20Labor%20Rates.PDF</w:t>
      </w:r>
    </w:p>
  </w:footnote>
  <w:footnote w:id="55">
    <w:p w14:paraId="068C3500" w14:textId="77777777" w:rsidR="00084CE7" w:rsidRDefault="00084CE7" w:rsidP="00EC1831">
      <w:pPr>
        <w:pStyle w:val="FootnoteText"/>
      </w:pPr>
      <w:r>
        <w:rPr>
          <w:rStyle w:val="FootnoteReference"/>
        </w:rPr>
        <w:footnoteRef/>
      </w:r>
      <w:r>
        <w:t xml:space="preserve"> </w:t>
      </w:r>
      <w:r w:rsidRPr="00E30871">
        <w:t xml:space="preserve">California Public Utilities Commission. 2019. </w:t>
      </w:r>
      <w:r>
        <w:t>“</w:t>
      </w:r>
      <w:r w:rsidRPr="00E30871">
        <w:t>Fuel Substitution Technical Guidance for Energy Efficiency</w:t>
      </w:r>
      <w:r>
        <w:t>”</w:t>
      </w:r>
      <w:r w:rsidRPr="00E30871">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14C8F" w14:textId="159C53FF" w:rsidR="00084CE7" w:rsidRPr="000220A0" w:rsidRDefault="00084CE7"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F1ACE" w14:textId="28F384A1" w:rsidR="00084CE7" w:rsidRDefault="00084CE7">
    <w:pPr>
      <w:pStyle w:val="Header"/>
    </w:pPr>
    <w:proofErr w:type="gramStart"/>
    <w:r>
      <w:rPr>
        <w:rFonts w:ascii="Calibri Light" w:hAnsi="Calibri Light"/>
      </w:rPr>
      <w:t>MEASURE  END</w:t>
    </w:r>
    <w:proofErr w:type="gramEnd"/>
    <w:r>
      <w:rPr>
        <w:rFonts w:ascii="Calibri Light" w:hAnsi="Calibri Light"/>
      </w:rPr>
      <w:t xml:space="preserve"> USE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w:t>
    </w:r>
    <w:r w:rsidRPr="000220A0">
      <w:rPr>
        <w:rFonts w:ascii="Calibri Light" w:hAnsi="Calibri Light"/>
        <w:b/>
      </w:rPr>
      <w:t xml:space="preserve"> </w:t>
    </w:r>
    <w:r>
      <w:rPr>
        <w:rFonts w:ascii="Calibri Light" w:hAnsi="Calibri Light"/>
        <w:b/>
      </w:rPr>
      <w:t xml:space="preserve"> Measure Name</w:t>
    </w:r>
  </w:p>
  <w:p w14:paraId="0BBA2503" w14:textId="77777777" w:rsidR="00084CE7" w:rsidRDefault="00084CE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DAB8AA" w14:textId="77777777" w:rsidR="00084CE7" w:rsidRDefault="00084CE7" w:rsidP="00BD221D">
    <w:pPr>
      <w:jc w:val="center"/>
    </w:pPr>
  </w:p>
  <w:p w14:paraId="342310D5" w14:textId="5BACBCD8" w:rsidR="00084CE7" w:rsidRDefault="00084CE7" w:rsidP="00BD221D">
    <w:pPr>
      <w:jc w:val="center"/>
    </w:pPr>
    <w:r>
      <w:rPr>
        <w:noProof/>
      </w:rPr>
      <w:drawing>
        <wp:inline distT="0" distB="0" distL="0" distR="0" wp14:anchorId="4B2AF0A8" wp14:editId="7258E71E">
          <wp:extent cx="937307" cy="1405961"/>
          <wp:effectExtent l="0" t="0" r="2540" b="0"/>
          <wp:docPr id="11" name="Picture 11"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C97B25" w14:textId="37B20380" w:rsidR="00084CE7" w:rsidRDefault="00084CE7">
    <w:pPr>
      <w:pStyle w:val="Header"/>
    </w:pPr>
    <w:r>
      <w:rPr>
        <w:rFonts w:ascii="Calibri Light" w:hAnsi="Calibri Light"/>
      </w:rPr>
      <w:t xml:space="preserve">RECREATION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sidRPr="00E43D71">
      <w:rPr>
        <w:rFonts w:ascii="Calibri Light" w:hAnsi="Calibri Light" w:cs="Calibri Light"/>
        <w:b/>
      </w:rPr>
      <w:t>HEAT PUMP POOL HEATER, RESIDENTIAL – FUEL SUBSTITUTION</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03757E" w14:textId="68B81AAC" w:rsidR="00084CE7" w:rsidRDefault="00084C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B24573"/>
    <w:multiLevelType w:val="multilevel"/>
    <w:tmpl w:val="F08A8422"/>
    <w:lvl w:ilvl="0">
      <w:start w:val="1"/>
      <w:numFmt w:val="decimal"/>
      <w:lvlText w:val="%1."/>
      <w:lvlJc w:val="left"/>
      <w:pPr>
        <w:ind w:left="720" w:hanging="360"/>
      </w:pPr>
    </w:lvl>
    <w:lvl w:ilvl="1">
      <w:start w:val="1"/>
      <w:numFmt w:val="decimal"/>
      <w:isLgl/>
      <w:lvlText w:val="%1.%2."/>
      <w:lvlJc w:val="left"/>
      <w:pPr>
        <w:ind w:left="720" w:hanging="360"/>
      </w:pPr>
      <w:rPr>
        <w:rFonts w:cs="Arial" w:hint="default"/>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080" w:hanging="72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440" w:hanging="1080"/>
      </w:pPr>
      <w:rPr>
        <w:rFonts w:cs="Arial" w:hint="default"/>
      </w:rPr>
    </w:lvl>
    <w:lvl w:ilvl="6">
      <w:start w:val="1"/>
      <w:numFmt w:val="decimal"/>
      <w:isLgl/>
      <w:lvlText w:val="%1.%2.%3.%4.%5.%6.%7."/>
      <w:lvlJc w:val="left"/>
      <w:pPr>
        <w:ind w:left="1800" w:hanging="1440"/>
      </w:pPr>
      <w:rPr>
        <w:rFonts w:cs="Arial" w:hint="default"/>
      </w:rPr>
    </w:lvl>
    <w:lvl w:ilvl="7">
      <w:start w:val="1"/>
      <w:numFmt w:val="decimal"/>
      <w:isLgl/>
      <w:lvlText w:val="%1.%2.%3.%4.%5.%6.%7.%8."/>
      <w:lvlJc w:val="left"/>
      <w:pPr>
        <w:ind w:left="1800" w:hanging="1440"/>
      </w:pPr>
      <w:rPr>
        <w:rFonts w:cs="Arial" w:hint="default"/>
      </w:rPr>
    </w:lvl>
    <w:lvl w:ilvl="8">
      <w:start w:val="1"/>
      <w:numFmt w:val="decimal"/>
      <w:isLgl/>
      <w:lvlText w:val="%1.%2.%3.%4.%5.%6.%7.%8.%9."/>
      <w:lvlJc w:val="left"/>
      <w:pPr>
        <w:ind w:left="2160" w:hanging="1800"/>
      </w:pPr>
      <w:rPr>
        <w:rFonts w:cs="Arial" w:hint="default"/>
      </w:rPr>
    </w:lvl>
  </w:abstractNum>
  <w:abstractNum w:abstractNumId="2"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6E2A30"/>
    <w:multiLevelType w:val="hybridMultilevel"/>
    <w:tmpl w:val="38D6C9E8"/>
    <w:lvl w:ilvl="0" w:tplc="44480520">
      <w:start w:val="1"/>
      <w:numFmt w:val="bullet"/>
      <w:lvlText w:val=""/>
      <w:lvlJc w:val="left"/>
      <w:pPr>
        <w:ind w:left="1440" w:hanging="360"/>
      </w:pPr>
      <w:rPr>
        <w:rFonts w:ascii="Symbol" w:hAnsi="Symbol" w:hint="default"/>
        <w:color w:val="6B6B6B"/>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0845A5A"/>
    <w:multiLevelType w:val="hybridMultilevel"/>
    <w:tmpl w:val="09766422"/>
    <w:lvl w:ilvl="0" w:tplc="D5BAC996">
      <w:start w:val="1"/>
      <w:numFmt w:val="bullet"/>
      <w:lvlText w:val=""/>
      <w:lvlJc w:val="left"/>
      <w:pPr>
        <w:ind w:left="-2160" w:hanging="360"/>
      </w:pPr>
      <w:rPr>
        <w:rFonts w:ascii="Symbol" w:hAnsi="Symbol" w:hint="default"/>
        <w:color w:val="404040" w:themeColor="accent3" w:themeShade="8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0" w:hanging="360"/>
      </w:pPr>
      <w:rPr>
        <w:rFonts w:ascii="Symbol" w:hAnsi="Symbol" w:hint="default"/>
      </w:rPr>
    </w:lvl>
    <w:lvl w:ilvl="4" w:tplc="04090003" w:tentative="1">
      <w:start w:val="1"/>
      <w:numFmt w:val="bullet"/>
      <w:lvlText w:val="o"/>
      <w:lvlJc w:val="left"/>
      <w:pPr>
        <w:ind w:left="720" w:hanging="360"/>
      </w:pPr>
      <w:rPr>
        <w:rFonts w:ascii="Courier New" w:hAnsi="Courier New" w:cs="Courier New" w:hint="default"/>
      </w:rPr>
    </w:lvl>
    <w:lvl w:ilvl="5" w:tplc="04090005" w:tentative="1">
      <w:start w:val="1"/>
      <w:numFmt w:val="bullet"/>
      <w:lvlText w:val=""/>
      <w:lvlJc w:val="left"/>
      <w:pPr>
        <w:ind w:left="1440" w:hanging="360"/>
      </w:pPr>
      <w:rPr>
        <w:rFonts w:ascii="Wingdings" w:hAnsi="Wingdings" w:hint="default"/>
      </w:rPr>
    </w:lvl>
    <w:lvl w:ilvl="6" w:tplc="04090001" w:tentative="1">
      <w:start w:val="1"/>
      <w:numFmt w:val="bullet"/>
      <w:lvlText w:val=""/>
      <w:lvlJc w:val="left"/>
      <w:pPr>
        <w:ind w:left="2160" w:hanging="360"/>
      </w:pPr>
      <w:rPr>
        <w:rFonts w:ascii="Symbol" w:hAnsi="Symbol" w:hint="default"/>
      </w:rPr>
    </w:lvl>
    <w:lvl w:ilvl="7" w:tplc="04090003" w:tentative="1">
      <w:start w:val="1"/>
      <w:numFmt w:val="bullet"/>
      <w:lvlText w:val="o"/>
      <w:lvlJc w:val="left"/>
      <w:pPr>
        <w:ind w:left="2880" w:hanging="360"/>
      </w:pPr>
      <w:rPr>
        <w:rFonts w:ascii="Courier New" w:hAnsi="Courier New" w:cs="Courier New" w:hint="default"/>
      </w:rPr>
    </w:lvl>
    <w:lvl w:ilvl="8" w:tplc="04090005" w:tentative="1">
      <w:start w:val="1"/>
      <w:numFmt w:val="bullet"/>
      <w:lvlText w:val=""/>
      <w:lvlJc w:val="left"/>
      <w:pPr>
        <w:ind w:left="3600" w:hanging="360"/>
      </w:pPr>
      <w:rPr>
        <w:rFonts w:ascii="Wingdings" w:hAnsi="Wingdings" w:hint="default"/>
      </w:rPr>
    </w:lvl>
  </w:abstractNum>
  <w:abstractNum w:abstractNumId="5" w15:restartNumberingAfterBreak="0">
    <w:nsid w:val="125C19D9"/>
    <w:multiLevelType w:val="multilevel"/>
    <w:tmpl w:val="40B23EEA"/>
    <w:lvl w:ilvl="0">
      <w:start w:val="1"/>
      <w:numFmt w:val="decimal"/>
      <w:suff w:val="nothing"/>
      <w:lvlText w:val="SECTION %1 - "/>
      <w:lvlJc w:val="left"/>
      <w:pPr>
        <w:ind w:left="576" w:hanging="576"/>
      </w:pPr>
      <w:rPr>
        <w:rFonts w:ascii="Arial" w:hAnsi="Arial" w:cs="Times New Roman" w:hint="default"/>
        <w:b/>
        <w:i w:val="0"/>
        <w:sz w:val="20"/>
      </w:rPr>
    </w:lvl>
    <w:lvl w:ilvl="1">
      <w:start w:val="1"/>
      <w:numFmt w:val="decimalZero"/>
      <w:lvlText w:val="%1.%2"/>
      <w:lvlJc w:val="left"/>
      <w:pPr>
        <w:tabs>
          <w:tab w:val="num" w:pos="720"/>
        </w:tabs>
        <w:ind w:left="720" w:hanging="720"/>
      </w:pPr>
      <w:rPr>
        <w:b/>
        <w:i w:val="0"/>
      </w:rPr>
    </w:lvl>
    <w:lvl w:ilvl="2">
      <w:start w:val="1"/>
      <w:numFmt w:val="upperLetter"/>
      <w:lvlText w:val="%3."/>
      <w:lvlJc w:val="left"/>
      <w:pPr>
        <w:tabs>
          <w:tab w:val="num" w:pos="3852"/>
        </w:tabs>
        <w:ind w:left="3852" w:hanging="432"/>
      </w:pPr>
    </w:lvl>
    <w:lvl w:ilvl="3">
      <w:start w:val="1"/>
      <w:numFmt w:val="decimal"/>
      <w:lvlText w:val="%4."/>
      <w:lvlJc w:val="left"/>
      <w:pPr>
        <w:tabs>
          <w:tab w:val="num" w:pos="1512"/>
        </w:tabs>
        <w:ind w:left="1512" w:hanging="432"/>
      </w:pPr>
      <w:rPr>
        <w:b w:val="0"/>
        <w:i w:val="0"/>
        <w:sz w:val="20"/>
      </w:rPr>
    </w:lvl>
    <w:lvl w:ilvl="4">
      <w:start w:val="1"/>
      <w:numFmt w:val="lowerLetter"/>
      <w:lvlText w:val="%5."/>
      <w:lvlJc w:val="left"/>
      <w:pPr>
        <w:tabs>
          <w:tab w:val="num" w:pos="2016"/>
        </w:tabs>
        <w:ind w:left="2016" w:hanging="432"/>
      </w:pPr>
      <w:rPr>
        <w:rFonts w:ascii="Arial" w:hAnsi="Arial" w:cs="Times New Roman" w:hint="default"/>
        <w:b w:val="0"/>
        <w:i w:val="0"/>
        <w:sz w:val="20"/>
      </w:rPr>
    </w:lvl>
    <w:lvl w:ilvl="5">
      <w:start w:val="1"/>
      <w:numFmt w:val="lowerRoman"/>
      <w:lvlText w:val="%6."/>
      <w:lvlJc w:val="left"/>
      <w:pPr>
        <w:tabs>
          <w:tab w:val="num" w:pos="2736"/>
        </w:tabs>
        <w:ind w:left="2448" w:hanging="432"/>
      </w:pPr>
      <w:rPr>
        <w:rFonts w:ascii="Arial" w:hAnsi="Arial" w:cs="Times New Roman" w:hint="default"/>
        <w:b w:val="0"/>
        <w:i w:val="0"/>
        <w:sz w:val="20"/>
      </w:rPr>
    </w:lvl>
    <w:lvl w:ilvl="6">
      <w:start w:val="1"/>
      <w:numFmt w:val="lowerLetter"/>
      <w:lvlText w:val="%7)"/>
      <w:lvlJc w:val="left"/>
      <w:pPr>
        <w:tabs>
          <w:tab w:val="num" w:pos="2880"/>
        </w:tabs>
        <w:ind w:left="2880" w:hanging="432"/>
      </w:pPr>
      <w:rPr>
        <w:rFonts w:ascii="Arial" w:hAnsi="Arial" w:cs="Times New Roman" w:hint="default"/>
        <w:b w:val="0"/>
        <w:i w:val="0"/>
        <w:sz w:val="20"/>
      </w:rPr>
    </w:lvl>
    <w:lvl w:ilvl="7">
      <w:start w:val="1"/>
      <w:numFmt w:val="lowerRoman"/>
      <w:lvlText w:val="%8)"/>
      <w:lvlJc w:val="left"/>
      <w:pPr>
        <w:tabs>
          <w:tab w:val="num" w:pos="3600"/>
        </w:tabs>
        <w:ind w:left="3312" w:hanging="432"/>
      </w:pPr>
      <w:rPr>
        <w:rFonts w:ascii="Arial" w:hAnsi="Arial" w:cs="Times New Roman" w:hint="default"/>
        <w:b w:val="0"/>
        <w:i w:val="0"/>
        <w:sz w:val="20"/>
      </w:rPr>
    </w:lvl>
    <w:lvl w:ilvl="8">
      <w:start w:val="27"/>
      <w:numFmt w:val="lowerLetter"/>
      <w:lvlText w:val="%9)"/>
      <w:lvlJc w:val="left"/>
      <w:pPr>
        <w:tabs>
          <w:tab w:val="num" w:pos="3744"/>
        </w:tabs>
        <w:ind w:left="3744" w:hanging="432"/>
      </w:pPr>
      <w:rPr>
        <w:rFonts w:ascii="Arial" w:hAnsi="Arial" w:cs="Times New Roman" w:hint="default"/>
        <w:b w:val="0"/>
        <w:i w:val="0"/>
        <w:sz w:val="20"/>
      </w:rPr>
    </w:lvl>
  </w:abstractNum>
  <w:abstractNum w:abstractNumId="6" w15:restartNumberingAfterBreak="0">
    <w:nsid w:val="13E60EB7"/>
    <w:multiLevelType w:val="hybridMultilevel"/>
    <w:tmpl w:val="615A44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F41790"/>
    <w:multiLevelType w:val="multilevel"/>
    <w:tmpl w:val="2F7C12DC"/>
    <w:lvl w:ilvl="0">
      <w:start w:val="1"/>
      <w:numFmt w:val="decimal"/>
      <w:suff w:val="nothing"/>
      <w:lvlText w:val="SECTION %1 - "/>
      <w:lvlJc w:val="left"/>
      <w:pPr>
        <w:ind w:left="576" w:hanging="576"/>
      </w:pPr>
      <w:rPr>
        <w:rFonts w:ascii="Arial" w:hAnsi="Arial" w:cs="Times New Roman" w:hint="default"/>
        <w:b/>
        <w:i w:val="0"/>
        <w:sz w:val="20"/>
      </w:rPr>
    </w:lvl>
    <w:lvl w:ilvl="1">
      <w:start w:val="1"/>
      <w:numFmt w:val="decimalZero"/>
      <w:lvlText w:val="%1.%2"/>
      <w:lvlJc w:val="left"/>
      <w:pPr>
        <w:tabs>
          <w:tab w:val="num" w:pos="720"/>
        </w:tabs>
        <w:ind w:left="720" w:hanging="720"/>
      </w:pPr>
      <w:rPr>
        <w:b/>
        <w:i w:val="0"/>
      </w:rPr>
    </w:lvl>
    <w:lvl w:ilvl="2">
      <w:start w:val="1"/>
      <w:numFmt w:val="upperLetter"/>
      <w:lvlText w:val="%3."/>
      <w:lvlJc w:val="left"/>
      <w:pPr>
        <w:tabs>
          <w:tab w:val="num" w:pos="3852"/>
        </w:tabs>
        <w:ind w:left="3852" w:hanging="432"/>
      </w:pPr>
    </w:lvl>
    <w:lvl w:ilvl="3">
      <w:start w:val="1"/>
      <w:numFmt w:val="decimal"/>
      <w:lvlText w:val="%4."/>
      <w:lvlJc w:val="left"/>
      <w:pPr>
        <w:tabs>
          <w:tab w:val="num" w:pos="1584"/>
        </w:tabs>
        <w:ind w:left="1584" w:hanging="432"/>
      </w:pPr>
      <w:rPr>
        <w:b w:val="0"/>
        <w:i w:val="0"/>
        <w:sz w:val="20"/>
      </w:rPr>
    </w:lvl>
    <w:lvl w:ilvl="4">
      <w:start w:val="1"/>
      <w:numFmt w:val="lowerLetter"/>
      <w:lvlText w:val="%5."/>
      <w:lvlJc w:val="left"/>
      <w:pPr>
        <w:tabs>
          <w:tab w:val="num" w:pos="2016"/>
        </w:tabs>
        <w:ind w:left="2016" w:hanging="432"/>
      </w:pPr>
      <w:rPr>
        <w:rFonts w:ascii="Arial" w:hAnsi="Arial" w:cs="Times New Roman" w:hint="default"/>
        <w:b w:val="0"/>
        <w:i w:val="0"/>
        <w:sz w:val="20"/>
      </w:rPr>
    </w:lvl>
    <w:lvl w:ilvl="5">
      <w:start w:val="1"/>
      <w:numFmt w:val="lowerRoman"/>
      <w:lvlText w:val="%6."/>
      <w:lvlJc w:val="left"/>
      <w:pPr>
        <w:tabs>
          <w:tab w:val="num" w:pos="2736"/>
        </w:tabs>
        <w:ind w:left="2448" w:hanging="432"/>
      </w:pPr>
      <w:rPr>
        <w:rFonts w:ascii="Arial" w:hAnsi="Arial" w:cs="Times New Roman" w:hint="default"/>
        <w:b w:val="0"/>
        <w:i w:val="0"/>
        <w:sz w:val="20"/>
      </w:rPr>
    </w:lvl>
    <w:lvl w:ilvl="6">
      <w:start w:val="1"/>
      <w:numFmt w:val="lowerLetter"/>
      <w:lvlText w:val="%7)"/>
      <w:lvlJc w:val="left"/>
      <w:pPr>
        <w:tabs>
          <w:tab w:val="num" w:pos="2880"/>
        </w:tabs>
        <w:ind w:left="2880" w:hanging="432"/>
      </w:pPr>
      <w:rPr>
        <w:rFonts w:ascii="Arial" w:hAnsi="Arial" w:cs="Times New Roman" w:hint="default"/>
        <w:b w:val="0"/>
        <w:i w:val="0"/>
        <w:sz w:val="20"/>
      </w:rPr>
    </w:lvl>
    <w:lvl w:ilvl="7">
      <w:start w:val="1"/>
      <w:numFmt w:val="lowerRoman"/>
      <w:lvlText w:val="%8)"/>
      <w:lvlJc w:val="left"/>
      <w:pPr>
        <w:tabs>
          <w:tab w:val="num" w:pos="3600"/>
        </w:tabs>
        <w:ind w:left="3312" w:hanging="432"/>
      </w:pPr>
      <w:rPr>
        <w:rFonts w:ascii="Arial" w:hAnsi="Arial" w:cs="Times New Roman" w:hint="default"/>
        <w:b w:val="0"/>
        <w:i w:val="0"/>
        <w:sz w:val="20"/>
      </w:rPr>
    </w:lvl>
    <w:lvl w:ilvl="8">
      <w:start w:val="27"/>
      <w:numFmt w:val="lowerLetter"/>
      <w:lvlText w:val="%9)"/>
      <w:lvlJc w:val="left"/>
      <w:pPr>
        <w:tabs>
          <w:tab w:val="num" w:pos="3744"/>
        </w:tabs>
        <w:ind w:left="3744" w:hanging="432"/>
      </w:pPr>
      <w:rPr>
        <w:rFonts w:ascii="Arial" w:hAnsi="Arial" w:cs="Times New Roman" w:hint="default"/>
        <w:b w:val="0"/>
        <w:i w:val="0"/>
        <w:sz w:val="20"/>
      </w:rPr>
    </w:lvl>
  </w:abstractNum>
  <w:abstractNum w:abstractNumId="8" w15:restartNumberingAfterBreak="0">
    <w:nsid w:val="1B1D5F95"/>
    <w:multiLevelType w:val="hybridMultilevel"/>
    <w:tmpl w:val="C2AA6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1767A7"/>
    <w:multiLevelType w:val="hybridMultilevel"/>
    <w:tmpl w:val="908CB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FD46FF"/>
    <w:multiLevelType w:val="hybridMultilevel"/>
    <w:tmpl w:val="6568CF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D214483"/>
    <w:multiLevelType w:val="hybridMultilevel"/>
    <w:tmpl w:val="5380B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F80E97"/>
    <w:multiLevelType w:val="hybridMultilevel"/>
    <w:tmpl w:val="F60CB4D8"/>
    <w:lvl w:ilvl="0" w:tplc="B9322BBA">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BE7CC1"/>
    <w:multiLevelType w:val="hybridMultilevel"/>
    <w:tmpl w:val="97E6CD2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pStyle w:val="WPPR2"/>
      <w:lvlText w:val=""/>
      <w:lvlJc w:val="left"/>
      <w:pPr>
        <w:tabs>
          <w:tab w:val="num" w:pos="2880"/>
        </w:tabs>
        <w:ind w:left="2880" w:hanging="360"/>
      </w:pPr>
      <w:rPr>
        <w:rFonts w:ascii="Symbol" w:hAnsi="Symbol" w:hint="default"/>
      </w:rPr>
    </w:lvl>
    <w:lvl w:ilvl="4" w:tplc="04090003">
      <w:start w:val="1"/>
      <w:numFmt w:val="bullet"/>
      <w:pStyle w:val="WPPR3"/>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E9C5EDD"/>
    <w:multiLevelType w:val="hybridMultilevel"/>
    <w:tmpl w:val="8A60F62E"/>
    <w:lvl w:ilvl="0" w:tplc="734E0880">
      <w:numFmt w:val="bullet"/>
      <w:lvlText w:val="-"/>
      <w:lvlJc w:val="left"/>
      <w:pPr>
        <w:ind w:left="720" w:hanging="360"/>
      </w:pPr>
      <w:rPr>
        <w:rFonts w:ascii="Calibri Light" w:eastAsiaTheme="minorEastAsia"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20" w15:restartNumberingAfterBreak="0">
    <w:nsid w:val="3D4119BC"/>
    <w:multiLevelType w:val="hybridMultilevel"/>
    <w:tmpl w:val="EB9436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97558B"/>
    <w:multiLevelType w:val="hybridMultilevel"/>
    <w:tmpl w:val="8FE4B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C65A57"/>
    <w:multiLevelType w:val="hybridMultilevel"/>
    <w:tmpl w:val="14380C3C"/>
    <w:lvl w:ilvl="0" w:tplc="7C4280F0">
      <w:start w:val="1"/>
      <w:numFmt w:val="bullet"/>
      <w:lvlText w:val="-"/>
      <w:lvlJc w:val="left"/>
      <w:pPr>
        <w:ind w:left="1080" w:hanging="360"/>
      </w:pPr>
      <w:rPr>
        <w:rFonts w:ascii="Arial" w:eastAsia="Times New Roma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4E3C0C74"/>
    <w:multiLevelType w:val="hybridMultilevel"/>
    <w:tmpl w:val="58042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F024D9"/>
    <w:multiLevelType w:val="hybridMultilevel"/>
    <w:tmpl w:val="87404D16"/>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6" w15:restartNumberingAfterBreak="0">
    <w:nsid w:val="5B71406B"/>
    <w:multiLevelType w:val="hybridMultilevel"/>
    <w:tmpl w:val="24E82B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28" w15:restartNumberingAfterBreak="0">
    <w:nsid w:val="5C783B2C"/>
    <w:multiLevelType w:val="multilevel"/>
    <w:tmpl w:val="A986026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DEE44A8"/>
    <w:multiLevelType w:val="hybridMultilevel"/>
    <w:tmpl w:val="9408A4F2"/>
    <w:lvl w:ilvl="0" w:tplc="694C1B1A">
      <w:start w:val="1"/>
      <w:numFmt w:val="lowerLetter"/>
      <w:lvlText w:val="%1."/>
      <w:lvlJc w:val="left"/>
      <w:pPr>
        <w:ind w:left="1080" w:hanging="360"/>
      </w:pPr>
      <w:rPr>
        <w:rFonts w:asciiTheme="minorHAnsi" w:eastAsiaTheme="minorHAnsi" w:hAnsiTheme="minorHAnsi" w:cstheme="minorBid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10A1111"/>
    <w:multiLevelType w:val="hybridMultilevel"/>
    <w:tmpl w:val="1EC25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73A61D0"/>
    <w:multiLevelType w:val="hybridMultilevel"/>
    <w:tmpl w:val="02364ED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FC07B80"/>
    <w:multiLevelType w:val="hybridMultilevel"/>
    <w:tmpl w:val="8C1EEFB2"/>
    <w:lvl w:ilvl="0" w:tplc="3F2CDFB0">
      <w:start w:val="1"/>
      <w:numFmt w:val="bullet"/>
      <w:pStyle w:val="eTRMBulletedTex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34"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36" w15:restartNumberingAfterBreak="0">
    <w:nsid w:val="76961D01"/>
    <w:multiLevelType w:val="multilevel"/>
    <w:tmpl w:val="79E6F690"/>
    <w:lvl w:ilvl="0">
      <w:start w:val="1"/>
      <w:numFmt w:val="bullet"/>
      <w:lvlText w:val=""/>
      <w:lvlJc w:val="left"/>
      <w:pPr>
        <w:ind w:left="720" w:hanging="360"/>
      </w:pPr>
      <w:rPr>
        <w:rFonts w:ascii="Symbol" w:hAnsi="Symbol" w:hint="default"/>
        <w:color w:val="6B6B6B"/>
        <w:sz w:val="20"/>
        <w:u w:val="none"/>
      </w:rPr>
    </w:lvl>
    <w:lvl w:ilvl="1">
      <w:start w:val="1"/>
      <w:numFmt w:val="lowerLetter"/>
      <w:lvlText w:val="%2."/>
      <w:lvlJc w:val="left"/>
      <w:pPr>
        <w:ind w:left="1800" w:firstLine="2520"/>
      </w:pPr>
      <w:rPr>
        <w:u w:val="none"/>
      </w:rPr>
    </w:lvl>
    <w:lvl w:ilvl="2">
      <w:start w:val="1"/>
      <w:numFmt w:val="lowerRoman"/>
      <w:lvlText w:val="%3."/>
      <w:lvlJc w:val="right"/>
      <w:pPr>
        <w:ind w:left="2520" w:firstLine="3960"/>
      </w:pPr>
      <w:rPr>
        <w:u w:val="none"/>
      </w:rPr>
    </w:lvl>
    <w:lvl w:ilvl="3">
      <w:start w:val="1"/>
      <w:numFmt w:val="decimal"/>
      <w:lvlText w:val="%4."/>
      <w:lvlJc w:val="left"/>
      <w:pPr>
        <w:ind w:left="3240" w:firstLine="5400"/>
      </w:pPr>
      <w:rPr>
        <w:u w:val="none"/>
      </w:rPr>
    </w:lvl>
    <w:lvl w:ilvl="4">
      <w:start w:val="1"/>
      <w:numFmt w:val="lowerLetter"/>
      <w:lvlText w:val="%5."/>
      <w:lvlJc w:val="left"/>
      <w:pPr>
        <w:ind w:left="3960" w:firstLine="6840"/>
      </w:pPr>
      <w:rPr>
        <w:u w:val="none"/>
      </w:rPr>
    </w:lvl>
    <w:lvl w:ilvl="5">
      <w:start w:val="1"/>
      <w:numFmt w:val="lowerRoman"/>
      <w:lvlText w:val="%6."/>
      <w:lvlJc w:val="right"/>
      <w:pPr>
        <w:ind w:left="4680" w:firstLine="8280"/>
      </w:pPr>
      <w:rPr>
        <w:u w:val="none"/>
      </w:rPr>
    </w:lvl>
    <w:lvl w:ilvl="6">
      <w:start w:val="1"/>
      <w:numFmt w:val="decimal"/>
      <w:lvlText w:val="%7."/>
      <w:lvlJc w:val="left"/>
      <w:pPr>
        <w:ind w:left="5400" w:firstLine="9720"/>
      </w:pPr>
      <w:rPr>
        <w:u w:val="none"/>
      </w:rPr>
    </w:lvl>
    <w:lvl w:ilvl="7">
      <w:start w:val="1"/>
      <w:numFmt w:val="lowerLetter"/>
      <w:lvlText w:val="%8."/>
      <w:lvlJc w:val="left"/>
      <w:pPr>
        <w:ind w:left="6120" w:firstLine="11160"/>
      </w:pPr>
      <w:rPr>
        <w:u w:val="none"/>
      </w:rPr>
    </w:lvl>
    <w:lvl w:ilvl="8">
      <w:start w:val="1"/>
      <w:numFmt w:val="lowerRoman"/>
      <w:lvlText w:val="%9."/>
      <w:lvlJc w:val="right"/>
      <w:pPr>
        <w:ind w:left="6840" w:firstLine="12600"/>
      </w:pPr>
      <w:rPr>
        <w:u w:val="none"/>
      </w:rPr>
    </w:lvl>
  </w:abstractNum>
  <w:abstractNum w:abstractNumId="37" w15:restartNumberingAfterBreak="0">
    <w:nsid w:val="7FB04B4C"/>
    <w:multiLevelType w:val="multilevel"/>
    <w:tmpl w:val="244A8298"/>
    <w:lvl w:ilvl="0">
      <w:start w:val="1"/>
      <w:numFmt w:val="decimal"/>
      <w:suff w:val="nothing"/>
      <w:lvlText w:val="SECTION %1 - "/>
      <w:lvlJc w:val="left"/>
      <w:pPr>
        <w:ind w:left="576" w:hanging="576"/>
      </w:pPr>
      <w:rPr>
        <w:rFonts w:ascii="Arial" w:hAnsi="Arial" w:cs="Times New Roman" w:hint="default"/>
        <w:b/>
        <w:i w:val="0"/>
        <w:sz w:val="20"/>
      </w:rPr>
    </w:lvl>
    <w:lvl w:ilvl="1">
      <w:start w:val="1"/>
      <w:numFmt w:val="decimalZero"/>
      <w:lvlText w:val="%1.%2"/>
      <w:lvlJc w:val="left"/>
      <w:pPr>
        <w:tabs>
          <w:tab w:val="num" w:pos="720"/>
        </w:tabs>
        <w:ind w:left="720" w:hanging="720"/>
      </w:pPr>
      <w:rPr>
        <w:b/>
        <w:i w:val="0"/>
      </w:rPr>
    </w:lvl>
    <w:lvl w:ilvl="2">
      <w:start w:val="1"/>
      <w:numFmt w:val="upperLetter"/>
      <w:lvlText w:val="%3."/>
      <w:lvlJc w:val="left"/>
      <w:pPr>
        <w:tabs>
          <w:tab w:val="num" w:pos="3852"/>
        </w:tabs>
        <w:ind w:left="3852" w:hanging="432"/>
      </w:pPr>
    </w:lvl>
    <w:lvl w:ilvl="3">
      <w:start w:val="1"/>
      <w:numFmt w:val="decimal"/>
      <w:lvlText w:val="%4."/>
      <w:lvlJc w:val="left"/>
      <w:pPr>
        <w:tabs>
          <w:tab w:val="num" w:pos="1512"/>
        </w:tabs>
        <w:ind w:left="1512" w:hanging="432"/>
      </w:pPr>
      <w:rPr>
        <w:b w:val="0"/>
        <w:i w:val="0"/>
        <w:sz w:val="20"/>
      </w:rPr>
    </w:lvl>
    <w:lvl w:ilvl="4">
      <w:start w:val="1"/>
      <w:numFmt w:val="lowerLetter"/>
      <w:lvlText w:val="%5."/>
      <w:lvlJc w:val="left"/>
      <w:pPr>
        <w:tabs>
          <w:tab w:val="num" w:pos="2016"/>
        </w:tabs>
        <w:ind w:left="2016" w:hanging="432"/>
      </w:pPr>
      <w:rPr>
        <w:rFonts w:ascii="Arial" w:hAnsi="Arial" w:cs="Times New Roman" w:hint="default"/>
        <w:b w:val="0"/>
        <w:i w:val="0"/>
        <w:sz w:val="20"/>
      </w:rPr>
    </w:lvl>
    <w:lvl w:ilvl="5">
      <w:start w:val="1"/>
      <w:numFmt w:val="lowerRoman"/>
      <w:lvlText w:val="%6."/>
      <w:lvlJc w:val="left"/>
      <w:pPr>
        <w:tabs>
          <w:tab w:val="num" w:pos="2736"/>
        </w:tabs>
        <w:ind w:left="2448" w:hanging="432"/>
      </w:pPr>
      <w:rPr>
        <w:rFonts w:ascii="Arial" w:hAnsi="Arial" w:cs="Times New Roman" w:hint="default"/>
        <w:b w:val="0"/>
        <w:i w:val="0"/>
        <w:sz w:val="20"/>
      </w:rPr>
    </w:lvl>
    <w:lvl w:ilvl="6">
      <w:start w:val="1"/>
      <w:numFmt w:val="lowerLetter"/>
      <w:lvlText w:val="%7)"/>
      <w:lvlJc w:val="left"/>
      <w:pPr>
        <w:tabs>
          <w:tab w:val="num" w:pos="2880"/>
        </w:tabs>
        <w:ind w:left="2880" w:hanging="432"/>
      </w:pPr>
      <w:rPr>
        <w:rFonts w:ascii="Arial" w:hAnsi="Arial" w:cs="Times New Roman" w:hint="default"/>
        <w:b w:val="0"/>
        <w:i w:val="0"/>
        <w:sz w:val="20"/>
      </w:rPr>
    </w:lvl>
    <w:lvl w:ilvl="7">
      <w:start w:val="1"/>
      <w:numFmt w:val="lowerRoman"/>
      <w:lvlText w:val="%8)"/>
      <w:lvlJc w:val="left"/>
      <w:pPr>
        <w:tabs>
          <w:tab w:val="num" w:pos="3600"/>
        </w:tabs>
        <w:ind w:left="3312" w:hanging="432"/>
      </w:pPr>
      <w:rPr>
        <w:rFonts w:ascii="Arial" w:hAnsi="Arial" w:cs="Times New Roman" w:hint="default"/>
        <w:b w:val="0"/>
        <w:i w:val="0"/>
        <w:sz w:val="20"/>
      </w:rPr>
    </w:lvl>
    <w:lvl w:ilvl="8">
      <w:start w:val="27"/>
      <w:numFmt w:val="lowerLetter"/>
      <w:lvlText w:val="%9)"/>
      <w:lvlJc w:val="left"/>
      <w:pPr>
        <w:tabs>
          <w:tab w:val="num" w:pos="3744"/>
        </w:tabs>
        <w:ind w:left="3744" w:hanging="432"/>
      </w:pPr>
      <w:rPr>
        <w:rFonts w:ascii="Arial" w:hAnsi="Arial" w:cs="Times New Roman" w:hint="default"/>
        <w:b w:val="0"/>
        <w:i w:val="0"/>
        <w:sz w:val="20"/>
      </w:rPr>
    </w:lvl>
  </w:abstractNum>
  <w:num w:numId="1">
    <w:abstractNumId w:val="19"/>
  </w:num>
  <w:num w:numId="2">
    <w:abstractNumId w:val="33"/>
  </w:num>
  <w:num w:numId="3">
    <w:abstractNumId w:val="35"/>
  </w:num>
  <w:num w:numId="4">
    <w:abstractNumId w:val="35"/>
  </w:num>
  <w:num w:numId="5">
    <w:abstractNumId w:val="27"/>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2"/>
  </w:num>
  <w:num w:numId="7">
    <w:abstractNumId w:val="13"/>
  </w:num>
  <w:num w:numId="8">
    <w:abstractNumId w:val="32"/>
  </w:num>
  <w:num w:numId="9">
    <w:abstractNumId w:val="0"/>
  </w:num>
  <w:num w:numId="10">
    <w:abstractNumId w:val="34"/>
  </w:num>
  <w:num w:numId="11">
    <w:abstractNumId w:val="15"/>
  </w:num>
  <w:num w:numId="12">
    <w:abstractNumId w:val="6"/>
  </w:num>
  <w:num w:numId="13">
    <w:abstractNumId w:val="30"/>
  </w:num>
  <w:num w:numId="14">
    <w:abstractNumId w:val="24"/>
  </w:num>
  <w:num w:numId="15">
    <w:abstractNumId w:val="8"/>
  </w:num>
  <w:num w:numId="16">
    <w:abstractNumId w:val="22"/>
  </w:num>
  <w:num w:numId="17">
    <w:abstractNumId w:val="26"/>
  </w:num>
  <w:num w:numId="18">
    <w:abstractNumId w:val="11"/>
  </w:num>
  <w:num w:numId="19">
    <w:abstractNumId w:val="31"/>
  </w:num>
  <w:num w:numId="20">
    <w:abstractNumId w:val="1"/>
  </w:num>
  <w:num w:numId="21">
    <w:abstractNumId w:val="25"/>
  </w:num>
  <w:num w:numId="22">
    <w:abstractNumId w:val="16"/>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27">
    <w:abstractNumId w:val="28"/>
  </w:num>
  <w:num w:numId="28">
    <w:abstractNumId w:val="20"/>
  </w:num>
  <w:num w:numId="29">
    <w:abstractNumId w:val="14"/>
  </w:num>
  <w:num w:numId="30">
    <w:abstractNumId w:val="21"/>
  </w:num>
  <w:num w:numId="31">
    <w:abstractNumId w:val="4"/>
  </w:num>
  <w:num w:numId="32">
    <w:abstractNumId w:val="17"/>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29"/>
  </w:num>
  <w:num w:numId="36">
    <w:abstractNumId w:val="36"/>
  </w:num>
  <w:num w:numId="37">
    <w:abstractNumId w:val="3"/>
  </w:num>
  <w:num w:numId="38">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LUwMDU1MrYwsbC0tDBU0lEKTi0uzszPAykwqwUA7O4ELCwAAAA="/>
  </w:docVars>
  <w:rsids>
    <w:rsidRoot w:val="00C41A08"/>
    <w:rsid w:val="000006A2"/>
    <w:rsid w:val="000031C6"/>
    <w:rsid w:val="00003BC8"/>
    <w:rsid w:val="0000521D"/>
    <w:rsid w:val="000055E6"/>
    <w:rsid w:val="00005B06"/>
    <w:rsid w:val="000063B0"/>
    <w:rsid w:val="00007385"/>
    <w:rsid w:val="000110D9"/>
    <w:rsid w:val="000111AF"/>
    <w:rsid w:val="00016928"/>
    <w:rsid w:val="000175C1"/>
    <w:rsid w:val="000220A0"/>
    <w:rsid w:val="000229F1"/>
    <w:rsid w:val="000232D7"/>
    <w:rsid w:val="0002389A"/>
    <w:rsid w:val="00026D58"/>
    <w:rsid w:val="000302DF"/>
    <w:rsid w:val="00031184"/>
    <w:rsid w:val="00033A09"/>
    <w:rsid w:val="00036EFF"/>
    <w:rsid w:val="00037A06"/>
    <w:rsid w:val="00043C4A"/>
    <w:rsid w:val="00046BB0"/>
    <w:rsid w:val="00047E10"/>
    <w:rsid w:val="0005067A"/>
    <w:rsid w:val="00051DBB"/>
    <w:rsid w:val="00052C95"/>
    <w:rsid w:val="000530E4"/>
    <w:rsid w:val="000540D7"/>
    <w:rsid w:val="0005587A"/>
    <w:rsid w:val="0005662E"/>
    <w:rsid w:val="00057CDE"/>
    <w:rsid w:val="000603C7"/>
    <w:rsid w:val="00061D34"/>
    <w:rsid w:val="00061F5D"/>
    <w:rsid w:val="000621A8"/>
    <w:rsid w:val="000624F7"/>
    <w:rsid w:val="00063157"/>
    <w:rsid w:val="00065E54"/>
    <w:rsid w:val="000672E5"/>
    <w:rsid w:val="00074E3E"/>
    <w:rsid w:val="000767E9"/>
    <w:rsid w:val="0008108C"/>
    <w:rsid w:val="00083A78"/>
    <w:rsid w:val="000841AA"/>
    <w:rsid w:val="00084CE7"/>
    <w:rsid w:val="00084EDF"/>
    <w:rsid w:val="00085726"/>
    <w:rsid w:val="00087C53"/>
    <w:rsid w:val="00087FD4"/>
    <w:rsid w:val="00090B28"/>
    <w:rsid w:val="00090BBF"/>
    <w:rsid w:val="000910B7"/>
    <w:rsid w:val="00091581"/>
    <w:rsid w:val="00094517"/>
    <w:rsid w:val="00094B2B"/>
    <w:rsid w:val="00096485"/>
    <w:rsid w:val="000978C8"/>
    <w:rsid w:val="000A1D89"/>
    <w:rsid w:val="000A21D4"/>
    <w:rsid w:val="000A270E"/>
    <w:rsid w:val="000A4D3A"/>
    <w:rsid w:val="000A62EF"/>
    <w:rsid w:val="000A66B7"/>
    <w:rsid w:val="000A7058"/>
    <w:rsid w:val="000B139B"/>
    <w:rsid w:val="000B3F30"/>
    <w:rsid w:val="000B6004"/>
    <w:rsid w:val="000B7F33"/>
    <w:rsid w:val="000C2D4B"/>
    <w:rsid w:val="000C36B4"/>
    <w:rsid w:val="000C5BA6"/>
    <w:rsid w:val="000C72C1"/>
    <w:rsid w:val="000C7B77"/>
    <w:rsid w:val="000D5D8C"/>
    <w:rsid w:val="000E044A"/>
    <w:rsid w:val="000E30CF"/>
    <w:rsid w:val="000E4EB1"/>
    <w:rsid w:val="000F1833"/>
    <w:rsid w:val="000F5D2C"/>
    <w:rsid w:val="000F5FD8"/>
    <w:rsid w:val="00103399"/>
    <w:rsid w:val="0010471F"/>
    <w:rsid w:val="00104933"/>
    <w:rsid w:val="00107923"/>
    <w:rsid w:val="00111A53"/>
    <w:rsid w:val="0011498C"/>
    <w:rsid w:val="00115FA2"/>
    <w:rsid w:val="00117C5D"/>
    <w:rsid w:val="00120592"/>
    <w:rsid w:val="001217DF"/>
    <w:rsid w:val="0012187D"/>
    <w:rsid w:val="00121C80"/>
    <w:rsid w:val="00124BFE"/>
    <w:rsid w:val="00126809"/>
    <w:rsid w:val="00126B25"/>
    <w:rsid w:val="00131C5A"/>
    <w:rsid w:val="00131FA0"/>
    <w:rsid w:val="00132E1A"/>
    <w:rsid w:val="00136879"/>
    <w:rsid w:val="00141122"/>
    <w:rsid w:val="00142D3C"/>
    <w:rsid w:val="001451AB"/>
    <w:rsid w:val="00151553"/>
    <w:rsid w:val="00151B9F"/>
    <w:rsid w:val="00152749"/>
    <w:rsid w:val="00153BB7"/>
    <w:rsid w:val="00154391"/>
    <w:rsid w:val="001564FC"/>
    <w:rsid w:val="00157985"/>
    <w:rsid w:val="00161DF1"/>
    <w:rsid w:val="001648F6"/>
    <w:rsid w:val="00164D8D"/>
    <w:rsid w:val="00171BB8"/>
    <w:rsid w:val="00174707"/>
    <w:rsid w:val="00177EB6"/>
    <w:rsid w:val="00180DAD"/>
    <w:rsid w:val="00181672"/>
    <w:rsid w:val="00181E01"/>
    <w:rsid w:val="00182EF4"/>
    <w:rsid w:val="00184ECA"/>
    <w:rsid w:val="00186233"/>
    <w:rsid w:val="00190874"/>
    <w:rsid w:val="001926D3"/>
    <w:rsid w:val="001944A0"/>
    <w:rsid w:val="001944B4"/>
    <w:rsid w:val="0019498E"/>
    <w:rsid w:val="00194A8B"/>
    <w:rsid w:val="00195B03"/>
    <w:rsid w:val="00196649"/>
    <w:rsid w:val="001A11C7"/>
    <w:rsid w:val="001A1DD7"/>
    <w:rsid w:val="001A4BE1"/>
    <w:rsid w:val="001A582B"/>
    <w:rsid w:val="001A753E"/>
    <w:rsid w:val="001A7A21"/>
    <w:rsid w:val="001A7A5A"/>
    <w:rsid w:val="001B0D29"/>
    <w:rsid w:val="001B15FB"/>
    <w:rsid w:val="001B1D23"/>
    <w:rsid w:val="001B2903"/>
    <w:rsid w:val="001B2C94"/>
    <w:rsid w:val="001B3769"/>
    <w:rsid w:val="001B426F"/>
    <w:rsid w:val="001C2ACE"/>
    <w:rsid w:val="001C6C9B"/>
    <w:rsid w:val="001C7134"/>
    <w:rsid w:val="001D5580"/>
    <w:rsid w:val="001D656F"/>
    <w:rsid w:val="001D65A6"/>
    <w:rsid w:val="001D7A57"/>
    <w:rsid w:val="001E0555"/>
    <w:rsid w:val="001E0D71"/>
    <w:rsid w:val="001E19A3"/>
    <w:rsid w:val="001E1D65"/>
    <w:rsid w:val="001E4506"/>
    <w:rsid w:val="001E4C3F"/>
    <w:rsid w:val="001E6273"/>
    <w:rsid w:val="001F00E9"/>
    <w:rsid w:val="001F196B"/>
    <w:rsid w:val="001F43F9"/>
    <w:rsid w:val="001F5B22"/>
    <w:rsid w:val="001F6A4B"/>
    <w:rsid w:val="001F735E"/>
    <w:rsid w:val="00200048"/>
    <w:rsid w:val="002005A8"/>
    <w:rsid w:val="002006B6"/>
    <w:rsid w:val="00205BAF"/>
    <w:rsid w:val="00207F85"/>
    <w:rsid w:val="0021226A"/>
    <w:rsid w:val="0021230E"/>
    <w:rsid w:val="00213739"/>
    <w:rsid w:val="0022128F"/>
    <w:rsid w:val="00221A25"/>
    <w:rsid w:val="00222105"/>
    <w:rsid w:val="0022398A"/>
    <w:rsid w:val="00224A16"/>
    <w:rsid w:val="00225142"/>
    <w:rsid w:val="002263D0"/>
    <w:rsid w:val="00226694"/>
    <w:rsid w:val="00227BDD"/>
    <w:rsid w:val="002308CA"/>
    <w:rsid w:val="002318A4"/>
    <w:rsid w:val="00232AD3"/>
    <w:rsid w:val="002335FF"/>
    <w:rsid w:val="00233D87"/>
    <w:rsid w:val="0023644A"/>
    <w:rsid w:val="0023666C"/>
    <w:rsid w:val="00236692"/>
    <w:rsid w:val="00236E0A"/>
    <w:rsid w:val="002373B1"/>
    <w:rsid w:val="00237964"/>
    <w:rsid w:val="002434DE"/>
    <w:rsid w:val="00245AFF"/>
    <w:rsid w:val="0024628D"/>
    <w:rsid w:val="0024690E"/>
    <w:rsid w:val="00251ABC"/>
    <w:rsid w:val="00252039"/>
    <w:rsid w:val="002524CF"/>
    <w:rsid w:val="00253125"/>
    <w:rsid w:val="00256400"/>
    <w:rsid w:val="0026110B"/>
    <w:rsid w:val="002652D2"/>
    <w:rsid w:val="002657E8"/>
    <w:rsid w:val="00271B18"/>
    <w:rsid w:val="00271F0D"/>
    <w:rsid w:val="002756A4"/>
    <w:rsid w:val="00276F9B"/>
    <w:rsid w:val="00282D94"/>
    <w:rsid w:val="002831E7"/>
    <w:rsid w:val="00285AA2"/>
    <w:rsid w:val="0029167C"/>
    <w:rsid w:val="002942B0"/>
    <w:rsid w:val="0029555D"/>
    <w:rsid w:val="0029757F"/>
    <w:rsid w:val="0029781E"/>
    <w:rsid w:val="00297AAE"/>
    <w:rsid w:val="002A0897"/>
    <w:rsid w:val="002A161D"/>
    <w:rsid w:val="002A1953"/>
    <w:rsid w:val="002A2471"/>
    <w:rsid w:val="002A2A94"/>
    <w:rsid w:val="002A48B0"/>
    <w:rsid w:val="002A7A81"/>
    <w:rsid w:val="002B107C"/>
    <w:rsid w:val="002B2C97"/>
    <w:rsid w:val="002B3BF4"/>
    <w:rsid w:val="002B4550"/>
    <w:rsid w:val="002B6DED"/>
    <w:rsid w:val="002B6F2A"/>
    <w:rsid w:val="002C06FC"/>
    <w:rsid w:val="002C1117"/>
    <w:rsid w:val="002C3AFB"/>
    <w:rsid w:val="002C67DF"/>
    <w:rsid w:val="002D0036"/>
    <w:rsid w:val="002D17CE"/>
    <w:rsid w:val="002D29F8"/>
    <w:rsid w:val="002D40EE"/>
    <w:rsid w:val="002D4993"/>
    <w:rsid w:val="002D50E9"/>
    <w:rsid w:val="002D5CFA"/>
    <w:rsid w:val="002E1AFC"/>
    <w:rsid w:val="002E5874"/>
    <w:rsid w:val="002E714C"/>
    <w:rsid w:val="002F036B"/>
    <w:rsid w:val="002F0B8C"/>
    <w:rsid w:val="002F145B"/>
    <w:rsid w:val="002F2D97"/>
    <w:rsid w:val="002F76E6"/>
    <w:rsid w:val="00301C01"/>
    <w:rsid w:val="00302086"/>
    <w:rsid w:val="00302A82"/>
    <w:rsid w:val="00303966"/>
    <w:rsid w:val="00304892"/>
    <w:rsid w:val="00305515"/>
    <w:rsid w:val="003062C5"/>
    <w:rsid w:val="003103FB"/>
    <w:rsid w:val="00313E1D"/>
    <w:rsid w:val="00315810"/>
    <w:rsid w:val="003247FA"/>
    <w:rsid w:val="003259BE"/>
    <w:rsid w:val="003309DA"/>
    <w:rsid w:val="003326EC"/>
    <w:rsid w:val="00333809"/>
    <w:rsid w:val="00334CED"/>
    <w:rsid w:val="00336313"/>
    <w:rsid w:val="00337250"/>
    <w:rsid w:val="00337D1D"/>
    <w:rsid w:val="00337EE2"/>
    <w:rsid w:val="00337FA7"/>
    <w:rsid w:val="00340714"/>
    <w:rsid w:val="003412E8"/>
    <w:rsid w:val="003438CC"/>
    <w:rsid w:val="0035060F"/>
    <w:rsid w:val="00351359"/>
    <w:rsid w:val="00352864"/>
    <w:rsid w:val="00355650"/>
    <w:rsid w:val="0035670F"/>
    <w:rsid w:val="00362F9E"/>
    <w:rsid w:val="00363BE8"/>
    <w:rsid w:val="0037023A"/>
    <w:rsid w:val="00370B5D"/>
    <w:rsid w:val="0037129D"/>
    <w:rsid w:val="00372F61"/>
    <w:rsid w:val="00373874"/>
    <w:rsid w:val="00380DC9"/>
    <w:rsid w:val="00382DB3"/>
    <w:rsid w:val="00385069"/>
    <w:rsid w:val="00385220"/>
    <w:rsid w:val="003857FE"/>
    <w:rsid w:val="00386A29"/>
    <w:rsid w:val="00387072"/>
    <w:rsid w:val="00387D2B"/>
    <w:rsid w:val="00392097"/>
    <w:rsid w:val="00392684"/>
    <w:rsid w:val="003966B7"/>
    <w:rsid w:val="003A5E52"/>
    <w:rsid w:val="003A78B8"/>
    <w:rsid w:val="003A78BD"/>
    <w:rsid w:val="003B7610"/>
    <w:rsid w:val="003C2102"/>
    <w:rsid w:val="003C2CC3"/>
    <w:rsid w:val="003C3614"/>
    <w:rsid w:val="003C41CC"/>
    <w:rsid w:val="003C455D"/>
    <w:rsid w:val="003C7284"/>
    <w:rsid w:val="003C7721"/>
    <w:rsid w:val="003D1FB8"/>
    <w:rsid w:val="003D2AA1"/>
    <w:rsid w:val="003D59DB"/>
    <w:rsid w:val="003D6E3D"/>
    <w:rsid w:val="003D7104"/>
    <w:rsid w:val="003E2013"/>
    <w:rsid w:val="003E43D4"/>
    <w:rsid w:val="003E50CF"/>
    <w:rsid w:val="003E5605"/>
    <w:rsid w:val="003E7715"/>
    <w:rsid w:val="003E7BC6"/>
    <w:rsid w:val="003F0435"/>
    <w:rsid w:val="003F202D"/>
    <w:rsid w:val="003F21D2"/>
    <w:rsid w:val="003F269E"/>
    <w:rsid w:val="003F3E32"/>
    <w:rsid w:val="003F4964"/>
    <w:rsid w:val="003F65F3"/>
    <w:rsid w:val="00401C43"/>
    <w:rsid w:val="00403E3B"/>
    <w:rsid w:val="004046FF"/>
    <w:rsid w:val="00406410"/>
    <w:rsid w:val="004073C5"/>
    <w:rsid w:val="00410790"/>
    <w:rsid w:val="00410D8A"/>
    <w:rsid w:val="00411351"/>
    <w:rsid w:val="00411EC7"/>
    <w:rsid w:val="00411EF4"/>
    <w:rsid w:val="004133BB"/>
    <w:rsid w:val="004142EF"/>
    <w:rsid w:val="00420958"/>
    <w:rsid w:val="00420EF1"/>
    <w:rsid w:val="00421920"/>
    <w:rsid w:val="00422E03"/>
    <w:rsid w:val="00423D33"/>
    <w:rsid w:val="004243F0"/>
    <w:rsid w:val="004249A0"/>
    <w:rsid w:val="00425FAA"/>
    <w:rsid w:val="004260EF"/>
    <w:rsid w:val="00426DBE"/>
    <w:rsid w:val="0043155E"/>
    <w:rsid w:val="00432D49"/>
    <w:rsid w:val="004339EA"/>
    <w:rsid w:val="00433E8F"/>
    <w:rsid w:val="00434145"/>
    <w:rsid w:val="00435FB8"/>
    <w:rsid w:val="00436CBD"/>
    <w:rsid w:val="004412AA"/>
    <w:rsid w:val="004429B9"/>
    <w:rsid w:val="0044577B"/>
    <w:rsid w:val="00446DE2"/>
    <w:rsid w:val="004507F7"/>
    <w:rsid w:val="00450C21"/>
    <w:rsid w:val="00451588"/>
    <w:rsid w:val="004517F1"/>
    <w:rsid w:val="00451FF6"/>
    <w:rsid w:val="004556DF"/>
    <w:rsid w:val="00461AE3"/>
    <w:rsid w:val="00462BB6"/>
    <w:rsid w:val="00462F22"/>
    <w:rsid w:val="00462F75"/>
    <w:rsid w:val="00464A63"/>
    <w:rsid w:val="004650D7"/>
    <w:rsid w:val="004661A8"/>
    <w:rsid w:val="00466DD6"/>
    <w:rsid w:val="00470670"/>
    <w:rsid w:val="00472075"/>
    <w:rsid w:val="00472286"/>
    <w:rsid w:val="00475A47"/>
    <w:rsid w:val="00475D57"/>
    <w:rsid w:val="00475F03"/>
    <w:rsid w:val="00484437"/>
    <w:rsid w:val="00484536"/>
    <w:rsid w:val="00485834"/>
    <w:rsid w:val="00486585"/>
    <w:rsid w:val="00486871"/>
    <w:rsid w:val="00493C4F"/>
    <w:rsid w:val="0049615E"/>
    <w:rsid w:val="0049638E"/>
    <w:rsid w:val="00497289"/>
    <w:rsid w:val="00497302"/>
    <w:rsid w:val="004A06AE"/>
    <w:rsid w:val="004A2A51"/>
    <w:rsid w:val="004A2CEE"/>
    <w:rsid w:val="004A510D"/>
    <w:rsid w:val="004A6979"/>
    <w:rsid w:val="004B06E3"/>
    <w:rsid w:val="004B0E22"/>
    <w:rsid w:val="004B35DC"/>
    <w:rsid w:val="004B4BB7"/>
    <w:rsid w:val="004B4DDE"/>
    <w:rsid w:val="004B5888"/>
    <w:rsid w:val="004B6780"/>
    <w:rsid w:val="004B7CAA"/>
    <w:rsid w:val="004C1B1C"/>
    <w:rsid w:val="004C2A36"/>
    <w:rsid w:val="004C3663"/>
    <w:rsid w:val="004C36F8"/>
    <w:rsid w:val="004C57EC"/>
    <w:rsid w:val="004C69F2"/>
    <w:rsid w:val="004D0C20"/>
    <w:rsid w:val="004D1461"/>
    <w:rsid w:val="004D3A71"/>
    <w:rsid w:val="004D3CE4"/>
    <w:rsid w:val="004D7E51"/>
    <w:rsid w:val="004E04EE"/>
    <w:rsid w:val="004E1B37"/>
    <w:rsid w:val="004E1D1A"/>
    <w:rsid w:val="004E2704"/>
    <w:rsid w:val="004E3F72"/>
    <w:rsid w:val="004E4D01"/>
    <w:rsid w:val="004E6C0A"/>
    <w:rsid w:val="004F3F32"/>
    <w:rsid w:val="004F4E0C"/>
    <w:rsid w:val="004F705B"/>
    <w:rsid w:val="00500964"/>
    <w:rsid w:val="00500C66"/>
    <w:rsid w:val="005044CA"/>
    <w:rsid w:val="00505B94"/>
    <w:rsid w:val="005130EC"/>
    <w:rsid w:val="00513588"/>
    <w:rsid w:val="005146E6"/>
    <w:rsid w:val="005150EF"/>
    <w:rsid w:val="00515479"/>
    <w:rsid w:val="0051776E"/>
    <w:rsid w:val="00520182"/>
    <w:rsid w:val="005204DA"/>
    <w:rsid w:val="00522C0D"/>
    <w:rsid w:val="00523F9B"/>
    <w:rsid w:val="005249BC"/>
    <w:rsid w:val="00526F7F"/>
    <w:rsid w:val="00535A42"/>
    <w:rsid w:val="0053748E"/>
    <w:rsid w:val="00537D1B"/>
    <w:rsid w:val="00537DFB"/>
    <w:rsid w:val="005449C6"/>
    <w:rsid w:val="00545202"/>
    <w:rsid w:val="00551FBF"/>
    <w:rsid w:val="0055409E"/>
    <w:rsid w:val="00556D14"/>
    <w:rsid w:val="00556FC2"/>
    <w:rsid w:val="00561400"/>
    <w:rsid w:val="0056177B"/>
    <w:rsid w:val="005624D9"/>
    <w:rsid w:val="00562B44"/>
    <w:rsid w:val="00562EAF"/>
    <w:rsid w:val="0056380B"/>
    <w:rsid w:val="00563C63"/>
    <w:rsid w:val="00564AFB"/>
    <w:rsid w:val="00564D63"/>
    <w:rsid w:val="00565D08"/>
    <w:rsid w:val="00566B42"/>
    <w:rsid w:val="005710BF"/>
    <w:rsid w:val="0057165C"/>
    <w:rsid w:val="00571D95"/>
    <w:rsid w:val="005722C6"/>
    <w:rsid w:val="00577D09"/>
    <w:rsid w:val="00580FF8"/>
    <w:rsid w:val="00585C8D"/>
    <w:rsid w:val="005862CC"/>
    <w:rsid w:val="005865D2"/>
    <w:rsid w:val="005911FE"/>
    <w:rsid w:val="0059312F"/>
    <w:rsid w:val="00593220"/>
    <w:rsid w:val="0059380C"/>
    <w:rsid w:val="00594142"/>
    <w:rsid w:val="00595758"/>
    <w:rsid w:val="00596081"/>
    <w:rsid w:val="005A0D63"/>
    <w:rsid w:val="005A3943"/>
    <w:rsid w:val="005A51E6"/>
    <w:rsid w:val="005A632E"/>
    <w:rsid w:val="005A74DC"/>
    <w:rsid w:val="005B329B"/>
    <w:rsid w:val="005B47C6"/>
    <w:rsid w:val="005B7418"/>
    <w:rsid w:val="005C03A9"/>
    <w:rsid w:val="005C1D6E"/>
    <w:rsid w:val="005C2BFC"/>
    <w:rsid w:val="005C324B"/>
    <w:rsid w:val="005C36B6"/>
    <w:rsid w:val="005C43E2"/>
    <w:rsid w:val="005C454A"/>
    <w:rsid w:val="005C74C9"/>
    <w:rsid w:val="005C7B6B"/>
    <w:rsid w:val="005D1B14"/>
    <w:rsid w:val="005D257B"/>
    <w:rsid w:val="005E1370"/>
    <w:rsid w:val="005E1D5C"/>
    <w:rsid w:val="005E25DC"/>
    <w:rsid w:val="005E52AE"/>
    <w:rsid w:val="005E5607"/>
    <w:rsid w:val="005E567C"/>
    <w:rsid w:val="005E777D"/>
    <w:rsid w:val="005F0790"/>
    <w:rsid w:val="005F09B3"/>
    <w:rsid w:val="005F0B72"/>
    <w:rsid w:val="005F18D8"/>
    <w:rsid w:val="005F1A06"/>
    <w:rsid w:val="005F21DA"/>
    <w:rsid w:val="005F505E"/>
    <w:rsid w:val="005F78C6"/>
    <w:rsid w:val="006007C4"/>
    <w:rsid w:val="00601D5A"/>
    <w:rsid w:val="00602976"/>
    <w:rsid w:val="00603043"/>
    <w:rsid w:val="0060388D"/>
    <w:rsid w:val="00604231"/>
    <w:rsid w:val="006068F3"/>
    <w:rsid w:val="00610050"/>
    <w:rsid w:val="00610C2F"/>
    <w:rsid w:val="00610C76"/>
    <w:rsid w:val="00613FFE"/>
    <w:rsid w:val="006161A6"/>
    <w:rsid w:val="0062187C"/>
    <w:rsid w:val="006239BC"/>
    <w:rsid w:val="006246D6"/>
    <w:rsid w:val="00625805"/>
    <w:rsid w:val="00627AC4"/>
    <w:rsid w:val="006323BC"/>
    <w:rsid w:val="0063253B"/>
    <w:rsid w:val="006363C8"/>
    <w:rsid w:val="00637AB8"/>
    <w:rsid w:val="0064370D"/>
    <w:rsid w:val="00643771"/>
    <w:rsid w:val="00644946"/>
    <w:rsid w:val="006459FD"/>
    <w:rsid w:val="00646AB8"/>
    <w:rsid w:val="00647A6B"/>
    <w:rsid w:val="00647BD9"/>
    <w:rsid w:val="00654A3E"/>
    <w:rsid w:val="00657C37"/>
    <w:rsid w:val="00661844"/>
    <w:rsid w:val="006624A7"/>
    <w:rsid w:val="0066515F"/>
    <w:rsid w:val="006663E9"/>
    <w:rsid w:val="006668AF"/>
    <w:rsid w:val="00666A49"/>
    <w:rsid w:val="00670A7E"/>
    <w:rsid w:val="0067278C"/>
    <w:rsid w:val="00676DAA"/>
    <w:rsid w:val="00676F43"/>
    <w:rsid w:val="006770B8"/>
    <w:rsid w:val="006823BF"/>
    <w:rsid w:val="006842D6"/>
    <w:rsid w:val="00686439"/>
    <w:rsid w:val="0068751E"/>
    <w:rsid w:val="006920A9"/>
    <w:rsid w:val="00695416"/>
    <w:rsid w:val="00697A88"/>
    <w:rsid w:val="00697CF1"/>
    <w:rsid w:val="006A15DA"/>
    <w:rsid w:val="006A45FD"/>
    <w:rsid w:val="006A46BB"/>
    <w:rsid w:val="006A6051"/>
    <w:rsid w:val="006B0CF4"/>
    <w:rsid w:val="006B31D9"/>
    <w:rsid w:val="006C0102"/>
    <w:rsid w:val="006C059E"/>
    <w:rsid w:val="006C07D4"/>
    <w:rsid w:val="006C19F2"/>
    <w:rsid w:val="006C2E8C"/>
    <w:rsid w:val="006C41AD"/>
    <w:rsid w:val="006C775C"/>
    <w:rsid w:val="006C7FC3"/>
    <w:rsid w:val="006D04BD"/>
    <w:rsid w:val="006D16EA"/>
    <w:rsid w:val="006D1E0D"/>
    <w:rsid w:val="006D2E6C"/>
    <w:rsid w:val="006D47EF"/>
    <w:rsid w:val="006D5CFB"/>
    <w:rsid w:val="006D6644"/>
    <w:rsid w:val="006D7180"/>
    <w:rsid w:val="006E03CB"/>
    <w:rsid w:val="006E2200"/>
    <w:rsid w:val="006E378C"/>
    <w:rsid w:val="006E433B"/>
    <w:rsid w:val="006E54A9"/>
    <w:rsid w:val="006E7899"/>
    <w:rsid w:val="006E7C78"/>
    <w:rsid w:val="006F27F4"/>
    <w:rsid w:val="006F2E23"/>
    <w:rsid w:val="006F4C30"/>
    <w:rsid w:val="006F6B5E"/>
    <w:rsid w:val="006F7024"/>
    <w:rsid w:val="00700863"/>
    <w:rsid w:val="00703A7C"/>
    <w:rsid w:val="007076DA"/>
    <w:rsid w:val="00707860"/>
    <w:rsid w:val="0071221B"/>
    <w:rsid w:val="00713549"/>
    <w:rsid w:val="00717131"/>
    <w:rsid w:val="00717AA0"/>
    <w:rsid w:val="007207BF"/>
    <w:rsid w:val="00722B75"/>
    <w:rsid w:val="00723239"/>
    <w:rsid w:val="007255D6"/>
    <w:rsid w:val="00725CB0"/>
    <w:rsid w:val="00726DBC"/>
    <w:rsid w:val="00727947"/>
    <w:rsid w:val="0073517D"/>
    <w:rsid w:val="0073685C"/>
    <w:rsid w:val="00737EA5"/>
    <w:rsid w:val="007400AE"/>
    <w:rsid w:val="00740220"/>
    <w:rsid w:val="00741F3E"/>
    <w:rsid w:val="00742F88"/>
    <w:rsid w:val="00743AA8"/>
    <w:rsid w:val="00750840"/>
    <w:rsid w:val="007524D1"/>
    <w:rsid w:val="007539C7"/>
    <w:rsid w:val="007544D1"/>
    <w:rsid w:val="00755EB1"/>
    <w:rsid w:val="00757617"/>
    <w:rsid w:val="007603C5"/>
    <w:rsid w:val="007614EB"/>
    <w:rsid w:val="0076370E"/>
    <w:rsid w:val="00763AD8"/>
    <w:rsid w:val="00765016"/>
    <w:rsid w:val="00767EDE"/>
    <w:rsid w:val="0077100C"/>
    <w:rsid w:val="00773BBA"/>
    <w:rsid w:val="00776C39"/>
    <w:rsid w:val="00777586"/>
    <w:rsid w:val="00781D00"/>
    <w:rsid w:val="00783AEC"/>
    <w:rsid w:val="007900F3"/>
    <w:rsid w:val="00791B69"/>
    <w:rsid w:val="0079498E"/>
    <w:rsid w:val="00796F10"/>
    <w:rsid w:val="007A0F9E"/>
    <w:rsid w:val="007A1D2D"/>
    <w:rsid w:val="007A37B3"/>
    <w:rsid w:val="007A6AB5"/>
    <w:rsid w:val="007A6C67"/>
    <w:rsid w:val="007B14D9"/>
    <w:rsid w:val="007B2B46"/>
    <w:rsid w:val="007B30F2"/>
    <w:rsid w:val="007B377F"/>
    <w:rsid w:val="007B4274"/>
    <w:rsid w:val="007B443D"/>
    <w:rsid w:val="007B5117"/>
    <w:rsid w:val="007B5336"/>
    <w:rsid w:val="007B5948"/>
    <w:rsid w:val="007B599D"/>
    <w:rsid w:val="007B6650"/>
    <w:rsid w:val="007B6A74"/>
    <w:rsid w:val="007C2DC8"/>
    <w:rsid w:val="007D097E"/>
    <w:rsid w:val="007D230B"/>
    <w:rsid w:val="007D2D80"/>
    <w:rsid w:val="007D2D9F"/>
    <w:rsid w:val="007D3461"/>
    <w:rsid w:val="007D3681"/>
    <w:rsid w:val="007D3824"/>
    <w:rsid w:val="007D49A1"/>
    <w:rsid w:val="007D59DD"/>
    <w:rsid w:val="007D7DE1"/>
    <w:rsid w:val="007E16F3"/>
    <w:rsid w:val="007E181B"/>
    <w:rsid w:val="007E1F66"/>
    <w:rsid w:val="007E2CB5"/>
    <w:rsid w:val="007E4C10"/>
    <w:rsid w:val="007E4FCB"/>
    <w:rsid w:val="007E6501"/>
    <w:rsid w:val="007E6C25"/>
    <w:rsid w:val="007F32D7"/>
    <w:rsid w:val="007F4F97"/>
    <w:rsid w:val="007F669E"/>
    <w:rsid w:val="00801632"/>
    <w:rsid w:val="0080520B"/>
    <w:rsid w:val="00807B3E"/>
    <w:rsid w:val="00810D4A"/>
    <w:rsid w:val="00812F82"/>
    <w:rsid w:val="008146FD"/>
    <w:rsid w:val="0081589C"/>
    <w:rsid w:val="008163CE"/>
    <w:rsid w:val="00816AAB"/>
    <w:rsid w:val="008173CA"/>
    <w:rsid w:val="00820402"/>
    <w:rsid w:val="008243B2"/>
    <w:rsid w:val="00824F08"/>
    <w:rsid w:val="00826212"/>
    <w:rsid w:val="008271DD"/>
    <w:rsid w:val="008310DF"/>
    <w:rsid w:val="00831105"/>
    <w:rsid w:val="00832432"/>
    <w:rsid w:val="00834A17"/>
    <w:rsid w:val="00835487"/>
    <w:rsid w:val="008378B7"/>
    <w:rsid w:val="00842F68"/>
    <w:rsid w:val="00844A4B"/>
    <w:rsid w:val="00845DC3"/>
    <w:rsid w:val="00850836"/>
    <w:rsid w:val="00852CDC"/>
    <w:rsid w:val="00854676"/>
    <w:rsid w:val="0085751C"/>
    <w:rsid w:val="008578E4"/>
    <w:rsid w:val="008614F7"/>
    <w:rsid w:val="008616DC"/>
    <w:rsid w:val="00865296"/>
    <w:rsid w:val="008666E8"/>
    <w:rsid w:val="00867086"/>
    <w:rsid w:val="00867B6C"/>
    <w:rsid w:val="00871123"/>
    <w:rsid w:val="00872F45"/>
    <w:rsid w:val="00873B4F"/>
    <w:rsid w:val="00874663"/>
    <w:rsid w:val="00881B95"/>
    <w:rsid w:val="008831CA"/>
    <w:rsid w:val="00886CD2"/>
    <w:rsid w:val="00887FDA"/>
    <w:rsid w:val="0089272A"/>
    <w:rsid w:val="00893391"/>
    <w:rsid w:val="00894890"/>
    <w:rsid w:val="00897247"/>
    <w:rsid w:val="008A3163"/>
    <w:rsid w:val="008A72B9"/>
    <w:rsid w:val="008B08F0"/>
    <w:rsid w:val="008B262C"/>
    <w:rsid w:val="008B2DAD"/>
    <w:rsid w:val="008B6FC8"/>
    <w:rsid w:val="008C19E9"/>
    <w:rsid w:val="008C26E9"/>
    <w:rsid w:val="008C46C9"/>
    <w:rsid w:val="008C6602"/>
    <w:rsid w:val="008C774E"/>
    <w:rsid w:val="008D29C3"/>
    <w:rsid w:val="008D4652"/>
    <w:rsid w:val="008D6D9D"/>
    <w:rsid w:val="008D7C41"/>
    <w:rsid w:val="008E693F"/>
    <w:rsid w:val="008F0132"/>
    <w:rsid w:val="008F1691"/>
    <w:rsid w:val="008F22E2"/>
    <w:rsid w:val="008F34C6"/>
    <w:rsid w:val="008F3C5C"/>
    <w:rsid w:val="008F5698"/>
    <w:rsid w:val="008F639E"/>
    <w:rsid w:val="00901EF2"/>
    <w:rsid w:val="00903EB6"/>
    <w:rsid w:val="00904906"/>
    <w:rsid w:val="0090702F"/>
    <w:rsid w:val="009079D0"/>
    <w:rsid w:val="00907E5A"/>
    <w:rsid w:val="00913D0A"/>
    <w:rsid w:val="009141F7"/>
    <w:rsid w:val="009148A1"/>
    <w:rsid w:val="00914B24"/>
    <w:rsid w:val="00914C43"/>
    <w:rsid w:val="00924972"/>
    <w:rsid w:val="00927C09"/>
    <w:rsid w:val="009309D7"/>
    <w:rsid w:val="00932E1E"/>
    <w:rsid w:val="00934068"/>
    <w:rsid w:val="00936348"/>
    <w:rsid w:val="00937854"/>
    <w:rsid w:val="009400F4"/>
    <w:rsid w:val="0094045A"/>
    <w:rsid w:val="009469E0"/>
    <w:rsid w:val="00947C52"/>
    <w:rsid w:val="00951C4D"/>
    <w:rsid w:val="00952E03"/>
    <w:rsid w:val="0095396E"/>
    <w:rsid w:val="009547E2"/>
    <w:rsid w:val="00954D33"/>
    <w:rsid w:val="00956488"/>
    <w:rsid w:val="00956F5F"/>
    <w:rsid w:val="009610DC"/>
    <w:rsid w:val="00963A1F"/>
    <w:rsid w:val="009669D2"/>
    <w:rsid w:val="00970F56"/>
    <w:rsid w:val="0097154F"/>
    <w:rsid w:val="00972CE2"/>
    <w:rsid w:val="00973555"/>
    <w:rsid w:val="009754AC"/>
    <w:rsid w:val="00981DF2"/>
    <w:rsid w:val="009843E3"/>
    <w:rsid w:val="0098457F"/>
    <w:rsid w:val="009855A1"/>
    <w:rsid w:val="00985996"/>
    <w:rsid w:val="00986978"/>
    <w:rsid w:val="00991FA0"/>
    <w:rsid w:val="00994AAD"/>
    <w:rsid w:val="00994F74"/>
    <w:rsid w:val="0099524D"/>
    <w:rsid w:val="0099563A"/>
    <w:rsid w:val="00997A88"/>
    <w:rsid w:val="009A13F4"/>
    <w:rsid w:val="009A44BE"/>
    <w:rsid w:val="009A7B5F"/>
    <w:rsid w:val="009B029F"/>
    <w:rsid w:val="009B27F8"/>
    <w:rsid w:val="009B4A8B"/>
    <w:rsid w:val="009B74FB"/>
    <w:rsid w:val="009C0660"/>
    <w:rsid w:val="009C12A7"/>
    <w:rsid w:val="009C2DE3"/>
    <w:rsid w:val="009C31A4"/>
    <w:rsid w:val="009C4845"/>
    <w:rsid w:val="009C66CC"/>
    <w:rsid w:val="009C7314"/>
    <w:rsid w:val="009D2442"/>
    <w:rsid w:val="009D5D9F"/>
    <w:rsid w:val="009D7F4D"/>
    <w:rsid w:val="009E0FA2"/>
    <w:rsid w:val="009E1C97"/>
    <w:rsid w:val="009E2244"/>
    <w:rsid w:val="009E2D42"/>
    <w:rsid w:val="009E57DF"/>
    <w:rsid w:val="009F1428"/>
    <w:rsid w:val="009F57FD"/>
    <w:rsid w:val="009F7F9F"/>
    <w:rsid w:val="00A01E02"/>
    <w:rsid w:val="00A02E26"/>
    <w:rsid w:val="00A05BA0"/>
    <w:rsid w:val="00A10C74"/>
    <w:rsid w:val="00A159C9"/>
    <w:rsid w:val="00A167FB"/>
    <w:rsid w:val="00A2023E"/>
    <w:rsid w:val="00A205C6"/>
    <w:rsid w:val="00A21B70"/>
    <w:rsid w:val="00A21D02"/>
    <w:rsid w:val="00A21DDB"/>
    <w:rsid w:val="00A23CF6"/>
    <w:rsid w:val="00A248E9"/>
    <w:rsid w:val="00A2690C"/>
    <w:rsid w:val="00A275BC"/>
    <w:rsid w:val="00A2792F"/>
    <w:rsid w:val="00A3087A"/>
    <w:rsid w:val="00A30970"/>
    <w:rsid w:val="00A315E4"/>
    <w:rsid w:val="00A31BDD"/>
    <w:rsid w:val="00A31D96"/>
    <w:rsid w:val="00A31DC7"/>
    <w:rsid w:val="00A31FEE"/>
    <w:rsid w:val="00A33722"/>
    <w:rsid w:val="00A33C55"/>
    <w:rsid w:val="00A34F6E"/>
    <w:rsid w:val="00A35976"/>
    <w:rsid w:val="00A406C3"/>
    <w:rsid w:val="00A42704"/>
    <w:rsid w:val="00A42875"/>
    <w:rsid w:val="00A4297F"/>
    <w:rsid w:val="00A44DC1"/>
    <w:rsid w:val="00A47168"/>
    <w:rsid w:val="00A47A98"/>
    <w:rsid w:val="00A47EE7"/>
    <w:rsid w:val="00A50B43"/>
    <w:rsid w:val="00A51C87"/>
    <w:rsid w:val="00A51E20"/>
    <w:rsid w:val="00A52716"/>
    <w:rsid w:val="00A54197"/>
    <w:rsid w:val="00A54340"/>
    <w:rsid w:val="00A54F42"/>
    <w:rsid w:val="00A61821"/>
    <w:rsid w:val="00A61E3A"/>
    <w:rsid w:val="00A631BA"/>
    <w:rsid w:val="00A65C27"/>
    <w:rsid w:val="00A67322"/>
    <w:rsid w:val="00A67CA5"/>
    <w:rsid w:val="00A717CD"/>
    <w:rsid w:val="00A733BC"/>
    <w:rsid w:val="00A7469C"/>
    <w:rsid w:val="00A75CCD"/>
    <w:rsid w:val="00A80506"/>
    <w:rsid w:val="00A806AE"/>
    <w:rsid w:val="00A8118F"/>
    <w:rsid w:val="00A83458"/>
    <w:rsid w:val="00A84220"/>
    <w:rsid w:val="00A8626F"/>
    <w:rsid w:val="00A86C41"/>
    <w:rsid w:val="00A87892"/>
    <w:rsid w:val="00A90148"/>
    <w:rsid w:val="00A917F8"/>
    <w:rsid w:val="00A94443"/>
    <w:rsid w:val="00A979B8"/>
    <w:rsid w:val="00AA0D8C"/>
    <w:rsid w:val="00AA25BC"/>
    <w:rsid w:val="00AA2841"/>
    <w:rsid w:val="00AA3077"/>
    <w:rsid w:val="00AA3E2A"/>
    <w:rsid w:val="00AA46AF"/>
    <w:rsid w:val="00AA5A47"/>
    <w:rsid w:val="00AA5AE7"/>
    <w:rsid w:val="00AA6942"/>
    <w:rsid w:val="00AA6CCE"/>
    <w:rsid w:val="00AB2477"/>
    <w:rsid w:val="00AB4E9E"/>
    <w:rsid w:val="00AB6C99"/>
    <w:rsid w:val="00AB71BC"/>
    <w:rsid w:val="00AB7DBC"/>
    <w:rsid w:val="00AC11D5"/>
    <w:rsid w:val="00AC15E5"/>
    <w:rsid w:val="00AC22BB"/>
    <w:rsid w:val="00AC4080"/>
    <w:rsid w:val="00AC5A6D"/>
    <w:rsid w:val="00AC5D73"/>
    <w:rsid w:val="00AC73AD"/>
    <w:rsid w:val="00AC7BED"/>
    <w:rsid w:val="00AD067D"/>
    <w:rsid w:val="00AD4862"/>
    <w:rsid w:val="00AD5FFD"/>
    <w:rsid w:val="00AD705A"/>
    <w:rsid w:val="00AD73A0"/>
    <w:rsid w:val="00AD78F9"/>
    <w:rsid w:val="00AE008D"/>
    <w:rsid w:val="00AE0C2E"/>
    <w:rsid w:val="00AE30E0"/>
    <w:rsid w:val="00AE346F"/>
    <w:rsid w:val="00AE3AD5"/>
    <w:rsid w:val="00AF2329"/>
    <w:rsid w:val="00AF2339"/>
    <w:rsid w:val="00AF294B"/>
    <w:rsid w:val="00AF3660"/>
    <w:rsid w:val="00AF376B"/>
    <w:rsid w:val="00AF7A20"/>
    <w:rsid w:val="00B01312"/>
    <w:rsid w:val="00B022D8"/>
    <w:rsid w:val="00B02D6E"/>
    <w:rsid w:val="00B02D98"/>
    <w:rsid w:val="00B06685"/>
    <w:rsid w:val="00B13D09"/>
    <w:rsid w:val="00B15D02"/>
    <w:rsid w:val="00B15D2F"/>
    <w:rsid w:val="00B16399"/>
    <w:rsid w:val="00B1760F"/>
    <w:rsid w:val="00B24A3E"/>
    <w:rsid w:val="00B2586D"/>
    <w:rsid w:val="00B25AE4"/>
    <w:rsid w:val="00B265C9"/>
    <w:rsid w:val="00B26909"/>
    <w:rsid w:val="00B27664"/>
    <w:rsid w:val="00B30FFC"/>
    <w:rsid w:val="00B31169"/>
    <w:rsid w:val="00B31828"/>
    <w:rsid w:val="00B41C89"/>
    <w:rsid w:val="00B41E25"/>
    <w:rsid w:val="00B42BEE"/>
    <w:rsid w:val="00B452B7"/>
    <w:rsid w:val="00B458E3"/>
    <w:rsid w:val="00B518FF"/>
    <w:rsid w:val="00B52950"/>
    <w:rsid w:val="00B53AE4"/>
    <w:rsid w:val="00B54D5B"/>
    <w:rsid w:val="00B54F17"/>
    <w:rsid w:val="00B561EE"/>
    <w:rsid w:val="00B57D47"/>
    <w:rsid w:val="00B60132"/>
    <w:rsid w:val="00B61584"/>
    <w:rsid w:val="00B6210E"/>
    <w:rsid w:val="00B62472"/>
    <w:rsid w:val="00B632E3"/>
    <w:rsid w:val="00B63E2B"/>
    <w:rsid w:val="00B64DC8"/>
    <w:rsid w:val="00B70688"/>
    <w:rsid w:val="00B73AAE"/>
    <w:rsid w:val="00B75FD9"/>
    <w:rsid w:val="00B77091"/>
    <w:rsid w:val="00B802D1"/>
    <w:rsid w:val="00B81F35"/>
    <w:rsid w:val="00B837C1"/>
    <w:rsid w:val="00B841E0"/>
    <w:rsid w:val="00B8463F"/>
    <w:rsid w:val="00B860BA"/>
    <w:rsid w:val="00B865F5"/>
    <w:rsid w:val="00B867D2"/>
    <w:rsid w:val="00B870A0"/>
    <w:rsid w:val="00B91D93"/>
    <w:rsid w:val="00B91DFE"/>
    <w:rsid w:val="00B92858"/>
    <w:rsid w:val="00B966E9"/>
    <w:rsid w:val="00B96BC7"/>
    <w:rsid w:val="00B97229"/>
    <w:rsid w:val="00BA07B9"/>
    <w:rsid w:val="00BA08A3"/>
    <w:rsid w:val="00BA3D7D"/>
    <w:rsid w:val="00BA5AB3"/>
    <w:rsid w:val="00BA5E4E"/>
    <w:rsid w:val="00BB227E"/>
    <w:rsid w:val="00BB4F22"/>
    <w:rsid w:val="00BB7E3D"/>
    <w:rsid w:val="00BC3CD1"/>
    <w:rsid w:val="00BC57F4"/>
    <w:rsid w:val="00BC5A43"/>
    <w:rsid w:val="00BC5EC6"/>
    <w:rsid w:val="00BC5F0E"/>
    <w:rsid w:val="00BD063B"/>
    <w:rsid w:val="00BD2211"/>
    <w:rsid w:val="00BD221D"/>
    <w:rsid w:val="00BD3E65"/>
    <w:rsid w:val="00BD5934"/>
    <w:rsid w:val="00BD70AA"/>
    <w:rsid w:val="00BD7785"/>
    <w:rsid w:val="00BE0032"/>
    <w:rsid w:val="00BE23CA"/>
    <w:rsid w:val="00BE3B2E"/>
    <w:rsid w:val="00BE746E"/>
    <w:rsid w:val="00BE7DE8"/>
    <w:rsid w:val="00BF1CBD"/>
    <w:rsid w:val="00BF52C4"/>
    <w:rsid w:val="00BF62EC"/>
    <w:rsid w:val="00BF66D2"/>
    <w:rsid w:val="00C006BE"/>
    <w:rsid w:val="00C01AA0"/>
    <w:rsid w:val="00C04A8B"/>
    <w:rsid w:val="00C05B8E"/>
    <w:rsid w:val="00C104B3"/>
    <w:rsid w:val="00C1063D"/>
    <w:rsid w:val="00C12A0A"/>
    <w:rsid w:val="00C146F7"/>
    <w:rsid w:val="00C15E0E"/>
    <w:rsid w:val="00C166EC"/>
    <w:rsid w:val="00C172E7"/>
    <w:rsid w:val="00C23B32"/>
    <w:rsid w:val="00C23FB5"/>
    <w:rsid w:val="00C24A1A"/>
    <w:rsid w:val="00C25988"/>
    <w:rsid w:val="00C26550"/>
    <w:rsid w:val="00C3294B"/>
    <w:rsid w:val="00C331BB"/>
    <w:rsid w:val="00C3503C"/>
    <w:rsid w:val="00C41A08"/>
    <w:rsid w:val="00C422B9"/>
    <w:rsid w:val="00C4240A"/>
    <w:rsid w:val="00C4241E"/>
    <w:rsid w:val="00C47858"/>
    <w:rsid w:val="00C503EE"/>
    <w:rsid w:val="00C504EC"/>
    <w:rsid w:val="00C50EFE"/>
    <w:rsid w:val="00C57111"/>
    <w:rsid w:val="00C615A3"/>
    <w:rsid w:val="00C6198D"/>
    <w:rsid w:val="00C635DA"/>
    <w:rsid w:val="00C639E7"/>
    <w:rsid w:val="00C648B8"/>
    <w:rsid w:val="00C659BE"/>
    <w:rsid w:val="00C70148"/>
    <w:rsid w:val="00C7114A"/>
    <w:rsid w:val="00C75D4B"/>
    <w:rsid w:val="00C80300"/>
    <w:rsid w:val="00C80526"/>
    <w:rsid w:val="00C813DE"/>
    <w:rsid w:val="00C81C43"/>
    <w:rsid w:val="00C82307"/>
    <w:rsid w:val="00C8613B"/>
    <w:rsid w:val="00C900DE"/>
    <w:rsid w:val="00C92622"/>
    <w:rsid w:val="00C93B20"/>
    <w:rsid w:val="00C946B4"/>
    <w:rsid w:val="00C958F7"/>
    <w:rsid w:val="00C97228"/>
    <w:rsid w:val="00C9780D"/>
    <w:rsid w:val="00CA02DA"/>
    <w:rsid w:val="00CA19D6"/>
    <w:rsid w:val="00CA1A54"/>
    <w:rsid w:val="00CA1CB3"/>
    <w:rsid w:val="00CA26B5"/>
    <w:rsid w:val="00CA655A"/>
    <w:rsid w:val="00CB147F"/>
    <w:rsid w:val="00CB3B94"/>
    <w:rsid w:val="00CB4720"/>
    <w:rsid w:val="00CB48A5"/>
    <w:rsid w:val="00CB537B"/>
    <w:rsid w:val="00CC3B34"/>
    <w:rsid w:val="00CC46B2"/>
    <w:rsid w:val="00CC5718"/>
    <w:rsid w:val="00CC6076"/>
    <w:rsid w:val="00CD1352"/>
    <w:rsid w:val="00CD1CBE"/>
    <w:rsid w:val="00CD1E3E"/>
    <w:rsid w:val="00CD2EDC"/>
    <w:rsid w:val="00CD32E2"/>
    <w:rsid w:val="00CD48F5"/>
    <w:rsid w:val="00CD4B0B"/>
    <w:rsid w:val="00CD4E9E"/>
    <w:rsid w:val="00CD5672"/>
    <w:rsid w:val="00CD6698"/>
    <w:rsid w:val="00CD7B2C"/>
    <w:rsid w:val="00CE16CB"/>
    <w:rsid w:val="00CE1E5B"/>
    <w:rsid w:val="00CE265F"/>
    <w:rsid w:val="00CE602C"/>
    <w:rsid w:val="00CF1D92"/>
    <w:rsid w:val="00CF2D92"/>
    <w:rsid w:val="00CF4BB5"/>
    <w:rsid w:val="00CF580C"/>
    <w:rsid w:val="00CF5D91"/>
    <w:rsid w:val="00CF696D"/>
    <w:rsid w:val="00D0025C"/>
    <w:rsid w:val="00D004FB"/>
    <w:rsid w:val="00D02BBC"/>
    <w:rsid w:val="00D02C36"/>
    <w:rsid w:val="00D05D4F"/>
    <w:rsid w:val="00D0761C"/>
    <w:rsid w:val="00D11741"/>
    <w:rsid w:val="00D12172"/>
    <w:rsid w:val="00D128DF"/>
    <w:rsid w:val="00D12B8C"/>
    <w:rsid w:val="00D1490A"/>
    <w:rsid w:val="00D14F84"/>
    <w:rsid w:val="00D15045"/>
    <w:rsid w:val="00D1787B"/>
    <w:rsid w:val="00D200F6"/>
    <w:rsid w:val="00D21646"/>
    <w:rsid w:val="00D2171F"/>
    <w:rsid w:val="00D237A8"/>
    <w:rsid w:val="00D256F0"/>
    <w:rsid w:val="00D262BE"/>
    <w:rsid w:val="00D329A6"/>
    <w:rsid w:val="00D36A3A"/>
    <w:rsid w:val="00D413DC"/>
    <w:rsid w:val="00D41A3C"/>
    <w:rsid w:val="00D41C64"/>
    <w:rsid w:val="00D42E62"/>
    <w:rsid w:val="00D44B11"/>
    <w:rsid w:val="00D454DE"/>
    <w:rsid w:val="00D454F2"/>
    <w:rsid w:val="00D47CE9"/>
    <w:rsid w:val="00D52995"/>
    <w:rsid w:val="00D53A79"/>
    <w:rsid w:val="00D60425"/>
    <w:rsid w:val="00D60987"/>
    <w:rsid w:val="00D61DE4"/>
    <w:rsid w:val="00D67B9C"/>
    <w:rsid w:val="00D72ADE"/>
    <w:rsid w:val="00D75233"/>
    <w:rsid w:val="00D76E52"/>
    <w:rsid w:val="00D7728F"/>
    <w:rsid w:val="00D77696"/>
    <w:rsid w:val="00D81CC4"/>
    <w:rsid w:val="00D83660"/>
    <w:rsid w:val="00D84310"/>
    <w:rsid w:val="00D9747F"/>
    <w:rsid w:val="00D9765E"/>
    <w:rsid w:val="00DA1473"/>
    <w:rsid w:val="00DA4591"/>
    <w:rsid w:val="00DA6088"/>
    <w:rsid w:val="00DA6430"/>
    <w:rsid w:val="00DA681A"/>
    <w:rsid w:val="00DA6B7E"/>
    <w:rsid w:val="00DA7985"/>
    <w:rsid w:val="00DB59D4"/>
    <w:rsid w:val="00DB63BE"/>
    <w:rsid w:val="00DB63DB"/>
    <w:rsid w:val="00DB6490"/>
    <w:rsid w:val="00DB7824"/>
    <w:rsid w:val="00DC0117"/>
    <w:rsid w:val="00DC0BFA"/>
    <w:rsid w:val="00DC0D97"/>
    <w:rsid w:val="00DC19A6"/>
    <w:rsid w:val="00DC308E"/>
    <w:rsid w:val="00DC5E0F"/>
    <w:rsid w:val="00DC6C76"/>
    <w:rsid w:val="00DC7F73"/>
    <w:rsid w:val="00DE191A"/>
    <w:rsid w:val="00DE1A0F"/>
    <w:rsid w:val="00DE3123"/>
    <w:rsid w:val="00DE339F"/>
    <w:rsid w:val="00DE62ED"/>
    <w:rsid w:val="00DE65D3"/>
    <w:rsid w:val="00DE6732"/>
    <w:rsid w:val="00DE73E8"/>
    <w:rsid w:val="00DE76A4"/>
    <w:rsid w:val="00DF1535"/>
    <w:rsid w:val="00DF53F5"/>
    <w:rsid w:val="00DF61FD"/>
    <w:rsid w:val="00DF6226"/>
    <w:rsid w:val="00DF6D25"/>
    <w:rsid w:val="00E00808"/>
    <w:rsid w:val="00E00FE3"/>
    <w:rsid w:val="00E03C6D"/>
    <w:rsid w:val="00E11EE3"/>
    <w:rsid w:val="00E135F9"/>
    <w:rsid w:val="00E14349"/>
    <w:rsid w:val="00E20C28"/>
    <w:rsid w:val="00E22A77"/>
    <w:rsid w:val="00E22E84"/>
    <w:rsid w:val="00E24B18"/>
    <w:rsid w:val="00E251B3"/>
    <w:rsid w:val="00E3016C"/>
    <w:rsid w:val="00E3027E"/>
    <w:rsid w:val="00E31E33"/>
    <w:rsid w:val="00E348BC"/>
    <w:rsid w:val="00E35B8D"/>
    <w:rsid w:val="00E4307D"/>
    <w:rsid w:val="00E4318F"/>
    <w:rsid w:val="00E4347D"/>
    <w:rsid w:val="00E4392E"/>
    <w:rsid w:val="00E43D71"/>
    <w:rsid w:val="00E50B9E"/>
    <w:rsid w:val="00E51933"/>
    <w:rsid w:val="00E54395"/>
    <w:rsid w:val="00E54741"/>
    <w:rsid w:val="00E568E5"/>
    <w:rsid w:val="00E57AAD"/>
    <w:rsid w:val="00E62585"/>
    <w:rsid w:val="00E6453F"/>
    <w:rsid w:val="00E659EF"/>
    <w:rsid w:val="00E677A6"/>
    <w:rsid w:val="00E70CBD"/>
    <w:rsid w:val="00E717E8"/>
    <w:rsid w:val="00E72BAF"/>
    <w:rsid w:val="00E73D81"/>
    <w:rsid w:val="00E754F4"/>
    <w:rsid w:val="00E80023"/>
    <w:rsid w:val="00E82340"/>
    <w:rsid w:val="00E827BA"/>
    <w:rsid w:val="00E865D1"/>
    <w:rsid w:val="00E9048F"/>
    <w:rsid w:val="00E91072"/>
    <w:rsid w:val="00EA057C"/>
    <w:rsid w:val="00EA2D3D"/>
    <w:rsid w:val="00EA3FAA"/>
    <w:rsid w:val="00EA5B84"/>
    <w:rsid w:val="00EB20F9"/>
    <w:rsid w:val="00EB24EB"/>
    <w:rsid w:val="00EB34AF"/>
    <w:rsid w:val="00EB4719"/>
    <w:rsid w:val="00EB5489"/>
    <w:rsid w:val="00EB6469"/>
    <w:rsid w:val="00EC0C85"/>
    <w:rsid w:val="00EC1831"/>
    <w:rsid w:val="00EC2154"/>
    <w:rsid w:val="00EC4235"/>
    <w:rsid w:val="00ED06CC"/>
    <w:rsid w:val="00ED21DD"/>
    <w:rsid w:val="00ED2C8E"/>
    <w:rsid w:val="00ED32CC"/>
    <w:rsid w:val="00ED379E"/>
    <w:rsid w:val="00ED7680"/>
    <w:rsid w:val="00EE0424"/>
    <w:rsid w:val="00EE0D47"/>
    <w:rsid w:val="00EE5358"/>
    <w:rsid w:val="00EF1463"/>
    <w:rsid w:val="00EF1B6A"/>
    <w:rsid w:val="00EF3C59"/>
    <w:rsid w:val="00EF3D7E"/>
    <w:rsid w:val="00EF54D8"/>
    <w:rsid w:val="00EF71E9"/>
    <w:rsid w:val="00F006D2"/>
    <w:rsid w:val="00F00BD1"/>
    <w:rsid w:val="00F00BE3"/>
    <w:rsid w:val="00F00DC7"/>
    <w:rsid w:val="00F017B0"/>
    <w:rsid w:val="00F01FD9"/>
    <w:rsid w:val="00F04B07"/>
    <w:rsid w:val="00F05BA8"/>
    <w:rsid w:val="00F074DD"/>
    <w:rsid w:val="00F07657"/>
    <w:rsid w:val="00F1554D"/>
    <w:rsid w:val="00F16F13"/>
    <w:rsid w:val="00F20AEA"/>
    <w:rsid w:val="00F219C3"/>
    <w:rsid w:val="00F21A6B"/>
    <w:rsid w:val="00F23E9A"/>
    <w:rsid w:val="00F242D9"/>
    <w:rsid w:val="00F259FE"/>
    <w:rsid w:val="00F323EA"/>
    <w:rsid w:val="00F32724"/>
    <w:rsid w:val="00F33B4D"/>
    <w:rsid w:val="00F33FDE"/>
    <w:rsid w:val="00F3715D"/>
    <w:rsid w:val="00F44B62"/>
    <w:rsid w:val="00F5072C"/>
    <w:rsid w:val="00F517F5"/>
    <w:rsid w:val="00F51CBF"/>
    <w:rsid w:val="00F526D5"/>
    <w:rsid w:val="00F5411D"/>
    <w:rsid w:val="00F56D2B"/>
    <w:rsid w:val="00F57D2D"/>
    <w:rsid w:val="00F606D8"/>
    <w:rsid w:val="00F62A49"/>
    <w:rsid w:val="00F64F0D"/>
    <w:rsid w:val="00F65726"/>
    <w:rsid w:val="00F66826"/>
    <w:rsid w:val="00F67E38"/>
    <w:rsid w:val="00F7026A"/>
    <w:rsid w:val="00F70912"/>
    <w:rsid w:val="00F71826"/>
    <w:rsid w:val="00F726B4"/>
    <w:rsid w:val="00F72B45"/>
    <w:rsid w:val="00F73B00"/>
    <w:rsid w:val="00F7493F"/>
    <w:rsid w:val="00F764EE"/>
    <w:rsid w:val="00F779BA"/>
    <w:rsid w:val="00F82711"/>
    <w:rsid w:val="00F8464D"/>
    <w:rsid w:val="00F84737"/>
    <w:rsid w:val="00F85099"/>
    <w:rsid w:val="00F860EE"/>
    <w:rsid w:val="00F86511"/>
    <w:rsid w:val="00F87B69"/>
    <w:rsid w:val="00F87D18"/>
    <w:rsid w:val="00F90C95"/>
    <w:rsid w:val="00F9103E"/>
    <w:rsid w:val="00F95923"/>
    <w:rsid w:val="00F96A39"/>
    <w:rsid w:val="00F96DB3"/>
    <w:rsid w:val="00F97463"/>
    <w:rsid w:val="00F974AD"/>
    <w:rsid w:val="00FA0979"/>
    <w:rsid w:val="00FA4B50"/>
    <w:rsid w:val="00FA4DC6"/>
    <w:rsid w:val="00FA5D99"/>
    <w:rsid w:val="00FA6922"/>
    <w:rsid w:val="00FB030E"/>
    <w:rsid w:val="00FB3A5B"/>
    <w:rsid w:val="00FB52E8"/>
    <w:rsid w:val="00FB571F"/>
    <w:rsid w:val="00FB6AD9"/>
    <w:rsid w:val="00FB6F0B"/>
    <w:rsid w:val="00FC42BA"/>
    <w:rsid w:val="00FC4CC7"/>
    <w:rsid w:val="00FC611F"/>
    <w:rsid w:val="00FC6166"/>
    <w:rsid w:val="00FC77BB"/>
    <w:rsid w:val="00FD08C1"/>
    <w:rsid w:val="00FD2C54"/>
    <w:rsid w:val="00FD544A"/>
    <w:rsid w:val="00FD5FEB"/>
    <w:rsid w:val="00FD6877"/>
    <w:rsid w:val="00FD7A7A"/>
    <w:rsid w:val="00FE10C1"/>
    <w:rsid w:val="00FE190E"/>
    <w:rsid w:val="00FE20A9"/>
    <w:rsid w:val="00FE48A9"/>
    <w:rsid w:val="00FE627F"/>
    <w:rsid w:val="00FF08B7"/>
    <w:rsid w:val="00FF12B8"/>
    <w:rsid w:val="00FF2DC1"/>
    <w:rsid w:val="00FF356F"/>
    <w:rsid w:val="00FF4DF4"/>
    <w:rsid w:val="00FF521D"/>
    <w:rsid w:val="00FF57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B1DDC8"/>
  <w14:defaultImageDpi w14:val="330"/>
  <w15:docId w15:val="{A1346385-2502-4995-B84A-B4C8CBE8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styleId="PlainTable4">
    <w:name w:val="Plain Table 4"/>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C. Caption"/>
    <w:basedOn w:val="Normal"/>
    <w:next w:val="Normal"/>
    <w:link w:val="CaptionChar"/>
    <w:autoRedefine/>
    <w:unhideWhenUsed/>
    <w:qFormat/>
    <w:rsid w:val="00C7114A"/>
    <w:pPr>
      <w:keepNext/>
      <w:keepLines/>
      <w:spacing w:before="280" w:after="80"/>
    </w:pPr>
    <w:rPr>
      <w:rFonts w:cs="Arial"/>
      <w:color w:val="000000"/>
      <w:sz w:val="20"/>
      <w14:textFill>
        <w14:solidFill>
          <w14:srgbClr w14:val="000000">
            <w14:lumMod w14:val="50000"/>
          </w14:srgbClr>
        </w14:solidFill>
      </w14:textFill>
    </w:rPr>
  </w:style>
  <w:style w:type="character" w:customStyle="1" w:styleId="CaptionChar">
    <w:name w:val="Caption Char"/>
    <w:aliases w:val="eTRM Caption Char,C. Caption Char"/>
    <w:link w:val="Caption"/>
    <w:locked/>
    <w:rsid w:val="00C7114A"/>
    <w:rPr>
      <w:rFonts w:ascii="Calibri Light" w:hAnsi="Calibri Light" w:cs="Arial"/>
      <w:color w:val="000000"/>
      <w:sz w:val="20"/>
      <w14:textFill>
        <w14:solidFill>
          <w14:srgbClr w14:val="000000">
            <w14:lumMod w14:val="50000"/>
          </w14:srgbClr>
        </w14:solidFill>
      </w14:textFill>
    </w:rPr>
  </w:style>
  <w:style w:type="table" w:styleId="PlainTable2">
    <w:name w:val="Plain Table 2"/>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cs="Arial"/>
      <w:b w:val="0"/>
      <w:bCs w:val="0"/>
      <w:color w:val="000000"/>
      <w:sz w:val="20"/>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564AFB"/>
    <w:pPr>
      <w:numPr>
        <w:numId w:val="8"/>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BA5E4E"/>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BA5E4E"/>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GridTable1Light">
    <w:name w:val="Grid Table 1 Light"/>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81F35"/>
    <w:pPr>
      <w:keepNext/>
      <w:keepLines/>
      <w:spacing w:line="320" w:lineRule="exact"/>
      <w:contextualSpacing/>
      <w:jc w:val="center"/>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81F35"/>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5F09B3"/>
    <w:pPr>
      <w:keepNext/>
      <w:keepLines/>
      <w:spacing w:line="360" w:lineRule="exact"/>
      <w:jc w:val="center"/>
      <w:outlineLvl w:val="1"/>
    </w:pPr>
    <w:rPr>
      <w:rFonts w:eastAsiaTheme="majorEastAsia" w:cstheme="majorBidi"/>
      <w:caps/>
      <w:spacing w:val="80"/>
      <w:sz w:val="36"/>
      <w:szCs w:val="26"/>
    </w:rPr>
  </w:style>
  <w:style w:type="character" w:customStyle="1" w:styleId="eTRMHeading2Char">
    <w:name w:val="eTRM Heading 2 Char"/>
    <w:basedOn w:val="DefaultParagraphFont"/>
    <w:link w:val="eTRMHeading2"/>
    <w:rsid w:val="005F09B3"/>
    <w:rPr>
      <w:rFonts w:ascii="Calibri Light" w:eastAsiaTheme="majorEastAsia" w:hAnsi="Calibri Light" w:cstheme="majorBidi"/>
      <w:caps/>
      <w:spacing w:val="80"/>
      <w:sz w:val="36"/>
      <w:szCs w:val="26"/>
    </w:rPr>
  </w:style>
  <w:style w:type="paragraph" w:customStyle="1" w:styleId="eTRMHeading3">
    <w:name w:val="eTRM Heading 3"/>
    <w:basedOn w:val="Heading3"/>
    <w:link w:val="eTRMHeading3Char"/>
    <w:autoRedefine/>
    <w:qFormat/>
    <w:rsid w:val="004F3F32"/>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4F3F32"/>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2A2471"/>
    <w:pPr>
      <w:spacing w:before="20" w:after="20"/>
      <w:ind w:left="1350"/>
    </w:pPr>
  </w:style>
  <w:style w:type="character" w:customStyle="1" w:styleId="eTRMFootnoteTextChar">
    <w:name w:val="eTRM Footnote Text Char"/>
    <w:basedOn w:val="FootnoteTextChar"/>
    <w:link w:val="eTRMFootnoteText"/>
    <w:rsid w:val="002A247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8"/>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semiHidden/>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character" w:styleId="PlaceholderText">
    <w:name w:val="Placeholder Text"/>
    <w:basedOn w:val="DefaultParagraphFont"/>
    <w:uiPriority w:val="99"/>
    <w:semiHidden/>
    <w:rsid w:val="00386A29"/>
    <w:rPr>
      <w:color w:val="808080"/>
    </w:rPr>
  </w:style>
  <w:style w:type="table" w:styleId="TableGridLight">
    <w:name w:val="Grid Table Light"/>
    <w:basedOn w:val="TableNormal"/>
    <w:uiPriority w:val="40"/>
    <w:rsid w:val="00425FA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Emphasis">
    <w:name w:val="Emphasis"/>
    <w:basedOn w:val="DefaultParagraphFont"/>
    <w:uiPriority w:val="20"/>
    <w:qFormat/>
    <w:rsid w:val="00610050"/>
    <w:rPr>
      <w:i/>
      <w:iCs/>
    </w:rPr>
  </w:style>
  <w:style w:type="paragraph" w:styleId="NormalWeb">
    <w:name w:val="Normal (Web)"/>
    <w:basedOn w:val="Normal"/>
    <w:uiPriority w:val="99"/>
    <w:semiHidden/>
    <w:unhideWhenUsed/>
    <w:rsid w:val="00523F9B"/>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515479"/>
    <w:rPr>
      <w:b/>
      <w:bCs/>
    </w:rPr>
  </w:style>
  <w:style w:type="paragraph" w:customStyle="1" w:styleId="WPPR2">
    <w:name w:val="WPPR2"/>
    <w:basedOn w:val="Normal"/>
    <w:qFormat/>
    <w:rsid w:val="0035670F"/>
    <w:pPr>
      <w:numPr>
        <w:ilvl w:val="3"/>
        <w:numId w:val="22"/>
      </w:numPr>
      <w:suppressAutoHyphens/>
      <w:spacing w:before="0" w:after="0" w:line="240" w:lineRule="auto"/>
      <w:outlineLvl w:val="3"/>
    </w:pPr>
    <w:rPr>
      <w:rFonts w:ascii="Arial" w:eastAsia="Batang" w:hAnsi="Arial" w:cs="Times New Roman"/>
      <w:sz w:val="20"/>
      <w:szCs w:val="20"/>
    </w:rPr>
  </w:style>
  <w:style w:type="paragraph" w:customStyle="1" w:styleId="WPPR3">
    <w:name w:val="WPPR3"/>
    <w:basedOn w:val="Normal"/>
    <w:qFormat/>
    <w:rsid w:val="0035670F"/>
    <w:pPr>
      <w:numPr>
        <w:ilvl w:val="4"/>
        <w:numId w:val="22"/>
      </w:numPr>
      <w:suppressAutoHyphens/>
      <w:spacing w:before="0" w:after="0" w:line="240" w:lineRule="auto"/>
      <w:outlineLvl w:val="4"/>
    </w:pPr>
    <w:rPr>
      <w:rFonts w:ascii="Arial" w:eastAsia="Batang" w:hAnsi="Arial" w:cs="Times New Roman"/>
      <w:sz w:val="20"/>
      <w:szCs w:val="20"/>
    </w:rPr>
  </w:style>
  <w:style w:type="character" w:customStyle="1" w:styleId="dropdown">
    <w:name w:val="dropdown"/>
    <w:basedOn w:val="DefaultParagraphFont"/>
    <w:rsid w:val="006A46BB"/>
  </w:style>
  <w:style w:type="paragraph" w:customStyle="1" w:styleId="xetrmbulletedtext">
    <w:name w:val="x_etrmbulletedtext"/>
    <w:basedOn w:val="Normal"/>
    <w:rsid w:val="0068751E"/>
    <w:pPr>
      <w:spacing w:before="0" w:after="20"/>
      <w:ind w:left="720" w:hanging="360"/>
    </w:pPr>
    <w:rPr>
      <w:rFonts w:eastAsiaTheme="minorHAnsi" w:cs="Calibri Light"/>
      <w:szCs w:val="22"/>
    </w:rPr>
  </w:style>
  <w:style w:type="paragraph" w:styleId="NoSpacing">
    <w:name w:val="No Spacing"/>
    <w:uiPriority w:val="1"/>
    <w:qFormat/>
    <w:rsid w:val="00676F43"/>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063790">
      <w:bodyDiv w:val="1"/>
      <w:marLeft w:val="0"/>
      <w:marRight w:val="0"/>
      <w:marTop w:val="0"/>
      <w:marBottom w:val="0"/>
      <w:divBdr>
        <w:top w:val="none" w:sz="0" w:space="0" w:color="auto"/>
        <w:left w:val="none" w:sz="0" w:space="0" w:color="auto"/>
        <w:bottom w:val="none" w:sz="0" w:space="0" w:color="auto"/>
        <w:right w:val="none" w:sz="0" w:space="0" w:color="auto"/>
      </w:divBdr>
    </w:div>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07649">
      <w:bodyDiv w:val="1"/>
      <w:marLeft w:val="0"/>
      <w:marRight w:val="0"/>
      <w:marTop w:val="0"/>
      <w:marBottom w:val="0"/>
      <w:divBdr>
        <w:top w:val="none" w:sz="0" w:space="0" w:color="auto"/>
        <w:left w:val="none" w:sz="0" w:space="0" w:color="auto"/>
        <w:bottom w:val="none" w:sz="0" w:space="0" w:color="auto"/>
        <w:right w:val="none" w:sz="0" w:space="0" w:color="auto"/>
      </w:divBdr>
    </w:div>
    <w:div w:id="247731601">
      <w:bodyDiv w:val="1"/>
      <w:marLeft w:val="0"/>
      <w:marRight w:val="0"/>
      <w:marTop w:val="0"/>
      <w:marBottom w:val="0"/>
      <w:divBdr>
        <w:top w:val="none" w:sz="0" w:space="0" w:color="auto"/>
        <w:left w:val="none" w:sz="0" w:space="0" w:color="auto"/>
        <w:bottom w:val="none" w:sz="0" w:space="0" w:color="auto"/>
        <w:right w:val="none" w:sz="0" w:space="0" w:color="auto"/>
      </w:divBdr>
    </w:div>
    <w:div w:id="285239391">
      <w:bodyDiv w:val="1"/>
      <w:marLeft w:val="0"/>
      <w:marRight w:val="0"/>
      <w:marTop w:val="0"/>
      <w:marBottom w:val="0"/>
      <w:divBdr>
        <w:top w:val="none" w:sz="0" w:space="0" w:color="auto"/>
        <w:left w:val="none" w:sz="0" w:space="0" w:color="auto"/>
        <w:bottom w:val="none" w:sz="0" w:space="0" w:color="auto"/>
        <w:right w:val="none" w:sz="0" w:space="0" w:color="auto"/>
      </w:divBdr>
      <w:divsChild>
        <w:div w:id="1215585823">
          <w:marLeft w:val="0"/>
          <w:marRight w:val="0"/>
          <w:marTop w:val="0"/>
          <w:marBottom w:val="0"/>
          <w:divBdr>
            <w:top w:val="none" w:sz="0" w:space="0" w:color="auto"/>
            <w:left w:val="none" w:sz="0" w:space="0" w:color="auto"/>
            <w:bottom w:val="none" w:sz="0" w:space="0" w:color="auto"/>
            <w:right w:val="none" w:sz="0" w:space="0" w:color="auto"/>
          </w:divBdr>
          <w:divsChild>
            <w:div w:id="207527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363067">
      <w:bodyDiv w:val="1"/>
      <w:marLeft w:val="0"/>
      <w:marRight w:val="0"/>
      <w:marTop w:val="0"/>
      <w:marBottom w:val="0"/>
      <w:divBdr>
        <w:top w:val="none" w:sz="0" w:space="0" w:color="auto"/>
        <w:left w:val="none" w:sz="0" w:space="0" w:color="auto"/>
        <w:bottom w:val="none" w:sz="0" w:space="0" w:color="auto"/>
        <w:right w:val="none" w:sz="0" w:space="0" w:color="auto"/>
      </w:divBdr>
    </w:div>
    <w:div w:id="372728240">
      <w:bodyDiv w:val="1"/>
      <w:marLeft w:val="0"/>
      <w:marRight w:val="0"/>
      <w:marTop w:val="0"/>
      <w:marBottom w:val="0"/>
      <w:divBdr>
        <w:top w:val="none" w:sz="0" w:space="0" w:color="auto"/>
        <w:left w:val="none" w:sz="0" w:space="0" w:color="auto"/>
        <w:bottom w:val="none" w:sz="0" w:space="0" w:color="auto"/>
        <w:right w:val="none" w:sz="0" w:space="0" w:color="auto"/>
      </w:divBdr>
    </w:div>
    <w:div w:id="428813445">
      <w:bodyDiv w:val="1"/>
      <w:marLeft w:val="0"/>
      <w:marRight w:val="0"/>
      <w:marTop w:val="0"/>
      <w:marBottom w:val="0"/>
      <w:divBdr>
        <w:top w:val="none" w:sz="0" w:space="0" w:color="auto"/>
        <w:left w:val="none" w:sz="0" w:space="0" w:color="auto"/>
        <w:bottom w:val="none" w:sz="0" w:space="0" w:color="auto"/>
        <w:right w:val="none" w:sz="0" w:space="0" w:color="auto"/>
      </w:divBdr>
    </w:div>
    <w:div w:id="808982664">
      <w:bodyDiv w:val="1"/>
      <w:marLeft w:val="0"/>
      <w:marRight w:val="0"/>
      <w:marTop w:val="0"/>
      <w:marBottom w:val="0"/>
      <w:divBdr>
        <w:top w:val="none" w:sz="0" w:space="0" w:color="auto"/>
        <w:left w:val="none" w:sz="0" w:space="0" w:color="auto"/>
        <w:bottom w:val="none" w:sz="0" w:space="0" w:color="auto"/>
        <w:right w:val="none" w:sz="0" w:space="0" w:color="auto"/>
      </w:divBdr>
    </w:div>
    <w:div w:id="894899905">
      <w:bodyDiv w:val="1"/>
      <w:marLeft w:val="0"/>
      <w:marRight w:val="0"/>
      <w:marTop w:val="0"/>
      <w:marBottom w:val="0"/>
      <w:divBdr>
        <w:top w:val="none" w:sz="0" w:space="0" w:color="auto"/>
        <w:left w:val="none" w:sz="0" w:space="0" w:color="auto"/>
        <w:bottom w:val="none" w:sz="0" w:space="0" w:color="auto"/>
        <w:right w:val="none" w:sz="0" w:space="0" w:color="auto"/>
      </w:divBdr>
    </w:div>
    <w:div w:id="982078086">
      <w:bodyDiv w:val="1"/>
      <w:marLeft w:val="0"/>
      <w:marRight w:val="0"/>
      <w:marTop w:val="0"/>
      <w:marBottom w:val="0"/>
      <w:divBdr>
        <w:top w:val="none" w:sz="0" w:space="0" w:color="auto"/>
        <w:left w:val="none" w:sz="0" w:space="0" w:color="auto"/>
        <w:bottom w:val="none" w:sz="0" w:space="0" w:color="auto"/>
        <w:right w:val="none" w:sz="0" w:space="0" w:color="auto"/>
      </w:divBdr>
    </w:div>
    <w:div w:id="1035887867">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216313013">
      <w:bodyDiv w:val="1"/>
      <w:marLeft w:val="0"/>
      <w:marRight w:val="0"/>
      <w:marTop w:val="0"/>
      <w:marBottom w:val="0"/>
      <w:divBdr>
        <w:top w:val="none" w:sz="0" w:space="0" w:color="auto"/>
        <w:left w:val="none" w:sz="0" w:space="0" w:color="auto"/>
        <w:bottom w:val="none" w:sz="0" w:space="0" w:color="auto"/>
        <w:right w:val="none" w:sz="0" w:space="0" w:color="auto"/>
      </w:divBdr>
    </w:div>
    <w:div w:id="1217887975">
      <w:bodyDiv w:val="1"/>
      <w:marLeft w:val="0"/>
      <w:marRight w:val="0"/>
      <w:marTop w:val="0"/>
      <w:marBottom w:val="0"/>
      <w:divBdr>
        <w:top w:val="none" w:sz="0" w:space="0" w:color="auto"/>
        <w:left w:val="none" w:sz="0" w:space="0" w:color="auto"/>
        <w:bottom w:val="none" w:sz="0" w:space="0" w:color="auto"/>
        <w:right w:val="none" w:sz="0" w:space="0" w:color="auto"/>
      </w:divBdr>
    </w:div>
    <w:div w:id="1262878771">
      <w:bodyDiv w:val="1"/>
      <w:marLeft w:val="0"/>
      <w:marRight w:val="0"/>
      <w:marTop w:val="0"/>
      <w:marBottom w:val="0"/>
      <w:divBdr>
        <w:top w:val="none" w:sz="0" w:space="0" w:color="auto"/>
        <w:left w:val="none" w:sz="0" w:space="0" w:color="auto"/>
        <w:bottom w:val="none" w:sz="0" w:space="0" w:color="auto"/>
        <w:right w:val="none" w:sz="0" w:space="0" w:color="auto"/>
      </w:divBdr>
    </w:div>
    <w:div w:id="1336301471">
      <w:bodyDiv w:val="1"/>
      <w:marLeft w:val="0"/>
      <w:marRight w:val="0"/>
      <w:marTop w:val="0"/>
      <w:marBottom w:val="0"/>
      <w:divBdr>
        <w:top w:val="none" w:sz="0" w:space="0" w:color="auto"/>
        <w:left w:val="none" w:sz="0" w:space="0" w:color="auto"/>
        <w:bottom w:val="none" w:sz="0" w:space="0" w:color="auto"/>
        <w:right w:val="none" w:sz="0" w:space="0" w:color="auto"/>
      </w:divBdr>
    </w:div>
    <w:div w:id="1383795938">
      <w:bodyDiv w:val="1"/>
      <w:marLeft w:val="0"/>
      <w:marRight w:val="0"/>
      <w:marTop w:val="0"/>
      <w:marBottom w:val="0"/>
      <w:divBdr>
        <w:top w:val="none" w:sz="0" w:space="0" w:color="auto"/>
        <w:left w:val="none" w:sz="0" w:space="0" w:color="auto"/>
        <w:bottom w:val="none" w:sz="0" w:space="0" w:color="auto"/>
        <w:right w:val="none" w:sz="0" w:space="0" w:color="auto"/>
      </w:divBdr>
    </w:div>
    <w:div w:id="1401370624">
      <w:bodyDiv w:val="1"/>
      <w:marLeft w:val="0"/>
      <w:marRight w:val="0"/>
      <w:marTop w:val="0"/>
      <w:marBottom w:val="0"/>
      <w:divBdr>
        <w:top w:val="none" w:sz="0" w:space="0" w:color="auto"/>
        <w:left w:val="none" w:sz="0" w:space="0" w:color="auto"/>
        <w:bottom w:val="none" w:sz="0" w:space="0" w:color="auto"/>
        <w:right w:val="none" w:sz="0" w:space="0" w:color="auto"/>
      </w:divBdr>
    </w:div>
    <w:div w:id="1554391161">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657684822">
      <w:bodyDiv w:val="1"/>
      <w:marLeft w:val="0"/>
      <w:marRight w:val="0"/>
      <w:marTop w:val="0"/>
      <w:marBottom w:val="0"/>
      <w:divBdr>
        <w:top w:val="none" w:sz="0" w:space="0" w:color="auto"/>
        <w:left w:val="none" w:sz="0" w:space="0" w:color="auto"/>
        <w:bottom w:val="none" w:sz="0" w:space="0" w:color="auto"/>
        <w:right w:val="none" w:sz="0" w:space="0" w:color="auto"/>
      </w:divBdr>
    </w:div>
    <w:div w:id="1820880959">
      <w:bodyDiv w:val="1"/>
      <w:marLeft w:val="0"/>
      <w:marRight w:val="0"/>
      <w:marTop w:val="0"/>
      <w:marBottom w:val="0"/>
      <w:divBdr>
        <w:top w:val="none" w:sz="0" w:space="0" w:color="auto"/>
        <w:left w:val="none" w:sz="0" w:space="0" w:color="auto"/>
        <w:bottom w:val="none" w:sz="0" w:space="0" w:color="auto"/>
        <w:right w:val="none" w:sz="0" w:space="0" w:color="auto"/>
      </w:divBdr>
    </w:div>
    <w:div w:id="1908959181">
      <w:bodyDiv w:val="1"/>
      <w:marLeft w:val="0"/>
      <w:marRight w:val="0"/>
      <w:marTop w:val="0"/>
      <w:marBottom w:val="0"/>
      <w:divBdr>
        <w:top w:val="none" w:sz="0" w:space="0" w:color="auto"/>
        <w:left w:val="none" w:sz="0" w:space="0" w:color="auto"/>
        <w:bottom w:val="none" w:sz="0" w:space="0" w:color="auto"/>
        <w:right w:val="none" w:sz="0" w:space="0" w:color="auto"/>
      </w:divBdr>
    </w:div>
    <w:div w:id="2001501476">
      <w:bodyDiv w:val="1"/>
      <w:marLeft w:val="0"/>
      <w:marRight w:val="0"/>
      <w:marTop w:val="0"/>
      <w:marBottom w:val="0"/>
      <w:divBdr>
        <w:top w:val="none" w:sz="0" w:space="0" w:color="auto"/>
        <w:left w:val="none" w:sz="0" w:space="0" w:color="auto"/>
        <w:bottom w:val="none" w:sz="0" w:space="0" w:color="auto"/>
        <w:right w:val="none" w:sz="0" w:space="0" w:color="auto"/>
      </w:divBdr>
    </w:div>
    <w:div w:id="21226472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rbashar\Documents\4.%20My%20Projects\2016-2017\jh.%20Combi_Hydronic%20heating%20system\GTI\GTI%20Combo%20System%20Customer%20Lis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b="0"/>
            </a:pPr>
            <a:r>
              <a:rPr lang="en-US" b="0"/>
              <a:t>Site-1: COLONIAL</a:t>
            </a:r>
          </a:p>
        </c:rich>
      </c:tx>
      <c:layout>
        <c:manualLayout>
          <c:xMode val="edge"/>
          <c:yMode val="edge"/>
          <c:x val="0.38389665130127526"/>
          <c:y val="2.4024024024024024E-2"/>
        </c:manualLayout>
      </c:layout>
      <c:overlay val="0"/>
    </c:title>
    <c:autoTitleDeleted val="0"/>
    <c:plotArea>
      <c:layout>
        <c:manualLayout>
          <c:layoutTarget val="inner"/>
          <c:xMode val="edge"/>
          <c:yMode val="edge"/>
          <c:x val="0.17064220612839442"/>
          <c:y val="0.13391959798994976"/>
          <c:w val="0.77859250506019584"/>
          <c:h val="0.65227752937917949"/>
        </c:manualLayout>
      </c:layout>
      <c:scatterChart>
        <c:scatterStyle val="lineMarker"/>
        <c:varyColors val="0"/>
        <c:ser>
          <c:idx val="0"/>
          <c:order val="0"/>
          <c:tx>
            <c:v>Site 22 - HDD 61</c:v>
          </c:tx>
          <c:spPr>
            <a:ln w="28575">
              <a:noFill/>
            </a:ln>
          </c:spPr>
          <c:trendline>
            <c:trendlineType val="linear"/>
            <c:dispRSqr val="1"/>
            <c:dispEq val="1"/>
            <c:trendlineLbl>
              <c:layout>
                <c:manualLayout>
                  <c:x val="-6.3191935859953724E-2"/>
                  <c:y val="0.28049466789624278"/>
                </c:manualLayout>
              </c:layout>
              <c:numFmt formatCode="General" sourceLinked="0"/>
            </c:trendlineLbl>
          </c:trendline>
          <c:xVal>
            <c:numRef>
              <c:f>'\Users\rbashar\Documents\5. Workpapers\21. Residential Pool &amp; Spa Heaters\2017_analysis\submitted\[Att.-C_WPSCGREWH170412A-Res pool ht_Customers database and heating baseline analysis.xlsx]COLONIAL'!$J$13:$J$37</c:f>
              <c:numCache>
                <c:formatCode>0.00</c:formatCode>
                <c:ptCount val="25"/>
                <c:pt idx="0">
                  <c:v>0</c:v>
                </c:pt>
                <c:pt idx="1">
                  <c:v>22.899999999999995</c:v>
                </c:pt>
                <c:pt idx="2">
                  <c:v>120.00000000000003</c:v>
                </c:pt>
                <c:pt idx="3">
                  <c:v>98.40000000000002</c:v>
                </c:pt>
                <c:pt idx="4">
                  <c:v>67.099999999999994</c:v>
                </c:pt>
                <c:pt idx="5">
                  <c:v>44.199999999999989</c:v>
                </c:pt>
                <c:pt idx="6">
                  <c:v>50.500000000000007</c:v>
                </c:pt>
                <c:pt idx="7">
                  <c:v>53.899999999999991</c:v>
                </c:pt>
                <c:pt idx="8">
                  <c:v>3.8000000000000003</c:v>
                </c:pt>
                <c:pt idx="9">
                  <c:v>0</c:v>
                </c:pt>
                <c:pt idx="10">
                  <c:v>0</c:v>
                </c:pt>
                <c:pt idx="11">
                  <c:v>0</c:v>
                </c:pt>
                <c:pt idx="12">
                  <c:v>0</c:v>
                </c:pt>
                <c:pt idx="13">
                  <c:v>65.700000000000017</c:v>
                </c:pt>
                <c:pt idx="14">
                  <c:v>151.1</c:v>
                </c:pt>
                <c:pt idx="15">
                  <c:v>132.4</c:v>
                </c:pt>
                <c:pt idx="16">
                  <c:v>62.500000000000007</c:v>
                </c:pt>
                <c:pt idx="17">
                  <c:v>65.8</c:v>
                </c:pt>
                <c:pt idx="18">
                  <c:v>33.5</c:v>
                </c:pt>
                <c:pt idx="19">
                  <c:v>24.7</c:v>
                </c:pt>
                <c:pt idx="20">
                  <c:v>7.3999999999999977</c:v>
                </c:pt>
                <c:pt idx="21">
                  <c:v>0</c:v>
                </c:pt>
                <c:pt idx="22">
                  <c:v>0</c:v>
                </c:pt>
                <c:pt idx="23">
                  <c:v>0.3</c:v>
                </c:pt>
                <c:pt idx="24">
                  <c:v>2.1</c:v>
                </c:pt>
              </c:numCache>
            </c:numRef>
          </c:xVal>
          <c:yVal>
            <c:numRef>
              <c:f>'\Users\rbashar\Documents\5. Workpapers\21. Residential Pool &amp; Spa Heaters\2017_analysis\submitted\[Att.-C_WPSCGREWH170412A-Res pool ht_Customers database and heating baseline analysis.xlsx]COLONIAL'!$D$13:$D$37</c:f>
              <c:numCache>
                <c:formatCode>0.000</c:formatCode>
                <c:ptCount val="25"/>
                <c:pt idx="0">
                  <c:v>11.520000000000003</c:v>
                </c:pt>
                <c:pt idx="1">
                  <c:v>14.920000000000003</c:v>
                </c:pt>
                <c:pt idx="2">
                  <c:v>23.459999999999997</c:v>
                </c:pt>
                <c:pt idx="3">
                  <c:v>25.500000000000004</c:v>
                </c:pt>
                <c:pt idx="4">
                  <c:v>16.84</c:v>
                </c:pt>
                <c:pt idx="5">
                  <c:v>17.079999999999998</c:v>
                </c:pt>
                <c:pt idx="6">
                  <c:v>10.540000000000001</c:v>
                </c:pt>
                <c:pt idx="7">
                  <c:v>13.88</c:v>
                </c:pt>
                <c:pt idx="8">
                  <c:v>11.079999999999998</c:v>
                </c:pt>
                <c:pt idx="9">
                  <c:v>9.379999999999999</c:v>
                </c:pt>
                <c:pt idx="10">
                  <c:v>8.0200000000000014</c:v>
                </c:pt>
                <c:pt idx="11">
                  <c:v>7.9200000000000008</c:v>
                </c:pt>
                <c:pt idx="12">
                  <c:v>8.879999999999999</c:v>
                </c:pt>
                <c:pt idx="13">
                  <c:v>17.780000000000005</c:v>
                </c:pt>
                <c:pt idx="14">
                  <c:v>27.720000000000002</c:v>
                </c:pt>
                <c:pt idx="15">
                  <c:v>27</c:v>
                </c:pt>
                <c:pt idx="16">
                  <c:v>17.900000000000002</c:v>
                </c:pt>
                <c:pt idx="17">
                  <c:v>14.339999999999998</c:v>
                </c:pt>
                <c:pt idx="18">
                  <c:v>14.400000000000004</c:v>
                </c:pt>
                <c:pt idx="19">
                  <c:v>15.300000000000004</c:v>
                </c:pt>
                <c:pt idx="20">
                  <c:v>9.5799999999999983</c:v>
                </c:pt>
                <c:pt idx="21">
                  <c:v>8.5400000000000009</c:v>
                </c:pt>
                <c:pt idx="22">
                  <c:v>7.68</c:v>
                </c:pt>
                <c:pt idx="23">
                  <c:v>7.5199999999999987</c:v>
                </c:pt>
                <c:pt idx="24">
                  <c:v>9.2600000000000016</c:v>
                </c:pt>
              </c:numCache>
            </c:numRef>
          </c:yVal>
          <c:smooth val="0"/>
          <c:extLst>
            <c:ext xmlns:c16="http://schemas.microsoft.com/office/drawing/2014/chart" uri="{C3380CC4-5D6E-409C-BE32-E72D297353CC}">
              <c16:uniqueId val="{00000001-4FFF-47DC-8EF2-7B2E33A797CF}"/>
            </c:ext>
          </c:extLst>
        </c:ser>
        <c:dLbls>
          <c:showLegendKey val="0"/>
          <c:showVal val="0"/>
          <c:showCatName val="0"/>
          <c:showSerName val="0"/>
          <c:showPercent val="0"/>
          <c:showBubbleSize val="0"/>
        </c:dLbls>
        <c:axId val="153260032"/>
        <c:axId val="153261952"/>
      </c:scatterChart>
      <c:valAx>
        <c:axId val="153260032"/>
        <c:scaling>
          <c:orientation val="minMax"/>
        </c:scaling>
        <c:delete val="0"/>
        <c:axPos val="b"/>
        <c:title>
          <c:tx>
            <c:rich>
              <a:bodyPr/>
              <a:lstStyle/>
              <a:p>
                <a:pPr>
                  <a:defRPr b="0"/>
                </a:pPr>
                <a:r>
                  <a:rPr lang="en-US" b="0"/>
                  <a:t>HDD</a:t>
                </a:r>
              </a:p>
            </c:rich>
          </c:tx>
          <c:overlay val="0"/>
        </c:title>
        <c:numFmt formatCode="General" sourceLinked="0"/>
        <c:majorTickMark val="none"/>
        <c:minorTickMark val="none"/>
        <c:tickLblPos val="nextTo"/>
        <c:crossAx val="153261952"/>
        <c:crosses val="autoZero"/>
        <c:crossBetween val="midCat"/>
        <c:majorUnit val="10"/>
      </c:valAx>
      <c:valAx>
        <c:axId val="153261952"/>
        <c:scaling>
          <c:orientation val="minMax"/>
        </c:scaling>
        <c:delete val="0"/>
        <c:axPos val="l"/>
        <c:title>
          <c:tx>
            <c:rich>
              <a:bodyPr rot="-5400000" vert="horz"/>
              <a:lstStyle/>
              <a:p>
                <a:pPr>
                  <a:defRPr b="0"/>
                </a:pPr>
                <a:r>
                  <a:rPr lang="en-US" b="0"/>
                  <a:t>Therms</a:t>
                </a:r>
              </a:p>
            </c:rich>
          </c:tx>
          <c:layout>
            <c:manualLayout>
              <c:xMode val="edge"/>
              <c:yMode val="edge"/>
              <c:x val="2.3817950591227644E-2"/>
              <c:y val="0.3402686150717647"/>
            </c:manualLayout>
          </c:layout>
          <c:overlay val="0"/>
        </c:title>
        <c:numFmt formatCode="0" sourceLinked="0"/>
        <c:majorTickMark val="none"/>
        <c:minorTickMark val="none"/>
        <c:tickLblPos val="nextTo"/>
        <c:spPr>
          <a:ln>
            <a:solidFill>
              <a:schemeClr val="tx1">
                <a:lumMod val="75000"/>
                <a:lumOff val="25000"/>
              </a:schemeClr>
            </a:solidFill>
          </a:ln>
        </c:spPr>
        <c:crossAx val="153260032"/>
        <c:crosses val="autoZero"/>
        <c:crossBetween val="midCat"/>
      </c:valAx>
    </c:plotArea>
    <c:plotVisOnly val="1"/>
    <c:dispBlanksAs val="gap"/>
    <c:showDLblsOverMax val="0"/>
  </c:chart>
  <c:spPr>
    <a:ln>
      <a:noFill/>
    </a:ln>
  </c:spPr>
  <c:txPr>
    <a:bodyPr/>
    <a:lstStyle/>
    <a:p>
      <a:pPr>
        <a:defRPr sz="1000">
          <a:latin typeface="Arial" panose="020B0604020202020204" pitchFamily="34" charset="0"/>
          <a:cs typeface="Arial" panose="020B0604020202020204" pitchFamily="34" charset="0"/>
        </a:defRPr>
      </a:pPr>
      <a:endParaRPr lang="en-US"/>
    </a:p>
  </c:txPr>
  <c:externalData r:id="rId1">
    <c:autoUpdate val="0"/>
  </c:externalData>
</c:chartSpace>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14C4DA40E261794486441F166B9E235A" ma:contentTypeVersion="13" ma:contentTypeDescription="Create a new document." ma:contentTypeScope="" ma:versionID="9e63bc0354a5126518c99adc63c682e9">
  <xsd:schema xmlns:xsd="http://www.w3.org/2001/XMLSchema" xmlns:xs="http://www.w3.org/2001/XMLSchema" xmlns:p="http://schemas.microsoft.com/office/2006/metadata/properties" xmlns:ns3="2ca58cb1-a033-43ef-8c86-0668b269dda1" xmlns:ns4="1fc248c3-ff09-43ca-b0f5-2ab76585017c" targetNamespace="http://schemas.microsoft.com/office/2006/metadata/properties" ma:root="true" ma:fieldsID="236dc1f2577df1fb1f3c4cc7ba94c146" ns3:_="" ns4:_="">
    <xsd:import namespace="2ca58cb1-a033-43ef-8c86-0668b269dda1"/>
    <xsd:import namespace="1fc248c3-ff09-43ca-b0f5-2ab76585017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a58cb1-a033-43ef-8c86-0668b269dda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fc248c3-ff09-43ca-b0f5-2ab76585017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B6C293-6E5A-48C7-AED3-75B66F862E39}">
  <ds:schemaRefs>
    <ds:schemaRef ds:uri="http://schemas.microsoft.com/sharepoint/v3/contenttype/forms"/>
  </ds:schemaRefs>
</ds:datastoreItem>
</file>

<file path=customXml/itemProps2.xml><?xml version="1.0" encoding="utf-8"?>
<ds:datastoreItem xmlns:ds="http://schemas.openxmlformats.org/officeDocument/2006/customXml" ds:itemID="{118DCF3C-69D5-43EF-991D-49479B5E68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FA769A4-D3B9-496B-AD4D-B8BD5D902E26}">
  <ds:schemaRefs>
    <ds:schemaRef ds:uri="http://schemas.openxmlformats.org/officeDocument/2006/bibliography"/>
  </ds:schemaRefs>
</ds:datastoreItem>
</file>

<file path=customXml/itemProps4.xml><?xml version="1.0" encoding="utf-8"?>
<ds:datastoreItem xmlns:ds="http://schemas.openxmlformats.org/officeDocument/2006/customXml" ds:itemID="{A3E33684-6AC4-4ECA-880B-8D5BA99F21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a58cb1-a033-43ef-8c86-0668b269dda1"/>
    <ds:schemaRef ds:uri="1fc248c3-ff09-43ca-b0f5-2ab7658501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1</TotalTime>
  <Pages>22</Pages>
  <Words>6267</Words>
  <Characters>35728</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eTRM Measure Documentation</vt:lpstr>
    </vt:vector>
  </TitlesOfParts>
  <Manager/>
  <Company/>
  <LinksUpToDate>false</LinksUpToDate>
  <CharactersWithSpaces>41912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Andres Fergadiotti</cp:lastModifiedBy>
  <cp:revision>3</cp:revision>
  <cp:lastPrinted>2019-03-29T20:21:00Z</cp:lastPrinted>
  <dcterms:created xsi:type="dcterms:W3CDTF">2021-07-02T17:09:00Z</dcterms:created>
  <dcterms:modified xsi:type="dcterms:W3CDTF">2021-07-02T17:10:00Z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0x01010014C4DA40E261794486441F166B9E235A</vt:lpwstr>
  </property>
</Properties>
</file>