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85967"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BD221D">
        <w:trPr>
          <w:cantSplit/>
          <w:trHeight w:hRule="exact" w:val="1440"/>
          <w:jc w:val="right"/>
        </w:trPr>
        <w:tc>
          <w:tcPr>
            <w:tcW w:w="9000" w:type="dxa"/>
            <w:shd w:val="clear" w:color="auto" w:fill="8DC63F"/>
            <w:vAlign w:val="center"/>
          </w:tcPr>
          <w:p w14:paraId="3EF67A49" w14:textId="45C0A3C6" w:rsidR="00BD221D" w:rsidRPr="005044CA" w:rsidRDefault="00033A09" w:rsidP="00562B44">
            <w:pPr>
              <w:pStyle w:val="eTRMHeading1"/>
            </w:pPr>
            <w:r>
              <w:t>recreat</w:t>
            </w:r>
            <w:r w:rsidR="00B81F35">
              <w:t>ion</w:t>
            </w:r>
          </w:p>
          <w:p w14:paraId="5CA4091D" w14:textId="2854FB90" w:rsidR="00BD221D" w:rsidRPr="00562B44" w:rsidRDefault="00033A09" w:rsidP="005F09B3">
            <w:pPr>
              <w:pStyle w:val="eTRMHeading2"/>
              <w:rPr>
                <w:color w:val="FFFFFF" w:themeColor="background1"/>
              </w:rPr>
            </w:pPr>
            <w:r w:rsidRPr="00562B44">
              <w:rPr>
                <w:color w:val="FFFFFF" w:themeColor="background1"/>
              </w:rPr>
              <w:t xml:space="preserve">pool </w:t>
            </w:r>
            <w:r w:rsidR="00700863" w:rsidRPr="00562B44">
              <w:rPr>
                <w:color w:val="FFFFFF" w:themeColor="background1"/>
              </w:rPr>
              <w:t xml:space="preserve">Or </w:t>
            </w:r>
            <w:r w:rsidRPr="00562B44">
              <w:rPr>
                <w:color w:val="FFFFFF" w:themeColor="background1"/>
              </w:rPr>
              <w:t>spa heater</w:t>
            </w:r>
            <w:r w:rsidR="00700863" w:rsidRPr="00562B44">
              <w:rPr>
                <w:color w:val="FFFFFF" w:themeColor="background1"/>
              </w:rPr>
              <w:t>, Residential</w:t>
            </w:r>
          </w:p>
          <w:p w14:paraId="10BE1877" w14:textId="5F438B51" w:rsidR="005044CA" w:rsidRPr="005044CA" w:rsidRDefault="00700863" w:rsidP="005F09B3">
            <w:pPr>
              <w:pStyle w:val="eTRMHeading2"/>
            </w:pPr>
            <w:r w:rsidRPr="00562B44">
              <w:rPr>
                <w:color w:val="FFFFFF" w:themeColor="background1"/>
              </w:rPr>
              <w:t>SWRE004</w:t>
            </w:r>
            <w:r w:rsidR="005044CA" w:rsidRPr="00562B44">
              <w:rPr>
                <w:color w:val="FFFFFF" w:themeColor="background1"/>
              </w:rPr>
              <w:t>-01</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1DF100E6" w14:textId="0AB9D3BF" w:rsidR="00562B44" w:rsidRDefault="001C6C9B">
      <w:pPr>
        <w:pStyle w:val="TOC3"/>
        <w:rPr>
          <w:rFonts w:asciiTheme="minorHAnsi" w:hAnsiTheme="minorHAnsi" w:hint="eastAsia"/>
          <w:noProof/>
          <w:szCs w:val="22"/>
        </w:rPr>
      </w:pPr>
      <w:r>
        <w:fldChar w:fldCharType="begin"/>
      </w:r>
      <w:r>
        <w:instrText xml:space="preserve"> TOC \t "eTRM Heading 3,3" </w:instrText>
      </w:r>
      <w:r>
        <w:fldChar w:fldCharType="separate"/>
      </w:r>
      <w:r w:rsidR="00562B44">
        <w:rPr>
          <w:noProof/>
        </w:rPr>
        <w:t>Measure Name</w:t>
      </w:r>
      <w:r w:rsidR="00562B44">
        <w:rPr>
          <w:noProof/>
        </w:rPr>
        <w:tab/>
      </w:r>
      <w:r w:rsidR="00562B44">
        <w:rPr>
          <w:noProof/>
        </w:rPr>
        <w:fldChar w:fldCharType="begin"/>
      </w:r>
      <w:r w:rsidR="00562B44">
        <w:rPr>
          <w:noProof/>
        </w:rPr>
        <w:instrText xml:space="preserve"> PAGEREF _Toc25150668 \h </w:instrText>
      </w:r>
      <w:r w:rsidR="00562B44">
        <w:rPr>
          <w:noProof/>
        </w:rPr>
      </w:r>
      <w:r w:rsidR="00562B44">
        <w:rPr>
          <w:noProof/>
        </w:rPr>
        <w:fldChar w:fldCharType="separate"/>
      </w:r>
      <w:r w:rsidR="00562B44">
        <w:rPr>
          <w:noProof/>
        </w:rPr>
        <w:t>2</w:t>
      </w:r>
      <w:r w:rsidR="00562B44">
        <w:rPr>
          <w:noProof/>
        </w:rPr>
        <w:fldChar w:fldCharType="end"/>
      </w:r>
    </w:p>
    <w:p w14:paraId="41BC404F" w14:textId="283F3DF3" w:rsidR="00562B44" w:rsidRDefault="00562B44">
      <w:pPr>
        <w:pStyle w:val="TOC3"/>
        <w:rPr>
          <w:rFonts w:asciiTheme="minorHAnsi" w:hAnsiTheme="minorHAnsi" w:hint="eastAsia"/>
          <w:noProof/>
          <w:szCs w:val="22"/>
        </w:rPr>
      </w:pPr>
      <w:r>
        <w:rPr>
          <w:noProof/>
        </w:rPr>
        <w:t>Statewide Measure ID</w:t>
      </w:r>
      <w:r>
        <w:rPr>
          <w:noProof/>
        </w:rPr>
        <w:tab/>
      </w:r>
      <w:r>
        <w:rPr>
          <w:noProof/>
        </w:rPr>
        <w:fldChar w:fldCharType="begin"/>
      </w:r>
      <w:r>
        <w:rPr>
          <w:noProof/>
        </w:rPr>
        <w:instrText xml:space="preserve"> PAGEREF _Toc25150669 \h </w:instrText>
      </w:r>
      <w:r>
        <w:rPr>
          <w:noProof/>
        </w:rPr>
      </w:r>
      <w:r>
        <w:rPr>
          <w:noProof/>
        </w:rPr>
        <w:fldChar w:fldCharType="separate"/>
      </w:r>
      <w:r>
        <w:rPr>
          <w:noProof/>
        </w:rPr>
        <w:t>2</w:t>
      </w:r>
      <w:r>
        <w:rPr>
          <w:noProof/>
        </w:rPr>
        <w:fldChar w:fldCharType="end"/>
      </w:r>
    </w:p>
    <w:p w14:paraId="6DFBFED9" w14:textId="53F6721B" w:rsidR="00562B44" w:rsidRDefault="00562B44">
      <w:pPr>
        <w:pStyle w:val="TOC3"/>
        <w:rPr>
          <w:rFonts w:asciiTheme="minorHAnsi" w:hAnsiTheme="minorHAnsi" w:hint="eastAsia"/>
          <w:noProof/>
          <w:szCs w:val="22"/>
        </w:rPr>
      </w:pPr>
      <w:r>
        <w:rPr>
          <w:noProof/>
        </w:rPr>
        <w:t>Technology Summary</w:t>
      </w:r>
      <w:r>
        <w:rPr>
          <w:noProof/>
        </w:rPr>
        <w:tab/>
      </w:r>
      <w:r>
        <w:rPr>
          <w:noProof/>
        </w:rPr>
        <w:fldChar w:fldCharType="begin"/>
      </w:r>
      <w:r>
        <w:rPr>
          <w:noProof/>
        </w:rPr>
        <w:instrText xml:space="preserve"> PAGEREF _Toc25150670 \h </w:instrText>
      </w:r>
      <w:r>
        <w:rPr>
          <w:noProof/>
        </w:rPr>
      </w:r>
      <w:r>
        <w:rPr>
          <w:noProof/>
        </w:rPr>
        <w:fldChar w:fldCharType="separate"/>
      </w:r>
      <w:r>
        <w:rPr>
          <w:noProof/>
        </w:rPr>
        <w:t>2</w:t>
      </w:r>
      <w:r>
        <w:rPr>
          <w:noProof/>
        </w:rPr>
        <w:fldChar w:fldCharType="end"/>
      </w:r>
    </w:p>
    <w:p w14:paraId="776CB71A" w14:textId="21A73C9C" w:rsidR="00562B44" w:rsidRDefault="00562B44">
      <w:pPr>
        <w:pStyle w:val="TOC3"/>
        <w:rPr>
          <w:rFonts w:asciiTheme="minorHAnsi" w:hAnsiTheme="minorHAnsi" w:hint="eastAsia"/>
          <w:noProof/>
          <w:szCs w:val="22"/>
        </w:rPr>
      </w:pPr>
      <w:r>
        <w:rPr>
          <w:noProof/>
        </w:rPr>
        <w:t>Measure Case Description</w:t>
      </w:r>
      <w:r>
        <w:rPr>
          <w:noProof/>
        </w:rPr>
        <w:tab/>
      </w:r>
      <w:r>
        <w:rPr>
          <w:noProof/>
        </w:rPr>
        <w:fldChar w:fldCharType="begin"/>
      </w:r>
      <w:r>
        <w:rPr>
          <w:noProof/>
        </w:rPr>
        <w:instrText xml:space="preserve"> PAGEREF _Toc25150671 \h </w:instrText>
      </w:r>
      <w:r>
        <w:rPr>
          <w:noProof/>
        </w:rPr>
      </w:r>
      <w:r>
        <w:rPr>
          <w:noProof/>
        </w:rPr>
        <w:fldChar w:fldCharType="separate"/>
      </w:r>
      <w:r>
        <w:rPr>
          <w:noProof/>
        </w:rPr>
        <w:t>3</w:t>
      </w:r>
      <w:r>
        <w:rPr>
          <w:noProof/>
        </w:rPr>
        <w:fldChar w:fldCharType="end"/>
      </w:r>
    </w:p>
    <w:p w14:paraId="20B94C6B" w14:textId="437BAD9F" w:rsidR="00562B44" w:rsidRDefault="00562B44">
      <w:pPr>
        <w:pStyle w:val="TOC3"/>
        <w:rPr>
          <w:rFonts w:asciiTheme="minorHAnsi" w:hAnsiTheme="minorHAnsi" w:hint="eastAsia"/>
          <w:noProof/>
          <w:szCs w:val="22"/>
        </w:rPr>
      </w:pPr>
      <w:r>
        <w:rPr>
          <w:noProof/>
        </w:rPr>
        <w:t>Base Case Description</w:t>
      </w:r>
      <w:r>
        <w:rPr>
          <w:noProof/>
        </w:rPr>
        <w:tab/>
      </w:r>
      <w:r>
        <w:rPr>
          <w:noProof/>
        </w:rPr>
        <w:fldChar w:fldCharType="begin"/>
      </w:r>
      <w:r>
        <w:rPr>
          <w:noProof/>
        </w:rPr>
        <w:instrText xml:space="preserve"> PAGEREF _Toc25150672 \h </w:instrText>
      </w:r>
      <w:r>
        <w:rPr>
          <w:noProof/>
        </w:rPr>
      </w:r>
      <w:r>
        <w:rPr>
          <w:noProof/>
        </w:rPr>
        <w:fldChar w:fldCharType="separate"/>
      </w:r>
      <w:r>
        <w:rPr>
          <w:noProof/>
        </w:rPr>
        <w:t>3</w:t>
      </w:r>
      <w:r>
        <w:rPr>
          <w:noProof/>
        </w:rPr>
        <w:fldChar w:fldCharType="end"/>
      </w:r>
    </w:p>
    <w:p w14:paraId="7FB574F7" w14:textId="1FDDDB51" w:rsidR="00562B44" w:rsidRDefault="00562B44">
      <w:pPr>
        <w:pStyle w:val="TOC3"/>
        <w:rPr>
          <w:rFonts w:asciiTheme="minorHAnsi" w:hAnsiTheme="minorHAnsi" w:hint="eastAsia"/>
          <w:noProof/>
          <w:szCs w:val="22"/>
        </w:rPr>
      </w:pPr>
      <w:r>
        <w:rPr>
          <w:noProof/>
        </w:rPr>
        <w:t>Code Requirements</w:t>
      </w:r>
      <w:r>
        <w:rPr>
          <w:noProof/>
        </w:rPr>
        <w:tab/>
      </w:r>
      <w:r>
        <w:rPr>
          <w:noProof/>
        </w:rPr>
        <w:fldChar w:fldCharType="begin"/>
      </w:r>
      <w:r>
        <w:rPr>
          <w:noProof/>
        </w:rPr>
        <w:instrText xml:space="preserve"> PAGEREF _Toc25150673 \h </w:instrText>
      </w:r>
      <w:r>
        <w:rPr>
          <w:noProof/>
        </w:rPr>
      </w:r>
      <w:r>
        <w:rPr>
          <w:noProof/>
        </w:rPr>
        <w:fldChar w:fldCharType="separate"/>
      </w:r>
      <w:r>
        <w:rPr>
          <w:noProof/>
        </w:rPr>
        <w:t>3</w:t>
      </w:r>
      <w:r>
        <w:rPr>
          <w:noProof/>
        </w:rPr>
        <w:fldChar w:fldCharType="end"/>
      </w:r>
    </w:p>
    <w:p w14:paraId="6F552E99" w14:textId="4B4C8FBC" w:rsidR="00562B44" w:rsidRDefault="00562B44">
      <w:pPr>
        <w:pStyle w:val="TOC3"/>
        <w:rPr>
          <w:rFonts w:asciiTheme="minorHAnsi" w:hAnsiTheme="minorHAnsi" w:hint="eastAsia"/>
          <w:noProof/>
          <w:szCs w:val="22"/>
        </w:rPr>
      </w:pPr>
      <w:r>
        <w:rPr>
          <w:noProof/>
        </w:rPr>
        <w:t>Normalizing Unit</w:t>
      </w:r>
      <w:r>
        <w:rPr>
          <w:noProof/>
        </w:rPr>
        <w:tab/>
      </w:r>
      <w:r>
        <w:rPr>
          <w:noProof/>
        </w:rPr>
        <w:fldChar w:fldCharType="begin"/>
      </w:r>
      <w:r>
        <w:rPr>
          <w:noProof/>
        </w:rPr>
        <w:instrText xml:space="preserve"> PAGEREF _Toc25150674 \h </w:instrText>
      </w:r>
      <w:r>
        <w:rPr>
          <w:noProof/>
        </w:rPr>
      </w:r>
      <w:r>
        <w:rPr>
          <w:noProof/>
        </w:rPr>
        <w:fldChar w:fldCharType="separate"/>
      </w:r>
      <w:r>
        <w:rPr>
          <w:noProof/>
        </w:rPr>
        <w:t>4</w:t>
      </w:r>
      <w:r>
        <w:rPr>
          <w:noProof/>
        </w:rPr>
        <w:fldChar w:fldCharType="end"/>
      </w:r>
    </w:p>
    <w:p w14:paraId="31E9A1FD" w14:textId="431A66BC" w:rsidR="00562B44" w:rsidRDefault="00562B44">
      <w:pPr>
        <w:pStyle w:val="TOC3"/>
        <w:rPr>
          <w:rFonts w:asciiTheme="minorHAnsi" w:hAnsiTheme="minorHAnsi" w:hint="eastAsia"/>
          <w:noProof/>
          <w:szCs w:val="22"/>
        </w:rPr>
      </w:pPr>
      <w:r>
        <w:rPr>
          <w:noProof/>
        </w:rPr>
        <w:t>Program Requirements</w:t>
      </w:r>
      <w:r>
        <w:rPr>
          <w:noProof/>
        </w:rPr>
        <w:tab/>
      </w:r>
      <w:r>
        <w:rPr>
          <w:noProof/>
        </w:rPr>
        <w:fldChar w:fldCharType="begin"/>
      </w:r>
      <w:r>
        <w:rPr>
          <w:noProof/>
        </w:rPr>
        <w:instrText xml:space="preserve"> PAGEREF _Toc25150675 \h </w:instrText>
      </w:r>
      <w:r>
        <w:rPr>
          <w:noProof/>
        </w:rPr>
      </w:r>
      <w:r>
        <w:rPr>
          <w:noProof/>
        </w:rPr>
        <w:fldChar w:fldCharType="separate"/>
      </w:r>
      <w:r>
        <w:rPr>
          <w:noProof/>
        </w:rPr>
        <w:t>4</w:t>
      </w:r>
      <w:r>
        <w:rPr>
          <w:noProof/>
        </w:rPr>
        <w:fldChar w:fldCharType="end"/>
      </w:r>
    </w:p>
    <w:p w14:paraId="6AF82ADE" w14:textId="6E734E2C" w:rsidR="00562B44" w:rsidRDefault="00562B44">
      <w:pPr>
        <w:pStyle w:val="TOC3"/>
        <w:rPr>
          <w:rFonts w:asciiTheme="minorHAnsi" w:hAnsiTheme="minorHAnsi" w:hint="eastAsia"/>
          <w:noProof/>
          <w:szCs w:val="22"/>
        </w:rPr>
      </w:pPr>
      <w:r>
        <w:rPr>
          <w:noProof/>
        </w:rPr>
        <w:t>Program Exclusions</w:t>
      </w:r>
      <w:r>
        <w:rPr>
          <w:noProof/>
        </w:rPr>
        <w:tab/>
      </w:r>
      <w:r>
        <w:rPr>
          <w:noProof/>
        </w:rPr>
        <w:fldChar w:fldCharType="begin"/>
      </w:r>
      <w:r>
        <w:rPr>
          <w:noProof/>
        </w:rPr>
        <w:instrText xml:space="preserve"> PAGEREF _Toc25150676 \h </w:instrText>
      </w:r>
      <w:r>
        <w:rPr>
          <w:noProof/>
        </w:rPr>
      </w:r>
      <w:r>
        <w:rPr>
          <w:noProof/>
        </w:rPr>
        <w:fldChar w:fldCharType="separate"/>
      </w:r>
      <w:r>
        <w:rPr>
          <w:noProof/>
        </w:rPr>
        <w:t>4</w:t>
      </w:r>
      <w:r>
        <w:rPr>
          <w:noProof/>
        </w:rPr>
        <w:fldChar w:fldCharType="end"/>
      </w:r>
    </w:p>
    <w:p w14:paraId="4D917D2F" w14:textId="7D6BD983" w:rsidR="00562B44" w:rsidRDefault="00562B44">
      <w:pPr>
        <w:pStyle w:val="TOC3"/>
        <w:rPr>
          <w:rFonts w:asciiTheme="minorHAnsi" w:hAnsiTheme="minorHAnsi" w:hint="eastAsia"/>
          <w:noProof/>
          <w:szCs w:val="22"/>
        </w:rPr>
      </w:pPr>
      <w:r>
        <w:rPr>
          <w:noProof/>
        </w:rPr>
        <w:t>Data Collection Requirements</w:t>
      </w:r>
      <w:r>
        <w:rPr>
          <w:noProof/>
        </w:rPr>
        <w:tab/>
      </w:r>
      <w:r>
        <w:rPr>
          <w:noProof/>
        </w:rPr>
        <w:fldChar w:fldCharType="begin"/>
      </w:r>
      <w:r>
        <w:rPr>
          <w:noProof/>
        </w:rPr>
        <w:instrText xml:space="preserve"> PAGEREF _Toc25150677 \h </w:instrText>
      </w:r>
      <w:r>
        <w:rPr>
          <w:noProof/>
        </w:rPr>
      </w:r>
      <w:r>
        <w:rPr>
          <w:noProof/>
        </w:rPr>
        <w:fldChar w:fldCharType="separate"/>
      </w:r>
      <w:r>
        <w:rPr>
          <w:noProof/>
        </w:rPr>
        <w:t>5</w:t>
      </w:r>
      <w:r>
        <w:rPr>
          <w:noProof/>
        </w:rPr>
        <w:fldChar w:fldCharType="end"/>
      </w:r>
    </w:p>
    <w:p w14:paraId="617C5BB3" w14:textId="3DE7E992" w:rsidR="00562B44" w:rsidRDefault="00562B44">
      <w:pPr>
        <w:pStyle w:val="TOC3"/>
        <w:rPr>
          <w:rFonts w:asciiTheme="minorHAnsi" w:hAnsiTheme="minorHAnsi" w:hint="eastAsia"/>
          <w:noProof/>
          <w:szCs w:val="22"/>
        </w:rPr>
      </w:pPr>
      <w:r>
        <w:rPr>
          <w:noProof/>
        </w:rPr>
        <w:t>Use Category</w:t>
      </w:r>
      <w:r>
        <w:rPr>
          <w:noProof/>
        </w:rPr>
        <w:tab/>
      </w:r>
      <w:r>
        <w:rPr>
          <w:noProof/>
        </w:rPr>
        <w:fldChar w:fldCharType="begin"/>
      </w:r>
      <w:r>
        <w:rPr>
          <w:noProof/>
        </w:rPr>
        <w:instrText xml:space="preserve"> PAGEREF _Toc25150678 \h </w:instrText>
      </w:r>
      <w:r>
        <w:rPr>
          <w:noProof/>
        </w:rPr>
      </w:r>
      <w:r>
        <w:rPr>
          <w:noProof/>
        </w:rPr>
        <w:fldChar w:fldCharType="separate"/>
      </w:r>
      <w:r>
        <w:rPr>
          <w:noProof/>
        </w:rPr>
        <w:t>5</w:t>
      </w:r>
      <w:r>
        <w:rPr>
          <w:noProof/>
        </w:rPr>
        <w:fldChar w:fldCharType="end"/>
      </w:r>
    </w:p>
    <w:p w14:paraId="7AD6C3E1" w14:textId="763CCEAE" w:rsidR="00562B44" w:rsidRDefault="00562B44">
      <w:pPr>
        <w:pStyle w:val="TOC3"/>
        <w:rPr>
          <w:rFonts w:asciiTheme="minorHAnsi" w:hAnsiTheme="minorHAnsi" w:hint="eastAsia"/>
          <w:noProof/>
          <w:szCs w:val="22"/>
        </w:rPr>
      </w:pPr>
      <w:r>
        <w:rPr>
          <w:noProof/>
        </w:rPr>
        <w:t>Electric Savings (kWh)</w:t>
      </w:r>
      <w:r>
        <w:rPr>
          <w:noProof/>
        </w:rPr>
        <w:tab/>
      </w:r>
      <w:r>
        <w:rPr>
          <w:noProof/>
        </w:rPr>
        <w:fldChar w:fldCharType="begin"/>
      </w:r>
      <w:r>
        <w:rPr>
          <w:noProof/>
        </w:rPr>
        <w:instrText xml:space="preserve"> PAGEREF _Toc25150679 \h </w:instrText>
      </w:r>
      <w:r>
        <w:rPr>
          <w:noProof/>
        </w:rPr>
      </w:r>
      <w:r>
        <w:rPr>
          <w:noProof/>
        </w:rPr>
        <w:fldChar w:fldCharType="separate"/>
      </w:r>
      <w:r>
        <w:rPr>
          <w:noProof/>
        </w:rPr>
        <w:t>5</w:t>
      </w:r>
      <w:r>
        <w:rPr>
          <w:noProof/>
        </w:rPr>
        <w:fldChar w:fldCharType="end"/>
      </w:r>
    </w:p>
    <w:p w14:paraId="1C25977C" w14:textId="1DC99791" w:rsidR="00562B44" w:rsidRDefault="00562B44">
      <w:pPr>
        <w:pStyle w:val="TOC3"/>
        <w:rPr>
          <w:rFonts w:asciiTheme="minorHAnsi" w:hAnsiTheme="minorHAnsi" w:hint="eastAsia"/>
          <w:noProof/>
          <w:szCs w:val="22"/>
        </w:rPr>
      </w:pPr>
      <w:r>
        <w:rPr>
          <w:noProof/>
        </w:rPr>
        <w:t>Peak Electric Demand Reduction (kW)</w:t>
      </w:r>
      <w:r>
        <w:rPr>
          <w:noProof/>
        </w:rPr>
        <w:tab/>
      </w:r>
      <w:r>
        <w:rPr>
          <w:noProof/>
        </w:rPr>
        <w:fldChar w:fldCharType="begin"/>
      </w:r>
      <w:r>
        <w:rPr>
          <w:noProof/>
        </w:rPr>
        <w:instrText xml:space="preserve"> PAGEREF _Toc25150680 \h </w:instrText>
      </w:r>
      <w:r>
        <w:rPr>
          <w:noProof/>
        </w:rPr>
      </w:r>
      <w:r>
        <w:rPr>
          <w:noProof/>
        </w:rPr>
        <w:fldChar w:fldCharType="separate"/>
      </w:r>
      <w:r>
        <w:rPr>
          <w:noProof/>
        </w:rPr>
        <w:t>6</w:t>
      </w:r>
      <w:r>
        <w:rPr>
          <w:noProof/>
        </w:rPr>
        <w:fldChar w:fldCharType="end"/>
      </w:r>
    </w:p>
    <w:p w14:paraId="6931368D" w14:textId="5D29222A" w:rsidR="00562B44" w:rsidRDefault="00562B44">
      <w:pPr>
        <w:pStyle w:val="TOC3"/>
        <w:rPr>
          <w:rFonts w:asciiTheme="minorHAnsi" w:hAnsiTheme="minorHAnsi" w:hint="eastAsia"/>
          <w:noProof/>
          <w:szCs w:val="22"/>
        </w:rPr>
      </w:pPr>
      <w:r>
        <w:rPr>
          <w:noProof/>
        </w:rPr>
        <w:t>Gas Savings (Therms)</w:t>
      </w:r>
      <w:r>
        <w:rPr>
          <w:noProof/>
        </w:rPr>
        <w:tab/>
      </w:r>
      <w:r>
        <w:rPr>
          <w:noProof/>
        </w:rPr>
        <w:fldChar w:fldCharType="begin"/>
      </w:r>
      <w:r>
        <w:rPr>
          <w:noProof/>
        </w:rPr>
        <w:instrText xml:space="preserve"> PAGEREF _Toc25150681 \h </w:instrText>
      </w:r>
      <w:r>
        <w:rPr>
          <w:noProof/>
        </w:rPr>
      </w:r>
      <w:r>
        <w:rPr>
          <w:noProof/>
        </w:rPr>
        <w:fldChar w:fldCharType="separate"/>
      </w:r>
      <w:r>
        <w:rPr>
          <w:noProof/>
        </w:rPr>
        <w:t>6</w:t>
      </w:r>
      <w:r>
        <w:rPr>
          <w:noProof/>
        </w:rPr>
        <w:fldChar w:fldCharType="end"/>
      </w:r>
    </w:p>
    <w:p w14:paraId="2006BC81" w14:textId="064786A4" w:rsidR="00562B44" w:rsidRDefault="00562B44">
      <w:pPr>
        <w:pStyle w:val="TOC3"/>
        <w:rPr>
          <w:rFonts w:asciiTheme="minorHAnsi" w:hAnsiTheme="minorHAnsi" w:hint="eastAsia"/>
          <w:noProof/>
          <w:szCs w:val="22"/>
        </w:rPr>
      </w:pPr>
      <w:r>
        <w:rPr>
          <w:noProof/>
        </w:rPr>
        <w:t>Life Cycle</w:t>
      </w:r>
      <w:r>
        <w:rPr>
          <w:noProof/>
        </w:rPr>
        <w:tab/>
      </w:r>
      <w:r>
        <w:rPr>
          <w:noProof/>
        </w:rPr>
        <w:fldChar w:fldCharType="begin"/>
      </w:r>
      <w:r>
        <w:rPr>
          <w:noProof/>
        </w:rPr>
        <w:instrText xml:space="preserve"> PAGEREF _Toc25150682 \h </w:instrText>
      </w:r>
      <w:r>
        <w:rPr>
          <w:noProof/>
        </w:rPr>
      </w:r>
      <w:r>
        <w:rPr>
          <w:noProof/>
        </w:rPr>
        <w:fldChar w:fldCharType="separate"/>
      </w:r>
      <w:r>
        <w:rPr>
          <w:noProof/>
        </w:rPr>
        <w:t>8</w:t>
      </w:r>
      <w:r>
        <w:rPr>
          <w:noProof/>
        </w:rPr>
        <w:fldChar w:fldCharType="end"/>
      </w:r>
    </w:p>
    <w:p w14:paraId="3D7A6F50" w14:textId="4BDA4070" w:rsidR="00562B44" w:rsidRDefault="00562B44">
      <w:pPr>
        <w:pStyle w:val="TOC3"/>
        <w:rPr>
          <w:rFonts w:asciiTheme="minorHAnsi" w:hAnsiTheme="minorHAnsi" w:hint="eastAsia"/>
          <w:noProof/>
          <w:szCs w:val="22"/>
        </w:rPr>
      </w:pPr>
      <w:r>
        <w:rPr>
          <w:noProof/>
        </w:rPr>
        <w:t>Base Case Material Cost ($/unit)</w:t>
      </w:r>
      <w:r>
        <w:rPr>
          <w:noProof/>
        </w:rPr>
        <w:tab/>
      </w:r>
      <w:r>
        <w:rPr>
          <w:noProof/>
        </w:rPr>
        <w:fldChar w:fldCharType="begin"/>
      </w:r>
      <w:r>
        <w:rPr>
          <w:noProof/>
        </w:rPr>
        <w:instrText xml:space="preserve"> PAGEREF _Toc25150683 \h </w:instrText>
      </w:r>
      <w:r>
        <w:rPr>
          <w:noProof/>
        </w:rPr>
      </w:r>
      <w:r>
        <w:rPr>
          <w:noProof/>
        </w:rPr>
        <w:fldChar w:fldCharType="separate"/>
      </w:r>
      <w:r>
        <w:rPr>
          <w:noProof/>
        </w:rPr>
        <w:t>9</w:t>
      </w:r>
      <w:r>
        <w:rPr>
          <w:noProof/>
        </w:rPr>
        <w:fldChar w:fldCharType="end"/>
      </w:r>
    </w:p>
    <w:p w14:paraId="1D0D30B9" w14:textId="102640DE" w:rsidR="00562B44" w:rsidRDefault="00562B44">
      <w:pPr>
        <w:pStyle w:val="TOC3"/>
        <w:rPr>
          <w:rFonts w:asciiTheme="minorHAnsi" w:hAnsiTheme="minorHAnsi" w:hint="eastAsia"/>
          <w:noProof/>
          <w:szCs w:val="22"/>
        </w:rPr>
      </w:pPr>
      <w:r>
        <w:rPr>
          <w:noProof/>
        </w:rPr>
        <w:t>Measure Case Material Cost ($/unit)</w:t>
      </w:r>
      <w:r>
        <w:rPr>
          <w:noProof/>
        </w:rPr>
        <w:tab/>
      </w:r>
      <w:r>
        <w:rPr>
          <w:noProof/>
        </w:rPr>
        <w:fldChar w:fldCharType="begin"/>
      </w:r>
      <w:r>
        <w:rPr>
          <w:noProof/>
        </w:rPr>
        <w:instrText xml:space="preserve"> PAGEREF _Toc25150684 \h </w:instrText>
      </w:r>
      <w:r>
        <w:rPr>
          <w:noProof/>
        </w:rPr>
      </w:r>
      <w:r>
        <w:rPr>
          <w:noProof/>
        </w:rPr>
        <w:fldChar w:fldCharType="separate"/>
      </w:r>
      <w:r>
        <w:rPr>
          <w:noProof/>
        </w:rPr>
        <w:t>9</w:t>
      </w:r>
      <w:r>
        <w:rPr>
          <w:noProof/>
        </w:rPr>
        <w:fldChar w:fldCharType="end"/>
      </w:r>
    </w:p>
    <w:p w14:paraId="1E12E8D3" w14:textId="08778E3F" w:rsidR="00562B44" w:rsidRDefault="00562B44">
      <w:pPr>
        <w:pStyle w:val="TOC3"/>
        <w:rPr>
          <w:rFonts w:asciiTheme="minorHAnsi" w:hAnsiTheme="minorHAnsi" w:hint="eastAsia"/>
          <w:noProof/>
          <w:szCs w:val="22"/>
        </w:rPr>
      </w:pPr>
      <w:r>
        <w:rPr>
          <w:noProof/>
        </w:rPr>
        <w:t>Base Case Labor Cost ($/unit)</w:t>
      </w:r>
      <w:r>
        <w:rPr>
          <w:noProof/>
        </w:rPr>
        <w:tab/>
      </w:r>
      <w:r>
        <w:rPr>
          <w:noProof/>
        </w:rPr>
        <w:fldChar w:fldCharType="begin"/>
      </w:r>
      <w:r>
        <w:rPr>
          <w:noProof/>
        </w:rPr>
        <w:instrText xml:space="preserve"> PAGEREF _Toc25150685 \h </w:instrText>
      </w:r>
      <w:r>
        <w:rPr>
          <w:noProof/>
        </w:rPr>
      </w:r>
      <w:r>
        <w:rPr>
          <w:noProof/>
        </w:rPr>
        <w:fldChar w:fldCharType="separate"/>
      </w:r>
      <w:r>
        <w:rPr>
          <w:noProof/>
        </w:rPr>
        <w:t>10</w:t>
      </w:r>
      <w:r>
        <w:rPr>
          <w:noProof/>
        </w:rPr>
        <w:fldChar w:fldCharType="end"/>
      </w:r>
    </w:p>
    <w:p w14:paraId="567AA24B" w14:textId="3E1C6D29" w:rsidR="00562B44" w:rsidRDefault="00562B44">
      <w:pPr>
        <w:pStyle w:val="TOC3"/>
        <w:rPr>
          <w:rFonts w:asciiTheme="minorHAnsi" w:hAnsiTheme="minorHAnsi" w:hint="eastAsia"/>
          <w:noProof/>
          <w:szCs w:val="22"/>
        </w:rPr>
      </w:pPr>
      <w:r>
        <w:rPr>
          <w:noProof/>
        </w:rPr>
        <w:t>Measure Case Labor Cost ($/unit)</w:t>
      </w:r>
      <w:r>
        <w:rPr>
          <w:noProof/>
        </w:rPr>
        <w:tab/>
      </w:r>
      <w:r>
        <w:rPr>
          <w:noProof/>
        </w:rPr>
        <w:fldChar w:fldCharType="begin"/>
      </w:r>
      <w:r>
        <w:rPr>
          <w:noProof/>
        </w:rPr>
        <w:instrText xml:space="preserve"> PAGEREF _Toc25150686 \h </w:instrText>
      </w:r>
      <w:r>
        <w:rPr>
          <w:noProof/>
        </w:rPr>
      </w:r>
      <w:r>
        <w:rPr>
          <w:noProof/>
        </w:rPr>
        <w:fldChar w:fldCharType="separate"/>
      </w:r>
      <w:r>
        <w:rPr>
          <w:noProof/>
        </w:rPr>
        <w:t>10</w:t>
      </w:r>
      <w:r>
        <w:rPr>
          <w:noProof/>
        </w:rPr>
        <w:fldChar w:fldCharType="end"/>
      </w:r>
    </w:p>
    <w:p w14:paraId="39B10790" w14:textId="41EB52B9" w:rsidR="00562B44" w:rsidRDefault="00562B44">
      <w:pPr>
        <w:pStyle w:val="TOC3"/>
        <w:rPr>
          <w:rFonts w:asciiTheme="minorHAnsi" w:hAnsiTheme="minorHAnsi" w:hint="eastAsia"/>
          <w:noProof/>
          <w:szCs w:val="22"/>
        </w:rPr>
      </w:pPr>
      <w:r>
        <w:rPr>
          <w:noProof/>
        </w:rPr>
        <w:t>Net-to-Gross (NTG)</w:t>
      </w:r>
      <w:r>
        <w:rPr>
          <w:noProof/>
        </w:rPr>
        <w:tab/>
      </w:r>
      <w:r>
        <w:rPr>
          <w:noProof/>
        </w:rPr>
        <w:fldChar w:fldCharType="begin"/>
      </w:r>
      <w:r>
        <w:rPr>
          <w:noProof/>
        </w:rPr>
        <w:instrText xml:space="preserve"> PAGEREF _Toc25150687 \h </w:instrText>
      </w:r>
      <w:r>
        <w:rPr>
          <w:noProof/>
        </w:rPr>
      </w:r>
      <w:r>
        <w:rPr>
          <w:noProof/>
        </w:rPr>
        <w:fldChar w:fldCharType="separate"/>
      </w:r>
      <w:r>
        <w:rPr>
          <w:noProof/>
        </w:rPr>
        <w:t>10</w:t>
      </w:r>
      <w:r>
        <w:rPr>
          <w:noProof/>
        </w:rPr>
        <w:fldChar w:fldCharType="end"/>
      </w:r>
    </w:p>
    <w:p w14:paraId="577C03DD" w14:textId="390FC692" w:rsidR="00562B44" w:rsidRDefault="00562B44">
      <w:pPr>
        <w:pStyle w:val="TOC3"/>
        <w:rPr>
          <w:rFonts w:asciiTheme="minorHAnsi" w:hAnsiTheme="minorHAnsi" w:hint="eastAsia"/>
          <w:noProof/>
          <w:szCs w:val="22"/>
        </w:rPr>
      </w:pPr>
      <w:r>
        <w:rPr>
          <w:noProof/>
        </w:rPr>
        <w:t>Gross Savings Installation Adjustment (GSIA)</w:t>
      </w:r>
      <w:r>
        <w:rPr>
          <w:noProof/>
        </w:rPr>
        <w:tab/>
      </w:r>
      <w:r>
        <w:rPr>
          <w:noProof/>
        </w:rPr>
        <w:fldChar w:fldCharType="begin"/>
      </w:r>
      <w:r>
        <w:rPr>
          <w:noProof/>
        </w:rPr>
        <w:instrText xml:space="preserve"> PAGEREF _Toc25150688 \h </w:instrText>
      </w:r>
      <w:r>
        <w:rPr>
          <w:noProof/>
        </w:rPr>
      </w:r>
      <w:r>
        <w:rPr>
          <w:noProof/>
        </w:rPr>
        <w:fldChar w:fldCharType="separate"/>
      </w:r>
      <w:r>
        <w:rPr>
          <w:noProof/>
        </w:rPr>
        <w:t>10</w:t>
      </w:r>
      <w:r>
        <w:rPr>
          <w:noProof/>
        </w:rPr>
        <w:fldChar w:fldCharType="end"/>
      </w:r>
    </w:p>
    <w:p w14:paraId="4BAD2C59" w14:textId="5276A0C5" w:rsidR="00562B44" w:rsidRDefault="00562B44">
      <w:pPr>
        <w:pStyle w:val="TOC3"/>
        <w:rPr>
          <w:rFonts w:asciiTheme="minorHAnsi" w:hAnsiTheme="minorHAnsi" w:hint="eastAsia"/>
          <w:noProof/>
          <w:szCs w:val="22"/>
        </w:rPr>
      </w:pPr>
      <w:r>
        <w:rPr>
          <w:noProof/>
        </w:rPr>
        <w:t>Non-Energy Impacts</w:t>
      </w:r>
      <w:r>
        <w:rPr>
          <w:noProof/>
        </w:rPr>
        <w:tab/>
      </w:r>
      <w:r>
        <w:rPr>
          <w:noProof/>
        </w:rPr>
        <w:fldChar w:fldCharType="begin"/>
      </w:r>
      <w:r>
        <w:rPr>
          <w:noProof/>
        </w:rPr>
        <w:instrText xml:space="preserve"> PAGEREF _Toc25150689 \h </w:instrText>
      </w:r>
      <w:r>
        <w:rPr>
          <w:noProof/>
        </w:rPr>
      </w:r>
      <w:r>
        <w:rPr>
          <w:noProof/>
        </w:rPr>
        <w:fldChar w:fldCharType="separate"/>
      </w:r>
      <w:r>
        <w:rPr>
          <w:noProof/>
        </w:rPr>
        <w:t>10</w:t>
      </w:r>
      <w:r>
        <w:rPr>
          <w:noProof/>
        </w:rPr>
        <w:fldChar w:fldCharType="end"/>
      </w:r>
    </w:p>
    <w:p w14:paraId="4D8B1DDC" w14:textId="797517A9" w:rsidR="00562B44" w:rsidRDefault="00562B44">
      <w:pPr>
        <w:pStyle w:val="TOC3"/>
        <w:rPr>
          <w:rFonts w:asciiTheme="minorHAnsi" w:hAnsiTheme="minorHAnsi" w:hint="eastAsia"/>
          <w:noProof/>
          <w:szCs w:val="22"/>
        </w:rPr>
      </w:pPr>
      <w:r>
        <w:rPr>
          <w:noProof/>
        </w:rPr>
        <w:t>DEER Differences Analysis</w:t>
      </w:r>
      <w:r>
        <w:rPr>
          <w:noProof/>
        </w:rPr>
        <w:tab/>
      </w:r>
      <w:r>
        <w:rPr>
          <w:noProof/>
        </w:rPr>
        <w:fldChar w:fldCharType="begin"/>
      </w:r>
      <w:r>
        <w:rPr>
          <w:noProof/>
        </w:rPr>
        <w:instrText xml:space="preserve"> PAGEREF _Toc25150690 \h </w:instrText>
      </w:r>
      <w:r>
        <w:rPr>
          <w:noProof/>
        </w:rPr>
      </w:r>
      <w:r>
        <w:rPr>
          <w:noProof/>
        </w:rPr>
        <w:fldChar w:fldCharType="separate"/>
      </w:r>
      <w:r>
        <w:rPr>
          <w:noProof/>
        </w:rPr>
        <w:t>11</w:t>
      </w:r>
      <w:r>
        <w:rPr>
          <w:noProof/>
        </w:rPr>
        <w:fldChar w:fldCharType="end"/>
      </w:r>
    </w:p>
    <w:p w14:paraId="6D055E5B" w14:textId="7019D755" w:rsidR="00562B44" w:rsidRDefault="00562B44">
      <w:pPr>
        <w:pStyle w:val="TOC3"/>
        <w:rPr>
          <w:rFonts w:asciiTheme="minorHAnsi" w:hAnsiTheme="minorHAnsi" w:hint="eastAsia"/>
          <w:noProof/>
          <w:szCs w:val="22"/>
        </w:rPr>
      </w:pPr>
      <w:r>
        <w:rPr>
          <w:noProof/>
        </w:rPr>
        <w:t>Revision History</w:t>
      </w:r>
      <w:r>
        <w:rPr>
          <w:noProof/>
        </w:rPr>
        <w:tab/>
      </w:r>
      <w:r>
        <w:rPr>
          <w:noProof/>
        </w:rPr>
        <w:fldChar w:fldCharType="begin"/>
      </w:r>
      <w:r>
        <w:rPr>
          <w:noProof/>
        </w:rPr>
        <w:instrText xml:space="preserve"> PAGEREF _Toc25150691 \h </w:instrText>
      </w:r>
      <w:r>
        <w:rPr>
          <w:noProof/>
        </w:rPr>
      </w:r>
      <w:r>
        <w:rPr>
          <w:noProof/>
        </w:rPr>
        <w:fldChar w:fldCharType="separate"/>
      </w:r>
      <w:r>
        <w:rPr>
          <w:noProof/>
        </w:rPr>
        <w:t>11</w:t>
      </w:r>
      <w:r>
        <w:rPr>
          <w:noProof/>
        </w:rPr>
        <w:fldChar w:fldCharType="end"/>
      </w:r>
    </w:p>
    <w:p w14:paraId="4C194BAF" w14:textId="0201B64F" w:rsidR="001C6C9B" w:rsidRPr="00D12B8C" w:rsidRDefault="001C6C9B" w:rsidP="00D12B8C">
      <w:r>
        <w:fldChar w:fldCharType="end"/>
      </w:r>
    </w:p>
    <w:p w14:paraId="7DD78D3A" w14:textId="77777777" w:rsidR="007E1F66" w:rsidRDefault="007E1F66" w:rsidP="004F3F32">
      <w:pPr>
        <w:pStyle w:val="eTRMHeading3"/>
        <w:sectPr w:rsidR="007E1F66" w:rsidSect="004507F7">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p>
    <w:p w14:paraId="39F3CABB" w14:textId="77777777" w:rsidR="00871123" w:rsidRPr="007E1F66" w:rsidRDefault="00871123" w:rsidP="00562B44">
      <w:pPr>
        <w:pStyle w:val="eTRMHeading3"/>
      </w:pPr>
      <w:bookmarkStart w:id="0" w:name="_Toc486490839"/>
      <w:bookmarkStart w:id="1" w:name="_Toc486580912"/>
      <w:bookmarkStart w:id="2" w:name="_Toc25150668"/>
      <w:r w:rsidRPr="007E1F66">
        <w:lastRenderedPageBreak/>
        <w:t>Measure Name</w:t>
      </w:r>
      <w:bookmarkEnd w:id="0"/>
      <w:bookmarkEnd w:id="1"/>
      <w:bookmarkEnd w:id="2"/>
    </w:p>
    <w:p w14:paraId="558A8B21" w14:textId="4F78351A" w:rsidR="00661844" w:rsidRDefault="00385220" w:rsidP="00151553">
      <w:r w:rsidRPr="00385220">
        <w:t xml:space="preserve">Pool </w:t>
      </w:r>
      <w:r w:rsidR="00700863">
        <w:t xml:space="preserve">or Spa </w:t>
      </w:r>
      <w:r w:rsidR="00661844">
        <w:t>H</w:t>
      </w:r>
      <w:r w:rsidRPr="00385220">
        <w:t>eater</w:t>
      </w:r>
      <w:r w:rsidR="00661844">
        <w:t>, Residential</w:t>
      </w:r>
    </w:p>
    <w:p w14:paraId="583BCBAB" w14:textId="77777777" w:rsidR="00700863" w:rsidRDefault="00700863" w:rsidP="00151553"/>
    <w:p w14:paraId="32CEC67B" w14:textId="7D0548E2" w:rsidR="00F860EE" w:rsidRPr="007E1F66" w:rsidRDefault="00F860EE" w:rsidP="00562B44">
      <w:pPr>
        <w:pStyle w:val="eTRMHeading3"/>
      </w:pPr>
      <w:bookmarkStart w:id="3" w:name="_Toc25150669"/>
      <w:r>
        <w:t>Statewide Measure ID</w:t>
      </w:r>
      <w:bookmarkEnd w:id="3"/>
    </w:p>
    <w:p w14:paraId="04CC75C5" w14:textId="630FD0DF" w:rsidR="00F860EE" w:rsidRDefault="00700863" w:rsidP="00151553">
      <w:r>
        <w:t>SWRE004-01</w:t>
      </w:r>
    </w:p>
    <w:p w14:paraId="084F3936" w14:textId="77777777" w:rsidR="00700863" w:rsidRDefault="00700863" w:rsidP="00151553"/>
    <w:p w14:paraId="0F7CA2E6" w14:textId="77777777" w:rsidR="00E70CBD" w:rsidRPr="00154391" w:rsidRDefault="00E70CBD" w:rsidP="004F3F32">
      <w:pPr>
        <w:pStyle w:val="eTRMHeading3"/>
      </w:pPr>
      <w:bookmarkStart w:id="4" w:name="_Toc486490847"/>
      <w:bookmarkStart w:id="5" w:name="_Toc486580918"/>
      <w:bookmarkStart w:id="6" w:name="_Toc25150670"/>
      <w:r w:rsidRPr="00154391">
        <w:t>Technology Summary</w:t>
      </w:r>
      <w:bookmarkEnd w:id="4"/>
      <w:bookmarkEnd w:id="5"/>
      <w:bookmarkEnd w:id="6"/>
      <w:r w:rsidRPr="00154391">
        <w:t xml:space="preserve"> </w:t>
      </w:r>
    </w:p>
    <w:p w14:paraId="605BE8C8" w14:textId="75A46BEA" w:rsidR="00FF2DC1" w:rsidRPr="00FF2DC1" w:rsidRDefault="00FF2DC1" w:rsidP="00FF2DC1">
      <w:r w:rsidRPr="00FF2DC1">
        <w:t xml:space="preserve">Pool and spa water heaters are types of commercial hot water boilers </w:t>
      </w:r>
      <w:r w:rsidR="001F6A4B">
        <w:t xml:space="preserve">that are </w:t>
      </w:r>
      <w:r w:rsidRPr="00FF2DC1">
        <w:t>designed to tolerate the chemicals found in pool and spa water. Therefore, heaters use Cupro-nickel heat exchangers and tubing that provide greater durability compared to the standard copper units. Cupro-nickel alloy metals tolerate fluctuating pH levels and salts in the water.</w:t>
      </w:r>
    </w:p>
    <w:p w14:paraId="40FE1FF7" w14:textId="356A0AE1" w:rsidR="00FF2DC1" w:rsidRDefault="00700863" w:rsidP="00FF2DC1">
      <w:r>
        <w:t>An e</w:t>
      </w:r>
      <w:r w:rsidR="00FF2DC1" w:rsidRPr="00FF2DC1">
        <w:t xml:space="preserve">nergy efficient </w:t>
      </w:r>
      <w:r>
        <w:t>pool or spa water heater</w:t>
      </w:r>
      <w:r w:rsidRPr="00FF2DC1">
        <w:t xml:space="preserve"> </w:t>
      </w:r>
      <w:r w:rsidR="00FF2DC1" w:rsidRPr="00FF2DC1">
        <w:t>may have one or more of the following features:  more insulation, high efficiency/low NOx burners, power burners, relatively large heat exchanger surfaces, and flue exhaust heat recovery systems.</w:t>
      </w:r>
    </w:p>
    <w:p w14:paraId="3DA61B77" w14:textId="3196331F" w:rsidR="00CE265F" w:rsidRPr="00CE265F" w:rsidRDefault="00CE265F" w:rsidP="00CE265F">
      <w:bookmarkStart w:id="7" w:name="_Toc484420117"/>
      <w:r w:rsidRPr="00C01AA0">
        <w:rPr>
          <w:b/>
          <w:bCs/>
        </w:rPr>
        <w:t>CEE High Efficiency Residential Swimming Pool Initiative</w:t>
      </w:r>
      <w:bookmarkEnd w:id="7"/>
      <w:r w:rsidR="00AB7DBC" w:rsidRPr="00C01AA0">
        <w:rPr>
          <w:b/>
          <w:bCs/>
        </w:rPr>
        <w:t xml:space="preserve"> (Consortium of Energy Efficiency, 2012).</w:t>
      </w:r>
      <w:r w:rsidR="00AB7DBC">
        <w:rPr>
          <w:rStyle w:val="FootnoteReference"/>
        </w:rPr>
        <w:footnoteReference w:id="1"/>
      </w:r>
      <w:r w:rsidR="00AB7DBC">
        <w:t xml:space="preserve"> The </w:t>
      </w:r>
      <w:r w:rsidR="00BA5E4E" w:rsidRPr="00C01AA0">
        <w:t>Consortium of Energy Efficiency</w:t>
      </w:r>
      <w:r w:rsidR="00BA5E4E" w:rsidRPr="00384806">
        <w:rPr>
          <w:b/>
          <w:bCs/>
        </w:rPr>
        <w:t xml:space="preserve"> </w:t>
      </w:r>
      <w:r w:rsidR="00BA5E4E">
        <w:t>(</w:t>
      </w:r>
      <w:r w:rsidRPr="00CE265F">
        <w:t>CEE</w:t>
      </w:r>
      <w:r w:rsidR="00BA5E4E">
        <w:t>)</w:t>
      </w:r>
      <w:r w:rsidRPr="00CE265F">
        <w:t xml:space="preserve"> identified several promising opportunities </w:t>
      </w:r>
      <w:r w:rsidR="0023644A">
        <w:t>for increased energy efficiency of</w:t>
      </w:r>
      <w:r w:rsidRPr="00CE265F">
        <w:t xml:space="preserve"> residential swimming pools</w:t>
      </w:r>
      <w:r w:rsidR="0023644A">
        <w:t xml:space="preserve">, including </w:t>
      </w:r>
      <w:r w:rsidRPr="00CE265F">
        <w:t>pool motors, pool timers, robotic cleaners, pool covers, and pool heaters.</w:t>
      </w:r>
      <w:r w:rsidR="004F4E0C">
        <w:t xml:space="preserve"> </w:t>
      </w:r>
      <w:r w:rsidR="0023644A">
        <w:t>The CEE initiative utilized the U.S. Department of Energy (</w:t>
      </w:r>
      <w:r w:rsidRPr="00CE265F">
        <w:t>DOE</w:t>
      </w:r>
      <w:r w:rsidR="0023644A">
        <w:t>)</w:t>
      </w:r>
      <w:r w:rsidRPr="00CE265F">
        <w:t xml:space="preserve"> 2009 Residential Energy Consumption Survey (RECS)</w:t>
      </w:r>
      <w:r w:rsidR="0023644A">
        <w:t xml:space="preserve"> to determine market potential. </w:t>
      </w:r>
      <w:proofErr w:type="gramStart"/>
      <w:r w:rsidR="0023644A">
        <w:t>In particular,</w:t>
      </w:r>
      <w:r w:rsidRPr="00CE265F">
        <w:t xml:space="preserve"> of</w:t>
      </w:r>
      <w:proofErr w:type="gramEnd"/>
      <w:r w:rsidRPr="00CE265F">
        <w:t xml:space="preserve"> the 8 million </w:t>
      </w:r>
      <w:r w:rsidR="0023644A">
        <w:t>U.S.</w:t>
      </w:r>
      <w:r w:rsidR="0023644A" w:rsidRPr="00CE265F">
        <w:t xml:space="preserve"> </w:t>
      </w:r>
      <w:r w:rsidRPr="00CE265F">
        <w:t xml:space="preserve">households </w:t>
      </w:r>
      <w:r w:rsidR="0023644A">
        <w:t>with a pool</w:t>
      </w:r>
      <w:r w:rsidRPr="00CE265F">
        <w:t xml:space="preserve"> (in-ground and above-ground) with filtration equipment, 2.1 million have pool heaters. Of </w:t>
      </w:r>
      <w:r w:rsidR="0023644A">
        <w:t>the</w:t>
      </w:r>
      <w:r w:rsidR="00BA5E4E">
        <w:t>se</w:t>
      </w:r>
      <w:r w:rsidR="0023644A" w:rsidRPr="00CE265F">
        <w:t xml:space="preserve"> </w:t>
      </w:r>
      <w:r w:rsidRPr="00CE265F">
        <w:t xml:space="preserve">households, 1.1 million use </w:t>
      </w:r>
      <w:r w:rsidR="0023644A">
        <w:t xml:space="preserve">a </w:t>
      </w:r>
      <w:r w:rsidRPr="00CE265F">
        <w:t>natural gas</w:t>
      </w:r>
      <w:r w:rsidR="0023644A">
        <w:t xml:space="preserve"> heater</w:t>
      </w:r>
      <w:r w:rsidR="00BA5E4E">
        <w:t xml:space="preserve"> that consume</w:t>
      </w:r>
      <w:r w:rsidRPr="00CE265F">
        <w:t xml:space="preserve"> an average 38 million Btu/yr. The 2009 </w:t>
      </w:r>
      <w:r w:rsidR="0023644A">
        <w:t xml:space="preserve">RECS </w:t>
      </w:r>
      <w:r w:rsidRPr="00CE265F">
        <w:t xml:space="preserve">also </w:t>
      </w:r>
      <w:proofErr w:type="gramStart"/>
      <w:r w:rsidRPr="00CE265F">
        <w:t>indicates</w:t>
      </w:r>
      <w:proofErr w:type="gramEnd"/>
      <w:r w:rsidRPr="00CE265F">
        <w:t xml:space="preserve"> that 6.4 million </w:t>
      </w:r>
      <w:r w:rsidR="0023644A">
        <w:t>U.S.</w:t>
      </w:r>
      <w:r w:rsidR="0023644A" w:rsidRPr="00CE265F">
        <w:t xml:space="preserve"> </w:t>
      </w:r>
      <w:r w:rsidRPr="00CE265F">
        <w:t>households have hot tub or spa heaters</w:t>
      </w:r>
      <w:r w:rsidR="00BA5E4E">
        <w:t>,</w:t>
      </w:r>
      <w:r w:rsidRPr="00CE265F">
        <w:t xml:space="preserve"> 1.5 million</w:t>
      </w:r>
      <w:r w:rsidR="00BA5E4E">
        <w:t xml:space="preserve"> of which are</w:t>
      </w:r>
      <w:r w:rsidRPr="00CE265F">
        <w:t xml:space="preserve"> natural gas heaters. </w:t>
      </w:r>
      <w:r w:rsidR="00BA5E4E">
        <w:t>The RECS estimated that n</w:t>
      </w:r>
      <w:r w:rsidRPr="00CE265F">
        <w:t xml:space="preserve">atural gas </w:t>
      </w:r>
      <w:r w:rsidR="00BA5E4E">
        <w:t xml:space="preserve">spa </w:t>
      </w:r>
      <w:r w:rsidRPr="00CE265F">
        <w:t xml:space="preserve">heaters </w:t>
      </w:r>
      <w:r w:rsidR="00BA5E4E">
        <w:t xml:space="preserve">consume an </w:t>
      </w:r>
      <w:r w:rsidRPr="00CE265F">
        <w:t xml:space="preserve">average </w:t>
      </w:r>
      <w:r w:rsidR="00BA5E4E">
        <w:t>of</w:t>
      </w:r>
      <w:r w:rsidR="00BA5E4E" w:rsidRPr="00CE265F">
        <w:t xml:space="preserve"> </w:t>
      </w:r>
      <w:r w:rsidRPr="00CE265F">
        <w:t>35.9 million Btu/yr.</w:t>
      </w:r>
    </w:p>
    <w:p w14:paraId="289F456A" w14:textId="0E7B7592" w:rsidR="00CE265F" w:rsidRPr="00CE265F" w:rsidRDefault="00CE265F" w:rsidP="00CE265F">
      <w:r w:rsidRPr="00CE265F">
        <w:t xml:space="preserve">The </w:t>
      </w:r>
      <w:r w:rsidR="0023644A">
        <w:t xml:space="preserve">CEE </w:t>
      </w:r>
      <w:r w:rsidRPr="00CE265F">
        <w:t xml:space="preserve">study also provided the following analysis: </w:t>
      </w:r>
    </w:p>
    <w:p w14:paraId="0136C8DB" w14:textId="18C9DF88" w:rsidR="00CE265F" w:rsidRPr="00CE265F" w:rsidRDefault="00CE265F" w:rsidP="00C01AA0">
      <w:pPr>
        <w:pStyle w:val="eTRMBulletedText"/>
      </w:pPr>
      <w:r w:rsidRPr="00CE265F">
        <w:t xml:space="preserve">In 1990, gas-fired pool heaters were required to have a </w:t>
      </w:r>
      <w:r w:rsidR="00AB7DBC">
        <w:t>TE</w:t>
      </w:r>
      <w:r w:rsidRPr="00CE265F">
        <w:t xml:space="preserve"> of 78</w:t>
      </w:r>
      <w:proofErr w:type="gramStart"/>
      <w:r w:rsidR="00AB7DBC">
        <w:t>%</w:t>
      </w:r>
      <w:r w:rsidRPr="00CE265F">
        <w:t xml:space="preserve"> .</w:t>
      </w:r>
      <w:proofErr w:type="gramEnd"/>
      <w:r w:rsidRPr="00CE265F">
        <w:t xml:space="preserve"> On April 16, 2013 the required thermal efficiency</w:t>
      </w:r>
      <w:r w:rsidR="00AB7DBC">
        <w:t xml:space="preserve"> (TE)</w:t>
      </w:r>
      <w:r w:rsidRPr="00CE265F">
        <w:t xml:space="preserve"> increased to 82</w:t>
      </w:r>
      <w:r w:rsidR="00AB7DBC">
        <w:t>%</w:t>
      </w:r>
      <w:r w:rsidRPr="00CE265F">
        <w:t xml:space="preserve">. Energy savings from this change is </w:t>
      </w:r>
      <w:r w:rsidR="00AB7DBC">
        <w:t>approximately</w:t>
      </w:r>
      <w:r w:rsidR="00AB7DBC" w:rsidRPr="00CE265F">
        <w:t xml:space="preserve"> </w:t>
      </w:r>
      <w:r w:rsidRPr="00CE265F">
        <w:t>1.6 MMBtu/</w:t>
      </w:r>
      <w:proofErr w:type="spellStart"/>
      <w:r w:rsidRPr="00CE265F">
        <w:t>yr</w:t>
      </w:r>
      <w:proofErr w:type="spellEnd"/>
      <w:r w:rsidRPr="00CE265F">
        <w:t xml:space="preserve"> per unit. </w:t>
      </w:r>
    </w:p>
    <w:p w14:paraId="2DC428C4" w14:textId="423AD9B0" w:rsidR="00CE265F" w:rsidRPr="00CE265F" w:rsidRDefault="00CE265F" w:rsidP="00C01AA0">
      <w:pPr>
        <w:pStyle w:val="eTRMBulletedText"/>
      </w:pPr>
      <w:r w:rsidRPr="00CE265F">
        <w:t>A pool heater with 78.2</w:t>
      </w:r>
      <w:r w:rsidR="00AB7DBC">
        <w:t>% TE</w:t>
      </w:r>
      <w:r w:rsidRPr="00CE265F">
        <w:t xml:space="preserve"> consumes about 34.1 MMBtu/</w:t>
      </w:r>
      <w:proofErr w:type="spellStart"/>
      <w:r w:rsidRPr="00CE265F">
        <w:t>yr</w:t>
      </w:r>
      <w:proofErr w:type="spellEnd"/>
      <w:r w:rsidRPr="00CE265F">
        <w:t>, whereas a pool heater with 82</w:t>
      </w:r>
      <w:r w:rsidR="00AB7DBC">
        <w:t>%</w:t>
      </w:r>
      <w:r w:rsidRPr="00CE265F">
        <w:t xml:space="preserve"> </w:t>
      </w:r>
      <w:r w:rsidR="00AB7DBC">
        <w:t xml:space="preserve">TE </w:t>
      </w:r>
      <w:r w:rsidRPr="00CE265F">
        <w:t xml:space="preserve">consumes 32.5 MMBtu/yr. </w:t>
      </w:r>
    </w:p>
    <w:p w14:paraId="595CAB50" w14:textId="73522EDB" w:rsidR="00CE265F" w:rsidRDefault="00CE265F" w:rsidP="00C01AA0">
      <w:pPr>
        <w:pStyle w:val="eTRMBulletedText"/>
      </w:pPr>
      <w:r w:rsidRPr="00CE265F">
        <w:t xml:space="preserve">The most efficient pool heaters in the market have a </w:t>
      </w:r>
      <w:r w:rsidR="00AB7DBC">
        <w:t>95% TE</w:t>
      </w:r>
      <w:r w:rsidRPr="00CE265F">
        <w:t xml:space="preserve"> and consume about 27.8 MMBtu/</w:t>
      </w:r>
      <w:proofErr w:type="spellStart"/>
      <w:r w:rsidRPr="00CE265F">
        <w:t>yr</w:t>
      </w:r>
      <w:proofErr w:type="spellEnd"/>
      <w:r w:rsidRPr="00CE265F">
        <w:t xml:space="preserve">, </w:t>
      </w:r>
      <w:r w:rsidR="00AB7DBC">
        <w:t>which equates to</w:t>
      </w:r>
      <w:r w:rsidR="00AB7DBC" w:rsidRPr="00CE265F">
        <w:t xml:space="preserve"> </w:t>
      </w:r>
      <w:r w:rsidRPr="00CE265F">
        <w:t>energy savings of 6.3 MMBtu/</w:t>
      </w:r>
      <w:proofErr w:type="spellStart"/>
      <w:r w:rsidRPr="00CE265F">
        <w:t>yr</w:t>
      </w:r>
      <w:proofErr w:type="spellEnd"/>
      <w:r w:rsidRPr="00CE265F">
        <w:t xml:space="preserve"> per unit over the 1990 standard (78%) or 18</w:t>
      </w:r>
      <w:r w:rsidR="00AB7DBC">
        <w:t>%</w:t>
      </w:r>
      <w:r w:rsidRPr="00CE265F">
        <w:t xml:space="preserve"> savings and 4.7 MMBtu/</w:t>
      </w:r>
      <w:proofErr w:type="spellStart"/>
      <w:r w:rsidRPr="00CE265F">
        <w:t>yr</w:t>
      </w:r>
      <w:proofErr w:type="spellEnd"/>
      <w:r w:rsidRPr="00CE265F">
        <w:t xml:space="preserve"> per unit over the 2013 standard (82%) or 15</w:t>
      </w:r>
      <w:r w:rsidR="00AB7DBC">
        <w:t>%</w:t>
      </w:r>
      <w:r w:rsidRPr="00CE265F">
        <w:t xml:space="preserve"> savings.</w:t>
      </w:r>
    </w:p>
    <w:p w14:paraId="4133F297" w14:textId="1A597D79" w:rsidR="00CE265F" w:rsidRDefault="00CE265F" w:rsidP="00CE265F">
      <w:bookmarkStart w:id="8" w:name="_Toc484420118"/>
      <w:r w:rsidRPr="00E91072">
        <w:rPr>
          <w:b/>
          <w:bCs/>
        </w:rPr>
        <w:lastRenderedPageBreak/>
        <w:t>2009 California Residential Appliance Saturation Study</w:t>
      </w:r>
      <w:bookmarkEnd w:id="8"/>
      <w:r w:rsidR="00D41A3C" w:rsidRPr="00E91072">
        <w:rPr>
          <w:b/>
          <w:bCs/>
        </w:rPr>
        <w:t xml:space="preserve"> (KEMA, Inc., 2010).</w:t>
      </w:r>
      <w:r w:rsidR="00D41A3C">
        <w:rPr>
          <w:rStyle w:val="FootnoteReference"/>
          <w:b/>
          <w:bCs/>
          <w:u w:val="single"/>
        </w:rPr>
        <w:footnoteReference w:id="2"/>
      </w:r>
      <w:r w:rsidR="00D41A3C">
        <w:t xml:space="preserve"> </w:t>
      </w:r>
      <w:r w:rsidRPr="00CE265F">
        <w:t>The study presents key findings from the 2009 California Residential Appliance Saturation Study (RASS) that was sponsored by the California Energy Commission</w:t>
      </w:r>
      <w:r w:rsidR="00D41A3C">
        <w:t xml:space="preserve"> (CEC)</w:t>
      </w:r>
      <w:r w:rsidRPr="00CE265F">
        <w:t>. The study yielded unit energy consumption estimates for 27 electric and 10 natural gas residential end uses and appliance saturations for households within the California territories of the participating utilities.</w:t>
      </w:r>
      <w:r w:rsidR="00AB7DBC">
        <w:t xml:space="preserve"> Data was collected through</w:t>
      </w:r>
      <w:r w:rsidRPr="00CE265F">
        <w:t xml:space="preserve"> a mail survey that requested households to provide information on appliances, equipment, and general consumption patterns. </w:t>
      </w:r>
      <w:r w:rsidR="00A87892">
        <w:t>The RASS study reports that pool heating</w:t>
      </w:r>
      <w:r w:rsidRPr="00CE265F">
        <w:t xml:space="preserve"> and </w:t>
      </w:r>
      <w:r w:rsidR="00A87892">
        <w:t xml:space="preserve">spa heating for a </w:t>
      </w:r>
      <w:proofErr w:type="gramStart"/>
      <w:r w:rsidR="00A87892">
        <w:t>single family</w:t>
      </w:r>
      <w:proofErr w:type="gramEnd"/>
      <w:r w:rsidR="00A87892">
        <w:t xml:space="preserve"> home</w:t>
      </w:r>
      <w:r w:rsidR="00564AFB">
        <w:t xml:space="preserve"> </w:t>
      </w:r>
      <w:r w:rsidRPr="00CE265F">
        <w:t>in Southern California use approximately 220 and 52 therms/</w:t>
      </w:r>
      <w:proofErr w:type="spellStart"/>
      <w:r w:rsidRPr="00CE265F">
        <w:t>yr</w:t>
      </w:r>
      <w:proofErr w:type="spellEnd"/>
      <w:r w:rsidRPr="00CE265F">
        <w:t>, respectively.</w:t>
      </w:r>
    </w:p>
    <w:p w14:paraId="38D33D3A" w14:textId="77777777" w:rsidR="00700863" w:rsidRPr="00CE265F" w:rsidRDefault="00700863" w:rsidP="00CE265F"/>
    <w:p w14:paraId="5AF18021" w14:textId="77777777" w:rsidR="007D230B" w:rsidRPr="004B06E3" w:rsidRDefault="007D230B" w:rsidP="004F3F32">
      <w:pPr>
        <w:pStyle w:val="eTRMHeading3"/>
      </w:pPr>
      <w:bookmarkStart w:id="9" w:name="_Toc486490848"/>
      <w:bookmarkStart w:id="10" w:name="_Toc486580919"/>
      <w:bookmarkStart w:id="11" w:name="_Toc25150671"/>
      <w:r w:rsidRPr="004B06E3">
        <w:t>Measure Case Description</w:t>
      </w:r>
      <w:bookmarkEnd w:id="9"/>
      <w:bookmarkEnd w:id="10"/>
      <w:bookmarkEnd w:id="11"/>
    </w:p>
    <w:p w14:paraId="6DFD1765" w14:textId="09AC6C20" w:rsidR="00A67322" w:rsidRDefault="00523F9B" w:rsidP="00DA6088">
      <w:pPr>
        <w:rPr>
          <w:i/>
          <w:iCs/>
        </w:rPr>
      </w:pPr>
      <w:r w:rsidRPr="00D42E62">
        <w:t>The measure</w:t>
      </w:r>
      <w:r w:rsidRPr="00297AAE">
        <w:t xml:space="preserve"> case is defined as </w:t>
      </w:r>
      <w:r w:rsidR="00826212" w:rsidRPr="00297AAE">
        <w:t xml:space="preserve">an </w:t>
      </w:r>
      <w:r w:rsidR="00D42E62" w:rsidRPr="00DC0D97">
        <w:rPr>
          <w:szCs w:val="22"/>
        </w:rPr>
        <w:t xml:space="preserve">energy efficient pool or spa heater with a thermal efficiency (TE) that meets the measure requirements below. </w:t>
      </w:r>
      <w:r w:rsidR="00DC0D97" w:rsidRPr="00DC0D97">
        <w:rPr>
          <w:szCs w:val="22"/>
        </w:rPr>
        <w:t xml:space="preserve"> Tier 1</w:t>
      </w:r>
      <w:r w:rsidR="00AD73A0">
        <w:rPr>
          <w:szCs w:val="22"/>
        </w:rPr>
        <w:t xml:space="preserve"> </w:t>
      </w:r>
      <w:r w:rsidR="00DC0D97" w:rsidRPr="00DC0D97">
        <w:rPr>
          <w:szCs w:val="22"/>
        </w:rPr>
        <w:t>denotes</w:t>
      </w:r>
      <w:r w:rsidR="00AD73A0">
        <w:rPr>
          <w:szCs w:val="22"/>
        </w:rPr>
        <w:t xml:space="preserve"> </w:t>
      </w:r>
      <w:r w:rsidR="00DC0D97" w:rsidRPr="00DC0D97">
        <w:rPr>
          <w:szCs w:val="22"/>
        </w:rPr>
        <w:t xml:space="preserve">high-efficiency natural gas non-condensing </w:t>
      </w:r>
      <w:r w:rsidR="00AD73A0">
        <w:rPr>
          <w:szCs w:val="22"/>
        </w:rPr>
        <w:t xml:space="preserve">heaters </w:t>
      </w:r>
      <w:r w:rsidR="00DC0D97" w:rsidRPr="00DC0D97">
        <w:rPr>
          <w:szCs w:val="22"/>
        </w:rPr>
        <w:t>and Tier2</w:t>
      </w:r>
      <w:r w:rsidR="00AD73A0">
        <w:rPr>
          <w:szCs w:val="22"/>
        </w:rPr>
        <w:t xml:space="preserve"> </w:t>
      </w:r>
      <w:r w:rsidR="00DC0D97" w:rsidRPr="00DC0D97">
        <w:rPr>
          <w:szCs w:val="22"/>
        </w:rPr>
        <w:t>denotes high-efficiency natural gas</w:t>
      </w:r>
      <w:r w:rsidR="00AD73A0">
        <w:rPr>
          <w:szCs w:val="22"/>
        </w:rPr>
        <w:t xml:space="preserve"> </w:t>
      </w:r>
      <w:r w:rsidR="00DC0D97" w:rsidRPr="00DC0D97">
        <w:rPr>
          <w:szCs w:val="22"/>
        </w:rPr>
        <w:t>condensing</w:t>
      </w:r>
      <w:r w:rsidR="00AD73A0">
        <w:rPr>
          <w:szCs w:val="22"/>
        </w:rPr>
        <w:t xml:space="preserve"> </w:t>
      </w:r>
      <w:r w:rsidR="00DC0D97" w:rsidRPr="00DC0D97">
        <w:rPr>
          <w:szCs w:val="22"/>
        </w:rPr>
        <w:t>boilers. Tier 2</w:t>
      </w:r>
      <w:r w:rsidR="00AD73A0">
        <w:rPr>
          <w:szCs w:val="22"/>
        </w:rPr>
        <w:t xml:space="preserve"> </w:t>
      </w:r>
      <w:r w:rsidR="00DC0D97" w:rsidRPr="00DC0D97">
        <w:rPr>
          <w:szCs w:val="22"/>
        </w:rPr>
        <w:t>models</w:t>
      </w:r>
      <w:r w:rsidR="00AD73A0">
        <w:rPr>
          <w:szCs w:val="22"/>
        </w:rPr>
        <w:t xml:space="preserve"> </w:t>
      </w:r>
      <w:r w:rsidR="00DC0D97" w:rsidRPr="00DC0D97">
        <w:rPr>
          <w:szCs w:val="22"/>
        </w:rPr>
        <w:t>may require additional</w:t>
      </w:r>
      <w:r w:rsidR="00AD73A0">
        <w:rPr>
          <w:szCs w:val="22"/>
        </w:rPr>
        <w:t xml:space="preserve"> </w:t>
      </w:r>
      <w:r w:rsidR="00DC0D97" w:rsidRPr="00DC0D97">
        <w:rPr>
          <w:szCs w:val="22"/>
        </w:rPr>
        <w:t>modifications to the existing system configuration as the flue</w:t>
      </w:r>
      <w:r w:rsidR="00AD73A0">
        <w:rPr>
          <w:szCs w:val="22"/>
        </w:rPr>
        <w:t xml:space="preserve"> </w:t>
      </w:r>
      <w:r w:rsidR="00DC0D97" w:rsidRPr="00DC0D97">
        <w:rPr>
          <w:szCs w:val="22"/>
        </w:rPr>
        <w:t>requirements are substantially different</w:t>
      </w:r>
      <w:r w:rsidR="00AD73A0">
        <w:rPr>
          <w:szCs w:val="22"/>
        </w:rPr>
        <w:t xml:space="preserve"> </w:t>
      </w:r>
      <w:r w:rsidR="00DC0D97" w:rsidRPr="00DC0D97">
        <w:rPr>
          <w:szCs w:val="22"/>
        </w:rPr>
        <w:t>than the non-condensing alternative.</w:t>
      </w:r>
    </w:p>
    <w:p w14:paraId="13AF8EE8" w14:textId="305F5CAD" w:rsidR="00D42E62" w:rsidRDefault="00D42E62" w:rsidP="00C01AA0">
      <w:pPr>
        <w:pStyle w:val="Caption"/>
      </w:pPr>
      <w:r>
        <w:t>Measure Offerings</w:t>
      </w:r>
    </w:p>
    <w:tbl>
      <w:tblPr>
        <w:tblW w:w="93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280"/>
        <w:gridCol w:w="5080"/>
      </w:tblGrid>
      <w:tr w:rsidR="00D42E62" w:rsidRPr="00D42E62" w14:paraId="053483C2" w14:textId="77777777" w:rsidTr="00E91072">
        <w:trPr>
          <w:trHeight w:val="290"/>
        </w:trPr>
        <w:tc>
          <w:tcPr>
            <w:tcW w:w="4280" w:type="dxa"/>
            <w:shd w:val="clear" w:color="auto" w:fill="F2F2F2" w:themeFill="background1" w:themeFillShade="F2"/>
            <w:vAlign w:val="bottom"/>
          </w:tcPr>
          <w:p w14:paraId="3EC0962E" w14:textId="37C10E77" w:rsidR="00D42E62" w:rsidRPr="00E91072" w:rsidRDefault="00D42E62" w:rsidP="00E91072">
            <w:pPr>
              <w:spacing w:before="0" w:after="0" w:line="240" w:lineRule="auto"/>
              <w:jc w:val="center"/>
              <w:rPr>
                <w:rFonts w:eastAsia="Times New Roman" w:cs="Calibri Light"/>
                <w:b/>
                <w:bCs/>
                <w:sz w:val="20"/>
                <w:szCs w:val="20"/>
              </w:rPr>
            </w:pPr>
            <w:r w:rsidRPr="00E91072">
              <w:rPr>
                <w:rFonts w:eastAsia="Times New Roman" w:cs="Calibri Light"/>
                <w:b/>
                <w:bCs/>
                <w:sz w:val="20"/>
                <w:szCs w:val="20"/>
              </w:rPr>
              <w:t>Statewide Measure Offering ID</w:t>
            </w:r>
          </w:p>
        </w:tc>
        <w:tc>
          <w:tcPr>
            <w:tcW w:w="5080" w:type="dxa"/>
            <w:shd w:val="clear" w:color="auto" w:fill="F2F2F2" w:themeFill="background1" w:themeFillShade="F2"/>
            <w:noWrap/>
            <w:vAlign w:val="bottom"/>
            <w:hideMark/>
          </w:tcPr>
          <w:p w14:paraId="5ED3FA41" w14:textId="175E571F" w:rsidR="00D42E62" w:rsidRPr="00E91072" w:rsidRDefault="00D42E62" w:rsidP="00E91072">
            <w:pPr>
              <w:spacing w:before="0" w:after="0" w:line="240" w:lineRule="auto"/>
              <w:jc w:val="center"/>
              <w:rPr>
                <w:rFonts w:eastAsia="Times New Roman" w:cs="Calibri Light"/>
                <w:b/>
                <w:bCs/>
                <w:sz w:val="20"/>
                <w:szCs w:val="20"/>
              </w:rPr>
            </w:pPr>
            <w:r w:rsidRPr="00E91072">
              <w:rPr>
                <w:rFonts w:eastAsia="Times New Roman" w:cs="Calibri Light"/>
                <w:b/>
                <w:bCs/>
                <w:sz w:val="20"/>
                <w:szCs w:val="20"/>
              </w:rPr>
              <w:t>Measure Offering Description</w:t>
            </w:r>
          </w:p>
        </w:tc>
      </w:tr>
      <w:tr w:rsidR="00D42E62" w:rsidRPr="00D42E62" w14:paraId="41ED2C93" w14:textId="77777777" w:rsidTr="00E91072">
        <w:trPr>
          <w:trHeight w:val="290"/>
        </w:trPr>
        <w:tc>
          <w:tcPr>
            <w:tcW w:w="4280" w:type="dxa"/>
            <w:vAlign w:val="bottom"/>
          </w:tcPr>
          <w:p w14:paraId="3A48437F" w14:textId="32D766BD" w:rsidR="00D42E62" w:rsidRPr="00E91072" w:rsidRDefault="00D42E62" w:rsidP="00D42E62">
            <w:pPr>
              <w:spacing w:before="0" w:after="0" w:line="240" w:lineRule="auto"/>
              <w:rPr>
                <w:rFonts w:eastAsia="Times New Roman" w:cs="Calibri Light"/>
                <w:sz w:val="20"/>
                <w:szCs w:val="20"/>
              </w:rPr>
            </w:pPr>
            <w:r w:rsidRPr="00E91072">
              <w:rPr>
                <w:rFonts w:cs="Calibri Light"/>
                <w:sz w:val="20"/>
                <w:szCs w:val="20"/>
              </w:rPr>
              <w:t>SWRE004A</w:t>
            </w:r>
          </w:p>
        </w:tc>
        <w:tc>
          <w:tcPr>
            <w:tcW w:w="5080" w:type="dxa"/>
            <w:shd w:val="clear" w:color="auto" w:fill="auto"/>
            <w:noWrap/>
            <w:vAlign w:val="center"/>
            <w:hideMark/>
          </w:tcPr>
          <w:p w14:paraId="4AAF4B6B" w14:textId="7D4E2758" w:rsidR="00D42E62" w:rsidRPr="00E91072" w:rsidRDefault="00D42E62" w:rsidP="00D42E62">
            <w:pPr>
              <w:spacing w:before="0" w:after="0" w:line="240" w:lineRule="auto"/>
              <w:rPr>
                <w:rFonts w:eastAsia="Times New Roman" w:cs="Calibri Light"/>
                <w:sz w:val="20"/>
                <w:szCs w:val="20"/>
              </w:rPr>
            </w:pPr>
            <w:r w:rsidRPr="00E91072">
              <w:rPr>
                <w:rFonts w:eastAsia="Times New Roman" w:cs="Calibri Light"/>
                <w:sz w:val="20"/>
                <w:szCs w:val="20"/>
              </w:rPr>
              <w:t>Pool and Spa Heaters in Residential Buildings - 84% TE</w:t>
            </w:r>
          </w:p>
        </w:tc>
      </w:tr>
      <w:tr w:rsidR="00D42E62" w:rsidRPr="00D42E62" w14:paraId="55935CEB" w14:textId="77777777" w:rsidTr="00E91072">
        <w:trPr>
          <w:trHeight w:val="290"/>
        </w:trPr>
        <w:tc>
          <w:tcPr>
            <w:tcW w:w="4280" w:type="dxa"/>
            <w:vAlign w:val="bottom"/>
          </w:tcPr>
          <w:p w14:paraId="46DFC8D7" w14:textId="0C8D25AC" w:rsidR="00D42E62" w:rsidRPr="00E91072" w:rsidRDefault="00D42E62" w:rsidP="00D42E62">
            <w:pPr>
              <w:spacing w:before="0" w:after="0" w:line="240" w:lineRule="auto"/>
              <w:rPr>
                <w:rFonts w:eastAsia="Times New Roman" w:cs="Calibri Light"/>
                <w:sz w:val="20"/>
                <w:szCs w:val="20"/>
              </w:rPr>
            </w:pPr>
            <w:r w:rsidRPr="00E91072">
              <w:rPr>
                <w:rFonts w:cs="Calibri Light"/>
                <w:sz w:val="20"/>
                <w:szCs w:val="20"/>
              </w:rPr>
              <w:t>SWRE004B</w:t>
            </w:r>
          </w:p>
        </w:tc>
        <w:tc>
          <w:tcPr>
            <w:tcW w:w="5080" w:type="dxa"/>
            <w:shd w:val="clear" w:color="auto" w:fill="auto"/>
            <w:noWrap/>
            <w:vAlign w:val="center"/>
            <w:hideMark/>
          </w:tcPr>
          <w:p w14:paraId="42D3E209" w14:textId="0152219A" w:rsidR="00D42E62" w:rsidRPr="00E91072" w:rsidRDefault="00D42E62" w:rsidP="00D42E62">
            <w:pPr>
              <w:spacing w:before="0" w:after="0" w:line="240" w:lineRule="auto"/>
              <w:rPr>
                <w:rFonts w:eastAsia="Times New Roman" w:cs="Calibri Light"/>
                <w:sz w:val="20"/>
                <w:szCs w:val="20"/>
              </w:rPr>
            </w:pPr>
            <w:r w:rsidRPr="00E91072">
              <w:rPr>
                <w:rFonts w:eastAsia="Times New Roman" w:cs="Calibri Light"/>
                <w:sz w:val="20"/>
                <w:szCs w:val="20"/>
              </w:rPr>
              <w:t>Pool and Spa Heaters in Residential Buildings - 90% TE</w:t>
            </w:r>
          </w:p>
        </w:tc>
      </w:tr>
    </w:tbl>
    <w:p w14:paraId="611D13CE" w14:textId="77777777" w:rsidR="00D42E62" w:rsidRDefault="00D42E62" w:rsidP="00E91072">
      <w:bookmarkStart w:id="12" w:name="_Toc486490849"/>
      <w:bookmarkStart w:id="13" w:name="_Toc486580920"/>
    </w:p>
    <w:p w14:paraId="54FD79D6" w14:textId="57047583" w:rsidR="00E70CBD" w:rsidRPr="00171BB8" w:rsidRDefault="00E70CBD" w:rsidP="004F3F32">
      <w:pPr>
        <w:pStyle w:val="eTRMHeading3"/>
      </w:pPr>
      <w:bookmarkStart w:id="14" w:name="_Toc25150672"/>
      <w:r w:rsidRPr="004B06E3">
        <w:t>Base Case Description</w:t>
      </w:r>
      <w:bookmarkEnd w:id="12"/>
      <w:bookmarkEnd w:id="13"/>
      <w:bookmarkEnd w:id="14"/>
      <w:r w:rsidRPr="00171BB8">
        <w:t xml:space="preserve"> </w:t>
      </w:r>
    </w:p>
    <w:p w14:paraId="6D67F546" w14:textId="31DE673B" w:rsidR="00A67322" w:rsidRDefault="00F8464D" w:rsidP="00DA6088">
      <w:r>
        <w:t xml:space="preserve">The base case is </w:t>
      </w:r>
      <w:r w:rsidRPr="0071221B">
        <w:t xml:space="preserve">defined as </w:t>
      </w:r>
      <w:r w:rsidR="0071221B" w:rsidRPr="0071221B">
        <w:t>residential gas-fired pool or spa water heater</w:t>
      </w:r>
      <w:r w:rsidR="0071221B">
        <w:t xml:space="preserve"> with a </w:t>
      </w:r>
      <w:r w:rsidR="0071221B" w:rsidRPr="0071221B">
        <w:t xml:space="preserve">minimum thermal efficiency </w:t>
      </w:r>
      <w:r w:rsidR="00700863">
        <w:t xml:space="preserve">(TE) </w:t>
      </w:r>
      <w:r w:rsidR="00D42E62">
        <w:t xml:space="preserve">stipulated by the </w:t>
      </w:r>
      <w:r w:rsidR="00D42E62" w:rsidRPr="0071221B">
        <w:t>California Appliance Efficiency Regulations (Title 20)</w:t>
      </w:r>
      <w:r w:rsidR="0071221B">
        <w:t>.</w:t>
      </w:r>
      <w:r w:rsidR="00D42E62">
        <w:t xml:space="preserve"> See Code Requirements.</w:t>
      </w:r>
    </w:p>
    <w:p w14:paraId="0F17DE9F" w14:textId="77777777" w:rsidR="00700863" w:rsidRDefault="00700863" w:rsidP="00700863">
      <w:bookmarkStart w:id="15" w:name="_Toc486490850"/>
      <w:bookmarkStart w:id="16" w:name="_Toc486580921"/>
    </w:p>
    <w:p w14:paraId="7D9DA4A6" w14:textId="7DA3C70B" w:rsidR="007D230B" w:rsidRPr="00171BB8" w:rsidRDefault="007D230B" w:rsidP="004F3F32">
      <w:pPr>
        <w:pStyle w:val="eTRMHeading3"/>
      </w:pPr>
      <w:bookmarkStart w:id="17" w:name="_Toc25150673"/>
      <w:r w:rsidRPr="004B06E3">
        <w:t>Code Requirements</w:t>
      </w:r>
      <w:bookmarkEnd w:id="15"/>
      <w:bookmarkEnd w:id="16"/>
      <w:bookmarkEnd w:id="17"/>
    </w:p>
    <w:p w14:paraId="6E5CFD52" w14:textId="7BA777BD" w:rsidR="00D60987" w:rsidRDefault="0071221B" w:rsidP="00D0761C">
      <w:pPr>
        <w:rPr>
          <w:rFonts w:cs="Arial"/>
          <w:b/>
          <w:i/>
        </w:rPr>
      </w:pPr>
      <w:r>
        <w:t xml:space="preserve">This measure is not governed by federal regulations. The </w:t>
      </w:r>
      <w:r w:rsidRPr="0071221B">
        <w:t>California Appliance Efficiency Regulations (Title 20)</w:t>
      </w:r>
      <w:r>
        <w:t xml:space="preserve"> requires </w:t>
      </w:r>
      <w:r w:rsidRPr="0071221B">
        <w:t xml:space="preserve">a minimum thermal efficiency </w:t>
      </w:r>
      <w:r w:rsidR="00700863">
        <w:t xml:space="preserve">(TE) </w:t>
      </w:r>
      <w:r w:rsidRPr="0071221B">
        <w:t>of 82%</w:t>
      </w:r>
      <w:r>
        <w:t xml:space="preserve"> for all residential pool</w:t>
      </w:r>
      <w:r w:rsidR="00700863">
        <w:t xml:space="preserve"> and </w:t>
      </w:r>
      <w:r>
        <w:t>spa water heaters.</w:t>
      </w:r>
      <w:r w:rsidR="00564AFB">
        <w:rPr>
          <w:rStyle w:val="FootnoteReference"/>
        </w:rPr>
        <w:footnoteReference w:id="3"/>
      </w:r>
    </w:p>
    <w:p w14:paraId="7E96141F" w14:textId="7A774D87" w:rsidR="00FD2C54" w:rsidRDefault="00FD2C54" w:rsidP="00562B44">
      <w:pPr>
        <w:pStyle w:val="Caption"/>
      </w:pPr>
      <w:r>
        <w:lastRenderedPageBreak/>
        <w:t xml:space="preserve">Applicable State and </w:t>
      </w:r>
      <w:r w:rsidRPr="00700863">
        <w:t>Federal</w:t>
      </w:r>
      <w:r>
        <w:t xml:space="preserve"> </w:t>
      </w:r>
      <w:r w:rsidRPr="00CD6698">
        <w:t>Code</w:t>
      </w:r>
      <w:r>
        <w:t>s and Standards</w:t>
      </w:r>
      <w:r w:rsidRPr="002C39E3">
        <w:t xml:space="preserve">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5"/>
        <w:gridCol w:w="2340"/>
        <w:gridCol w:w="2430"/>
      </w:tblGrid>
      <w:tr w:rsidR="00FC77BB" w:rsidRPr="00154391" w14:paraId="4623D54B" w14:textId="689B6080" w:rsidTr="00FC77BB">
        <w:trPr>
          <w:cantSplit/>
          <w:trHeight w:val="20"/>
        </w:trPr>
        <w:tc>
          <w:tcPr>
            <w:tcW w:w="4765" w:type="dxa"/>
            <w:shd w:val="clear" w:color="auto" w:fill="F2F2F2" w:themeFill="background1" w:themeFillShade="F2"/>
            <w:vAlign w:val="bottom"/>
          </w:tcPr>
          <w:p w14:paraId="5E8EE0C5" w14:textId="77777777" w:rsidR="00FC77BB" w:rsidRPr="00154391" w:rsidRDefault="00FC77BB" w:rsidP="00190874">
            <w:pPr>
              <w:keepNext/>
              <w:keepLines/>
              <w:spacing w:before="0" w:after="0" w:line="240" w:lineRule="auto"/>
              <w:rPr>
                <w:b/>
                <w:sz w:val="20"/>
                <w:szCs w:val="20"/>
              </w:rPr>
            </w:pPr>
            <w:r w:rsidRPr="0079498E">
              <w:rPr>
                <w:b/>
                <w:sz w:val="20"/>
              </w:rPr>
              <w:t>Code</w:t>
            </w:r>
          </w:p>
        </w:tc>
        <w:tc>
          <w:tcPr>
            <w:tcW w:w="2340" w:type="dxa"/>
            <w:shd w:val="clear" w:color="auto" w:fill="F2F2F2" w:themeFill="background1" w:themeFillShade="F2"/>
            <w:vAlign w:val="bottom"/>
          </w:tcPr>
          <w:p w14:paraId="2A51DAFB" w14:textId="77777777" w:rsidR="00FC77BB" w:rsidRPr="00154391" w:rsidRDefault="00FC77BB" w:rsidP="00190874">
            <w:pPr>
              <w:keepNext/>
              <w:keepLines/>
              <w:spacing w:before="0" w:after="0" w:line="240" w:lineRule="auto"/>
              <w:jc w:val="center"/>
              <w:rPr>
                <w:b/>
                <w:sz w:val="20"/>
                <w:szCs w:val="20"/>
              </w:rPr>
            </w:pPr>
            <w:r w:rsidRPr="0079498E">
              <w:rPr>
                <w:b/>
                <w:sz w:val="20"/>
              </w:rPr>
              <w:t>Applicable Code Reference</w:t>
            </w:r>
          </w:p>
        </w:tc>
        <w:tc>
          <w:tcPr>
            <w:tcW w:w="2430" w:type="dxa"/>
            <w:shd w:val="clear" w:color="auto" w:fill="F2F2F2" w:themeFill="background1" w:themeFillShade="F2"/>
            <w:vAlign w:val="bottom"/>
          </w:tcPr>
          <w:p w14:paraId="214A9ADD" w14:textId="77777777" w:rsidR="00FC77BB" w:rsidRPr="00154391" w:rsidRDefault="00FC77BB" w:rsidP="00190874">
            <w:pPr>
              <w:keepNext/>
              <w:keepLines/>
              <w:spacing w:before="0" w:after="0" w:line="240" w:lineRule="auto"/>
              <w:jc w:val="center"/>
              <w:rPr>
                <w:b/>
                <w:sz w:val="20"/>
                <w:szCs w:val="20"/>
              </w:rPr>
            </w:pPr>
            <w:r w:rsidRPr="0079498E">
              <w:rPr>
                <w:b/>
                <w:sz w:val="20"/>
              </w:rPr>
              <w:t>Effective Date</w:t>
            </w:r>
          </w:p>
        </w:tc>
      </w:tr>
      <w:tr w:rsidR="00FC77BB" w:rsidRPr="00FB030E" w14:paraId="782F7264" w14:textId="345CFA23" w:rsidTr="00FC77BB">
        <w:trPr>
          <w:cantSplit/>
          <w:trHeight w:val="20"/>
        </w:trPr>
        <w:tc>
          <w:tcPr>
            <w:tcW w:w="4765" w:type="dxa"/>
            <w:shd w:val="clear" w:color="auto" w:fill="auto"/>
          </w:tcPr>
          <w:p w14:paraId="67BA833F" w14:textId="59FACF76" w:rsidR="00FC77BB" w:rsidRPr="00BD6838" w:rsidRDefault="00FC77BB" w:rsidP="00190874">
            <w:pPr>
              <w:keepNext/>
              <w:keepLines/>
              <w:spacing w:before="0" w:after="0" w:line="240" w:lineRule="auto"/>
              <w:rPr>
                <w:sz w:val="20"/>
                <w:szCs w:val="20"/>
              </w:rPr>
            </w:pPr>
            <w:r w:rsidRPr="00BD6838">
              <w:rPr>
                <w:sz w:val="20"/>
              </w:rPr>
              <w:t xml:space="preserve">CA Appliance Efficiency Regulations – Title 20 </w:t>
            </w:r>
            <w:r w:rsidR="00C70148">
              <w:rPr>
                <w:sz w:val="20"/>
              </w:rPr>
              <w:t>(2016)</w:t>
            </w:r>
          </w:p>
        </w:tc>
        <w:tc>
          <w:tcPr>
            <w:tcW w:w="2340" w:type="dxa"/>
            <w:shd w:val="clear" w:color="auto" w:fill="auto"/>
          </w:tcPr>
          <w:p w14:paraId="794A0264" w14:textId="17F68731" w:rsidR="00FC77BB" w:rsidRPr="00FB030E" w:rsidRDefault="0071221B" w:rsidP="0071221B">
            <w:pPr>
              <w:keepNext/>
              <w:keepLines/>
              <w:spacing w:before="0" w:after="0" w:line="240" w:lineRule="auto"/>
              <w:jc w:val="center"/>
              <w:rPr>
                <w:sz w:val="20"/>
                <w:szCs w:val="20"/>
              </w:rPr>
            </w:pPr>
            <w:r>
              <w:rPr>
                <w:sz w:val="20"/>
                <w:szCs w:val="20"/>
              </w:rPr>
              <w:t>1605.1</w:t>
            </w:r>
            <w:r w:rsidR="00C70148">
              <w:rPr>
                <w:sz w:val="20"/>
                <w:szCs w:val="20"/>
              </w:rPr>
              <w:t>(</w:t>
            </w:r>
            <w:r>
              <w:rPr>
                <w:sz w:val="20"/>
                <w:szCs w:val="20"/>
              </w:rPr>
              <w:t>g</w:t>
            </w:r>
            <w:r w:rsidR="00C70148">
              <w:rPr>
                <w:sz w:val="20"/>
                <w:szCs w:val="20"/>
              </w:rPr>
              <w:t>)</w:t>
            </w:r>
          </w:p>
        </w:tc>
        <w:tc>
          <w:tcPr>
            <w:tcW w:w="2430" w:type="dxa"/>
            <w:shd w:val="clear" w:color="auto" w:fill="auto"/>
          </w:tcPr>
          <w:p w14:paraId="274AB5DC" w14:textId="7024F1A9" w:rsidR="00FC77BB" w:rsidRPr="00FB030E" w:rsidRDefault="0071221B" w:rsidP="0071221B">
            <w:pPr>
              <w:keepNext/>
              <w:keepLines/>
              <w:spacing w:before="0" w:after="0" w:line="240" w:lineRule="auto"/>
              <w:jc w:val="center"/>
              <w:rPr>
                <w:sz w:val="20"/>
                <w:szCs w:val="20"/>
              </w:rPr>
            </w:pPr>
            <w:r>
              <w:rPr>
                <w:sz w:val="20"/>
                <w:szCs w:val="20"/>
              </w:rPr>
              <w:t>April 16, 2013</w:t>
            </w:r>
          </w:p>
        </w:tc>
      </w:tr>
      <w:tr w:rsidR="00FC77BB" w:rsidRPr="00FB030E" w14:paraId="1238F946" w14:textId="64CC1E4E" w:rsidTr="00FC77BB">
        <w:trPr>
          <w:cantSplit/>
          <w:trHeight w:val="20"/>
        </w:trPr>
        <w:tc>
          <w:tcPr>
            <w:tcW w:w="4765" w:type="dxa"/>
            <w:shd w:val="clear" w:color="auto" w:fill="auto"/>
          </w:tcPr>
          <w:p w14:paraId="4F444C61" w14:textId="44AB23B9" w:rsidR="00FC77BB" w:rsidRPr="00BD6838" w:rsidRDefault="00FC77BB" w:rsidP="00190874">
            <w:pPr>
              <w:keepNext/>
              <w:keepLines/>
              <w:spacing w:before="0" w:after="0" w:line="240" w:lineRule="auto"/>
              <w:rPr>
                <w:sz w:val="20"/>
                <w:szCs w:val="20"/>
              </w:rPr>
            </w:pPr>
            <w:r w:rsidRPr="00BD6838">
              <w:rPr>
                <w:sz w:val="20"/>
              </w:rPr>
              <w:t xml:space="preserve">CA Building Energy Efficiency Standards – Title 24 </w:t>
            </w:r>
          </w:p>
        </w:tc>
        <w:tc>
          <w:tcPr>
            <w:tcW w:w="2340" w:type="dxa"/>
            <w:shd w:val="clear" w:color="auto" w:fill="auto"/>
          </w:tcPr>
          <w:p w14:paraId="0A330E5E" w14:textId="73B9255B" w:rsidR="00FC77BB" w:rsidRPr="00FB030E" w:rsidRDefault="0071221B" w:rsidP="0071221B">
            <w:pPr>
              <w:keepNext/>
              <w:keepLines/>
              <w:spacing w:before="0" w:after="0" w:line="240" w:lineRule="auto"/>
              <w:jc w:val="center"/>
              <w:rPr>
                <w:sz w:val="20"/>
                <w:szCs w:val="20"/>
              </w:rPr>
            </w:pPr>
            <w:r>
              <w:rPr>
                <w:sz w:val="20"/>
                <w:szCs w:val="20"/>
              </w:rPr>
              <w:t>N/A</w:t>
            </w:r>
          </w:p>
        </w:tc>
        <w:tc>
          <w:tcPr>
            <w:tcW w:w="2430" w:type="dxa"/>
            <w:shd w:val="clear" w:color="auto" w:fill="auto"/>
          </w:tcPr>
          <w:p w14:paraId="63BAD98E" w14:textId="7B6520EB" w:rsidR="00FC77BB" w:rsidRPr="00FB030E" w:rsidRDefault="0071221B" w:rsidP="0071221B">
            <w:pPr>
              <w:keepNext/>
              <w:keepLines/>
              <w:spacing w:before="0" w:after="0" w:line="240" w:lineRule="auto"/>
              <w:jc w:val="center"/>
              <w:rPr>
                <w:sz w:val="20"/>
                <w:szCs w:val="20"/>
              </w:rPr>
            </w:pPr>
            <w:r>
              <w:rPr>
                <w:sz w:val="20"/>
                <w:szCs w:val="20"/>
              </w:rPr>
              <w:t>N/A</w:t>
            </w:r>
          </w:p>
        </w:tc>
      </w:tr>
      <w:tr w:rsidR="00FC77BB" w:rsidRPr="00FB030E" w14:paraId="23FB50B6" w14:textId="5078B94B" w:rsidTr="00FC77BB">
        <w:trPr>
          <w:cantSplit/>
          <w:trHeight w:val="20"/>
        </w:trPr>
        <w:tc>
          <w:tcPr>
            <w:tcW w:w="4765" w:type="dxa"/>
            <w:shd w:val="clear" w:color="auto" w:fill="auto"/>
          </w:tcPr>
          <w:p w14:paraId="2EBFC05B" w14:textId="77777777" w:rsidR="00FC77BB" w:rsidRPr="00BD6838" w:rsidRDefault="00FC77BB" w:rsidP="00190874">
            <w:pPr>
              <w:keepNext/>
              <w:keepLines/>
              <w:spacing w:before="0" w:after="0" w:line="240" w:lineRule="auto"/>
              <w:rPr>
                <w:sz w:val="20"/>
                <w:szCs w:val="20"/>
              </w:rPr>
            </w:pPr>
            <w:r w:rsidRPr="00BD6838">
              <w:rPr>
                <w:sz w:val="20"/>
              </w:rPr>
              <w:t>Federal Standards</w:t>
            </w:r>
          </w:p>
        </w:tc>
        <w:tc>
          <w:tcPr>
            <w:tcW w:w="2340" w:type="dxa"/>
            <w:shd w:val="clear" w:color="auto" w:fill="auto"/>
          </w:tcPr>
          <w:p w14:paraId="0D43394E" w14:textId="0F752D7B" w:rsidR="00FC77BB" w:rsidRPr="00FB030E" w:rsidRDefault="0071221B" w:rsidP="0071221B">
            <w:pPr>
              <w:keepNext/>
              <w:keepLines/>
              <w:spacing w:before="0" w:after="0" w:line="240" w:lineRule="auto"/>
              <w:jc w:val="center"/>
              <w:rPr>
                <w:sz w:val="20"/>
                <w:szCs w:val="20"/>
              </w:rPr>
            </w:pPr>
            <w:r>
              <w:rPr>
                <w:sz w:val="20"/>
                <w:szCs w:val="20"/>
              </w:rPr>
              <w:t>N/A</w:t>
            </w:r>
          </w:p>
        </w:tc>
        <w:tc>
          <w:tcPr>
            <w:tcW w:w="2430" w:type="dxa"/>
            <w:shd w:val="clear" w:color="auto" w:fill="auto"/>
          </w:tcPr>
          <w:p w14:paraId="66FA1B6F" w14:textId="349AAC46" w:rsidR="00FC77BB" w:rsidRPr="00FB030E" w:rsidRDefault="0071221B" w:rsidP="0071221B">
            <w:pPr>
              <w:keepNext/>
              <w:keepLines/>
              <w:spacing w:before="0" w:after="0" w:line="240" w:lineRule="auto"/>
              <w:jc w:val="center"/>
              <w:rPr>
                <w:sz w:val="20"/>
                <w:szCs w:val="20"/>
              </w:rPr>
            </w:pPr>
            <w:r>
              <w:rPr>
                <w:sz w:val="20"/>
                <w:szCs w:val="20"/>
              </w:rPr>
              <w:t>N/A</w:t>
            </w:r>
          </w:p>
        </w:tc>
      </w:tr>
    </w:tbl>
    <w:p w14:paraId="28A93655" w14:textId="77777777" w:rsidR="00FD2C54" w:rsidRDefault="00FD2C54" w:rsidP="0011498C"/>
    <w:p w14:paraId="1EE16D20" w14:textId="77777777" w:rsidR="007D230B" w:rsidRPr="00171BB8" w:rsidRDefault="007D230B" w:rsidP="004F3F32">
      <w:pPr>
        <w:pStyle w:val="eTRMHeading3"/>
      </w:pPr>
      <w:bookmarkStart w:id="18" w:name="_Toc486490851"/>
      <w:bookmarkStart w:id="19" w:name="_Toc486580922"/>
      <w:bookmarkStart w:id="20" w:name="_Toc25150674"/>
      <w:r w:rsidRPr="00A83458">
        <w:t>Normalizing</w:t>
      </w:r>
      <w:r w:rsidRPr="00171BB8">
        <w:t xml:space="preserve"> Unit</w:t>
      </w:r>
      <w:bookmarkEnd w:id="18"/>
      <w:bookmarkEnd w:id="19"/>
      <w:bookmarkEnd w:id="20"/>
    </w:p>
    <w:p w14:paraId="0115BB45" w14:textId="331F64BE" w:rsidR="009C31A4" w:rsidRDefault="006770B8" w:rsidP="00486585">
      <w:r>
        <w:t>Each.</w:t>
      </w:r>
    </w:p>
    <w:p w14:paraId="4610F087" w14:textId="77777777" w:rsidR="00AA2841" w:rsidRPr="007D230B" w:rsidRDefault="00AA2841" w:rsidP="00486585"/>
    <w:p w14:paraId="2F4904E6" w14:textId="77777777" w:rsidR="007D230B" w:rsidRPr="004B06E3" w:rsidRDefault="007D230B" w:rsidP="004F3F32">
      <w:pPr>
        <w:pStyle w:val="eTRMHeading3"/>
      </w:pPr>
      <w:bookmarkStart w:id="21" w:name="_Toc486490852"/>
      <w:bookmarkStart w:id="22" w:name="_Toc486580923"/>
      <w:bookmarkStart w:id="23" w:name="_Toc25150675"/>
      <w:bookmarkStart w:id="24" w:name="_Hlk515365299"/>
      <w:bookmarkStart w:id="25" w:name="_Hlk515878271"/>
      <w:r w:rsidRPr="004B06E3">
        <w:t>Program Requirements</w:t>
      </w:r>
      <w:bookmarkEnd w:id="21"/>
      <w:bookmarkEnd w:id="22"/>
      <w:bookmarkEnd w:id="23"/>
      <w:r w:rsidRPr="004B06E3">
        <w:t xml:space="preserve"> </w:t>
      </w:r>
    </w:p>
    <w:p w14:paraId="76F286D8" w14:textId="77777777" w:rsidR="00AA2841" w:rsidRDefault="00AA2841" w:rsidP="00AA2841">
      <w:pPr>
        <w:pStyle w:val="eTRMHeading5"/>
        <w:keepNext/>
        <w:keepLines/>
      </w:pPr>
      <w:bookmarkStart w:id="26" w:name="_Hlk516047641"/>
      <w:bookmarkEnd w:id="24"/>
      <w:r>
        <w:t>Measure Implementation Eligibility</w:t>
      </w:r>
    </w:p>
    <w:p w14:paraId="512C0D1F" w14:textId="4B3823CD" w:rsidR="00AA2841" w:rsidRDefault="00AA2841" w:rsidP="00C01AA0">
      <w:bookmarkStart w:id="27" w:name="_Hlk527543844"/>
      <w:bookmarkStart w:id="28"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7"/>
    </w:p>
    <w:bookmarkEnd w:id="28"/>
    <w:p w14:paraId="22003375" w14:textId="43C2535A" w:rsidR="00AA2841" w:rsidRPr="00C01AA0" w:rsidRDefault="00AA2841" w:rsidP="00C01AA0">
      <w:pPr>
        <w:rPr>
          <w:i/>
          <w:iCs/>
        </w:rPr>
      </w:pPr>
      <w:r w:rsidRPr="00C01AA0">
        <w:rPr>
          <w:i/>
          <w:iCs/>
        </w:rPr>
        <w:t>Note</w:t>
      </w:r>
      <w:r w:rsidR="00700863">
        <w:rPr>
          <w:i/>
          <w:iCs/>
        </w:rPr>
        <w:t xml:space="preserve"> that</w:t>
      </w:r>
      <w:r w:rsidRPr="00C01AA0">
        <w:rPr>
          <w:i/>
          <w:iCs/>
        </w:rPr>
        <w:t xml:space="preserve"> some of the implementation combinations below may not be allowed for some measure offerings by all program administrators.</w:t>
      </w:r>
    </w:p>
    <w:p w14:paraId="4C20D576" w14:textId="51A07348" w:rsidR="001B426F" w:rsidRDefault="001B426F" w:rsidP="00562B44">
      <w:pPr>
        <w:pStyle w:val="Caption"/>
      </w:pPr>
      <w:r>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1B426F" w:rsidRPr="00A47168" w14:paraId="40946250" w14:textId="77777777" w:rsidTr="004B7CAA">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p w14:paraId="22A9E909" w14:textId="77777777" w:rsidR="001B426F" w:rsidRPr="00A47168" w:rsidRDefault="001B426F" w:rsidP="001B426F">
            <w:pPr>
              <w:keepNext/>
              <w:spacing w:before="0" w:after="0"/>
              <w:rPr>
                <w:b/>
                <w:bCs/>
                <w:sz w:val="20"/>
              </w:rPr>
            </w:pPr>
            <w:r w:rsidRPr="00A47168">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6B5DB796" w14:textId="77777777" w:rsidR="001B426F" w:rsidRPr="00A47168" w:rsidRDefault="001B426F" w:rsidP="001B426F">
            <w:pPr>
              <w:keepNext/>
              <w:spacing w:before="0" w:after="0"/>
              <w:rPr>
                <w:b/>
                <w:bCs/>
                <w:sz w:val="20"/>
              </w:rPr>
            </w:pPr>
            <w:r w:rsidRPr="00A47168">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558F3FA" w14:textId="77777777" w:rsidR="001B426F" w:rsidRPr="00A47168" w:rsidRDefault="001B426F" w:rsidP="001B426F">
            <w:pPr>
              <w:keepNext/>
              <w:spacing w:before="0" w:after="0"/>
              <w:rPr>
                <w:b/>
                <w:bCs/>
                <w:sz w:val="20"/>
              </w:rPr>
            </w:pPr>
            <w:r w:rsidRPr="00A47168">
              <w:rPr>
                <w:b/>
                <w:bCs/>
                <w:sz w:val="20"/>
              </w:rPr>
              <w:t>Sector</w:t>
            </w:r>
          </w:p>
        </w:tc>
      </w:tr>
      <w:tr w:rsidR="001B426F" w:rsidRPr="00A47168" w14:paraId="54F21FF2" w14:textId="77777777" w:rsidTr="004B7CAA">
        <w:trPr>
          <w:trHeight w:val="290"/>
        </w:trPr>
        <w:tc>
          <w:tcPr>
            <w:tcW w:w="3024" w:type="dxa"/>
            <w:noWrap/>
            <w:tcMar>
              <w:top w:w="0" w:type="dxa"/>
              <w:left w:w="108" w:type="dxa"/>
              <w:bottom w:w="0" w:type="dxa"/>
              <w:right w:w="108" w:type="dxa"/>
            </w:tcMar>
            <w:vAlign w:val="bottom"/>
          </w:tcPr>
          <w:p w14:paraId="178C5C26" w14:textId="0756CC6B" w:rsidR="001B426F" w:rsidRPr="00A47168" w:rsidRDefault="004C36F8" w:rsidP="001B426F">
            <w:pPr>
              <w:keepNext/>
              <w:spacing w:before="0" w:after="0"/>
              <w:rPr>
                <w:color w:val="000000"/>
                <w:sz w:val="20"/>
              </w:rPr>
            </w:pPr>
            <w:r>
              <w:rPr>
                <w:color w:val="000000"/>
                <w:sz w:val="20"/>
              </w:rPr>
              <w:t>Normal Replacement (NR)</w:t>
            </w:r>
          </w:p>
        </w:tc>
        <w:tc>
          <w:tcPr>
            <w:tcW w:w="3024" w:type="dxa"/>
            <w:noWrap/>
            <w:tcMar>
              <w:top w:w="0" w:type="dxa"/>
              <w:left w:w="108" w:type="dxa"/>
              <w:bottom w:w="0" w:type="dxa"/>
              <w:right w:w="108" w:type="dxa"/>
            </w:tcMar>
            <w:vAlign w:val="bottom"/>
          </w:tcPr>
          <w:p w14:paraId="7EB7E369" w14:textId="2A755305" w:rsidR="001B426F" w:rsidRPr="00D53A79" w:rsidRDefault="004C36F8" w:rsidP="001B426F">
            <w:pPr>
              <w:keepNext/>
              <w:spacing w:before="0" w:after="0"/>
              <w:rPr>
                <w:color w:val="000000"/>
                <w:sz w:val="20"/>
              </w:rPr>
            </w:pPr>
            <w:proofErr w:type="spellStart"/>
            <w:r w:rsidRPr="00D53A79">
              <w:rPr>
                <w:color w:val="000000"/>
                <w:sz w:val="20"/>
              </w:rPr>
              <w:t>DnDeemed</w:t>
            </w:r>
            <w:proofErr w:type="spellEnd"/>
            <w:r w:rsidR="002308CA" w:rsidRPr="00D53A79">
              <w:rPr>
                <w:color w:val="000000"/>
                <w:sz w:val="20"/>
              </w:rPr>
              <w:t xml:space="preserve"> </w:t>
            </w:r>
          </w:p>
        </w:tc>
        <w:tc>
          <w:tcPr>
            <w:tcW w:w="3024" w:type="dxa"/>
            <w:noWrap/>
            <w:tcMar>
              <w:top w:w="0" w:type="dxa"/>
              <w:left w:w="108" w:type="dxa"/>
              <w:bottom w:w="0" w:type="dxa"/>
              <w:right w:w="108" w:type="dxa"/>
            </w:tcMar>
            <w:vAlign w:val="bottom"/>
          </w:tcPr>
          <w:p w14:paraId="6F9C2987" w14:textId="437B52A1" w:rsidR="001B426F" w:rsidRPr="00A47168" w:rsidRDefault="004C36F8" w:rsidP="001B426F">
            <w:pPr>
              <w:keepNext/>
              <w:spacing w:before="0" w:after="0"/>
              <w:rPr>
                <w:color w:val="000000"/>
                <w:sz w:val="20"/>
              </w:rPr>
            </w:pPr>
            <w:r>
              <w:rPr>
                <w:color w:val="000000"/>
                <w:sz w:val="20"/>
              </w:rPr>
              <w:t>Residential</w:t>
            </w:r>
          </w:p>
        </w:tc>
      </w:tr>
      <w:tr w:rsidR="00D0761C" w:rsidRPr="00A47168" w14:paraId="153F91F9" w14:textId="77777777" w:rsidTr="004B7CAA">
        <w:trPr>
          <w:trHeight w:val="290"/>
        </w:trPr>
        <w:tc>
          <w:tcPr>
            <w:tcW w:w="3024" w:type="dxa"/>
            <w:noWrap/>
            <w:tcMar>
              <w:top w:w="0" w:type="dxa"/>
              <w:left w:w="108" w:type="dxa"/>
              <w:bottom w:w="0" w:type="dxa"/>
              <w:right w:w="108" w:type="dxa"/>
            </w:tcMar>
            <w:vAlign w:val="bottom"/>
          </w:tcPr>
          <w:p w14:paraId="3E15F312" w14:textId="3202B13E" w:rsidR="00D0761C" w:rsidRDefault="004C36F8">
            <w:pPr>
              <w:keepNext/>
              <w:spacing w:before="0" w:after="0"/>
              <w:rPr>
                <w:color w:val="000000"/>
                <w:sz w:val="20"/>
              </w:rPr>
            </w:pPr>
            <w:r>
              <w:rPr>
                <w:color w:val="000000"/>
                <w:sz w:val="20"/>
              </w:rPr>
              <w:t>New Construction (NC)</w:t>
            </w:r>
          </w:p>
        </w:tc>
        <w:tc>
          <w:tcPr>
            <w:tcW w:w="3024" w:type="dxa"/>
            <w:noWrap/>
            <w:tcMar>
              <w:top w:w="0" w:type="dxa"/>
              <w:left w:w="108" w:type="dxa"/>
              <w:bottom w:w="0" w:type="dxa"/>
              <w:right w:w="108" w:type="dxa"/>
            </w:tcMar>
            <w:vAlign w:val="bottom"/>
          </w:tcPr>
          <w:p w14:paraId="6B1AD6E6" w14:textId="56778D52" w:rsidR="00D0761C" w:rsidRPr="00D53A79" w:rsidRDefault="004C36F8">
            <w:pPr>
              <w:keepNext/>
              <w:spacing w:before="0" w:after="0"/>
              <w:rPr>
                <w:color w:val="000000"/>
                <w:sz w:val="20"/>
              </w:rPr>
            </w:pPr>
            <w:proofErr w:type="spellStart"/>
            <w:r w:rsidRPr="00D53A79">
              <w:rPr>
                <w:color w:val="000000"/>
                <w:sz w:val="20"/>
              </w:rPr>
              <w:t>DnDeemed</w:t>
            </w:r>
            <w:proofErr w:type="spellEnd"/>
          </w:p>
        </w:tc>
        <w:tc>
          <w:tcPr>
            <w:tcW w:w="3024" w:type="dxa"/>
            <w:noWrap/>
            <w:tcMar>
              <w:top w:w="0" w:type="dxa"/>
              <w:left w:w="108" w:type="dxa"/>
              <w:bottom w:w="0" w:type="dxa"/>
              <w:right w:w="108" w:type="dxa"/>
            </w:tcMar>
            <w:vAlign w:val="bottom"/>
          </w:tcPr>
          <w:p w14:paraId="7FB31BD4" w14:textId="48A71191" w:rsidR="00D0761C" w:rsidRDefault="004C36F8">
            <w:pPr>
              <w:keepNext/>
              <w:spacing w:before="0" w:after="0"/>
              <w:rPr>
                <w:color w:val="000000"/>
                <w:sz w:val="20"/>
              </w:rPr>
            </w:pPr>
            <w:r>
              <w:rPr>
                <w:color w:val="000000"/>
                <w:sz w:val="20"/>
              </w:rPr>
              <w:t>Residential</w:t>
            </w:r>
          </w:p>
        </w:tc>
      </w:tr>
    </w:tbl>
    <w:p w14:paraId="73035A5C" w14:textId="019EB75B" w:rsidR="001B426F" w:rsidRDefault="001B426F" w:rsidP="00C172E7">
      <w:pPr>
        <w:spacing w:before="0" w:after="0"/>
      </w:pPr>
    </w:p>
    <w:p w14:paraId="40ECD13C" w14:textId="7F96FB4E" w:rsidR="00700863" w:rsidRDefault="00700863" w:rsidP="00C172E7">
      <w:pPr>
        <w:spacing w:before="0" w:after="0"/>
      </w:pPr>
      <w:r w:rsidRPr="002308CA">
        <w:t>Proper documentation</w:t>
      </w:r>
      <w:r w:rsidR="001A753E">
        <w:t xml:space="preserve">, </w:t>
      </w:r>
      <w:r w:rsidR="001A753E" w:rsidRPr="00E91072">
        <w:rPr>
          <w:highlight w:val="yellow"/>
        </w:rPr>
        <w:t>suc</w:t>
      </w:r>
      <w:r w:rsidR="00BC57F4">
        <w:t>h as equipment specification from CEC database</w:t>
      </w:r>
      <w:r w:rsidR="001A753E">
        <w:t>,</w:t>
      </w:r>
      <w:r w:rsidRPr="002308CA">
        <w:t xml:space="preserve"> </w:t>
      </w:r>
      <w:r w:rsidR="001A753E">
        <w:t>that verifies</w:t>
      </w:r>
      <w:r w:rsidRPr="002308CA">
        <w:t xml:space="preserve"> the thermal efficiency </w:t>
      </w:r>
      <w:r>
        <w:t xml:space="preserve">(TE) of the replacement heater </w:t>
      </w:r>
      <w:r w:rsidRPr="002308CA">
        <w:t xml:space="preserve">must be </w:t>
      </w:r>
      <w:r w:rsidR="001F6A4B">
        <w:t>submitted</w:t>
      </w:r>
      <w:r w:rsidRPr="002308CA">
        <w:t xml:space="preserve"> with the</w:t>
      </w:r>
      <w:r w:rsidR="001F6A4B">
        <w:t xml:space="preserve"> incentive</w:t>
      </w:r>
      <w:r w:rsidRPr="002308CA">
        <w:t xml:space="preserve"> application.</w:t>
      </w:r>
    </w:p>
    <w:p w14:paraId="3F4F7B1E" w14:textId="77777777" w:rsidR="00700863" w:rsidRDefault="00700863" w:rsidP="00C172E7">
      <w:pPr>
        <w:spacing w:before="0" w:after="0"/>
      </w:pPr>
    </w:p>
    <w:bookmarkEnd w:id="25"/>
    <w:bookmarkEnd w:id="26"/>
    <w:p w14:paraId="50711562" w14:textId="5D0894B2" w:rsidR="00AA46AF" w:rsidRDefault="00196649" w:rsidP="0026110B">
      <w:pPr>
        <w:pStyle w:val="eTRMHeading5"/>
        <w:keepNext/>
        <w:keepLines/>
      </w:pPr>
      <w:r>
        <w:t>Eligible Products</w:t>
      </w:r>
    </w:p>
    <w:p w14:paraId="2BB736FF" w14:textId="70CBD3DB" w:rsidR="001A753E" w:rsidRDefault="001A753E" w:rsidP="002308CA">
      <w:r>
        <w:t>The pool or spa heater must meet measure requirements in the Measure Case Description.</w:t>
      </w:r>
    </w:p>
    <w:p w14:paraId="6EAC2A11" w14:textId="4475B7F7" w:rsidR="002308CA" w:rsidRDefault="001F6A4B" w:rsidP="002308CA">
      <w:r>
        <w:t>If the heater will be installed in a low NOx area, t</w:t>
      </w:r>
      <w:r w:rsidR="002308CA" w:rsidRPr="002308CA">
        <w:t xml:space="preserve">he </w:t>
      </w:r>
      <w:r w:rsidR="001A753E">
        <w:t xml:space="preserve">replacement </w:t>
      </w:r>
      <w:r w:rsidR="002308CA" w:rsidRPr="002308CA">
        <w:t xml:space="preserve">unit must also meet NOx emissions standards </w:t>
      </w:r>
      <w:r>
        <w:t xml:space="preserve">set forth by the governing air quality management district. </w:t>
      </w:r>
    </w:p>
    <w:p w14:paraId="141A9A6C" w14:textId="77777777" w:rsidR="00700863" w:rsidRPr="002308CA" w:rsidRDefault="00700863" w:rsidP="002308CA"/>
    <w:p w14:paraId="7CE938DA" w14:textId="2434378C" w:rsidR="007B6A74" w:rsidRPr="00401C43" w:rsidRDefault="007B6A74" w:rsidP="00401C43">
      <w:pPr>
        <w:pStyle w:val="eTRMHeading5"/>
      </w:pPr>
      <w:r w:rsidRPr="00401C43">
        <w:t>Eligible Building Types</w:t>
      </w:r>
      <w:r w:rsidR="00E57AAD">
        <w:t xml:space="preserve"> and Vintages</w:t>
      </w:r>
    </w:p>
    <w:p w14:paraId="4DF44EE9" w14:textId="14A9C9CF" w:rsidR="00117C5D" w:rsidRDefault="00117C5D" w:rsidP="00117C5D">
      <w:r w:rsidRPr="00117C5D">
        <w:t xml:space="preserve">This measure is applicable </w:t>
      </w:r>
      <w:r w:rsidR="00700863">
        <w:t xml:space="preserve">for a pre-existing pool or spa of a residential single-family dwelling. </w:t>
      </w:r>
    </w:p>
    <w:p w14:paraId="0FE6E5E1" w14:textId="77777777" w:rsidR="00700863" w:rsidRPr="00117C5D" w:rsidRDefault="00700863" w:rsidP="00117C5D"/>
    <w:p w14:paraId="1A3705F3" w14:textId="4BC0985D" w:rsidR="007B6A74" w:rsidRPr="004B06E3" w:rsidRDefault="00196649" w:rsidP="00154391">
      <w:pPr>
        <w:pStyle w:val="eTRMHeading5"/>
      </w:pPr>
      <w:r>
        <w:t>Eligible Climate Zones</w:t>
      </w:r>
    </w:p>
    <w:p w14:paraId="4A9FD22A" w14:textId="280DAA4D" w:rsidR="004B6780" w:rsidRDefault="004B6780" w:rsidP="004B6780">
      <w:r>
        <w:lastRenderedPageBreak/>
        <w:t xml:space="preserve">This measure is applicable </w:t>
      </w:r>
      <w:r w:rsidR="0026110B">
        <w:t>in</w:t>
      </w:r>
      <w:r>
        <w:t xml:space="preserve"> </w:t>
      </w:r>
      <w:r w:rsidR="0026110B">
        <w:t>all</w:t>
      </w:r>
      <w:r>
        <w:t xml:space="preserve"> California climate zones.</w:t>
      </w:r>
    </w:p>
    <w:p w14:paraId="2F4B2357" w14:textId="77777777" w:rsidR="00700863" w:rsidRDefault="00700863" w:rsidP="004B6780"/>
    <w:p w14:paraId="47630D60" w14:textId="77777777" w:rsidR="007D230B" w:rsidRPr="004B06E3" w:rsidRDefault="007D230B" w:rsidP="004F3F32">
      <w:pPr>
        <w:pStyle w:val="eTRMHeading3"/>
      </w:pPr>
      <w:bookmarkStart w:id="29" w:name="_Toc486490853"/>
      <w:bookmarkStart w:id="30" w:name="_Toc486580924"/>
      <w:bookmarkStart w:id="31" w:name="_Toc25150676"/>
      <w:r w:rsidRPr="004B06E3">
        <w:t>Program Exclusions</w:t>
      </w:r>
      <w:bookmarkEnd w:id="29"/>
      <w:bookmarkEnd w:id="30"/>
      <w:bookmarkEnd w:id="31"/>
      <w:r w:rsidRPr="004B06E3">
        <w:t xml:space="preserve"> </w:t>
      </w:r>
    </w:p>
    <w:p w14:paraId="19666453" w14:textId="39C050B8" w:rsidR="00117C5D" w:rsidRDefault="001A753E" w:rsidP="00117C5D">
      <w:r>
        <w:t xml:space="preserve">None. </w:t>
      </w:r>
    </w:p>
    <w:p w14:paraId="21F59913" w14:textId="77777777" w:rsidR="001A753E" w:rsidRPr="00117C5D" w:rsidRDefault="001A753E" w:rsidP="00117C5D"/>
    <w:p w14:paraId="655E299F" w14:textId="77777777" w:rsidR="007D230B" w:rsidRPr="004B06E3" w:rsidRDefault="007D230B" w:rsidP="004F3F32">
      <w:pPr>
        <w:pStyle w:val="eTRMHeading3"/>
      </w:pPr>
      <w:bookmarkStart w:id="32" w:name="_Toc486490854"/>
      <w:bookmarkStart w:id="33" w:name="_Toc486580925"/>
      <w:bookmarkStart w:id="34" w:name="_Toc25150677"/>
      <w:r w:rsidRPr="004B06E3">
        <w:t>Data Collection Requirements</w:t>
      </w:r>
      <w:bookmarkEnd w:id="32"/>
      <w:bookmarkEnd w:id="33"/>
      <w:bookmarkEnd w:id="34"/>
      <w:r w:rsidRPr="004B06E3">
        <w:t xml:space="preserve"> </w:t>
      </w:r>
    </w:p>
    <w:p w14:paraId="35F66166" w14:textId="22E019ED" w:rsidR="001A753E" w:rsidRPr="00F32724" w:rsidRDefault="00190874" w:rsidP="001A753E">
      <w:r>
        <w:t>Data collection requirements are to be determined.</w:t>
      </w:r>
      <w:r w:rsidR="001A753E" w:rsidRPr="001A753E">
        <w:t xml:space="preserve"> </w:t>
      </w:r>
      <w:r w:rsidR="001A753E" w:rsidRPr="00C172E7">
        <w:t xml:space="preserve">Field test data and an M&amp;V plan may help </w:t>
      </w:r>
      <w:r w:rsidR="001A753E">
        <w:t xml:space="preserve">verify </w:t>
      </w:r>
      <w:r w:rsidR="001A753E" w:rsidRPr="00C172E7">
        <w:t xml:space="preserve">savings. The plan can vary in depth and </w:t>
      </w:r>
      <w:proofErr w:type="gramStart"/>
      <w:r w:rsidR="001A753E" w:rsidRPr="00C172E7">
        <w:t>scope, but</w:t>
      </w:r>
      <w:proofErr w:type="gramEnd"/>
      <w:r w:rsidR="001A753E" w:rsidRPr="00C172E7">
        <w:t xml:space="preserve"> </w:t>
      </w:r>
      <w:r w:rsidR="001A753E">
        <w:t>could</w:t>
      </w:r>
      <w:r w:rsidR="001A753E" w:rsidRPr="00C172E7">
        <w:t xml:space="preserve"> include spot measurements or monitoring of pool heater use, and/or utility bill analysis.</w:t>
      </w:r>
    </w:p>
    <w:p w14:paraId="4891FCAB" w14:textId="77777777" w:rsidR="007D230B" w:rsidRPr="004B06E3" w:rsidRDefault="007D230B" w:rsidP="004F3F32">
      <w:pPr>
        <w:pStyle w:val="eTRMHeading3"/>
      </w:pPr>
      <w:bookmarkStart w:id="35" w:name="_Toc486490855"/>
      <w:bookmarkStart w:id="36" w:name="_Toc486580926"/>
      <w:bookmarkStart w:id="37" w:name="_Toc25150678"/>
      <w:r w:rsidRPr="004B06E3">
        <w:t>Use Category</w:t>
      </w:r>
      <w:bookmarkEnd w:id="35"/>
      <w:bookmarkEnd w:id="36"/>
      <w:bookmarkEnd w:id="37"/>
    </w:p>
    <w:p w14:paraId="21442A32" w14:textId="4B6689F7" w:rsidR="001A753E" w:rsidRDefault="001A753E" w:rsidP="004B06E3">
      <w:r>
        <w:t>Recreation</w:t>
      </w:r>
    </w:p>
    <w:p w14:paraId="69458728" w14:textId="0FAE000A" w:rsidR="00132E1A" w:rsidRPr="004B06E3" w:rsidRDefault="00FF2DC1" w:rsidP="004B06E3">
      <w:r>
        <w:t>.</w:t>
      </w:r>
    </w:p>
    <w:p w14:paraId="4B62D367" w14:textId="370A839E" w:rsidR="007D230B" w:rsidRPr="004B06E3" w:rsidRDefault="007D230B" w:rsidP="004F3F32">
      <w:pPr>
        <w:pStyle w:val="eTRMHeading3"/>
      </w:pPr>
      <w:bookmarkStart w:id="38" w:name="_Toc486490857"/>
      <w:bookmarkStart w:id="39" w:name="_Toc486580928"/>
      <w:bookmarkStart w:id="40" w:name="_Toc25150679"/>
      <w:r w:rsidRPr="004B06E3">
        <w:t>Electric Savings</w:t>
      </w:r>
      <w:r w:rsidR="00245AFF" w:rsidRPr="004B06E3">
        <w:t xml:space="preserve"> (</w:t>
      </w:r>
      <w:r w:rsidR="00E14349" w:rsidRPr="001D5580">
        <w:t>k</w:t>
      </w:r>
      <w:r w:rsidR="00245AFF" w:rsidRPr="001D5580">
        <w:t>Wh</w:t>
      </w:r>
      <w:r w:rsidR="00245AFF" w:rsidRPr="004B06E3">
        <w:t>)</w:t>
      </w:r>
      <w:bookmarkEnd w:id="38"/>
      <w:bookmarkEnd w:id="39"/>
      <w:bookmarkEnd w:id="40"/>
    </w:p>
    <w:p w14:paraId="65FD1BC4" w14:textId="4FA10239" w:rsidR="00E827BA" w:rsidRDefault="001A753E" w:rsidP="00AB71BC">
      <w:r>
        <w:t>Not applicable.</w:t>
      </w:r>
    </w:p>
    <w:p w14:paraId="394520DF" w14:textId="77777777" w:rsidR="001A753E" w:rsidRPr="00914B24" w:rsidRDefault="001A753E" w:rsidP="00AB71BC"/>
    <w:p w14:paraId="46B7702E" w14:textId="77777777" w:rsidR="00BB4F22" w:rsidRPr="004B06E3" w:rsidRDefault="00BB4F22" w:rsidP="004F3F32">
      <w:pPr>
        <w:pStyle w:val="eTRMHeading3"/>
      </w:pPr>
      <w:bookmarkStart w:id="41" w:name="_Toc486490856"/>
      <w:bookmarkStart w:id="42" w:name="_Toc486580927"/>
      <w:bookmarkStart w:id="43" w:name="_Toc25150680"/>
      <w:r w:rsidRPr="004B06E3">
        <w:t>Peak Electric Demand Reduction (</w:t>
      </w:r>
      <w:r w:rsidRPr="0026110B">
        <w:t>kW</w:t>
      </w:r>
      <w:r w:rsidRPr="004B06E3">
        <w:t>)</w:t>
      </w:r>
      <w:bookmarkEnd w:id="41"/>
      <w:bookmarkEnd w:id="42"/>
      <w:bookmarkEnd w:id="43"/>
    </w:p>
    <w:p w14:paraId="364E2FA6" w14:textId="76FC8145" w:rsidR="001A753E" w:rsidRDefault="001A753E" w:rsidP="00914B24">
      <w:r>
        <w:t>Not applicable.</w:t>
      </w:r>
    </w:p>
    <w:p w14:paraId="4088DA07" w14:textId="77777777" w:rsidR="001A753E" w:rsidRPr="00914B24" w:rsidRDefault="001A753E" w:rsidP="00914B24"/>
    <w:p w14:paraId="02E97124" w14:textId="77777777" w:rsidR="00177EB6" w:rsidRPr="004B06E3" w:rsidRDefault="00177EB6" w:rsidP="004F3F32">
      <w:pPr>
        <w:pStyle w:val="eTRMHeading3"/>
      </w:pPr>
      <w:bookmarkStart w:id="44" w:name="_Toc486490858"/>
      <w:bookmarkStart w:id="45" w:name="_Toc486580929"/>
      <w:bookmarkStart w:id="46" w:name="_Toc25150681"/>
      <w:r w:rsidRPr="004B06E3">
        <w:t>Gas Savings (</w:t>
      </w:r>
      <w:r w:rsidRPr="0026110B">
        <w:t>Therms</w:t>
      </w:r>
      <w:r w:rsidRPr="004B06E3">
        <w:t>)</w:t>
      </w:r>
      <w:bookmarkEnd w:id="44"/>
      <w:bookmarkEnd w:id="45"/>
      <w:bookmarkEnd w:id="46"/>
    </w:p>
    <w:p w14:paraId="12772F6D" w14:textId="0C4916DF" w:rsidR="00D44B11" w:rsidRDefault="00D44B11" w:rsidP="00C01AA0">
      <w:pPr>
        <w:pStyle w:val="BodyText"/>
      </w:pPr>
      <w:r>
        <w:t>The annual gas unit energy savings (UES) of a residential pool and spa heater were calculated as the difference between baseline and measure case annual unit energy consumption</w:t>
      </w:r>
      <w:r w:rsidR="001A753E">
        <w:t xml:space="preserve"> (UEC)</w:t>
      </w:r>
      <w:r>
        <w:t>.</w:t>
      </w:r>
    </w:p>
    <w:p w14:paraId="759AD3F2" w14:textId="1CAF770F" w:rsidR="0035670F" w:rsidRPr="0035670F" w:rsidRDefault="005C7B6B" w:rsidP="0035670F">
      <w:pPr>
        <w:pStyle w:val="eTRMHeading4"/>
      </w:pPr>
      <w:r>
        <w:t>Methodology</w:t>
      </w:r>
    </w:p>
    <w:p w14:paraId="44D41C0A" w14:textId="46FF6DCD" w:rsidR="00382DB3" w:rsidRDefault="00382DB3" w:rsidP="0035670F">
      <w:r>
        <w:t xml:space="preserve">The annual gas </w:t>
      </w:r>
      <w:r w:rsidR="00297AAE">
        <w:t>UEC</w:t>
      </w:r>
      <w:r>
        <w:t xml:space="preserve"> calculations are based on both a pool heat transfer model and a spa heat transfer model</w:t>
      </w:r>
      <w:r w:rsidR="00337EE2">
        <w:t xml:space="preserve">. The pool heat transfer model was developed for swimming pools in California to ascertain the benefits of using efficient pool heaters at various types of swimming pools. The </w:t>
      </w:r>
      <w:r w:rsidR="00723239">
        <w:t>pool</w:t>
      </w:r>
      <w:r w:rsidR="00337EE2">
        <w:t xml:space="preserve"> heat transfer model was </w:t>
      </w:r>
      <w:r w:rsidR="00723239">
        <w:t>modified slightly to</w:t>
      </w:r>
      <w:r w:rsidR="00337EE2">
        <w:t xml:space="preserve"> determine the </w:t>
      </w:r>
      <w:r w:rsidR="00723239">
        <w:t xml:space="preserve">annual </w:t>
      </w:r>
      <w:r w:rsidR="00337EE2">
        <w:t>energy savings of the spa heater measures.</w:t>
      </w:r>
    </w:p>
    <w:p w14:paraId="6CD4124B" w14:textId="77777777" w:rsidR="00723239" w:rsidRPr="0035670F" w:rsidRDefault="00723239" w:rsidP="00723239">
      <w:r w:rsidRPr="0035670F">
        <w:t xml:space="preserve">In general, the hourly change in the average pool water temperature is equal to the sum of the heat transferred into the pool each hour, divided by the specific heat of the pool. </w:t>
      </w:r>
    </w:p>
    <w:p w14:paraId="1ECEC98C" w14:textId="77777777" w:rsidR="00723239" w:rsidRDefault="00723239" w:rsidP="00723239">
      <w:pPr>
        <w:rPr>
          <w:i/>
        </w:rPr>
      </w:pPr>
      <w:r>
        <w:rPr>
          <w:rFonts w:asciiTheme="minorHAnsi" w:eastAsia="Times New Roman" w:hAnsiTheme="minorHAnsi" w:cs="Times New Roman"/>
          <w:position w:val="-32"/>
        </w:rPr>
        <w:object w:dxaOrig="2340" w:dyaOrig="710" w14:anchorId="1EACF8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pt;height:36pt" o:ole="">
            <v:imagedata r:id="rId17" o:title=""/>
          </v:shape>
          <o:OLEObject Type="Embed" ProgID="Equation.3" ShapeID="_x0000_i1025" DrawAspect="Content" ObjectID="_1652116454" r:id="rId18"/>
        </w:object>
      </w:r>
      <w:r>
        <w:rPr>
          <w:i/>
        </w:rPr>
        <w:tab/>
      </w:r>
    </w:p>
    <w:p w14:paraId="7E16D4E6" w14:textId="77777777" w:rsidR="00723239" w:rsidRPr="00271F0D" w:rsidRDefault="00723239" w:rsidP="00723239">
      <w:pPr>
        <w:rPr>
          <w:rFonts w:ascii="Cambria Math" w:hAnsi="Cambria Math"/>
          <w:i/>
          <w:sz w:val="18"/>
          <w:szCs w:val="20"/>
        </w:rPr>
      </w:pPr>
      <w:r w:rsidRPr="00271F0D">
        <w:rPr>
          <w:rFonts w:ascii="Cambria Math" w:hAnsi="Cambria Math"/>
          <w:i/>
          <w:sz w:val="18"/>
          <w:szCs w:val="20"/>
        </w:rPr>
        <w:tab/>
      </w:r>
      <w:proofErr w:type="spellStart"/>
      <w:r w:rsidRPr="00271F0D">
        <w:rPr>
          <w:rFonts w:ascii="Cambria Math" w:hAnsi="Cambria Math"/>
          <w:i/>
          <w:sz w:val="18"/>
          <w:szCs w:val="20"/>
        </w:rPr>
        <w:t>q</w:t>
      </w:r>
      <w:r w:rsidRPr="00384806">
        <w:rPr>
          <w:rFonts w:ascii="Cambria Math" w:hAnsi="Cambria Math"/>
          <w:i/>
          <w:sz w:val="18"/>
          <w:szCs w:val="20"/>
          <w:vertAlign w:val="subscript"/>
        </w:rPr>
        <w:t>in</w:t>
      </w:r>
      <w:proofErr w:type="spellEnd"/>
      <w:r w:rsidRPr="00271F0D">
        <w:rPr>
          <w:rFonts w:ascii="Cambria Math" w:hAnsi="Cambria Math"/>
          <w:i/>
          <w:sz w:val="18"/>
          <w:szCs w:val="20"/>
        </w:rPr>
        <w:t xml:space="preserve"> = Heat added to the pool via each heat transfer mechanism (Btu/</w:t>
      </w:r>
      <w:proofErr w:type="spellStart"/>
      <w:r w:rsidRPr="00271F0D">
        <w:rPr>
          <w:rFonts w:ascii="Cambria Math" w:hAnsi="Cambria Math"/>
          <w:i/>
          <w:sz w:val="18"/>
          <w:szCs w:val="20"/>
        </w:rPr>
        <w:t>hr</w:t>
      </w:r>
      <w:proofErr w:type="spellEnd"/>
      <w:r w:rsidRPr="00271F0D">
        <w:rPr>
          <w:rFonts w:ascii="Cambria Math" w:hAnsi="Cambria Math"/>
          <w:i/>
          <w:sz w:val="18"/>
          <w:szCs w:val="20"/>
        </w:rPr>
        <w:t>)</w:t>
      </w:r>
    </w:p>
    <w:p w14:paraId="4CF281FA" w14:textId="77777777" w:rsidR="00723239" w:rsidRPr="00271F0D" w:rsidRDefault="00723239" w:rsidP="00723239">
      <w:pPr>
        <w:rPr>
          <w:rFonts w:ascii="Cambria Math" w:hAnsi="Cambria Math"/>
          <w:i/>
          <w:sz w:val="18"/>
          <w:szCs w:val="20"/>
        </w:rPr>
      </w:pPr>
      <w:r w:rsidRPr="00271F0D">
        <w:rPr>
          <w:rFonts w:ascii="Cambria Math" w:hAnsi="Cambria Math"/>
          <w:i/>
          <w:sz w:val="18"/>
          <w:szCs w:val="20"/>
        </w:rPr>
        <w:tab/>
      </w:r>
      <w:proofErr w:type="spellStart"/>
      <w:r>
        <w:rPr>
          <w:rFonts w:ascii="Cambria Math" w:hAnsi="Cambria Math"/>
          <w:i/>
          <w:sz w:val="18"/>
          <w:szCs w:val="20"/>
        </w:rPr>
        <w:t>ρ</w:t>
      </w:r>
      <w:r w:rsidRPr="00384806">
        <w:rPr>
          <w:rFonts w:ascii="Cambria Math" w:hAnsi="Cambria Math"/>
          <w:i/>
          <w:sz w:val="18"/>
          <w:szCs w:val="20"/>
          <w:vertAlign w:val="subscript"/>
        </w:rPr>
        <w:t>w</w:t>
      </w:r>
      <w:proofErr w:type="spellEnd"/>
      <w:r w:rsidRPr="00271F0D">
        <w:rPr>
          <w:rFonts w:ascii="Cambria Math" w:hAnsi="Cambria Math"/>
          <w:i/>
          <w:sz w:val="18"/>
          <w:szCs w:val="20"/>
        </w:rPr>
        <w:t xml:space="preserve"> = Density of water (</w:t>
      </w:r>
      <w:proofErr w:type="spellStart"/>
      <w:r w:rsidRPr="00271F0D">
        <w:rPr>
          <w:rFonts w:ascii="Cambria Math" w:hAnsi="Cambria Math"/>
          <w:i/>
          <w:sz w:val="18"/>
          <w:szCs w:val="20"/>
        </w:rPr>
        <w:t>lb</w:t>
      </w:r>
      <w:proofErr w:type="spellEnd"/>
      <w:r w:rsidRPr="00271F0D">
        <w:rPr>
          <w:rFonts w:ascii="Cambria Math" w:hAnsi="Cambria Math"/>
          <w:i/>
          <w:sz w:val="18"/>
          <w:szCs w:val="20"/>
        </w:rPr>
        <w:t>/ft</w:t>
      </w:r>
      <w:r w:rsidRPr="001F6A4B">
        <w:rPr>
          <w:rFonts w:ascii="Cambria Math" w:hAnsi="Cambria Math"/>
          <w:i/>
          <w:sz w:val="18"/>
          <w:szCs w:val="20"/>
          <w:vertAlign w:val="superscript"/>
        </w:rPr>
        <w:t>3</w:t>
      </w:r>
      <w:r w:rsidRPr="00271F0D">
        <w:rPr>
          <w:rFonts w:ascii="Cambria Math" w:hAnsi="Cambria Math"/>
          <w:i/>
          <w:sz w:val="18"/>
          <w:szCs w:val="20"/>
        </w:rPr>
        <w:t>)</w:t>
      </w:r>
    </w:p>
    <w:p w14:paraId="0E712891" w14:textId="77777777" w:rsidR="00723239" w:rsidRPr="00271F0D" w:rsidRDefault="00723239" w:rsidP="00723239">
      <w:pPr>
        <w:rPr>
          <w:rFonts w:ascii="Cambria Math" w:hAnsi="Cambria Math"/>
          <w:i/>
          <w:sz w:val="18"/>
          <w:szCs w:val="20"/>
        </w:rPr>
      </w:pPr>
      <w:r w:rsidRPr="00271F0D">
        <w:rPr>
          <w:rFonts w:ascii="Cambria Math" w:hAnsi="Cambria Math"/>
          <w:i/>
          <w:sz w:val="18"/>
          <w:szCs w:val="20"/>
        </w:rPr>
        <w:tab/>
      </w:r>
      <w:proofErr w:type="spellStart"/>
      <w:r w:rsidRPr="00271F0D">
        <w:rPr>
          <w:rFonts w:ascii="Cambria Math" w:hAnsi="Cambria Math"/>
          <w:i/>
          <w:sz w:val="18"/>
          <w:szCs w:val="20"/>
        </w:rPr>
        <w:t>C</w:t>
      </w:r>
      <w:r w:rsidRPr="00384806">
        <w:rPr>
          <w:rFonts w:ascii="Cambria Math" w:hAnsi="Cambria Math"/>
          <w:i/>
          <w:sz w:val="18"/>
          <w:szCs w:val="20"/>
          <w:vertAlign w:val="subscript"/>
        </w:rPr>
        <w:t>w</w:t>
      </w:r>
      <w:proofErr w:type="spellEnd"/>
      <w:r w:rsidRPr="00271F0D">
        <w:rPr>
          <w:rFonts w:ascii="Cambria Math" w:hAnsi="Cambria Math"/>
          <w:i/>
          <w:sz w:val="18"/>
          <w:szCs w:val="20"/>
        </w:rPr>
        <w:t xml:space="preserve"> = Specific heat of water (Btu/</w:t>
      </w:r>
      <w:proofErr w:type="spellStart"/>
      <w:r w:rsidRPr="00271F0D">
        <w:rPr>
          <w:rFonts w:ascii="Cambria Math" w:hAnsi="Cambria Math"/>
          <w:i/>
          <w:sz w:val="18"/>
          <w:szCs w:val="20"/>
        </w:rPr>
        <w:t>lb</w:t>
      </w:r>
      <w:proofErr w:type="spellEnd"/>
      <w:r w:rsidRPr="00271F0D">
        <w:rPr>
          <w:rFonts w:ascii="Cambria Math" w:hAnsi="Cambria Math"/>
          <w:i/>
          <w:sz w:val="18"/>
          <w:szCs w:val="20"/>
        </w:rPr>
        <w:t>-°F)</w:t>
      </w:r>
    </w:p>
    <w:p w14:paraId="262E06DD" w14:textId="77777777" w:rsidR="00723239" w:rsidRPr="00271F0D" w:rsidRDefault="00723239" w:rsidP="00723239">
      <w:pPr>
        <w:rPr>
          <w:rFonts w:ascii="Cambria Math" w:hAnsi="Cambria Math"/>
          <w:i/>
          <w:sz w:val="18"/>
          <w:szCs w:val="20"/>
        </w:rPr>
      </w:pPr>
      <w:r w:rsidRPr="00271F0D">
        <w:rPr>
          <w:rFonts w:ascii="Cambria Math" w:hAnsi="Cambria Math"/>
          <w:i/>
          <w:sz w:val="18"/>
          <w:szCs w:val="20"/>
        </w:rPr>
        <w:tab/>
      </w:r>
      <w:proofErr w:type="spellStart"/>
      <w:r w:rsidRPr="00271F0D">
        <w:rPr>
          <w:rFonts w:ascii="Cambria Math" w:hAnsi="Cambria Math"/>
          <w:i/>
          <w:sz w:val="18"/>
          <w:szCs w:val="20"/>
        </w:rPr>
        <w:t>A</w:t>
      </w:r>
      <w:r w:rsidRPr="00271F0D">
        <w:rPr>
          <w:rFonts w:ascii="Cambria Math" w:hAnsi="Cambria Math"/>
          <w:i/>
          <w:sz w:val="18"/>
          <w:szCs w:val="20"/>
          <w:vertAlign w:val="subscript"/>
        </w:rPr>
        <w:t>pool</w:t>
      </w:r>
      <w:proofErr w:type="spellEnd"/>
      <w:r w:rsidRPr="00271F0D">
        <w:rPr>
          <w:rFonts w:ascii="Cambria Math" w:hAnsi="Cambria Math"/>
          <w:i/>
          <w:sz w:val="18"/>
          <w:szCs w:val="20"/>
        </w:rPr>
        <w:t xml:space="preserve"> = Pool area (ft</w:t>
      </w:r>
      <w:r w:rsidRPr="001F6A4B">
        <w:rPr>
          <w:rFonts w:ascii="Cambria Math" w:hAnsi="Cambria Math"/>
          <w:i/>
          <w:sz w:val="18"/>
          <w:szCs w:val="20"/>
          <w:vertAlign w:val="superscript"/>
        </w:rPr>
        <w:t>2</w:t>
      </w:r>
      <w:r w:rsidRPr="00271F0D">
        <w:rPr>
          <w:rFonts w:ascii="Cambria Math" w:hAnsi="Cambria Math"/>
          <w:i/>
          <w:sz w:val="18"/>
          <w:szCs w:val="20"/>
        </w:rPr>
        <w:t>)</w:t>
      </w:r>
    </w:p>
    <w:p w14:paraId="4ECA0B00" w14:textId="77777777" w:rsidR="00723239" w:rsidRPr="00271F0D" w:rsidRDefault="00723239" w:rsidP="00723239">
      <w:pPr>
        <w:rPr>
          <w:rFonts w:ascii="Cambria Math" w:hAnsi="Cambria Math"/>
          <w:i/>
          <w:sz w:val="18"/>
          <w:szCs w:val="20"/>
        </w:rPr>
      </w:pPr>
      <w:r w:rsidRPr="00271F0D">
        <w:rPr>
          <w:rFonts w:ascii="Cambria Math" w:hAnsi="Cambria Math"/>
          <w:i/>
          <w:sz w:val="18"/>
          <w:szCs w:val="20"/>
        </w:rPr>
        <w:tab/>
      </w:r>
      <w:proofErr w:type="spellStart"/>
      <w:r w:rsidRPr="00271F0D">
        <w:rPr>
          <w:rFonts w:ascii="Cambria Math" w:hAnsi="Cambria Math"/>
          <w:i/>
          <w:sz w:val="18"/>
          <w:szCs w:val="20"/>
        </w:rPr>
        <w:t>d</w:t>
      </w:r>
      <w:r w:rsidRPr="00271F0D">
        <w:rPr>
          <w:rFonts w:ascii="Cambria Math" w:hAnsi="Cambria Math"/>
          <w:i/>
          <w:sz w:val="18"/>
          <w:szCs w:val="20"/>
          <w:vertAlign w:val="subscript"/>
        </w:rPr>
        <w:t>pool</w:t>
      </w:r>
      <w:proofErr w:type="spellEnd"/>
      <w:r w:rsidRPr="00271F0D">
        <w:rPr>
          <w:rFonts w:ascii="Cambria Math" w:hAnsi="Cambria Math"/>
          <w:i/>
          <w:sz w:val="18"/>
          <w:szCs w:val="20"/>
          <w:vertAlign w:val="subscript"/>
        </w:rPr>
        <w:t xml:space="preserve"> </w:t>
      </w:r>
      <w:r w:rsidRPr="00271F0D">
        <w:rPr>
          <w:rFonts w:ascii="Cambria Math" w:hAnsi="Cambria Math"/>
          <w:i/>
          <w:sz w:val="18"/>
          <w:szCs w:val="20"/>
        </w:rPr>
        <w:t>= Average pool depth (ft)</w:t>
      </w:r>
    </w:p>
    <w:p w14:paraId="49F9C093" w14:textId="77777777" w:rsidR="00723239" w:rsidRDefault="00723239" w:rsidP="0035670F"/>
    <w:p w14:paraId="5FA3F79C" w14:textId="6EA4E2AA" w:rsidR="00221A25" w:rsidRDefault="00221A25" w:rsidP="00221A25">
      <w:pPr>
        <w:rPr>
          <w:rFonts w:asciiTheme="minorHAnsi" w:hAnsiTheme="minorHAnsi" w:hint="eastAsia"/>
        </w:rPr>
      </w:pPr>
      <w:r>
        <w:t xml:space="preserve">The </w:t>
      </w:r>
      <w:r w:rsidR="00723239">
        <w:t>UES</w:t>
      </w:r>
      <w:r>
        <w:t xml:space="preserve"> calculation accounts for the following heat transfer mechanisms:</w:t>
      </w:r>
      <w:r w:rsidR="00297AAE">
        <w:rPr>
          <w:rStyle w:val="FootnoteReference"/>
        </w:rPr>
        <w:footnoteReference w:id="4"/>
      </w:r>
      <w:r>
        <w:t xml:space="preserve">  </w:t>
      </w:r>
    </w:p>
    <w:p w14:paraId="305F174E" w14:textId="46988F3D" w:rsidR="00221A25" w:rsidRPr="00194A8B" w:rsidRDefault="00221A25" w:rsidP="00C01AA0">
      <w:pPr>
        <w:pStyle w:val="eTRMBulletedText"/>
      </w:pPr>
      <w:r w:rsidRPr="00194A8B">
        <w:t>Natural gas</w:t>
      </w:r>
      <w:r w:rsidR="00297AAE">
        <w:t>-</w:t>
      </w:r>
      <w:r w:rsidRPr="00194A8B">
        <w:t>fired pool heater to maintain the pool water temperature</w:t>
      </w:r>
    </w:p>
    <w:p w14:paraId="4B0DD9EF" w14:textId="77777777" w:rsidR="00221A25" w:rsidRPr="00194A8B" w:rsidRDefault="00221A25" w:rsidP="00C01AA0">
      <w:pPr>
        <w:pStyle w:val="eTRMBulletedText"/>
      </w:pPr>
      <w:r w:rsidRPr="00194A8B">
        <w:t>Solar direct radiative heating of the pool surface (reduced by shading and atmospheric clearness factor, which includes haze and cloud cover)</w:t>
      </w:r>
    </w:p>
    <w:p w14:paraId="6D6E946A" w14:textId="77777777" w:rsidR="00221A25" w:rsidRPr="00194A8B" w:rsidRDefault="00221A25" w:rsidP="00C01AA0">
      <w:pPr>
        <w:pStyle w:val="eTRMBulletedText"/>
      </w:pPr>
      <w:r w:rsidRPr="00194A8B">
        <w:t xml:space="preserve">Evaporative cooling from the pool surface </w:t>
      </w:r>
    </w:p>
    <w:p w14:paraId="4640AA9B" w14:textId="77777777" w:rsidR="00221A25" w:rsidRPr="00194A8B" w:rsidRDefault="00221A25" w:rsidP="00C01AA0">
      <w:pPr>
        <w:pStyle w:val="eTRMBulletedText"/>
      </w:pPr>
      <w:r w:rsidRPr="00194A8B">
        <w:t>Radiation heat transfer from the pool surface to the sky</w:t>
      </w:r>
    </w:p>
    <w:p w14:paraId="39DDDF24" w14:textId="77777777" w:rsidR="00221A25" w:rsidRPr="00194A8B" w:rsidRDefault="00221A25" w:rsidP="00C01AA0">
      <w:pPr>
        <w:pStyle w:val="eTRMBulletedText"/>
      </w:pPr>
      <w:r w:rsidRPr="00194A8B">
        <w:t>Convection heat transfer from the pool surface to the air (free convection under calm conditions, forced convection when windy)</w:t>
      </w:r>
    </w:p>
    <w:p w14:paraId="0FC631F6" w14:textId="77777777" w:rsidR="00221A25" w:rsidRPr="00194A8B" w:rsidRDefault="00221A25" w:rsidP="00C01AA0">
      <w:pPr>
        <w:pStyle w:val="eTRMBulletedText"/>
      </w:pPr>
      <w:r w:rsidRPr="00194A8B">
        <w:t>Conduction heat transfer from the pool water to the piping and the soil</w:t>
      </w:r>
    </w:p>
    <w:p w14:paraId="41776197" w14:textId="77777777" w:rsidR="00221A25" w:rsidRPr="00194A8B" w:rsidRDefault="00221A25" w:rsidP="00C01AA0">
      <w:pPr>
        <w:pStyle w:val="eTRMBulletedText"/>
      </w:pPr>
      <w:r w:rsidRPr="00194A8B">
        <w:t>Heating the makeup water needed to replace pool water lost by evaporation.</w:t>
      </w:r>
    </w:p>
    <w:p w14:paraId="0E36994E" w14:textId="77777777" w:rsidR="00221A25" w:rsidRDefault="00221A25" w:rsidP="0035670F"/>
    <w:p w14:paraId="5D758DE8" w14:textId="262403B2" w:rsidR="004B0E22" w:rsidRPr="00A94443" w:rsidRDefault="004B0E22" w:rsidP="00C01AA0">
      <w:pPr>
        <w:pStyle w:val="eTRMHeading5"/>
        <w:keepNext/>
        <w:keepLines/>
      </w:pPr>
      <w:r w:rsidRPr="00A94443">
        <w:t>Pool Heat</w:t>
      </w:r>
      <w:r w:rsidR="00E31E33">
        <w:t xml:space="preserve"> Transfer Model</w:t>
      </w:r>
    </w:p>
    <w:p w14:paraId="029EDF95" w14:textId="65BBFE2F" w:rsidR="004B0E22" w:rsidRDefault="00981DF2" w:rsidP="00C01AA0">
      <w:pPr>
        <w:keepNext/>
        <w:keepLines/>
      </w:pPr>
      <w:r>
        <w:t xml:space="preserve">Annual gas UEC </w:t>
      </w:r>
      <w:r w:rsidR="00723239">
        <w:t>was</w:t>
      </w:r>
      <w:r>
        <w:t xml:space="preserve"> calculated for baseline and measure conditions to determine the energy savings.</w:t>
      </w:r>
    </w:p>
    <w:p w14:paraId="7ED2D66E" w14:textId="0E98145E" w:rsidR="00981DF2" w:rsidRDefault="00981DF2" w:rsidP="0035670F">
      <w:r>
        <w:t xml:space="preserve">The climate zone </w:t>
      </w:r>
      <w:r w:rsidR="00723239">
        <w:t>was</w:t>
      </w:r>
      <w:r>
        <w:t xml:space="preserve"> determined from the pool location in California</w:t>
      </w:r>
      <w:r w:rsidR="00723239">
        <w:t>. T</w:t>
      </w:r>
      <w:r>
        <w:t xml:space="preserve">he incident solar radiation </w:t>
      </w:r>
      <w:r w:rsidR="00723239">
        <w:t>was</w:t>
      </w:r>
      <w:r>
        <w:t xml:space="preserve"> determined at a centrally located airport weather station within each climate zone.</w:t>
      </w:r>
    </w:p>
    <w:p w14:paraId="576CDE9F" w14:textId="27F161B9" w:rsidR="00981DF2" w:rsidRDefault="00981DF2" w:rsidP="0035670F">
      <w:r>
        <w:t xml:space="preserve"> </w:t>
      </w:r>
      <w:r w:rsidR="00E00808">
        <w:t>Pool heaters</w:t>
      </w:r>
      <w:r>
        <w:t xml:space="preserve"> do not have a regular heater-operating pattern</w:t>
      </w:r>
      <w:r w:rsidR="005B47C6">
        <w:t xml:space="preserve"> </w:t>
      </w:r>
      <w:r w:rsidR="00E00808">
        <w:t>t</w:t>
      </w:r>
      <w:r w:rsidR="00B62472">
        <w:t>herefore,</w:t>
      </w:r>
      <w:r w:rsidR="00A94443">
        <w:t xml:space="preserve"> this analysis assumed</w:t>
      </w:r>
      <w:r>
        <w:t xml:space="preserve"> a short </w:t>
      </w:r>
      <w:r w:rsidR="00A94443">
        <w:t xml:space="preserve">pool heater operating </w:t>
      </w:r>
      <w:r>
        <w:t>schedule and calibrated the energy use with the pre-determined baseline.</w:t>
      </w:r>
    </w:p>
    <w:p w14:paraId="68B2EB21" w14:textId="107612A7" w:rsidR="00981DF2" w:rsidRDefault="00981DF2" w:rsidP="0035670F">
      <w:r w:rsidRPr="00981DF2">
        <w:t xml:space="preserve">The </w:t>
      </w:r>
      <w:r w:rsidR="008F3C5C">
        <w:t xml:space="preserve">hourly baseline and measure case </w:t>
      </w:r>
      <w:r w:rsidR="00723239">
        <w:t>UEC</w:t>
      </w:r>
      <w:r w:rsidR="008F3C5C">
        <w:t xml:space="preserve"> values</w:t>
      </w:r>
      <w:r w:rsidRPr="00981DF2">
        <w:t xml:space="preserve"> </w:t>
      </w:r>
      <w:r w:rsidR="00A94443">
        <w:t>were calculated</w:t>
      </w:r>
      <w:r w:rsidR="00B81F35">
        <w:t xml:space="preserve"> using the</w:t>
      </w:r>
      <w:r w:rsidR="00A94443">
        <w:t xml:space="preserve"> </w:t>
      </w:r>
      <w:r w:rsidR="00B81F35" w:rsidRPr="0035670F">
        <w:t xml:space="preserve">Pool </w:t>
      </w:r>
      <w:r w:rsidR="00B81F35">
        <w:t xml:space="preserve">Cover and Pool Heater </w:t>
      </w:r>
      <w:r w:rsidR="00B81F35" w:rsidRPr="0035670F">
        <w:t xml:space="preserve">Energy Savings </w:t>
      </w:r>
      <w:r w:rsidR="00B81F35">
        <w:t>calculator</w:t>
      </w:r>
      <w:r w:rsidR="00B81F35" w:rsidRPr="0035670F">
        <w:t xml:space="preserve"> </w:t>
      </w:r>
      <w:r w:rsidR="00B81F35">
        <w:t>developed by ICF International.</w:t>
      </w:r>
      <w:r w:rsidR="00BA5E4E">
        <w:rPr>
          <w:rStyle w:val="FootnoteReference"/>
        </w:rPr>
        <w:footnoteReference w:id="5"/>
      </w:r>
      <w:r w:rsidRPr="00981DF2">
        <w:t xml:space="preserve"> The pool heat transfer model was compared to one of the most accurate swimming pool energy savings calculation methods, the Energy Smart Pools software program </w:t>
      </w:r>
      <w:r w:rsidR="0085751C">
        <w:t>(</w:t>
      </w:r>
      <w:r w:rsidRPr="00981DF2">
        <w:t>RSPEC</w:t>
      </w:r>
      <w:r w:rsidR="0085751C">
        <w:t>!)</w:t>
      </w:r>
      <w:r w:rsidR="00B62472">
        <w:t>.</w:t>
      </w:r>
      <w:r w:rsidR="00B62472">
        <w:rPr>
          <w:rStyle w:val="FootnoteReference"/>
        </w:rPr>
        <w:footnoteReference w:id="6"/>
      </w:r>
    </w:p>
    <w:p w14:paraId="62C95F2E" w14:textId="7C686DE8" w:rsidR="004B0E22" w:rsidRDefault="004B0E22" w:rsidP="00C01AA0">
      <w:pPr>
        <w:pStyle w:val="eTRMHeading5"/>
      </w:pPr>
      <w:r w:rsidRPr="00A94443">
        <w:t>Spa He</w:t>
      </w:r>
      <w:r w:rsidR="00E31E33">
        <w:t>at Transfer Model</w:t>
      </w:r>
    </w:p>
    <w:p w14:paraId="3335ECCF" w14:textId="35E2AB6B" w:rsidR="00A94443" w:rsidRDefault="00981DF2">
      <w:r w:rsidRPr="0035670F">
        <w:t xml:space="preserve">A major difference between </w:t>
      </w:r>
      <w:r w:rsidR="00A94443">
        <w:t xml:space="preserve">a </w:t>
      </w:r>
      <w:r w:rsidRPr="0035670F">
        <w:t xml:space="preserve">pool and </w:t>
      </w:r>
      <w:r w:rsidR="00A94443">
        <w:t xml:space="preserve">a </w:t>
      </w:r>
      <w:r w:rsidRPr="0035670F">
        <w:t xml:space="preserve">spa is the </w:t>
      </w:r>
      <w:proofErr w:type="gramStart"/>
      <w:r w:rsidRPr="0035670F">
        <w:t>manner in which</w:t>
      </w:r>
      <w:proofErr w:type="gramEnd"/>
      <w:r w:rsidRPr="0035670F">
        <w:t xml:space="preserve"> the spa heater capacity is determined. The spa heater is sized to bring the spa water temperature from ambient (when the spa has been closed and the spa heater has been turned </w:t>
      </w:r>
      <w:r w:rsidR="00A94443">
        <w:t>OFF</w:t>
      </w:r>
      <w:r w:rsidRPr="0035670F">
        <w:t xml:space="preserve"> for many days) to the desired temperature in a fixed time (assumed to be two hours before opening). The minimum ambient temperature is assumed to be the average air temperature during the coldest month of the year. </w:t>
      </w:r>
    </w:p>
    <w:p w14:paraId="5705C008" w14:textId="53D6EE3A" w:rsidR="00981DF2" w:rsidRPr="0035670F" w:rsidRDefault="00981DF2" w:rsidP="00C01AA0">
      <w:r w:rsidRPr="0035670F">
        <w:t xml:space="preserve">The rated input of the spa heater is thus equal to the mass of the spa water times its specific heat, times the temperature change, divided by the </w:t>
      </w:r>
      <w:r w:rsidR="0085751C">
        <w:t>thermal efficiency (TE)</w:t>
      </w:r>
      <w:r w:rsidRPr="0035670F">
        <w:t xml:space="preserve"> of the spa heater, divided by two hours.  </w:t>
      </w:r>
    </w:p>
    <w:p w14:paraId="4837BB43" w14:textId="26C8A8B7" w:rsidR="00E31E33" w:rsidRPr="00666A49" w:rsidRDefault="00A94443" w:rsidP="00C01AA0">
      <w:r>
        <w:t>The annual gas UEC for the baseline and measure case conditions were</w:t>
      </w:r>
      <w:r w:rsidR="00FE627F">
        <w:t xml:space="preserve"> calculating using </w:t>
      </w:r>
      <w:r w:rsidR="00981DF2" w:rsidRPr="0035670F">
        <w:t xml:space="preserve">the Pool </w:t>
      </w:r>
      <w:r w:rsidR="00B81F35">
        <w:t xml:space="preserve">Cover and Pool Heater </w:t>
      </w:r>
      <w:r w:rsidR="00981DF2" w:rsidRPr="0035670F">
        <w:t xml:space="preserve">Energy Savings </w:t>
      </w:r>
      <w:r w:rsidR="00B81F35">
        <w:t>calculator</w:t>
      </w:r>
      <w:r w:rsidR="00981DF2" w:rsidRPr="0035670F">
        <w:t xml:space="preserve"> that was developed for calculating heat losses from swimming </w:t>
      </w:r>
      <w:r w:rsidR="00981DF2" w:rsidRPr="0035670F">
        <w:lastRenderedPageBreak/>
        <w:t xml:space="preserve">pools. A minimum change </w:t>
      </w:r>
      <w:r w:rsidR="00FE627F">
        <w:t xml:space="preserve">of the input data </w:t>
      </w:r>
      <w:r w:rsidR="00981DF2" w:rsidRPr="0035670F">
        <w:t xml:space="preserve">was </w:t>
      </w:r>
      <w:r w:rsidR="00FE627F">
        <w:t xml:space="preserve">required - </w:t>
      </w:r>
      <w:r w:rsidR="008F3C5C">
        <w:t>t</w:t>
      </w:r>
      <w:r w:rsidR="00981DF2" w:rsidRPr="0035670F">
        <w:t>he pool surface area used in the pool heat loss calculation was replaced with the spa</w:t>
      </w:r>
      <w:r w:rsidR="00FE627F">
        <w:t xml:space="preserve"> surface area.</w:t>
      </w:r>
      <w:r w:rsidR="00981DF2" w:rsidRPr="0035670F">
        <w:t xml:space="preserve"> </w:t>
      </w:r>
    </w:p>
    <w:p w14:paraId="6AEABD76" w14:textId="7579E24F" w:rsidR="0035670F" w:rsidRDefault="005F09B3" w:rsidP="0085751C">
      <w:pPr>
        <w:pStyle w:val="eTRMHeading4"/>
      </w:pPr>
      <w:r>
        <w:t>Inputs and Assumptions</w:t>
      </w:r>
    </w:p>
    <w:p w14:paraId="5FEBDC38" w14:textId="766C435B" w:rsidR="00FF4DF4" w:rsidRDefault="00FF4DF4" w:rsidP="0085751C">
      <w:pPr>
        <w:pStyle w:val="eTRMHeading4"/>
      </w:pPr>
    </w:p>
    <w:p w14:paraId="28A327D6" w14:textId="77777777" w:rsidR="00FF4DF4" w:rsidRPr="00C172E7" w:rsidRDefault="00FF4DF4" w:rsidP="00FF4DF4">
      <w:pPr>
        <w:rPr>
          <w:i/>
        </w:rPr>
      </w:pPr>
      <w:r w:rsidRPr="00C172E7">
        <w:t xml:space="preserve">To verify the baseline gas heating for swimming pools and spas in residential homes, gas </w:t>
      </w:r>
      <w:r>
        <w:t xml:space="preserve">consumption </w:t>
      </w:r>
      <w:r w:rsidRPr="00C172E7">
        <w:t xml:space="preserve">bills were collected from customers with </w:t>
      </w:r>
      <w:r>
        <w:t xml:space="preserve">a </w:t>
      </w:r>
      <w:r w:rsidRPr="00C172E7">
        <w:t>heated pool</w:t>
      </w:r>
      <w:r>
        <w:t xml:space="preserve"> or </w:t>
      </w:r>
      <w:r w:rsidRPr="00C172E7">
        <w:t xml:space="preserve">spa in five different cities in </w:t>
      </w:r>
      <w:r>
        <w:t>Southern California</w:t>
      </w:r>
      <w:r w:rsidRPr="00C172E7">
        <w:t xml:space="preserve">. </w:t>
      </w:r>
      <w:r>
        <w:t xml:space="preserve">A </w:t>
      </w:r>
      <w:r w:rsidRPr="00C172E7">
        <w:t xml:space="preserve">billing analysis were done to baseline the home’s heating and water heating energy usage. Data for regional heating degree days (HDDs) were collected and charted against the monthly gas usage from the billing data. </w:t>
      </w:r>
      <w:r>
        <w:t>A l</w:t>
      </w:r>
      <w:r w:rsidRPr="00C172E7">
        <w:t>inear regression analyses identif</w:t>
      </w:r>
      <w:r>
        <w:t>ied</w:t>
      </w:r>
      <w:r w:rsidRPr="00C172E7">
        <w:t xml:space="preserve"> the relationship between heating gas usage and HDDs. The gas usage at the point where the linear regression line intercepts the Y</w:t>
      </w:r>
      <w:r>
        <w:t>-</w:t>
      </w:r>
      <w:r w:rsidRPr="00C172E7">
        <w:t xml:space="preserve">axis at zero </w:t>
      </w:r>
      <w:r>
        <w:t>HDDs</w:t>
      </w:r>
      <w:r w:rsidRPr="00C172E7">
        <w:t xml:space="preserve"> was deemed non-space heating gas usage and assumed to be for hot water heating and other indoor gas </w:t>
      </w:r>
      <w:r>
        <w:t>uses</w:t>
      </w:r>
      <w:r w:rsidRPr="00C172E7">
        <w:t xml:space="preserve">. The difference between the annual gas usage and the calculated loads were </w:t>
      </w:r>
      <w:r>
        <w:t>attributed</w:t>
      </w:r>
      <w:r w:rsidRPr="00C172E7">
        <w:t xml:space="preserve"> to the swimming pools and spa heating</w:t>
      </w:r>
      <w:r>
        <w:t>.</w:t>
      </w:r>
      <w:r>
        <w:rPr>
          <w:rStyle w:val="FootnoteReference"/>
        </w:rPr>
        <w:footnoteReference w:id="7"/>
      </w:r>
      <w:r w:rsidRPr="00C172E7">
        <w:t xml:space="preserve"> </w:t>
      </w:r>
    </w:p>
    <w:p w14:paraId="163BF790" w14:textId="77777777" w:rsidR="00FF4DF4" w:rsidRPr="00C172E7" w:rsidRDefault="00FF4DF4" w:rsidP="00FF4DF4"/>
    <w:p w14:paraId="15951958" w14:textId="77777777" w:rsidR="00FF4DF4" w:rsidRPr="00C172E7" w:rsidRDefault="00FF4DF4" w:rsidP="00FF4DF4">
      <w:pPr>
        <w:jc w:val="center"/>
      </w:pPr>
      <w:r w:rsidRPr="00C172E7">
        <w:rPr>
          <w:noProof/>
        </w:rPr>
        <w:drawing>
          <wp:inline distT="0" distB="0" distL="0" distR="0" wp14:anchorId="7A636090" wp14:editId="517C6694">
            <wp:extent cx="5575300" cy="2114550"/>
            <wp:effectExtent l="0" t="0" r="635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3260F34B" w14:textId="13FA0A21" w:rsidR="00FF4DF4" w:rsidRPr="0035670F" w:rsidRDefault="00FF4DF4" w:rsidP="00A35976">
      <w:pPr>
        <w:pStyle w:val="Caption"/>
        <w:ind w:left="2880" w:firstLine="720"/>
      </w:pPr>
      <w:r w:rsidRPr="00C172E7">
        <w:t xml:space="preserve">Utility Bill Heat Load </w:t>
      </w:r>
      <w:r>
        <w:t xml:space="preserve">Regression </w:t>
      </w:r>
      <w:r w:rsidRPr="00C172E7">
        <w:t>Analysis</w:t>
      </w:r>
    </w:p>
    <w:p w14:paraId="4A734CD4" w14:textId="1C4617F3" w:rsidR="0035670F" w:rsidRPr="0035670F" w:rsidRDefault="005F09B3" w:rsidP="00C01AA0">
      <w:pPr>
        <w:pStyle w:val="Caption"/>
      </w:pPr>
      <w:bookmarkStart w:id="47" w:name="_Toc478652644"/>
      <w:bookmarkStart w:id="48" w:name="_Toc484420097"/>
      <w:r>
        <w:t xml:space="preserve">UEC Calculation Inputs - </w:t>
      </w:r>
      <w:r w:rsidR="004507F7">
        <w:t xml:space="preserve">Pool Heater </w:t>
      </w:r>
      <w:bookmarkEnd w:id="47"/>
      <w:bookmarkEnd w:id="48"/>
    </w:p>
    <w:tbl>
      <w:tblPr>
        <w:tblW w:w="966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075"/>
        <w:gridCol w:w="3456"/>
        <w:gridCol w:w="1530"/>
        <w:gridCol w:w="3600"/>
      </w:tblGrid>
      <w:tr w:rsidR="003F202D" w:rsidRPr="0035670F" w14:paraId="07C35913" w14:textId="77777777" w:rsidTr="003F202D">
        <w:trPr>
          <w:trHeight w:val="20"/>
          <w:tblHeader/>
        </w:trPr>
        <w:tc>
          <w:tcPr>
            <w:tcW w:w="1075" w:type="dxa"/>
            <w:shd w:val="clear" w:color="auto" w:fill="F2F2F2" w:themeFill="background1" w:themeFillShade="F2"/>
            <w:vAlign w:val="bottom"/>
            <w:hideMark/>
          </w:tcPr>
          <w:p w14:paraId="44574FAF" w14:textId="4A4B51F5" w:rsidR="0035670F" w:rsidRPr="005F09B3" w:rsidRDefault="008F3C5C" w:rsidP="001F6A4B">
            <w:pPr>
              <w:keepNext/>
              <w:keepLines/>
              <w:spacing w:before="0" w:after="0"/>
              <w:jc w:val="center"/>
              <w:rPr>
                <w:b/>
                <w:bCs/>
                <w:sz w:val="20"/>
                <w:szCs w:val="22"/>
              </w:rPr>
            </w:pPr>
            <w:r>
              <w:rPr>
                <w:b/>
                <w:bCs/>
                <w:sz w:val="20"/>
                <w:szCs w:val="22"/>
              </w:rPr>
              <w:t>Variable</w:t>
            </w:r>
          </w:p>
        </w:tc>
        <w:tc>
          <w:tcPr>
            <w:tcW w:w="3456" w:type="dxa"/>
            <w:shd w:val="clear" w:color="auto" w:fill="F2F2F2" w:themeFill="background1" w:themeFillShade="F2"/>
            <w:vAlign w:val="bottom"/>
            <w:hideMark/>
          </w:tcPr>
          <w:p w14:paraId="6498D147" w14:textId="77777777" w:rsidR="0035670F" w:rsidRPr="005F09B3" w:rsidRDefault="0035670F" w:rsidP="001F6A4B">
            <w:pPr>
              <w:keepNext/>
              <w:keepLines/>
              <w:spacing w:before="0" w:after="0"/>
              <w:jc w:val="center"/>
              <w:rPr>
                <w:b/>
                <w:bCs/>
                <w:sz w:val="20"/>
                <w:szCs w:val="22"/>
              </w:rPr>
            </w:pPr>
            <w:r w:rsidRPr="005F09B3">
              <w:rPr>
                <w:b/>
                <w:bCs/>
                <w:sz w:val="20"/>
                <w:szCs w:val="22"/>
              </w:rPr>
              <w:t>Description</w:t>
            </w:r>
          </w:p>
        </w:tc>
        <w:tc>
          <w:tcPr>
            <w:tcW w:w="1530" w:type="dxa"/>
            <w:shd w:val="clear" w:color="auto" w:fill="F2F2F2" w:themeFill="background1" w:themeFillShade="F2"/>
            <w:vAlign w:val="bottom"/>
            <w:hideMark/>
          </w:tcPr>
          <w:p w14:paraId="55A16F6D" w14:textId="77777777" w:rsidR="0035670F" w:rsidRPr="005F09B3" w:rsidRDefault="0035670F" w:rsidP="001F6A4B">
            <w:pPr>
              <w:keepNext/>
              <w:keepLines/>
              <w:spacing w:before="0" w:after="0"/>
              <w:jc w:val="center"/>
              <w:rPr>
                <w:b/>
                <w:bCs/>
                <w:sz w:val="20"/>
                <w:szCs w:val="22"/>
              </w:rPr>
            </w:pPr>
            <w:r w:rsidRPr="005F09B3">
              <w:rPr>
                <w:b/>
                <w:bCs/>
                <w:sz w:val="20"/>
                <w:szCs w:val="22"/>
              </w:rPr>
              <w:t>Value</w:t>
            </w:r>
          </w:p>
        </w:tc>
        <w:tc>
          <w:tcPr>
            <w:tcW w:w="3600" w:type="dxa"/>
            <w:shd w:val="clear" w:color="auto" w:fill="F2F2F2" w:themeFill="background1" w:themeFillShade="F2"/>
            <w:vAlign w:val="bottom"/>
            <w:hideMark/>
          </w:tcPr>
          <w:p w14:paraId="2D3C923F" w14:textId="46940257" w:rsidR="0035670F" w:rsidRPr="005F09B3" w:rsidRDefault="004507F7" w:rsidP="001F6A4B">
            <w:pPr>
              <w:keepNext/>
              <w:keepLines/>
              <w:spacing w:before="0" w:after="0"/>
              <w:jc w:val="center"/>
              <w:rPr>
                <w:b/>
                <w:bCs/>
                <w:sz w:val="20"/>
                <w:szCs w:val="22"/>
              </w:rPr>
            </w:pPr>
            <w:r w:rsidRPr="005F09B3">
              <w:rPr>
                <w:b/>
                <w:bCs/>
                <w:sz w:val="20"/>
                <w:szCs w:val="22"/>
              </w:rPr>
              <w:t>Source</w:t>
            </w:r>
          </w:p>
        </w:tc>
      </w:tr>
      <w:tr w:rsidR="003F202D" w:rsidRPr="0035670F" w14:paraId="254A6F89" w14:textId="77777777" w:rsidTr="001F6A4B">
        <w:trPr>
          <w:trHeight w:val="20"/>
        </w:trPr>
        <w:tc>
          <w:tcPr>
            <w:tcW w:w="1075" w:type="dxa"/>
            <w:vAlign w:val="center"/>
            <w:hideMark/>
          </w:tcPr>
          <w:p w14:paraId="6C3CEDBD" w14:textId="77777777" w:rsidR="003F202D" w:rsidRPr="005F09B3" w:rsidRDefault="003F202D" w:rsidP="001F6A4B">
            <w:pPr>
              <w:keepNext/>
              <w:keepLines/>
              <w:spacing w:before="0" w:after="0"/>
              <w:rPr>
                <w:sz w:val="20"/>
                <w:szCs w:val="22"/>
              </w:rPr>
            </w:pPr>
            <w:proofErr w:type="spellStart"/>
            <w:r w:rsidRPr="005F09B3">
              <w:rPr>
                <w:i/>
                <w:sz w:val="20"/>
                <w:szCs w:val="22"/>
              </w:rPr>
              <w:t>A</w:t>
            </w:r>
            <w:r w:rsidRPr="005F09B3">
              <w:rPr>
                <w:i/>
                <w:sz w:val="20"/>
                <w:szCs w:val="22"/>
                <w:vertAlign w:val="subscript"/>
              </w:rPr>
              <w:t>pool</w:t>
            </w:r>
            <w:proofErr w:type="spellEnd"/>
          </w:p>
        </w:tc>
        <w:tc>
          <w:tcPr>
            <w:tcW w:w="3456" w:type="dxa"/>
            <w:vAlign w:val="center"/>
            <w:hideMark/>
          </w:tcPr>
          <w:p w14:paraId="78796291" w14:textId="372A9162" w:rsidR="003F202D" w:rsidRPr="005F09B3" w:rsidRDefault="003F202D" w:rsidP="001F6A4B">
            <w:pPr>
              <w:keepNext/>
              <w:keepLines/>
              <w:spacing w:before="0" w:after="0"/>
              <w:rPr>
                <w:sz w:val="20"/>
                <w:szCs w:val="22"/>
              </w:rPr>
            </w:pPr>
            <w:r w:rsidRPr="005F09B3">
              <w:rPr>
                <w:sz w:val="20"/>
                <w:szCs w:val="22"/>
              </w:rPr>
              <w:t>Pool surface area</w:t>
            </w:r>
            <w:r>
              <w:rPr>
                <w:sz w:val="20"/>
                <w:szCs w:val="22"/>
              </w:rPr>
              <w:t xml:space="preserve"> (ft</w:t>
            </w:r>
            <w:r w:rsidRPr="005F09B3">
              <w:rPr>
                <w:sz w:val="20"/>
                <w:szCs w:val="22"/>
                <w:vertAlign w:val="superscript"/>
              </w:rPr>
              <w:t>2</w:t>
            </w:r>
            <w:r>
              <w:rPr>
                <w:sz w:val="20"/>
                <w:szCs w:val="22"/>
              </w:rPr>
              <w:t>)</w:t>
            </w:r>
            <w:r w:rsidRPr="005F09B3">
              <w:rPr>
                <w:sz w:val="20"/>
                <w:szCs w:val="22"/>
              </w:rPr>
              <w:t xml:space="preserve"> </w:t>
            </w:r>
          </w:p>
        </w:tc>
        <w:tc>
          <w:tcPr>
            <w:tcW w:w="1530" w:type="dxa"/>
            <w:vAlign w:val="center"/>
            <w:hideMark/>
          </w:tcPr>
          <w:p w14:paraId="63C75F11" w14:textId="771824E8" w:rsidR="003F202D" w:rsidRPr="005F09B3" w:rsidRDefault="003F202D" w:rsidP="001F6A4B">
            <w:pPr>
              <w:keepNext/>
              <w:keepLines/>
              <w:spacing w:before="0" w:after="0"/>
              <w:ind w:right="340"/>
              <w:jc w:val="right"/>
              <w:rPr>
                <w:sz w:val="20"/>
                <w:szCs w:val="22"/>
              </w:rPr>
            </w:pPr>
            <w:r w:rsidRPr="005F09B3">
              <w:rPr>
                <w:sz w:val="20"/>
                <w:szCs w:val="22"/>
              </w:rPr>
              <w:t xml:space="preserve">500 </w:t>
            </w:r>
          </w:p>
        </w:tc>
        <w:tc>
          <w:tcPr>
            <w:tcW w:w="3600" w:type="dxa"/>
            <w:vMerge w:val="restart"/>
            <w:vAlign w:val="center"/>
            <w:hideMark/>
          </w:tcPr>
          <w:p w14:paraId="7296FBE5" w14:textId="0EC2CB53" w:rsidR="003F202D" w:rsidRPr="001F6A4B" w:rsidRDefault="003F202D" w:rsidP="001F6A4B">
            <w:pPr>
              <w:keepNext/>
              <w:keepLines/>
              <w:spacing w:before="0" w:after="0"/>
              <w:rPr>
                <w:sz w:val="18"/>
                <w:szCs w:val="20"/>
              </w:rPr>
            </w:pPr>
            <w:r w:rsidRPr="001F6A4B">
              <w:rPr>
                <w:sz w:val="18"/>
                <w:szCs w:val="20"/>
              </w:rPr>
              <w:t xml:space="preserve">Southern California Gas Company (SCG). </w:t>
            </w:r>
            <w:r w:rsidR="00CD4E9E">
              <w:rPr>
                <w:sz w:val="18"/>
                <w:szCs w:val="20"/>
              </w:rPr>
              <w:t>2017</w:t>
            </w:r>
            <w:r w:rsidRPr="001F6A4B">
              <w:rPr>
                <w:sz w:val="18"/>
                <w:szCs w:val="20"/>
              </w:rPr>
              <w:t xml:space="preserve"> "Pool Heater Energy Savings model.pdf</w:t>
            </w:r>
            <w:r>
              <w:rPr>
                <w:sz w:val="18"/>
                <w:szCs w:val="20"/>
              </w:rPr>
              <w:t>.</w:t>
            </w:r>
            <w:r w:rsidRPr="001F6A4B">
              <w:rPr>
                <w:sz w:val="18"/>
                <w:szCs w:val="20"/>
              </w:rPr>
              <w:t>”</w:t>
            </w:r>
          </w:p>
        </w:tc>
      </w:tr>
      <w:tr w:rsidR="003F202D" w:rsidRPr="0035670F" w14:paraId="6EA8BF2A" w14:textId="77777777" w:rsidTr="001F6A4B">
        <w:trPr>
          <w:trHeight w:val="20"/>
        </w:trPr>
        <w:tc>
          <w:tcPr>
            <w:tcW w:w="1075" w:type="dxa"/>
            <w:vAlign w:val="center"/>
            <w:hideMark/>
          </w:tcPr>
          <w:p w14:paraId="33A5B19D" w14:textId="77777777" w:rsidR="003F202D" w:rsidRPr="005F09B3" w:rsidRDefault="003F202D" w:rsidP="001F6A4B">
            <w:pPr>
              <w:keepNext/>
              <w:keepLines/>
              <w:spacing w:before="0" w:after="0"/>
              <w:rPr>
                <w:sz w:val="20"/>
                <w:szCs w:val="22"/>
              </w:rPr>
            </w:pPr>
            <w:proofErr w:type="spellStart"/>
            <w:r w:rsidRPr="005F09B3">
              <w:rPr>
                <w:i/>
                <w:iCs/>
                <w:sz w:val="20"/>
                <w:szCs w:val="22"/>
              </w:rPr>
              <w:t>d</w:t>
            </w:r>
            <w:r w:rsidRPr="005F09B3">
              <w:rPr>
                <w:i/>
                <w:iCs/>
                <w:sz w:val="20"/>
                <w:szCs w:val="22"/>
                <w:vertAlign w:val="subscript"/>
              </w:rPr>
              <w:t>pool</w:t>
            </w:r>
            <w:proofErr w:type="spellEnd"/>
          </w:p>
        </w:tc>
        <w:tc>
          <w:tcPr>
            <w:tcW w:w="3456" w:type="dxa"/>
            <w:vAlign w:val="center"/>
            <w:hideMark/>
          </w:tcPr>
          <w:p w14:paraId="769B9B84" w14:textId="61822DEB" w:rsidR="003F202D" w:rsidRPr="005F09B3" w:rsidRDefault="003F202D" w:rsidP="001F6A4B">
            <w:pPr>
              <w:keepNext/>
              <w:keepLines/>
              <w:spacing w:before="0" w:after="0"/>
              <w:rPr>
                <w:sz w:val="20"/>
                <w:szCs w:val="22"/>
              </w:rPr>
            </w:pPr>
            <w:r w:rsidRPr="005F09B3">
              <w:rPr>
                <w:sz w:val="20"/>
                <w:szCs w:val="22"/>
              </w:rPr>
              <w:t xml:space="preserve">Average </w:t>
            </w:r>
            <w:r>
              <w:rPr>
                <w:sz w:val="20"/>
                <w:szCs w:val="22"/>
              </w:rPr>
              <w:t>d</w:t>
            </w:r>
            <w:r w:rsidRPr="005F09B3">
              <w:rPr>
                <w:sz w:val="20"/>
                <w:szCs w:val="22"/>
              </w:rPr>
              <w:t xml:space="preserve">epth </w:t>
            </w:r>
            <w:r>
              <w:rPr>
                <w:sz w:val="20"/>
                <w:szCs w:val="22"/>
              </w:rPr>
              <w:t>(ft)</w:t>
            </w:r>
          </w:p>
        </w:tc>
        <w:tc>
          <w:tcPr>
            <w:tcW w:w="1530" w:type="dxa"/>
            <w:vAlign w:val="center"/>
            <w:hideMark/>
          </w:tcPr>
          <w:p w14:paraId="4AA9FBBB" w14:textId="5A288B2E" w:rsidR="003F202D" w:rsidRPr="005F09B3" w:rsidRDefault="003F202D" w:rsidP="001F6A4B">
            <w:pPr>
              <w:keepNext/>
              <w:keepLines/>
              <w:spacing w:before="0" w:after="0"/>
              <w:ind w:right="340"/>
              <w:jc w:val="right"/>
              <w:rPr>
                <w:sz w:val="20"/>
                <w:szCs w:val="22"/>
              </w:rPr>
            </w:pPr>
            <w:r w:rsidRPr="005F09B3">
              <w:rPr>
                <w:sz w:val="20"/>
                <w:szCs w:val="22"/>
              </w:rPr>
              <w:t xml:space="preserve">4.5 </w:t>
            </w:r>
          </w:p>
        </w:tc>
        <w:tc>
          <w:tcPr>
            <w:tcW w:w="3600" w:type="dxa"/>
            <w:vMerge/>
            <w:vAlign w:val="center"/>
          </w:tcPr>
          <w:p w14:paraId="762B1A9C" w14:textId="713EB89E" w:rsidR="003F202D" w:rsidRPr="005F09B3" w:rsidRDefault="003F202D" w:rsidP="00C01AA0">
            <w:pPr>
              <w:keepNext/>
              <w:keepLines/>
              <w:spacing w:before="0" w:after="0"/>
              <w:rPr>
                <w:sz w:val="20"/>
                <w:szCs w:val="22"/>
              </w:rPr>
            </w:pPr>
          </w:p>
        </w:tc>
      </w:tr>
      <w:tr w:rsidR="003F202D" w:rsidRPr="0035670F" w14:paraId="21014231" w14:textId="77777777" w:rsidTr="001F6A4B">
        <w:trPr>
          <w:trHeight w:val="20"/>
        </w:trPr>
        <w:tc>
          <w:tcPr>
            <w:tcW w:w="1075" w:type="dxa"/>
            <w:vAlign w:val="center"/>
            <w:hideMark/>
          </w:tcPr>
          <w:p w14:paraId="5ABAAF0F" w14:textId="77777777" w:rsidR="003F202D" w:rsidRPr="005F09B3" w:rsidRDefault="003F202D" w:rsidP="00B62472">
            <w:pPr>
              <w:spacing w:before="0" w:after="0"/>
              <w:rPr>
                <w:sz w:val="20"/>
                <w:szCs w:val="22"/>
              </w:rPr>
            </w:pPr>
            <w:proofErr w:type="spellStart"/>
            <w:r w:rsidRPr="005F09B3">
              <w:rPr>
                <w:i/>
                <w:sz w:val="20"/>
                <w:szCs w:val="22"/>
              </w:rPr>
              <w:t>T</w:t>
            </w:r>
            <w:r w:rsidRPr="005F09B3">
              <w:rPr>
                <w:i/>
                <w:sz w:val="20"/>
                <w:szCs w:val="22"/>
                <w:vertAlign w:val="subscript"/>
              </w:rPr>
              <w:t>pool</w:t>
            </w:r>
            <w:proofErr w:type="spellEnd"/>
          </w:p>
        </w:tc>
        <w:tc>
          <w:tcPr>
            <w:tcW w:w="3456" w:type="dxa"/>
            <w:vAlign w:val="center"/>
            <w:hideMark/>
          </w:tcPr>
          <w:p w14:paraId="46DAB594" w14:textId="60704963" w:rsidR="003F202D" w:rsidRPr="005F09B3" w:rsidRDefault="003F202D" w:rsidP="00B62472">
            <w:pPr>
              <w:spacing w:before="0" w:after="0"/>
              <w:rPr>
                <w:sz w:val="20"/>
                <w:szCs w:val="22"/>
              </w:rPr>
            </w:pPr>
            <w:r w:rsidRPr="005F09B3">
              <w:rPr>
                <w:sz w:val="20"/>
                <w:szCs w:val="22"/>
              </w:rPr>
              <w:t xml:space="preserve">Desired </w:t>
            </w:r>
            <w:r>
              <w:rPr>
                <w:sz w:val="20"/>
                <w:szCs w:val="22"/>
              </w:rPr>
              <w:t>water t</w:t>
            </w:r>
            <w:r w:rsidRPr="005F09B3">
              <w:rPr>
                <w:sz w:val="20"/>
                <w:szCs w:val="22"/>
              </w:rPr>
              <w:t xml:space="preserve">emperature </w:t>
            </w:r>
            <w:r>
              <w:rPr>
                <w:sz w:val="20"/>
                <w:szCs w:val="22"/>
              </w:rPr>
              <w:t>(</w:t>
            </w:r>
            <w:r w:rsidR="003D59DB">
              <w:rPr>
                <w:rFonts w:cs="Calibri Light"/>
                <w:sz w:val="20"/>
                <w:szCs w:val="22"/>
              </w:rPr>
              <w:t>°</w:t>
            </w:r>
            <w:r w:rsidRPr="00384806">
              <w:rPr>
                <w:sz w:val="20"/>
                <w:szCs w:val="22"/>
              </w:rPr>
              <w:t>F</w:t>
            </w:r>
            <w:r>
              <w:rPr>
                <w:sz w:val="20"/>
                <w:szCs w:val="22"/>
              </w:rPr>
              <w:t>)</w:t>
            </w:r>
          </w:p>
        </w:tc>
        <w:tc>
          <w:tcPr>
            <w:tcW w:w="1530" w:type="dxa"/>
            <w:vAlign w:val="center"/>
            <w:hideMark/>
          </w:tcPr>
          <w:p w14:paraId="4F74D485" w14:textId="4EBC4776" w:rsidR="003F202D" w:rsidRPr="005F09B3" w:rsidRDefault="003F202D" w:rsidP="001F6A4B">
            <w:pPr>
              <w:spacing w:before="0" w:after="0"/>
              <w:ind w:right="340"/>
              <w:jc w:val="right"/>
              <w:rPr>
                <w:sz w:val="20"/>
                <w:szCs w:val="22"/>
              </w:rPr>
            </w:pPr>
            <w:r w:rsidRPr="005F09B3">
              <w:rPr>
                <w:sz w:val="20"/>
                <w:szCs w:val="22"/>
              </w:rPr>
              <w:t xml:space="preserve">80 </w:t>
            </w:r>
            <w:r w:rsidR="003D59DB">
              <w:rPr>
                <w:rFonts w:cs="Calibri Light"/>
                <w:sz w:val="20"/>
                <w:szCs w:val="22"/>
              </w:rPr>
              <w:t>°</w:t>
            </w:r>
            <w:r w:rsidRPr="005F09B3">
              <w:rPr>
                <w:sz w:val="20"/>
                <w:szCs w:val="22"/>
              </w:rPr>
              <w:t>F</w:t>
            </w:r>
          </w:p>
        </w:tc>
        <w:tc>
          <w:tcPr>
            <w:tcW w:w="3600" w:type="dxa"/>
            <w:vMerge/>
            <w:vAlign w:val="center"/>
          </w:tcPr>
          <w:p w14:paraId="5009BF6B" w14:textId="4215BD19" w:rsidR="003F202D" w:rsidRPr="005F09B3" w:rsidRDefault="003F202D" w:rsidP="00B62472">
            <w:pPr>
              <w:spacing w:before="0" w:after="0"/>
              <w:rPr>
                <w:sz w:val="20"/>
                <w:szCs w:val="22"/>
              </w:rPr>
            </w:pPr>
          </w:p>
        </w:tc>
      </w:tr>
      <w:tr w:rsidR="003F202D" w:rsidRPr="0035670F" w14:paraId="27A8F4E6" w14:textId="77777777" w:rsidTr="001F6A4B">
        <w:trPr>
          <w:trHeight w:val="20"/>
        </w:trPr>
        <w:tc>
          <w:tcPr>
            <w:tcW w:w="1075" w:type="dxa"/>
            <w:vAlign w:val="center"/>
            <w:hideMark/>
          </w:tcPr>
          <w:p w14:paraId="48550EDE" w14:textId="77777777" w:rsidR="003F202D" w:rsidRPr="005F09B3" w:rsidRDefault="003F202D" w:rsidP="00B62472">
            <w:pPr>
              <w:spacing w:before="0" w:after="0"/>
              <w:rPr>
                <w:sz w:val="20"/>
                <w:szCs w:val="22"/>
              </w:rPr>
            </w:pPr>
            <w:proofErr w:type="spellStart"/>
            <w:r w:rsidRPr="005F09B3">
              <w:rPr>
                <w:sz w:val="20"/>
                <w:szCs w:val="22"/>
              </w:rPr>
              <w:t>Q</w:t>
            </w:r>
            <w:r w:rsidRPr="005F09B3">
              <w:rPr>
                <w:i/>
                <w:sz w:val="20"/>
                <w:szCs w:val="22"/>
                <w:vertAlign w:val="subscript"/>
              </w:rPr>
              <w:t>pool</w:t>
            </w:r>
            <w:proofErr w:type="spellEnd"/>
          </w:p>
        </w:tc>
        <w:tc>
          <w:tcPr>
            <w:tcW w:w="3456" w:type="dxa"/>
            <w:vAlign w:val="center"/>
            <w:hideMark/>
          </w:tcPr>
          <w:p w14:paraId="022835EA" w14:textId="280E544F" w:rsidR="003F202D" w:rsidRPr="005F09B3" w:rsidRDefault="003F202D" w:rsidP="00B62472">
            <w:pPr>
              <w:spacing w:before="0" w:after="0"/>
              <w:rPr>
                <w:sz w:val="20"/>
                <w:szCs w:val="22"/>
              </w:rPr>
            </w:pPr>
            <w:r w:rsidRPr="005F09B3">
              <w:rPr>
                <w:sz w:val="20"/>
                <w:szCs w:val="22"/>
              </w:rPr>
              <w:t>Pool heater capacity</w:t>
            </w:r>
            <w:r>
              <w:rPr>
                <w:sz w:val="20"/>
                <w:szCs w:val="22"/>
              </w:rPr>
              <w:t xml:space="preserve"> (</w:t>
            </w:r>
            <w:proofErr w:type="spellStart"/>
            <w:r>
              <w:rPr>
                <w:sz w:val="20"/>
                <w:szCs w:val="22"/>
              </w:rPr>
              <w:t>MBtu</w:t>
            </w:r>
            <w:proofErr w:type="spellEnd"/>
            <w:r>
              <w:rPr>
                <w:sz w:val="20"/>
                <w:szCs w:val="22"/>
              </w:rPr>
              <w:t>/</w:t>
            </w:r>
            <w:proofErr w:type="spellStart"/>
            <w:r>
              <w:rPr>
                <w:sz w:val="20"/>
                <w:szCs w:val="22"/>
              </w:rPr>
              <w:t>hr</w:t>
            </w:r>
            <w:proofErr w:type="spellEnd"/>
            <w:r>
              <w:rPr>
                <w:sz w:val="20"/>
                <w:szCs w:val="22"/>
              </w:rPr>
              <w:t>_</w:t>
            </w:r>
          </w:p>
        </w:tc>
        <w:tc>
          <w:tcPr>
            <w:tcW w:w="1530" w:type="dxa"/>
            <w:vAlign w:val="center"/>
            <w:hideMark/>
          </w:tcPr>
          <w:p w14:paraId="5BA90EA0" w14:textId="48C51764" w:rsidR="003F202D" w:rsidRPr="005F09B3" w:rsidRDefault="003F202D" w:rsidP="001F6A4B">
            <w:pPr>
              <w:spacing w:before="0" w:after="0"/>
              <w:ind w:right="340"/>
              <w:jc w:val="right"/>
              <w:rPr>
                <w:sz w:val="20"/>
                <w:szCs w:val="22"/>
              </w:rPr>
            </w:pPr>
            <w:r w:rsidRPr="005F09B3">
              <w:rPr>
                <w:sz w:val="20"/>
                <w:szCs w:val="22"/>
              </w:rPr>
              <w:t xml:space="preserve">300 </w:t>
            </w:r>
          </w:p>
        </w:tc>
        <w:tc>
          <w:tcPr>
            <w:tcW w:w="3600" w:type="dxa"/>
            <w:vMerge/>
            <w:vAlign w:val="center"/>
          </w:tcPr>
          <w:p w14:paraId="7FA2E7F1" w14:textId="6FA7B808" w:rsidR="003F202D" w:rsidRPr="005F09B3" w:rsidRDefault="003F202D" w:rsidP="00B62472">
            <w:pPr>
              <w:spacing w:before="0" w:after="0"/>
              <w:rPr>
                <w:sz w:val="20"/>
                <w:szCs w:val="22"/>
              </w:rPr>
            </w:pPr>
          </w:p>
        </w:tc>
      </w:tr>
      <w:tr w:rsidR="003F202D" w:rsidRPr="0035670F" w14:paraId="375B20F0" w14:textId="77777777" w:rsidTr="001F6A4B">
        <w:trPr>
          <w:trHeight w:val="20"/>
        </w:trPr>
        <w:tc>
          <w:tcPr>
            <w:tcW w:w="1075" w:type="dxa"/>
            <w:vAlign w:val="center"/>
          </w:tcPr>
          <w:p w14:paraId="64AAF4D2" w14:textId="01A26AAF" w:rsidR="003F202D" w:rsidRPr="005F09B3" w:rsidRDefault="003F202D" w:rsidP="00B62472">
            <w:pPr>
              <w:spacing w:before="0" w:after="0"/>
              <w:rPr>
                <w:sz w:val="20"/>
                <w:szCs w:val="22"/>
              </w:rPr>
            </w:pPr>
            <w:proofErr w:type="spellStart"/>
            <w:r w:rsidRPr="00271F0D">
              <w:rPr>
                <w:rFonts w:cs="Calibri Light"/>
                <w:sz w:val="20"/>
                <w:szCs w:val="20"/>
              </w:rPr>
              <w:t>ƞ</w:t>
            </w:r>
            <w:r w:rsidRPr="00271F0D">
              <w:rPr>
                <w:rFonts w:cs="Calibri Light"/>
                <w:sz w:val="20"/>
                <w:szCs w:val="20"/>
                <w:vertAlign w:val="subscript"/>
              </w:rPr>
              <w:t>post</w:t>
            </w:r>
            <w:proofErr w:type="spellEnd"/>
            <w:r w:rsidRPr="00271F0D">
              <w:rPr>
                <w:rFonts w:cs="Calibri Light"/>
                <w:sz w:val="20"/>
                <w:szCs w:val="20"/>
                <w:vertAlign w:val="subscript"/>
              </w:rPr>
              <w:t xml:space="preserve"> Avg</w:t>
            </w:r>
          </w:p>
        </w:tc>
        <w:tc>
          <w:tcPr>
            <w:tcW w:w="3456" w:type="dxa"/>
            <w:vAlign w:val="center"/>
          </w:tcPr>
          <w:p w14:paraId="0D7F191F" w14:textId="4EE371BF" w:rsidR="003F202D" w:rsidRPr="005F09B3" w:rsidRDefault="003F202D" w:rsidP="00B62472">
            <w:pPr>
              <w:spacing w:before="0" w:after="0"/>
              <w:rPr>
                <w:sz w:val="20"/>
                <w:szCs w:val="22"/>
              </w:rPr>
            </w:pPr>
            <w:r>
              <w:rPr>
                <w:sz w:val="20"/>
                <w:szCs w:val="22"/>
              </w:rPr>
              <w:t>Measure case thermal</w:t>
            </w:r>
            <w:r w:rsidRPr="005F09B3">
              <w:rPr>
                <w:sz w:val="20"/>
                <w:szCs w:val="22"/>
              </w:rPr>
              <w:t xml:space="preserve"> efficiency </w:t>
            </w:r>
            <w:r>
              <w:rPr>
                <w:sz w:val="20"/>
                <w:szCs w:val="22"/>
              </w:rPr>
              <w:t>(TE, %)</w:t>
            </w:r>
          </w:p>
        </w:tc>
        <w:tc>
          <w:tcPr>
            <w:tcW w:w="1530" w:type="dxa"/>
            <w:vAlign w:val="center"/>
          </w:tcPr>
          <w:p w14:paraId="5FF38543" w14:textId="068F92BE" w:rsidR="003F202D" w:rsidRPr="005F09B3" w:rsidRDefault="003F202D" w:rsidP="00B62472">
            <w:pPr>
              <w:spacing w:before="0" w:after="0"/>
              <w:ind w:right="340"/>
              <w:jc w:val="right"/>
              <w:rPr>
                <w:sz w:val="20"/>
                <w:szCs w:val="22"/>
              </w:rPr>
            </w:pPr>
            <w:r w:rsidRPr="005F09B3">
              <w:rPr>
                <w:sz w:val="20"/>
                <w:szCs w:val="22"/>
              </w:rPr>
              <w:t>85%</w:t>
            </w:r>
          </w:p>
        </w:tc>
        <w:tc>
          <w:tcPr>
            <w:tcW w:w="3600" w:type="dxa"/>
            <w:vMerge/>
            <w:vAlign w:val="center"/>
          </w:tcPr>
          <w:p w14:paraId="1C4C54BA" w14:textId="77777777" w:rsidR="003F202D" w:rsidRPr="005F09B3" w:rsidRDefault="003F202D" w:rsidP="00B62472">
            <w:pPr>
              <w:spacing w:before="0" w:after="0"/>
              <w:rPr>
                <w:sz w:val="20"/>
                <w:szCs w:val="22"/>
              </w:rPr>
            </w:pPr>
          </w:p>
        </w:tc>
      </w:tr>
      <w:tr w:rsidR="008F3C5C" w:rsidRPr="0035670F" w14:paraId="590B393A" w14:textId="77777777" w:rsidTr="001F6A4B">
        <w:trPr>
          <w:trHeight w:val="20"/>
        </w:trPr>
        <w:tc>
          <w:tcPr>
            <w:tcW w:w="1075" w:type="dxa"/>
            <w:vAlign w:val="center"/>
            <w:hideMark/>
          </w:tcPr>
          <w:p w14:paraId="2F0A2B52" w14:textId="77777777" w:rsidR="008F3C5C" w:rsidRPr="005F09B3" w:rsidRDefault="008F3C5C" w:rsidP="00B62472">
            <w:pPr>
              <w:spacing w:before="0" w:after="0"/>
              <w:rPr>
                <w:sz w:val="20"/>
                <w:szCs w:val="22"/>
              </w:rPr>
            </w:pPr>
            <w:proofErr w:type="spellStart"/>
            <w:r w:rsidRPr="005F09B3">
              <w:rPr>
                <w:sz w:val="20"/>
                <w:szCs w:val="22"/>
              </w:rPr>
              <w:t>V̇</w:t>
            </w:r>
            <w:r w:rsidRPr="005F09B3">
              <w:rPr>
                <w:sz w:val="20"/>
                <w:szCs w:val="22"/>
                <w:vertAlign w:val="subscript"/>
              </w:rPr>
              <w:t>post</w:t>
            </w:r>
            <w:proofErr w:type="spellEnd"/>
            <w:r w:rsidRPr="005F09B3">
              <w:rPr>
                <w:sz w:val="20"/>
                <w:szCs w:val="22"/>
                <w:vertAlign w:val="subscript"/>
              </w:rPr>
              <w:t xml:space="preserve"> Avg</w:t>
            </w:r>
          </w:p>
        </w:tc>
        <w:tc>
          <w:tcPr>
            <w:tcW w:w="3456" w:type="dxa"/>
            <w:vAlign w:val="center"/>
            <w:hideMark/>
          </w:tcPr>
          <w:p w14:paraId="342CA8EE" w14:textId="77777777" w:rsidR="008F3C5C" w:rsidRPr="005F09B3" w:rsidRDefault="008F3C5C" w:rsidP="00B62472">
            <w:pPr>
              <w:spacing w:before="0" w:after="0"/>
              <w:rPr>
                <w:sz w:val="20"/>
                <w:szCs w:val="22"/>
              </w:rPr>
            </w:pPr>
            <w:r w:rsidRPr="005F09B3">
              <w:rPr>
                <w:sz w:val="20"/>
                <w:szCs w:val="22"/>
              </w:rPr>
              <w:t xml:space="preserve">Baseline </w:t>
            </w:r>
            <w:r>
              <w:rPr>
                <w:sz w:val="20"/>
                <w:szCs w:val="22"/>
              </w:rPr>
              <w:t>t</w:t>
            </w:r>
            <w:r w:rsidRPr="005F09B3">
              <w:rPr>
                <w:sz w:val="20"/>
                <w:szCs w:val="22"/>
              </w:rPr>
              <w:t xml:space="preserve">hermal </w:t>
            </w:r>
            <w:r>
              <w:rPr>
                <w:sz w:val="20"/>
                <w:szCs w:val="22"/>
              </w:rPr>
              <w:t>e</w:t>
            </w:r>
            <w:r w:rsidRPr="005F09B3">
              <w:rPr>
                <w:sz w:val="20"/>
                <w:szCs w:val="22"/>
              </w:rPr>
              <w:t>fficiency</w:t>
            </w:r>
            <w:r>
              <w:rPr>
                <w:sz w:val="20"/>
                <w:szCs w:val="22"/>
              </w:rPr>
              <w:t xml:space="preserve"> (TE, %)</w:t>
            </w:r>
            <w:r w:rsidRPr="005F09B3">
              <w:rPr>
                <w:sz w:val="20"/>
                <w:szCs w:val="22"/>
              </w:rPr>
              <w:t xml:space="preserve"> </w:t>
            </w:r>
          </w:p>
        </w:tc>
        <w:tc>
          <w:tcPr>
            <w:tcW w:w="1530" w:type="dxa"/>
            <w:vAlign w:val="center"/>
            <w:hideMark/>
          </w:tcPr>
          <w:p w14:paraId="30597885" w14:textId="77777777" w:rsidR="008F3C5C" w:rsidRPr="005F09B3" w:rsidRDefault="008F3C5C" w:rsidP="00B62472">
            <w:pPr>
              <w:spacing w:before="0" w:after="0"/>
              <w:ind w:right="340"/>
              <w:jc w:val="right"/>
              <w:rPr>
                <w:sz w:val="20"/>
                <w:szCs w:val="22"/>
              </w:rPr>
            </w:pPr>
            <w:r w:rsidRPr="005F09B3">
              <w:rPr>
                <w:sz w:val="20"/>
                <w:szCs w:val="22"/>
              </w:rPr>
              <w:t>82%</w:t>
            </w:r>
          </w:p>
        </w:tc>
        <w:tc>
          <w:tcPr>
            <w:tcW w:w="3600" w:type="dxa"/>
            <w:vAlign w:val="center"/>
            <w:hideMark/>
          </w:tcPr>
          <w:p w14:paraId="737159C9" w14:textId="77777777" w:rsidR="008F3C5C" w:rsidRPr="001F6A4B" w:rsidRDefault="008F3C5C" w:rsidP="00B62472">
            <w:pPr>
              <w:spacing w:before="0" w:after="0"/>
              <w:rPr>
                <w:sz w:val="18"/>
                <w:szCs w:val="20"/>
              </w:rPr>
            </w:pPr>
            <w:r w:rsidRPr="001F6A4B">
              <w:rPr>
                <w:sz w:val="18"/>
                <w:szCs w:val="20"/>
              </w:rPr>
              <w:t xml:space="preserve">California Energy Commission (CEC). 2017. </w:t>
            </w:r>
            <w:r w:rsidRPr="001F6A4B">
              <w:rPr>
                <w:rStyle w:val="Emphasis"/>
                <w:sz w:val="18"/>
                <w:szCs w:val="20"/>
              </w:rPr>
              <w:t>2016 Appliance Efficiency Regulations</w:t>
            </w:r>
            <w:r w:rsidRPr="001F6A4B">
              <w:rPr>
                <w:sz w:val="18"/>
                <w:szCs w:val="20"/>
              </w:rPr>
              <w:t>. CEC-400-2017-002.</w:t>
            </w:r>
          </w:p>
        </w:tc>
      </w:tr>
    </w:tbl>
    <w:p w14:paraId="79FDF36B" w14:textId="082C6F91" w:rsidR="0035670F" w:rsidRPr="0035670F" w:rsidRDefault="00271F0D" w:rsidP="00C01AA0">
      <w:pPr>
        <w:pStyle w:val="Caption"/>
      </w:pPr>
      <w:bookmarkStart w:id="49" w:name="_Toc484420098"/>
      <w:r>
        <w:lastRenderedPageBreak/>
        <w:t xml:space="preserve">UEC Calculation Inputs - </w:t>
      </w:r>
      <w:r w:rsidR="004507F7">
        <w:t xml:space="preserve">Spa Heater </w:t>
      </w:r>
      <w:bookmarkEnd w:id="49"/>
    </w:p>
    <w:tbl>
      <w:tblPr>
        <w:tblW w:w="966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075"/>
        <w:gridCol w:w="3456"/>
        <w:gridCol w:w="1530"/>
        <w:gridCol w:w="3600"/>
      </w:tblGrid>
      <w:tr w:rsidR="003F202D" w:rsidRPr="006B0CF4" w14:paraId="3751F52B" w14:textId="77777777" w:rsidTr="001F6A4B">
        <w:trPr>
          <w:trHeight w:val="20"/>
          <w:tblHeader/>
        </w:trPr>
        <w:tc>
          <w:tcPr>
            <w:tcW w:w="1075" w:type="dxa"/>
            <w:shd w:val="clear" w:color="auto" w:fill="F2F2F2" w:themeFill="background1" w:themeFillShade="F2"/>
            <w:vAlign w:val="bottom"/>
            <w:hideMark/>
          </w:tcPr>
          <w:p w14:paraId="1E70595E" w14:textId="7C30DD6B" w:rsidR="0035670F" w:rsidRPr="00271F0D" w:rsidRDefault="006823BF" w:rsidP="001F6A4B">
            <w:pPr>
              <w:keepNext/>
              <w:keepLines/>
              <w:spacing w:before="0" w:after="0"/>
              <w:jc w:val="center"/>
              <w:rPr>
                <w:rFonts w:cs="Calibri Light"/>
                <w:b/>
                <w:bCs/>
                <w:sz w:val="20"/>
                <w:szCs w:val="20"/>
              </w:rPr>
            </w:pPr>
            <w:r>
              <w:rPr>
                <w:rFonts w:cs="Calibri Light"/>
                <w:b/>
                <w:bCs/>
                <w:sz w:val="20"/>
                <w:szCs w:val="20"/>
              </w:rPr>
              <w:t>Variable</w:t>
            </w:r>
          </w:p>
        </w:tc>
        <w:tc>
          <w:tcPr>
            <w:tcW w:w="3456" w:type="dxa"/>
            <w:shd w:val="clear" w:color="auto" w:fill="F2F2F2" w:themeFill="background1" w:themeFillShade="F2"/>
            <w:vAlign w:val="bottom"/>
            <w:hideMark/>
          </w:tcPr>
          <w:p w14:paraId="57212A9D" w14:textId="77777777" w:rsidR="0035670F" w:rsidRPr="00271F0D" w:rsidRDefault="0035670F" w:rsidP="001F6A4B">
            <w:pPr>
              <w:keepNext/>
              <w:keepLines/>
              <w:spacing w:before="0" w:after="0"/>
              <w:jc w:val="center"/>
              <w:rPr>
                <w:rFonts w:cs="Calibri Light"/>
                <w:b/>
                <w:bCs/>
                <w:sz w:val="20"/>
                <w:szCs w:val="20"/>
              </w:rPr>
            </w:pPr>
            <w:r w:rsidRPr="00271F0D">
              <w:rPr>
                <w:rFonts w:cs="Calibri Light"/>
                <w:b/>
                <w:bCs/>
                <w:sz w:val="20"/>
                <w:szCs w:val="20"/>
              </w:rPr>
              <w:t>Description</w:t>
            </w:r>
          </w:p>
        </w:tc>
        <w:tc>
          <w:tcPr>
            <w:tcW w:w="1530" w:type="dxa"/>
            <w:shd w:val="clear" w:color="auto" w:fill="F2F2F2" w:themeFill="background1" w:themeFillShade="F2"/>
            <w:vAlign w:val="bottom"/>
            <w:hideMark/>
          </w:tcPr>
          <w:p w14:paraId="2E6C9D1B" w14:textId="77777777" w:rsidR="0035670F" w:rsidRPr="00271F0D" w:rsidRDefault="0035670F" w:rsidP="001F6A4B">
            <w:pPr>
              <w:keepNext/>
              <w:keepLines/>
              <w:spacing w:before="0" w:after="0"/>
              <w:jc w:val="center"/>
              <w:rPr>
                <w:rFonts w:cs="Calibri Light"/>
                <w:b/>
                <w:bCs/>
                <w:sz w:val="20"/>
                <w:szCs w:val="20"/>
              </w:rPr>
            </w:pPr>
            <w:r w:rsidRPr="00271F0D">
              <w:rPr>
                <w:rFonts w:cs="Calibri Light"/>
                <w:b/>
                <w:bCs/>
                <w:sz w:val="20"/>
                <w:szCs w:val="20"/>
              </w:rPr>
              <w:t>Value</w:t>
            </w:r>
          </w:p>
        </w:tc>
        <w:tc>
          <w:tcPr>
            <w:tcW w:w="3600" w:type="dxa"/>
            <w:shd w:val="clear" w:color="auto" w:fill="F2F2F2" w:themeFill="background1" w:themeFillShade="F2"/>
            <w:vAlign w:val="bottom"/>
            <w:hideMark/>
          </w:tcPr>
          <w:p w14:paraId="17D3E702" w14:textId="79AB560B" w:rsidR="0035670F" w:rsidRPr="00271F0D" w:rsidRDefault="004507F7" w:rsidP="001F6A4B">
            <w:pPr>
              <w:keepNext/>
              <w:keepLines/>
              <w:spacing w:before="0" w:after="0"/>
              <w:jc w:val="center"/>
              <w:rPr>
                <w:rFonts w:cs="Calibri Light"/>
                <w:b/>
                <w:bCs/>
                <w:sz w:val="20"/>
                <w:szCs w:val="20"/>
              </w:rPr>
            </w:pPr>
            <w:r w:rsidRPr="00271F0D">
              <w:rPr>
                <w:rFonts w:cs="Calibri Light"/>
                <w:b/>
                <w:bCs/>
                <w:sz w:val="20"/>
                <w:szCs w:val="20"/>
              </w:rPr>
              <w:t>Source</w:t>
            </w:r>
          </w:p>
        </w:tc>
      </w:tr>
      <w:tr w:rsidR="003F202D" w:rsidRPr="00271F0D" w14:paraId="6B65A6B3" w14:textId="77777777" w:rsidTr="001F6A4B">
        <w:trPr>
          <w:trHeight w:val="20"/>
        </w:trPr>
        <w:tc>
          <w:tcPr>
            <w:tcW w:w="1075" w:type="dxa"/>
            <w:vAlign w:val="center"/>
            <w:hideMark/>
          </w:tcPr>
          <w:p w14:paraId="5E374A5C" w14:textId="77777777" w:rsidR="003F202D" w:rsidRPr="00271F0D" w:rsidRDefault="003F202D" w:rsidP="001F6A4B">
            <w:pPr>
              <w:keepNext/>
              <w:keepLines/>
              <w:spacing w:before="0" w:after="0"/>
              <w:rPr>
                <w:rFonts w:cs="Calibri Light"/>
                <w:sz w:val="20"/>
                <w:szCs w:val="20"/>
              </w:rPr>
            </w:pPr>
            <w:proofErr w:type="spellStart"/>
            <w:r w:rsidRPr="00271F0D">
              <w:rPr>
                <w:rFonts w:cs="Calibri Light"/>
                <w:sz w:val="20"/>
                <w:szCs w:val="20"/>
              </w:rPr>
              <w:t>V̇</w:t>
            </w:r>
            <w:r w:rsidRPr="00271F0D">
              <w:rPr>
                <w:rFonts w:cs="Calibri Light"/>
                <w:sz w:val="20"/>
                <w:szCs w:val="20"/>
                <w:vertAlign w:val="subscript"/>
              </w:rPr>
              <w:t>spa</w:t>
            </w:r>
            <w:proofErr w:type="spellEnd"/>
          </w:p>
        </w:tc>
        <w:tc>
          <w:tcPr>
            <w:tcW w:w="3456" w:type="dxa"/>
            <w:vAlign w:val="center"/>
            <w:hideMark/>
          </w:tcPr>
          <w:p w14:paraId="0A2CA02A" w14:textId="48B0F112" w:rsidR="003F202D" w:rsidRPr="00271F0D" w:rsidRDefault="003F202D" w:rsidP="001F6A4B">
            <w:pPr>
              <w:keepNext/>
              <w:keepLines/>
              <w:spacing w:before="0" w:after="0"/>
              <w:rPr>
                <w:rFonts w:cs="Calibri Light"/>
                <w:sz w:val="20"/>
                <w:szCs w:val="20"/>
              </w:rPr>
            </w:pPr>
            <w:r w:rsidRPr="00271F0D">
              <w:rPr>
                <w:rFonts w:cs="Calibri Light"/>
                <w:sz w:val="20"/>
                <w:szCs w:val="20"/>
              </w:rPr>
              <w:t>Spa capacity (</w:t>
            </w:r>
            <w:r>
              <w:rPr>
                <w:rFonts w:cs="Calibri Light"/>
                <w:sz w:val="20"/>
                <w:szCs w:val="20"/>
              </w:rPr>
              <w:t>gal</w:t>
            </w:r>
            <w:r w:rsidRPr="00271F0D">
              <w:rPr>
                <w:rFonts w:cs="Calibri Light"/>
                <w:sz w:val="20"/>
                <w:szCs w:val="20"/>
              </w:rPr>
              <w:t xml:space="preserve">) </w:t>
            </w:r>
          </w:p>
        </w:tc>
        <w:tc>
          <w:tcPr>
            <w:tcW w:w="1530" w:type="dxa"/>
            <w:vAlign w:val="center"/>
            <w:hideMark/>
          </w:tcPr>
          <w:p w14:paraId="6D091E95" w14:textId="471D2897" w:rsidR="003F202D" w:rsidRPr="00271F0D" w:rsidRDefault="003F202D" w:rsidP="001F6A4B">
            <w:pPr>
              <w:keepNext/>
              <w:keepLines/>
              <w:spacing w:before="0" w:after="0"/>
              <w:ind w:right="340"/>
              <w:jc w:val="right"/>
              <w:rPr>
                <w:rFonts w:cs="Calibri Light"/>
                <w:sz w:val="20"/>
                <w:szCs w:val="20"/>
              </w:rPr>
            </w:pPr>
            <w:r w:rsidRPr="00271F0D">
              <w:rPr>
                <w:rFonts w:cs="Calibri Light"/>
                <w:sz w:val="20"/>
                <w:szCs w:val="20"/>
              </w:rPr>
              <w:t xml:space="preserve">600 </w:t>
            </w:r>
          </w:p>
        </w:tc>
        <w:tc>
          <w:tcPr>
            <w:tcW w:w="3600" w:type="dxa"/>
            <w:vMerge w:val="restart"/>
            <w:vAlign w:val="center"/>
            <w:hideMark/>
          </w:tcPr>
          <w:p w14:paraId="11E7243B" w14:textId="068F6FB4" w:rsidR="003F202D" w:rsidRPr="00271F0D" w:rsidRDefault="003F202D" w:rsidP="001F6A4B">
            <w:pPr>
              <w:keepNext/>
              <w:keepLines/>
              <w:spacing w:before="0" w:after="0"/>
              <w:rPr>
                <w:rFonts w:cs="Calibri Light"/>
                <w:sz w:val="20"/>
                <w:szCs w:val="20"/>
              </w:rPr>
            </w:pPr>
            <w:r w:rsidRPr="00384806">
              <w:rPr>
                <w:sz w:val="18"/>
                <w:szCs w:val="20"/>
              </w:rPr>
              <w:t xml:space="preserve">Southern California Gas Company (SCG). </w:t>
            </w:r>
            <w:r w:rsidR="004661A8">
              <w:rPr>
                <w:sz w:val="18"/>
                <w:szCs w:val="20"/>
              </w:rPr>
              <w:t>2017</w:t>
            </w:r>
            <w:r w:rsidRPr="00384806">
              <w:rPr>
                <w:sz w:val="18"/>
                <w:szCs w:val="20"/>
              </w:rPr>
              <w:t xml:space="preserve"> "</w:t>
            </w:r>
            <w:r>
              <w:rPr>
                <w:sz w:val="18"/>
                <w:szCs w:val="20"/>
              </w:rPr>
              <w:t>Spa</w:t>
            </w:r>
            <w:r w:rsidRPr="00384806">
              <w:rPr>
                <w:sz w:val="18"/>
                <w:szCs w:val="20"/>
              </w:rPr>
              <w:t xml:space="preserve"> Heater Energy Savings model.pdf</w:t>
            </w:r>
            <w:r>
              <w:rPr>
                <w:sz w:val="18"/>
                <w:szCs w:val="20"/>
              </w:rPr>
              <w:t>.</w:t>
            </w:r>
            <w:r w:rsidRPr="00384806">
              <w:rPr>
                <w:sz w:val="18"/>
                <w:szCs w:val="20"/>
              </w:rPr>
              <w:t>”</w:t>
            </w:r>
          </w:p>
        </w:tc>
      </w:tr>
      <w:tr w:rsidR="003F202D" w:rsidRPr="00271F0D" w14:paraId="06A4FD64" w14:textId="77777777" w:rsidTr="001F6A4B">
        <w:trPr>
          <w:trHeight w:val="20"/>
        </w:trPr>
        <w:tc>
          <w:tcPr>
            <w:tcW w:w="1075" w:type="dxa"/>
            <w:vAlign w:val="center"/>
            <w:hideMark/>
          </w:tcPr>
          <w:p w14:paraId="35B914DE" w14:textId="77777777" w:rsidR="006823BF" w:rsidRPr="00271F0D" w:rsidRDefault="006823BF" w:rsidP="001F6A4B">
            <w:pPr>
              <w:keepNext/>
              <w:keepLines/>
              <w:spacing w:before="0" w:after="0"/>
              <w:rPr>
                <w:rFonts w:cs="Calibri Light"/>
                <w:sz w:val="20"/>
                <w:szCs w:val="20"/>
              </w:rPr>
            </w:pPr>
            <w:proofErr w:type="spellStart"/>
            <w:r w:rsidRPr="00271F0D">
              <w:rPr>
                <w:rFonts w:cs="Calibri Light"/>
                <w:i/>
                <w:iCs/>
                <w:sz w:val="20"/>
                <w:szCs w:val="20"/>
              </w:rPr>
              <w:t>d</w:t>
            </w:r>
            <w:r w:rsidRPr="00271F0D">
              <w:rPr>
                <w:rFonts w:cs="Calibri Light"/>
                <w:i/>
                <w:iCs/>
                <w:sz w:val="20"/>
                <w:szCs w:val="20"/>
                <w:vertAlign w:val="subscript"/>
              </w:rPr>
              <w:t>spa</w:t>
            </w:r>
            <w:proofErr w:type="spellEnd"/>
          </w:p>
        </w:tc>
        <w:tc>
          <w:tcPr>
            <w:tcW w:w="3456" w:type="dxa"/>
            <w:vAlign w:val="center"/>
            <w:hideMark/>
          </w:tcPr>
          <w:p w14:paraId="18625B99" w14:textId="6B94EB27" w:rsidR="006823BF" w:rsidRPr="00271F0D" w:rsidRDefault="006823BF" w:rsidP="001F6A4B">
            <w:pPr>
              <w:keepNext/>
              <w:keepLines/>
              <w:spacing w:before="0" w:after="0"/>
              <w:rPr>
                <w:rFonts w:cs="Calibri Light"/>
                <w:sz w:val="20"/>
                <w:szCs w:val="20"/>
              </w:rPr>
            </w:pPr>
            <w:r w:rsidRPr="00271F0D">
              <w:rPr>
                <w:rFonts w:cs="Calibri Light"/>
                <w:sz w:val="20"/>
                <w:szCs w:val="20"/>
              </w:rPr>
              <w:t xml:space="preserve">Footwell </w:t>
            </w:r>
            <w:r>
              <w:rPr>
                <w:rFonts w:cs="Calibri Light"/>
                <w:sz w:val="20"/>
                <w:szCs w:val="20"/>
              </w:rPr>
              <w:t>d</w:t>
            </w:r>
            <w:r w:rsidRPr="00271F0D">
              <w:rPr>
                <w:rFonts w:cs="Calibri Light"/>
                <w:sz w:val="20"/>
                <w:szCs w:val="20"/>
              </w:rPr>
              <w:t xml:space="preserve">epth </w:t>
            </w:r>
            <w:r>
              <w:rPr>
                <w:rFonts w:cs="Calibri Light"/>
                <w:sz w:val="20"/>
                <w:szCs w:val="20"/>
              </w:rPr>
              <w:t>(ft)</w:t>
            </w:r>
          </w:p>
        </w:tc>
        <w:tc>
          <w:tcPr>
            <w:tcW w:w="1530" w:type="dxa"/>
            <w:vAlign w:val="center"/>
            <w:hideMark/>
          </w:tcPr>
          <w:p w14:paraId="1060B2FC" w14:textId="4B0E3AAB" w:rsidR="006823BF" w:rsidRPr="00271F0D" w:rsidRDefault="006823BF" w:rsidP="001F6A4B">
            <w:pPr>
              <w:keepNext/>
              <w:keepLines/>
              <w:spacing w:before="0" w:after="0"/>
              <w:ind w:right="340"/>
              <w:jc w:val="right"/>
              <w:rPr>
                <w:rFonts w:cs="Calibri Light"/>
                <w:sz w:val="20"/>
                <w:szCs w:val="20"/>
              </w:rPr>
            </w:pPr>
            <w:r w:rsidRPr="00271F0D">
              <w:rPr>
                <w:rFonts w:cs="Calibri Light"/>
                <w:sz w:val="20"/>
                <w:szCs w:val="20"/>
              </w:rPr>
              <w:t xml:space="preserve">3 </w:t>
            </w:r>
          </w:p>
        </w:tc>
        <w:tc>
          <w:tcPr>
            <w:tcW w:w="3600" w:type="dxa"/>
            <w:vMerge/>
            <w:vAlign w:val="center"/>
          </w:tcPr>
          <w:p w14:paraId="68BF1C13" w14:textId="5CC1B17B" w:rsidR="006823BF" w:rsidRPr="00271F0D" w:rsidRDefault="006823BF" w:rsidP="00C01AA0">
            <w:pPr>
              <w:keepNext/>
              <w:keepLines/>
              <w:spacing w:before="0" w:after="0"/>
              <w:rPr>
                <w:rFonts w:cs="Calibri Light"/>
                <w:sz w:val="20"/>
                <w:szCs w:val="20"/>
              </w:rPr>
            </w:pPr>
          </w:p>
        </w:tc>
      </w:tr>
      <w:tr w:rsidR="003F202D" w:rsidRPr="008F3C5C" w14:paraId="69890FEF" w14:textId="77777777" w:rsidTr="001F6A4B">
        <w:trPr>
          <w:trHeight w:val="20"/>
        </w:trPr>
        <w:tc>
          <w:tcPr>
            <w:tcW w:w="1075" w:type="dxa"/>
            <w:vAlign w:val="center"/>
            <w:hideMark/>
          </w:tcPr>
          <w:p w14:paraId="02999BCE" w14:textId="77777777" w:rsidR="006823BF" w:rsidRPr="00271F0D" w:rsidRDefault="006823BF" w:rsidP="00B62472">
            <w:pPr>
              <w:spacing w:before="0" w:after="0"/>
              <w:rPr>
                <w:rFonts w:cs="Calibri Light"/>
                <w:sz w:val="20"/>
                <w:szCs w:val="20"/>
              </w:rPr>
            </w:pPr>
            <w:proofErr w:type="spellStart"/>
            <w:r w:rsidRPr="00271F0D">
              <w:rPr>
                <w:rFonts w:cs="Calibri Light"/>
                <w:i/>
                <w:sz w:val="20"/>
                <w:szCs w:val="20"/>
              </w:rPr>
              <w:t>T</w:t>
            </w:r>
            <w:r w:rsidRPr="00271F0D">
              <w:rPr>
                <w:rFonts w:cs="Calibri Light"/>
                <w:i/>
                <w:sz w:val="20"/>
                <w:szCs w:val="20"/>
                <w:vertAlign w:val="subscript"/>
              </w:rPr>
              <w:t>spa</w:t>
            </w:r>
            <w:proofErr w:type="spellEnd"/>
          </w:p>
        </w:tc>
        <w:tc>
          <w:tcPr>
            <w:tcW w:w="3456" w:type="dxa"/>
            <w:vAlign w:val="center"/>
            <w:hideMark/>
          </w:tcPr>
          <w:p w14:paraId="59FAE355" w14:textId="61DD3C86" w:rsidR="006823BF" w:rsidRPr="00271F0D" w:rsidRDefault="006823BF" w:rsidP="00B62472">
            <w:pPr>
              <w:spacing w:before="0" w:after="0"/>
              <w:rPr>
                <w:rFonts w:cs="Calibri Light"/>
                <w:sz w:val="20"/>
                <w:szCs w:val="20"/>
              </w:rPr>
            </w:pPr>
            <w:r w:rsidRPr="00271F0D">
              <w:rPr>
                <w:rFonts w:cs="Calibri Light"/>
                <w:sz w:val="20"/>
                <w:szCs w:val="20"/>
              </w:rPr>
              <w:t xml:space="preserve">Desired </w:t>
            </w:r>
            <w:r>
              <w:rPr>
                <w:rFonts w:cs="Calibri Light"/>
                <w:sz w:val="20"/>
                <w:szCs w:val="20"/>
              </w:rPr>
              <w:t>water t</w:t>
            </w:r>
            <w:r w:rsidRPr="00271F0D">
              <w:rPr>
                <w:rFonts w:cs="Calibri Light"/>
                <w:sz w:val="20"/>
                <w:szCs w:val="20"/>
              </w:rPr>
              <w:t>emperature</w:t>
            </w:r>
            <w:r w:rsidRPr="00384806">
              <w:rPr>
                <w:rFonts w:cs="Calibri Light"/>
                <w:sz w:val="20"/>
                <w:szCs w:val="20"/>
              </w:rPr>
              <w:t xml:space="preserve"> </w:t>
            </w:r>
            <w:r>
              <w:rPr>
                <w:rFonts w:cs="Calibri Light"/>
                <w:sz w:val="20"/>
                <w:szCs w:val="20"/>
              </w:rPr>
              <w:t>(</w:t>
            </w:r>
            <w:r w:rsidR="003D59DB">
              <w:rPr>
                <w:rFonts w:cs="Calibri Light"/>
                <w:sz w:val="20"/>
                <w:szCs w:val="22"/>
              </w:rPr>
              <w:t>°</w:t>
            </w:r>
            <w:r w:rsidRPr="00384806">
              <w:rPr>
                <w:rFonts w:cs="Calibri Light"/>
                <w:sz w:val="20"/>
                <w:szCs w:val="20"/>
              </w:rPr>
              <w:t>F</w:t>
            </w:r>
            <w:r>
              <w:rPr>
                <w:rFonts w:cs="Calibri Light"/>
                <w:sz w:val="20"/>
                <w:szCs w:val="20"/>
              </w:rPr>
              <w:t>)</w:t>
            </w:r>
          </w:p>
        </w:tc>
        <w:tc>
          <w:tcPr>
            <w:tcW w:w="1530" w:type="dxa"/>
            <w:vAlign w:val="center"/>
            <w:hideMark/>
          </w:tcPr>
          <w:p w14:paraId="08F02840" w14:textId="7F67BB6A" w:rsidR="006823BF" w:rsidRPr="00271F0D" w:rsidRDefault="006823BF" w:rsidP="001F6A4B">
            <w:pPr>
              <w:spacing w:before="0" w:after="0"/>
              <w:ind w:right="340"/>
              <w:jc w:val="right"/>
              <w:rPr>
                <w:rFonts w:cs="Calibri Light"/>
                <w:sz w:val="20"/>
                <w:szCs w:val="20"/>
              </w:rPr>
            </w:pPr>
            <w:r w:rsidRPr="00271F0D">
              <w:rPr>
                <w:rFonts w:cs="Calibri Light"/>
                <w:sz w:val="20"/>
                <w:szCs w:val="20"/>
              </w:rPr>
              <w:t xml:space="preserve">90 </w:t>
            </w:r>
            <w:r w:rsidR="003D59DB">
              <w:rPr>
                <w:rFonts w:cs="Calibri Light"/>
                <w:sz w:val="20"/>
                <w:szCs w:val="22"/>
              </w:rPr>
              <w:t>°</w:t>
            </w:r>
            <w:r w:rsidRPr="00271F0D">
              <w:rPr>
                <w:rFonts w:cs="Calibri Light"/>
                <w:sz w:val="20"/>
                <w:szCs w:val="20"/>
              </w:rPr>
              <w:t>F</w:t>
            </w:r>
          </w:p>
        </w:tc>
        <w:tc>
          <w:tcPr>
            <w:tcW w:w="3600" w:type="dxa"/>
            <w:vMerge/>
            <w:vAlign w:val="center"/>
          </w:tcPr>
          <w:p w14:paraId="0044C6BE" w14:textId="0E7C4C67" w:rsidR="006823BF" w:rsidRPr="00271F0D" w:rsidRDefault="006823BF" w:rsidP="00B62472">
            <w:pPr>
              <w:spacing w:before="0" w:after="0"/>
              <w:rPr>
                <w:rFonts w:cs="Calibri Light"/>
                <w:sz w:val="20"/>
                <w:szCs w:val="20"/>
              </w:rPr>
            </w:pPr>
          </w:p>
        </w:tc>
      </w:tr>
      <w:tr w:rsidR="003F202D" w:rsidRPr="00271F0D" w14:paraId="5CABAA7F" w14:textId="77777777" w:rsidTr="001F6A4B">
        <w:trPr>
          <w:trHeight w:val="20"/>
        </w:trPr>
        <w:tc>
          <w:tcPr>
            <w:tcW w:w="1075" w:type="dxa"/>
            <w:vAlign w:val="center"/>
            <w:hideMark/>
          </w:tcPr>
          <w:p w14:paraId="4A352468" w14:textId="77777777" w:rsidR="006823BF" w:rsidRPr="001F6A4B" w:rsidRDefault="006823BF" w:rsidP="00B62472">
            <w:pPr>
              <w:spacing w:before="0" w:after="0"/>
              <w:rPr>
                <w:rFonts w:cs="Calibri Light"/>
                <w:sz w:val="20"/>
                <w:szCs w:val="20"/>
              </w:rPr>
            </w:pPr>
            <w:proofErr w:type="spellStart"/>
            <w:r w:rsidRPr="001F6A4B">
              <w:rPr>
                <w:rFonts w:cs="Calibri Light"/>
                <w:sz w:val="20"/>
                <w:szCs w:val="20"/>
              </w:rPr>
              <w:t>Q</w:t>
            </w:r>
            <w:r w:rsidRPr="001F6A4B">
              <w:rPr>
                <w:rFonts w:cs="Calibri Light"/>
                <w:i/>
                <w:sz w:val="20"/>
                <w:szCs w:val="20"/>
                <w:vertAlign w:val="subscript"/>
              </w:rPr>
              <w:t>spa</w:t>
            </w:r>
            <w:proofErr w:type="spellEnd"/>
          </w:p>
        </w:tc>
        <w:tc>
          <w:tcPr>
            <w:tcW w:w="3456" w:type="dxa"/>
            <w:vAlign w:val="center"/>
            <w:hideMark/>
          </w:tcPr>
          <w:p w14:paraId="73C2972C" w14:textId="498DD070" w:rsidR="006823BF" w:rsidRPr="00271F0D" w:rsidRDefault="006823BF" w:rsidP="00B62472">
            <w:pPr>
              <w:spacing w:before="0" w:after="0"/>
              <w:rPr>
                <w:rFonts w:cs="Calibri Light"/>
                <w:sz w:val="20"/>
                <w:szCs w:val="20"/>
              </w:rPr>
            </w:pPr>
            <w:r w:rsidRPr="001F6A4B">
              <w:rPr>
                <w:rFonts w:cs="Calibri Light"/>
                <w:sz w:val="20"/>
                <w:szCs w:val="20"/>
              </w:rPr>
              <w:t>Spa heater capacity</w:t>
            </w:r>
            <w:r>
              <w:rPr>
                <w:rFonts w:cs="Calibri Light"/>
                <w:sz w:val="20"/>
                <w:szCs w:val="20"/>
              </w:rPr>
              <w:t xml:space="preserve"> </w:t>
            </w:r>
            <w:proofErr w:type="gramStart"/>
            <w:r>
              <w:rPr>
                <w:rFonts w:cs="Calibri Light"/>
                <w:sz w:val="20"/>
                <w:szCs w:val="20"/>
              </w:rPr>
              <w:t>(</w:t>
            </w:r>
            <w:r w:rsidRPr="00384806">
              <w:rPr>
                <w:rFonts w:cs="Calibri Light"/>
                <w:sz w:val="20"/>
                <w:szCs w:val="20"/>
              </w:rPr>
              <w:t xml:space="preserve"> </w:t>
            </w:r>
            <w:proofErr w:type="spellStart"/>
            <w:r w:rsidRPr="00384806">
              <w:rPr>
                <w:rFonts w:cs="Calibri Light"/>
                <w:sz w:val="20"/>
                <w:szCs w:val="20"/>
              </w:rPr>
              <w:t>MBtu</w:t>
            </w:r>
            <w:proofErr w:type="spellEnd"/>
            <w:proofErr w:type="gramEnd"/>
            <w:r>
              <w:rPr>
                <w:rFonts w:cs="Calibri Light"/>
                <w:sz w:val="20"/>
                <w:szCs w:val="20"/>
              </w:rPr>
              <w:t>/</w:t>
            </w:r>
            <w:proofErr w:type="spellStart"/>
            <w:r w:rsidRPr="00384806">
              <w:rPr>
                <w:rFonts w:cs="Calibri Light"/>
                <w:sz w:val="20"/>
                <w:szCs w:val="20"/>
              </w:rPr>
              <w:t>h</w:t>
            </w:r>
            <w:r>
              <w:rPr>
                <w:rFonts w:cs="Calibri Light"/>
                <w:sz w:val="20"/>
                <w:szCs w:val="20"/>
              </w:rPr>
              <w:t>r</w:t>
            </w:r>
            <w:proofErr w:type="spellEnd"/>
            <w:r>
              <w:rPr>
                <w:rFonts w:cs="Calibri Light"/>
                <w:sz w:val="20"/>
                <w:szCs w:val="20"/>
              </w:rPr>
              <w:t>)</w:t>
            </w:r>
          </w:p>
        </w:tc>
        <w:tc>
          <w:tcPr>
            <w:tcW w:w="1530" w:type="dxa"/>
            <w:vAlign w:val="center"/>
            <w:hideMark/>
          </w:tcPr>
          <w:p w14:paraId="0B2E7AAF" w14:textId="60822723" w:rsidR="006823BF" w:rsidRPr="00271F0D" w:rsidRDefault="006823BF" w:rsidP="001F6A4B">
            <w:pPr>
              <w:spacing w:before="0" w:after="0"/>
              <w:ind w:right="340"/>
              <w:jc w:val="right"/>
              <w:rPr>
                <w:rFonts w:cs="Calibri Light"/>
                <w:sz w:val="20"/>
                <w:szCs w:val="20"/>
              </w:rPr>
            </w:pPr>
            <w:r w:rsidRPr="00271F0D">
              <w:rPr>
                <w:rFonts w:cs="Calibri Light"/>
                <w:sz w:val="20"/>
                <w:szCs w:val="20"/>
              </w:rPr>
              <w:t xml:space="preserve">200 </w:t>
            </w:r>
          </w:p>
        </w:tc>
        <w:tc>
          <w:tcPr>
            <w:tcW w:w="3600" w:type="dxa"/>
            <w:vMerge/>
            <w:vAlign w:val="center"/>
          </w:tcPr>
          <w:p w14:paraId="11253D41" w14:textId="0F1C7B3E" w:rsidR="006823BF" w:rsidRPr="00271F0D" w:rsidRDefault="006823BF" w:rsidP="00B62472">
            <w:pPr>
              <w:spacing w:before="0" w:after="0"/>
              <w:rPr>
                <w:rFonts w:cs="Calibri Light"/>
                <w:sz w:val="20"/>
                <w:szCs w:val="20"/>
              </w:rPr>
            </w:pPr>
          </w:p>
        </w:tc>
      </w:tr>
      <w:tr w:rsidR="003F202D" w:rsidRPr="00271F0D" w14:paraId="4890F6AC" w14:textId="77777777" w:rsidTr="001F6A4B">
        <w:trPr>
          <w:trHeight w:val="20"/>
        </w:trPr>
        <w:tc>
          <w:tcPr>
            <w:tcW w:w="1075" w:type="dxa"/>
            <w:vAlign w:val="center"/>
          </w:tcPr>
          <w:p w14:paraId="00C4D306" w14:textId="69FE7A50" w:rsidR="006823BF" w:rsidRPr="006823BF" w:rsidRDefault="006823BF" w:rsidP="00B62472">
            <w:pPr>
              <w:spacing w:before="0" w:after="0"/>
              <w:rPr>
                <w:rFonts w:cs="Calibri Light"/>
                <w:sz w:val="20"/>
                <w:szCs w:val="20"/>
              </w:rPr>
            </w:pPr>
            <w:proofErr w:type="spellStart"/>
            <w:r w:rsidRPr="00271F0D">
              <w:rPr>
                <w:rFonts w:cs="Calibri Light"/>
                <w:sz w:val="20"/>
                <w:szCs w:val="20"/>
              </w:rPr>
              <w:t>ƞ</w:t>
            </w:r>
            <w:r w:rsidRPr="00271F0D">
              <w:rPr>
                <w:rFonts w:cs="Calibri Light"/>
                <w:sz w:val="20"/>
                <w:szCs w:val="20"/>
                <w:vertAlign w:val="subscript"/>
              </w:rPr>
              <w:t>post</w:t>
            </w:r>
            <w:proofErr w:type="spellEnd"/>
            <w:r w:rsidRPr="00271F0D">
              <w:rPr>
                <w:rFonts w:cs="Calibri Light"/>
                <w:sz w:val="20"/>
                <w:szCs w:val="20"/>
                <w:vertAlign w:val="subscript"/>
              </w:rPr>
              <w:t xml:space="preserve"> Avg</w:t>
            </w:r>
          </w:p>
        </w:tc>
        <w:tc>
          <w:tcPr>
            <w:tcW w:w="3456" w:type="dxa"/>
            <w:vAlign w:val="center"/>
          </w:tcPr>
          <w:p w14:paraId="19E03A37" w14:textId="62A74EE3" w:rsidR="006823BF" w:rsidRPr="006823BF" w:rsidRDefault="006823BF" w:rsidP="00B62472">
            <w:pPr>
              <w:spacing w:before="0" w:after="0"/>
              <w:rPr>
                <w:rFonts w:cs="Calibri Light"/>
                <w:sz w:val="20"/>
                <w:szCs w:val="20"/>
              </w:rPr>
            </w:pPr>
            <w:r>
              <w:rPr>
                <w:rFonts w:cs="Calibri Light"/>
                <w:sz w:val="20"/>
                <w:szCs w:val="20"/>
              </w:rPr>
              <w:t>Measure case thermal</w:t>
            </w:r>
            <w:r w:rsidRPr="00271F0D">
              <w:rPr>
                <w:rFonts w:cs="Calibri Light"/>
                <w:sz w:val="20"/>
                <w:szCs w:val="20"/>
              </w:rPr>
              <w:t xml:space="preserve"> efficiency </w:t>
            </w:r>
            <w:r>
              <w:rPr>
                <w:sz w:val="20"/>
                <w:szCs w:val="22"/>
              </w:rPr>
              <w:t>(TE, %)</w:t>
            </w:r>
          </w:p>
        </w:tc>
        <w:tc>
          <w:tcPr>
            <w:tcW w:w="1530" w:type="dxa"/>
            <w:vAlign w:val="center"/>
          </w:tcPr>
          <w:p w14:paraId="4A2609D3" w14:textId="478A5605" w:rsidR="006823BF" w:rsidRPr="00271F0D" w:rsidRDefault="006823BF" w:rsidP="00B62472">
            <w:pPr>
              <w:spacing w:before="0" w:after="0"/>
              <w:ind w:right="340"/>
              <w:jc w:val="right"/>
              <w:rPr>
                <w:rFonts w:cs="Calibri Light"/>
                <w:sz w:val="20"/>
                <w:szCs w:val="20"/>
              </w:rPr>
            </w:pPr>
            <w:r w:rsidRPr="00271F0D">
              <w:rPr>
                <w:rFonts w:cs="Calibri Light"/>
                <w:sz w:val="20"/>
                <w:szCs w:val="20"/>
              </w:rPr>
              <w:t>85%</w:t>
            </w:r>
          </w:p>
        </w:tc>
        <w:tc>
          <w:tcPr>
            <w:tcW w:w="3600" w:type="dxa"/>
            <w:vMerge/>
            <w:vAlign w:val="center"/>
          </w:tcPr>
          <w:p w14:paraId="3053D1B0" w14:textId="77777777" w:rsidR="006823BF" w:rsidRPr="00271F0D" w:rsidRDefault="006823BF" w:rsidP="00B62472">
            <w:pPr>
              <w:spacing w:before="0" w:after="0"/>
              <w:rPr>
                <w:rFonts w:cs="Calibri Light"/>
                <w:sz w:val="20"/>
                <w:szCs w:val="20"/>
              </w:rPr>
            </w:pPr>
          </w:p>
        </w:tc>
      </w:tr>
      <w:tr w:rsidR="006823BF" w:rsidRPr="00271F0D" w14:paraId="58A3DDD5" w14:textId="77777777" w:rsidTr="001F6A4B">
        <w:trPr>
          <w:trHeight w:val="20"/>
        </w:trPr>
        <w:tc>
          <w:tcPr>
            <w:tcW w:w="1075" w:type="dxa"/>
            <w:vAlign w:val="center"/>
            <w:hideMark/>
          </w:tcPr>
          <w:p w14:paraId="6B52C74D" w14:textId="77777777" w:rsidR="008F3C5C" w:rsidRPr="00271F0D" w:rsidRDefault="008F3C5C" w:rsidP="00B62472">
            <w:pPr>
              <w:spacing w:before="0" w:after="0"/>
              <w:rPr>
                <w:rFonts w:cs="Calibri Light"/>
                <w:sz w:val="20"/>
                <w:szCs w:val="20"/>
              </w:rPr>
            </w:pPr>
            <w:r w:rsidRPr="00271F0D">
              <w:rPr>
                <w:rFonts w:cs="Calibri Light"/>
                <w:sz w:val="20"/>
                <w:szCs w:val="20"/>
              </w:rPr>
              <w:t>Ƞ</w:t>
            </w:r>
            <w:r w:rsidRPr="00271F0D">
              <w:rPr>
                <w:rFonts w:cs="Calibri Light"/>
                <w:sz w:val="20"/>
                <w:szCs w:val="20"/>
                <w:vertAlign w:val="subscript"/>
              </w:rPr>
              <w:t xml:space="preserve">base </w:t>
            </w:r>
          </w:p>
        </w:tc>
        <w:tc>
          <w:tcPr>
            <w:tcW w:w="3456" w:type="dxa"/>
            <w:vAlign w:val="center"/>
            <w:hideMark/>
          </w:tcPr>
          <w:p w14:paraId="61B4D540" w14:textId="25435F79" w:rsidR="008F3C5C" w:rsidRPr="00271F0D" w:rsidRDefault="008F3C5C" w:rsidP="00B62472">
            <w:pPr>
              <w:spacing w:before="0" w:after="0"/>
              <w:rPr>
                <w:rFonts w:cs="Calibri Light"/>
                <w:sz w:val="20"/>
                <w:szCs w:val="20"/>
              </w:rPr>
            </w:pPr>
            <w:r w:rsidRPr="00271F0D">
              <w:rPr>
                <w:rFonts w:cs="Calibri Light"/>
                <w:sz w:val="20"/>
                <w:szCs w:val="20"/>
              </w:rPr>
              <w:t xml:space="preserve">Baseline </w:t>
            </w:r>
            <w:r>
              <w:rPr>
                <w:rFonts w:cs="Calibri Light"/>
                <w:sz w:val="20"/>
                <w:szCs w:val="20"/>
              </w:rPr>
              <w:t>t</w:t>
            </w:r>
            <w:r w:rsidRPr="00271F0D">
              <w:rPr>
                <w:rFonts w:cs="Calibri Light"/>
                <w:sz w:val="20"/>
                <w:szCs w:val="20"/>
              </w:rPr>
              <w:t xml:space="preserve">hermal </w:t>
            </w:r>
            <w:r>
              <w:rPr>
                <w:rFonts w:cs="Calibri Light"/>
                <w:sz w:val="20"/>
                <w:szCs w:val="20"/>
              </w:rPr>
              <w:t>e</w:t>
            </w:r>
            <w:r w:rsidRPr="00271F0D">
              <w:rPr>
                <w:rFonts w:cs="Calibri Light"/>
                <w:sz w:val="20"/>
                <w:szCs w:val="20"/>
              </w:rPr>
              <w:t>fficiency</w:t>
            </w:r>
            <w:r w:rsidR="003F202D">
              <w:rPr>
                <w:rFonts w:cs="Calibri Light"/>
                <w:sz w:val="20"/>
                <w:szCs w:val="20"/>
              </w:rPr>
              <w:t xml:space="preserve"> </w:t>
            </w:r>
            <w:r>
              <w:rPr>
                <w:sz w:val="20"/>
                <w:szCs w:val="22"/>
              </w:rPr>
              <w:t>(TE, %)</w:t>
            </w:r>
          </w:p>
        </w:tc>
        <w:tc>
          <w:tcPr>
            <w:tcW w:w="1530" w:type="dxa"/>
            <w:vAlign w:val="center"/>
            <w:hideMark/>
          </w:tcPr>
          <w:p w14:paraId="7165D0E3" w14:textId="77777777" w:rsidR="008F3C5C" w:rsidRPr="00271F0D" w:rsidRDefault="008F3C5C" w:rsidP="00B62472">
            <w:pPr>
              <w:spacing w:before="0" w:after="0"/>
              <w:ind w:right="340"/>
              <w:jc w:val="right"/>
              <w:rPr>
                <w:rFonts w:cs="Calibri Light"/>
                <w:sz w:val="20"/>
                <w:szCs w:val="20"/>
              </w:rPr>
            </w:pPr>
            <w:r w:rsidRPr="00271F0D">
              <w:rPr>
                <w:rFonts w:cs="Calibri Light"/>
                <w:sz w:val="20"/>
                <w:szCs w:val="20"/>
              </w:rPr>
              <w:t>82%</w:t>
            </w:r>
          </w:p>
        </w:tc>
        <w:tc>
          <w:tcPr>
            <w:tcW w:w="3600" w:type="dxa"/>
            <w:vAlign w:val="center"/>
            <w:hideMark/>
          </w:tcPr>
          <w:p w14:paraId="6A0B9018" w14:textId="77777777" w:rsidR="008F3C5C" w:rsidRPr="001F6A4B" w:rsidRDefault="008F3C5C" w:rsidP="00B62472">
            <w:pPr>
              <w:spacing w:before="0" w:after="0"/>
              <w:rPr>
                <w:rFonts w:cs="Calibri Light"/>
                <w:sz w:val="18"/>
                <w:szCs w:val="20"/>
              </w:rPr>
            </w:pPr>
            <w:r w:rsidRPr="001F6A4B">
              <w:rPr>
                <w:sz w:val="18"/>
                <w:szCs w:val="20"/>
              </w:rPr>
              <w:t xml:space="preserve">California Energy Commission (CEC). 2017. </w:t>
            </w:r>
            <w:r w:rsidRPr="001F6A4B">
              <w:rPr>
                <w:rStyle w:val="Emphasis"/>
                <w:sz w:val="18"/>
                <w:szCs w:val="20"/>
              </w:rPr>
              <w:t>2016 Appliance Efficiency Regulations</w:t>
            </w:r>
            <w:r w:rsidRPr="001F6A4B">
              <w:rPr>
                <w:sz w:val="18"/>
                <w:szCs w:val="20"/>
              </w:rPr>
              <w:t>. CEC-400-2017-002.</w:t>
            </w:r>
          </w:p>
        </w:tc>
      </w:tr>
    </w:tbl>
    <w:p w14:paraId="476DC477" w14:textId="204F4D59" w:rsidR="00F8464D" w:rsidRPr="005C36B6" w:rsidRDefault="008F3C5C" w:rsidP="00AB71BC">
      <w:r w:rsidDel="00723239">
        <w:t xml:space="preserve"> </w:t>
      </w:r>
    </w:p>
    <w:p w14:paraId="4DDCD51F" w14:textId="4F2BBAD7" w:rsidR="007D230B" w:rsidRPr="004B06E3" w:rsidRDefault="00245AFF" w:rsidP="004F3F32">
      <w:pPr>
        <w:pStyle w:val="eTRMHeading3"/>
      </w:pPr>
      <w:bookmarkStart w:id="50" w:name="_Toc25150682"/>
      <w:bookmarkStart w:id="51" w:name="_Toc486490859"/>
      <w:bookmarkStart w:id="52" w:name="_Toc486580930"/>
      <w:r w:rsidRPr="004B06E3">
        <w:t>Life Cycle</w:t>
      </w:r>
      <w:bookmarkEnd w:id="50"/>
      <w:r w:rsidR="007D230B" w:rsidRPr="004B06E3">
        <w:t xml:space="preserve"> </w:t>
      </w:r>
      <w:bookmarkEnd w:id="51"/>
      <w:bookmarkEnd w:id="52"/>
    </w:p>
    <w:p w14:paraId="6459579D" w14:textId="10990DA4" w:rsidR="00177EB6" w:rsidRDefault="007F669E" w:rsidP="004142EF">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w:t>
      </w:r>
      <w:r>
        <w:t xml:space="preserve"> </w:t>
      </w:r>
    </w:p>
    <w:p w14:paraId="06AA5F2D" w14:textId="191C7F3F" w:rsidR="00BC5A43" w:rsidRPr="00961018" w:rsidRDefault="00BC5A43" w:rsidP="00BC5A43">
      <w:r w:rsidRPr="00961018">
        <w:t>The methodology to calculate the RUL conforms with Version 5 of the Energy Efficiency Policy Manual, which recommends “one-third of the effective useful life in DEER as the remaining useful life until further study results are available to establish more accurate values.”</w:t>
      </w:r>
      <w:r w:rsidRPr="00961018">
        <w:rPr>
          <w:vertAlign w:val="superscript"/>
        </w:rPr>
        <w:footnoteReference w:id="8"/>
      </w:r>
      <w:r w:rsidRPr="00961018">
        <w:t xml:space="preserve"> This approach provides a reasonable RUL estimate without the requiring any a priori knowledge about the age of the equipment being replaced.</w:t>
      </w:r>
      <w:r w:rsidRPr="00961018">
        <w:rPr>
          <w:vertAlign w:val="superscript"/>
        </w:rPr>
        <w:footnoteReference w:id="9"/>
      </w:r>
      <w:r w:rsidRPr="00961018">
        <w:t xml:space="preserve"> Further, as per Resolution E-4807, the California Public Utilities Commission (CPUC) revised add-on measures so that the EUL of the measure is equal to the lower of the RUL of the modified system or equipment or the EUL of the add-on component.” </w:t>
      </w:r>
      <w:r w:rsidRPr="00961018">
        <w:rPr>
          <w:vertAlign w:val="superscript"/>
        </w:rPr>
        <w:footnoteReference w:id="10"/>
      </w:r>
    </w:p>
    <w:p w14:paraId="0D840B0B" w14:textId="736A2FF6" w:rsidR="00472075" w:rsidRDefault="007F669E" w:rsidP="00305515">
      <w:r>
        <w:t>The EUL and RUL</w:t>
      </w:r>
      <w:r w:rsidR="001F196B">
        <w:t xml:space="preserve"> for </w:t>
      </w:r>
      <w:r w:rsidR="00297AAE">
        <w:t>a residential pool or s</w:t>
      </w:r>
      <w:r w:rsidR="001F196B">
        <w:t xml:space="preserve">pa </w:t>
      </w:r>
      <w:r w:rsidR="00297AAE">
        <w:t>h</w:t>
      </w:r>
      <w:r w:rsidR="001F196B">
        <w:t xml:space="preserve">eater </w:t>
      </w:r>
      <w:proofErr w:type="gramStart"/>
      <w:r w:rsidR="001F196B">
        <w:t>are</w:t>
      </w:r>
      <w:proofErr w:type="gramEnd"/>
      <w:r>
        <w:t xml:space="preserve"> </w:t>
      </w:r>
      <w:r w:rsidR="0026110B">
        <w:t>specified below</w:t>
      </w:r>
      <w:r w:rsidR="001F196B">
        <w:t>.</w:t>
      </w:r>
      <w:r w:rsidR="00B62472">
        <w:t xml:space="preserve"> </w:t>
      </w:r>
      <w:r w:rsidR="00545202">
        <w:t xml:space="preserve">A </w:t>
      </w:r>
      <w:r w:rsidR="003857FE" w:rsidRPr="00C172E7">
        <w:t xml:space="preserve">gas water heater for </w:t>
      </w:r>
      <w:r w:rsidR="00545202">
        <w:t xml:space="preserve">a </w:t>
      </w:r>
      <w:r w:rsidR="003857FE" w:rsidRPr="00C172E7">
        <w:t xml:space="preserve">pool </w:t>
      </w:r>
      <w:r w:rsidR="00545202">
        <w:t>or</w:t>
      </w:r>
      <w:r w:rsidR="00545202" w:rsidRPr="00C172E7">
        <w:t xml:space="preserve"> </w:t>
      </w:r>
      <w:r w:rsidR="003857FE" w:rsidRPr="00C172E7">
        <w:t xml:space="preserve">spa </w:t>
      </w:r>
      <w:r w:rsidR="00545202">
        <w:t>is</w:t>
      </w:r>
      <w:r w:rsidR="00545202" w:rsidRPr="00C172E7">
        <w:t xml:space="preserve"> </w:t>
      </w:r>
      <w:r w:rsidR="003857FE" w:rsidRPr="00C172E7">
        <w:t xml:space="preserve">expected </w:t>
      </w:r>
      <w:r w:rsidR="00450C21">
        <w:t xml:space="preserve">to </w:t>
      </w:r>
      <w:r w:rsidR="003857FE" w:rsidRPr="00C172E7">
        <w:t xml:space="preserve">have </w:t>
      </w:r>
      <w:r w:rsidR="00545202">
        <w:t xml:space="preserve">a </w:t>
      </w:r>
      <w:r w:rsidR="00450C21">
        <w:t xml:space="preserve">similar </w:t>
      </w:r>
      <w:r w:rsidR="00545202">
        <w:t xml:space="preserve">expected </w:t>
      </w:r>
      <w:r w:rsidR="00450C21">
        <w:t>life</w:t>
      </w:r>
      <w:r w:rsidR="00545202">
        <w:t>time</w:t>
      </w:r>
      <w:r w:rsidR="00450C21">
        <w:t xml:space="preserve"> as </w:t>
      </w:r>
      <w:r w:rsidR="00545202">
        <w:t xml:space="preserve">a </w:t>
      </w:r>
      <w:r w:rsidR="00450C21">
        <w:t>pool pump</w:t>
      </w:r>
      <w:r w:rsidR="00545202">
        <w:t>.</w:t>
      </w:r>
      <w:r w:rsidR="003857FE" w:rsidRPr="00C172E7">
        <w:t xml:space="preserve"> </w:t>
      </w:r>
      <w:r w:rsidR="00545202">
        <w:t xml:space="preserve">Additionally, an EUL ID </w:t>
      </w:r>
      <w:r w:rsidR="00B62472">
        <w:t xml:space="preserve">specifically </w:t>
      </w:r>
      <w:r w:rsidR="00545202">
        <w:t xml:space="preserve">for a residential pool or spa heater is not available. </w:t>
      </w:r>
      <w:r w:rsidR="00472075">
        <w:t>Thus, t</w:t>
      </w:r>
      <w:r w:rsidR="00472075" w:rsidRPr="004F3505">
        <w:t xml:space="preserve">he EUL for </w:t>
      </w:r>
      <w:r w:rsidR="00AB7DBC">
        <w:t xml:space="preserve">a </w:t>
      </w:r>
      <w:r w:rsidR="00545202" w:rsidRPr="004F3505">
        <w:t xml:space="preserve">residential high efficiency pool pump </w:t>
      </w:r>
      <w:r w:rsidR="00545202">
        <w:t xml:space="preserve">is adopted for this measure. </w:t>
      </w:r>
      <w:r w:rsidR="006A46BB">
        <w:t>Th</w:t>
      </w:r>
      <w:r w:rsidR="006A46BB" w:rsidRPr="006A46BB">
        <w:t>e estimated lifetime of a high-efficiency pool pump was derived from a Codes and Standards Enhancement (CASE) initiative study that assessed the impact of proposed revisions to the California Appliance Efficiency Regulations (Title 20) relating to pools and spas.</w:t>
      </w:r>
      <w:r w:rsidR="006A46BB">
        <w:rPr>
          <w:rStyle w:val="FootnoteReference"/>
        </w:rPr>
        <w:footnoteReference w:id="11"/>
      </w:r>
      <w:r w:rsidR="006A46BB" w:rsidRPr="006A46BB">
        <w:t> </w:t>
      </w:r>
      <w:r w:rsidR="006A46BB">
        <w:t xml:space="preserve"> </w:t>
      </w:r>
      <w:r w:rsidR="00305515" w:rsidRPr="001F6A4B">
        <w:t>Note that RUL is only applicable for add-on equipment and accelerated replacement measures and is not applicable for this measure.</w:t>
      </w:r>
    </w:p>
    <w:p w14:paraId="7D542FEF" w14:textId="55C7ECFE" w:rsidR="00FD2C54" w:rsidRPr="00920905" w:rsidRDefault="00FD2C54" w:rsidP="00562B44">
      <w:pPr>
        <w:pStyle w:val="Caption"/>
      </w:pPr>
      <w:r>
        <w:lastRenderedPageBreak/>
        <w:t>Effective Useful Life</w:t>
      </w:r>
      <w:r w:rsidR="00BB4F22">
        <w:t xml:space="preserve"> and Remaining Useful Life</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615"/>
        <w:gridCol w:w="1170"/>
        <w:gridCol w:w="6750"/>
      </w:tblGrid>
      <w:tr w:rsidR="00485834" w:rsidRPr="00500C4E" w14:paraId="1FE81044" w14:textId="0C091959" w:rsidTr="0026110B">
        <w:trPr>
          <w:cantSplit/>
          <w:trHeight w:val="20"/>
        </w:trPr>
        <w:tc>
          <w:tcPr>
            <w:tcW w:w="1615" w:type="dxa"/>
            <w:shd w:val="clear" w:color="auto" w:fill="F2F2F2" w:themeFill="background1" w:themeFillShade="F2"/>
            <w:vAlign w:val="bottom"/>
          </w:tcPr>
          <w:p w14:paraId="1666F440" w14:textId="31AB2C31" w:rsidR="00485834" w:rsidRPr="00694410" w:rsidRDefault="00485834" w:rsidP="009C31A4">
            <w:pPr>
              <w:keepNext/>
              <w:keepLines/>
              <w:spacing w:before="20" w:after="20"/>
              <w:jc w:val="center"/>
              <w:rPr>
                <w:rFonts w:cstheme="minorHAnsi"/>
                <w:b/>
                <w:sz w:val="20"/>
                <w:szCs w:val="20"/>
              </w:rPr>
            </w:pPr>
            <w:r>
              <w:rPr>
                <w:rFonts w:cstheme="minorHAnsi"/>
                <w:b/>
                <w:sz w:val="20"/>
                <w:szCs w:val="20"/>
              </w:rPr>
              <w:t>Parameter</w:t>
            </w:r>
          </w:p>
        </w:tc>
        <w:tc>
          <w:tcPr>
            <w:tcW w:w="1170" w:type="dxa"/>
            <w:shd w:val="clear" w:color="auto" w:fill="F2F2F2" w:themeFill="background1" w:themeFillShade="F2"/>
          </w:tcPr>
          <w:p w14:paraId="18E57BF8" w14:textId="7074E315" w:rsidR="00485834" w:rsidRPr="00694410" w:rsidRDefault="00485834" w:rsidP="009C31A4">
            <w:pPr>
              <w:keepNext/>
              <w:keepLines/>
              <w:spacing w:before="20" w:after="20"/>
              <w:jc w:val="center"/>
              <w:rPr>
                <w:rFonts w:cstheme="minorHAnsi"/>
                <w:b/>
                <w:sz w:val="20"/>
                <w:szCs w:val="20"/>
              </w:rPr>
            </w:pPr>
            <w:r>
              <w:rPr>
                <w:rFonts w:cstheme="minorHAnsi"/>
                <w:b/>
                <w:sz w:val="20"/>
                <w:szCs w:val="20"/>
              </w:rPr>
              <w:t>Value</w:t>
            </w:r>
          </w:p>
        </w:tc>
        <w:tc>
          <w:tcPr>
            <w:tcW w:w="6750" w:type="dxa"/>
            <w:shd w:val="clear" w:color="auto" w:fill="F2F2F2" w:themeFill="background1" w:themeFillShade="F2"/>
          </w:tcPr>
          <w:p w14:paraId="541E1750" w14:textId="139E5C00" w:rsidR="00485834" w:rsidRPr="00694410" w:rsidRDefault="00485834" w:rsidP="009C31A4">
            <w:pPr>
              <w:keepNext/>
              <w:keepLines/>
              <w:spacing w:before="20" w:after="20"/>
              <w:jc w:val="center"/>
              <w:rPr>
                <w:rFonts w:cstheme="minorHAnsi"/>
                <w:b/>
                <w:sz w:val="20"/>
                <w:szCs w:val="20"/>
              </w:rPr>
            </w:pPr>
            <w:r w:rsidRPr="00C172E7">
              <w:rPr>
                <w:rFonts w:cstheme="minorHAnsi"/>
                <w:b/>
                <w:sz w:val="20"/>
                <w:szCs w:val="20"/>
              </w:rPr>
              <w:t>Source</w:t>
            </w:r>
          </w:p>
        </w:tc>
      </w:tr>
      <w:tr w:rsidR="00485834" w:rsidRPr="00500C4E" w14:paraId="7B636A73" w14:textId="217149CE" w:rsidTr="001F6A4B">
        <w:trPr>
          <w:cantSplit/>
          <w:trHeight w:val="20"/>
        </w:trPr>
        <w:tc>
          <w:tcPr>
            <w:tcW w:w="1615" w:type="dxa"/>
            <w:vAlign w:val="center"/>
          </w:tcPr>
          <w:p w14:paraId="64E6D65F" w14:textId="733BC88E" w:rsidR="00485834" w:rsidRPr="00177EB6" w:rsidRDefault="00485834" w:rsidP="00305515">
            <w:pPr>
              <w:keepNext/>
              <w:keepLines/>
              <w:spacing w:before="20" w:after="20"/>
              <w:rPr>
                <w:sz w:val="20"/>
                <w:szCs w:val="20"/>
              </w:rPr>
            </w:pPr>
            <w:r w:rsidRPr="00177EB6">
              <w:rPr>
                <w:rFonts w:cstheme="minorHAnsi"/>
                <w:sz w:val="20"/>
                <w:szCs w:val="20"/>
              </w:rPr>
              <w:t>EUL (</w:t>
            </w:r>
            <w:proofErr w:type="spellStart"/>
            <w:r>
              <w:rPr>
                <w:rFonts w:cstheme="minorHAnsi"/>
                <w:sz w:val="20"/>
                <w:szCs w:val="20"/>
              </w:rPr>
              <w:t>yrs</w:t>
            </w:r>
            <w:proofErr w:type="spellEnd"/>
            <w:r w:rsidRPr="00177EB6">
              <w:rPr>
                <w:rFonts w:cstheme="minorHAnsi"/>
                <w:sz w:val="20"/>
                <w:szCs w:val="20"/>
              </w:rPr>
              <w:t>)</w:t>
            </w:r>
            <w:r w:rsidR="00561400">
              <w:rPr>
                <w:rFonts w:cstheme="minorHAnsi"/>
                <w:sz w:val="20"/>
                <w:szCs w:val="20"/>
              </w:rPr>
              <w:t xml:space="preserve"> </w:t>
            </w:r>
          </w:p>
        </w:tc>
        <w:tc>
          <w:tcPr>
            <w:tcW w:w="1170" w:type="dxa"/>
            <w:vAlign w:val="center"/>
          </w:tcPr>
          <w:p w14:paraId="636160CC" w14:textId="3FB3AFA6" w:rsidR="00485834" w:rsidRPr="0026110B" w:rsidRDefault="00613FFE" w:rsidP="00305515">
            <w:pPr>
              <w:keepNext/>
              <w:keepLines/>
              <w:spacing w:before="20" w:after="20"/>
              <w:jc w:val="center"/>
              <w:rPr>
                <w:sz w:val="20"/>
                <w:szCs w:val="20"/>
              </w:rPr>
            </w:pPr>
            <w:r>
              <w:rPr>
                <w:sz w:val="20"/>
                <w:szCs w:val="20"/>
              </w:rPr>
              <w:t>10</w:t>
            </w:r>
            <w:r w:rsidR="00305515">
              <w:rPr>
                <w:sz w:val="20"/>
                <w:szCs w:val="20"/>
              </w:rPr>
              <w:t>.0</w:t>
            </w:r>
          </w:p>
        </w:tc>
        <w:tc>
          <w:tcPr>
            <w:tcW w:w="6750" w:type="dxa"/>
          </w:tcPr>
          <w:p w14:paraId="12293357" w14:textId="000908EE" w:rsidR="00485834" w:rsidRPr="001F6A4B" w:rsidRDefault="00B62472" w:rsidP="001F6A4B">
            <w:pPr>
              <w:rPr>
                <w:rFonts w:cs="Calibri Light"/>
                <w:sz w:val="18"/>
                <w:szCs w:val="18"/>
                <w:highlight w:val="lightGray"/>
              </w:rPr>
            </w:pPr>
            <w:r w:rsidRPr="001F6A4B">
              <w:rPr>
                <w:rFonts w:cs="Calibri Light"/>
                <w:sz w:val="18"/>
                <w:szCs w:val="18"/>
                <w:shd w:val="clear" w:color="auto" w:fill="FFFFFF"/>
              </w:rPr>
              <w:t>Davis Energy Group and Energy Solutions. 2004. </w:t>
            </w:r>
            <w:r w:rsidRPr="001F6A4B">
              <w:rPr>
                <w:rStyle w:val="Emphasis"/>
                <w:rFonts w:cs="Calibri Light"/>
                <w:i w:val="0"/>
                <w:iCs w:val="0"/>
                <w:color w:val="292929"/>
                <w:sz w:val="18"/>
                <w:szCs w:val="18"/>
                <w:shd w:val="clear" w:color="auto" w:fill="FFFFFF"/>
              </w:rPr>
              <w:t>Codes and Standards Enhancement Initiative for PY2004: Title 20 Standards Development - Analysis of Standards Options for Residential Pool Pumps, Motors, and Controls. </w:t>
            </w:r>
            <w:r w:rsidRPr="001F6A4B">
              <w:rPr>
                <w:rFonts w:cs="Calibri Light"/>
                <w:sz w:val="18"/>
                <w:szCs w:val="18"/>
                <w:shd w:val="clear" w:color="auto" w:fill="FFFFFF"/>
              </w:rPr>
              <w:t>Prepared for Pacific Gas and Electric (PG&amp;E). May 12.</w:t>
            </w:r>
          </w:p>
        </w:tc>
      </w:tr>
      <w:tr w:rsidR="00462F22" w:rsidRPr="00500C4E" w14:paraId="71871DE1" w14:textId="51A3395E" w:rsidTr="0026110B">
        <w:trPr>
          <w:cantSplit/>
          <w:trHeight w:val="20"/>
        </w:trPr>
        <w:tc>
          <w:tcPr>
            <w:tcW w:w="1615" w:type="dxa"/>
          </w:tcPr>
          <w:p w14:paraId="4BA48D82" w14:textId="5EFD77B9" w:rsidR="00462F22" w:rsidRPr="00177EB6" w:rsidRDefault="00462F22" w:rsidP="00462F22">
            <w:pPr>
              <w:keepNext/>
              <w:keepLines/>
              <w:spacing w:before="20" w:after="20"/>
              <w:rPr>
                <w:sz w:val="20"/>
                <w:szCs w:val="20"/>
              </w:rPr>
            </w:pPr>
            <w:r w:rsidRPr="00177EB6">
              <w:rPr>
                <w:rFonts w:cstheme="minorHAnsi"/>
                <w:sz w:val="20"/>
                <w:szCs w:val="20"/>
              </w:rPr>
              <w:t>RUL (</w:t>
            </w:r>
            <w:proofErr w:type="spellStart"/>
            <w:r>
              <w:rPr>
                <w:rFonts w:cstheme="minorHAnsi"/>
                <w:sz w:val="20"/>
                <w:szCs w:val="20"/>
              </w:rPr>
              <w:t>yrs</w:t>
            </w:r>
            <w:proofErr w:type="spellEnd"/>
            <w:r w:rsidRPr="00177EB6">
              <w:rPr>
                <w:rFonts w:cstheme="minorHAnsi"/>
                <w:sz w:val="20"/>
                <w:szCs w:val="20"/>
              </w:rPr>
              <w:t>)</w:t>
            </w:r>
          </w:p>
        </w:tc>
        <w:tc>
          <w:tcPr>
            <w:tcW w:w="1170" w:type="dxa"/>
          </w:tcPr>
          <w:p w14:paraId="012CC38D" w14:textId="75A8342D" w:rsidR="00462F22" w:rsidRPr="0026110B" w:rsidRDefault="00305515" w:rsidP="00462F22">
            <w:pPr>
              <w:keepNext/>
              <w:keepLines/>
              <w:spacing w:before="20" w:after="20"/>
              <w:jc w:val="center"/>
              <w:rPr>
                <w:sz w:val="20"/>
                <w:szCs w:val="20"/>
              </w:rPr>
            </w:pPr>
            <w:r>
              <w:rPr>
                <w:sz w:val="20"/>
                <w:szCs w:val="20"/>
              </w:rPr>
              <w:t>n/a</w:t>
            </w:r>
          </w:p>
        </w:tc>
        <w:tc>
          <w:tcPr>
            <w:tcW w:w="6750" w:type="dxa"/>
          </w:tcPr>
          <w:p w14:paraId="7DDC9DCA" w14:textId="55B08737" w:rsidR="00462F22" w:rsidRPr="00F8464D" w:rsidRDefault="00305515" w:rsidP="00462F22">
            <w:pPr>
              <w:keepNext/>
              <w:keepLines/>
              <w:spacing w:before="20" w:after="20"/>
              <w:rPr>
                <w:sz w:val="20"/>
                <w:szCs w:val="20"/>
              </w:rPr>
            </w:pPr>
            <w:r>
              <w:rPr>
                <w:sz w:val="20"/>
                <w:szCs w:val="20"/>
              </w:rPr>
              <w:t>-</w:t>
            </w:r>
          </w:p>
        </w:tc>
      </w:tr>
    </w:tbl>
    <w:p w14:paraId="21BBC22B" w14:textId="77777777" w:rsidR="007D230B" w:rsidRPr="004B06E3" w:rsidRDefault="007D230B" w:rsidP="004142EF"/>
    <w:p w14:paraId="3B14B593" w14:textId="77777777" w:rsidR="007D230B" w:rsidRPr="004B06E3" w:rsidRDefault="007D230B" w:rsidP="004F3F32">
      <w:pPr>
        <w:pStyle w:val="eTRMHeading3"/>
      </w:pPr>
      <w:bookmarkStart w:id="53" w:name="_Toc486490860"/>
      <w:bookmarkStart w:id="54" w:name="_Toc486580931"/>
      <w:bookmarkStart w:id="55" w:name="_Toc25150683"/>
      <w:r w:rsidRPr="004B06E3">
        <w:t>Base Case Material Cost ($/unit)</w:t>
      </w:r>
      <w:bookmarkEnd w:id="53"/>
      <w:bookmarkEnd w:id="54"/>
      <w:bookmarkEnd w:id="55"/>
    </w:p>
    <w:p w14:paraId="2A5E3CDA" w14:textId="47715B3A" w:rsidR="008E693F" w:rsidRPr="00AF376B" w:rsidRDefault="006B0CF4" w:rsidP="00AF376B">
      <w:r>
        <w:t xml:space="preserve">The base case material and labor costs were derived </w:t>
      </w:r>
      <w:r w:rsidR="005865D2">
        <w:t>from data on equipment models downloaded from the California Energy Commission (</w:t>
      </w:r>
      <w:r w:rsidR="005865D2" w:rsidRPr="0019498E">
        <w:t>CEC</w:t>
      </w:r>
      <w:r w:rsidR="005865D2">
        <w:t>)</w:t>
      </w:r>
      <w:r w:rsidR="005865D2" w:rsidRPr="0019498E">
        <w:t xml:space="preserve"> </w:t>
      </w:r>
      <w:r w:rsidR="005865D2" w:rsidRPr="00384806">
        <w:rPr>
          <w:rFonts w:cs="Calibri Light"/>
          <w:szCs w:val="22"/>
          <w:shd w:val="clear" w:color="auto" w:fill="FFFFFF"/>
        </w:rPr>
        <w:t>Modernized</w:t>
      </w:r>
      <w:r w:rsidR="005865D2">
        <w:rPr>
          <w:rFonts w:cs="Calibri Light"/>
          <w:szCs w:val="22"/>
          <w:shd w:val="clear" w:color="auto" w:fill="FFFFFF"/>
        </w:rPr>
        <w:t xml:space="preserve"> </w:t>
      </w:r>
      <w:r w:rsidR="005865D2" w:rsidRPr="00384806">
        <w:rPr>
          <w:rStyle w:val="Emphasis"/>
          <w:rFonts w:cs="Calibri Light"/>
          <w:i w:val="0"/>
          <w:iCs w:val="0"/>
          <w:szCs w:val="22"/>
          <w:shd w:val="clear" w:color="auto" w:fill="FFFFFF"/>
        </w:rPr>
        <w:t>Appliance</w:t>
      </w:r>
      <w:r w:rsidR="005865D2">
        <w:rPr>
          <w:rStyle w:val="Emphasis"/>
          <w:rFonts w:cs="Calibri Light"/>
          <w:i w:val="0"/>
          <w:iCs w:val="0"/>
          <w:szCs w:val="22"/>
          <w:shd w:val="clear" w:color="auto" w:fill="FFFFFF"/>
        </w:rPr>
        <w:t xml:space="preserve"> </w:t>
      </w:r>
      <w:r w:rsidR="005865D2" w:rsidRPr="00384806">
        <w:rPr>
          <w:rFonts w:cs="Calibri Light"/>
          <w:szCs w:val="22"/>
          <w:shd w:val="clear" w:color="auto" w:fill="FFFFFF"/>
        </w:rPr>
        <w:t>Efficiency</w:t>
      </w:r>
      <w:r w:rsidR="005865D2">
        <w:rPr>
          <w:rFonts w:cs="Calibri Light"/>
          <w:szCs w:val="22"/>
          <w:shd w:val="clear" w:color="auto" w:fill="FFFFFF"/>
        </w:rPr>
        <w:t xml:space="preserve"> </w:t>
      </w:r>
      <w:r w:rsidR="005865D2" w:rsidRPr="00384806">
        <w:rPr>
          <w:rStyle w:val="Emphasis"/>
          <w:rFonts w:cs="Calibri Light"/>
          <w:i w:val="0"/>
          <w:iCs w:val="0"/>
          <w:szCs w:val="22"/>
          <w:shd w:val="clear" w:color="auto" w:fill="FFFFFF"/>
        </w:rPr>
        <w:t>Database</w:t>
      </w:r>
      <w:r w:rsidR="005865D2">
        <w:rPr>
          <w:rFonts w:cs="Calibri Light"/>
          <w:szCs w:val="22"/>
          <w:shd w:val="clear" w:color="auto" w:fill="FFFFFF"/>
        </w:rPr>
        <w:t xml:space="preserve"> </w:t>
      </w:r>
      <w:r w:rsidR="005865D2" w:rsidRPr="00384806">
        <w:rPr>
          <w:rFonts w:cs="Calibri Light"/>
          <w:szCs w:val="22"/>
          <w:shd w:val="clear" w:color="auto" w:fill="FFFFFF"/>
        </w:rPr>
        <w:t xml:space="preserve">System </w:t>
      </w:r>
      <w:r w:rsidR="005865D2">
        <w:rPr>
          <w:rFonts w:cs="Calibri Light"/>
          <w:szCs w:val="22"/>
          <w:shd w:val="clear" w:color="auto" w:fill="FFFFFF"/>
        </w:rPr>
        <w:t>(</w:t>
      </w:r>
      <w:proofErr w:type="spellStart"/>
      <w:r w:rsidR="005865D2" w:rsidRPr="00384806">
        <w:rPr>
          <w:rFonts w:cs="Calibri Light"/>
          <w:szCs w:val="22"/>
          <w:shd w:val="clear" w:color="auto" w:fill="FFFFFF"/>
        </w:rPr>
        <w:t>MAEDbS</w:t>
      </w:r>
      <w:proofErr w:type="spellEnd"/>
      <w:r w:rsidR="005865D2">
        <w:rPr>
          <w:rFonts w:cs="Calibri Light"/>
          <w:szCs w:val="22"/>
          <w:shd w:val="clear" w:color="auto" w:fill="FFFFFF"/>
        </w:rPr>
        <w:t xml:space="preserve">) </w:t>
      </w:r>
      <w:r w:rsidR="005865D2" w:rsidRPr="0019498E">
        <w:t>data and from equipment vendors that sell pool water heaters in California.</w:t>
      </w:r>
      <w:r w:rsidR="0019498E" w:rsidRPr="0019498E">
        <w:t xml:space="preserve"> </w:t>
      </w:r>
      <w:r w:rsidR="00BE23CA" w:rsidRPr="00C01AA0">
        <w:t>The table below</w:t>
      </w:r>
      <w:r w:rsidR="0019498E" w:rsidRPr="0019498E">
        <w:t xml:space="preserve"> represents an arithmetic average of the cost per </w:t>
      </w:r>
      <w:proofErr w:type="spellStart"/>
      <w:r w:rsidR="0019498E" w:rsidRPr="0019498E">
        <w:t>MBtu</w:t>
      </w:r>
      <w:proofErr w:type="spellEnd"/>
      <w:r w:rsidR="0019498E" w:rsidRPr="0019498E">
        <w:t>/</w:t>
      </w:r>
      <w:proofErr w:type="spellStart"/>
      <w:r w:rsidR="0019498E" w:rsidRPr="0019498E">
        <w:t>hr</w:t>
      </w:r>
      <w:proofErr w:type="spellEnd"/>
      <w:r w:rsidR="0019498E" w:rsidRPr="0019498E">
        <w:t xml:space="preserve"> in each category.  </w:t>
      </w:r>
    </w:p>
    <w:p w14:paraId="03515546" w14:textId="5591DF8F" w:rsidR="0019498E" w:rsidRDefault="00AF376B" w:rsidP="00562B44">
      <w:pPr>
        <w:pStyle w:val="Caption"/>
      </w:pPr>
      <w:r>
        <w:t xml:space="preserve">Base </w:t>
      </w:r>
      <w:r w:rsidR="006A46BB">
        <w:t xml:space="preserve">Case </w:t>
      </w:r>
      <w:r w:rsidR="0019498E" w:rsidRPr="0019498E">
        <w:t xml:space="preserve">Cost </w:t>
      </w:r>
      <w:r w:rsidR="006A46BB">
        <w:t xml:space="preserve">Inputs </w:t>
      </w:r>
      <w:r w:rsidR="00545202">
        <w:rPr>
          <w:rStyle w:val="FootnoteReference"/>
        </w:rPr>
        <w:footnoteReference w:id="12"/>
      </w:r>
      <w:r w:rsidR="0019498E" w:rsidRPr="0019498E">
        <w:t xml:space="preserve"> </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3456"/>
        <w:gridCol w:w="1152"/>
        <w:gridCol w:w="1152"/>
        <w:gridCol w:w="1152"/>
        <w:gridCol w:w="1152"/>
      </w:tblGrid>
      <w:tr w:rsidR="0037023A" w:rsidRPr="006B0CF4" w14:paraId="40D24293" w14:textId="77777777" w:rsidTr="00B022D8">
        <w:trPr>
          <w:trHeight w:val="288"/>
        </w:trPr>
        <w:tc>
          <w:tcPr>
            <w:tcW w:w="3456" w:type="dxa"/>
            <w:shd w:val="clear" w:color="auto" w:fill="F2F2F2" w:themeFill="background1" w:themeFillShade="F2"/>
            <w:noWrap/>
            <w:vAlign w:val="bottom"/>
            <w:hideMark/>
          </w:tcPr>
          <w:p w14:paraId="5701AEC2" w14:textId="528A1411" w:rsidR="006A46BB" w:rsidRPr="00B022D8" w:rsidRDefault="006A46BB" w:rsidP="00B022D8">
            <w:pPr>
              <w:spacing w:before="0" w:after="0"/>
              <w:jc w:val="center"/>
              <w:rPr>
                <w:b/>
                <w:bCs/>
                <w:sz w:val="20"/>
                <w:szCs w:val="22"/>
              </w:rPr>
            </w:pPr>
            <w:r w:rsidRPr="00B022D8">
              <w:rPr>
                <w:b/>
                <w:bCs/>
                <w:sz w:val="20"/>
                <w:szCs w:val="22"/>
              </w:rPr>
              <w:t>Heater Size (</w:t>
            </w:r>
            <w:proofErr w:type="spellStart"/>
            <w:r w:rsidRPr="00B022D8">
              <w:rPr>
                <w:b/>
                <w:bCs/>
                <w:sz w:val="20"/>
                <w:szCs w:val="22"/>
              </w:rPr>
              <w:t>M</w:t>
            </w:r>
            <w:r>
              <w:rPr>
                <w:b/>
                <w:bCs/>
                <w:sz w:val="20"/>
                <w:szCs w:val="22"/>
              </w:rPr>
              <w:t>Btu</w:t>
            </w:r>
            <w:proofErr w:type="spellEnd"/>
            <w:r>
              <w:rPr>
                <w:b/>
                <w:bCs/>
                <w:sz w:val="20"/>
                <w:szCs w:val="22"/>
              </w:rPr>
              <w:t>/</w:t>
            </w:r>
            <w:proofErr w:type="spellStart"/>
            <w:r>
              <w:rPr>
                <w:b/>
                <w:bCs/>
                <w:sz w:val="20"/>
                <w:szCs w:val="22"/>
              </w:rPr>
              <w:t>hr</w:t>
            </w:r>
            <w:proofErr w:type="spellEnd"/>
            <w:r w:rsidRPr="00B022D8">
              <w:rPr>
                <w:b/>
                <w:bCs/>
                <w:sz w:val="20"/>
                <w:szCs w:val="22"/>
              </w:rPr>
              <w:t>)</w:t>
            </w:r>
          </w:p>
        </w:tc>
        <w:tc>
          <w:tcPr>
            <w:tcW w:w="1152" w:type="dxa"/>
            <w:shd w:val="clear" w:color="auto" w:fill="F2F2F2" w:themeFill="background1" w:themeFillShade="F2"/>
            <w:noWrap/>
            <w:vAlign w:val="bottom"/>
            <w:hideMark/>
          </w:tcPr>
          <w:p w14:paraId="769A1EF1" w14:textId="1630B435" w:rsidR="006A46BB" w:rsidRPr="00B022D8" w:rsidRDefault="006A46BB" w:rsidP="00B022D8">
            <w:pPr>
              <w:spacing w:before="0" w:after="0"/>
              <w:jc w:val="center"/>
              <w:rPr>
                <w:b/>
                <w:bCs/>
                <w:sz w:val="20"/>
                <w:szCs w:val="22"/>
              </w:rPr>
            </w:pPr>
            <w:r>
              <w:rPr>
                <w:b/>
                <w:bCs/>
                <w:sz w:val="20"/>
                <w:szCs w:val="22"/>
              </w:rPr>
              <w:t xml:space="preserve">Thermal </w:t>
            </w:r>
            <w:r w:rsidRPr="00B022D8">
              <w:rPr>
                <w:b/>
                <w:bCs/>
                <w:sz w:val="20"/>
                <w:szCs w:val="22"/>
              </w:rPr>
              <w:t>Efficiency (% TE)</w:t>
            </w:r>
          </w:p>
        </w:tc>
        <w:tc>
          <w:tcPr>
            <w:tcW w:w="1152" w:type="dxa"/>
            <w:shd w:val="clear" w:color="auto" w:fill="F2F2F2" w:themeFill="background1" w:themeFillShade="F2"/>
            <w:noWrap/>
            <w:vAlign w:val="bottom"/>
            <w:hideMark/>
          </w:tcPr>
          <w:p w14:paraId="11A1F4EC" w14:textId="657E1B89" w:rsidR="006A46BB" w:rsidRPr="00B022D8" w:rsidRDefault="006A46BB" w:rsidP="00B022D8">
            <w:pPr>
              <w:spacing w:before="0" w:after="0"/>
              <w:jc w:val="center"/>
              <w:rPr>
                <w:b/>
                <w:bCs/>
                <w:sz w:val="20"/>
                <w:szCs w:val="22"/>
              </w:rPr>
            </w:pPr>
            <w:r w:rsidRPr="00B022D8">
              <w:rPr>
                <w:b/>
                <w:bCs/>
                <w:sz w:val="20"/>
                <w:szCs w:val="22"/>
              </w:rPr>
              <w:t>Equipment Cost ($)</w:t>
            </w:r>
          </w:p>
        </w:tc>
        <w:tc>
          <w:tcPr>
            <w:tcW w:w="1152" w:type="dxa"/>
            <w:shd w:val="clear" w:color="auto" w:fill="F2F2F2" w:themeFill="background1" w:themeFillShade="F2"/>
            <w:noWrap/>
            <w:vAlign w:val="bottom"/>
            <w:hideMark/>
          </w:tcPr>
          <w:p w14:paraId="0D3DAE78" w14:textId="31F33F25" w:rsidR="006A46BB" w:rsidRPr="00B022D8" w:rsidRDefault="006A46BB" w:rsidP="00B022D8">
            <w:pPr>
              <w:spacing w:before="0" w:after="0"/>
              <w:jc w:val="center"/>
              <w:rPr>
                <w:b/>
                <w:bCs/>
                <w:sz w:val="20"/>
                <w:szCs w:val="22"/>
              </w:rPr>
            </w:pPr>
            <w:r w:rsidRPr="00B022D8">
              <w:rPr>
                <w:b/>
                <w:bCs/>
                <w:sz w:val="20"/>
                <w:szCs w:val="22"/>
              </w:rPr>
              <w:t>Labor Cost ($)</w:t>
            </w:r>
          </w:p>
        </w:tc>
        <w:tc>
          <w:tcPr>
            <w:tcW w:w="1152" w:type="dxa"/>
            <w:shd w:val="clear" w:color="auto" w:fill="F2F2F2" w:themeFill="background1" w:themeFillShade="F2"/>
            <w:noWrap/>
            <w:vAlign w:val="bottom"/>
            <w:hideMark/>
          </w:tcPr>
          <w:p w14:paraId="125AF5EE" w14:textId="5BCA4941" w:rsidR="006A46BB" w:rsidRPr="00B022D8" w:rsidRDefault="006A46BB" w:rsidP="00B022D8">
            <w:pPr>
              <w:spacing w:before="0" w:after="0"/>
              <w:jc w:val="center"/>
              <w:rPr>
                <w:b/>
                <w:bCs/>
                <w:sz w:val="20"/>
                <w:szCs w:val="22"/>
              </w:rPr>
            </w:pPr>
            <w:r w:rsidRPr="00B022D8">
              <w:rPr>
                <w:b/>
                <w:bCs/>
                <w:sz w:val="20"/>
                <w:szCs w:val="22"/>
              </w:rPr>
              <w:t>Material Cost ($)</w:t>
            </w:r>
          </w:p>
        </w:tc>
      </w:tr>
      <w:tr w:rsidR="0037023A" w:rsidRPr="006B0CF4" w14:paraId="3D120B96" w14:textId="77777777" w:rsidTr="00B022D8">
        <w:trPr>
          <w:trHeight w:val="288"/>
        </w:trPr>
        <w:tc>
          <w:tcPr>
            <w:tcW w:w="3456" w:type="dxa"/>
            <w:noWrap/>
            <w:vAlign w:val="center"/>
            <w:hideMark/>
          </w:tcPr>
          <w:p w14:paraId="5D50DA6A" w14:textId="4154752A" w:rsidR="006A46BB" w:rsidRPr="00B022D8" w:rsidRDefault="006A46BB" w:rsidP="00B022D8">
            <w:pPr>
              <w:spacing w:before="0" w:after="0"/>
              <w:rPr>
                <w:sz w:val="20"/>
                <w:szCs w:val="22"/>
              </w:rPr>
            </w:pPr>
            <w:r w:rsidRPr="00B022D8">
              <w:rPr>
                <w:sz w:val="20"/>
                <w:szCs w:val="22"/>
              </w:rPr>
              <w:t xml:space="preserve">Base Case 400 </w:t>
            </w:r>
            <w:proofErr w:type="spellStart"/>
            <w:r w:rsidRPr="00B022D8">
              <w:rPr>
                <w:sz w:val="20"/>
                <w:szCs w:val="22"/>
              </w:rPr>
              <w:t>MB</w:t>
            </w:r>
            <w:r>
              <w:rPr>
                <w:sz w:val="20"/>
                <w:szCs w:val="22"/>
              </w:rPr>
              <w:t>t</w:t>
            </w:r>
            <w:r w:rsidRPr="00B022D8">
              <w:rPr>
                <w:sz w:val="20"/>
                <w:szCs w:val="22"/>
              </w:rPr>
              <w:t>u</w:t>
            </w:r>
            <w:proofErr w:type="spellEnd"/>
            <w:r>
              <w:rPr>
                <w:sz w:val="20"/>
                <w:szCs w:val="22"/>
              </w:rPr>
              <w:t>/</w:t>
            </w:r>
            <w:proofErr w:type="spellStart"/>
            <w:r w:rsidRPr="00B022D8">
              <w:rPr>
                <w:sz w:val="20"/>
                <w:szCs w:val="22"/>
              </w:rPr>
              <w:t>h</w:t>
            </w:r>
            <w:r>
              <w:rPr>
                <w:sz w:val="20"/>
                <w:szCs w:val="22"/>
              </w:rPr>
              <w:t>r</w:t>
            </w:r>
            <w:proofErr w:type="spellEnd"/>
            <w:r w:rsidRPr="00B022D8">
              <w:rPr>
                <w:sz w:val="20"/>
                <w:szCs w:val="22"/>
              </w:rPr>
              <w:t xml:space="preserve"> Pool Heater</w:t>
            </w:r>
          </w:p>
        </w:tc>
        <w:tc>
          <w:tcPr>
            <w:tcW w:w="1152" w:type="dxa"/>
            <w:noWrap/>
            <w:vAlign w:val="center"/>
            <w:hideMark/>
          </w:tcPr>
          <w:p w14:paraId="01D80C9F" w14:textId="77777777" w:rsidR="006A46BB" w:rsidRPr="00B022D8" w:rsidRDefault="006A46BB" w:rsidP="00B022D8">
            <w:pPr>
              <w:spacing w:before="0" w:after="0"/>
              <w:jc w:val="center"/>
              <w:rPr>
                <w:sz w:val="20"/>
                <w:szCs w:val="22"/>
              </w:rPr>
            </w:pPr>
            <w:r w:rsidRPr="00B022D8">
              <w:rPr>
                <w:sz w:val="20"/>
                <w:szCs w:val="22"/>
              </w:rPr>
              <w:t>82%</w:t>
            </w:r>
          </w:p>
        </w:tc>
        <w:tc>
          <w:tcPr>
            <w:tcW w:w="1152" w:type="dxa"/>
            <w:noWrap/>
            <w:vAlign w:val="center"/>
            <w:hideMark/>
          </w:tcPr>
          <w:p w14:paraId="5868E9C1" w14:textId="4E45F4AC" w:rsidR="006A46BB" w:rsidRPr="00B022D8" w:rsidRDefault="006A46BB" w:rsidP="00B022D8">
            <w:pPr>
              <w:spacing w:before="0" w:after="0"/>
              <w:jc w:val="center"/>
              <w:rPr>
                <w:sz w:val="20"/>
                <w:szCs w:val="22"/>
              </w:rPr>
            </w:pPr>
            <w:r w:rsidRPr="00B022D8">
              <w:rPr>
                <w:sz w:val="20"/>
                <w:szCs w:val="22"/>
              </w:rPr>
              <w:t>$2,089</w:t>
            </w:r>
          </w:p>
        </w:tc>
        <w:tc>
          <w:tcPr>
            <w:tcW w:w="1152" w:type="dxa"/>
            <w:noWrap/>
            <w:vAlign w:val="center"/>
            <w:hideMark/>
          </w:tcPr>
          <w:p w14:paraId="4BDC8195" w14:textId="6CC84D8A" w:rsidR="006A46BB" w:rsidRPr="00B022D8" w:rsidRDefault="006A46BB" w:rsidP="00B022D8">
            <w:pPr>
              <w:spacing w:before="0" w:after="0"/>
              <w:jc w:val="center"/>
              <w:rPr>
                <w:sz w:val="20"/>
                <w:szCs w:val="22"/>
              </w:rPr>
            </w:pPr>
            <w:r w:rsidRPr="00B022D8">
              <w:rPr>
                <w:sz w:val="20"/>
                <w:szCs w:val="22"/>
              </w:rPr>
              <w:t>$800</w:t>
            </w:r>
          </w:p>
        </w:tc>
        <w:tc>
          <w:tcPr>
            <w:tcW w:w="1152" w:type="dxa"/>
            <w:noWrap/>
            <w:vAlign w:val="center"/>
            <w:hideMark/>
          </w:tcPr>
          <w:p w14:paraId="65641442" w14:textId="5B5385EA" w:rsidR="006A46BB" w:rsidRPr="00B022D8" w:rsidRDefault="006A46BB" w:rsidP="00B022D8">
            <w:pPr>
              <w:spacing w:before="0" w:after="0"/>
              <w:jc w:val="center"/>
              <w:rPr>
                <w:sz w:val="20"/>
                <w:szCs w:val="22"/>
              </w:rPr>
            </w:pPr>
            <w:r w:rsidRPr="00B022D8">
              <w:rPr>
                <w:sz w:val="20"/>
                <w:szCs w:val="22"/>
              </w:rPr>
              <w:t>$0</w:t>
            </w:r>
          </w:p>
        </w:tc>
      </w:tr>
    </w:tbl>
    <w:p w14:paraId="36145FC0" w14:textId="77777777" w:rsidR="00450C21" w:rsidRDefault="00450C21" w:rsidP="00C172E7">
      <w:bookmarkStart w:id="56" w:name="_Toc486490861"/>
      <w:bookmarkStart w:id="57" w:name="_Toc486580932"/>
    </w:p>
    <w:p w14:paraId="44E8DBEB" w14:textId="3A0A3EB4" w:rsidR="007D230B" w:rsidRPr="004B06E3" w:rsidRDefault="007D230B" w:rsidP="004F3F32">
      <w:pPr>
        <w:pStyle w:val="eTRMHeading3"/>
      </w:pPr>
      <w:bookmarkStart w:id="58" w:name="_Toc25150684"/>
      <w:r w:rsidRPr="004B06E3">
        <w:t>Measure Case Material Cost ($/unit)</w:t>
      </w:r>
      <w:bookmarkEnd w:id="56"/>
      <w:bookmarkEnd w:id="57"/>
      <w:bookmarkEnd w:id="58"/>
    </w:p>
    <w:p w14:paraId="7B47493B" w14:textId="1397B9F1" w:rsidR="003D6E3D" w:rsidRPr="00F86511" w:rsidRDefault="006B0CF4" w:rsidP="003D6E3D">
      <w:pPr>
        <w:rPr>
          <w:szCs w:val="22"/>
        </w:rPr>
      </w:pPr>
      <w:bookmarkStart w:id="59" w:name="_Toc479250113"/>
      <w:r>
        <w:t xml:space="preserve">The measure case material and labor costs were derived from </w:t>
      </w:r>
      <w:r w:rsidR="005865D2">
        <w:t xml:space="preserve">data on equipment models downloaded from the </w:t>
      </w:r>
      <w:r>
        <w:t>California Energy Commission (</w:t>
      </w:r>
      <w:r w:rsidRPr="0019498E">
        <w:t>CEC</w:t>
      </w:r>
      <w:r>
        <w:t>)</w:t>
      </w:r>
      <w:r w:rsidRPr="0019498E">
        <w:t xml:space="preserve"> </w:t>
      </w:r>
      <w:r w:rsidR="005865D2" w:rsidRPr="001F6A4B">
        <w:rPr>
          <w:rFonts w:cs="Calibri Light"/>
          <w:szCs w:val="22"/>
          <w:shd w:val="clear" w:color="auto" w:fill="FFFFFF"/>
        </w:rPr>
        <w:t>Modernized</w:t>
      </w:r>
      <w:r w:rsidR="005865D2">
        <w:rPr>
          <w:rFonts w:cs="Calibri Light"/>
          <w:szCs w:val="22"/>
          <w:shd w:val="clear" w:color="auto" w:fill="FFFFFF"/>
        </w:rPr>
        <w:t xml:space="preserve"> </w:t>
      </w:r>
      <w:r w:rsidR="005865D2" w:rsidRPr="001F6A4B">
        <w:rPr>
          <w:rStyle w:val="Emphasis"/>
          <w:rFonts w:cs="Calibri Light"/>
          <w:i w:val="0"/>
          <w:iCs w:val="0"/>
          <w:szCs w:val="22"/>
          <w:shd w:val="clear" w:color="auto" w:fill="FFFFFF"/>
        </w:rPr>
        <w:t>Appliance</w:t>
      </w:r>
      <w:r w:rsidR="005865D2">
        <w:rPr>
          <w:rStyle w:val="Emphasis"/>
          <w:rFonts w:cs="Calibri Light"/>
          <w:i w:val="0"/>
          <w:iCs w:val="0"/>
          <w:szCs w:val="22"/>
          <w:shd w:val="clear" w:color="auto" w:fill="FFFFFF"/>
        </w:rPr>
        <w:t xml:space="preserve"> </w:t>
      </w:r>
      <w:r w:rsidR="005865D2" w:rsidRPr="001F6A4B">
        <w:rPr>
          <w:rFonts w:cs="Calibri Light"/>
          <w:szCs w:val="22"/>
          <w:shd w:val="clear" w:color="auto" w:fill="FFFFFF"/>
        </w:rPr>
        <w:t>Efficiency</w:t>
      </w:r>
      <w:r w:rsidR="005865D2">
        <w:rPr>
          <w:rFonts w:cs="Calibri Light"/>
          <w:szCs w:val="22"/>
          <w:shd w:val="clear" w:color="auto" w:fill="FFFFFF"/>
        </w:rPr>
        <w:t xml:space="preserve"> </w:t>
      </w:r>
      <w:r w:rsidR="005865D2" w:rsidRPr="001F6A4B">
        <w:rPr>
          <w:rStyle w:val="Emphasis"/>
          <w:rFonts w:cs="Calibri Light"/>
          <w:i w:val="0"/>
          <w:iCs w:val="0"/>
          <w:szCs w:val="22"/>
          <w:shd w:val="clear" w:color="auto" w:fill="FFFFFF"/>
        </w:rPr>
        <w:t>Database</w:t>
      </w:r>
      <w:r w:rsidR="005865D2">
        <w:rPr>
          <w:rFonts w:cs="Calibri Light"/>
          <w:szCs w:val="22"/>
          <w:shd w:val="clear" w:color="auto" w:fill="FFFFFF"/>
        </w:rPr>
        <w:t xml:space="preserve"> </w:t>
      </w:r>
      <w:r w:rsidR="005865D2" w:rsidRPr="001F6A4B">
        <w:rPr>
          <w:rFonts w:cs="Calibri Light"/>
          <w:szCs w:val="22"/>
          <w:shd w:val="clear" w:color="auto" w:fill="FFFFFF"/>
        </w:rPr>
        <w:t xml:space="preserve">System </w:t>
      </w:r>
      <w:r w:rsidR="005865D2">
        <w:rPr>
          <w:rFonts w:cs="Calibri Light"/>
          <w:szCs w:val="22"/>
          <w:shd w:val="clear" w:color="auto" w:fill="FFFFFF"/>
        </w:rPr>
        <w:t>(</w:t>
      </w:r>
      <w:proofErr w:type="spellStart"/>
      <w:r w:rsidR="005865D2" w:rsidRPr="001F6A4B">
        <w:rPr>
          <w:rFonts w:cs="Calibri Light"/>
          <w:szCs w:val="22"/>
          <w:shd w:val="clear" w:color="auto" w:fill="FFFFFF"/>
        </w:rPr>
        <w:t>MAEDbS</w:t>
      </w:r>
      <w:proofErr w:type="spellEnd"/>
      <w:r w:rsidR="005865D2">
        <w:rPr>
          <w:rFonts w:cs="Calibri Light"/>
          <w:szCs w:val="22"/>
          <w:shd w:val="clear" w:color="auto" w:fill="FFFFFF"/>
        </w:rPr>
        <w:t xml:space="preserve">) </w:t>
      </w:r>
      <w:r w:rsidRPr="0019498E">
        <w:t>data and from equipment vendors that sell pool water heaters in California.</w:t>
      </w:r>
      <w:r w:rsidR="003D6E3D" w:rsidRPr="003D6E3D">
        <w:rPr>
          <w:szCs w:val="22"/>
        </w:rPr>
        <w:t xml:space="preserve"> For the purposes of determining incremental measure costs, the installation and start-up costs</w:t>
      </w:r>
      <w:r w:rsidR="003D6E3D" w:rsidRPr="003D6E3D" w:rsidDel="00236090">
        <w:rPr>
          <w:szCs w:val="22"/>
        </w:rPr>
        <w:t xml:space="preserve"> </w:t>
      </w:r>
      <w:r w:rsidR="003D6E3D" w:rsidRPr="003D6E3D">
        <w:rPr>
          <w:szCs w:val="22"/>
        </w:rPr>
        <w:t xml:space="preserve">are assumed to be the same for the base case and Tier-I </w:t>
      </w:r>
      <w:r w:rsidR="003D6E3D" w:rsidRPr="008173CA">
        <w:rPr>
          <w:szCs w:val="22"/>
        </w:rPr>
        <w:t xml:space="preserve">measure </w:t>
      </w:r>
      <w:r w:rsidRPr="008173CA">
        <w:rPr>
          <w:szCs w:val="22"/>
        </w:rPr>
        <w:t xml:space="preserve">case </w:t>
      </w:r>
      <w:r w:rsidR="003D6E3D" w:rsidRPr="008173CA">
        <w:rPr>
          <w:szCs w:val="22"/>
        </w:rPr>
        <w:t xml:space="preserve">equipment. However, the incremental measure cost for the condensing pool heater (Tier-II) includes </w:t>
      </w:r>
      <w:r w:rsidR="00B022D8" w:rsidRPr="008173CA">
        <w:rPr>
          <w:szCs w:val="22"/>
        </w:rPr>
        <w:t>costs</w:t>
      </w:r>
      <w:r w:rsidR="003D6E3D" w:rsidRPr="008173CA">
        <w:rPr>
          <w:szCs w:val="22"/>
        </w:rPr>
        <w:t xml:space="preserve"> for plumbing and exhaust part</w:t>
      </w:r>
      <w:r w:rsidR="00B022D8" w:rsidRPr="008173CA">
        <w:rPr>
          <w:szCs w:val="22"/>
        </w:rPr>
        <w:t>s</w:t>
      </w:r>
      <w:r w:rsidR="003D6E3D" w:rsidRPr="008173CA">
        <w:rPr>
          <w:szCs w:val="22"/>
        </w:rPr>
        <w:t>.</w:t>
      </w:r>
      <w:bookmarkEnd w:id="59"/>
      <w:r w:rsidR="003D6E3D" w:rsidRPr="008173CA">
        <w:rPr>
          <w:szCs w:val="22"/>
        </w:rPr>
        <w:t xml:space="preserve">  </w:t>
      </w:r>
      <w:r w:rsidR="008173CA" w:rsidRPr="008173CA">
        <w:rPr>
          <w:szCs w:val="22"/>
        </w:rPr>
        <w:t>Lastly, the pricing below for tier I is from heaters with efficiency range of 84%-86% so 85% is shown as the pricing efficiency mean and similarly the pricing for tier II is from heaters with efficiency range of 94%-98% so 96% is shown as the pricing efficiency mean.</w:t>
      </w:r>
      <w:r w:rsidR="008173CA">
        <w:t xml:space="preserve">  </w:t>
      </w:r>
    </w:p>
    <w:p w14:paraId="0D828A57" w14:textId="1E8A9395" w:rsidR="003D6E3D" w:rsidRDefault="006A46BB" w:rsidP="00C01AA0">
      <w:pPr>
        <w:pStyle w:val="Caption"/>
      </w:pPr>
      <w:r>
        <w:t xml:space="preserve">Measure Case Cost Inputs </w:t>
      </w:r>
      <w:r w:rsidR="00545202">
        <w:rPr>
          <w:rStyle w:val="FootnoteReference"/>
        </w:rPr>
        <w:footnoteReference w:id="13"/>
      </w:r>
      <w:r w:rsidR="003D6E3D" w:rsidRPr="0019498E">
        <w:t xml:space="preserve"> </w:t>
      </w:r>
    </w:p>
    <w:tbl>
      <w:tblPr>
        <w:tblStyle w:val="TableGrid"/>
        <w:tblW w:w="821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3456"/>
        <w:gridCol w:w="1155"/>
        <w:gridCol w:w="1296"/>
        <w:gridCol w:w="1152"/>
        <w:gridCol w:w="1152"/>
      </w:tblGrid>
      <w:tr w:rsidR="0037023A" w:rsidRPr="006B0CF4" w14:paraId="366B7844" w14:textId="77777777" w:rsidTr="00B022D8">
        <w:trPr>
          <w:trHeight w:val="288"/>
        </w:trPr>
        <w:tc>
          <w:tcPr>
            <w:tcW w:w="3456" w:type="dxa"/>
            <w:shd w:val="clear" w:color="auto" w:fill="F2F2F2" w:themeFill="background1" w:themeFillShade="F2"/>
            <w:noWrap/>
            <w:vAlign w:val="bottom"/>
            <w:hideMark/>
          </w:tcPr>
          <w:p w14:paraId="12574EF4" w14:textId="77777777" w:rsidR="006A46BB" w:rsidRPr="00B022D8" w:rsidRDefault="006A46BB" w:rsidP="00B022D8">
            <w:pPr>
              <w:spacing w:before="0" w:after="0"/>
              <w:jc w:val="center"/>
              <w:rPr>
                <w:b/>
                <w:bCs/>
                <w:sz w:val="20"/>
                <w:szCs w:val="22"/>
              </w:rPr>
            </w:pPr>
            <w:r w:rsidRPr="00B022D8">
              <w:rPr>
                <w:b/>
                <w:bCs/>
                <w:sz w:val="20"/>
                <w:szCs w:val="22"/>
              </w:rPr>
              <w:t>Heater Size (MBTUH)</w:t>
            </w:r>
          </w:p>
        </w:tc>
        <w:tc>
          <w:tcPr>
            <w:tcW w:w="1155" w:type="dxa"/>
            <w:shd w:val="clear" w:color="auto" w:fill="F2F2F2" w:themeFill="background1" w:themeFillShade="F2"/>
            <w:noWrap/>
            <w:vAlign w:val="bottom"/>
            <w:hideMark/>
          </w:tcPr>
          <w:p w14:paraId="3A7C9B9E" w14:textId="454C6C82" w:rsidR="006A46BB" w:rsidRPr="00B022D8" w:rsidRDefault="006A46BB" w:rsidP="00B022D8">
            <w:pPr>
              <w:spacing w:before="0" w:after="0"/>
              <w:jc w:val="center"/>
              <w:rPr>
                <w:b/>
                <w:bCs/>
                <w:sz w:val="20"/>
                <w:szCs w:val="22"/>
              </w:rPr>
            </w:pPr>
            <w:r>
              <w:rPr>
                <w:b/>
                <w:bCs/>
                <w:sz w:val="20"/>
                <w:szCs w:val="22"/>
              </w:rPr>
              <w:t xml:space="preserve">Thermal </w:t>
            </w:r>
            <w:r w:rsidRPr="00B022D8">
              <w:rPr>
                <w:b/>
                <w:bCs/>
                <w:sz w:val="20"/>
                <w:szCs w:val="22"/>
              </w:rPr>
              <w:t xml:space="preserve">Efficiency </w:t>
            </w:r>
            <w:r>
              <w:rPr>
                <w:b/>
                <w:bCs/>
                <w:sz w:val="20"/>
                <w:szCs w:val="22"/>
              </w:rPr>
              <w:t>(</w:t>
            </w:r>
            <w:r w:rsidRPr="00B022D8">
              <w:rPr>
                <w:b/>
                <w:bCs/>
                <w:sz w:val="20"/>
                <w:szCs w:val="22"/>
              </w:rPr>
              <w:t>% TE</w:t>
            </w:r>
            <w:r>
              <w:rPr>
                <w:b/>
                <w:bCs/>
                <w:sz w:val="20"/>
                <w:szCs w:val="22"/>
              </w:rPr>
              <w:t>)</w:t>
            </w:r>
          </w:p>
        </w:tc>
        <w:tc>
          <w:tcPr>
            <w:tcW w:w="1296" w:type="dxa"/>
            <w:shd w:val="clear" w:color="auto" w:fill="F2F2F2" w:themeFill="background1" w:themeFillShade="F2"/>
            <w:noWrap/>
            <w:vAlign w:val="bottom"/>
            <w:hideMark/>
          </w:tcPr>
          <w:p w14:paraId="596ABFFC" w14:textId="1FEB859B" w:rsidR="006A46BB" w:rsidRPr="00B022D8" w:rsidRDefault="006A46BB" w:rsidP="00B022D8">
            <w:pPr>
              <w:spacing w:before="0" w:after="0"/>
              <w:jc w:val="center"/>
              <w:rPr>
                <w:b/>
                <w:bCs/>
                <w:sz w:val="20"/>
                <w:szCs w:val="22"/>
              </w:rPr>
            </w:pPr>
            <w:r w:rsidRPr="00B022D8">
              <w:rPr>
                <w:b/>
                <w:bCs/>
                <w:sz w:val="20"/>
                <w:szCs w:val="22"/>
              </w:rPr>
              <w:t>Equipment Cost ($)</w:t>
            </w:r>
          </w:p>
        </w:tc>
        <w:tc>
          <w:tcPr>
            <w:tcW w:w="1152" w:type="dxa"/>
            <w:shd w:val="clear" w:color="auto" w:fill="F2F2F2" w:themeFill="background1" w:themeFillShade="F2"/>
            <w:noWrap/>
            <w:vAlign w:val="bottom"/>
            <w:hideMark/>
          </w:tcPr>
          <w:p w14:paraId="6F53FA3D" w14:textId="29713EA3" w:rsidR="006A46BB" w:rsidRPr="00B022D8" w:rsidRDefault="006A46BB" w:rsidP="00B022D8">
            <w:pPr>
              <w:spacing w:before="0" w:after="0"/>
              <w:jc w:val="center"/>
              <w:rPr>
                <w:b/>
                <w:bCs/>
                <w:sz w:val="20"/>
                <w:szCs w:val="22"/>
              </w:rPr>
            </w:pPr>
            <w:r w:rsidRPr="00B022D8">
              <w:rPr>
                <w:b/>
                <w:bCs/>
                <w:sz w:val="20"/>
                <w:szCs w:val="22"/>
              </w:rPr>
              <w:t>Labor Cost ($)</w:t>
            </w:r>
          </w:p>
        </w:tc>
        <w:tc>
          <w:tcPr>
            <w:tcW w:w="1152" w:type="dxa"/>
            <w:shd w:val="clear" w:color="auto" w:fill="F2F2F2" w:themeFill="background1" w:themeFillShade="F2"/>
            <w:noWrap/>
            <w:vAlign w:val="bottom"/>
            <w:hideMark/>
          </w:tcPr>
          <w:p w14:paraId="03B3F23F" w14:textId="787CB6F2" w:rsidR="006A46BB" w:rsidRPr="00B022D8" w:rsidRDefault="006A46BB" w:rsidP="00B022D8">
            <w:pPr>
              <w:spacing w:before="0" w:after="0"/>
              <w:jc w:val="center"/>
              <w:rPr>
                <w:b/>
                <w:bCs/>
                <w:sz w:val="20"/>
                <w:szCs w:val="22"/>
              </w:rPr>
            </w:pPr>
            <w:r w:rsidRPr="00B022D8">
              <w:rPr>
                <w:b/>
                <w:bCs/>
                <w:sz w:val="20"/>
                <w:szCs w:val="22"/>
              </w:rPr>
              <w:t>Material Cost ($)</w:t>
            </w:r>
          </w:p>
        </w:tc>
      </w:tr>
      <w:tr w:rsidR="0037023A" w:rsidRPr="006B0CF4" w14:paraId="18B1FC15" w14:textId="77777777" w:rsidTr="006B0CF4">
        <w:trPr>
          <w:trHeight w:val="288"/>
        </w:trPr>
        <w:tc>
          <w:tcPr>
            <w:tcW w:w="3456" w:type="dxa"/>
            <w:noWrap/>
            <w:hideMark/>
          </w:tcPr>
          <w:p w14:paraId="53F19654" w14:textId="60616FA5" w:rsidR="006A46BB" w:rsidRPr="006B0CF4" w:rsidRDefault="006A46BB" w:rsidP="006B0CF4">
            <w:pPr>
              <w:spacing w:before="0" w:after="0"/>
              <w:rPr>
                <w:sz w:val="20"/>
                <w:szCs w:val="22"/>
              </w:rPr>
            </w:pPr>
            <w:r w:rsidRPr="006B0CF4">
              <w:rPr>
                <w:sz w:val="20"/>
                <w:szCs w:val="22"/>
              </w:rPr>
              <w:t xml:space="preserve">Measure Case 400 </w:t>
            </w:r>
            <w:proofErr w:type="spellStart"/>
            <w:r w:rsidRPr="006B0CF4">
              <w:rPr>
                <w:sz w:val="20"/>
                <w:szCs w:val="22"/>
              </w:rPr>
              <w:t>MBtu</w:t>
            </w:r>
            <w:proofErr w:type="spellEnd"/>
            <w:r>
              <w:rPr>
                <w:sz w:val="20"/>
                <w:szCs w:val="22"/>
              </w:rPr>
              <w:t>/</w:t>
            </w:r>
            <w:proofErr w:type="spellStart"/>
            <w:r w:rsidRPr="006B0CF4">
              <w:rPr>
                <w:sz w:val="20"/>
                <w:szCs w:val="22"/>
              </w:rPr>
              <w:t>h</w:t>
            </w:r>
            <w:r>
              <w:rPr>
                <w:sz w:val="20"/>
                <w:szCs w:val="22"/>
              </w:rPr>
              <w:t>r</w:t>
            </w:r>
            <w:proofErr w:type="spellEnd"/>
            <w:r w:rsidRPr="006B0CF4">
              <w:rPr>
                <w:sz w:val="20"/>
                <w:szCs w:val="22"/>
              </w:rPr>
              <w:t xml:space="preserve"> Pool Heater</w:t>
            </w:r>
          </w:p>
        </w:tc>
        <w:tc>
          <w:tcPr>
            <w:tcW w:w="1155" w:type="dxa"/>
            <w:noWrap/>
            <w:vAlign w:val="center"/>
            <w:hideMark/>
          </w:tcPr>
          <w:p w14:paraId="7620F53F" w14:textId="77777777" w:rsidR="006A46BB" w:rsidRPr="006B0CF4" w:rsidRDefault="006A46BB" w:rsidP="006B0CF4">
            <w:pPr>
              <w:spacing w:before="0" w:after="0"/>
              <w:jc w:val="center"/>
              <w:rPr>
                <w:sz w:val="20"/>
                <w:szCs w:val="22"/>
              </w:rPr>
            </w:pPr>
            <w:r w:rsidRPr="006B0CF4">
              <w:rPr>
                <w:sz w:val="20"/>
                <w:szCs w:val="22"/>
              </w:rPr>
              <w:t>85%</w:t>
            </w:r>
          </w:p>
        </w:tc>
        <w:tc>
          <w:tcPr>
            <w:tcW w:w="1296" w:type="dxa"/>
            <w:noWrap/>
            <w:vAlign w:val="center"/>
            <w:hideMark/>
          </w:tcPr>
          <w:p w14:paraId="696D5ED5" w14:textId="4CE62ECD" w:rsidR="006A46BB" w:rsidRPr="006B0CF4" w:rsidRDefault="006A46BB" w:rsidP="006B0CF4">
            <w:pPr>
              <w:spacing w:before="0" w:after="0"/>
              <w:jc w:val="center"/>
              <w:rPr>
                <w:sz w:val="20"/>
                <w:szCs w:val="22"/>
              </w:rPr>
            </w:pPr>
            <w:r w:rsidRPr="006B0CF4">
              <w:rPr>
                <w:sz w:val="20"/>
                <w:szCs w:val="22"/>
              </w:rPr>
              <w:t>$2,709</w:t>
            </w:r>
          </w:p>
        </w:tc>
        <w:tc>
          <w:tcPr>
            <w:tcW w:w="1152" w:type="dxa"/>
            <w:noWrap/>
            <w:vAlign w:val="center"/>
            <w:hideMark/>
          </w:tcPr>
          <w:p w14:paraId="23DBEF6A" w14:textId="359E532D" w:rsidR="006A46BB" w:rsidRPr="006B0CF4" w:rsidRDefault="006A46BB" w:rsidP="006B0CF4">
            <w:pPr>
              <w:spacing w:before="0" w:after="0"/>
              <w:jc w:val="center"/>
              <w:rPr>
                <w:sz w:val="20"/>
                <w:szCs w:val="22"/>
              </w:rPr>
            </w:pPr>
            <w:r w:rsidRPr="006B0CF4">
              <w:rPr>
                <w:sz w:val="20"/>
                <w:szCs w:val="22"/>
              </w:rPr>
              <w:t>$800</w:t>
            </w:r>
          </w:p>
        </w:tc>
        <w:tc>
          <w:tcPr>
            <w:tcW w:w="1152" w:type="dxa"/>
            <w:noWrap/>
            <w:vAlign w:val="center"/>
            <w:hideMark/>
          </w:tcPr>
          <w:p w14:paraId="477C8DC6" w14:textId="15E9C3FC" w:rsidR="006A46BB" w:rsidRPr="006B0CF4" w:rsidRDefault="006A46BB" w:rsidP="006B0CF4">
            <w:pPr>
              <w:spacing w:before="0" w:after="0"/>
              <w:jc w:val="center"/>
              <w:rPr>
                <w:sz w:val="20"/>
                <w:szCs w:val="22"/>
              </w:rPr>
            </w:pPr>
            <w:r w:rsidRPr="006B0CF4">
              <w:rPr>
                <w:sz w:val="20"/>
                <w:szCs w:val="22"/>
              </w:rPr>
              <w:t>$0</w:t>
            </w:r>
          </w:p>
        </w:tc>
      </w:tr>
      <w:tr w:rsidR="0037023A" w:rsidRPr="006B0CF4" w14:paraId="048B575A" w14:textId="77777777" w:rsidTr="006B0CF4">
        <w:trPr>
          <w:trHeight w:val="288"/>
        </w:trPr>
        <w:tc>
          <w:tcPr>
            <w:tcW w:w="3456" w:type="dxa"/>
            <w:noWrap/>
            <w:hideMark/>
          </w:tcPr>
          <w:p w14:paraId="7F207A9B" w14:textId="156C84E8" w:rsidR="006A46BB" w:rsidRPr="006B0CF4" w:rsidRDefault="006A46BB" w:rsidP="006B0CF4">
            <w:pPr>
              <w:spacing w:before="0" w:after="0"/>
              <w:rPr>
                <w:sz w:val="20"/>
                <w:szCs w:val="22"/>
              </w:rPr>
            </w:pPr>
            <w:r w:rsidRPr="006B0CF4">
              <w:rPr>
                <w:sz w:val="20"/>
                <w:szCs w:val="22"/>
              </w:rPr>
              <w:t>Measure Case</w:t>
            </w:r>
            <w:r>
              <w:rPr>
                <w:sz w:val="20"/>
                <w:szCs w:val="22"/>
              </w:rPr>
              <w:t xml:space="preserve"> </w:t>
            </w:r>
            <w:r w:rsidRPr="006B0CF4">
              <w:rPr>
                <w:sz w:val="20"/>
                <w:szCs w:val="22"/>
              </w:rPr>
              <w:t xml:space="preserve">400 </w:t>
            </w:r>
            <w:proofErr w:type="spellStart"/>
            <w:r w:rsidRPr="006B0CF4">
              <w:rPr>
                <w:sz w:val="20"/>
                <w:szCs w:val="22"/>
              </w:rPr>
              <w:t>MBtu</w:t>
            </w:r>
            <w:proofErr w:type="spellEnd"/>
            <w:r>
              <w:rPr>
                <w:sz w:val="20"/>
                <w:szCs w:val="22"/>
              </w:rPr>
              <w:t>/</w:t>
            </w:r>
            <w:proofErr w:type="spellStart"/>
            <w:r w:rsidRPr="006B0CF4">
              <w:rPr>
                <w:sz w:val="20"/>
                <w:szCs w:val="22"/>
              </w:rPr>
              <w:t>h</w:t>
            </w:r>
            <w:r>
              <w:rPr>
                <w:sz w:val="20"/>
                <w:szCs w:val="22"/>
              </w:rPr>
              <w:t>r</w:t>
            </w:r>
            <w:proofErr w:type="spellEnd"/>
            <w:r w:rsidRPr="006B0CF4">
              <w:rPr>
                <w:sz w:val="20"/>
                <w:szCs w:val="22"/>
              </w:rPr>
              <w:t xml:space="preserve"> Pool Heater</w:t>
            </w:r>
          </w:p>
        </w:tc>
        <w:tc>
          <w:tcPr>
            <w:tcW w:w="1155" w:type="dxa"/>
            <w:noWrap/>
            <w:vAlign w:val="center"/>
            <w:hideMark/>
          </w:tcPr>
          <w:p w14:paraId="1C0C895E" w14:textId="77777777" w:rsidR="006A46BB" w:rsidRPr="006B0CF4" w:rsidRDefault="006A46BB" w:rsidP="006B0CF4">
            <w:pPr>
              <w:spacing w:before="0" w:after="0"/>
              <w:jc w:val="center"/>
              <w:rPr>
                <w:sz w:val="20"/>
                <w:szCs w:val="22"/>
              </w:rPr>
            </w:pPr>
            <w:r w:rsidRPr="006B0CF4">
              <w:rPr>
                <w:sz w:val="20"/>
                <w:szCs w:val="22"/>
              </w:rPr>
              <w:t>96%</w:t>
            </w:r>
          </w:p>
        </w:tc>
        <w:tc>
          <w:tcPr>
            <w:tcW w:w="1296" w:type="dxa"/>
            <w:noWrap/>
            <w:vAlign w:val="center"/>
            <w:hideMark/>
          </w:tcPr>
          <w:p w14:paraId="27FE94C5" w14:textId="08BF8485" w:rsidR="006A46BB" w:rsidRPr="006B0CF4" w:rsidRDefault="006A46BB" w:rsidP="006B0CF4">
            <w:pPr>
              <w:spacing w:before="0" w:after="0"/>
              <w:jc w:val="center"/>
              <w:rPr>
                <w:sz w:val="20"/>
                <w:szCs w:val="22"/>
              </w:rPr>
            </w:pPr>
            <w:r w:rsidRPr="006B0CF4">
              <w:rPr>
                <w:sz w:val="20"/>
                <w:szCs w:val="22"/>
              </w:rPr>
              <w:t>$4,738</w:t>
            </w:r>
          </w:p>
        </w:tc>
        <w:tc>
          <w:tcPr>
            <w:tcW w:w="1152" w:type="dxa"/>
            <w:noWrap/>
            <w:vAlign w:val="center"/>
            <w:hideMark/>
          </w:tcPr>
          <w:p w14:paraId="6C9E1731" w14:textId="364B8C81" w:rsidR="006A46BB" w:rsidRPr="006B0CF4" w:rsidRDefault="006A46BB" w:rsidP="006B0CF4">
            <w:pPr>
              <w:spacing w:before="0" w:after="0"/>
              <w:jc w:val="center"/>
              <w:rPr>
                <w:sz w:val="20"/>
                <w:szCs w:val="22"/>
              </w:rPr>
            </w:pPr>
            <w:r w:rsidRPr="006B0CF4">
              <w:rPr>
                <w:sz w:val="20"/>
                <w:szCs w:val="22"/>
              </w:rPr>
              <w:t>$900</w:t>
            </w:r>
          </w:p>
        </w:tc>
        <w:tc>
          <w:tcPr>
            <w:tcW w:w="1152" w:type="dxa"/>
            <w:noWrap/>
            <w:vAlign w:val="center"/>
            <w:hideMark/>
          </w:tcPr>
          <w:p w14:paraId="07EC9389" w14:textId="0B59EE75" w:rsidR="006A46BB" w:rsidRPr="006B0CF4" w:rsidRDefault="006A46BB" w:rsidP="006B0CF4">
            <w:pPr>
              <w:spacing w:before="0" w:after="0"/>
              <w:jc w:val="center"/>
              <w:rPr>
                <w:sz w:val="20"/>
                <w:szCs w:val="22"/>
              </w:rPr>
            </w:pPr>
            <w:r w:rsidRPr="006B0CF4">
              <w:rPr>
                <w:sz w:val="20"/>
                <w:szCs w:val="22"/>
              </w:rPr>
              <w:t>$200</w:t>
            </w:r>
          </w:p>
        </w:tc>
      </w:tr>
    </w:tbl>
    <w:p w14:paraId="58121D12" w14:textId="77777777" w:rsidR="00472075" w:rsidRPr="003D6E3D" w:rsidRDefault="00472075" w:rsidP="003D6E3D">
      <w:pPr>
        <w:jc w:val="center"/>
        <w:rPr>
          <w:b/>
          <w:bCs/>
        </w:rPr>
      </w:pPr>
    </w:p>
    <w:p w14:paraId="02691007" w14:textId="3C007D4F" w:rsidR="007D230B" w:rsidRPr="004B06E3" w:rsidRDefault="002E5874" w:rsidP="004F3F32">
      <w:pPr>
        <w:pStyle w:val="eTRMHeading3"/>
      </w:pPr>
      <w:bookmarkStart w:id="60" w:name="_Toc486490862"/>
      <w:bookmarkStart w:id="61" w:name="_Toc486580933"/>
      <w:bookmarkStart w:id="62" w:name="_Toc25150685"/>
      <w:r>
        <w:t xml:space="preserve">Base Case </w:t>
      </w:r>
      <w:r w:rsidR="007D230B" w:rsidRPr="004B06E3">
        <w:t>Labor Cost ($/unit)</w:t>
      </w:r>
      <w:bookmarkEnd w:id="60"/>
      <w:bookmarkEnd w:id="61"/>
      <w:bookmarkEnd w:id="62"/>
    </w:p>
    <w:p w14:paraId="5FB7E4E3" w14:textId="4382DD32" w:rsidR="00F517F5" w:rsidRDefault="006B0CF4" w:rsidP="00F517F5">
      <w:pPr>
        <w:rPr>
          <w:szCs w:val="22"/>
        </w:rPr>
      </w:pPr>
      <w:r>
        <w:rPr>
          <w:szCs w:val="22"/>
        </w:rPr>
        <w:t>See</w:t>
      </w:r>
      <w:r w:rsidR="003D6E3D">
        <w:rPr>
          <w:szCs w:val="22"/>
        </w:rPr>
        <w:t xml:space="preserve"> </w:t>
      </w:r>
      <w:r w:rsidR="003D6E3D" w:rsidRPr="00C01AA0">
        <w:rPr>
          <w:szCs w:val="22"/>
        </w:rPr>
        <w:t>Base Case Material Cost</w:t>
      </w:r>
      <w:r w:rsidR="003D6E3D">
        <w:rPr>
          <w:szCs w:val="22"/>
        </w:rPr>
        <w:t>.</w:t>
      </w:r>
      <w:r w:rsidR="006E03CB">
        <w:rPr>
          <w:szCs w:val="22"/>
        </w:rPr>
        <w:t xml:space="preserve"> </w:t>
      </w:r>
    </w:p>
    <w:p w14:paraId="657CC314" w14:textId="77777777" w:rsidR="00AB7DBC" w:rsidRPr="00425FAA" w:rsidRDefault="00AB7DBC" w:rsidP="00F517F5">
      <w:pPr>
        <w:rPr>
          <w:rFonts w:cs="Arial"/>
          <w:szCs w:val="22"/>
        </w:rPr>
      </w:pPr>
    </w:p>
    <w:p w14:paraId="5E89BC5E" w14:textId="22B628A3" w:rsidR="002E5874" w:rsidRPr="004B06E3" w:rsidRDefault="002E5874" w:rsidP="004F3F32">
      <w:pPr>
        <w:pStyle w:val="eTRMHeading3"/>
      </w:pPr>
      <w:bookmarkStart w:id="63" w:name="_Toc25150686"/>
      <w:r>
        <w:t xml:space="preserve">Measure Case </w:t>
      </w:r>
      <w:r w:rsidRPr="004B06E3">
        <w:t>Labor Cost ($/unit)</w:t>
      </w:r>
      <w:bookmarkEnd w:id="63"/>
    </w:p>
    <w:p w14:paraId="0340F178" w14:textId="78669529" w:rsidR="003D6E3D" w:rsidRDefault="006B0CF4" w:rsidP="003D6E3D">
      <w:pPr>
        <w:rPr>
          <w:szCs w:val="22"/>
        </w:rPr>
      </w:pPr>
      <w:r>
        <w:rPr>
          <w:szCs w:val="22"/>
        </w:rPr>
        <w:t>See</w:t>
      </w:r>
      <w:r w:rsidR="003D6E3D">
        <w:rPr>
          <w:szCs w:val="22"/>
        </w:rPr>
        <w:t xml:space="preserve"> </w:t>
      </w:r>
      <w:r w:rsidR="003D6E3D" w:rsidRPr="00C01AA0">
        <w:rPr>
          <w:szCs w:val="22"/>
        </w:rPr>
        <w:t>Measure Case Material Cost</w:t>
      </w:r>
      <w:r w:rsidR="002E1AFC">
        <w:rPr>
          <w:szCs w:val="22"/>
        </w:rPr>
        <w:t>.</w:t>
      </w:r>
      <w:r w:rsidR="006E03CB">
        <w:rPr>
          <w:szCs w:val="22"/>
        </w:rPr>
        <w:t xml:space="preserve"> </w:t>
      </w:r>
    </w:p>
    <w:p w14:paraId="1414150A" w14:textId="77777777" w:rsidR="00AB7DBC" w:rsidRPr="00425FAA" w:rsidRDefault="00AB7DBC" w:rsidP="003D6E3D">
      <w:pPr>
        <w:rPr>
          <w:rFonts w:cs="Arial"/>
          <w:szCs w:val="22"/>
        </w:rPr>
      </w:pPr>
    </w:p>
    <w:p w14:paraId="050D9183" w14:textId="7ABF5C13" w:rsidR="007D230B" w:rsidRPr="004B06E3" w:rsidRDefault="004B06E3" w:rsidP="004F3F32">
      <w:pPr>
        <w:pStyle w:val="eTRMHeading3"/>
      </w:pPr>
      <w:bookmarkStart w:id="64" w:name="_Toc486490863"/>
      <w:bookmarkStart w:id="65" w:name="_Toc486580934"/>
      <w:bookmarkStart w:id="66" w:name="_Toc25150687"/>
      <w:r>
        <w:t>Net-to-Gross</w:t>
      </w:r>
      <w:bookmarkEnd w:id="64"/>
      <w:bookmarkEnd w:id="65"/>
      <w:r w:rsidR="008D4652">
        <w:t xml:space="preserve"> (NTG)</w:t>
      </w:r>
      <w:bookmarkEnd w:id="66"/>
    </w:p>
    <w:p w14:paraId="3012D889" w14:textId="2830F842" w:rsidR="003D59DB" w:rsidRPr="00087C53" w:rsidRDefault="00B022D8" w:rsidP="003D59DB">
      <w:r>
        <w:rPr>
          <w:shd w:val="clear" w:color="auto" w:fill="FFFFFF"/>
        </w:rPr>
        <w:t xml:space="preserve">The net-to-gross (NTG) ratio represents the portion of gross impacts that are determined to be directly attributed to a specific program intervention. These NTG values are based upon the average of all NTG ratios for all evaluated 2006 – 2008 commercial, industrial, and agriculture programs, as documented in the 2011 DEER Update Study conducted by </w:t>
      </w:r>
      <w:proofErr w:type="spellStart"/>
      <w:r>
        <w:rPr>
          <w:shd w:val="clear" w:color="auto" w:fill="FFFFFF"/>
        </w:rPr>
        <w:t>Itron</w:t>
      </w:r>
      <w:proofErr w:type="spellEnd"/>
      <w:r>
        <w:rPr>
          <w:shd w:val="clear" w:color="auto" w:fill="FFFFFF"/>
        </w:rPr>
        <w:t>, Inc. These sector average NTGs (“default NTGs”) are applicable to all energy efficiency measures that have been offered through commercial, industrial, and agriculture sector programs for less than two years and for which impact evaluation results are not available.</w:t>
      </w:r>
      <w:r>
        <w:rPr>
          <w:rStyle w:val="FootnoteReference"/>
          <w:shd w:val="clear" w:color="auto" w:fill="FFFFFF"/>
        </w:rPr>
        <w:footnoteReference w:id="14"/>
      </w:r>
      <w:r w:rsidRPr="00087C53" w:rsidDel="006A46BB">
        <w:t xml:space="preserve"> </w:t>
      </w:r>
    </w:p>
    <w:p w14:paraId="2BFA5A79" w14:textId="79B0BDD6" w:rsidR="00087C53" w:rsidRPr="00087C53" w:rsidRDefault="00087C53" w:rsidP="00C01AA0">
      <w:pPr>
        <w:pStyle w:val="Caption"/>
      </w:pPr>
      <w:r w:rsidRPr="00087C53">
        <w:t xml:space="preserve">NTGR Ratios </w:t>
      </w:r>
    </w:p>
    <w:tbl>
      <w:tblPr>
        <w:tblW w:w="962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795"/>
        <w:gridCol w:w="1530"/>
        <w:gridCol w:w="6300"/>
      </w:tblGrid>
      <w:tr w:rsidR="00AA3E2A" w:rsidRPr="00B022D8" w14:paraId="0D2B92AF" w14:textId="662FBAEE" w:rsidTr="00AA2841">
        <w:trPr>
          <w:cantSplit/>
          <w:trHeight w:val="20"/>
        </w:trPr>
        <w:tc>
          <w:tcPr>
            <w:tcW w:w="1795" w:type="dxa"/>
            <w:shd w:val="clear" w:color="000000" w:fill="F2F2F2" w:themeFill="background1" w:themeFillShade="F2"/>
            <w:vAlign w:val="bottom"/>
          </w:tcPr>
          <w:p w14:paraId="2A033AD8" w14:textId="3B553F77" w:rsidR="00AA3E2A" w:rsidRPr="00B022D8" w:rsidRDefault="00177EB6" w:rsidP="006D6644">
            <w:pPr>
              <w:keepNext/>
              <w:keepLines/>
              <w:spacing w:before="0" w:after="0" w:line="200" w:lineRule="atLeast"/>
              <w:jc w:val="center"/>
              <w:rPr>
                <w:rFonts w:cs="Arial"/>
                <w:b/>
                <w:color w:val="000000"/>
                <w:sz w:val="20"/>
                <w:szCs w:val="20"/>
              </w:rPr>
            </w:pPr>
            <w:r w:rsidRPr="00B022D8">
              <w:rPr>
                <w:rFonts w:cs="Arial"/>
                <w:b/>
                <w:color w:val="000000"/>
                <w:sz w:val="20"/>
                <w:szCs w:val="20"/>
              </w:rPr>
              <w:t>Parameter</w:t>
            </w:r>
          </w:p>
        </w:tc>
        <w:tc>
          <w:tcPr>
            <w:tcW w:w="1530" w:type="dxa"/>
            <w:shd w:val="clear" w:color="000000" w:fill="F2F2F2" w:themeFill="background1" w:themeFillShade="F2"/>
            <w:vAlign w:val="bottom"/>
          </w:tcPr>
          <w:p w14:paraId="547E5263" w14:textId="4D6989E1" w:rsidR="00AA3E2A" w:rsidRPr="00B022D8" w:rsidRDefault="00177EB6" w:rsidP="006D6644">
            <w:pPr>
              <w:keepNext/>
              <w:keepLines/>
              <w:spacing w:before="0" w:after="0" w:line="200" w:lineRule="atLeast"/>
              <w:jc w:val="center"/>
              <w:rPr>
                <w:rFonts w:cs="Arial"/>
                <w:b/>
                <w:color w:val="000000"/>
                <w:sz w:val="20"/>
                <w:szCs w:val="20"/>
              </w:rPr>
            </w:pPr>
            <w:r w:rsidRPr="00B022D8">
              <w:rPr>
                <w:rFonts w:cs="Arial"/>
                <w:b/>
                <w:color w:val="000000"/>
                <w:sz w:val="20"/>
                <w:szCs w:val="20"/>
              </w:rPr>
              <w:t>Value</w:t>
            </w:r>
          </w:p>
        </w:tc>
        <w:tc>
          <w:tcPr>
            <w:tcW w:w="6300" w:type="dxa"/>
            <w:shd w:val="clear" w:color="000000" w:fill="F2F2F2" w:themeFill="background1" w:themeFillShade="F2"/>
          </w:tcPr>
          <w:p w14:paraId="50233CF6" w14:textId="0C7F65AC" w:rsidR="00AA3E2A" w:rsidRPr="00B022D8" w:rsidRDefault="00AA3E2A" w:rsidP="006D6644">
            <w:pPr>
              <w:keepNext/>
              <w:keepLines/>
              <w:spacing w:before="0" w:after="0" w:line="200" w:lineRule="atLeast"/>
              <w:jc w:val="center"/>
              <w:rPr>
                <w:rFonts w:cs="Arial"/>
                <w:b/>
                <w:color w:val="000000"/>
                <w:sz w:val="20"/>
                <w:szCs w:val="20"/>
              </w:rPr>
            </w:pPr>
            <w:r w:rsidRPr="00B022D8">
              <w:rPr>
                <w:rFonts w:cs="Arial"/>
                <w:b/>
                <w:color w:val="000000"/>
                <w:sz w:val="20"/>
                <w:szCs w:val="20"/>
              </w:rPr>
              <w:t>Source</w:t>
            </w:r>
          </w:p>
        </w:tc>
      </w:tr>
      <w:tr w:rsidR="00F779BA" w:rsidRPr="00B022D8" w14:paraId="682BF062" w14:textId="72E696E9" w:rsidTr="00AA2841">
        <w:trPr>
          <w:cantSplit/>
          <w:trHeight w:val="20"/>
        </w:trPr>
        <w:tc>
          <w:tcPr>
            <w:tcW w:w="1795" w:type="dxa"/>
            <w:vAlign w:val="center"/>
          </w:tcPr>
          <w:p w14:paraId="5BA6FA92" w14:textId="74757B70" w:rsidR="00F779BA" w:rsidRPr="00E91072" w:rsidRDefault="00B022D8" w:rsidP="00F8464D">
            <w:pPr>
              <w:keepNext/>
              <w:keepLines/>
              <w:spacing w:before="0" w:after="0" w:line="200" w:lineRule="atLeast"/>
              <w:rPr>
                <w:rFonts w:cstheme="minorHAnsi"/>
                <w:sz w:val="20"/>
                <w:szCs w:val="20"/>
              </w:rPr>
            </w:pPr>
            <w:r>
              <w:rPr>
                <w:rFonts w:cs="Arial"/>
                <w:color w:val="000000"/>
                <w:sz w:val="20"/>
                <w:szCs w:val="20"/>
              </w:rPr>
              <w:t>NTG</w:t>
            </w:r>
            <w:r>
              <w:rPr>
                <w:rFonts w:cs="Arial"/>
                <w:color w:val="000000"/>
                <w:sz w:val="20"/>
                <w:szCs w:val="20"/>
              </w:rPr>
              <w:br/>
            </w:r>
            <w:r w:rsidR="00087C53" w:rsidRPr="00E91072">
              <w:rPr>
                <w:rFonts w:cs="Arial"/>
                <w:color w:val="000000"/>
                <w:sz w:val="20"/>
                <w:szCs w:val="20"/>
              </w:rPr>
              <w:t>All-Default&lt;=2yrs</w:t>
            </w:r>
          </w:p>
        </w:tc>
        <w:tc>
          <w:tcPr>
            <w:tcW w:w="1530" w:type="dxa"/>
            <w:shd w:val="clear" w:color="auto" w:fill="auto"/>
            <w:noWrap/>
            <w:vAlign w:val="center"/>
          </w:tcPr>
          <w:p w14:paraId="62F18FF1" w14:textId="002C6066" w:rsidR="00F779BA" w:rsidRPr="00E91072" w:rsidRDefault="00F779BA" w:rsidP="00F8464D">
            <w:pPr>
              <w:keepNext/>
              <w:keepLines/>
              <w:spacing w:before="0" w:after="0" w:line="200" w:lineRule="atLeast"/>
              <w:jc w:val="center"/>
              <w:rPr>
                <w:sz w:val="20"/>
                <w:szCs w:val="20"/>
              </w:rPr>
            </w:pPr>
            <w:r w:rsidRPr="00E91072">
              <w:rPr>
                <w:sz w:val="20"/>
                <w:szCs w:val="20"/>
              </w:rPr>
              <w:t>0.</w:t>
            </w:r>
            <w:r w:rsidR="00087C53" w:rsidRPr="00E91072">
              <w:rPr>
                <w:sz w:val="20"/>
                <w:szCs w:val="20"/>
              </w:rPr>
              <w:t>7</w:t>
            </w:r>
            <w:r w:rsidRPr="00E91072">
              <w:rPr>
                <w:sz w:val="20"/>
                <w:szCs w:val="20"/>
              </w:rPr>
              <w:t>0</w:t>
            </w:r>
          </w:p>
        </w:tc>
        <w:tc>
          <w:tcPr>
            <w:tcW w:w="6300" w:type="dxa"/>
            <w:vAlign w:val="center"/>
          </w:tcPr>
          <w:p w14:paraId="133857EB" w14:textId="0C6FADFC" w:rsidR="00F779BA" w:rsidRPr="00E91072" w:rsidRDefault="00B022D8" w:rsidP="00F8464D">
            <w:pPr>
              <w:rPr>
                <w:sz w:val="18"/>
                <w:szCs w:val="18"/>
              </w:rPr>
            </w:pPr>
            <w:proofErr w:type="spellStart"/>
            <w:r w:rsidRPr="00B022D8">
              <w:rPr>
                <w:rStyle w:val="eTRMFootnoteTextChar"/>
                <w:szCs w:val="18"/>
              </w:rPr>
              <w:t>Itron</w:t>
            </w:r>
            <w:proofErr w:type="spellEnd"/>
            <w:r w:rsidRPr="00B022D8">
              <w:rPr>
                <w:rStyle w:val="eTRMFootnoteTextChar"/>
                <w:szCs w:val="18"/>
              </w:rPr>
              <w:t>, Inc. 2011. DEER Database 2011 Update Documentation. Prepared for the California Public Utilities Commission. Page 15-4, Table 15-3.</w:t>
            </w:r>
          </w:p>
        </w:tc>
      </w:tr>
    </w:tbl>
    <w:p w14:paraId="46BD0BB0" w14:textId="5D7637BA" w:rsidR="0000521D" w:rsidRDefault="0000521D" w:rsidP="004142EF"/>
    <w:p w14:paraId="323B5B02" w14:textId="4C4B13DC" w:rsidR="007D230B" w:rsidRPr="004B06E3" w:rsidRDefault="00D02C36" w:rsidP="004F3F32">
      <w:pPr>
        <w:pStyle w:val="eTRMHeading3"/>
      </w:pPr>
      <w:bookmarkStart w:id="67" w:name="_Toc486490864"/>
      <w:bookmarkStart w:id="68" w:name="_Toc486580935"/>
      <w:bookmarkStart w:id="69" w:name="_Toc25150688"/>
      <w:r>
        <w:t>Gross Savings Installation Adjustment (</w:t>
      </w:r>
      <w:r w:rsidR="007D230B" w:rsidRPr="004B06E3">
        <w:t>GSIA</w:t>
      </w:r>
      <w:bookmarkEnd w:id="67"/>
      <w:bookmarkEnd w:id="68"/>
      <w:r>
        <w:t>)</w:t>
      </w:r>
      <w:bookmarkEnd w:id="69"/>
    </w:p>
    <w:p w14:paraId="2A1F1C17" w14:textId="229F04AB" w:rsidR="007D230B" w:rsidRPr="00485834" w:rsidRDefault="00AA3E2A" w:rsidP="004142EF">
      <w:pPr>
        <w:rPr>
          <w:rFonts w:cs="Arial"/>
        </w:rPr>
      </w:pPr>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w:t>
      </w:r>
      <w:r>
        <w:t xml:space="preserve"> </w:t>
      </w:r>
      <w:bookmarkStart w:id="70" w:name="_Hlk505693433"/>
      <w:r w:rsidR="00485834">
        <w:t>This GSIA rate is the current “default” rate specified for measures for which an alternative GSIA has not been estimated and approved.</w:t>
      </w:r>
      <w:bookmarkEnd w:id="70"/>
    </w:p>
    <w:p w14:paraId="022915CE" w14:textId="7749664A" w:rsidR="00DE1A0F" w:rsidRPr="0059426D" w:rsidRDefault="00AA2841" w:rsidP="00562B44">
      <w:pPr>
        <w:pStyle w:val="Caption"/>
      </w:pPr>
      <w:r>
        <w:t>Gross Savings</w:t>
      </w:r>
      <w:r w:rsidR="00DE1A0F">
        <w:t xml:space="preserve"> Installation </w:t>
      </w:r>
      <w:r>
        <w:t xml:space="preserve">Adjustment </w:t>
      </w:r>
    </w:p>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066"/>
        <w:gridCol w:w="1618"/>
        <w:gridCol w:w="5671"/>
      </w:tblGrid>
      <w:tr w:rsidR="00AA3E2A" w:rsidRPr="0059426D" w14:paraId="60BDA2BB" w14:textId="744FC0FC" w:rsidTr="00AA2841">
        <w:trPr>
          <w:cantSplit/>
          <w:trHeight w:val="20"/>
        </w:trPr>
        <w:tc>
          <w:tcPr>
            <w:tcW w:w="1104" w:type="pct"/>
            <w:shd w:val="clear" w:color="000000" w:fill="F2F2F2" w:themeFill="background1" w:themeFillShade="F2"/>
            <w:vAlign w:val="bottom"/>
          </w:tcPr>
          <w:p w14:paraId="7D363CC0" w14:textId="709302B7" w:rsidR="00AA3E2A" w:rsidRPr="0059426D" w:rsidRDefault="00177EB6" w:rsidP="00F8464D">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865" w:type="pct"/>
            <w:shd w:val="clear" w:color="000000" w:fill="F2F2F2" w:themeFill="background1" w:themeFillShade="F2"/>
            <w:vAlign w:val="center"/>
          </w:tcPr>
          <w:p w14:paraId="2A1AC9D4" w14:textId="3263DC2B" w:rsidR="00AA3E2A" w:rsidRPr="0059426D" w:rsidRDefault="00AA3E2A" w:rsidP="00F8464D">
            <w:pPr>
              <w:keepNext/>
              <w:keepLines/>
              <w:spacing w:before="0" w:after="0" w:line="200" w:lineRule="atLeast"/>
              <w:jc w:val="center"/>
              <w:rPr>
                <w:rFonts w:cs="Arial"/>
                <w:b/>
                <w:color w:val="000000"/>
                <w:sz w:val="20"/>
                <w:szCs w:val="20"/>
              </w:rPr>
            </w:pPr>
            <w:r w:rsidRPr="00D02DA8">
              <w:rPr>
                <w:rFonts w:cs="Arial"/>
                <w:b/>
                <w:sz w:val="20"/>
                <w:szCs w:val="20"/>
              </w:rPr>
              <w:t>GSIA</w:t>
            </w:r>
            <w:r>
              <w:rPr>
                <w:rFonts w:cs="Arial"/>
                <w:b/>
                <w:sz w:val="20"/>
                <w:szCs w:val="20"/>
              </w:rPr>
              <w:t xml:space="preserve"> </w:t>
            </w:r>
          </w:p>
        </w:tc>
        <w:tc>
          <w:tcPr>
            <w:tcW w:w="3030" w:type="pct"/>
            <w:shd w:val="clear" w:color="000000" w:fill="F2F2F2" w:themeFill="background1" w:themeFillShade="F2"/>
          </w:tcPr>
          <w:p w14:paraId="32AB7FEE" w14:textId="77936D4E" w:rsidR="00AA3E2A" w:rsidRPr="00D02DA8" w:rsidRDefault="00AA3E2A" w:rsidP="00F8464D">
            <w:pPr>
              <w:keepNext/>
              <w:keepLines/>
              <w:spacing w:before="0" w:after="0" w:line="200" w:lineRule="atLeast"/>
              <w:jc w:val="center"/>
              <w:rPr>
                <w:rFonts w:cs="Arial"/>
                <w:b/>
                <w:sz w:val="20"/>
                <w:szCs w:val="20"/>
              </w:rPr>
            </w:pPr>
            <w:r>
              <w:rPr>
                <w:rFonts w:cs="Arial"/>
                <w:b/>
                <w:sz w:val="20"/>
                <w:szCs w:val="20"/>
              </w:rPr>
              <w:t>Source</w:t>
            </w:r>
          </w:p>
        </w:tc>
      </w:tr>
      <w:tr w:rsidR="00AA3E2A" w:rsidRPr="0059426D" w14:paraId="2209CD52" w14:textId="78579504" w:rsidTr="00594142">
        <w:trPr>
          <w:cantSplit/>
          <w:trHeight w:val="20"/>
        </w:trPr>
        <w:tc>
          <w:tcPr>
            <w:tcW w:w="1104" w:type="pct"/>
            <w:vAlign w:val="center"/>
          </w:tcPr>
          <w:p w14:paraId="6618BC2B" w14:textId="5ADBCA04" w:rsidR="00AA3E2A" w:rsidRPr="0059426D" w:rsidRDefault="00177EB6" w:rsidP="00594142">
            <w:pPr>
              <w:keepNext/>
              <w:keepLines/>
              <w:spacing w:before="0" w:after="0" w:line="200" w:lineRule="atLeast"/>
              <w:rPr>
                <w:rFonts w:cstheme="minorHAnsi"/>
                <w:sz w:val="20"/>
                <w:szCs w:val="20"/>
              </w:rPr>
            </w:pPr>
            <w:r>
              <w:rPr>
                <w:rFonts w:cstheme="minorHAnsi"/>
                <w:sz w:val="20"/>
                <w:szCs w:val="20"/>
              </w:rPr>
              <w:t xml:space="preserve">GSIA - </w:t>
            </w:r>
            <w:r w:rsidR="00485834">
              <w:rPr>
                <w:rFonts w:cstheme="minorHAnsi"/>
                <w:sz w:val="20"/>
                <w:szCs w:val="20"/>
              </w:rPr>
              <w:t>Default</w:t>
            </w:r>
          </w:p>
        </w:tc>
        <w:tc>
          <w:tcPr>
            <w:tcW w:w="865" w:type="pct"/>
            <w:vAlign w:val="center"/>
          </w:tcPr>
          <w:p w14:paraId="6D1D8F27" w14:textId="53124B47" w:rsidR="00AA3E2A" w:rsidRPr="00AA2841" w:rsidRDefault="00485834" w:rsidP="00F8464D">
            <w:pPr>
              <w:keepNext/>
              <w:keepLines/>
              <w:spacing w:before="0" w:after="0" w:line="200" w:lineRule="atLeast"/>
              <w:jc w:val="center"/>
              <w:rPr>
                <w:sz w:val="20"/>
                <w:szCs w:val="20"/>
              </w:rPr>
            </w:pPr>
            <w:r w:rsidRPr="00AA2841">
              <w:rPr>
                <w:sz w:val="20"/>
                <w:szCs w:val="20"/>
              </w:rPr>
              <w:t>1</w:t>
            </w:r>
            <w:r w:rsidR="00AA3E2A" w:rsidRPr="00AA2841">
              <w:rPr>
                <w:sz w:val="20"/>
                <w:szCs w:val="20"/>
              </w:rPr>
              <w:t>.</w:t>
            </w:r>
            <w:r w:rsidRPr="00AA2841">
              <w:rPr>
                <w:sz w:val="20"/>
                <w:szCs w:val="20"/>
              </w:rPr>
              <w:t>00</w:t>
            </w:r>
          </w:p>
        </w:tc>
        <w:tc>
          <w:tcPr>
            <w:tcW w:w="3030" w:type="pct"/>
          </w:tcPr>
          <w:p w14:paraId="52FCA633" w14:textId="43525B48" w:rsidR="00AA3E2A" w:rsidRPr="00BB4F22" w:rsidRDefault="00485834" w:rsidP="00F8464D">
            <w:pPr>
              <w:keepNext/>
              <w:keepLines/>
              <w:spacing w:before="0" w:after="0" w:line="200" w:lineRule="atLeast"/>
              <w:rPr>
                <w:color w:val="FF0000"/>
                <w:sz w:val="20"/>
                <w:szCs w:val="20"/>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tbl>
    <w:p w14:paraId="08395124" w14:textId="77777777" w:rsidR="00DE1A0F" w:rsidRDefault="00DE1A0F" w:rsidP="00DE1A0F">
      <w:pPr>
        <w:rPr>
          <w:rFonts w:cs="Arial"/>
          <w:sz w:val="20"/>
          <w:szCs w:val="20"/>
        </w:rPr>
      </w:pPr>
    </w:p>
    <w:p w14:paraId="498C05E5" w14:textId="232D8547" w:rsidR="002C67DF" w:rsidRPr="004B06E3" w:rsidRDefault="002C67DF" w:rsidP="004F3F32">
      <w:pPr>
        <w:pStyle w:val="eTRMHeading3"/>
      </w:pPr>
      <w:bookmarkStart w:id="71" w:name="_Toc486490865"/>
      <w:bookmarkStart w:id="72" w:name="_Toc486580936"/>
      <w:bookmarkStart w:id="73" w:name="_Toc25150689"/>
      <w:r w:rsidRPr="004B06E3">
        <w:t xml:space="preserve">Non-Energy </w:t>
      </w:r>
      <w:bookmarkEnd w:id="71"/>
      <w:bookmarkEnd w:id="72"/>
      <w:r w:rsidR="00DA6B7E">
        <w:t>Impacts</w:t>
      </w:r>
      <w:bookmarkEnd w:id="73"/>
    </w:p>
    <w:p w14:paraId="0D73FC70" w14:textId="27339D17" w:rsidR="00697A88" w:rsidRDefault="00697A88" w:rsidP="004A2CEE">
      <w:r>
        <w:t xml:space="preserve">Non-energy benefits for this measure have not been </w:t>
      </w:r>
      <w:r w:rsidR="009D7F4D">
        <w:t>quantified</w:t>
      </w:r>
      <w:r>
        <w:t>.</w:t>
      </w:r>
    </w:p>
    <w:p w14:paraId="0C37F289" w14:textId="77777777" w:rsidR="00697A88" w:rsidRDefault="00697A88" w:rsidP="004142EF"/>
    <w:p w14:paraId="7D8551BB" w14:textId="760F7D39" w:rsidR="009C31A4" w:rsidRPr="004B06E3" w:rsidRDefault="009C31A4" w:rsidP="004F3F32">
      <w:pPr>
        <w:pStyle w:val="eTRMHeading3"/>
      </w:pPr>
      <w:bookmarkStart w:id="74" w:name="_Toc25150690"/>
      <w:r>
        <w:t>DEER Differences Analysis</w:t>
      </w:r>
      <w:bookmarkEnd w:id="74"/>
    </w:p>
    <w:p w14:paraId="575E579E" w14:textId="3F2BF71B" w:rsidR="002C67DF" w:rsidRDefault="003F21D2" w:rsidP="004142EF">
      <w:r>
        <w:t>This section provides a summary of inputs and methods</w:t>
      </w:r>
      <w:r w:rsidR="008A3163">
        <w:t xml:space="preserve"> based upon the Database of Energy Efficient Resources (DEER)</w:t>
      </w:r>
      <w:r>
        <w:t>, and the rationale for inputs and methods that are not DEER-based.</w:t>
      </w:r>
    </w:p>
    <w:p w14:paraId="756C62FB" w14:textId="70A8FF6C" w:rsidR="00EA057C" w:rsidRPr="00920905" w:rsidRDefault="00EA057C" w:rsidP="00562B44">
      <w:pPr>
        <w:pStyle w:val="Caption"/>
      </w:pPr>
      <w:r w:rsidRPr="00920905">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59D017C8" w14:textId="77777777" w:rsidTr="00EA057C">
        <w:trPr>
          <w:trHeight w:val="20"/>
        </w:trPr>
        <w:tc>
          <w:tcPr>
            <w:tcW w:w="1730" w:type="pct"/>
            <w:shd w:val="clear" w:color="auto" w:fill="F2F2F2" w:themeFill="background1" w:themeFillShade="F2"/>
          </w:tcPr>
          <w:p w14:paraId="5A1E2CE5" w14:textId="77777777" w:rsidR="00EA057C" w:rsidRPr="00EA057C" w:rsidRDefault="00EA057C" w:rsidP="005710BF">
            <w:pPr>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52AD34D1" w14:textId="2633ACD5" w:rsidR="00EA057C" w:rsidRPr="00EA057C" w:rsidRDefault="00EA057C" w:rsidP="005710BF">
            <w:pPr>
              <w:spacing w:before="20" w:after="20"/>
              <w:rPr>
                <w:rFonts w:cs="Arial"/>
                <w:b/>
                <w:sz w:val="20"/>
                <w:szCs w:val="20"/>
              </w:rPr>
            </w:pPr>
            <w:r>
              <w:rPr>
                <w:rFonts w:cs="Arial"/>
                <w:b/>
                <w:sz w:val="20"/>
                <w:szCs w:val="20"/>
              </w:rPr>
              <w:t xml:space="preserve">Comment </w:t>
            </w:r>
          </w:p>
        </w:tc>
      </w:tr>
      <w:tr w:rsidR="002E714C" w:rsidRPr="00500C4E" w14:paraId="33003020" w14:textId="77777777" w:rsidTr="00EA057C">
        <w:trPr>
          <w:trHeight w:val="20"/>
        </w:trPr>
        <w:tc>
          <w:tcPr>
            <w:tcW w:w="1730" w:type="pct"/>
          </w:tcPr>
          <w:p w14:paraId="1F2D360A" w14:textId="77777777" w:rsidR="002E714C" w:rsidRPr="00EA057C" w:rsidRDefault="002E714C" w:rsidP="005710BF">
            <w:pPr>
              <w:spacing w:before="20" w:after="20"/>
              <w:rPr>
                <w:rFonts w:cs="Arial"/>
                <w:sz w:val="20"/>
                <w:szCs w:val="20"/>
              </w:rPr>
            </w:pPr>
            <w:r w:rsidRPr="00EA057C">
              <w:rPr>
                <w:rFonts w:cs="Arial"/>
                <w:sz w:val="20"/>
                <w:szCs w:val="20"/>
              </w:rPr>
              <w:t>Modified DEER methodology</w:t>
            </w:r>
          </w:p>
        </w:tc>
        <w:tc>
          <w:tcPr>
            <w:tcW w:w="3270" w:type="pct"/>
          </w:tcPr>
          <w:p w14:paraId="247EE411" w14:textId="25C82AE1" w:rsidR="002E714C" w:rsidRPr="00594142" w:rsidRDefault="008E693F" w:rsidP="005710BF">
            <w:pPr>
              <w:spacing w:before="20" w:after="20"/>
              <w:rPr>
                <w:rFonts w:cs="Arial"/>
                <w:sz w:val="20"/>
                <w:szCs w:val="20"/>
              </w:rPr>
            </w:pPr>
            <w:r>
              <w:rPr>
                <w:rFonts w:cs="Arial"/>
                <w:sz w:val="20"/>
                <w:szCs w:val="20"/>
              </w:rPr>
              <w:t>No</w:t>
            </w:r>
          </w:p>
        </w:tc>
      </w:tr>
      <w:tr w:rsidR="002E714C" w:rsidRPr="00500C4E" w14:paraId="507422EA" w14:textId="77777777" w:rsidTr="00EA057C">
        <w:trPr>
          <w:trHeight w:val="20"/>
        </w:trPr>
        <w:tc>
          <w:tcPr>
            <w:tcW w:w="1730" w:type="pct"/>
          </w:tcPr>
          <w:p w14:paraId="29430E33" w14:textId="77777777" w:rsidR="002E714C" w:rsidRPr="00EA057C" w:rsidRDefault="002E714C" w:rsidP="005710BF">
            <w:pPr>
              <w:spacing w:before="20" w:after="20"/>
              <w:rPr>
                <w:rFonts w:cs="Arial"/>
                <w:sz w:val="20"/>
                <w:szCs w:val="20"/>
              </w:rPr>
            </w:pPr>
            <w:r w:rsidRPr="00EA057C">
              <w:rPr>
                <w:rFonts w:cs="Arial"/>
                <w:sz w:val="20"/>
                <w:szCs w:val="20"/>
              </w:rPr>
              <w:t>Scaled DEER measure</w:t>
            </w:r>
          </w:p>
        </w:tc>
        <w:tc>
          <w:tcPr>
            <w:tcW w:w="3270" w:type="pct"/>
          </w:tcPr>
          <w:p w14:paraId="0C847473" w14:textId="28F5C683" w:rsidR="002E714C" w:rsidRPr="00594142" w:rsidRDefault="008E693F" w:rsidP="005710BF">
            <w:pPr>
              <w:spacing w:before="20" w:after="20"/>
              <w:rPr>
                <w:rFonts w:cs="Arial"/>
                <w:sz w:val="20"/>
                <w:szCs w:val="20"/>
              </w:rPr>
            </w:pPr>
            <w:r>
              <w:rPr>
                <w:rFonts w:cs="Arial"/>
                <w:sz w:val="20"/>
                <w:szCs w:val="20"/>
              </w:rPr>
              <w:t>No</w:t>
            </w:r>
          </w:p>
        </w:tc>
      </w:tr>
      <w:tr w:rsidR="002E714C" w:rsidRPr="00500C4E" w14:paraId="335CDE40" w14:textId="77777777" w:rsidTr="00EA057C">
        <w:trPr>
          <w:trHeight w:val="20"/>
        </w:trPr>
        <w:tc>
          <w:tcPr>
            <w:tcW w:w="1730" w:type="pct"/>
          </w:tcPr>
          <w:p w14:paraId="126C3B42" w14:textId="77777777" w:rsidR="002E714C" w:rsidRPr="00EA057C" w:rsidRDefault="002E714C" w:rsidP="005710BF">
            <w:pPr>
              <w:spacing w:before="20" w:after="20"/>
              <w:rPr>
                <w:rFonts w:cs="Arial"/>
                <w:sz w:val="20"/>
                <w:szCs w:val="20"/>
              </w:rPr>
            </w:pPr>
            <w:r w:rsidRPr="00EA057C">
              <w:rPr>
                <w:rFonts w:cs="Arial"/>
                <w:sz w:val="20"/>
                <w:szCs w:val="20"/>
              </w:rPr>
              <w:t>DEER Base Case</w:t>
            </w:r>
          </w:p>
        </w:tc>
        <w:tc>
          <w:tcPr>
            <w:tcW w:w="3270" w:type="pct"/>
          </w:tcPr>
          <w:p w14:paraId="5D2A1B0E" w14:textId="77CD5B30" w:rsidR="002E714C" w:rsidRPr="00594142" w:rsidRDefault="008E693F" w:rsidP="005710BF">
            <w:pPr>
              <w:spacing w:before="20" w:after="20"/>
              <w:rPr>
                <w:rFonts w:cs="Arial"/>
                <w:sz w:val="20"/>
                <w:szCs w:val="20"/>
              </w:rPr>
            </w:pPr>
            <w:r>
              <w:rPr>
                <w:rFonts w:cs="Arial"/>
                <w:sz w:val="20"/>
                <w:szCs w:val="20"/>
              </w:rPr>
              <w:t>No</w:t>
            </w:r>
          </w:p>
        </w:tc>
      </w:tr>
      <w:tr w:rsidR="002E714C" w:rsidRPr="00500C4E" w14:paraId="1F8399E1" w14:textId="77777777" w:rsidTr="00EA057C">
        <w:trPr>
          <w:trHeight w:val="20"/>
        </w:trPr>
        <w:tc>
          <w:tcPr>
            <w:tcW w:w="1730" w:type="pct"/>
          </w:tcPr>
          <w:p w14:paraId="0CC701E3" w14:textId="77777777" w:rsidR="002E714C" w:rsidRPr="00EA057C" w:rsidRDefault="002E714C" w:rsidP="005710BF">
            <w:pPr>
              <w:spacing w:before="20" w:after="20"/>
              <w:rPr>
                <w:rFonts w:cs="Arial"/>
                <w:sz w:val="20"/>
                <w:szCs w:val="20"/>
              </w:rPr>
            </w:pPr>
            <w:r w:rsidRPr="00EA057C">
              <w:rPr>
                <w:rFonts w:cs="Arial"/>
                <w:sz w:val="20"/>
                <w:szCs w:val="20"/>
              </w:rPr>
              <w:t>DEER Measure Case</w:t>
            </w:r>
          </w:p>
        </w:tc>
        <w:tc>
          <w:tcPr>
            <w:tcW w:w="3270" w:type="pct"/>
          </w:tcPr>
          <w:p w14:paraId="49A023A0" w14:textId="1C304B35" w:rsidR="002E714C" w:rsidRPr="00594142" w:rsidRDefault="008E693F" w:rsidP="005710BF">
            <w:pPr>
              <w:spacing w:before="20" w:after="20"/>
              <w:rPr>
                <w:rFonts w:cs="Arial"/>
                <w:sz w:val="20"/>
                <w:szCs w:val="20"/>
              </w:rPr>
            </w:pPr>
            <w:r>
              <w:rPr>
                <w:rFonts w:cs="Arial"/>
                <w:sz w:val="20"/>
                <w:szCs w:val="20"/>
              </w:rPr>
              <w:t>No</w:t>
            </w:r>
          </w:p>
        </w:tc>
      </w:tr>
      <w:tr w:rsidR="002E714C" w:rsidRPr="00500C4E" w14:paraId="663742C6" w14:textId="77777777" w:rsidTr="00EA057C">
        <w:trPr>
          <w:trHeight w:val="20"/>
        </w:trPr>
        <w:tc>
          <w:tcPr>
            <w:tcW w:w="1730" w:type="pct"/>
          </w:tcPr>
          <w:p w14:paraId="16B2FDAB" w14:textId="77777777" w:rsidR="002E714C" w:rsidRPr="00EA057C" w:rsidRDefault="002E714C" w:rsidP="005710BF">
            <w:pPr>
              <w:spacing w:before="20" w:after="20"/>
              <w:rPr>
                <w:rFonts w:cs="Arial"/>
                <w:sz w:val="20"/>
                <w:szCs w:val="20"/>
              </w:rPr>
            </w:pPr>
            <w:r w:rsidRPr="00EA057C">
              <w:rPr>
                <w:rFonts w:cs="Arial"/>
                <w:sz w:val="20"/>
                <w:szCs w:val="20"/>
              </w:rPr>
              <w:t>DEER Building Types</w:t>
            </w:r>
          </w:p>
        </w:tc>
        <w:tc>
          <w:tcPr>
            <w:tcW w:w="3270" w:type="pct"/>
          </w:tcPr>
          <w:p w14:paraId="6BBA540C" w14:textId="03C1F305" w:rsidR="002E714C" w:rsidRPr="00594142" w:rsidRDefault="008E693F" w:rsidP="005710BF">
            <w:pPr>
              <w:spacing w:before="20" w:after="20"/>
              <w:rPr>
                <w:rFonts w:cs="Arial"/>
                <w:sz w:val="20"/>
                <w:szCs w:val="20"/>
              </w:rPr>
            </w:pPr>
            <w:r>
              <w:rPr>
                <w:rFonts w:cs="Arial"/>
                <w:sz w:val="20"/>
                <w:szCs w:val="20"/>
              </w:rPr>
              <w:t>No</w:t>
            </w:r>
          </w:p>
        </w:tc>
      </w:tr>
      <w:tr w:rsidR="002E714C" w:rsidRPr="00500C4E" w14:paraId="424F1325" w14:textId="77777777" w:rsidTr="00EA057C">
        <w:trPr>
          <w:trHeight w:val="20"/>
        </w:trPr>
        <w:tc>
          <w:tcPr>
            <w:tcW w:w="1730" w:type="pct"/>
          </w:tcPr>
          <w:p w14:paraId="71098DDA" w14:textId="77777777" w:rsidR="002E714C" w:rsidRPr="00EA057C" w:rsidRDefault="002E714C" w:rsidP="005710BF">
            <w:pPr>
              <w:spacing w:before="20" w:after="20"/>
              <w:rPr>
                <w:rFonts w:cs="Arial"/>
                <w:sz w:val="20"/>
                <w:szCs w:val="20"/>
              </w:rPr>
            </w:pPr>
            <w:r w:rsidRPr="00EA057C">
              <w:rPr>
                <w:rFonts w:cs="Arial"/>
                <w:sz w:val="20"/>
                <w:szCs w:val="20"/>
              </w:rPr>
              <w:t>DEER Operating Hours</w:t>
            </w:r>
          </w:p>
        </w:tc>
        <w:tc>
          <w:tcPr>
            <w:tcW w:w="3270" w:type="pct"/>
          </w:tcPr>
          <w:p w14:paraId="1693E1EE" w14:textId="4294B439" w:rsidR="002E714C" w:rsidRPr="00594142" w:rsidRDefault="008E693F" w:rsidP="005710BF">
            <w:pPr>
              <w:spacing w:before="20" w:after="20"/>
              <w:rPr>
                <w:rFonts w:cs="Arial"/>
                <w:sz w:val="20"/>
                <w:szCs w:val="20"/>
              </w:rPr>
            </w:pPr>
            <w:r>
              <w:rPr>
                <w:rFonts w:cs="Arial"/>
                <w:sz w:val="20"/>
                <w:szCs w:val="20"/>
              </w:rPr>
              <w:t>No</w:t>
            </w:r>
          </w:p>
        </w:tc>
      </w:tr>
      <w:tr w:rsidR="002E714C" w:rsidRPr="00500C4E" w14:paraId="0B93AD47" w14:textId="77777777" w:rsidTr="00EA057C">
        <w:trPr>
          <w:trHeight w:val="20"/>
        </w:trPr>
        <w:tc>
          <w:tcPr>
            <w:tcW w:w="1730" w:type="pct"/>
          </w:tcPr>
          <w:p w14:paraId="6E9E484F" w14:textId="77777777" w:rsidR="002E714C" w:rsidRPr="00EA057C" w:rsidRDefault="002E714C" w:rsidP="005710BF">
            <w:pPr>
              <w:spacing w:before="20" w:after="20"/>
              <w:rPr>
                <w:rFonts w:cs="Arial"/>
                <w:sz w:val="20"/>
                <w:szCs w:val="20"/>
              </w:rPr>
            </w:pPr>
            <w:r w:rsidRPr="00EA057C">
              <w:rPr>
                <w:rFonts w:cs="Arial"/>
                <w:sz w:val="20"/>
                <w:szCs w:val="20"/>
              </w:rPr>
              <w:t xml:space="preserve">DEER </w:t>
            </w:r>
            <w:proofErr w:type="spellStart"/>
            <w:r w:rsidRPr="00EA057C">
              <w:rPr>
                <w:rFonts w:cs="Arial"/>
                <w:sz w:val="20"/>
                <w:szCs w:val="20"/>
              </w:rPr>
              <w:t>eQUEST</w:t>
            </w:r>
            <w:proofErr w:type="spellEnd"/>
            <w:r w:rsidRPr="00EA057C">
              <w:rPr>
                <w:rFonts w:cs="Arial"/>
                <w:sz w:val="20"/>
                <w:szCs w:val="20"/>
              </w:rPr>
              <w:t xml:space="preserve"> Prototypes</w:t>
            </w:r>
          </w:p>
        </w:tc>
        <w:tc>
          <w:tcPr>
            <w:tcW w:w="3270" w:type="pct"/>
          </w:tcPr>
          <w:p w14:paraId="4948DEAF" w14:textId="5DD2CB64" w:rsidR="002E714C" w:rsidRPr="00594142" w:rsidDel="00505CEC" w:rsidRDefault="008E693F" w:rsidP="005710BF">
            <w:pPr>
              <w:spacing w:before="20" w:after="20"/>
              <w:rPr>
                <w:rFonts w:cs="Arial"/>
                <w:sz w:val="20"/>
                <w:szCs w:val="20"/>
              </w:rPr>
            </w:pPr>
            <w:r>
              <w:rPr>
                <w:rFonts w:cs="Arial"/>
                <w:sz w:val="20"/>
                <w:szCs w:val="20"/>
              </w:rPr>
              <w:t>No</w:t>
            </w:r>
          </w:p>
        </w:tc>
      </w:tr>
      <w:tr w:rsidR="002E714C" w:rsidRPr="00500C4E" w14:paraId="2CFDE9D3" w14:textId="77777777" w:rsidTr="00EA057C">
        <w:trPr>
          <w:trHeight w:val="180"/>
        </w:trPr>
        <w:tc>
          <w:tcPr>
            <w:tcW w:w="1730" w:type="pct"/>
          </w:tcPr>
          <w:p w14:paraId="3B6B3E22" w14:textId="77777777" w:rsidR="002E714C" w:rsidRPr="00EA057C" w:rsidRDefault="002E714C" w:rsidP="005710BF">
            <w:pPr>
              <w:spacing w:before="20" w:after="20"/>
              <w:rPr>
                <w:rFonts w:cs="Arial"/>
                <w:sz w:val="20"/>
                <w:szCs w:val="20"/>
              </w:rPr>
            </w:pPr>
            <w:r w:rsidRPr="00EA057C">
              <w:rPr>
                <w:rFonts w:cs="Arial"/>
                <w:sz w:val="20"/>
                <w:szCs w:val="20"/>
              </w:rPr>
              <w:t>DEER Version</w:t>
            </w:r>
          </w:p>
        </w:tc>
        <w:tc>
          <w:tcPr>
            <w:tcW w:w="3270" w:type="pct"/>
          </w:tcPr>
          <w:p w14:paraId="1C3B60D1" w14:textId="75153734" w:rsidR="002E714C" w:rsidRPr="00594142" w:rsidRDefault="008E693F" w:rsidP="005710BF">
            <w:pPr>
              <w:spacing w:before="20" w:after="20"/>
              <w:rPr>
                <w:rFonts w:cs="Arial"/>
                <w:sz w:val="20"/>
                <w:szCs w:val="20"/>
              </w:rPr>
            </w:pPr>
            <w:r w:rsidRPr="008E693F">
              <w:rPr>
                <w:rFonts w:cs="Arial"/>
                <w:sz w:val="20"/>
                <w:szCs w:val="20"/>
              </w:rPr>
              <w:t>DEER 2018, READI v2.5.1</w:t>
            </w:r>
          </w:p>
        </w:tc>
      </w:tr>
      <w:tr w:rsidR="002E714C" w:rsidRPr="00500C4E" w14:paraId="3B7464D7" w14:textId="77777777" w:rsidTr="00EA057C">
        <w:trPr>
          <w:trHeight w:val="20"/>
        </w:trPr>
        <w:tc>
          <w:tcPr>
            <w:tcW w:w="1730" w:type="pct"/>
          </w:tcPr>
          <w:p w14:paraId="24000A76" w14:textId="77777777" w:rsidR="002E714C" w:rsidRPr="00EA057C" w:rsidRDefault="002E714C" w:rsidP="005710BF">
            <w:pPr>
              <w:spacing w:before="20" w:after="20"/>
              <w:rPr>
                <w:rFonts w:cs="Arial"/>
                <w:sz w:val="20"/>
                <w:szCs w:val="20"/>
              </w:rPr>
            </w:pPr>
            <w:r w:rsidRPr="00EA057C">
              <w:rPr>
                <w:rFonts w:cs="Arial"/>
                <w:sz w:val="20"/>
                <w:szCs w:val="20"/>
              </w:rPr>
              <w:t>Reason for Deviation from DEER</w:t>
            </w:r>
          </w:p>
        </w:tc>
        <w:tc>
          <w:tcPr>
            <w:tcW w:w="3270" w:type="pct"/>
          </w:tcPr>
          <w:p w14:paraId="125AAB90" w14:textId="4169FD63" w:rsidR="002E714C" w:rsidRPr="00594142" w:rsidRDefault="008E693F" w:rsidP="005710BF">
            <w:pPr>
              <w:spacing w:before="20" w:after="20"/>
              <w:rPr>
                <w:rFonts w:cs="Arial"/>
                <w:sz w:val="20"/>
                <w:szCs w:val="20"/>
              </w:rPr>
            </w:pPr>
            <w:r w:rsidRPr="008E693F">
              <w:rPr>
                <w:rFonts w:cs="Arial"/>
                <w:sz w:val="20"/>
                <w:szCs w:val="20"/>
              </w:rPr>
              <w:t>DEER does not contain Energy Efficient</w:t>
            </w:r>
            <w:r>
              <w:rPr>
                <w:rFonts w:cs="Arial"/>
                <w:sz w:val="20"/>
                <w:szCs w:val="20"/>
              </w:rPr>
              <w:t xml:space="preserve"> Pool Heaters.</w:t>
            </w:r>
          </w:p>
        </w:tc>
      </w:tr>
      <w:tr w:rsidR="002E714C" w:rsidRPr="00500C4E" w14:paraId="4A7EE859" w14:textId="77777777" w:rsidTr="00EA057C">
        <w:trPr>
          <w:trHeight w:val="20"/>
        </w:trPr>
        <w:tc>
          <w:tcPr>
            <w:tcW w:w="1730" w:type="pct"/>
          </w:tcPr>
          <w:p w14:paraId="7B4D686A" w14:textId="77777777" w:rsidR="002E714C" w:rsidRPr="00EA057C" w:rsidRDefault="002E714C" w:rsidP="005710BF">
            <w:pPr>
              <w:spacing w:before="20" w:after="20"/>
              <w:rPr>
                <w:rFonts w:cs="Arial"/>
                <w:sz w:val="20"/>
                <w:szCs w:val="20"/>
              </w:rPr>
            </w:pPr>
            <w:r w:rsidRPr="00EA057C">
              <w:rPr>
                <w:rFonts w:cs="Arial"/>
                <w:sz w:val="20"/>
                <w:szCs w:val="20"/>
              </w:rPr>
              <w:t>DEER Measure IDs Used</w:t>
            </w:r>
          </w:p>
        </w:tc>
        <w:tc>
          <w:tcPr>
            <w:tcW w:w="3270" w:type="pct"/>
          </w:tcPr>
          <w:p w14:paraId="63ABA251" w14:textId="22A1F709" w:rsidR="002E714C" w:rsidRPr="00594142" w:rsidRDefault="008E693F" w:rsidP="005710BF">
            <w:pPr>
              <w:spacing w:before="20" w:after="20"/>
              <w:rPr>
                <w:rFonts w:cs="Arial"/>
                <w:sz w:val="20"/>
                <w:szCs w:val="20"/>
              </w:rPr>
            </w:pPr>
            <w:r>
              <w:rPr>
                <w:rFonts w:cs="Arial"/>
                <w:sz w:val="20"/>
                <w:szCs w:val="20"/>
              </w:rPr>
              <w:t>None</w:t>
            </w:r>
          </w:p>
        </w:tc>
      </w:tr>
      <w:tr w:rsidR="00EA057C" w:rsidRPr="00500C4E" w14:paraId="5A83EC74" w14:textId="77777777" w:rsidTr="00EA057C">
        <w:trPr>
          <w:trHeight w:val="20"/>
        </w:trPr>
        <w:tc>
          <w:tcPr>
            <w:tcW w:w="1730" w:type="pct"/>
          </w:tcPr>
          <w:p w14:paraId="2C82A9E0" w14:textId="121308D7" w:rsidR="00EA057C" w:rsidRPr="00EA057C" w:rsidRDefault="00EA057C" w:rsidP="005710BF">
            <w:pPr>
              <w:spacing w:before="20" w:after="20"/>
              <w:rPr>
                <w:rFonts w:cs="Arial"/>
                <w:sz w:val="20"/>
                <w:szCs w:val="20"/>
              </w:rPr>
            </w:pPr>
            <w:r>
              <w:rPr>
                <w:rFonts w:cs="Arial"/>
                <w:sz w:val="20"/>
                <w:szCs w:val="20"/>
              </w:rPr>
              <w:t>NTG</w:t>
            </w:r>
          </w:p>
        </w:tc>
        <w:tc>
          <w:tcPr>
            <w:tcW w:w="3270" w:type="pct"/>
          </w:tcPr>
          <w:p w14:paraId="2BBBB10C" w14:textId="03A709F5" w:rsidR="00EA057C" w:rsidRPr="00594142" w:rsidRDefault="005A74DC" w:rsidP="005710BF">
            <w:pPr>
              <w:spacing w:before="20" w:after="20"/>
              <w:rPr>
                <w:rFonts w:cs="Arial"/>
                <w:i/>
                <w:sz w:val="20"/>
                <w:szCs w:val="20"/>
              </w:rPr>
            </w:pPr>
            <w:r w:rsidRPr="00087C53">
              <w:rPr>
                <w:rFonts w:cs="Arial"/>
                <w:sz w:val="20"/>
                <w:szCs w:val="20"/>
              </w:rPr>
              <w:t xml:space="preserve">Source: </w:t>
            </w:r>
            <w:r w:rsidR="00087C53">
              <w:rPr>
                <w:rFonts w:cs="Arial"/>
                <w:sz w:val="20"/>
                <w:szCs w:val="20"/>
              </w:rPr>
              <w:t>DEER</w:t>
            </w:r>
            <w:r w:rsidR="009C12A7" w:rsidRPr="00087C53">
              <w:rPr>
                <w:rFonts w:cs="Arial"/>
                <w:sz w:val="20"/>
                <w:szCs w:val="20"/>
              </w:rPr>
              <w:t>.</w:t>
            </w:r>
            <w:r w:rsidRPr="00087C53">
              <w:rPr>
                <w:rFonts w:cs="Arial"/>
                <w:sz w:val="20"/>
                <w:szCs w:val="20"/>
              </w:rPr>
              <w:t xml:space="preserve"> The NTG of </w:t>
            </w:r>
            <w:r w:rsidR="009C12A7" w:rsidRPr="00087C53">
              <w:rPr>
                <w:rFonts w:cs="Arial"/>
                <w:sz w:val="20"/>
                <w:szCs w:val="20"/>
              </w:rPr>
              <w:t>0.</w:t>
            </w:r>
            <w:r w:rsidR="00087C53" w:rsidRPr="00087C53">
              <w:rPr>
                <w:rFonts w:cs="Arial"/>
                <w:sz w:val="20"/>
                <w:szCs w:val="20"/>
              </w:rPr>
              <w:t>70</w:t>
            </w:r>
            <w:r w:rsidRPr="00087C53">
              <w:rPr>
                <w:rFonts w:cs="Arial"/>
                <w:sz w:val="20"/>
                <w:szCs w:val="20"/>
              </w:rPr>
              <w:t xml:space="preserve"> is associated with NTG ID:</w:t>
            </w:r>
            <w:r w:rsidR="00087C53" w:rsidRPr="00087C53">
              <w:rPr>
                <w:rFonts w:asciiTheme="minorHAnsi" w:eastAsia="Times New Roman" w:hAnsiTheme="minorHAnsi" w:cs="Times New Roman"/>
                <w:szCs w:val="20"/>
              </w:rPr>
              <w:t xml:space="preserve"> </w:t>
            </w:r>
            <w:r w:rsidR="00087C53" w:rsidRPr="00087C53">
              <w:rPr>
                <w:rFonts w:cs="Arial"/>
                <w:i/>
                <w:sz w:val="20"/>
                <w:szCs w:val="20"/>
              </w:rPr>
              <w:t>All-Default&lt;=2yrs</w:t>
            </w:r>
          </w:p>
        </w:tc>
      </w:tr>
      <w:tr w:rsidR="00EA057C" w:rsidRPr="00500C4E" w14:paraId="131D1F9D" w14:textId="77777777" w:rsidTr="00EA057C">
        <w:trPr>
          <w:trHeight w:val="20"/>
        </w:trPr>
        <w:tc>
          <w:tcPr>
            <w:tcW w:w="1730" w:type="pct"/>
          </w:tcPr>
          <w:p w14:paraId="45FFA983" w14:textId="5F527A83" w:rsidR="00EA057C" w:rsidRDefault="00EA057C" w:rsidP="005710BF">
            <w:pPr>
              <w:spacing w:before="20" w:after="20"/>
              <w:rPr>
                <w:rFonts w:cs="Arial"/>
                <w:sz w:val="20"/>
                <w:szCs w:val="20"/>
              </w:rPr>
            </w:pPr>
            <w:r>
              <w:rPr>
                <w:rFonts w:cs="Arial"/>
                <w:sz w:val="20"/>
                <w:szCs w:val="20"/>
              </w:rPr>
              <w:t>GSIA</w:t>
            </w:r>
          </w:p>
        </w:tc>
        <w:tc>
          <w:tcPr>
            <w:tcW w:w="3270" w:type="pct"/>
          </w:tcPr>
          <w:p w14:paraId="7C16D603" w14:textId="41189B11" w:rsidR="00EA057C" w:rsidRPr="00EA057C" w:rsidRDefault="005A74DC" w:rsidP="005710BF">
            <w:pPr>
              <w:spacing w:before="20" w:after="20"/>
              <w:rPr>
                <w:rFonts w:cs="Arial"/>
                <w:sz w:val="20"/>
                <w:szCs w:val="20"/>
              </w:rPr>
            </w:pPr>
            <w:r w:rsidRPr="00D05D4F">
              <w:rPr>
                <w:rFonts w:cs="Arial"/>
                <w:sz w:val="20"/>
                <w:szCs w:val="20"/>
              </w:rPr>
              <w:t xml:space="preserve">The GSIA of </w:t>
            </w:r>
            <w:r w:rsidR="00AA2841" w:rsidRPr="00D05D4F">
              <w:rPr>
                <w:rFonts w:cs="Arial"/>
                <w:sz w:val="20"/>
                <w:szCs w:val="20"/>
              </w:rPr>
              <w:t>1.0</w:t>
            </w:r>
            <w:r w:rsidRPr="00D05D4F">
              <w:rPr>
                <w:rFonts w:cs="Arial"/>
                <w:sz w:val="20"/>
                <w:szCs w:val="20"/>
              </w:rPr>
              <w:t xml:space="preserve"> is associated with GSIA ID: </w:t>
            </w:r>
            <w:r w:rsidR="00AA2841" w:rsidRPr="00D05D4F">
              <w:rPr>
                <w:rFonts w:cs="Arial"/>
                <w:i/>
                <w:sz w:val="20"/>
                <w:szCs w:val="20"/>
              </w:rPr>
              <w:t>Def-GSIA</w:t>
            </w:r>
          </w:p>
        </w:tc>
      </w:tr>
      <w:tr w:rsidR="00EA057C" w:rsidRPr="00500C4E" w14:paraId="4D0F7E1B" w14:textId="77777777" w:rsidTr="00EA057C">
        <w:trPr>
          <w:trHeight w:val="20"/>
        </w:trPr>
        <w:tc>
          <w:tcPr>
            <w:tcW w:w="1730" w:type="pct"/>
          </w:tcPr>
          <w:p w14:paraId="103BA947" w14:textId="6665B2EA" w:rsidR="00EA057C" w:rsidRDefault="00EA057C" w:rsidP="005710BF">
            <w:pPr>
              <w:spacing w:before="20" w:after="20"/>
              <w:rPr>
                <w:rFonts w:cs="Arial"/>
                <w:sz w:val="20"/>
                <w:szCs w:val="20"/>
              </w:rPr>
            </w:pPr>
            <w:r>
              <w:rPr>
                <w:rFonts w:cs="Arial"/>
                <w:sz w:val="20"/>
                <w:szCs w:val="20"/>
              </w:rPr>
              <w:t>EUL/RUL</w:t>
            </w:r>
          </w:p>
        </w:tc>
        <w:tc>
          <w:tcPr>
            <w:tcW w:w="3270" w:type="pct"/>
          </w:tcPr>
          <w:p w14:paraId="5BD9C961" w14:textId="33725E1C" w:rsidR="00EA057C" w:rsidRPr="00EA057C" w:rsidRDefault="005A74DC" w:rsidP="005710BF">
            <w:pPr>
              <w:spacing w:before="20" w:after="20"/>
              <w:rPr>
                <w:rFonts w:cs="Arial"/>
                <w:sz w:val="20"/>
                <w:szCs w:val="20"/>
              </w:rPr>
            </w:pPr>
            <w:r>
              <w:rPr>
                <w:rFonts w:cs="Arial"/>
                <w:sz w:val="20"/>
                <w:szCs w:val="20"/>
              </w:rPr>
              <w:t xml:space="preserve">Source: </w:t>
            </w:r>
            <w:r w:rsidR="00450C21">
              <w:rPr>
                <w:rFonts w:cs="Arial"/>
                <w:sz w:val="20"/>
                <w:szCs w:val="20"/>
              </w:rPr>
              <w:t>DEER 2014</w:t>
            </w:r>
            <w:r w:rsidR="004A2CEE">
              <w:rPr>
                <w:rFonts w:cs="Arial"/>
                <w:sz w:val="20"/>
                <w:szCs w:val="20"/>
              </w:rPr>
              <w:t>.</w:t>
            </w:r>
            <w:r>
              <w:rPr>
                <w:rFonts w:cs="Arial"/>
                <w:sz w:val="20"/>
                <w:szCs w:val="20"/>
              </w:rPr>
              <w:t xml:space="preserve"> The value of </w:t>
            </w:r>
            <w:r w:rsidR="00613FFE" w:rsidRPr="00C172E7">
              <w:rPr>
                <w:rFonts w:cs="Arial"/>
                <w:sz w:val="20"/>
                <w:szCs w:val="20"/>
              </w:rPr>
              <w:t>10</w:t>
            </w:r>
            <w:r>
              <w:rPr>
                <w:rFonts w:cs="Arial"/>
                <w:sz w:val="20"/>
                <w:szCs w:val="20"/>
              </w:rPr>
              <w:t xml:space="preserve"> years is associated with EUL ID: </w:t>
            </w:r>
            <w:proofErr w:type="spellStart"/>
            <w:r w:rsidR="004F3F32">
              <w:rPr>
                <w:rFonts w:cs="Arial"/>
                <w:i/>
                <w:sz w:val="20"/>
                <w:szCs w:val="20"/>
              </w:rPr>
              <w:t>OutD</w:t>
            </w:r>
            <w:r w:rsidR="00E91072">
              <w:rPr>
                <w:rFonts w:cs="Arial"/>
                <w:i/>
                <w:sz w:val="20"/>
                <w:szCs w:val="20"/>
              </w:rPr>
              <w:t>-PoolPump</w:t>
            </w:r>
            <w:proofErr w:type="spellEnd"/>
            <w:r w:rsidR="002E1AFC" w:rsidRPr="002E1AFC" w:rsidDel="00450C21">
              <w:rPr>
                <w:rFonts w:cs="Arial"/>
                <w:i/>
                <w:sz w:val="20"/>
                <w:szCs w:val="20"/>
                <w:highlight w:val="yellow"/>
              </w:rPr>
              <w:t xml:space="preserve"> </w:t>
            </w:r>
          </w:p>
        </w:tc>
      </w:tr>
    </w:tbl>
    <w:p w14:paraId="3D440479" w14:textId="77777777" w:rsidR="00EA057C" w:rsidRDefault="00EA057C" w:rsidP="004142EF">
      <w:bookmarkStart w:id="75" w:name="_Hlk516051142"/>
    </w:p>
    <w:p w14:paraId="59542C0D" w14:textId="77777777" w:rsidR="007D230B" w:rsidRDefault="007D230B" w:rsidP="004F3F32">
      <w:pPr>
        <w:pStyle w:val="eTRMHeading3"/>
      </w:pPr>
      <w:bookmarkStart w:id="76" w:name="_Toc486490866"/>
      <w:bookmarkStart w:id="77" w:name="_Toc486580937"/>
      <w:bookmarkStart w:id="78" w:name="_Toc25150691"/>
      <w:bookmarkStart w:id="79" w:name="_Hlk516047558"/>
      <w:r w:rsidRPr="004B06E3">
        <w:t>Revision History</w:t>
      </w:r>
      <w:bookmarkEnd w:id="76"/>
      <w:bookmarkEnd w:id="77"/>
      <w:bookmarkEnd w:id="78"/>
    </w:p>
    <w:p w14:paraId="3661732B" w14:textId="277A4005" w:rsidR="00CA1CB3" w:rsidRDefault="00742F88" w:rsidP="00562B44">
      <w:pPr>
        <w:pStyle w:val="Caption"/>
      </w:pPr>
      <w:bookmarkStart w:id="80" w:name="_Hlk515959178"/>
      <w:r>
        <w:t>Measure Characterization Revision History</w:t>
      </w:r>
    </w:p>
    <w:tbl>
      <w:tblPr>
        <w:tblW w:w="534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1"/>
        <w:gridCol w:w="1664"/>
        <w:gridCol w:w="1979"/>
        <w:gridCol w:w="5402"/>
      </w:tblGrid>
      <w:tr w:rsidR="00CA1CB3" w:rsidRPr="00500C4E" w14:paraId="1904D58C" w14:textId="6E96D877" w:rsidTr="00087C53">
        <w:trPr>
          <w:trHeight w:val="20"/>
        </w:trPr>
        <w:tc>
          <w:tcPr>
            <w:tcW w:w="471" w:type="pct"/>
            <w:shd w:val="clear" w:color="auto" w:fill="F2F2F2" w:themeFill="background1" w:themeFillShade="F2"/>
            <w:vAlign w:val="bottom"/>
          </w:tcPr>
          <w:p w14:paraId="5365A71C" w14:textId="5EB86E00" w:rsidR="00CA1CB3" w:rsidRPr="00EA057C" w:rsidRDefault="00CA1CB3" w:rsidP="00871123">
            <w:pPr>
              <w:keepNext/>
              <w:keepLines/>
              <w:tabs>
                <w:tab w:val="right" w:pos="2957"/>
              </w:tabs>
              <w:spacing w:before="20" w:after="20"/>
              <w:rPr>
                <w:rFonts w:cs="Arial"/>
                <w:b/>
                <w:sz w:val="20"/>
                <w:szCs w:val="20"/>
              </w:rPr>
            </w:pPr>
            <w:r>
              <w:rPr>
                <w:rFonts w:cs="Arial"/>
                <w:b/>
                <w:sz w:val="20"/>
                <w:szCs w:val="20"/>
              </w:rPr>
              <w:t>Revision Number</w:t>
            </w:r>
          </w:p>
        </w:tc>
        <w:tc>
          <w:tcPr>
            <w:tcW w:w="833" w:type="pct"/>
            <w:shd w:val="clear" w:color="auto" w:fill="F2F2F2" w:themeFill="background1" w:themeFillShade="F2"/>
            <w:vAlign w:val="bottom"/>
          </w:tcPr>
          <w:p w14:paraId="7DC8BCED" w14:textId="014AA234" w:rsidR="00CA1CB3" w:rsidRPr="00EA057C" w:rsidRDefault="00036EFF" w:rsidP="00871123">
            <w:pPr>
              <w:keepNext/>
              <w:keepLines/>
              <w:spacing w:before="20" w:after="20"/>
              <w:rPr>
                <w:rFonts w:cs="Arial"/>
                <w:b/>
                <w:sz w:val="20"/>
                <w:szCs w:val="20"/>
              </w:rPr>
            </w:pPr>
            <w:r>
              <w:rPr>
                <w:rFonts w:cs="Arial"/>
                <w:b/>
                <w:sz w:val="20"/>
                <w:szCs w:val="20"/>
              </w:rPr>
              <w:t xml:space="preserve">Revision Complete </w:t>
            </w:r>
            <w:r w:rsidR="00CA1CB3">
              <w:rPr>
                <w:rFonts w:cs="Arial"/>
                <w:b/>
                <w:sz w:val="20"/>
                <w:szCs w:val="20"/>
              </w:rPr>
              <w:t>Date</w:t>
            </w:r>
          </w:p>
        </w:tc>
        <w:tc>
          <w:tcPr>
            <w:tcW w:w="991" w:type="pct"/>
            <w:shd w:val="clear" w:color="auto" w:fill="F2F2F2" w:themeFill="background1" w:themeFillShade="F2"/>
            <w:vAlign w:val="bottom"/>
          </w:tcPr>
          <w:p w14:paraId="10DC2402" w14:textId="63223EB6" w:rsidR="00CA1CB3" w:rsidRDefault="00CA1CB3" w:rsidP="00871123">
            <w:pPr>
              <w:keepNext/>
              <w:keepLines/>
              <w:spacing w:before="20" w:after="20"/>
              <w:rPr>
                <w:rFonts w:cs="Arial"/>
                <w:b/>
                <w:sz w:val="20"/>
                <w:szCs w:val="20"/>
              </w:rPr>
            </w:pPr>
            <w:r>
              <w:rPr>
                <w:rFonts w:cs="Arial"/>
                <w:b/>
                <w:sz w:val="20"/>
                <w:szCs w:val="20"/>
              </w:rPr>
              <w:t>Primary Author, Title, Organization</w:t>
            </w:r>
          </w:p>
        </w:tc>
        <w:tc>
          <w:tcPr>
            <w:tcW w:w="2705" w:type="pct"/>
            <w:shd w:val="clear" w:color="auto" w:fill="F2F2F2" w:themeFill="background1" w:themeFillShade="F2"/>
            <w:vAlign w:val="bottom"/>
          </w:tcPr>
          <w:p w14:paraId="2BFB4352" w14:textId="7D444C41" w:rsidR="00CA1CB3" w:rsidRDefault="00CA1CB3" w:rsidP="00871123">
            <w:pPr>
              <w:keepNext/>
              <w:keepLines/>
              <w:spacing w:before="20" w:after="20"/>
              <w:rPr>
                <w:rFonts w:cs="Arial"/>
                <w:b/>
                <w:sz w:val="20"/>
                <w:szCs w:val="20"/>
              </w:rPr>
            </w:pPr>
            <w:r>
              <w:rPr>
                <w:rFonts w:cs="Arial"/>
                <w:b/>
                <w:sz w:val="20"/>
                <w:szCs w:val="20"/>
              </w:rPr>
              <w:t>Revision Summary and Rationale for Revision</w:t>
            </w:r>
          </w:p>
        </w:tc>
      </w:tr>
      <w:tr w:rsidR="007544D1" w:rsidRPr="00CA1CB3" w14:paraId="0A9DBD7D" w14:textId="04A29668" w:rsidTr="00087C53">
        <w:trPr>
          <w:trHeight w:val="20"/>
        </w:trPr>
        <w:tc>
          <w:tcPr>
            <w:tcW w:w="471" w:type="pct"/>
            <w:vMerge w:val="restart"/>
          </w:tcPr>
          <w:p w14:paraId="2BB5CFF1" w14:textId="77777777" w:rsidR="006E378C" w:rsidRDefault="006E378C" w:rsidP="00D60987">
            <w:pPr>
              <w:keepNext/>
              <w:keepLines/>
              <w:spacing w:before="20" w:after="20"/>
              <w:rPr>
                <w:rFonts w:cs="Arial"/>
                <w:sz w:val="20"/>
                <w:szCs w:val="20"/>
              </w:rPr>
            </w:pPr>
          </w:p>
          <w:p w14:paraId="398FF920" w14:textId="77777777" w:rsidR="006E378C" w:rsidRDefault="006E378C" w:rsidP="00D60987">
            <w:pPr>
              <w:keepNext/>
              <w:keepLines/>
              <w:spacing w:before="20" w:after="20"/>
              <w:rPr>
                <w:rFonts w:cs="Arial"/>
                <w:sz w:val="20"/>
                <w:szCs w:val="20"/>
              </w:rPr>
            </w:pPr>
          </w:p>
          <w:p w14:paraId="38788C98" w14:textId="63552028" w:rsidR="007544D1" w:rsidRPr="00CA1CB3" w:rsidRDefault="007544D1" w:rsidP="00D60987">
            <w:pPr>
              <w:keepNext/>
              <w:keepLines/>
              <w:spacing w:before="20" w:after="20"/>
              <w:rPr>
                <w:rFonts w:cs="Arial"/>
                <w:sz w:val="20"/>
                <w:szCs w:val="20"/>
              </w:rPr>
            </w:pPr>
            <w:bookmarkStart w:id="81" w:name="_GoBack"/>
            <w:bookmarkEnd w:id="81"/>
            <w:r>
              <w:rPr>
                <w:rFonts w:cs="Arial"/>
                <w:sz w:val="20"/>
                <w:szCs w:val="20"/>
              </w:rPr>
              <w:t>01</w:t>
            </w:r>
          </w:p>
        </w:tc>
        <w:tc>
          <w:tcPr>
            <w:tcW w:w="833" w:type="pct"/>
          </w:tcPr>
          <w:p w14:paraId="03B67B1D" w14:textId="6D842AA1" w:rsidR="007544D1" w:rsidRPr="009C12A7" w:rsidRDefault="007544D1" w:rsidP="00D60987">
            <w:pPr>
              <w:keepNext/>
              <w:keepLines/>
              <w:spacing w:before="20" w:after="20"/>
              <w:rPr>
                <w:rFonts w:cs="Arial"/>
                <w:sz w:val="20"/>
                <w:szCs w:val="20"/>
                <w:highlight w:val="lightGray"/>
              </w:rPr>
            </w:pPr>
            <w:r>
              <w:rPr>
                <w:rFonts w:cs="Arial"/>
                <w:sz w:val="20"/>
                <w:szCs w:val="20"/>
              </w:rPr>
              <w:t>11</w:t>
            </w:r>
            <w:r w:rsidRPr="00D05D4F">
              <w:rPr>
                <w:rFonts w:cs="Arial"/>
                <w:sz w:val="20"/>
                <w:szCs w:val="20"/>
              </w:rPr>
              <w:t>/</w:t>
            </w:r>
            <w:r>
              <w:rPr>
                <w:rFonts w:cs="Arial"/>
                <w:sz w:val="20"/>
                <w:szCs w:val="20"/>
              </w:rPr>
              <w:t>07</w:t>
            </w:r>
            <w:r w:rsidRPr="00D05D4F">
              <w:rPr>
                <w:rFonts w:cs="Arial"/>
                <w:sz w:val="20"/>
                <w:szCs w:val="20"/>
              </w:rPr>
              <w:t>/19</w:t>
            </w:r>
          </w:p>
        </w:tc>
        <w:tc>
          <w:tcPr>
            <w:tcW w:w="991" w:type="pct"/>
          </w:tcPr>
          <w:p w14:paraId="32D154D7" w14:textId="3C36ED56" w:rsidR="007544D1" w:rsidRPr="009C12A7" w:rsidRDefault="007544D1" w:rsidP="00D60987">
            <w:pPr>
              <w:keepNext/>
              <w:keepLines/>
              <w:spacing w:before="20" w:after="20"/>
              <w:rPr>
                <w:rFonts w:cs="Arial"/>
                <w:sz w:val="20"/>
                <w:szCs w:val="20"/>
                <w:highlight w:val="lightGray"/>
              </w:rPr>
            </w:pPr>
            <w:r w:rsidRPr="00D05D4F">
              <w:rPr>
                <w:rFonts w:cs="Arial"/>
                <w:sz w:val="20"/>
                <w:szCs w:val="20"/>
              </w:rPr>
              <w:t>RMS Energy Consulting, LLC</w:t>
            </w:r>
          </w:p>
        </w:tc>
        <w:tc>
          <w:tcPr>
            <w:tcW w:w="2705" w:type="pct"/>
          </w:tcPr>
          <w:p w14:paraId="40A34CC0" w14:textId="77777777" w:rsidR="007544D1" w:rsidRDefault="007544D1">
            <w:pPr>
              <w:keepNext/>
              <w:keepLines/>
              <w:spacing w:before="20" w:after="20"/>
              <w:rPr>
                <w:rFonts w:cs="Calibri Light"/>
                <w:sz w:val="20"/>
                <w:szCs w:val="20"/>
              </w:rPr>
            </w:pPr>
            <w:r w:rsidRPr="00E3340C">
              <w:rPr>
                <w:rFonts w:cs="Calibri Light"/>
                <w:sz w:val="20"/>
                <w:szCs w:val="20"/>
              </w:rPr>
              <w:t>Draft of consolidated text for this statewide measure is based upon:</w:t>
            </w:r>
            <w:r>
              <w:rPr>
                <w:rFonts w:cs="Calibri Light"/>
                <w:sz w:val="20"/>
                <w:szCs w:val="20"/>
              </w:rPr>
              <w:t xml:space="preserve"> WPSCGREWH170412A-R0</w:t>
            </w:r>
          </w:p>
          <w:p w14:paraId="6C70C36F" w14:textId="0B1BB2B4" w:rsidR="006E378C" w:rsidRPr="00087C53" w:rsidRDefault="006E378C">
            <w:pPr>
              <w:keepNext/>
              <w:keepLines/>
              <w:spacing w:before="20" w:after="20"/>
              <w:rPr>
                <w:rFonts w:cs="Calibri Light"/>
                <w:sz w:val="20"/>
                <w:szCs w:val="20"/>
              </w:rPr>
            </w:pPr>
          </w:p>
        </w:tc>
      </w:tr>
      <w:tr w:rsidR="007544D1" w:rsidRPr="00CA1CB3" w14:paraId="19B2B4F8" w14:textId="77777777" w:rsidTr="00087C53">
        <w:trPr>
          <w:trHeight w:val="20"/>
        </w:trPr>
        <w:tc>
          <w:tcPr>
            <w:tcW w:w="471" w:type="pct"/>
            <w:vMerge/>
          </w:tcPr>
          <w:p w14:paraId="4788C07A" w14:textId="77777777" w:rsidR="007544D1" w:rsidRDefault="007544D1" w:rsidP="00D60987">
            <w:pPr>
              <w:keepNext/>
              <w:keepLines/>
              <w:spacing w:before="20" w:after="20"/>
              <w:rPr>
                <w:rFonts w:cs="Arial"/>
                <w:sz w:val="20"/>
                <w:szCs w:val="20"/>
              </w:rPr>
            </w:pPr>
          </w:p>
        </w:tc>
        <w:tc>
          <w:tcPr>
            <w:tcW w:w="833" w:type="pct"/>
          </w:tcPr>
          <w:p w14:paraId="644CE48E" w14:textId="60A4D02F" w:rsidR="007544D1" w:rsidRDefault="007544D1" w:rsidP="00D60987">
            <w:pPr>
              <w:keepNext/>
              <w:keepLines/>
              <w:spacing w:before="20" w:after="20"/>
              <w:rPr>
                <w:rFonts w:cs="Arial"/>
                <w:sz w:val="20"/>
                <w:szCs w:val="20"/>
              </w:rPr>
            </w:pPr>
            <w:r>
              <w:rPr>
                <w:rFonts w:cs="Arial"/>
                <w:sz w:val="20"/>
                <w:szCs w:val="20"/>
              </w:rPr>
              <w:t>5/27/2020</w:t>
            </w:r>
          </w:p>
        </w:tc>
        <w:tc>
          <w:tcPr>
            <w:tcW w:w="991" w:type="pct"/>
          </w:tcPr>
          <w:p w14:paraId="74E90C6D" w14:textId="4A870D99" w:rsidR="007544D1" w:rsidRPr="00D05D4F" w:rsidRDefault="007544D1" w:rsidP="00D60987">
            <w:pPr>
              <w:keepNext/>
              <w:keepLines/>
              <w:spacing w:before="20" w:after="20"/>
              <w:rPr>
                <w:rFonts w:cs="Arial"/>
                <w:sz w:val="20"/>
                <w:szCs w:val="20"/>
              </w:rPr>
            </w:pPr>
            <w:r>
              <w:rPr>
                <w:rFonts w:cs="Arial"/>
                <w:sz w:val="20"/>
                <w:szCs w:val="20"/>
              </w:rPr>
              <w:t>Eduardo Reynoso, SDG&amp;E</w:t>
            </w:r>
          </w:p>
        </w:tc>
        <w:tc>
          <w:tcPr>
            <w:tcW w:w="2705" w:type="pct"/>
          </w:tcPr>
          <w:p w14:paraId="6A84FE46" w14:textId="77777777" w:rsidR="007544D1" w:rsidRDefault="006E378C">
            <w:pPr>
              <w:keepNext/>
              <w:keepLines/>
              <w:spacing w:before="20" w:after="20"/>
              <w:rPr>
                <w:rFonts w:cs="Calibri Light"/>
                <w:sz w:val="20"/>
                <w:szCs w:val="20"/>
              </w:rPr>
            </w:pPr>
            <w:r>
              <w:rPr>
                <w:rFonts w:cs="Calibri Light"/>
                <w:sz w:val="20"/>
                <w:szCs w:val="20"/>
              </w:rPr>
              <w:t>Workpaper measure adoption by SDG&amp;E, no changes to energy efficiency savings or cost. Updated Ex-ante Implementation data table. No other changes.</w:t>
            </w:r>
          </w:p>
          <w:p w14:paraId="2B8EA091" w14:textId="5E688361" w:rsidR="006E378C" w:rsidRPr="00E3340C" w:rsidRDefault="006E378C">
            <w:pPr>
              <w:keepNext/>
              <w:keepLines/>
              <w:spacing w:before="20" w:after="20"/>
              <w:rPr>
                <w:rFonts w:cs="Calibri Light"/>
                <w:sz w:val="20"/>
                <w:szCs w:val="20"/>
              </w:rPr>
            </w:pPr>
          </w:p>
        </w:tc>
      </w:tr>
      <w:bookmarkEnd w:id="75"/>
      <w:bookmarkEnd w:id="79"/>
      <w:bookmarkEnd w:id="80"/>
    </w:tbl>
    <w:p w14:paraId="5C9CAB2A" w14:textId="77777777" w:rsidR="00085726" w:rsidRDefault="00085726" w:rsidP="00387072"/>
    <w:sectPr w:rsidR="00085726" w:rsidSect="0037129D">
      <w:headerReference w:type="default" r:id="rId20"/>
      <w:headerReference w:type="first" r:id="rId21"/>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20EC4E" w14:textId="77777777" w:rsidR="003A5E52" w:rsidRDefault="003A5E52" w:rsidP="00A2690C">
      <w:r>
        <w:separator/>
      </w:r>
    </w:p>
    <w:p w14:paraId="5D1671C8" w14:textId="77777777" w:rsidR="003A5E52" w:rsidRDefault="003A5E52"/>
  </w:endnote>
  <w:endnote w:type="continuationSeparator" w:id="0">
    <w:p w14:paraId="4ECB7B71" w14:textId="77777777" w:rsidR="003A5E52" w:rsidRDefault="003A5E52" w:rsidP="00A2690C">
      <w:r>
        <w:continuationSeparator/>
      </w:r>
    </w:p>
    <w:p w14:paraId="6F4B8261" w14:textId="77777777" w:rsidR="003A5E52" w:rsidRDefault="003A5E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venir Next">
    <w:altName w:val="Corbel"/>
    <w:charset w:val="00"/>
    <w:family w:val="swiss"/>
    <w:pitch w:val="variable"/>
    <w:sig w:usb0="00000001" w:usb1="5000204A" w:usb2="00000000" w:usb3="00000000" w:csb0="0000009B" w:csb1="00000000"/>
  </w:font>
  <w:font w:name="Proxima Nova Regular">
    <w:altName w:val="Times New Roman"/>
    <w:panose1 w:val="00000000000000000000"/>
    <w:charset w:val="00"/>
    <w:family w:val="roman"/>
    <w:notTrueType/>
    <w:pitch w:val="default"/>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58D06" w14:textId="77777777" w:rsidR="005F09B3" w:rsidRDefault="005F09B3"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1"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5F09B3" w:rsidRPr="00B837C1" w:rsidRDefault="005F09B3"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F114B" w14:textId="77777777" w:rsidR="005F09B3" w:rsidRDefault="005F09B3"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 name="Picture 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5F09B3" w:rsidRPr="00B837C1" w:rsidRDefault="005F09B3"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4</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79099" w14:textId="77777777" w:rsidR="005F09B3" w:rsidRDefault="005F09B3"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5F09B3" w:rsidRPr="005F505E" w:rsidRDefault="005F09B3"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777729" w14:textId="77777777" w:rsidR="003A5E52" w:rsidRDefault="003A5E52" w:rsidP="00A2690C">
      <w:r>
        <w:separator/>
      </w:r>
    </w:p>
    <w:p w14:paraId="4D233CBB" w14:textId="77777777" w:rsidR="003A5E52" w:rsidRDefault="003A5E52"/>
  </w:footnote>
  <w:footnote w:type="continuationSeparator" w:id="0">
    <w:p w14:paraId="6261391C" w14:textId="77777777" w:rsidR="003A5E52" w:rsidRDefault="003A5E52" w:rsidP="00A2690C">
      <w:r>
        <w:continuationSeparator/>
      </w:r>
    </w:p>
    <w:p w14:paraId="46D8C462" w14:textId="77777777" w:rsidR="003A5E52" w:rsidRDefault="003A5E52"/>
  </w:footnote>
  <w:footnote w:id="1">
    <w:p w14:paraId="310098B2" w14:textId="08312234" w:rsidR="005F09B3" w:rsidRPr="000A21D4" w:rsidRDefault="005F09B3">
      <w:pPr>
        <w:pStyle w:val="FootnoteText"/>
      </w:pPr>
      <w:r>
        <w:rPr>
          <w:rStyle w:val="FootnoteReference"/>
        </w:rPr>
        <w:footnoteRef/>
      </w:r>
      <w:r>
        <w:t xml:space="preserve"> Consortium for Energy Efficiency (CEE). 2012. </w:t>
      </w:r>
      <w:r w:rsidRPr="00E91072">
        <w:rPr>
          <w:i/>
          <w:iCs/>
        </w:rPr>
        <w:t>CEE</w:t>
      </w:r>
      <w:r w:rsidRPr="00E91072">
        <w:rPr>
          <w:i/>
          <w:iCs/>
          <w:vertAlign w:val="superscript"/>
        </w:rPr>
        <w:t>SM</w:t>
      </w:r>
      <w:r w:rsidRPr="00E91072">
        <w:rPr>
          <w:i/>
          <w:iCs/>
        </w:rPr>
        <w:t xml:space="preserve"> High Efficiency Residential Swimming Pool Initiative.</w:t>
      </w:r>
      <w:r>
        <w:t xml:space="preserve"> December.</w:t>
      </w:r>
    </w:p>
  </w:footnote>
  <w:footnote w:id="2">
    <w:p w14:paraId="5A30F011" w14:textId="7451D899" w:rsidR="005F09B3" w:rsidRDefault="005F09B3">
      <w:pPr>
        <w:pStyle w:val="FootnoteText"/>
      </w:pPr>
      <w:r>
        <w:rPr>
          <w:rStyle w:val="FootnoteReference"/>
        </w:rPr>
        <w:footnoteRef/>
      </w:r>
      <w:r>
        <w:t xml:space="preserve"> KEMA, Inc. 2010. </w:t>
      </w:r>
      <w:r>
        <w:rPr>
          <w:rStyle w:val="Emphasis"/>
        </w:rPr>
        <w:t>2009 California Residential Appliance Saturation Survey. Volume 2: Results.</w:t>
      </w:r>
      <w:r>
        <w:t> Prepared for the California Energy Commission. CC-200-2010-004.</w:t>
      </w:r>
      <w:r w:rsidRPr="00CE265F">
        <w:rPr>
          <w:highlight w:val="yellow"/>
        </w:rPr>
        <w:t xml:space="preserve"> </w:t>
      </w:r>
    </w:p>
  </w:footnote>
  <w:footnote w:id="3">
    <w:p w14:paraId="026E49D6" w14:textId="56DE3E39" w:rsidR="005F09B3" w:rsidRDefault="005F09B3">
      <w:pPr>
        <w:pStyle w:val="FootnoteText"/>
      </w:pPr>
      <w:r>
        <w:rPr>
          <w:rStyle w:val="FootnoteReference"/>
        </w:rPr>
        <w:footnoteRef/>
      </w:r>
      <w:r>
        <w:t xml:space="preserve"> California Energy Commission (CEC). 2017. </w:t>
      </w:r>
      <w:r>
        <w:rPr>
          <w:rStyle w:val="Emphasis"/>
        </w:rPr>
        <w:t>2016 Appliance Efficiency Regulations</w:t>
      </w:r>
      <w:r>
        <w:t>. CEC-400-2017-002.</w:t>
      </w:r>
    </w:p>
  </w:footnote>
  <w:footnote w:id="4">
    <w:p w14:paraId="25287BD4" w14:textId="12D1E3D3" w:rsidR="005F09B3" w:rsidRDefault="005F09B3">
      <w:pPr>
        <w:pStyle w:val="FootnoteText"/>
      </w:pPr>
      <w:r>
        <w:rPr>
          <w:rStyle w:val="FootnoteReference"/>
        </w:rPr>
        <w:footnoteRef/>
      </w:r>
      <w:r>
        <w:t xml:space="preserve"> </w:t>
      </w:r>
      <w:r w:rsidRPr="00297AAE">
        <w:rPr>
          <w:rStyle w:val="eTRMFootnoteTextChar"/>
        </w:rPr>
        <w:t>Southern California Gas Company (SCG). 2018. “SWRE001 Pool Cover, Commercial Detailed Savings Methodology.”</w:t>
      </w:r>
    </w:p>
  </w:footnote>
  <w:footnote w:id="5">
    <w:p w14:paraId="347E7087" w14:textId="6F1997C1" w:rsidR="005F09B3" w:rsidRDefault="005F09B3" w:rsidP="00981DF2">
      <w:pPr>
        <w:pStyle w:val="FootnoteText"/>
      </w:pPr>
      <w:r>
        <w:rPr>
          <w:rStyle w:val="FootnoteReference"/>
        </w:rPr>
        <w:footnoteRef/>
      </w:r>
      <w:r>
        <w:t xml:space="preserve"> </w:t>
      </w:r>
      <w:r w:rsidR="008F3C5C">
        <w:t>Southern California Gas Company (SCG). 2018. “Pool Cover Summary &amp; Savings Calculations 2018.xlsm.”</w:t>
      </w:r>
    </w:p>
  </w:footnote>
  <w:footnote w:id="6">
    <w:p w14:paraId="593852E5" w14:textId="77777777" w:rsidR="00B62472" w:rsidRDefault="00B62472" w:rsidP="00B62472">
      <w:pPr>
        <w:pStyle w:val="FootnoteText"/>
      </w:pPr>
      <w:r>
        <w:rPr>
          <w:rStyle w:val="FootnoteReference"/>
        </w:rPr>
        <w:footnoteRef/>
      </w:r>
      <w:r>
        <w:t xml:space="preserve"> R.L. Martin &amp; Associates, Inc. Energy Smart Pools Software (RSPEC!). (n.d.) Accessed July 4, 2012 at: http://www.rlmartin.com/rspec/software.htm.</w:t>
      </w:r>
    </w:p>
  </w:footnote>
  <w:footnote w:id="7">
    <w:p w14:paraId="5697E663" w14:textId="07611549" w:rsidR="00FF4DF4" w:rsidRDefault="00FF4DF4" w:rsidP="00FF4DF4">
      <w:pPr>
        <w:pStyle w:val="FootnoteText"/>
      </w:pPr>
      <w:r>
        <w:rPr>
          <w:rStyle w:val="FootnoteReference"/>
        </w:rPr>
        <w:footnoteRef/>
      </w:r>
      <w:r>
        <w:t xml:space="preserve"> Southern California Gas Company (SCG). </w:t>
      </w:r>
      <w:r w:rsidR="002263D0">
        <w:t>2017</w:t>
      </w:r>
      <w:r>
        <w:t>. “</w:t>
      </w:r>
      <w:r w:rsidRPr="005F09B3">
        <w:rPr>
          <w:iCs/>
        </w:rPr>
        <w:t>Customers database and heating baseline analysis.xlsx.</w:t>
      </w:r>
      <w:r>
        <w:rPr>
          <w:i/>
        </w:rPr>
        <w:t>”</w:t>
      </w:r>
    </w:p>
  </w:footnote>
  <w:footnote w:id="8">
    <w:p w14:paraId="5111F952" w14:textId="77777777" w:rsidR="005F09B3" w:rsidRDefault="005F09B3" w:rsidP="00BC5A43">
      <w:pPr>
        <w:pStyle w:val="FootnoteText"/>
      </w:pPr>
      <w:r>
        <w:rPr>
          <w:rStyle w:val="FootnoteReference"/>
        </w:rPr>
        <w:footnoteRef/>
      </w:r>
      <w:r>
        <w:t xml:space="preserve"> </w:t>
      </w:r>
      <w:r w:rsidRPr="00C554DF">
        <w:t xml:space="preserve">California Public Utilities Commission (CPUC), Energy Division. 2013. </w:t>
      </w:r>
      <w:r w:rsidRPr="00C554DF">
        <w:rPr>
          <w:i/>
        </w:rPr>
        <w:t>Energy Efficiency Policy Manual Version 5</w:t>
      </w:r>
      <w:r w:rsidRPr="00C554DF">
        <w:t>. Page 32.</w:t>
      </w:r>
    </w:p>
  </w:footnote>
  <w:footnote w:id="9">
    <w:p w14:paraId="39968C91" w14:textId="77777777" w:rsidR="005F09B3" w:rsidRDefault="005F09B3" w:rsidP="00BC5A43">
      <w:pPr>
        <w:pStyle w:val="FootnoteText"/>
      </w:pPr>
      <w:r>
        <w:rPr>
          <w:rStyle w:val="FootnoteReference"/>
        </w:rPr>
        <w:footnoteRef/>
      </w:r>
      <w:r>
        <w:t xml:space="preserve"> </w:t>
      </w:r>
      <w:r w:rsidRPr="00C554DF">
        <w:rPr>
          <w:rFonts w:eastAsia="Times New Roman" w:cs="Times New Roman"/>
          <w:color w:val="000000"/>
          <w:szCs w:val="18"/>
        </w:rPr>
        <w:t xml:space="preserve">KEMA, Inc. 2008. "Summary of EUL-RUL Analysis for the April 2008 Update to DEER." </w:t>
      </w:r>
      <w:r w:rsidRPr="00C554DF">
        <w:rPr>
          <w:rFonts w:eastAsia="Times New Roman" w:cs="Times New Roman"/>
          <w:szCs w:val="18"/>
        </w:rPr>
        <w:t xml:space="preserve">Memorandum submitted to </w:t>
      </w:r>
      <w:proofErr w:type="spellStart"/>
      <w:r w:rsidRPr="00C554DF">
        <w:rPr>
          <w:rFonts w:eastAsia="Times New Roman" w:cs="Times New Roman"/>
          <w:szCs w:val="18"/>
        </w:rPr>
        <w:t>Itron</w:t>
      </w:r>
      <w:proofErr w:type="spellEnd"/>
      <w:r w:rsidRPr="00C554DF">
        <w:rPr>
          <w:rFonts w:eastAsia="Times New Roman" w:cs="Times New Roman"/>
          <w:szCs w:val="18"/>
        </w:rPr>
        <w:t>, Inc.</w:t>
      </w:r>
    </w:p>
  </w:footnote>
  <w:footnote w:id="10">
    <w:p w14:paraId="5F9B5EFB" w14:textId="77777777" w:rsidR="005F09B3" w:rsidRDefault="005F09B3" w:rsidP="00BC5A43">
      <w:pPr>
        <w:pStyle w:val="FootnoteText"/>
      </w:pPr>
      <w:r>
        <w:rPr>
          <w:rStyle w:val="FootnoteReference"/>
        </w:rPr>
        <w:footnoteRef/>
      </w:r>
      <w:r>
        <w:t xml:space="preserve"> </w:t>
      </w:r>
      <w:r w:rsidRPr="00EF5144">
        <w:t>California Public Utilities Commission</w:t>
      </w:r>
      <w:r>
        <w:t xml:space="preserve"> (CPUC)</w:t>
      </w:r>
      <w:r w:rsidRPr="00EF5144">
        <w:t xml:space="preserve">. </w:t>
      </w:r>
      <w:r>
        <w:t xml:space="preserve">2016. </w:t>
      </w:r>
      <w:r w:rsidRPr="00EF5144">
        <w:t>Resolution E-4807</w:t>
      </w:r>
      <w:r>
        <w:t>.</w:t>
      </w:r>
      <w:r w:rsidRPr="00EF5144">
        <w:t xml:space="preserve"> December </w:t>
      </w:r>
      <w:r>
        <w:t>16.</w:t>
      </w:r>
      <w:r w:rsidRPr="00F3041A">
        <w:t xml:space="preserve"> </w:t>
      </w:r>
      <w:r w:rsidRPr="0008447C">
        <w:rPr>
          <w:rStyle w:val="eTRMFootnoteTextChar"/>
        </w:rPr>
        <w:t>P</w:t>
      </w:r>
      <w:r>
        <w:rPr>
          <w:rStyle w:val="eTRMFootnoteTextChar"/>
        </w:rPr>
        <w:t xml:space="preserve">age </w:t>
      </w:r>
      <w:r w:rsidRPr="0008447C">
        <w:rPr>
          <w:rStyle w:val="eTRMFootnoteTextChar"/>
        </w:rPr>
        <w:t>13</w:t>
      </w:r>
      <w:r>
        <w:rPr>
          <w:rStyle w:val="eTRMFootnoteTextChar"/>
        </w:rPr>
        <w:t>.</w:t>
      </w:r>
      <w:r w:rsidRPr="0008447C">
        <w:rPr>
          <w:rStyle w:val="eTRMFootnoteTextChar"/>
        </w:rPr>
        <w:t xml:space="preserve">  </w:t>
      </w:r>
    </w:p>
  </w:footnote>
  <w:footnote w:id="11">
    <w:p w14:paraId="0D3A39BE" w14:textId="0159F1C2" w:rsidR="005F09B3" w:rsidRDefault="005F09B3">
      <w:pPr>
        <w:pStyle w:val="FootnoteText"/>
      </w:pPr>
      <w:r>
        <w:rPr>
          <w:rStyle w:val="FootnoteReference"/>
        </w:rPr>
        <w:footnoteRef/>
      </w:r>
      <w:r>
        <w:t xml:space="preserve"> Davis Energy Group and Energy Solutions. 2004. </w:t>
      </w:r>
      <w:r>
        <w:rPr>
          <w:rStyle w:val="Emphasis"/>
        </w:rPr>
        <w:t xml:space="preserve">Codes and Standards Enhancement Initiative for PY2004: Title 20 Standards Development - Analysis of Standards Options for Residential Pool Pumps, Motors, and Controls. </w:t>
      </w:r>
      <w:r>
        <w:t>Prepared for Pacific Gas and Electric (PG&amp;E). May 12.</w:t>
      </w:r>
    </w:p>
  </w:footnote>
  <w:footnote w:id="12">
    <w:p w14:paraId="7129AF1C" w14:textId="788E67D5" w:rsidR="005F09B3" w:rsidRDefault="005F09B3">
      <w:pPr>
        <w:pStyle w:val="FootnoteText"/>
      </w:pPr>
      <w:r w:rsidRPr="00DB59D4">
        <w:rPr>
          <w:rStyle w:val="FootnoteReference"/>
        </w:rPr>
        <w:footnoteRef/>
      </w:r>
      <w:r w:rsidRPr="00DB59D4">
        <w:t xml:space="preserve"> </w:t>
      </w:r>
      <w:r w:rsidR="00C26550" w:rsidRPr="00DB59D4">
        <w:t xml:space="preserve">Southern California Gas Company (SCG). </w:t>
      </w:r>
      <w:r w:rsidR="00DB59D4" w:rsidRPr="00DB59D4">
        <w:t>2017</w:t>
      </w:r>
      <w:r w:rsidR="00C26550" w:rsidRPr="00DB59D4">
        <w:t>. “</w:t>
      </w:r>
      <w:r w:rsidR="005865D2" w:rsidRPr="00DB59D4">
        <w:t xml:space="preserve">SWRE004-01 CEC appliance </w:t>
      </w:r>
      <w:proofErr w:type="spellStart"/>
      <w:r w:rsidR="005865D2" w:rsidRPr="00DB59D4">
        <w:t>database_AHRI</w:t>
      </w:r>
      <w:proofErr w:type="spellEnd"/>
      <w:r w:rsidR="005865D2" w:rsidRPr="00DB59D4">
        <w:t xml:space="preserve"> listing.xlsx.”</w:t>
      </w:r>
    </w:p>
  </w:footnote>
  <w:footnote w:id="13">
    <w:p w14:paraId="5B5882C3" w14:textId="73FD5886" w:rsidR="005F09B3" w:rsidRDefault="005F09B3">
      <w:pPr>
        <w:pStyle w:val="FootnoteText"/>
      </w:pPr>
      <w:r>
        <w:rPr>
          <w:rStyle w:val="FootnoteReference"/>
        </w:rPr>
        <w:footnoteRef/>
      </w:r>
      <w:r>
        <w:t xml:space="preserve"> </w:t>
      </w:r>
      <w:r w:rsidR="005865D2" w:rsidRPr="00384806">
        <w:t xml:space="preserve">Southern California Gas Company (SCG). </w:t>
      </w:r>
      <w:r w:rsidR="00DB59D4">
        <w:t>2017</w:t>
      </w:r>
      <w:r w:rsidR="005865D2" w:rsidRPr="00384806">
        <w:t xml:space="preserve">. “SWRE004-01 CEC appliance </w:t>
      </w:r>
      <w:proofErr w:type="spellStart"/>
      <w:r w:rsidR="005865D2" w:rsidRPr="00384806">
        <w:t>database_AHRI</w:t>
      </w:r>
      <w:proofErr w:type="spellEnd"/>
      <w:r w:rsidR="005865D2" w:rsidRPr="00384806">
        <w:t xml:space="preserve"> listing.xlsx.”</w:t>
      </w:r>
    </w:p>
  </w:footnote>
  <w:footnote w:id="14">
    <w:p w14:paraId="7B1FAAE8" w14:textId="3FC9BB5E" w:rsidR="005F09B3" w:rsidRDefault="005F09B3">
      <w:pPr>
        <w:pStyle w:val="FootnoteText"/>
      </w:pPr>
      <w:r>
        <w:rPr>
          <w:rStyle w:val="FootnoteReference"/>
        </w:rPr>
        <w:footnoteRef/>
      </w:r>
      <w:r>
        <w:t xml:space="preserve"> </w:t>
      </w:r>
      <w:proofErr w:type="spellStart"/>
      <w:r w:rsidRPr="00B022D8">
        <w:rPr>
          <w:rStyle w:val="eTRMFootnoteTextChar"/>
        </w:rPr>
        <w:t>Itron</w:t>
      </w:r>
      <w:proofErr w:type="spellEnd"/>
      <w:r w:rsidRPr="00B022D8">
        <w:rPr>
          <w:rStyle w:val="eTRMFootnoteTextChar"/>
        </w:rPr>
        <w:t>, Inc. 2011. DEER Database 2011 Update Documentation. Prepared for the California Public Utilities Commission. Page 15-4, Table 15-3</w:t>
      </w:r>
      <w:r>
        <w:rPr>
          <w:rStyle w:val="eTRMFootnoteTextCha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14C8F" w14:textId="159C53FF" w:rsidR="005F09B3" w:rsidRPr="000220A0" w:rsidRDefault="005F09B3"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F1ACE" w14:textId="28F384A1" w:rsidR="005F09B3" w:rsidRDefault="005F09B3">
    <w:pPr>
      <w:pStyle w:val="Header"/>
    </w:pPr>
    <w:proofErr w:type="gramStart"/>
    <w:r>
      <w:rPr>
        <w:rFonts w:ascii="Calibri Light" w:hAnsi="Calibri Light"/>
      </w:rPr>
      <w:t>MEASURE  END</w:t>
    </w:r>
    <w:proofErr w:type="gramEnd"/>
    <w:r>
      <w:rPr>
        <w:rFonts w:ascii="Calibri Light" w:hAnsi="Calibri Light"/>
      </w:rPr>
      <w:t xml:space="preserve">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5F09B3" w:rsidRDefault="005F09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AB8AA" w14:textId="77777777" w:rsidR="005F09B3" w:rsidRDefault="005F09B3" w:rsidP="00BD221D">
    <w:pPr>
      <w:jc w:val="center"/>
    </w:pPr>
  </w:p>
  <w:p w14:paraId="342310D5" w14:textId="5BACBCD8" w:rsidR="005F09B3" w:rsidRDefault="005F09B3" w:rsidP="00BD221D">
    <w:pPr>
      <w:jc w:val="center"/>
    </w:pPr>
    <w:r>
      <w:rPr>
        <w:noProof/>
      </w:rPr>
      <w:drawing>
        <wp:inline distT="0" distB="0" distL="0" distR="0" wp14:anchorId="4B2AF0A8" wp14:editId="7258E71E">
          <wp:extent cx="937307" cy="1405961"/>
          <wp:effectExtent l="0" t="0" r="2540" b="0"/>
          <wp:docPr id="3"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6D616" w14:textId="6DD99307" w:rsidR="005F09B3" w:rsidRPr="00C503EE" w:rsidRDefault="005F09B3" w:rsidP="001D7A57">
    <w:pPr>
      <w:pStyle w:val="Header"/>
    </w:pPr>
    <w:r>
      <w:rPr>
        <w:rFonts w:ascii="Calibri Light" w:hAnsi="Calibri Light"/>
      </w:rPr>
      <w:t xml:space="preserve">RECREATION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cs="Calibri Light"/>
        <w:b/>
      </w:rPr>
      <w:t xml:space="preserve">Pool or Spa Heater, Residential </w:t>
    </w:r>
  </w:p>
  <w:p w14:paraId="2AC97B25" w14:textId="77777777" w:rsidR="005F09B3" w:rsidRDefault="005F09B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3757E" w14:textId="68B81AAC" w:rsidR="005F09B3" w:rsidRDefault="005F09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B24573"/>
    <w:multiLevelType w:val="multilevel"/>
    <w:tmpl w:val="F08A8422"/>
    <w:lvl w:ilvl="0">
      <w:start w:val="1"/>
      <w:numFmt w:val="decimal"/>
      <w:lvlText w:val="%1."/>
      <w:lvlJc w:val="left"/>
      <w:pPr>
        <w:ind w:left="720" w:hanging="360"/>
      </w:pPr>
    </w:lvl>
    <w:lvl w:ilvl="1">
      <w:start w:val="1"/>
      <w:numFmt w:val="decimal"/>
      <w:isLgl/>
      <w:lvlText w:val="%1.%2."/>
      <w:lvlJc w:val="left"/>
      <w:pPr>
        <w:ind w:left="720" w:hanging="36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2"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5C19D9"/>
    <w:multiLevelType w:val="multilevel"/>
    <w:tmpl w:val="40B23EEA"/>
    <w:lvl w:ilvl="0">
      <w:start w:val="1"/>
      <w:numFmt w:val="decimal"/>
      <w:suff w:val="nothing"/>
      <w:lvlText w:val="SECTION %1 - "/>
      <w:lvlJc w:val="left"/>
      <w:pPr>
        <w:ind w:left="576" w:hanging="576"/>
      </w:pPr>
      <w:rPr>
        <w:rFonts w:ascii="Arial" w:hAnsi="Arial" w:cs="Times New Roman" w:hint="default"/>
        <w:b/>
        <w:i w:val="0"/>
        <w:sz w:val="20"/>
      </w:rPr>
    </w:lvl>
    <w:lvl w:ilvl="1">
      <w:start w:val="1"/>
      <w:numFmt w:val="decimalZero"/>
      <w:lvlText w:val="%1.%2"/>
      <w:lvlJc w:val="left"/>
      <w:pPr>
        <w:tabs>
          <w:tab w:val="num" w:pos="720"/>
        </w:tabs>
        <w:ind w:left="720" w:hanging="720"/>
      </w:pPr>
      <w:rPr>
        <w:b/>
        <w:i w:val="0"/>
      </w:rPr>
    </w:lvl>
    <w:lvl w:ilvl="2">
      <w:start w:val="1"/>
      <w:numFmt w:val="upperLetter"/>
      <w:lvlText w:val="%3."/>
      <w:lvlJc w:val="left"/>
      <w:pPr>
        <w:tabs>
          <w:tab w:val="num" w:pos="3852"/>
        </w:tabs>
        <w:ind w:left="3852" w:hanging="432"/>
      </w:pPr>
    </w:lvl>
    <w:lvl w:ilvl="3">
      <w:start w:val="1"/>
      <w:numFmt w:val="decimal"/>
      <w:lvlText w:val="%4."/>
      <w:lvlJc w:val="left"/>
      <w:pPr>
        <w:tabs>
          <w:tab w:val="num" w:pos="1512"/>
        </w:tabs>
        <w:ind w:left="1512" w:hanging="432"/>
      </w:pPr>
      <w:rPr>
        <w:b w:val="0"/>
        <w:i w:val="0"/>
        <w:sz w:val="20"/>
      </w:rPr>
    </w:lvl>
    <w:lvl w:ilvl="4">
      <w:start w:val="1"/>
      <w:numFmt w:val="lowerLetter"/>
      <w:lvlText w:val="%5."/>
      <w:lvlJc w:val="left"/>
      <w:pPr>
        <w:tabs>
          <w:tab w:val="num" w:pos="2016"/>
        </w:tabs>
        <w:ind w:left="2016" w:hanging="432"/>
      </w:pPr>
      <w:rPr>
        <w:rFonts w:ascii="Arial" w:hAnsi="Arial" w:cs="Times New Roman" w:hint="default"/>
        <w:b w:val="0"/>
        <w:i w:val="0"/>
        <w:sz w:val="20"/>
      </w:rPr>
    </w:lvl>
    <w:lvl w:ilvl="5">
      <w:start w:val="1"/>
      <w:numFmt w:val="lowerRoman"/>
      <w:lvlText w:val="%6."/>
      <w:lvlJc w:val="left"/>
      <w:pPr>
        <w:tabs>
          <w:tab w:val="num" w:pos="2736"/>
        </w:tabs>
        <w:ind w:left="2448" w:hanging="432"/>
      </w:pPr>
      <w:rPr>
        <w:rFonts w:ascii="Arial" w:hAnsi="Arial" w:cs="Times New Roman" w:hint="default"/>
        <w:b w:val="0"/>
        <w:i w:val="0"/>
        <w:sz w:val="20"/>
      </w:rPr>
    </w:lvl>
    <w:lvl w:ilvl="6">
      <w:start w:val="1"/>
      <w:numFmt w:val="lowerLetter"/>
      <w:lvlText w:val="%7)"/>
      <w:lvlJc w:val="left"/>
      <w:pPr>
        <w:tabs>
          <w:tab w:val="num" w:pos="2880"/>
        </w:tabs>
        <w:ind w:left="2880" w:hanging="432"/>
      </w:pPr>
      <w:rPr>
        <w:rFonts w:ascii="Arial" w:hAnsi="Arial" w:cs="Times New Roman" w:hint="default"/>
        <w:b w:val="0"/>
        <w:i w:val="0"/>
        <w:sz w:val="20"/>
      </w:rPr>
    </w:lvl>
    <w:lvl w:ilvl="7">
      <w:start w:val="1"/>
      <w:numFmt w:val="lowerRoman"/>
      <w:lvlText w:val="%8)"/>
      <w:lvlJc w:val="left"/>
      <w:pPr>
        <w:tabs>
          <w:tab w:val="num" w:pos="3600"/>
        </w:tabs>
        <w:ind w:left="3312" w:hanging="432"/>
      </w:pPr>
      <w:rPr>
        <w:rFonts w:ascii="Arial" w:hAnsi="Arial" w:cs="Times New Roman" w:hint="default"/>
        <w:b w:val="0"/>
        <w:i w:val="0"/>
        <w:sz w:val="20"/>
      </w:rPr>
    </w:lvl>
    <w:lvl w:ilvl="8">
      <w:start w:val="27"/>
      <w:numFmt w:val="lowerLetter"/>
      <w:lvlText w:val="%9)"/>
      <w:lvlJc w:val="left"/>
      <w:pPr>
        <w:tabs>
          <w:tab w:val="num" w:pos="3744"/>
        </w:tabs>
        <w:ind w:left="3744" w:hanging="432"/>
      </w:pPr>
      <w:rPr>
        <w:rFonts w:ascii="Arial" w:hAnsi="Arial" w:cs="Times New Roman" w:hint="default"/>
        <w:b w:val="0"/>
        <w:i w:val="0"/>
        <w:sz w:val="20"/>
      </w:rPr>
    </w:lvl>
  </w:abstractNum>
  <w:abstractNum w:abstractNumId="4" w15:restartNumberingAfterBreak="0">
    <w:nsid w:val="13E60EB7"/>
    <w:multiLevelType w:val="hybridMultilevel"/>
    <w:tmpl w:val="615A4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F41790"/>
    <w:multiLevelType w:val="multilevel"/>
    <w:tmpl w:val="2F7C12DC"/>
    <w:lvl w:ilvl="0">
      <w:start w:val="1"/>
      <w:numFmt w:val="decimal"/>
      <w:suff w:val="nothing"/>
      <w:lvlText w:val="SECTION %1 - "/>
      <w:lvlJc w:val="left"/>
      <w:pPr>
        <w:ind w:left="576" w:hanging="576"/>
      </w:pPr>
      <w:rPr>
        <w:rFonts w:ascii="Arial" w:hAnsi="Arial" w:cs="Times New Roman" w:hint="default"/>
        <w:b/>
        <w:i w:val="0"/>
        <w:sz w:val="20"/>
      </w:rPr>
    </w:lvl>
    <w:lvl w:ilvl="1">
      <w:start w:val="1"/>
      <w:numFmt w:val="decimalZero"/>
      <w:lvlText w:val="%1.%2"/>
      <w:lvlJc w:val="left"/>
      <w:pPr>
        <w:tabs>
          <w:tab w:val="num" w:pos="720"/>
        </w:tabs>
        <w:ind w:left="720" w:hanging="720"/>
      </w:pPr>
      <w:rPr>
        <w:b/>
        <w:i w:val="0"/>
      </w:rPr>
    </w:lvl>
    <w:lvl w:ilvl="2">
      <w:start w:val="1"/>
      <w:numFmt w:val="upperLetter"/>
      <w:lvlText w:val="%3."/>
      <w:lvlJc w:val="left"/>
      <w:pPr>
        <w:tabs>
          <w:tab w:val="num" w:pos="3852"/>
        </w:tabs>
        <w:ind w:left="3852" w:hanging="432"/>
      </w:pPr>
    </w:lvl>
    <w:lvl w:ilvl="3">
      <w:start w:val="1"/>
      <w:numFmt w:val="decimal"/>
      <w:lvlText w:val="%4."/>
      <w:lvlJc w:val="left"/>
      <w:pPr>
        <w:tabs>
          <w:tab w:val="num" w:pos="1584"/>
        </w:tabs>
        <w:ind w:left="1584" w:hanging="432"/>
      </w:pPr>
      <w:rPr>
        <w:b w:val="0"/>
        <w:i w:val="0"/>
        <w:sz w:val="20"/>
      </w:rPr>
    </w:lvl>
    <w:lvl w:ilvl="4">
      <w:start w:val="1"/>
      <w:numFmt w:val="lowerLetter"/>
      <w:lvlText w:val="%5."/>
      <w:lvlJc w:val="left"/>
      <w:pPr>
        <w:tabs>
          <w:tab w:val="num" w:pos="2016"/>
        </w:tabs>
        <w:ind w:left="2016" w:hanging="432"/>
      </w:pPr>
      <w:rPr>
        <w:rFonts w:ascii="Arial" w:hAnsi="Arial" w:cs="Times New Roman" w:hint="default"/>
        <w:b w:val="0"/>
        <w:i w:val="0"/>
        <w:sz w:val="20"/>
      </w:rPr>
    </w:lvl>
    <w:lvl w:ilvl="5">
      <w:start w:val="1"/>
      <w:numFmt w:val="lowerRoman"/>
      <w:lvlText w:val="%6."/>
      <w:lvlJc w:val="left"/>
      <w:pPr>
        <w:tabs>
          <w:tab w:val="num" w:pos="2736"/>
        </w:tabs>
        <w:ind w:left="2448" w:hanging="432"/>
      </w:pPr>
      <w:rPr>
        <w:rFonts w:ascii="Arial" w:hAnsi="Arial" w:cs="Times New Roman" w:hint="default"/>
        <w:b w:val="0"/>
        <w:i w:val="0"/>
        <w:sz w:val="20"/>
      </w:rPr>
    </w:lvl>
    <w:lvl w:ilvl="6">
      <w:start w:val="1"/>
      <w:numFmt w:val="lowerLetter"/>
      <w:lvlText w:val="%7)"/>
      <w:lvlJc w:val="left"/>
      <w:pPr>
        <w:tabs>
          <w:tab w:val="num" w:pos="2880"/>
        </w:tabs>
        <w:ind w:left="2880" w:hanging="432"/>
      </w:pPr>
      <w:rPr>
        <w:rFonts w:ascii="Arial" w:hAnsi="Arial" w:cs="Times New Roman" w:hint="default"/>
        <w:b w:val="0"/>
        <w:i w:val="0"/>
        <w:sz w:val="20"/>
      </w:rPr>
    </w:lvl>
    <w:lvl w:ilvl="7">
      <w:start w:val="1"/>
      <w:numFmt w:val="lowerRoman"/>
      <w:lvlText w:val="%8)"/>
      <w:lvlJc w:val="left"/>
      <w:pPr>
        <w:tabs>
          <w:tab w:val="num" w:pos="3600"/>
        </w:tabs>
        <w:ind w:left="3312" w:hanging="432"/>
      </w:pPr>
      <w:rPr>
        <w:rFonts w:ascii="Arial" w:hAnsi="Arial" w:cs="Times New Roman" w:hint="default"/>
        <w:b w:val="0"/>
        <w:i w:val="0"/>
        <w:sz w:val="20"/>
      </w:rPr>
    </w:lvl>
    <w:lvl w:ilvl="8">
      <w:start w:val="27"/>
      <w:numFmt w:val="lowerLetter"/>
      <w:lvlText w:val="%9)"/>
      <w:lvlJc w:val="left"/>
      <w:pPr>
        <w:tabs>
          <w:tab w:val="num" w:pos="3744"/>
        </w:tabs>
        <w:ind w:left="3744" w:hanging="432"/>
      </w:pPr>
      <w:rPr>
        <w:rFonts w:ascii="Arial" w:hAnsi="Arial" w:cs="Times New Roman" w:hint="default"/>
        <w:b w:val="0"/>
        <w:i w:val="0"/>
        <w:sz w:val="20"/>
      </w:rPr>
    </w:lvl>
  </w:abstractNum>
  <w:abstractNum w:abstractNumId="6" w15:restartNumberingAfterBreak="0">
    <w:nsid w:val="1B1D5F95"/>
    <w:multiLevelType w:val="hybridMultilevel"/>
    <w:tmpl w:val="C2A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214483"/>
    <w:multiLevelType w:val="hybridMultilevel"/>
    <w:tmpl w:val="5380B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BE7CC1"/>
    <w:multiLevelType w:val="hybridMultilevel"/>
    <w:tmpl w:val="97E6CD2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pStyle w:val="WPPR2"/>
      <w:lvlText w:val=""/>
      <w:lvlJc w:val="left"/>
      <w:pPr>
        <w:tabs>
          <w:tab w:val="num" w:pos="2880"/>
        </w:tabs>
        <w:ind w:left="2880" w:hanging="360"/>
      </w:pPr>
      <w:rPr>
        <w:rFonts w:ascii="Symbol" w:hAnsi="Symbol" w:hint="default"/>
      </w:rPr>
    </w:lvl>
    <w:lvl w:ilvl="4" w:tplc="04090003">
      <w:start w:val="1"/>
      <w:numFmt w:val="bullet"/>
      <w:pStyle w:val="WPPR3"/>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4" w15:restartNumberingAfterBreak="0">
    <w:nsid w:val="3D4119BC"/>
    <w:multiLevelType w:val="hybridMultilevel"/>
    <w:tmpl w:val="EB9436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97558B"/>
    <w:multiLevelType w:val="hybridMultilevel"/>
    <w:tmpl w:val="8FE4B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C65A57"/>
    <w:multiLevelType w:val="hybridMultilevel"/>
    <w:tmpl w:val="14380C3C"/>
    <w:lvl w:ilvl="0" w:tplc="7C4280F0">
      <w:start w:val="1"/>
      <w:numFmt w:val="bullet"/>
      <w:lvlText w:val="-"/>
      <w:lvlJc w:val="left"/>
      <w:pPr>
        <w:ind w:left="1080" w:hanging="360"/>
      </w:pPr>
      <w:rPr>
        <w:rFonts w:ascii="Arial" w:eastAsia="Times New Roma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E3C0C74"/>
    <w:multiLevelType w:val="hybridMultilevel"/>
    <w:tmpl w:val="58042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F024D9"/>
    <w:multiLevelType w:val="hybridMultilevel"/>
    <w:tmpl w:val="87404D16"/>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5B71406B"/>
    <w:multiLevelType w:val="hybridMultilevel"/>
    <w:tmpl w:val="24E82B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22" w15:restartNumberingAfterBreak="0">
    <w:nsid w:val="5C783B2C"/>
    <w:multiLevelType w:val="multilevel"/>
    <w:tmpl w:val="A986026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10A1111"/>
    <w:multiLevelType w:val="hybridMultilevel"/>
    <w:tmpl w:val="1EC25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3A61D0"/>
    <w:multiLevelType w:val="hybridMultilevel"/>
    <w:tmpl w:val="02364E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FC07B80"/>
    <w:multiLevelType w:val="hybridMultilevel"/>
    <w:tmpl w:val="8C1EEFB2"/>
    <w:lvl w:ilvl="0" w:tplc="3F2CDFB0">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7"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29" w15:restartNumberingAfterBreak="0">
    <w:nsid w:val="7FB04B4C"/>
    <w:multiLevelType w:val="multilevel"/>
    <w:tmpl w:val="244A8298"/>
    <w:lvl w:ilvl="0">
      <w:start w:val="1"/>
      <w:numFmt w:val="decimal"/>
      <w:suff w:val="nothing"/>
      <w:lvlText w:val="SECTION %1 - "/>
      <w:lvlJc w:val="left"/>
      <w:pPr>
        <w:ind w:left="576" w:hanging="576"/>
      </w:pPr>
      <w:rPr>
        <w:rFonts w:ascii="Arial" w:hAnsi="Arial" w:cs="Times New Roman" w:hint="default"/>
        <w:b/>
        <w:i w:val="0"/>
        <w:sz w:val="20"/>
      </w:rPr>
    </w:lvl>
    <w:lvl w:ilvl="1">
      <w:start w:val="1"/>
      <w:numFmt w:val="decimalZero"/>
      <w:lvlText w:val="%1.%2"/>
      <w:lvlJc w:val="left"/>
      <w:pPr>
        <w:tabs>
          <w:tab w:val="num" w:pos="720"/>
        </w:tabs>
        <w:ind w:left="720" w:hanging="720"/>
      </w:pPr>
      <w:rPr>
        <w:b/>
        <w:i w:val="0"/>
      </w:rPr>
    </w:lvl>
    <w:lvl w:ilvl="2">
      <w:start w:val="1"/>
      <w:numFmt w:val="upperLetter"/>
      <w:lvlText w:val="%3."/>
      <w:lvlJc w:val="left"/>
      <w:pPr>
        <w:tabs>
          <w:tab w:val="num" w:pos="3852"/>
        </w:tabs>
        <w:ind w:left="3852" w:hanging="432"/>
      </w:pPr>
    </w:lvl>
    <w:lvl w:ilvl="3">
      <w:start w:val="1"/>
      <w:numFmt w:val="decimal"/>
      <w:lvlText w:val="%4."/>
      <w:lvlJc w:val="left"/>
      <w:pPr>
        <w:tabs>
          <w:tab w:val="num" w:pos="1512"/>
        </w:tabs>
        <w:ind w:left="1512" w:hanging="432"/>
      </w:pPr>
      <w:rPr>
        <w:b w:val="0"/>
        <w:i w:val="0"/>
        <w:sz w:val="20"/>
      </w:rPr>
    </w:lvl>
    <w:lvl w:ilvl="4">
      <w:start w:val="1"/>
      <w:numFmt w:val="lowerLetter"/>
      <w:lvlText w:val="%5."/>
      <w:lvlJc w:val="left"/>
      <w:pPr>
        <w:tabs>
          <w:tab w:val="num" w:pos="2016"/>
        </w:tabs>
        <w:ind w:left="2016" w:hanging="432"/>
      </w:pPr>
      <w:rPr>
        <w:rFonts w:ascii="Arial" w:hAnsi="Arial" w:cs="Times New Roman" w:hint="default"/>
        <w:b w:val="0"/>
        <w:i w:val="0"/>
        <w:sz w:val="20"/>
      </w:rPr>
    </w:lvl>
    <w:lvl w:ilvl="5">
      <w:start w:val="1"/>
      <w:numFmt w:val="lowerRoman"/>
      <w:lvlText w:val="%6."/>
      <w:lvlJc w:val="left"/>
      <w:pPr>
        <w:tabs>
          <w:tab w:val="num" w:pos="2736"/>
        </w:tabs>
        <w:ind w:left="2448" w:hanging="432"/>
      </w:pPr>
      <w:rPr>
        <w:rFonts w:ascii="Arial" w:hAnsi="Arial" w:cs="Times New Roman" w:hint="default"/>
        <w:b w:val="0"/>
        <w:i w:val="0"/>
        <w:sz w:val="20"/>
      </w:rPr>
    </w:lvl>
    <w:lvl w:ilvl="6">
      <w:start w:val="1"/>
      <w:numFmt w:val="lowerLetter"/>
      <w:lvlText w:val="%7)"/>
      <w:lvlJc w:val="left"/>
      <w:pPr>
        <w:tabs>
          <w:tab w:val="num" w:pos="2880"/>
        </w:tabs>
        <w:ind w:left="2880" w:hanging="432"/>
      </w:pPr>
      <w:rPr>
        <w:rFonts w:ascii="Arial" w:hAnsi="Arial" w:cs="Times New Roman" w:hint="default"/>
        <w:b w:val="0"/>
        <w:i w:val="0"/>
        <w:sz w:val="20"/>
      </w:rPr>
    </w:lvl>
    <w:lvl w:ilvl="7">
      <w:start w:val="1"/>
      <w:numFmt w:val="lowerRoman"/>
      <w:lvlText w:val="%8)"/>
      <w:lvlJc w:val="left"/>
      <w:pPr>
        <w:tabs>
          <w:tab w:val="num" w:pos="3600"/>
        </w:tabs>
        <w:ind w:left="3312" w:hanging="432"/>
      </w:pPr>
      <w:rPr>
        <w:rFonts w:ascii="Arial" w:hAnsi="Arial" w:cs="Times New Roman" w:hint="default"/>
        <w:b w:val="0"/>
        <w:i w:val="0"/>
        <w:sz w:val="20"/>
      </w:rPr>
    </w:lvl>
    <w:lvl w:ilvl="8">
      <w:start w:val="27"/>
      <w:numFmt w:val="lowerLetter"/>
      <w:lvlText w:val="%9)"/>
      <w:lvlJc w:val="left"/>
      <w:pPr>
        <w:tabs>
          <w:tab w:val="num" w:pos="3744"/>
        </w:tabs>
        <w:ind w:left="3744" w:hanging="432"/>
      </w:pPr>
      <w:rPr>
        <w:rFonts w:ascii="Arial" w:hAnsi="Arial" w:cs="Times New Roman" w:hint="default"/>
        <w:b w:val="0"/>
        <w:i w:val="0"/>
        <w:sz w:val="20"/>
      </w:rPr>
    </w:lvl>
  </w:abstractNum>
  <w:num w:numId="1">
    <w:abstractNumId w:val="13"/>
  </w:num>
  <w:num w:numId="2">
    <w:abstractNumId w:val="26"/>
  </w:num>
  <w:num w:numId="3">
    <w:abstractNumId w:val="28"/>
  </w:num>
  <w:num w:numId="4">
    <w:abstractNumId w:val="28"/>
  </w:num>
  <w:num w:numId="5">
    <w:abstractNumId w:val="21"/>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2"/>
  </w:num>
  <w:num w:numId="7">
    <w:abstractNumId w:val="8"/>
  </w:num>
  <w:num w:numId="8">
    <w:abstractNumId w:val="25"/>
  </w:num>
  <w:num w:numId="9">
    <w:abstractNumId w:val="0"/>
  </w:num>
  <w:num w:numId="10">
    <w:abstractNumId w:val="27"/>
  </w:num>
  <w:num w:numId="11">
    <w:abstractNumId w:val="10"/>
  </w:num>
  <w:num w:numId="12">
    <w:abstractNumId w:val="4"/>
  </w:num>
  <w:num w:numId="13">
    <w:abstractNumId w:val="23"/>
  </w:num>
  <w:num w:numId="14">
    <w:abstractNumId w:val="18"/>
  </w:num>
  <w:num w:numId="15">
    <w:abstractNumId w:val="6"/>
  </w:num>
  <w:num w:numId="16">
    <w:abstractNumId w:val="16"/>
  </w:num>
  <w:num w:numId="17">
    <w:abstractNumId w:val="20"/>
  </w:num>
  <w:num w:numId="18">
    <w:abstractNumId w:val="7"/>
  </w:num>
  <w:num w:numId="19">
    <w:abstractNumId w:val="24"/>
  </w:num>
  <w:num w:numId="20">
    <w:abstractNumId w:val="1"/>
  </w:num>
  <w:num w:numId="21">
    <w:abstractNumId w:val="19"/>
  </w:num>
  <w:num w:numId="22">
    <w:abstractNumId w:val="11"/>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27">
    <w:abstractNumId w:val="22"/>
  </w:num>
  <w:num w:numId="28">
    <w:abstractNumId w:val="14"/>
  </w:num>
  <w:num w:numId="29">
    <w:abstractNumId w:val="9"/>
  </w:num>
  <w:num w:numId="30">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1228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LUwMDU1MrYwsbC0tDBU0lEKTi0uzszPAykwqwUA7O4ELCwAAAA="/>
  </w:docVars>
  <w:rsids>
    <w:rsidRoot w:val="00C41A08"/>
    <w:rsid w:val="00003BC8"/>
    <w:rsid w:val="0000521D"/>
    <w:rsid w:val="00005B06"/>
    <w:rsid w:val="000063B0"/>
    <w:rsid w:val="000110D9"/>
    <w:rsid w:val="000111AF"/>
    <w:rsid w:val="00016928"/>
    <w:rsid w:val="000220A0"/>
    <w:rsid w:val="000229F1"/>
    <w:rsid w:val="000232D7"/>
    <w:rsid w:val="0002389A"/>
    <w:rsid w:val="00026D58"/>
    <w:rsid w:val="000302DF"/>
    <w:rsid w:val="00031184"/>
    <w:rsid w:val="00033A09"/>
    <w:rsid w:val="00036EFF"/>
    <w:rsid w:val="00037A06"/>
    <w:rsid w:val="00046BB0"/>
    <w:rsid w:val="00047E10"/>
    <w:rsid w:val="00051DBB"/>
    <w:rsid w:val="00052C95"/>
    <w:rsid w:val="000530E4"/>
    <w:rsid w:val="000540D7"/>
    <w:rsid w:val="0005587A"/>
    <w:rsid w:val="0005662E"/>
    <w:rsid w:val="00061D34"/>
    <w:rsid w:val="00061F5D"/>
    <w:rsid w:val="000621A8"/>
    <w:rsid w:val="000624F7"/>
    <w:rsid w:val="00063157"/>
    <w:rsid w:val="00065E54"/>
    <w:rsid w:val="000672E5"/>
    <w:rsid w:val="00074E3E"/>
    <w:rsid w:val="000767E9"/>
    <w:rsid w:val="0008108C"/>
    <w:rsid w:val="00083A78"/>
    <w:rsid w:val="000841AA"/>
    <w:rsid w:val="00084EDF"/>
    <w:rsid w:val="00085726"/>
    <w:rsid w:val="00087C53"/>
    <w:rsid w:val="00087FD4"/>
    <w:rsid w:val="00090B28"/>
    <w:rsid w:val="00090BBF"/>
    <w:rsid w:val="000910B7"/>
    <w:rsid w:val="00091581"/>
    <w:rsid w:val="00094517"/>
    <w:rsid w:val="00094B2B"/>
    <w:rsid w:val="00096485"/>
    <w:rsid w:val="000978C8"/>
    <w:rsid w:val="000A21D4"/>
    <w:rsid w:val="000A270E"/>
    <w:rsid w:val="000A4D3A"/>
    <w:rsid w:val="000A62EF"/>
    <w:rsid w:val="000A66B7"/>
    <w:rsid w:val="000A7058"/>
    <w:rsid w:val="000B139B"/>
    <w:rsid w:val="000B6004"/>
    <w:rsid w:val="000B7F33"/>
    <w:rsid w:val="000C2D4B"/>
    <w:rsid w:val="000C36B4"/>
    <w:rsid w:val="000C5BA6"/>
    <w:rsid w:val="000C72C1"/>
    <w:rsid w:val="000C7B77"/>
    <w:rsid w:val="000E044A"/>
    <w:rsid w:val="000E30CF"/>
    <w:rsid w:val="000E4EB1"/>
    <w:rsid w:val="000F1833"/>
    <w:rsid w:val="000F5D2C"/>
    <w:rsid w:val="000F5FD8"/>
    <w:rsid w:val="00103399"/>
    <w:rsid w:val="0010471F"/>
    <w:rsid w:val="00104933"/>
    <w:rsid w:val="00111A53"/>
    <w:rsid w:val="0011498C"/>
    <w:rsid w:val="00115FA2"/>
    <w:rsid w:val="00117C5D"/>
    <w:rsid w:val="00120592"/>
    <w:rsid w:val="001217DF"/>
    <w:rsid w:val="0012187D"/>
    <w:rsid w:val="00124BFE"/>
    <w:rsid w:val="00126809"/>
    <w:rsid w:val="00126B25"/>
    <w:rsid w:val="00131C5A"/>
    <w:rsid w:val="00131FA0"/>
    <w:rsid w:val="00132E1A"/>
    <w:rsid w:val="00141122"/>
    <w:rsid w:val="00142D3C"/>
    <w:rsid w:val="001451AB"/>
    <w:rsid w:val="00151553"/>
    <w:rsid w:val="00151B9F"/>
    <w:rsid w:val="00152749"/>
    <w:rsid w:val="00153BB7"/>
    <w:rsid w:val="00154391"/>
    <w:rsid w:val="001564FC"/>
    <w:rsid w:val="00157985"/>
    <w:rsid w:val="00161DF1"/>
    <w:rsid w:val="001648F6"/>
    <w:rsid w:val="00164D8D"/>
    <w:rsid w:val="00171BB8"/>
    <w:rsid w:val="00174707"/>
    <w:rsid w:val="00177EB6"/>
    <w:rsid w:val="00180DAD"/>
    <w:rsid w:val="00181672"/>
    <w:rsid w:val="00181E01"/>
    <w:rsid w:val="00184ECA"/>
    <w:rsid w:val="00186233"/>
    <w:rsid w:val="00190874"/>
    <w:rsid w:val="001944A0"/>
    <w:rsid w:val="001944B4"/>
    <w:rsid w:val="0019498E"/>
    <w:rsid w:val="00194A8B"/>
    <w:rsid w:val="00195B03"/>
    <w:rsid w:val="00196649"/>
    <w:rsid w:val="001A11C7"/>
    <w:rsid w:val="001A4BE1"/>
    <w:rsid w:val="001A753E"/>
    <w:rsid w:val="001A7A21"/>
    <w:rsid w:val="001A7A5A"/>
    <w:rsid w:val="001B0D29"/>
    <w:rsid w:val="001B1D23"/>
    <w:rsid w:val="001B426F"/>
    <w:rsid w:val="001C2ACE"/>
    <w:rsid w:val="001C6C9B"/>
    <w:rsid w:val="001C7134"/>
    <w:rsid w:val="001D5580"/>
    <w:rsid w:val="001D656F"/>
    <w:rsid w:val="001D65A6"/>
    <w:rsid w:val="001D7A57"/>
    <w:rsid w:val="001E0D71"/>
    <w:rsid w:val="001E19A3"/>
    <w:rsid w:val="001E4C3F"/>
    <w:rsid w:val="001E6273"/>
    <w:rsid w:val="001F00E9"/>
    <w:rsid w:val="001F196B"/>
    <w:rsid w:val="001F6A4B"/>
    <w:rsid w:val="001F735E"/>
    <w:rsid w:val="00200048"/>
    <w:rsid w:val="002005A8"/>
    <w:rsid w:val="002006B6"/>
    <w:rsid w:val="00205BAF"/>
    <w:rsid w:val="00207F85"/>
    <w:rsid w:val="0021226A"/>
    <w:rsid w:val="0021230E"/>
    <w:rsid w:val="00221A25"/>
    <w:rsid w:val="00224A16"/>
    <w:rsid w:val="00225142"/>
    <w:rsid w:val="002263D0"/>
    <w:rsid w:val="00226694"/>
    <w:rsid w:val="00227BDD"/>
    <w:rsid w:val="002308CA"/>
    <w:rsid w:val="002318A4"/>
    <w:rsid w:val="002335FF"/>
    <w:rsid w:val="00233D87"/>
    <w:rsid w:val="0023644A"/>
    <w:rsid w:val="0023666C"/>
    <w:rsid w:val="00236692"/>
    <w:rsid w:val="00236E0A"/>
    <w:rsid w:val="00237964"/>
    <w:rsid w:val="002434DE"/>
    <w:rsid w:val="00245AFF"/>
    <w:rsid w:val="0024628D"/>
    <w:rsid w:val="0024690E"/>
    <w:rsid w:val="00251ABC"/>
    <w:rsid w:val="00252039"/>
    <w:rsid w:val="002524CF"/>
    <w:rsid w:val="00253125"/>
    <w:rsid w:val="00256400"/>
    <w:rsid w:val="0026110B"/>
    <w:rsid w:val="002652D2"/>
    <w:rsid w:val="00271B18"/>
    <w:rsid w:val="00271F0D"/>
    <w:rsid w:val="00276F9B"/>
    <w:rsid w:val="002831E7"/>
    <w:rsid w:val="002942B0"/>
    <w:rsid w:val="0029555D"/>
    <w:rsid w:val="0029757F"/>
    <w:rsid w:val="0029781E"/>
    <w:rsid w:val="00297AAE"/>
    <w:rsid w:val="002A1953"/>
    <w:rsid w:val="002A2471"/>
    <w:rsid w:val="002A2A94"/>
    <w:rsid w:val="002A7A81"/>
    <w:rsid w:val="002B107C"/>
    <w:rsid w:val="002B2C97"/>
    <w:rsid w:val="002B3BF4"/>
    <w:rsid w:val="002B4550"/>
    <w:rsid w:val="002B6DED"/>
    <w:rsid w:val="002B6F2A"/>
    <w:rsid w:val="002C06FC"/>
    <w:rsid w:val="002C1117"/>
    <w:rsid w:val="002C67DF"/>
    <w:rsid w:val="002D0036"/>
    <w:rsid w:val="002D17CE"/>
    <w:rsid w:val="002D29F8"/>
    <w:rsid w:val="002D40EE"/>
    <w:rsid w:val="002D4993"/>
    <w:rsid w:val="002D50E9"/>
    <w:rsid w:val="002D5CFA"/>
    <w:rsid w:val="002E1AFC"/>
    <w:rsid w:val="002E5874"/>
    <w:rsid w:val="002E714C"/>
    <w:rsid w:val="002F036B"/>
    <w:rsid w:val="002F145B"/>
    <w:rsid w:val="002F76E6"/>
    <w:rsid w:val="00301C01"/>
    <w:rsid w:val="00302A82"/>
    <w:rsid w:val="00303966"/>
    <w:rsid w:val="00304892"/>
    <w:rsid w:val="00305515"/>
    <w:rsid w:val="003103FB"/>
    <w:rsid w:val="00313E1D"/>
    <w:rsid w:val="00315810"/>
    <w:rsid w:val="003247FA"/>
    <w:rsid w:val="003309DA"/>
    <w:rsid w:val="003326EC"/>
    <w:rsid w:val="00333809"/>
    <w:rsid w:val="00336313"/>
    <w:rsid w:val="00337D1D"/>
    <w:rsid w:val="00337EE2"/>
    <w:rsid w:val="00337FA7"/>
    <w:rsid w:val="0035060F"/>
    <w:rsid w:val="00351359"/>
    <w:rsid w:val="00352864"/>
    <w:rsid w:val="00355650"/>
    <w:rsid w:val="0035670F"/>
    <w:rsid w:val="00362F9E"/>
    <w:rsid w:val="00363BE8"/>
    <w:rsid w:val="0037023A"/>
    <w:rsid w:val="00370B5D"/>
    <w:rsid w:val="0037129D"/>
    <w:rsid w:val="00372F61"/>
    <w:rsid w:val="00382DB3"/>
    <w:rsid w:val="00385069"/>
    <w:rsid w:val="00385220"/>
    <w:rsid w:val="003857FE"/>
    <w:rsid w:val="00386A29"/>
    <w:rsid w:val="00387072"/>
    <w:rsid w:val="00392097"/>
    <w:rsid w:val="00392684"/>
    <w:rsid w:val="003A5E52"/>
    <w:rsid w:val="003A78BD"/>
    <w:rsid w:val="003B7610"/>
    <w:rsid w:val="003C2CC3"/>
    <w:rsid w:val="003C3614"/>
    <w:rsid w:val="003C41CC"/>
    <w:rsid w:val="003C7284"/>
    <w:rsid w:val="003C7721"/>
    <w:rsid w:val="003D1FB8"/>
    <w:rsid w:val="003D59DB"/>
    <w:rsid w:val="003D6E3D"/>
    <w:rsid w:val="003D7104"/>
    <w:rsid w:val="003E2013"/>
    <w:rsid w:val="003E50CF"/>
    <w:rsid w:val="003E5605"/>
    <w:rsid w:val="003E7BC6"/>
    <w:rsid w:val="003F0435"/>
    <w:rsid w:val="003F202D"/>
    <w:rsid w:val="003F21D2"/>
    <w:rsid w:val="003F269E"/>
    <w:rsid w:val="003F4964"/>
    <w:rsid w:val="003F65F3"/>
    <w:rsid w:val="00401C43"/>
    <w:rsid w:val="004046FF"/>
    <w:rsid w:val="004073C5"/>
    <w:rsid w:val="00410790"/>
    <w:rsid w:val="00411EC7"/>
    <w:rsid w:val="00411EF4"/>
    <w:rsid w:val="004133BB"/>
    <w:rsid w:val="004142EF"/>
    <w:rsid w:val="00420958"/>
    <w:rsid w:val="00420EF1"/>
    <w:rsid w:val="00421920"/>
    <w:rsid w:val="00423D33"/>
    <w:rsid w:val="004243F0"/>
    <w:rsid w:val="004249A0"/>
    <w:rsid w:val="00425FAA"/>
    <w:rsid w:val="0043155E"/>
    <w:rsid w:val="00432D49"/>
    <w:rsid w:val="004339EA"/>
    <w:rsid w:val="00433E8F"/>
    <w:rsid w:val="00434145"/>
    <w:rsid w:val="00436CBD"/>
    <w:rsid w:val="004429B9"/>
    <w:rsid w:val="0044577B"/>
    <w:rsid w:val="004507F7"/>
    <w:rsid w:val="00450C21"/>
    <w:rsid w:val="00451588"/>
    <w:rsid w:val="004517F1"/>
    <w:rsid w:val="00451FF6"/>
    <w:rsid w:val="004556DF"/>
    <w:rsid w:val="00461AE3"/>
    <w:rsid w:val="00462BB6"/>
    <w:rsid w:val="00462F22"/>
    <w:rsid w:val="00464A63"/>
    <w:rsid w:val="004650D7"/>
    <w:rsid w:val="004661A8"/>
    <w:rsid w:val="00466DD6"/>
    <w:rsid w:val="00470670"/>
    <w:rsid w:val="00472075"/>
    <w:rsid w:val="00472286"/>
    <w:rsid w:val="00475A47"/>
    <w:rsid w:val="00475D57"/>
    <w:rsid w:val="00475F03"/>
    <w:rsid w:val="00484536"/>
    <w:rsid w:val="00485834"/>
    <w:rsid w:val="00486585"/>
    <w:rsid w:val="00486871"/>
    <w:rsid w:val="00493C4F"/>
    <w:rsid w:val="0049615E"/>
    <w:rsid w:val="0049638E"/>
    <w:rsid w:val="00497289"/>
    <w:rsid w:val="004A06AE"/>
    <w:rsid w:val="004A2A51"/>
    <w:rsid w:val="004A2CEE"/>
    <w:rsid w:val="004A510D"/>
    <w:rsid w:val="004A6979"/>
    <w:rsid w:val="004B06E3"/>
    <w:rsid w:val="004B0E22"/>
    <w:rsid w:val="004B35DC"/>
    <w:rsid w:val="004B4DDE"/>
    <w:rsid w:val="004B5888"/>
    <w:rsid w:val="004B6780"/>
    <w:rsid w:val="004B7CAA"/>
    <w:rsid w:val="004C1B1C"/>
    <w:rsid w:val="004C2A36"/>
    <w:rsid w:val="004C3663"/>
    <w:rsid w:val="004C36F8"/>
    <w:rsid w:val="004C57EC"/>
    <w:rsid w:val="004C69F2"/>
    <w:rsid w:val="004D0C20"/>
    <w:rsid w:val="004D1461"/>
    <w:rsid w:val="004D3A71"/>
    <w:rsid w:val="004D3CE4"/>
    <w:rsid w:val="004D7E51"/>
    <w:rsid w:val="004E04EE"/>
    <w:rsid w:val="004E1B37"/>
    <w:rsid w:val="004E2704"/>
    <w:rsid w:val="004E3F72"/>
    <w:rsid w:val="004E4D01"/>
    <w:rsid w:val="004F3F32"/>
    <w:rsid w:val="004F4E0C"/>
    <w:rsid w:val="004F705B"/>
    <w:rsid w:val="00500964"/>
    <w:rsid w:val="00500C66"/>
    <w:rsid w:val="005044CA"/>
    <w:rsid w:val="00505B94"/>
    <w:rsid w:val="005130EC"/>
    <w:rsid w:val="00513588"/>
    <w:rsid w:val="005146E6"/>
    <w:rsid w:val="00515479"/>
    <w:rsid w:val="00520182"/>
    <w:rsid w:val="00523F9B"/>
    <w:rsid w:val="005249BC"/>
    <w:rsid w:val="00526F7F"/>
    <w:rsid w:val="00535A42"/>
    <w:rsid w:val="0053748E"/>
    <w:rsid w:val="005449C6"/>
    <w:rsid w:val="00545202"/>
    <w:rsid w:val="00561400"/>
    <w:rsid w:val="0056177B"/>
    <w:rsid w:val="005624D9"/>
    <w:rsid w:val="00562B44"/>
    <w:rsid w:val="00562EAF"/>
    <w:rsid w:val="00564AFB"/>
    <w:rsid w:val="00565D08"/>
    <w:rsid w:val="00566B42"/>
    <w:rsid w:val="005710BF"/>
    <w:rsid w:val="0057165C"/>
    <w:rsid w:val="00571D95"/>
    <w:rsid w:val="005722C6"/>
    <w:rsid w:val="00580FF8"/>
    <w:rsid w:val="00585C8D"/>
    <w:rsid w:val="005862CC"/>
    <w:rsid w:val="005865D2"/>
    <w:rsid w:val="005911FE"/>
    <w:rsid w:val="0059312F"/>
    <w:rsid w:val="00593220"/>
    <w:rsid w:val="0059380C"/>
    <w:rsid w:val="00594142"/>
    <w:rsid w:val="00595758"/>
    <w:rsid w:val="00596081"/>
    <w:rsid w:val="005A3943"/>
    <w:rsid w:val="005A51E6"/>
    <w:rsid w:val="005A632E"/>
    <w:rsid w:val="005A74DC"/>
    <w:rsid w:val="005B329B"/>
    <w:rsid w:val="005B47C6"/>
    <w:rsid w:val="005B7418"/>
    <w:rsid w:val="005C03A9"/>
    <w:rsid w:val="005C1D6E"/>
    <w:rsid w:val="005C2BFC"/>
    <w:rsid w:val="005C324B"/>
    <w:rsid w:val="005C36B6"/>
    <w:rsid w:val="005C43E2"/>
    <w:rsid w:val="005C454A"/>
    <w:rsid w:val="005C74C9"/>
    <w:rsid w:val="005C7B6B"/>
    <w:rsid w:val="005D1B14"/>
    <w:rsid w:val="005D257B"/>
    <w:rsid w:val="005E1370"/>
    <w:rsid w:val="005E1D5C"/>
    <w:rsid w:val="005E25DC"/>
    <w:rsid w:val="005E52AE"/>
    <w:rsid w:val="005E5607"/>
    <w:rsid w:val="005E567C"/>
    <w:rsid w:val="005F09B3"/>
    <w:rsid w:val="005F1A06"/>
    <w:rsid w:val="005F505E"/>
    <w:rsid w:val="006007C4"/>
    <w:rsid w:val="00601D5A"/>
    <w:rsid w:val="00602976"/>
    <w:rsid w:val="0060388D"/>
    <w:rsid w:val="00604231"/>
    <w:rsid w:val="006068F3"/>
    <w:rsid w:val="00610050"/>
    <w:rsid w:val="00610C2F"/>
    <w:rsid w:val="00610C76"/>
    <w:rsid w:val="00613FFE"/>
    <w:rsid w:val="006161A6"/>
    <w:rsid w:val="0062187C"/>
    <w:rsid w:val="006239BC"/>
    <w:rsid w:val="006246D6"/>
    <w:rsid w:val="00625805"/>
    <w:rsid w:val="00627AC4"/>
    <w:rsid w:val="0063253B"/>
    <w:rsid w:val="006363C8"/>
    <w:rsid w:val="00637AB8"/>
    <w:rsid w:val="0064370D"/>
    <w:rsid w:val="00643771"/>
    <w:rsid w:val="00644946"/>
    <w:rsid w:val="006459FD"/>
    <w:rsid w:val="00646AB8"/>
    <w:rsid w:val="00647BD9"/>
    <w:rsid w:val="00654A3E"/>
    <w:rsid w:val="00657C37"/>
    <w:rsid w:val="00661844"/>
    <w:rsid w:val="006624A7"/>
    <w:rsid w:val="0066515F"/>
    <w:rsid w:val="006663E9"/>
    <w:rsid w:val="006668AF"/>
    <w:rsid w:val="00666A49"/>
    <w:rsid w:val="00670A7E"/>
    <w:rsid w:val="0067278C"/>
    <w:rsid w:val="00676DAA"/>
    <w:rsid w:val="006770B8"/>
    <w:rsid w:val="006823BF"/>
    <w:rsid w:val="006842D6"/>
    <w:rsid w:val="00686439"/>
    <w:rsid w:val="00697A88"/>
    <w:rsid w:val="00697CF1"/>
    <w:rsid w:val="006A15DA"/>
    <w:rsid w:val="006A46BB"/>
    <w:rsid w:val="006A6051"/>
    <w:rsid w:val="006B0CF4"/>
    <w:rsid w:val="006B31D9"/>
    <w:rsid w:val="006C0102"/>
    <w:rsid w:val="006C059E"/>
    <w:rsid w:val="006C07D4"/>
    <w:rsid w:val="006C2E8C"/>
    <w:rsid w:val="006C41AD"/>
    <w:rsid w:val="006D04BD"/>
    <w:rsid w:val="006D1E0D"/>
    <w:rsid w:val="006D47EF"/>
    <w:rsid w:val="006D5CFB"/>
    <w:rsid w:val="006D6644"/>
    <w:rsid w:val="006D7180"/>
    <w:rsid w:val="006E03CB"/>
    <w:rsid w:val="006E2200"/>
    <w:rsid w:val="006E378C"/>
    <w:rsid w:val="006E433B"/>
    <w:rsid w:val="006E7899"/>
    <w:rsid w:val="006E7C78"/>
    <w:rsid w:val="006F27F4"/>
    <w:rsid w:val="006F2E23"/>
    <w:rsid w:val="006F4C30"/>
    <w:rsid w:val="006F6B5E"/>
    <w:rsid w:val="006F7024"/>
    <w:rsid w:val="00700863"/>
    <w:rsid w:val="00703A7C"/>
    <w:rsid w:val="007076DA"/>
    <w:rsid w:val="00707860"/>
    <w:rsid w:val="0071221B"/>
    <w:rsid w:val="00713549"/>
    <w:rsid w:val="00717131"/>
    <w:rsid w:val="00717AA0"/>
    <w:rsid w:val="007207BF"/>
    <w:rsid w:val="00723239"/>
    <w:rsid w:val="007255D6"/>
    <w:rsid w:val="00725CB0"/>
    <w:rsid w:val="00726DBC"/>
    <w:rsid w:val="0073517D"/>
    <w:rsid w:val="0073685C"/>
    <w:rsid w:val="00737EA5"/>
    <w:rsid w:val="007400AE"/>
    <w:rsid w:val="00741F3E"/>
    <w:rsid w:val="00742F88"/>
    <w:rsid w:val="00743AA8"/>
    <w:rsid w:val="00750840"/>
    <w:rsid w:val="007544D1"/>
    <w:rsid w:val="00757617"/>
    <w:rsid w:val="007603C5"/>
    <w:rsid w:val="007614EB"/>
    <w:rsid w:val="0076370E"/>
    <w:rsid w:val="00763AD8"/>
    <w:rsid w:val="00765016"/>
    <w:rsid w:val="00767EDE"/>
    <w:rsid w:val="0077100C"/>
    <w:rsid w:val="00773BBA"/>
    <w:rsid w:val="00776C39"/>
    <w:rsid w:val="00781D00"/>
    <w:rsid w:val="00783AEC"/>
    <w:rsid w:val="007900F3"/>
    <w:rsid w:val="00791B69"/>
    <w:rsid w:val="0079498E"/>
    <w:rsid w:val="00796F10"/>
    <w:rsid w:val="007A0F9E"/>
    <w:rsid w:val="007A1D2D"/>
    <w:rsid w:val="007A6AB5"/>
    <w:rsid w:val="007A6C67"/>
    <w:rsid w:val="007B14D9"/>
    <w:rsid w:val="007B2B46"/>
    <w:rsid w:val="007B30F2"/>
    <w:rsid w:val="007B377F"/>
    <w:rsid w:val="007B4274"/>
    <w:rsid w:val="007B443D"/>
    <w:rsid w:val="007B5117"/>
    <w:rsid w:val="007B5948"/>
    <w:rsid w:val="007B599D"/>
    <w:rsid w:val="007B6650"/>
    <w:rsid w:val="007B6A74"/>
    <w:rsid w:val="007C2DC8"/>
    <w:rsid w:val="007D097E"/>
    <w:rsid w:val="007D230B"/>
    <w:rsid w:val="007D2D80"/>
    <w:rsid w:val="007D3681"/>
    <w:rsid w:val="007D3824"/>
    <w:rsid w:val="007D49A1"/>
    <w:rsid w:val="007D59DD"/>
    <w:rsid w:val="007E16F3"/>
    <w:rsid w:val="007E181B"/>
    <w:rsid w:val="007E1F66"/>
    <w:rsid w:val="007E2CB5"/>
    <w:rsid w:val="007E4C10"/>
    <w:rsid w:val="007E6501"/>
    <w:rsid w:val="007E6C25"/>
    <w:rsid w:val="007F32D7"/>
    <w:rsid w:val="007F4F97"/>
    <w:rsid w:val="007F669E"/>
    <w:rsid w:val="00801632"/>
    <w:rsid w:val="0080520B"/>
    <w:rsid w:val="00807B3E"/>
    <w:rsid w:val="00810D4A"/>
    <w:rsid w:val="00812F82"/>
    <w:rsid w:val="008146FD"/>
    <w:rsid w:val="0081589C"/>
    <w:rsid w:val="008163CE"/>
    <w:rsid w:val="00816AAB"/>
    <w:rsid w:val="008173CA"/>
    <w:rsid w:val="00820402"/>
    <w:rsid w:val="008243B2"/>
    <w:rsid w:val="00824F08"/>
    <w:rsid w:val="00826212"/>
    <w:rsid w:val="008310DF"/>
    <w:rsid w:val="00831105"/>
    <w:rsid w:val="00835487"/>
    <w:rsid w:val="008378B7"/>
    <w:rsid w:val="00844A4B"/>
    <w:rsid w:val="00845DC3"/>
    <w:rsid w:val="00850836"/>
    <w:rsid w:val="00854676"/>
    <w:rsid w:val="0085751C"/>
    <w:rsid w:val="008616DC"/>
    <w:rsid w:val="00865296"/>
    <w:rsid w:val="008666E8"/>
    <w:rsid w:val="00867086"/>
    <w:rsid w:val="00871123"/>
    <w:rsid w:val="00874663"/>
    <w:rsid w:val="00881B95"/>
    <w:rsid w:val="008831CA"/>
    <w:rsid w:val="00886CD2"/>
    <w:rsid w:val="00887FDA"/>
    <w:rsid w:val="0089272A"/>
    <w:rsid w:val="00893391"/>
    <w:rsid w:val="00894890"/>
    <w:rsid w:val="00897247"/>
    <w:rsid w:val="008A3163"/>
    <w:rsid w:val="008B08F0"/>
    <w:rsid w:val="008B262C"/>
    <w:rsid w:val="008B2DAD"/>
    <w:rsid w:val="008B6FC8"/>
    <w:rsid w:val="008C19E9"/>
    <w:rsid w:val="008C26E9"/>
    <w:rsid w:val="008C6602"/>
    <w:rsid w:val="008C774E"/>
    <w:rsid w:val="008D4652"/>
    <w:rsid w:val="008D6D9D"/>
    <w:rsid w:val="008E693F"/>
    <w:rsid w:val="008F0132"/>
    <w:rsid w:val="008F1691"/>
    <w:rsid w:val="008F22E2"/>
    <w:rsid w:val="008F3C5C"/>
    <w:rsid w:val="008F5698"/>
    <w:rsid w:val="008F639E"/>
    <w:rsid w:val="00901EF2"/>
    <w:rsid w:val="00903EB6"/>
    <w:rsid w:val="00904906"/>
    <w:rsid w:val="0090702F"/>
    <w:rsid w:val="009079D0"/>
    <w:rsid w:val="00913D0A"/>
    <w:rsid w:val="009148A1"/>
    <w:rsid w:val="00914B24"/>
    <w:rsid w:val="00914C43"/>
    <w:rsid w:val="00924972"/>
    <w:rsid w:val="00927C09"/>
    <w:rsid w:val="009309D7"/>
    <w:rsid w:val="00932E1E"/>
    <w:rsid w:val="00934068"/>
    <w:rsid w:val="00936348"/>
    <w:rsid w:val="00937854"/>
    <w:rsid w:val="009400F4"/>
    <w:rsid w:val="0094045A"/>
    <w:rsid w:val="009469E0"/>
    <w:rsid w:val="00951C4D"/>
    <w:rsid w:val="00952E03"/>
    <w:rsid w:val="0095396E"/>
    <w:rsid w:val="009547E2"/>
    <w:rsid w:val="00956488"/>
    <w:rsid w:val="00956F5F"/>
    <w:rsid w:val="009610DC"/>
    <w:rsid w:val="009669D2"/>
    <w:rsid w:val="0097154F"/>
    <w:rsid w:val="00972CE2"/>
    <w:rsid w:val="00973555"/>
    <w:rsid w:val="00981DF2"/>
    <w:rsid w:val="0098457F"/>
    <w:rsid w:val="00985996"/>
    <w:rsid w:val="00986978"/>
    <w:rsid w:val="00994F74"/>
    <w:rsid w:val="0099524D"/>
    <w:rsid w:val="0099563A"/>
    <w:rsid w:val="00997A88"/>
    <w:rsid w:val="009A13F4"/>
    <w:rsid w:val="009A44BE"/>
    <w:rsid w:val="009A7B5F"/>
    <w:rsid w:val="009B029F"/>
    <w:rsid w:val="009B27F8"/>
    <w:rsid w:val="009B4A8B"/>
    <w:rsid w:val="009B74FB"/>
    <w:rsid w:val="009C0660"/>
    <w:rsid w:val="009C12A7"/>
    <w:rsid w:val="009C2DE3"/>
    <w:rsid w:val="009C31A4"/>
    <w:rsid w:val="009C4845"/>
    <w:rsid w:val="009C7314"/>
    <w:rsid w:val="009D2442"/>
    <w:rsid w:val="009D5D9F"/>
    <w:rsid w:val="009D7F4D"/>
    <w:rsid w:val="009E0FA2"/>
    <w:rsid w:val="009E2244"/>
    <w:rsid w:val="009E2D42"/>
    <w:rsid w:val="009E57DF"/>
    <w:rsid w:val="009F57FD"/>
    <w:rsid w:val="009F7F9F"/>
    <w:rsid w:val="00A01E02"/>
    <w:rsid w:val="00A02E26"/>
    <w:rsid w:val="00A05BA0"/>
    <w:rsid w:val="00A10C74"/>
    <w:rsid w:val="00A159C9"/>
    <w:rsid w:val="00A167FB"/>
    <w:rsid w:val="00A205C6"/>
    <w:rsid w:val="00A21B70"/>
    <w:rsid w:val="00A21D02"/>
    <w:rsid w:val="00A21DDB"/>
    <w:rsid w:val="00A23CF6"/>
    <w:rsid w:val="00A2690C"/>
    <w:rsid w:val="00A2792F"/>
    <w:rsid w:val="00A3087A"/>
    <w:rsid w:val="00A30970"/>
    <w:rsid w:val="00A315E4"/>
    <w:rsid w:val="00A31BDD"/>
    <w:rsid w:val="00A31D96"/>
    <w:rsid w:val="00A31DC7"/>
    <w:rsid w:val="00A31FEE"/>
    <w:rsid w:val="00A33722"/>
    <w:rsid w:val="00A33C55"/>
    <w:rsid w:val="00A35976"/>
    <w:rsid w:val="00A406C3"/>
    <w:rsid w:val="00A42704"/>
    <w:rsid w:val="00A42875"/>
    <w:rsid w:val="00A44DC1"/>
    <w:rsid w:val="00A47168"/>
    <w:rsid w:val="00A47A98"/>
    <w:rsid w:val="00A47EE7"/>
    <w:rsid w:val="00A50B43"/>
    <w:rsid w:val="00A51C87"/>
    <w:rsid w:val="00A54197"/>
    <w:rsid w:val="00A54F42"/>
    <w:rsid w:val="00A61821"/>
    <w:rsid w:val="00A61E3A"/>
    <w:rsid w:val="00A631BA"/>
    <w:rsid w:val="00A65C27"/>
    <w:rsid w:val="00A67322"/>
    <w:rsid w:val="00A67CA5"/>
    <w:rsid w:val="00A7469C"/>
    <w:rsid w:val="00A75CCD"/>
    <w:rsid w:val="00A80506"/>
    <w:rsid w:val="00A806AE"/>
    <w:rsid w:val="00A8118F"/>
    <w:rsid w:val="00A83458"/>
    <w:rsid w:val="00A84220"/>
    <w:rsid w:val="00A86C41"/>
    <w:rsid w:val="00A87892"/>
    <w:rsid w:val="00A90148"/>
    <w:rsid w:val="00A917F8"/>
    <w:rsid w:val="00A94443"/>
    <w:rsid w:val="00A979B8"/>
    <w:rsid w:val="00AA0D8C"/>
    <w:rsid w:val="00AA25BC"/>
    <w:rsid w:val="00AA2841"/>
    <w:rsid w:val="00AA3077"/>
    <w:rsid w:val="00AA3E2A"/>
    <w:rsid w:val="00AA46AF"/>
    <w:rsid w:val="00AA5A47"/>
    <w:rsid w:val="00AA5AE7"/>
    <w:rsid w:val="00AA6CCE"/>
    <w:rsid w:val="00AB2477"/>
    <w:rsid w:val="00AB4E9E"/>
    <w:rsid w:val="00AB6C99"/>
    <w:rsid w:val="00AB71BC"/>
    <w:rsid w:val="00AB7DBC"/>
    <w:rsid w:val="00AC11D5"/>
    <w:rsid w:val="00AC15E5"/>
    <w:rsid w:val="00AC22BB"/>
    <w:rsid w:val="00AC4080"/>
    <w:rsid w:val="00AC5A6D"/>
    <w:rsid w:val="00AC5D73"/>
    <w:rsid w:val="00AC73AD"/>
    <w:rsid w:val="00AC7BED"/>
    <w:rsid w:val="00AD067D"/>
    <w:rsid w:val="00AD5FFD"/>
    <w:rsid w:val="00AD705A"/>
    <w:rsid w:val="00AD73A0"/>
    <w:rsid w:val="00AD78F9"/>
    <w:rsid w:val="00AE008D"/>
    <w:rsid w:val="00AE0C2E"/>
    <w:rsid w:val="00AE30E0"/>
    <w:rsid w:val="00AE346F"/>
    <w:rsid w:val="00AE3AD5"/>
    <w:rsid w:val="00AF2329"/>
    <w:rsid w:val="00AF3660"/>
    <w:rsid w:val="00AF376B"/>
    <w:rsid w:val="00AF7A20"/>
    <w:rsid w:val="00B01312"/>
    <w:rsid w:val="00B022D8"/>
    <w:rsid w:val="00B02D6E"/>
    <w:rsid w:val="00B02D98"/>
    <w:rsid w:val="00B06685"/>
    <w:rsid w:val="00B13D09"/>
    <w:rsid w:val="00B15D02"/>
    <w:rsid w:val="00B15D2F"/>
    <w:rsid w:val="00B16399"/>
    <w:rsid w:val="00B1760F"/>
    <w:rsid w:val="00B2586D"/>
    <w:rsid w:val="00B25AE4"/>
    <w:rsid w:val="00B265C9"/>
    <w:rsid w:val="00B26909"/>
    <w:rsid w:val="00B27664"/>
    <w:rsid w:val="00B31169"/>
    <w:rsid w:val="00B31828"/>
    <w:rsid w:val="00B41E25"/>
    <w:rsid w:val="00B42BEE"/>
    <w:rsid w:val="00B452B7"/>
    <w:rsid w:val="00B458E3"/>
    <w:rsid w:val="00B518FF"/>
    <w:rsid w:val="00B54F17"/>
    <w:rsid w:val="00B561EE"/>
    <w:rsid w:val="00B57D47"/>
    <w:rsid w:val="00B61584"/>
    <w:rsid w:val="00B6210E"/>
    <w:rsid w:val="00B62472"/>
    <w:rsid w:val="00B632E3"/>
    <w:rsid w:val="00B64DC8"/>
    <w:rsid w:val="00B70688"/>
    <w:rsid w:val="00B75FD9"/>
    <w:rsid w:val="00B77091"/>
    <w:rsid w:val="00B81F35"/>
    <w:rsid w:val="00B837C1"/>
    <w:rsid w:val="00B841E0"/>
    <w:rsid w:val="00B860BA"/>
    <w:rsid w:val="00B865F5"/>
    <w:rsid w:val="00B870A0"/>
    <w:rsid w:val="00B91DFE"/>
    <w:rsid w:val="00B92858"/>
    <w:rsid w:val="00B966E9"/>
    <w:rsid w:val="00B96BC7"/>
    <w:rsid w:val="00B97229"/>
    <w:rsid w:val="00BA07B9"/>
    <w:rsid w:val="00BA08A3"/>
    <w:rsid w:val="00BA3D7D"/>
    <w:rsid w:val="00BA5AB3"/>
    <w:rsid w:val="00BA5E4E"/>
    <w:rsid w:val="00BB227E"/>
    <w:rsid w:val="00BB4F22"/>
    <w:rsid w:val="00BB7E3D"/>
    <w:rsid w:val="00BC3CD1"/>
    <w:rsid w:val="00BC57F4"/>
    <w:rsid w:val="00BC5A43"/>
    <w:rsid w:val="00BC5EC6"/>
    <w:rsid w:val="00BC5F0E"/>
    <w:rsid w:val="00BD2211"/>
    <w:rsid w:val="00BD221D"/>
    <w:rsid w:val="00BD3E65"/>
    <w:rsid w:val="00BD5934"/>
    <w:rsid w:val="00BD70AA"/>
    <w:rsid w:val="00BD7785"/>
    <w:rsid w:val="00BE0032"/>
    <w:rsid w:val="00BE23CA"/>
    <w:rsid w:val="00BE3B2E"/>
    <w:rsid w:val="00BE7DE8"/>
    <w:rsid w:val="00BF1CBD"/>
    <w:rsid w:val="00BF52C4"/>
    <w:rsid w:val="00BF62EC"/>
    <w:rsid w:val="00BF66D2"/>
    <w:rsid w:val="00C006BE"/>
    <w:rsid w:val="00C01AA0"/>
    <w:rsid w:val="00C04A8B"/>
    <w:rsid w:val="00C05B8E"/>
    <w:rsid w:val="00C1063D"/>
    <w:rsid w:val="00C12A0A"/>
    <w:rsid w:val="00C15E0E"/>
    <w:rsid w:val="00C166EC"/>
    <w:rsid w:val="00C172E7"/>
    <w:rsid w:val="00C23FB5"/>
    <w:rsid w:val="00C24A1A"/>
    <w:rsid w:val="00C25988"/>
    <w:rsid w:val="00C26550"/>
    <w:rsid w:val="00C3294B"/>
    <w:rsid w:val="00C331BB"/>
    <w:rsid w:val="00C41A08"/>
    <w:rsid w:val="00C422B9"/>
    <w:rsid w:val="00C4240A"/>
    <w:rsid w:val="00C4241E"/>
    <w:rsid w:val="00C503EE"/>
    <w:rsid w:val="00C504EC"/>
    <w:rsid w:val="00C50EFE"/>
    <w:rsid w:val="00C615A3"/>
    <w:rsid w:val="00C6198D"/>
    <w:rsid w:val="00C635DA"/>
    <w:rsid w:val="00C639E7"/>
    <w:rsid w:val="00C648B8"/>
    <w:rsid w:val="00C659BE"/>
    <w:rsid w:val="00C70148"/>
    <w:rsid w:val="00C75D4B"/>
    <w:rsid w:val="00C80300"/>
    <w:rsid w:val="00C813DE"/>
    <w:rsid w:val="00C81C43"/>
    <w:rsid w:val="00C82307"/>
    <w:rsid w:val="00C8613B"/>
    <w:rsid w:val="00C900DE"/>
    <w:rsid w:val="00C92622"/>
    <w:rsid w:val="00C946B4"/>
    <w:rsid w:val="00C97228"/>
    <w:rsid w:val="00C9780D"/>
    <w:rsid w:val="00CA02DA"/>
    <w:rsid w:val="00CA19D6"/>
    <w:rsid w:val="00CA1A54"/>
    <w:rsid w:val="00CA1CB3"/>
    <w:rsid w:val="00CA26B5"/>
    <w:rsid w:val="00CA655A"/>
    <w:rsid w:val="00CB4720"/>
    <w:rsid w:val="00CB48A5"/>
    <w:rsid w:val="00CC3B34"/>
    <w:rsid w:val="00CC46B2"/>
    <w:rsid w:val="00CC5718"/>
    <w:rsid w:val="00CD1352"/>
    <w:rsid w:val="00CD1CBE"/>
    <w:rsid w:val="00CD1E3E"/>
    <w:rsid w:val="00CD2EDC"/>
    <w:rsid w:val="00CD32E2"/>
    <w:rsid w:val="00CD4B0B"/>
    <w:rsid w:val="00CD4E9E"/>
    <w:rsid w:val="00CD5672"/>
    <w:rsid w:val="00CD6698"/>
    <w:rsid w:val="00CE16CB"/>
    <w:rsid w:val="00CE1E5B"/>
    <w:rsid w:val="00CE265F"/>
    <w:rsid w:val="00CF1D92"/>
    <w:rsid w:val="00CF2D92"/>
    <w:rsid w:val="00CF4BB5"/>
    <w:rsid w:val="00CF5D91"/>
    <w:rsid w:val="00CF696D"/>
    <w:rsid w:val="00D0025C"/>
    <w:rsid w:val="00D004FB"/>
    <w:rsid w:val="00D02BBC"/>
    <w:rsid w:val="00D02C36"/>
    <w:rsid w:val="00D05D4F"/>
    <w:rsid w:val="00D0761C"/>
    <w:rsid w:val="00D12172"/>
    <w:rsid w:val="00D128DF"/>
    <w:rsid w:val="00D12B8C"/>
    <w:rsid w:val="00D14F84"/>
    <w:rsid w:val="00D200F6"/>
    <w:rsid w:val="00D21646"/>
    <w:rsid w:val="00D2171F"/>
    <w:rsid w:val="00D36A3A"/>
    <w:rsid w:val="00D41A3C"/>
    <w:rsid w:val="00D42E62"/>
    <w:rsid w:val="00D44B11"/>
    <w:rsid w:val="00D454F2"/>
    <w:rsid w:val="00D47CE9"/>
    <w:rsid w:val="00D52995"/>
    <w:rsid w:val="00D53A79"/>
    <w:rsid w:val="00D60425"/>
    <w:rsid w:val="00D60987"/>
    <w:rsid w:val="00D67B9C"/>
    <w:rsid w:val="00D72ADE"/>
    <w:rsid w:val="00D75233"/>
    <w:rsid w:val="00D76E52"/>
    <w:rsid w:val="00D7728F"/>
    <w:rsid w:val="00D77696"/>
    <w:rsid w:val="00D81CC4"/>
    <w:rsid w:val="00D84310"/>
    <w:rsid w:val="00D9747F"/>
    <w:rsid w:val="00D9765E"/>
    <w:rsid w:val="00DA1473"/>
    <w:rsid w:val="00DA4591"/>
    <w:rsid w:val="00DA6088"/>
    <w:rsid w:val="00DA6430"/>
    <w:rsid w:val="00DA681A"/>
    <w:rsid w:val="00DA6B7E"/>
    <w:rsid w:val="00DA7985"/>
    <w:rsid w:val="00DB59D4"/>
    <w:rsid w:val="00DB63BE"/>
    <w:rsid w:val="00DB63DB"/>
    <w:rsid w:val="00DB7824"/>
    <w:rsid w:val="00DC0117"/>
    <w:rsid w:val="00DC0D97"/>
    <w:rsid w:val="00DC19A6"/>
    <w:rsid w:val="00DC308E"/>
    <w:rsid w:val="00DC5E0F"/>
    <w:rsid w:val="00DC6C76"/>
    <w:rsid w:val="00DC7F73"/>
    <w:rsid w:val="00DE191A"/>
    <w:rsid w:val="00DE1A0F"/>
    <w:rsid w:val="00DE3123"/>
    <w:rsid w:val="00DE339F"/>
    <w:rsid w:val="00DE62ED"/>
    <w:rsid w:val="00DE65D3"/>
    <w:rsid w:val="00DF1535"/>
    <w:rsid w:val="00DF53F5"/>
    <w:rsid w:val="00DF61FD"/>
    <w:rsid w:val="00DF6226"/>
    <w:rsid w:val="00DF6D25"/>
    <w:rsid w:val="00E00808"/>
    <w:rsid w:val="00E00FE3"/>
    <w:rsid w:val="00E03C6D"/>
    <w:rsid w:val="00E11EE3"/>
    <w:rsid w:val="00E135F9"/>
    <w:rsid w:val="00E14349"/>
    <w:rsid w:val="00E20C28"/>
    <w:rsid w:val="00E22A77"/>
    <w:rsid w:val="00E22E84"/>
    <w:rsid w:val="00E24B18"/>
    <w:rsid w:val="00E251B3"/>
    <w:rsid w:val="00E3016C"/>
    <w:rsid w:val="00E31E33"/>
    <w:rsid w:val="00E348BC"/>
    <w:rsid w:val="00E35B8D"/>
    <w:rsid w:val="00E4307D"/>
    <w:rsid w:val="00E4318F"/>
    <w:rsid w:val="00E4392E"/>
    <w:rsid w:val="00E50B9E"/>
    <w:rsid w:val="00E54395"/>
    <w:rsid w:val="00E54741"/>
    <w:rsid w:val="00E568E5"/>
    <w:rsid w:val="00E57AAD"/>
    <w:rsid w:val="00E6453F"/>
    <w:rsid w:val="00E659EF"/>
    <w:rsid w:val="00E677A6"/>
    <w:rsid w:val="00E70CBD"/>
    <w:rsid w:val="00E717E8"/>
    <w:rsid w:val="00E72BAF"/>
    <w:rsid w:val="00E73D81"/>
    <w:rsid w:val="00E754F4"/>
    <w:rsid w:val="00E80023"/>
    <w:rsid w:val="00E827BA"/>
    <w:rsid w:val="00E865D1"/>
    <w:rsid w:val="00E91072"/>
    <w:rsid w:val="00EA057C"/>
    <w:rsid w:val="00EA2D3D"/>
    <w:rsid w:val="00EA5B84"/>
    <w:rsid w:val="00EB20F9"/>
    <w:rsid w:val="00EB24EB"/>
    <w:rsid w:val="00EB34AF"/>
    <w:rsid w:val="00EB4719"/>
    <w:rsid w:val="00EC0C85"/>
    <w:rsid w:val="00EC4235"/>
    <w:rsid w:val="00ED06CC"/>
    <w:rsid w:val="00ED2C8E"/>
    <w:rsid w:val="00ED32CC"/>
    <w:rsid w:val="00ED379E"/>
    <w:rsid w:val="00ED7680"/>
    <w:rsid w:val="00EE0424"/>
    <w:rsid w:val="00EE0D47"/>
    <w:rsid w:val="00EE5358"/>
    <w:rsid w:val="00EF1B6A"/>
    <w:rsid w:val="00EF3C59"/>
    <w:rsid w:val="00EF3D7E"/>
    <w:rsid w:val="00EF54D8"/>
    <w:rsid w:val="00EF71E9"/>
    <w:rsid w:val="00F006D2"/>
    <w:rsid w:val="00F00BD1"/>
    <w:rsid w:val="00F00DC7"/>
    <w:rsid w:val="00F017B0"/>
    <w:rsid w:val="00F01FD9"/>
    <w:rsid w:val="00F04B07"/>
    <w:rsid w:val="00F05BA8"/>
    <w:rsid w:val="00F074DD"/>
    <w:rsid w:val="00F07657"/>
    <w:rsid w:val="00F16F13"/>
    <w:rsid w:val="00F20AEA"/>
    <w:rsid w:val="00F219C3"/>
    <w:rsid w:val="00F23E9A"/>
    <w:rsid w:val="00F242D9"/>
    <w:rsid w:val="00F259FE"/>
    <w:rsid w:val="00F323EA"/>
    <w:rsid w:val="00F32724"/>
    <w:rsid w:val="00F3715D"/>
    <w:rsid w:val="00F44B62"/>
    <w:rsid w:val="00F5072C"/>
    <w:rsid w:val="00F517F5"/>
    <w:rsid w:val="00F51CBF"/>
    <w:rsid w:val="00F526D5"/>
    <w:rsid w:val="00F5411D"/>
    <w:rsid w:val="00F56D2B"/>
    <w:rsid w:val="00F57D2D"/>
    <w:rsid w:val="00F606D8"/>
    <w:rsid w:val="00F62A49"/>
    <w:rsid w:val="00F64F0D"/>
    <w:rsid w:val="00F65726"/>
    <w:rsid w:val="00F67E38"/>
    <w:rsid w:val="00F7026A"/>
    <w:rsid w:val="00F71826"/>
    <w:rsid w:val="00F72B45"/>
    <w:rsid w:val="00F73B00"/>
    <w:rsid w:val="00F7493F"/>
    <w:rsid w:val="00F764EE"/>
    <w:rsid w:val="00F779BA"/>
    <w:rsid w:val="00F8464D"/>
    <w:rsid w:val="00F84737"/>
    <w:rsid w:val="00F85099"/>
    <w:rsid w:val="00F860EE"/>
    <w:rsid w:val="00F86511"/>
    <w:rsid w:val="00F87B69"/>
    <w:rsid w:val="00F90C95"/>
    <w:rsid w:val="00F9103E"/>
    <w:rsid w:val="00F95923"/>
    <w:rsid w:val="00F96A39"/>
    <w:rsid w:val="00F96DB3"/>
    <w:rsid w:val="00F97463"/>
    <w:rsid w:val="00F974AD"/>
    <w:rsid w:val="00FA0979"/>
    <w:rsid w:val="00FA4B50"/>
    <w:rsid w:val="00FA4DC6"/>
    <w:rsid w:val="00FA5D99"/>
    <w:rsid w:val="00FB030E"/>
    <w:rsid w:val="00FB3A5B"/>
    <w:rsid w:val="00FB52E8"/>
    <w:rsid w:val="00FB571F"/>
    <w:rsid w:val="00FB6F0B"/>
    <w:rsid w:val="00FC42BA"/>
    <w:rsid w:val="00FC4CC7"/>
    <w:rsid w:val="00FC611F"/>
    <w:rsid w:val="00FC6166"/>
    <w:rsid w:val="00FC77BB"/>
    <w:rsid w:val="00FD08C1"/>
    <w:rsid w:val="00FD2C54"/>
    <w:rsid w:val="00FD6877"/>
    <w:rsid w:val="00FD7A7A"/>
    <w:rsid w:val="00FE10C1"/>
    <w:rsid w:val="00FE190E"/>
    <w:rsid w:val="00FE20A9"/>
    <w:rsid w:val="00FE48A9"/>
    <w:rsid w:val="00FE627F"/>
    <w:rsid w:val="00FF08B7"/>
    <w:rsid w:val="00FF12B8"/>
    <w:rsid w:val="00FF2DC1"/>
    <w:rsid w:val="00FF4DF4"/>
    <w:rsid w:val="00FF5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7DB1DDC8"/>
  <w14:defaultImageDpi w14:val="33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rsid w:val="0008108C"/>
    <w:pPr>
      <w:ind w:left="720"/>
      <w:contextualSpacing/>
    </w:pPr>
  </w:style>
  <w:style w:type="paragraph" w:styleId="Caption">
    <w:name w:val="caption"/>
    <w:aliases w:val="eTRM Caption,C. Caption"/>
    <w:basedOn w:val="Normal"/>
    <w:next w:val="Normal"/>
    <w:link w:val="CaptionChar"/>
    <w:autoRedefine/>
    <w:unhideWhenUsed/>
    <w:qFormat/>
    <w:rsid w:val="00562B44"/>
    <w:pPr>
      <w:keepNext/>
      <w:keepLines/>
      <w:spacing w:before="280" w:after="80"/>
    </w:pPr>
    <w:rPr>
      <w:rFonts w:cs="Arial"/>
      <w:b/>
      <w:bCs/>
      <w:color w:val="000000"/>
      <w:sz w:val="20"/>
      <w14:textFill>
        <w14:solidFill>
          <w14:srgbClr w14:val="000000">
            <w14:lumMod w14:val="50000"/>
          </w14:srgbClr>
        </w14:solidFill>
      </w14:textFill>
    </w:rPr>
  </w:style>
  <w:style w:type="character" w:customStyle="1" w:styleId="CaptionChar">
    <w:name w:val="Caption Char"/>
    <w:aliases w:val="eTRM Caption Char,C. Caption Char"/>
    <w:link w:val="Caption"/>
    <w:locked/>
    <w:rsid w:val="00562B44"/>
    <w:rPr>
      <w:rFonts w:ascii="Calibri Light" w:hAnsi="Calibri Light" w:cs="Arial"/>
      <w:b/>
      <w:bCs/>
      <w:color w:val="000000"/>
      <w:sz w:val="20"/>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iPriority w:val="99"/>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bCs/>
      <w:color w:val="000000"/>
      <w:sz w:val="20"/>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564AFB"/>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BA5E4E"/>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BA5E4E"/>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81F35"/>
    <w:pPr>
      <w:keepNext/>
      <w:keepLines/>
      <w:spacing w:line="320" w:lineRule="exact"/>
      <w:contextualSpacing/>
      <w:jc w:val="center"/>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81F35"/>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5F09B3"/>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5F09B3"/>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4F3F32"/>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F3F32"/>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character" w:styleId="PlaceholderText">
    <w:name w:val="Placeholder Text"/>
    <w:basedOn w:val="DefaultParagraphFont"/>
    <w:uiPriority w:val="99"/>
    <w:semiHidden/>
    <w:rsid w:val="00386A29"/>
    <w:rPr>
      <w:color w:val="808080"/>
    </w:rPr>
  </w:style>
  <w:style w:type="table" w:styleId="TableGridLight">
    <w:name w:val="Grid Table Light"/>
    <w:basedOn w:val="TableNormal"/>
    <w:uiPriority w:val="40"/>
    <w:rsid w:val="00425FA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Emphasis">
    <w:name w:val="Emphasis"/>
    <w:basedOn w:val="DefaultParagraphFont"/>
    <w:uiPriority w:val="20"/>
    <w:qFormat/>
    <w:rsid w:val="00610050"/>
    <w:rPr>
      <w:i/>
      <w:iCs/>
    </w:rPr>
  </w:style>
  <w:style w:type="paragraph" w:styleId="NormalWeb">
    <w:name w:val="Normal (Web)"/>
    <w:basedOn w:val="Normal"/>
    <w:uiPriority w:val="99"/>
    <w:semiHidden/>
    <w:unhideWhenUsed/>
    <w:rsid w:val="00523F9B"/>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515479"/>
    <w:rPr>
      <w:b/>
      <w:bCs/>
    </w:rPr>
  </w:style>
  <w:style w:type="paragraph" w:customStyle="1" w:styleId="WPPR2">
    <w:name w:val="WPPR2"/>
    <w:basedOn w:val="Normal"/>
    <w:qFormat/>
    <w:rsid w:val="0035670F"/>
    <w:pPr>
      <w:numPr>
        <w:ilvl w:val="3"/>
        <w:numId w:val="22"/>
      </w:numPr>
      <w:suppressAutoHyphens/>
      <w:spacing w:before="0" w:after="0" w:line="240" w:lineRule="auto"/>
      <w:outlineLvl w:val="3"/>
    </w:pPr>
    <w:rPr>
      <w:rFonts w:ascii="Arial" w:eastAsia="Batang" w:hAnsi="Arial" w:cs="Times New Roman"/>
      <w:sz w:val="20"/>
      <w:szCs w:val="20"/>
    </w:rPr>
  </w:style>
  <w:style w:type="paragraph" w:customStyle="1" w:styleId="WPPR3">
    <w:name w:val="WPPR3"/>
    <w:basedOn w:val="Normal"/>
    <w:qFormat/>
    <w:rsid w:val="0035670F"/>
    <w:pPr>
      <w:numPr>
        <w:ilvl w:val="4"/>
        <w:numId w:val="22"/>
      </w:numPr>
      <w:suppressAutoHyphens/>
      <w:spacing w:before="0" w:after="0" w:line="240" w:lineRule="auto"/>
      <w:outlineLvl w:val="4"/>
    </w:pPr>
    <w:rPr>
      <w:rFonts w:ascii="Arial" w:eastAsia="Batang" w:hAnsi="Arial" w:cs="Times New Roman"/>
      <w:sz w:val="20"/>
      <w:szCs w:val="20"/>
    </w:rPr>
  </w:style>
  <w:style w:type="character" w:customStyle="1" w:styleId="dropdown">
    <w:name w:val="dropdown"/>
    <w:basedOn w:val="DefaultParagraphFont"/>
    <w:rsid w:val="006A46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63790">
      <w:bodyDiv w:val="1"/>
      <w:marLeft w:val="0"/>
      <w:marRight w:val="0"/>
      <w:marTop w:val="0"/>
      <w:marBottom w:val="0"/>
      <w:divBdr>
        <w:top w:val="none" w:sz="0" w:space="0" w:color="auto"/>
        <w:left w:val="none" w:sz="0" w:space="0" w:color="auto"/>
        <w:bottom w:val="none" w:sz="0" w:space="0" w:color="auto"/>
        <w:right w:val="none" w:sz="0" w:space="0" w:color="auto"/>
      </w:divBdr>
    </w:div>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7649">
      <w:bodyDiv w:val="1"/>
      <w:marLeft w:val="0"/>
      <w:marRight w:val="0"/>
      <w:marTop w:val="0"/>
      <w:marBottom w:val="0"/>
      <w:divBdr>
        <w:top w:val="none" w:sz="0" w:space="0" w:color="auto"/>
        <w:left w:val="none" w:sz="0" w:space="0" w:color="auto"/>
        <w:bottom w:val="none" w:sz="0" w:space="0" w:color="auto"/>
        <w:right w:val="none" w:sz="0" w:space="0" w:color="auto"/>
      </w:divBdr>
    </w:div>
    <w:div w:id="247731601">
      <w:bodyDiv w:val="1"/>
      <w:marLeft w:val="0"/>
      <w:marRight w:val="0"/>
      <w:marTop w:val="0"/>
      <w:marBottom w:val="0"/>
      <w:divBdr>
        <w:top w:val="none" w:sz="0" w:space="0" w:color="auto"/>
        <w:left w:val="none" w:sz="0" w:space="0" w:color="auto"/>
        <w:bottom w:val="none" w:sz="0" w:space="0" w:color="auto"/>
        <w:right w:val="none" w:sz="0" w:space="0" w:color="auto"/>
      </w:divBdr>
    </w:div>
    <w:div w:id="285239391">
      <w:bodyDiv w:val="1"/>
      <w:marLeft w:val="0"/>
      <w:marRight w:val="0"/>
      <w:marTop w:val="0"/>
      <w:marBottom w:val="0"/>
      <w:divBdr>
        <w:top w:val="none" w:sz="0" w:space="0" w:color="auto"/>
        <w:left w:val="none" w:sz="0" w:space="0" w:color="auto"/>
        <w:bottom w:val="none" w:sz="0" w:space="0" w:color="auto"/>
        <w:right w:val="none" w:sz="0" w:space="0" w:color="auto"/>
      </w:divBdr>
      <w:divsChild>
        <w:div w:id="1215585823">
          <w:marLeft w:val="0"/>
          <w:marRight w:val="0"/>
          <w:marTop w:val="0"/>
          <w:marBottom w:val="0"/>
          <w:divBdr>
            <w:top w:val="none" w:sz="0" w:space="0" w:color="auto"/>
            <w:left w:val="none" w:sz="0" w:space="0" w:color="auto"/>
            <w:bottom w:val="none" w:sz="0" w:space="0" w:color="auto"/>
            <w:right w:val="none" w:sz="0" w:space="0" w:color="auto"/>
          </w:divBdr>
          <w:divsChild>
            <w:div w:id="207527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728240">
      <w:bodyDiv w:val="1"/>
      <w:marLeft w:val="0"/>
      <w:marRight w:val="0"/>
      <w:marTop w:val="0"/>
      <w:marBottom w:val="0"/>
      <w:divBdr>
        <w:top w:val="none" w:sz="0" w:space="0" w:color="auto"/>
        <w:left w:val="none" w:sz="0" w:space="0" w:color="auto"/>
        <w:bottom w:val="none" w:sz="0" w:space="0" w:color="auto"/>
        <w:right w:val="none" w:sz="0" w:space="0" w:color="auto"/>
      </w:divBdr>
    </w:div>
    <w:div w:id="428813445">
      <w:bodyDiv w:val="1"/>
      <w:marLeft w:val="0"/>
      <w:marRight w:val="0"/>
      <w:marTop w:val="0"/>
      <w:marBottom w:val="0"/>
      <w:divBdr>
        <w:top w:val="none" w:sz="0" w:space="0" w:color="auto"/>
        <w:left w:val="none" w:sz="0" w:space="0" w:color="auto"/>
        <w:bottom w:val="none" w:sz="0" w:space="0" w:color="auto"/>
        <w:right w:val="none" w:sz="0" w:space="0" w:color="auto"/>
      </w:divBdr>
    </w:div>
    <w:div w:id="808982664">
      <w:bodyDiv w:val="1"/>
      <w:marLeft w:val="0"/>
      <w:marRight w:val="0"/>
      <w:marTop w:val="0"/>
      <w:marBottom w:val="0"/>
      <w:divBdr>
        <w:top w:val="none" w:sz="0" w:space="0" w:color="auto"/>
        <w:left w:val="none" w:sz="0" w:space="0" w:color="auto"/>
        <w:bottom w:val="none" w:sz="0" w:space="0" w:color="auto"/>
        <w:right w:val="none" w:sz="0" w:space="0" w:color="auto"/>
      </w:divBdr>
    </w:div>
    <w:div w:id="894899905">
      <w:bodyDiv w:val="1"/>
      <w:marLeft w:val="0"/>
      <w:marRight w:val="0"/>
      <w:marTop w:val="0"/>
      <w:marBottom w:val="0"/>
      <w:divBdr>
        <w:top w:val="none" w:sz="0" w:space="0" w:color="auto"/>
        <w:left w:val="none" w:sz="0" w:space="0" w:color="auto"/>
        <w:bottom w:val="none" w:sz="0" w:space="0" w:color="auto"/>
        <w:right w:val="none" w:sz="0" w:space="0" w:color="auto"/>
      </w:divBdr>
    </w:div>
    <w:div w:id="982078086">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216313013">
      <w:bodyDiv w:val="1"/>
      <w:marLeft w:val="0"/>
      <w:marRight w:val="0"/>
      <w:marTop w:val="0"/>
      <w:marBottom w:val="0"/>
      <w:divBdr>
        <w:top w:val="none" w:sz="0" w:space="0" w:color="auto"/>
        <w:left w:val="none" w:sz="0" w:space="0" w:color="auto"/>
        <w:bottom w:val="none" w:sz="0" w:space="0" w:color="auto"/>
        <w:right w:val="none" w:sz="0" w:space="0" w:color="auto"/>
      </w:divBdr>
    </w:div>
    <w:div w:id="1217887975">
      <w:bodyDiv w:val="1"/>
      <w:marLeft w:val="0"/>
      <w:marRight w:val="0"/>
      <w:marTop w:val="0"/>
      <w:marBottom w:val="0"/>
      <w:divBdr>
        <w:top w:val="none" w:sz="0" w:space="0" w:color="auto"/>
        <w:left w:val="none" w:sz="0" w:space="0" w:color="auto"/>
        <w:bottom w:val="none" w:sz="0" w:space="0" w:color="auto"/>
        <w:right w:val="none" w:sz="0" w:space="0" w:color="auto"/>
      </w:divBdr>
    </w:div>
    <w:div w:id="1262878771">
      <w:bodyDiv w:val="1"/>
      <w:marLeft w:val="0"/>
      <w:marRight w:val="0"/>
      <w:marTop w:val="0"/>
      <w:marBottom w:val="0"/>
      <w:divBdr>
        <w:top w:val="none" w:sz="0" w:space="0" w:color="auto"/>
        <w:left w:val="none" w:sz="0" w:space="0" w:color="auto"/>
        <w:bottom w:val="none" w:sz="0" w:space="0" w:color="auto"/>
        <w:right w:val="none" w:sz="0" w:space="0" w:color="auto"/>
      </w:divBdr>
    </w:div>
    <w:div w:id="1336301471">
      <w:bodyDiv w:val="1"/>
      <w:marLeft w:val="0"/>
      <w:marRight w:val="0"/>
      <w:marTop w:val="0"/>
      <w:marBottom w:val="0"/>
      <w:divBdr>
        <w:top w:val="none" w:sz="0" w:space="0" w:color="auto"/>
        <w:left w:val="none" w:sz="0" w:space="0" w:color="auto"/>
        <w:bottom w:val="none" w:sz="0" w:space="0" w:color="auto"/>
        <w:right w:val="none" w:sz="0" w:space="0" w:color="auto"/>
      </w:divBdr>
    </w:div>
    <w:div w:id="1383795938">
      <w:bodyDiv w:val="1"/>
      <w:marLeft w:val="0"/>
      <w:marRight w:val="0"/>
      <w:marTop w:val="0"/>
      <w:marBottom w:val="0"/>
      <w:divBdr>
        <w:top w:val="none" w:sz="0" w:space="0" w:color="auto"/>
        <w:left w:val="none" w:sz="0" w:space="0" w:color="auto"/>
        <w:bottom w:val="none" w:sz="0" w:space="0" w:color="auto"/>
        <w:right w:val="none" w:sz="0" w:space="0" w:color="auto"/>
      </w:divBdr>
    </w:div>
    <w:div w:id="1401370624">
      <w:bodyDiv w:val="1"/>
      <w:marLeft w:val="0"/>
      <w:marRight w:val="0"/>
      <w:marTop w:val="0"/>
      <w:marBottom w:val="0"/>
      <w:divBdr>
        <w:top w:val="none" w:sz="0" w:space="0" w:color="auto"/>
        <w:left w:val="none" w:sz="0" w:space="0" w:color="auto"/>
        <w:bottom w:val="none" w:sz="0" w:space="0" w:color="auto"/>
        <w:right w:val="none" w:sz="0" w:space="0" w:color="auto"/>
      </w:divBdr>
    </w:div>
    <w:div w:id="1554391161">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657684822">
      <w:bodyDiv w:val="1"/>
      <w:marLeft w:val="0"/>
      <w:marRight w:val="0"/>
      <w:marTop w:val="0"/>
      <w:marBottom w:val="0"/>
      <w:divBdr>
        <w:top w:val="none" w:sz="0" w:space="0" w:color="auto"/>
        <w:left w:val="none" w:sz="0" w:space="0" w:color="auto"/>
        <w:bottom w:val="none" w:sz="0" w:space="0" w:color="auto"/>
        <w:right w:val="none" w:sz="0" w:space="0" w:color="auto"/>
      </w:divBdr>
    </w:div>
    <w:div w:id="1820880959">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 w:id="21226472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chart" Target="charts/chart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rbashar\Documents\4.%20My%20Projects\2016-2017\jh.%20Combi_Hydronic%20heating%20system\GTI\GTI%20Combo%20System%20Customer%20Lis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b="0"/>
            </a:pPr>
            <a:r>
              <a:rPr lang="en-US" b="0"/>
              <a:t>Site-1: COLONIAL</a:t>
            </a:r>
          </a:p>
        </c:rich>
      </c:tx>
      <c:layout>
        <c:manualLayout>
          <c:xMode val="edge"/>
          <c:yMode val="edge"/>
          <c:x val="0.38389665130127526"/>
          <c:y val="2.4024024024024024E-2"/>
        </c:manualLayout>
      </c:layout>
      <c:overlay val="0"/>
    </c:title>
    <c:autoTitleDeleted val="0"/>
    <c:plotArea>
      <c:layout>
        <c:manualLayout>
          <c:layoutTarget val="inner"/>
          <c:xMode val="edge"/>
          <c:yMode val="edge"/>
          <c:x val="0.17064220612839442"/>
          <c:y val="0.13391959798994976"/>
          <c:w val="0.77859250506019584"/>
          <c:h val="0.65227752937917949"/>
        </c:manualLayout>
      </c:layout>
      <c:scatterChart>
        <c:scatterStyle val="lineMarker"/>
        <c:varyColors val="0"/>
        <c:ser>
          <c:idx val="0"/>
          <c:order val="0"/>
          <c:tx>
            <c:v>Site 22 - HDD 61</c:v>
          </c:tx>
          <c:spPr>
            <a:ln w="28575">
              <a:noFill/>
            </a:ln>
          </c:spPr>
          <c:trendline>
            <c:trendlineType val="linear"/>
            <c:dispRSqr val="1"/>
            <c:dispEq val="1"/>
            <c:trendlineLbl>
              <c:layout>
                <c:manualLayout>
                  <c:x val="-6.3191935859953724E-2"/>
                  <c:y val="0.28049466789624278"/>
                </c:manualLayout>
              </c:layout>
              <c:numFmt formatCode="General" sourceLinked="0"/>
            </c:trendlineLbl>
          </c:trendline>
          <c:xVal>
            <c:numRef>
              <c:f>'\Users\rbashar\Documents\5. Workpapers\21. Residential Pool &amp; Spa Heaters\2017_analysis\submitted\[Att.-C_WPSCGREWH170412A-Res pool ht_Customers database and heating baseline analysis.xlsx]COLONIAL'!$J$13:$J$37</c:f>
              <c:numCache>
                <c:formatCode>0.00</c:formatCode>
                <c:ptCount val="25"/>
                <c:pt idx="0">
                  <c:v>0</c:v>
                </c:pt>
                <c:pt idx="1">
                  <c:v>22.899999999999995</c:v>
                </c:pt>
                <c:pt idx="2">
                  <c:v>120.00000000000003</c:v>
                </c:pt>
                <c:pt idx="3">
                  <c:v>98.40000000000002</c:v>
                </c:pt>
                <c:pt idx="4">
                  <c:v>67.099999999999994</c:v>
                </c:pt>
                <c:pt idx="5">
                  <c:v>44.199999999999989</c:v>
                </c:pt>
                <c:pt idx="6">
                  <c:v>50.500000000000007</c:v>
                </c:pt>
                <c:pt idx="7">
                  <c:v>53.899999999999991</c:v>
                </c:pt>
                <c:pt idx="8">
                  <c:v>3.8000000000000003</c:v>
                </c:pt>
                <c:pt idx="9">
                  <c:v>0</c:v>
                </c:pt>
                <c:pt idx="10">
                  <c:v>0</c:v>
                </c:pt>
                <c:pt idx="11">
                  <c:v>0</c:v>
                </c:pt>
                <c:pt idx="12">
                  <c:v>0</c:v>
                </c:pt>
                <c:pt idx="13">
                  <c:v>65.700000000000017</c:v>
                </c:pt>
                <c:pt idx="14">
                  <c:v>151.1</c:v>
                </c:pt>
                <c:pt idx="15">
                  <c:v>132.4</c:v>
                </c:pt>
                <c:pt idx="16">
                  <c:v>62.500000000000007</c:v>
                </c:pt>
                <c:pt idx="17">
                  <c:v>65.8</c:v>
                </c:pt>
                <c:pt idx="18">
                  <c:v>33.5</c:v>
                </c:pt>
                <c:pt idx="19">
                  <c:v>24.7</c:v>
                </c:pt>
                <c:pt idx="20">
                  <c:v>7.3999999999999977</c:v>
                </c:pt>
                <c:pt idx="21">
                  <c:v>0</c:v>
                </c:pt>
                <c:pt idx="22">
                  <c:v>0</c:v>
                </c:pt>
                <c:pt idx="23">
                  <c:v>0.3</c:v>
                </c:pt>
                <c:pt idx="24">
                  <c:v>2.1</c:v>
                </c:pt>
              </c:numCache>
            </c:numRef>
          </c:xVal>
          <c:yVal>
            <c:numRef>
              <c:f>'\Users\rbashar\Documents\5. Workpapers\21. Residential Pool &amp; Spa Heaters\2017_analysis\submitted\[Att.-C_WPSCGREWH170412A-Res pool ht_Customers database and heating baseline analysis.xlsx]COLONIAL'!$D$13:$D$37</c:f>
              <c:numCache>
                <c:formatCode>0.000</c:formatCode>
                <c:ptCount val="25"/>
                <c:pt idx="0">
                  <c:v>11.520000000000003</c:v>
                </c:pt>
                <c:pt idx="1">
                  <c:v>14.920000000000003</c:v>
                </c:pt>
                <c:pt idx="2">
                  <c:v>23.459999999999997</c:v>
                </c:pt>
                <c:pt idx="3">
                  <c:v>25.500000000000004</c:v>
                </c:pt>
                <c:pt idx="4">
                  <c:v>16.84</c:v>
                </c:pt>
                <c:pt idx="5">
                  <c:v>17.079999999999998</c:v>
                </c:pt>
                <c:pt idx="6">
                  <c:v>10.540000000000001</c:v>
                </c:pt>
                <c:pt idx="7">
                  <c:v>13.88</c:v>
                </c:pt>
                <c:pt idx="8">
                  <c:v>11.079999999999998</c:v>
                </c:pt>
                <c:pt idx="9">
                  <c:v>9.379999999999999</c:v>
                </c:pt>
                <c:pt idx="10">
                  <c:v>8.0200000000000014</c:v>
                </c:pt>
                <c:pt idx="11">
                  <c:v>7.9200000000000008</c:v>
                </c:pt>
                <c:pt idx="12">
                  <c:v>8.879999999999999</c:v>
                </c:pt>
                <c:pt idx="13">
                  <c:v>17.780000000000005</c:v>
                </c:pt>
                <c:pt idx="14">
                  <c:v>27.720000000000002</c:v>
                </c:pt>
                <c:pt idx="15">
                  <c:v>27</c:v>
                </c:pt>
                <c:pt idx="16">
                  <c:v>17.900000000000002</c:v>
                </c:pt>
                <c:pt idx="17">
                  <c:v>14.339999999999998</c:v>
                </c:pt>
                <c:pt idx="18">
                  <c:v>14.400000000000004</c:v>
                </c:pt>
                <c:pt idx="19">
                  <c:v>15.300000000000004</c:v>
                </c:pt>
                <c:pt idx="20">
                  <c:v>9.5799999999999983</c:v>
                </c:pt>
                <c:pt idx="21">
                  <c:v>8.5400000000000009</c:v>
                </c:pt>
                <c:pt idx="22">
                  <c:v>7.68</c:v>
                </c:pt>
                <c:pt idx="23">
                  <c:v>7.5199999999999987</c:v>
                </c:pt>
                <c:pt idx="24">
                  <c:v>9.2600000000000016</c:v>
                </c:pt>
              </c:numCache>
            </c:numRef>
          </c:yVal>
          <c:smooth val="0"/>
          <c:extLst>
            <c:ext xmlns:c16="http://schemas.microsoft.com/office/drawing/2014/chart" uri="{C3380CC4-5D6E-409C-BE32-E72D297353CC}">
              <c16:uniqueId val="{00000001-4FFF-47DC-8EF2-7B2E33A797CF}"/>
            </c:ext>
          </c:extLst>
        </c:ser>
        <c:dLbls>
          <c:showLegendKey val="0"/>
          <c:showVal val="0"/>
          <c:showCatName val="0"/>
          <c:showSerName val="0"/>
          <c:showPercent val="0"/>
          <c:showBubbleSize val="0"/>
        </c:dLbls>
        <c:axId val="153260032"/>
        <c:axId val="153261952"/>
      </c:scatterChart>
      <c:valAx>
        <c:axId val="153260032"/>
        <c:scaling>
          <c:orientation val="minMax"/>
        </c:scaling>
        <c:delete val="0"/>
        <c:axPos val="b"/>
        <c:title>
          <c:tx>
            <c:rich>
              <a:bodyPr/>
              <a:lstStyle/>
              <a:p>
                <a:pPr>
                  <a:defRPr b="0"/>
                </a:pPr>
                <a:r>
                  <a:rPr lang="en-US" b="0"/>
                  <a:t>HDD</a:t>
                </a:r>
              </a:p>
            </c:rich>
          </c:tx>
          <c:overlay val="0"/>
        </c:title>
        <c:numFmt formatCode="General" sourceLinked="0"/>
        <c:majorTickMark val="none"/>
        <c:minorTickMark val="none"/>
        <c:tickLblPos val="nextTo"/>
        <c:crossAx val="153261952"/>
        <c:crosses val="autoZero"/>
        <c:crossBetween val="midCat"/>
        <c:majorUnit val="10"/>
      </c:valAx>
      <c:valAx>
        <c:axId val="153261952"/>
        <c:scaling>
          <c:orientation val="minMax"/>
        </c:scaling>
        <c:delete val="0"/>
        <c:axPos val="l"/>
        <c:title>
          <c:tx>
            <c:rich>
              <a:bodyPr rot="-5400000" vert="horz"/>
              <a:lstStyle/>
              <a:p>
                <a:pPr>
                  <a:defRPr b="0"/>
                </a:pPr>
                <a:r>
                  <a:rPr lang="en-US" b="0"/>
                  <a:t>Therms</a:t>
                </a:r>
              </a:p>
            </c:rich>
          </c:tx>
          <c:layout>
            <c:manualLayout>
              <c:xMode val="edge"/>
              <c:yMode val="edge"/>
              <c:x val="2.3817950591227644E-2"/>
              <c:y val="0.3402686150717647"/>
            </c:manualLayout>
          </c:layout>
          <c:overlay val="0"/>
        </c:title>
        <c:numFmt formatCode="0" sourceLinked="0"/>
        <c:majorTickMark val="none"/>
        <c:minorTickMark val="none"/>
        <c:tickLblPos val="nextTo"/>
        <c:spPr>
          <a:ln>
            <a:solidFill>
              <a:schemeClr val="tx1">
                <a:lumMod val="75000"/>
                <a:lumOff val="25000"/>
              </a:schemeClr>
            </a:solidFill>
          </a:ln>
        </c:spPr>
        <c:crossAx val="153260032"/>
        <c:crosses val="autoZero"/>
        <c:crossBetween val="midCat"/>
      </c:valAx>
    </c:plotArea>
    <c:plotVisOnly val="1"/>
    <c:dispBlanksAs val="gap"/>
    <c:showDLblsOverMax val="0"/>
  </c:chart>
  <c:spPr>
    <a:ln>
      <a:noFill/>
    </a:ln>
  </c:spPr>
  <c:txPr>
    <a:bodyPr/>
    <a:lstStyle/>
    <a:p>
      <a:pPr>
        <a:defRPr sz="1000">
          <a:latin typeface="Arial" panose="020B0604020202020204" pitchFamily="34" charset="0"/>
          <a:cs typeface="Arial" panose="020B0604020202020204" pitchFamily="34" charset="0"/>
        </a:defRPr>
      </a:pPr>
      <a:endParaRPr lang="en-US"/>
    </a:p>
  </c:txPr>
  <c:externalData r:id="rId1">
    <c:autoUpdate val="0"/>
  </c:externalData>
</c:chartSpace>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4C4DA40E261794486441F166B9E235A" ma:contentTypeVersion="13" ma:contentTypeDescription="Create a new document." ma:contentTypeScope="" ma:versionID="9e63bc0354a5126518c99adc63c682e9">
  <xsd:schema xmlns:xsd="http://www.w3.org/2001/XMLSchema" xmlns:xs="http://www.w3.org/2001/XMLSchema" xmlns:p="http://schemas.microsoft.com/office/2006/metadata/properties" xmlns:ns3="2ca58cb1-a033-43ef-8c86-0668b269dda1" xmlns:ns4="1fc248c3-ff09-43ca-b0f5-2ab76585017c" targetNamespace="http://schemas.microsoft.com/office/2006/metadata/properties" ma:root="true" ma:fieldsID="236dc1f2577df1fb1f3c4cc7ba94c146" ns3:_="" ns4:_="">
    <xsd:import namespace="2ca58cb1-a033-43ef-8c86-0668b269dda1"/>
    <xsd:import namespace="1fc248c3-ff09-43ca-b0f5-2ab76585017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58cb1-a033-43ef-8c86-0668b269dda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fc248c3-ff09-43ca-b0f5-2ab76585017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DCF3C-69D5-43EF-991D-49479B5E6804}">
  <ds:schemaRefs>
    <ds:schemaRef ds:uri="http://purl.org/dc/elements/1.1/"/>
    <ds:schemaRef ds:uri="http://schemas.microsoft.com/office/2006/metadata/properties"/>
    <ds:schemaRef ds:uri="1fc248c3-ff09-43ca-b0f5-2ab76585017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2ca58cb1-a033-43ef-8c86-0668b269dda1"/>
    <ds:schemaRef ds:uri="http://www.w3.org/XML/1998/namespace"/>
    <ds:schemaRef ds:uri="http://purl.org/dc/dcmitype/"/>
  </ds:schemaRefs>
</ds:datastoreItem>
</file>

<file path=customXml/itemProps2.xml><?xml version="1.0" encoding="utf-8"?>
<ds:datastoreItem xmlns:ds="http://schemas.openxmlformats.org/officeDocument/2006/customXml" ds:itemID="{35B6C293-6E5A-48C7-AED3-75B66F862E39}">
  <ds:schemaRefs>
    <ds:schemaRef ds:uri="http://schemas.microsoft.com/sharepoint/v3/contenttype/forms"/>
  </ds:schemaRefs>
</ds:datastoreItem>
</file>

<file path=customXml/itemProps3.xml><?xml version="1.0" encoding="utf-8"?>
<ds:datastoreItem xmlns:ds="http://schemas.openxmlformats.org/officeDocument/2006/customXml" ds:itemID="{A3E33684-6AC4-4ECA-880B-8D5BA99F21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a58cb1-a033-43ef-8c86-0668b269dda1"/>
    <ds:schemaRef ds:uri="1fc248c3-ff09-43ca-b0f5-2ab7658501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6F3C5F-D388-4F81-9674-E122FFE00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Template>
  <TotalTime>1</TotalTime>
  <Pages>11</Pages>
  <Words>3065</Words>
  <Characters>17473</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20498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Reynoso, Ed</cp:lastModifiedBy>
  <cp:revision>2</cp:revision>
  <cp:lastPrinted>2019-03-29T20:21:00Z</cp:lastPrinted>
  <dcterms:created xsi:type="dcterms:W3CDTF">2020-05-28T03:28:00Z</dcterms:created>
  <dcterms:modified xsi:type="dcterms:W3CDTF">2020-05-28T03:28:00Z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0x01010014C4DA40E261794486441F166B9E235A</vt:lpwstr>
  </property>
</Properties>
</file>