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48F3AA6E" w:rsidR="00BD221D" w:rsidRPr="000110D9" w:rsidRDefault="00520182" w:rsidP="00BD221D">
            <w:pPr>
              <w:pStyle w:val="eTRMHeading1"/>
              <w:jc w:val="center"/>
            </w:pPr>
            <w:r>
              <w:t>Process</w:t>
            </w:r>
          </w:p>
          <w:p w14:paraId="1FA3B80E" w14:textId="063EE4B5" w:rsidR="00EE2566" w:rsidRDefault="00FF6196" w:rsidP="00EE2566">
            <w:pPr>
              <w:pStyle w:val="eTRMHeading2"/>
              <w:rPr>
                <w:color w:val="FFFFFF" w:themeColor="background1"/>
                <w:spacing w:val="60"/>
              </w:rPr>
            </w:pPr>
            <w:r>
              <w:rPr>
                <w:color w:val="FFFFFF" w:themeColor="background1"/>
                <w:spacing w:val="60"/>
              </w:rPr>
              <w:t>Circulating Block Heater</w:t>
            </w:r>
          </w:p>
          <w:p w14:paraId="10BE1877" w14:textId="4AAB56B0" w:rsidR="00FC1117" w:rsidRPr="004212C3" w:rsidRDefault="00FC1117" w:rsidP="004212C3">
            <w:pPr>
              <w:jc w:val="center"/>
              <w:rPr>
                <w:b/>
                <w:bCs/>
                <w:sz w:val="28"/>
                <w:szCs w:val="28"/>
              </w:rPr>
            </w:pPr>
            <w:r w:rsidRPr="004212C3">
              <w:rPr>
                <w:b/>
                <w:bCs/>
                <w:color w:val="FFFFFF" w:themeColor="background1"/>
                <w:sz w:val="28"/>
                <w:szCs w:val="28"/>
              </w:rPr>
              <w:t>SW</w:t>
            </w:r>
            <w:r w:rsidR="00EE2566" w:rsidRPr="004212C3">
              <w:rPr>
                <w:b/>
                <w:bCs/>
                <w:color w:val="FFFFFF" w:themeColor="background1"/>
                <w:sz w:val="28"/>
                <w:szCs w:val="28"/>
              </w:rPr>
              <w:t>PR004-</w:t>
            </w:r>
            <w:r w:rsidR="004F3096" w:rsidRPr="004212C3">
              <w:rPr>
                <w:b/>
                <w:bCs/>
                <w:color w:val="FFFFFF" w:themeColor="background1"/>
                <w:sz w:val="28"/>
                <w:szCs w:val="28"/>
              </w:rPr>
              <w:t>02</w:t>
            </w:r>
          </w:p>
        </w:tc>
      </w:tr>
    </w:tbl>
    <w:p w14:paraId="645F3ACB" w14:textId="77777777" w:rsidR="00BD221D" w:rsidRPr="00FC1117" w:rsidRDefault="00BD221D" w:rsidP="00BD221D">
      <w:pPr>
        <w:rPr>
          <w:sz w:val="16"/>
        </w:rPr>
      </w:pPr>
    </w:p>
    <w:p w14:paraId="31745A8D" w14:textId="45DC1270" w:rsidR="00D12B8C" w:rsidRPr="00E14349" w:rsidRDefault="007E1F66" w:rsidP="0053748E">
      <w:pPr>
        <w:jc w:val="center"/>
        <w:rPr>
          <w:spacing w:val="80"/>
          <w:sz w:val="28"/>
        </w:rPr>
      </w:pPr>
      <w:r w:rsidRPr="00E14349">
        <w:rPr>
          <w:spacing w:val="80"/>
          <w:sz w:val="28"/>
        </w:rPr>
        <w:t>CONTENTS</w:t>
      </w:r>
    </w:p>
    <w:p w14:paraId="46E6C28F" w14:textId="65DA1EDD" w:rsidR="000711F2"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0711F2">
        <w:rPr>
          <w:noProof/>
        </w:rPr>
        <w:t>Measure Name</w:t>
      </w:r>
      <w:r w:rsidR="000711F2">
        <w:rPr>
          <w:noProof/>
        </w:rPr>
        <w:tab/>
      </w:r>
      <w:r w:rsidR="000711F2">
        <w:rPr>
          <w:noProof/>
        </w:rPr>
        <w:fldChar w:fldCharType="begin"/>
      </w:r>
      <w:r w:rsidR="000711F2">
        <w:rPr>
          <w:noProof/>
        </w:rPr>
        <w:instrText xml:space="preserve"> PAGEREF _Toc69149906 \h </w:instrText>
      </w:r>
      <w:r w:rsidR="000711F2">
        <w:rPr>
          <w:noProof/>
        </w:rPr>
      </w:r>
      <w:r w:rsidR="000711F2">
        <w:rPr>
          <w:noProof/>
        </w:rPr>
        <w:fldChar w:fldCharType="separate"/>
      </w:r>
      <w:r w:rsidR="000711F2">
        <w:rPr>
          <w:noProof/>
        </w:rPr>
        <w:t>2</w:t>
      </w:r>
      <w:r w:rsidR="000711F2">
        <w:rPr>
          <w:noProof/>
        </w:rPr>
        <w:fldChar w:fldCharType="end"/>
      </w:r>
    </w:p>
    <w:p w14:paraId="1DC2BFFE" w14:textId="1E862EC3" w:rsidR="000711F2" w:rsidRDefault="000711F2">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_Toc69149907 \h </w:instrText>
      </w:r>
      <w:r>
        <w:rPr>
          <w:noProof/>
        </w:rPr>
      </w:r>
      <w:r>
        <w:rPr>
          <w:noProof/>
        </w:rPr>
        <w:fldChar w:fldCharType="separate"/>
      </w:r>
      <w:r>
        <w:rPr>
          <w:noProof/>
        </w:rPr>
        <w:t>2</w:t>
      </w:r>
      <w:r>
        <w:rPr>
          <w:noProof/>
        </w:rPr>
        <w:fldChar w:fldCharType="end"/>
      </w:r>
    </w:p>
    <w:p w14:paraId="534C3728" w14:textId="2BE1D39D" w:rsidR="000711F2" w:rsidRDefault="000711F2">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_Toc69149908 \h </w:instrText>
      </w:r>
      <w:r>
        <w:rPr>
          <w:noProof/>
        </w:rPr>
      </w:r>
      <w:r>
        <w:rPr>
          <w:noProof/>
        </w:rPr>
        <w:fldChar w:fldCharType="separate"/>
      </w:r>
      <w:r>
        <w:rPr>
          <w:noProof/>
        </w:rPr>
        <w:t>2</w:t>
      </w:r>
      <w:r>
        <w:rPr>
          <w:noProof/>
        </w:rPr>
        <w:fldChar w:fldCharType="end"/>
      </w:r>
    </w:p>
    <w:p w14:paraId="2DECE91A" w14:textId="320A2767" w:rsidR="000711F2" w:rsidRDefault="000711F2">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_Toc69149909 \h </w:instrText>
      </w:r>
      <w:r>
        <w:rPr>
          <w:noProof/>
        </w:rPr>
      </w:r>
      <w:r>
        <w:rPr>
          <w:noProof/>
        </w:rPr>
        <w:fldChar w:fldCharType="separate"/>
      </w:r>
      <w:r>
        <w:rPr>
          <w:noProof/>
        </w:rPr>
        <w:t>2</w:t>
      </w:r>
      <w:r>
        <w:rPr>
          <w:noProof/>
        </w:rPr>
        <w:fldChar w:fldCharType="end"/>
      </w:r>
    </w:p>
    <w:p w14:paraId="74B74FAD" w14:textId="733BDDD1" w:rsidR="000711F2" w:rsidRDefault="000711F2">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_Toc69149910 \h </w:instrText>
      </w:r>
      <w:r>
        <w:rPr>
          <w:noProof/>
        </w:rPr>
      </w:r>
      <w:r>
        <w:rPr>
          <w:noProof/>
        </w:rPr>
        <w:fldChar w:fldCharType="separate"/>
      </w:r>
      <w:r>
        <w:rPr>
          <w:noProof/>
        </w:rPr>
        <w:t>3</w:t>
      </w:r>
      <w:r>
        <w:rPr>
          <w:noProof/>
        </w:rPr>
        <w:fldChar w:fldCharType="end"/>
      </w:r>
    </w:p>
    <w:p w14:paraId="377899C2" w14:textId="7214255B" w:rsidR="000711F2" w:rsidRDefault="000711F2">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_Toc69149911 \h </w:instrText>
      </w:r>
      <w:r>
        <w:rPr>
          <w:noProof/>
        </w:rPr>
      </w:r>
      <w:r>
        <w:rPr>
          <w:noProof/>
        </w:rPr>
        <w:fldChar w:fldCharType="separate"/>
      </w:r>
      <w:r>
        <w:rPr>
          <w:noProof/>
        </w:rPr>
        <w:t>3</w:t>
      </w:r>
      <w:r>
        <w:rPr>
          <w:noProof/>
        </w:rPr>
        <w:fldChar w:fldCharType="end"/>
      </w:r>
    </w:p>
    <w:p w14:paraId="28AF6F56" w14:textId="749DA02F" w:rsidR="000711F2" w:rsidRDefault="000711F2">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_Toc69149912 \h </w:instrText>
      </w:r>
      <w:r>
        <w:rPr>
          <w:noProof/>
        </w:rPr>
      </w:r>
      <w:r>
        <w:rPr>
          <w:noProof/>
        </w:rPr>
        <w:fldChar w:fldCharType="separate"/>
      </w:r>
      <w:r>
        <w:rPr>
          <w:noProof/>
        </w:rPr>
        <w:t>4</w:t>
      </w:r>
      <w:r>
        <w:rPr>
          <w:noProof/>
        </w:rPr>
        <w:fldChar w:fldCharType="end"/>
      </w:r>
    </w:p>
    <w:p w14:paraId="6D4EF122" w14:textId="1A0AA8AC" w:rsidR="000711F2" w:rsidRDefault="000711F2">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_Toc69149913 \h </w:instrText>
      </w:r>
      <w:r>
        <w:rPr>
          <w:noProof/>
        </w:rPr>
      </w:r>
      <w:r>
        <w:rPr>
          <w:noProof/>
        </w:rPr>
        <w:fldChar w:fldCharType="separate"/>
      </w:r>
      <w:r>
        <w:rPr>
          <w:noProof/>
        </w:rPr>
        <w:t>4</w:t>
      </w:r>
      <w:r>
        <w:rPr>
          <w:noProof/>
        </w:rPr>
        <w:fldChar w:fldCharType="end"/>
      </w:r>
    </w:p>
    <w:p w14:paraId="08859CB7" w14:textId="6639DEED" w:rsidR="000711F2" w:rsidRDefault="000711F2">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_Toc69149914 \h </w:instrText>
      </w:r>
      <w:r>
        <w:rPr>
          <w:noProof/>
        </w:rPr>
      </w:r>
      <w:r>
        <w:rPr>
          <w:noProof/>
        </w:rPr>
        <w:fldChar w:fldCharType="separate"/>
      </w:r>
      <w:r>
        <w:rPr>
          <w:noProof/>
        </w:rPr>
        <w:t>5</w:t>
      </w:r>
      <w:r>
        <w:rPr>
          <w:noProof/>
        </w:rPr>
        <w:fldChar w:fldCharType="end"/>
      </w:r>
    </w:p>
    <w:p w14:paraId="08D9D999" w14:textId="52B7D0CC" w:rsidR="000711F2" w:rsidRDefault="000711F2">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_Toc69149915 \h </w:instrText>
      </w:r>
      <w:r>
        <w:rPr>
          <w:noProof/>
        </w:rPr>
      </w:r>
      <w:r>
        <w:rPr>
          <w:noProof/>
        </w:rPr>
        <w:fldChar w:fldCharType="separate"/>
      </w:r>
      <w:r>
        <w:rPr>
          <w:noProof/>
        </w:rPr>
        <w:t>5</w:t>
      </w:r>
      <w:r>
        <w:rPr>
          <w:noProof/>
        </w:rPr>
        <w:fldChar w:fldCharType="end"/>
      </w:r>
    </w:p>
    <w:p w14:paraId="287D7024" w14:textId="48069734" w:rsidR="000711F2" w:rsidRDefault="000711F2">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_Toc69149916 \h </w:instrText>
      </w:r>
      <w:r>
        <w:rPr>
          <w:noProof/>
        </w:rPr>
      </w:r>
      <w:r>
        <w:rPr>
          <w:noProof/>
        </w:rPr>
        <w:fldChar w:fldCharType="separate"/>
      </w:r>
      <w:r>
        <w:rPr>
          <w:noProof/>
        </w:rPr>
        <w:t>5</w:t>
      </w:r>
      <w:r>
        <w:rPr>
          <w:noProof/>
        </w:rPr>
        <w:fldChar w:fldCharType="end"/>
      </w:r>
    </w:p>
    <w:p w14:paraId="6F43D956" w14:textId="2D64772E" w:rsidR="000711F2" w:rsidRDefault="000711F2">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_Toc69149917 \h </w:instrText>
      </w:r>
      <w:r>
        <w:rPr>
          <w:noProof/>
        </w:rPr>
      </w:r>
      <w:r>
        <w:rPr>
          <w:noProof/>
        </w:rPr>
        <w:fldChar w:fldCharType="separate"/>
      </w:r>
      <w:r>
        <w:rPr>
          <w:noProof/>
        </w:rPr>
        <w:t>13</w:t>
      </w:r>
      <w:r>
        <w:rPr>
          <w:noProof/>
        </w:rPr>
        <w:fldChar w:fldCharType="end"/>
      </w:r>
    </w:p>
    <w:p w14:paraId="18F5A44B" w14:textId="2EEF17F4" w:rsidR="000711F2" w:rsidRDefault="000711F2">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_Toc69149918 \h </w:instrText>
      </w:r>
      <w:r>
        <w:rPr>
          <w:noProof/>
        </w:rPr>
      </w:r>
      <w:r>
        <w:rPr>
          <w:noProof/>
        </w:rPr>
        <w:fldChar w:fldCharType="separate"/>
      </w:r>
      <w:r>
        <w:rPr>
          <w:noProof/>
        </w:rPr>
        <w:t>13</w:t>
      </w:r>
      <w:r>
        <w:rPr>
          <w:noProof/>
        </w:rPr>
        <w:fldChar w:fldCharType="end"/>
      </w:r>
    </w:p>
    <w:p w14:paraId="22AC8207" w14:textId="5D3D9CB1" w:rsidR="000711F2" w:rsidRDefault="000711F2">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_Toc69149919 \h </w:instrText>
      </w:r>
      <w:r>
        <w:rPr>
          <w:noProof/>
        </w:rPr>
      </w:r>
      <w:r>
        <w:rPr>
          <w:noProof/>
        </w:rPr>
        <w:fldChar w:fldCharType="separate"/>
      </w:r>
      <w:r>
        <w:rPr>
          <w:noProof/>
        </w:rPr>
        <w:t>13</w:t>
      </w:r>
      <w:r>
        <w:rPr>
          <w:noProof/>
        </w:rPr>
        <w:fldChar w:fldCharType="end"/>
      </w:r>
    </w:p>
    <w:p w14:paraId="4F050389" w14:textId="73A31C57" w:rsidR="000711F2" w:rsidRDefault="000711F2">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_Toc69149920 \h </w:instrText>
      </w:r>
      <w:r>
        <w:rPr>
          <w:noProof/>
        </w:rPr>
      </w:r>
      <w:r>
        <w:rPr>
          <w:noProof/>
        </w:rPr>
        <w:fldChar w:fldCharType="separate"/>
      </w:r>
      <w:r>
        <w:rPr>
          <w:noProof/>
        </w:rPr>
        <w:t>14</w:t>
      </w:r>
      <w:r>
        <w:rPr>
          <w:noProof/>
        </w:rPr>
        <w:fldChar w:fldCharType="end"/>
      </w:r>
    </w:p>
    <w:p w14:paraId="0E657311" w14:textId="0144A23D" w:rsidR="000711F2" w:rsidRDefault="000711F2">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_Toc69149921 \h </w:instrText>
      </w:r>
      <w:r>
        <w:rPr>
          <w:noProof/>
        </w:rPr>
      </w:r>
      <w:r>
        <w:rPr>
          <w:noProof/>
        </w:rPr>
        <w:fldChar w:fldCharType="separate"/>
      </w:r>
      <w:r>
        <w:rPr>
          <w:noProof/>
        </w:rPr>
        <w:t>14</w:t>
      </w:r>
      <w:r>
        <w:rPr>
          <w:noProof/>
        </w:rPr>
        <w:fldChar w:fldCharType="end"/>
      </w:r>
    </w:p>
    <w:p w14:paraId="64FC13E9" w14:textId="4DC8CA1F" w:rsidR="000711F2" w:rsidRDefault="000711F2">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_Toc69149922 \h </w:instrText>
      </w:r>
      <w:r>
        <w:rPr>
          <w:noProof/>
        </w:rPr>
      </w:r>
      <w:r>
        <w:rPr>
          <w:noProof/>
        </w:rPr>
        <w:fldChar w:fldCharType="separate"/>
      </w:r>
      <w:r>
        <w:rPr>
          <w:noProof/>
        </w:rPr>
        <w:t>15</w:t>
      </w:r>
      <w:r>
        <w:rPr>
          <w:noProof/>
        </w:rPr>
        <w:fldChar w:fldCharType="end"/>
      </w:r>
    </w:p>
    <w:p w14:paraId="3594CF73" w14:textId="36645E03" w:rsidR="000711F2" w:rsidRDefault="000711F2">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_Toc69149923 \h </w:instrText>
      </w:r>
      <w:r>
        <w:rPr>
          <w:noProof/>
        </w:rPr>
      </w:r>
      <w:r>
        <w:rPr>
          <w:noProof/>
        </w:rPr>
        <w:fldChar w:fldCharType="separate"/>
      </w:r>
      <w:r>
        <w:rPr>
          <w:noProof/>
        </w:rPr>
        <w:t>15</w:t>
      </w:r>
      <w:r>
        <w:rPr>
          <w:noProof/>
        </w:rPr>
        <w:fldChar w:fldCharType="end"/>
      </w:r>
    </w:p>
    <w:p w14:paraId="28E747A5" w14:textId="07DA0349" w:rsidR="000711F2" w:rsidRDefault="000711F2">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_Toc69149924 \h </w:instrText>
      </w:r>
      <w:r>
        <w:rPr>
          <w:noProof/>
        </w:rPr>
      </w:r>
      <w:r>
        <w:rPr>
          <w:noProof/>
        </w:rPr>
        <w:fldChar w:fldCharType="separate"/>
      </w:r>
      <w:r>
        <w:rPr>
          <w:noProof/>
        </w:rPr>
        <w:t>16</w:t>
      </w:r>
      <w:r>
        <w:rPr>
          <w:noProof/>
        </w:rPr>
        <w:fldChar w:fldCharType="end"/>
      </w:r>
    </w:p>
    <w:p w14:paraId="4BB448C0" w14:textId="606AA6C5" w:rsidR="000711F2" w:rsidRDefault="000711F2">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_Toc69149925 \h </w:instrText>
      </w:r>
      <w:r>
        <w:rPr>
          <w:noProof/>
        </w:rPr>
      </w:r>
      <w:r>
        <w:rPr>
          <w:noProof/>
        </w:rPr>
        <w:fldChar w:fldCharType="separate"/>
      </w:r>
      <w:r>
        <w:rPr>
          <w:noProof/>
        </w:rPr>
        <w:t>16</w:t>
      </w:r>
      <w:r>
        <w:rPr>
          <w:noProof/>
        </w:rPr>
        <w:fldChar w:fldCharType="end"/>
      </w:r>
    </w:p>
    <w:p w14:paraId="5E57D659" w14:textId="2C640602" w:rsidR="000711F2" w:rsidRDefault="000711F2">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_Toc69149926 \h </w:instrText>
      </w:r>
      <w:r>
        <w:rPr>
          <w:noProof/>
        </w:rPr>
      </w:r>
      <w:r>
        <w:rPr>
          <w:noProof/>
        </w:rPr>
        <w:fldChar w:fldCharType="separate"/>
      </w:r>
      <w:r>
        <w:rPr>
          <w:noProof/>
        </w:rPr>
        <w:t>16</w:t>
      </w:r>
      <w:r>
        <w:rPr>
          <w:noProof/>
        </w:rPr>
        <w:fldChar w:fldCharType="end"/>
      </w:r>
    </w:p>
    <w:p w14:paraId="6AC7040C" w14:textId="705EB673" w:rsidR="000711F2" w:rsidRDefault="000711F2">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_Toc69149927 \h </w:instrText>
      </w:r>
      <w:r>
        <w:rPr>
          <w:noProof/>
        </w:rPr>
      </w:r>
      <w:r>
        <w:rPr>
          <w:noProof/>
        </w:rPr>
        <w:fldChar w:fldCharType="separate"/>
      </w:r>
      <w:r>
        <w:rPr>
          <w:noProof/>
        </w:rPr>
        <w:t>16</w:t>
      </w:r>
      <w:r>
        <w:rPr>
          <w:noProof/>
        </w:rPr>
        <w:fldChar w:fldCharType="end"/>
      </w:r>
    </w:p>
    <w:p w14:paraId="6FF339E4" w14:textId="0BF29E82" w:rsidR="000711F2" w:rsidRDefault="000711F2">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_Toc69149928 \h </w:instrText>
      </w:r>
      <w:r>
        <w:rPr>
          <w:noProof/>
        </w:rPr>
      </w:r>
      <w:r>
        <w:rPr>
          <w:noProof/>
        </w:rPr>
        <w:fldChar w:fldCharType="separate"/>
      </w:r>
      <w:r>
        <w:rPr>
          <w:noProof/>
        </w:rPr>
        <w:t>17</w:t>
      </w:r>
      <w:r>
        <w:rPr>
          <w:noProof/>
        </w:rPr>
        <w:fldChar w:fldCharType="end"/>
      </w:r>
    </w:p>
    <w:p w14:paraId="7DD78D3A" w14:textId="6E72C515" w:rsidR="007E1F66" w:rsidRDefault="001C6C9B" w:rsidP="00E2624B">
      <w:pPr>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fldChar w:fldCharType="end"/>
      </w:r>
    </w:p>
    <w:p w14:paraId="39F3CABB" w14:textId="77777777" w:rsidR="00871123" w:rsidRPr="007E1F66" w:rsidRDefault="00871123" w:rsidP="00FC1117">
      <w:pPr>
        <w:pStyle w:val="eTRMHeading3"/>
      </w:pPr>
      <w:bookmarkStart w:id="0" w:name="_Toc486490839"/>
      <w:bookmarkStart w:id="1" w:name="_Toc486580912"/>
      <w:bookmarkStart w:id="2" w:name="_Toc69149906"/>
      <w:r w:rsidRPr="007E1F66">
        <w:lastRenderedPageBreak/>
        <w:t>Measure Name</w:t>
      </w:r>
      <w:bookmarkEnd w:id="0"/>
      <w:bookmarkEnd w:id="1"/>
      <w:bookmarkEnd w:id="2"/>
    </w:p>
    <w:p w14:paraId="444DA14C" w14:textId="2E778755" w:rsidR="00151553" w:rsidRDefault="00FF6196" w:rsidP="00151553">
      <w:r>
        <w:t>Circulating Block Heater</w:t>
      </w:r>
    </w:p>
    <w:p w14:paraId="447CCF0F" w14:textId="77777777" w:rsidR="00520182" w:rsidRPr="00401C43" w:rsidRDefault="00520182" w:rsidP="00151553"/>
    <w:p w14:paraId="6406A9D4" w14:textId="77777777" w:rsidR="00871123" w:rsidRPr="00074E3E" w:rsidRDefault="00871123" w:rsidP="00FC1117">
      <w:pPr>
        <w:pStyle w:val="eTRMHeading3"/>
      </w:pPr>
      <w:bookmarkStart w:id="3" w:name="_Toc486490840"/>
      <w:bookmarkStart w:id="4" w:name="_Toc486580913"/>
      <w:bookmarkStart w:id="5" w:name="_Toc69149907"/>
      <w:r>
        <w:t>Statewide Measure ID</w:t>
      </w:r>
      <w:bookmarkEnd w:id="3"/>
      <w:bookmarkEnd w:id="4"/>
      <w:bookmarkEnd w:id="5"/>
    </w:p>
    <w:p w14:paraId="6EAE2100" w14:textId="09291F4E" w:rsidR="00871123" w:rsidRPr="006E307D" w:rsidRDefault="00831FE1" w:rsidP="006E307D">
      <w:r w:rsidRPr="006E307D">
        <w:t>SWPR004-</w:t>
      </w:r>
      <w:r w:rsidR="004F3096" w:rsidRPr="006E307D">
        <w:t>0</w:t>
      </w:r>
      <w:r w:rsidR="004F3096">
        <w:t>2</w:t>
      </w:r>
    </w:p>
    <w:p w14:paraId="2B553EA2" w14:textId="77777777" w:rsidR="00871123" w:rsidRPr="00462BB6" w:rsidRDefault="00871123" w:rsidP="00462BB6">
      <w:pPr>
        <w:spacing w:before="20" w:after="20" w:line="280" w:lineRule="exact"/>
        <w:rPr>
          <w:i/>
          <w:color w:val="808080" w:themeColor="background1" w:themeShade="80"/>
        </w:rPr>
      </w:pPr>
    </w:p>
    <w:p w14:paraId="0F7CA2E6" w14:textId="77777777" w:rsidR="00E70CBD" w:rsidRPr="00154391" w:rsidRDefault="00E70CBD" w:rsidP="00FC1117">
      <w:pPr>
        <w:pStyle w:val="eTRMHeading3"/>
      </w:pPr>
      <w:bookmarkStart w:id="6" w:name="_Toc486490847"/>
      <w:bookmarkStart w:id="7" w:name="_Toc486580918"/>
      <w:bookmarkStart w:id="8" w:name="_Toc69149908"/>
      <w:r w:rsidRPr="00154391">
        <w:t>Technology Summary</w:t>
      </w:r>
      <w:bookmarkEnd w:id="6"/>
      <w:bookmarkEnd w:id="7"/>
      <w:bookmarkEnd w:id="8"/>
      <w:r w:rsidRPr="00154391">
        <w:t xml:space="preserve"> </w:t>
      </w:r>
    </w:p>
    <w:p w14:paraId="4EB8C3EB" w14:textId="55A49BE6" w:rsidR="003F5736" w:rsidRDefault="003F5736" w:rsidP="003F5736">
      <w:r>
        <w:t>According to the Washington State University and Bonneville Power Administration, b</w:t>
      </w:r>
      <w:r w:rsidRPr="00BD0EA0">
        <w:t>lock heaters typically consist of a simple resistance heater affixed at one of several locations to the engine.</w:t>
      </w:r>
      <w:r w:rsidRPr="001E206A">
        <w:rPr>
          <w:rStyle w:val="FootnoteReference"/>
          <w:rFonts w:asciiTheme="minorHAnsi" w:hAnsiTheme="minorHAnsi" w:cstheme="minorHAnsi"/>
          <w:iCs/>
          <w:szCs w:val="22"/>
        </w:rPr>
        <w:t xml:space="preserve"> </w:t>
      </w:r>
      <w:r w:rsidRPr="001E206A">
        <w:rPr>
          <w:rStyle w:val="FootnoteReference"/>
          <w:rFonts w:asciiTheme="minorHAnsi" w:hAnsiTheme="minorHAnsi" w:cstheme="minorHAnsi"/>
          <w:iCs/>
          <w:szCs w:val="22"/>
        </w:rPr>
        <w:footnoteReference w:id="1"/>
      </w:r>
      <w:r w:rsidRPr="00BD0EA0">
        <w:t xml:space="preserve"> Convection circulates heated fluids in a process known as thermosiphon. These systems heat the engine block unevenly and inefficiently and may</w:t>
      </w:r>
      <w:r>
        <w:t xml:space="preserve"> deteriorate piping materials. </w:t>
      </w:r>
      <w:r w:rsidRPr="00BD0EA0">
        <w:t>Replacing thermosiphon heaters with ele</w:t>
      </w:r>
      <w:r>
        <w:t>ctrical pump heaters can reduce energy use.</w:t>
      </w:r>
    </w:p>
    <w:p w14:paraId="601DAC51" w14:textId="11EBF362" w:rsidR="002D5111" w:rsidRDefault="003F5736" w:rsidP="00BF2C5F">
      <w:r>
        <w:t xml:space="preserve">This circulating block heater </w:t>
      </w:r>
      <w:r w:rsidR="00E2624B">
        <w:t>measure</w:t>
      </w:r>
      <w:r>
        <w:t xml:space="preserve"> includes</w:t>
      </w:r>
      <w:r w:rsidR="002D5111" w:rsidRPr="00C52B19">
        <w:t xml:space="preserve"> an integrated electric pump that circulates coolant throughout the engine block ensuring that there is a minimal temperature difference between the supply and return temperatures. The pump/heater (CBH) is an integral assembly. </w:t>
      </w:r>
    </w:p>
    <w:p w14:paraId="5B9E1298" w14:textId="724BC153" w:rsidR="002D5111" w:rsidRPr="00BF2C5F" w:rsidRDefault="003F5736" w:rsidP="00BF2C5F">
      <w:r>
        <w:t>T</w:t>
      </w:r>
      <w:r w:rsidR="002D5111" w:rsidRPr="00C52B19">
        <w:t>he existing</w:t>
      </w:r>
      <w:r>
        <w:t xml:space="preserve"> (base case)</w:t>
      </w:r>
      <w:r w:rsidR="002D5111" w:rsidRPr="00C52B19">
        <w:t xml:space="preserve"> thermosiphon heater is removed as a unit and the new CBH is inserted into the exact same location. It is a single</w:t>
      </w:r>
      <w:r w:rsidR="00BF2C5F">
        <w:t>-</w:t>
      </w:r>
      <w:r w:rsidR="002D5111" w:rsidRPr="00C52B19">
        <w:t>unit installation within one housing with the mechanical element (pump) enclosed in the same "shell" as the smaller resistance heating element (relative to the thermosiphon) integral to the circulating block heater. Disconnect and reconnect points to existing hoses would not change unless improperly plumbed in the first place.</w:t>
      </w:r>
    </w:p>
    <w:p w14:paraId="53B0F493" w14:textId="23E4A31C" w:rsidR="002D5111" w:rsidRPr="00BF2C5F" w:rsidRDefault="002D5111" w:rsidP="00BF2C5F">
      <w:r w:rsidRPr="00C52B19">
        <w:t>Along with the pump, a small resistance heater is used to heat the coolant within the engine block. By pumping the heated coolant, a more uniform temperature is obtained throughout the engine block. As a result of using a recirculation pump, a smaller electric resistance heater can be used to heat the coolant as there will be a more uniform temperature achieved through the mixing of fluid throughout the engine block.</w:t>
      </w:r>
    </w:p>
    <w:p w14:paraId="336CD5F1" w14:textId="4F2AAE88" w:rsidR="00C97228" w:rsidRDefault="00C97228" w:rsidP="00AB6C99"/>
    <w:p w14:paraId="5AF18021" w14:textId="77777777" w:rsidR="007D230B" w:rsidRPr="004B06E3" w:rsidRDefault="007D230B" w:rsidP="00FC1117">
      <w:pPr>
        <w:pStyle w:val="eTRMHeading3"/>
      </w:pPr>
      <w:bookmarkStart w:id="9" w:name="_Toc486490848"/>
      <w:bookmarkStart w:id="10" w:name="_Toc486580919"/>
      <w:bookmarkStart w:id="11" w:name="_Toc69149909"/>
      <w:r w:rsidRPr="004B06E3">
        <w:t>Measure Case Description</w:t>
      </w:r>
      <w:bookmarkEnd w:id="9"/>
      <w:bookmarkEnd w:id="10"/>
      <w:bookmarkEnd w:id="11"/>
    </w:p>
    <w:p w14:paraId="024DDC18" w14:textId="6FD17E4C" w:rsidR="00440BCE" w:rsidRPr="00F73EB4" w:rsidRDefault="009363A7" w:rsidP="00F73EB4">
      <w:pPr>
        <w:rPr>
          <w:rFonts w:cs="Calibri Light"/>
          <w:szCs w:val="22"/>
        </w:rPr>
      </w:pPr>
      <w:r>
        <w:rPr>
          <w:rFonts w:cs="Calibri Light"/>
        </w:rPr>
        <w:t xml:space="preserve">This measure is defined as </w:t>
      </w:r>
      <w:r w:rsidR="00440BCE" w:rsidRPr="00F73EB4">
        <w:rPr>
          <w:rFonts w:cs="Calibri Light"/>
        </w:rPr>
        <w:t xml:space="preserve">a recirculation pump with a downsized electric resistance heater to a backup </w:t>
      </w:r>
      <w:r w:rsidR="00BF2C5F">
        <w:rPr>
          <w:rFonts w:cs="Calibri Light"/>
        </w:rPr>
        <w:t xml:space="preserve">diesel </w:t>
      </w:r>
      <w:r w:rsidR="00440BCE" w:rsidRPr="00F73EB4">
        <w:rPr>
          <w:rFonts w:cs="Calibri Light"/>
        </w:rPr>
        <w:t xml:space="preserve">generator. </w:t>
      </w:r>
      <w:r w:rsidR="00440BCE" w:rsidRPr="00F73EB4">
        <w:rPr>
          <w:rFonts w:cs="Calibri Light"/>
          <w:szCs w:val="22"/>
        </w:rPr>
        <w:t>This measure will replace an existing thermosiphon pump and heater with a recirculation pump and a smaller electric resistance heater. The measure will be tiered based upon the backup generator sizes</w:t>
      </w:r>
      <w:r w:rsidR="00440BCE" w:rsidRPr="00F73EB4">
        <w:rPr>
          <w:rFonts w:cs="Calibri Light"/>
          <w:i/>
          <w:szCs w:val="22"/>
        </w:rPr>
        <w:t>,</w:t>
      </w:r>
      <w:r w:rsidR="00440BCE" w:rsidRPr="00F73EB4">
        <w:rPr>
          <w:rFonts w:cs="Calibri Light"/>
          <w:szCs w:val="22"/>
        </w:rPr>
        <w:t xml:space="preserve"> shown </w:t>
      </w:r>
      <w:r w:rsidR="00395594">
        <w:rPr>
          <w:rFonts w:cs="Calibri Light"/>
          <w:szCs w:val="22"/>
        </w:rPr>
        <w:t xml:space="preserve">in </w:t>
      </w:r>
      <w:r w:rsidR="008B4C81">
        <w:rPr>
          <w:rFonts w:cs="Calibri Light"/>
          <w:szCs w:val="22"/>
        </w:rPr>
        <w:t>the table below</w:t>
      </w:r>
      <w:r w:rsidR="00395594">
        <w:rPr>
          <w:rFonts w:cs="Calibri Light"/>
          <w:szCs w:val="22"/>
        </w:rPr>
        <w:t>.</w:t>
      </w:r>
    </w:p>
    <w:p w14:paraId="0DCBEE3C" w14:textId="52E7228B" w:rsidR="002942B0" w:rsidRDefault="002942B0" w:rsidP="00F21ADC">
      <w:pPr>
        <w:pStyle w:val="Caption"/>
      </w:pPr>
      <w:r>
        <w:lastRenderedPageBreak/>
        <w:t xml:space="preserve">Measure Case Specification </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85"/>
        <w:gridCol w:w="2762"/>
        <w:gridCol w:w="2603"/>
      </w:tblGrid>
      <w:tr w:rsidR="00602795" w:rsidRPr="002D59A2" w14:paraId="6539616C" w14:textId="7FE6328B" w:rsidTr="001E206A">
        <w:tc>
          <w:tcPr>
            <w:tcW w:w="3985" w:type="dxa"/>
            <w:shd w:val="clear" w:color="auto" w:fill="F2F2F2" w:themeFill="background1" w:themeFillShade="F2"/>
          </w:tcPr>
          <w:p w14:paraId="30DBB6A2" w14:textId="04BF5994" w:rsidR="00602795" w:rsidRPr="002D59A2" w:rsidRDefault="00602795" w:rsidP="00BA3D7D">
            <w:pPr>
              <w:keepNext/>
              <w:keepLines/>
              <w:spacing w:before="20" w:after="20"/>
              <w:jc w:val="center"/>
              <w:rPr>
                <w:b/>
                <w:sz w:val="20"/>
                <w:szCs w:val="20"/>
              </w:rPr>
            </w:pPr>
            <w:r>
              <w:rPr>
                <w:b/>
                <w:sz w:val="20"/>
                <w:szCs w:val="20"/>
              </w:rPr>
              <w:t xml:space="preserve">Base Case </w:t>
            </w:r>
            <w:r w:rsidRPr="002D59A2">
              <w:rPr>
                <w:b/>
                <w:sz w:val="20"/>
                <w:szCs w:val="20"/>
              </w:rPr>
              <w:t>Thermosiphon Heater Size</w:t>
            </w:r>
          </w:p>
        </w:tc>
        <w:tc>
          <w:tcPr>
            <w:tcW w:w="2762" w:type="dxa"/>
            <w:shd w:val="clear" w:color="auto" w:fill="F2F2F2" w:themeFill="background1" w:themeFillShade="F2"/>
          </w:tcPr>
          <w:p w14:paraId="637F33A2" w14:textId="4C09D921" w:rsidR="00602795" w:rsidRPr="002D59A2" w:rsidRDefault="00602795" w:rsidP="00BA3D7D">
            <w:pPr>
              <w:keepNext/>
              <w:keepLines/>
              <w:spacing w:before="20" w:after="20"/>
              <w:jc w:val="center"/>
              <w:rPr>
                <w:b/>
                <w:sz w:val="20"/>
                <w:szCs w:val="20"/>
              </w:rPr>
            </w:pPr>
            <w:r w:rsidRPr="002D59A2">
              <w:rPr>
                <w:b/>
                <w:sz w:val="20"/>
                <w:szCs w:val="20"/>
              </w:rPr>
              <w:t>Back-up Generator Size (kW)</w:t>
            </w:r>
          </w:p>
        </w:tc>
        <w:tc>
          <w:tcPr>
            <w:tcW w:w="2603" w:type="dxa"/>
            <w:shd w:val="clear" w:color="auto" w:fill="F2F2F2" w:themeFill="background1" w:themeFillShade="F2"/>
          </w:tcPr>
          <w:p w14:paraId="3D2DF422" w14:textId="39AD293E" w:rsidR="00602795" w:rsidRPr="002D59A2" w:rsidRDefault="00602795" w:rsidP="00BA3D7D">
            <w:pPr>
              <w:keepNext/>
              <w:keepLines/>
              <w:spacing w:before="20" w:after="20"/>
              <w:jc w:val="center"/>
              <w:rPr>
                <w:b/>
                <w:sz w:val="20"/>
                <w:szCs w:val="20"/>
              </w:rPr>
            </w:pPr>
            <w:r>
              <w:rPr>
                <w:b/>
                <w:sz w:val="20"/>
                <w:szCs w:val="20"/>
              </w:rPr>
              <w:t>Measure Offering ID</w:t>
            </w:r>
          </w:p>
        </w:tc>
      </w:tr>
      <w:tr w:rsidR="00602795" w:rsidRPr="002D59A2" w14:paraId="7A97749B" w14:textId="26FB9D16" w:rsidTr="001E206A">
        <w:tc>
          <w:tcPr>
            <w:tcW w:w="3985" w:type="dxa"/>
            <w:vMerge w:val="restart"/>
            <w:vAlign w:val="center"/>
          </w:tcPr>
          <w:p w14:paraId="5438B582" w14:textId="2171F536" w:rsidR="00602795" w:rsidRPr="002D59A2" w:rsidRDefault="00602795" w:rsidP="00837994">
            <w:pPr>
              <w:keepNext/>
              <w:keepLines/>
              <w:spacing w:before="20" w:after="20"/>
              <w:rPr>
                <w:sz w:val="20"/>
                <w:szCs w:val="20"/>
              </w:rPr>
            </w:pPr>
            <w:r w:rsidRPr="002D59A2">
              <w:rPr>
                <w:sz w:val="20"/>
                <w:szCs w:val="20"/>
              </w:rPr>
              <w:t>Backup Generator with Circulating Block Heater replacing Undersized Thermosiphon Heater</w:t>
            </w:r>
          </w:p>
        </w:tc>
        <w:tc>
          <w:tcPr>
            <w:tcW w:w="2762" w:type="dxa"/>
            <w:shd w:val="clear" w:color="auto" w:fill="auto"/>
          </w:tcPr>
          <w:p w14:paraId="655B58BB" w14:textId="77FA310D" w:rsidR="00602795" w:rsidRPr="002D59A2" w:rsidRDefault="00602795" w:rsidP="00440BCE">
            <w:pPr>
              <w:keepNext/>
              <w:keepLines/>
              <w:spacing w:before="20" w:after="20"/>
              <w:jc w:val="center"/>
              <w:rPr>
                <w:sz w:val="20"/>
                <w:szCs w:val="20"/>
              </w:rPr>
            </w:pPr>
            <w:r w:rsidRPr="002D59A2">
              <w:rPr>
                <w:sz w:val="20"/>
                <w:szCs w:val="20"/>
              </w:rPr>
              <w:t>37-199</w:t>
            </w:r>
          </w:p>
        </w:tc>
        <w:tc>
          <w:tcPr>
            <w:tcW w:w="2603" w:type="dxa"/>
          </w:tcPr>
          <w:p w14:paraId="1DC61B94" w14:textId="2CE12923" w:rsidR="00602795" w:rsidRPr="002D59A2" w:rsidRDefault="00602795" w:rsidP="00440BCE">
            <w:pPr>
              <w:keepNext/>
              <w:keepLines/>
              <w:spacing w:before="20" w:after="20"/>
              <w:jc w:val="center"/>
              <w:rPr>
                <w:sz w:val="20"/>
                <w:szCs w:val="20"/>
              </w:rPr>
            </w:pPr>
            <w:r>
              <w:rPr>
                <w:sz w:val="20"/>
                <w:szCs w:val="20"/>
              </w:rPr>
              <w:t>A</w:t>
            </w:r>
          </w:p>
        </w:tc>
      </w:tr>
      <w:tr w:rsidR="00602795" w:rsidRPr="002D59A2" w14:paraId="559A7E7C" w14:textId="541CB449" w:rsidTr="001E206A">
        <w:tc>
          <w:tcPr>
            <w:tcW w:w="3985" w:type="dxa"/>
            <w:vMerge/>
            <w:vAlign w:val="center"/>
          </w:tcPr>
          <w:p w14:paraId="4EACB827" w14:textId="77777777" w:rsidR="00602795" w:rsidRPr="002D59A2" w:rsidRDefault="00602795" w:rsidP="00837994">
            <w:pPr>
              <w:keepNext/>
              <w:keepLines/>
              <w:spacing w:before="20" w:after="20"/>
              <w:rPr>
                <w:sz w:val="20"/>
                <w:szCs w:val="20"/>
              </w:rPr>
            </w:pPr>
          </w:p>
        </w:tc>
        <w:tc>
          <w:tcPr>
            <w:tcW w:w="2762" w:type="dxa"/>
            <w:shd w:val="clear" w:color="auto" w:fill="auto"/>
          </w:tcPr>
          <w:p w14:paraId="1F6163D5" w14:textId="1E982AC0" w:rsidR="00602795" w:rsidRPr="002D59A2" w:rsidRDefault="00602795" w:rsidP="00440BCE">
            <w:pPr>
              <w:keepNext/>
              <w:keepLines/>
              <w:spacing w:before="20" w:after="20"/>
              <w:jc w:val="center"/>
              <w:rPr>
                <w:sz w:val="20"/>
                <w:szCs w:val="20"/>
              </w:rPr>
            </w:pPr>
            <w:r w:rsidRPr="002D59A2">
              <w:rPr>
                <w:sz w:val="20"/>
                <w:szCs w:val="20"/>
              </w:rPr>
              <w:t>200-799</w:t>
            </w:r>
          </w:p>
        </w:tc>
        <w:tc>
          <w:tcPr>
            <w:tcW w:w="2603" w:type="dxa"/>
          </w:tcPr>
          <w:p w14:paraId="6C3D4536" w14:textId="4313F9C7" w:rsidR="00602795" w:rsidRPr="002D59A2" w:rsidRDefault="00602795" w:rsidP="00440BCE">
            <w:pPr>
              <w:keepNext/>
              <w:keepLines/>
              <w:spacing w:before="20" w:after="20"/>
              <w:jc w:val="center"/>
              <w:rPr>
                <w:sz w:val="20"/>
                <w:szCs w:val="20"/>
              </w:rPr>
            </w:pPr>
            <w:r>
              <w:rPr>
                <w:sz w:val="20"/>
                <w:szCs w:val="20"/>
              </w:rPr>
              <w:t>C</w:t>
            </w:r>
          </w:p>
        </w:tc>
      </w:tr>
      <w:tr w:rsidR="00602795" w:rsidRPr="002D59A2" w14:paraId="7FF2C7CA" w14:textId="3359711D" w:rsidTr="001E206A">
        <w:tc>
          <w:tcPr>
            <w:tcW w:w="398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51DBB86A" w14:textId="7B4C3169" w:rsidR="00602795" w:rsidRPr="002D59A2" w:rsidRDefault="00602795" w:rsidP="00837994">
            <w:pPr>
              <w:keepNext/>
              <w:keepLines/>
              <w:spacing w:before="20" w:after="20"/>
              <w:rPr>
                <w:sz w:val="20"/>
                <w:szCs w:val="20"/>
              </w:rPr>
            </w:pPr>
            <w:r w:rsidRPr="002D59A2">
              <w:rPr>
                <w:sz w:val="20"/>
                <w:szCs w:val="20"/>
              </w:rPr>
              <w:t>Backup Generator with Circulating Block Heater replacing Properly Sized Thermosiphon Heater</w:t>
            </w:r>
          </w:p>
        </w:tc>
        <w:tc>
          <w:tcPr>
            <w:tcW w:w="27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53EA953" w14:textId="77777777" w:rsidR="00602795" w:rsidRPr="002D59A2" w:rsidRDefault="00602795" w:rsidP="006C6D18">
            <w:pPr>
              <w:keepNext/>
              <w:keepLines/>
              <w:spacing w:before="20" w:after="20"/>
              <w:jc w:val="center"/>
              <w:rPr>
                <w:sz w:val="20"/>
                <w:szCs w:val="20"/>
              </w:rPr>
            </w:pPr>
            <w:r w:rsidRPr="002D59A2">
              <w:rPr>
                <w:sz w:val="20"/>
                <w:szCs w:val="20"/>
              </w:rPr>
              <w:t>37-199</w:t>
            </w:r>
          </w:p>
        </w:tc>
        <w:tc>
          <w:tcPr>
            <w:tcW w:w="26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552D3F" w14:textId="7FA686A2" w:rsidR="00602795" w:rsidRPr="002D59A2" w:rsidRDefault="00602795" w:rsidP="006C6D18">
            <w:pPr>
              <w:keepNext/>
              <w:keepLines/>
              <w:spacing w:before="20" w:after="20"/>
              <w:jc w:val="center"/>
              <w:rPr>
                <w:sz w:val="20"/>
                <w:szCs w:val="20"/>
              </w:rPr>
            </w:pPr>
            <w:r>
              <w:rPr>
                <w:sz w:val="20"/>
                <w:szCs w:val="20"/>
              </w:rPr>
              <w:t>B</w:t>
            </w:r>
          </w:p>
        </w:tc>
      </w:tr>
      <w:tr w:rsidR="00602795" w:rsidRPr="002D59A2" w14:paraId="32367D54" w14:textId="23B576D9" w:rsidTr="001E206A">
        <w:tc>
          <w:tcPr>
            <w:tcW w:w="3985" w:type="dxa"/>
            <w:vMerge/>
            <w:tcBorders>
              <w:left w:val="single" w:sz="4" w:space="0" w:color="A6A6A6" w:themeColor="background1" w:themeShade="A6"/>
              <w:right w:val="single" w:sz="4" w:space="0" w:color="A6A6A6" w:themeColor="background1" w:themeShade="A6"/>
            </w:tcBorders>
          </w:tcPr>
          <w:p w14:paraId="1FE78D4A" w14:textId="77777777" w:rsidR="00602795" w:rsidRPr="002D59A2" w:rsidRDefault="00602795" w:rsidP="006C6D18">
            <w:pPr>
              <w:keepNext/>
              <w:keepLines/>
              <w:spacing w:before="20" w:after="20"/>
              <w:jc w:val="center"/>
              <w:rPr>
                <w:sz w:val="20"/>
                <w:szCs w:val="20"/>
              </w:rPr>
            </w:pPr>
          </w:p>
        </w:tc>
        <w:tc>
          <w:tcPr>
            <w:tcW w:w="27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12421EF" w14:textId="77777777" w:rsidR="00602795" w:rsidRPr="002D59A2" w:rsidRDefault="00602795" w:rsidP="006C6D18">
            <w:pPr>
              <w:keepNext/>
              <w:keepLines/>
              <w:spacing w:before="20" w:after="20"/>
              <w:jc w:val="center"/>
              <w:rPr>
                <w:sz w:val="20"/>
                <w:szCs w:val="20"/>
              </w:rPr>
            </w:pPr>
            <w:r w:rsidRPr="002D59A2">
              <w:rPr>
                <w:sz w:val="20"/>
                <w:szCs w:val="20"/>
              </w:rPr>
              <w:t>200-799</w:t>
            </w:r>
          </w:p>
        </w:tc>
        <w:tc>
          <w:tcPr>
            <w:tcW w:w="26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9D15B6" w14:textId="3287E851" w:rsidR="00602795" w:rsidRPr="002D59A2" w:rsidRDefault="00602795" w:rsidP="006C6D18">
            <w:pPr>
              <w:keepNext/>
              <w:keepLines/>
              <w:spacing w:before="20" w:after="20"/>
              <w:jc w:val="center"/>
              <w:rPr>
                <w:sz w:val="20"/>
                <w:szCs w:val="20"/>
              </w:rPr>
            </w:pPr>
            <w:r>
              <w:rPr>
                <w:sz w:val="20"/>
                <w:szCs w:val="20"/>
              </w:rPr>
              <w:t>D</w:t>
            </w:r>
          </w:p>
        </w:tc>
      </w:tr>
    </w:tbl>
    <w:p w14:paraId="027C2465" w14:textId="77777777" w:rsidR="00994F74" w:rsidRPr="004B06E3" w:rsidRDefault="00994F74" w:rsidP="00DE339F"/>
    <w:p w14:paraId="54FD79D6" w14:textId="77777777" w:rsidR="00E70CBD" w:rsidRPr="00171BB8" w:rsidRDefault="00E70CBD" w:rsidP="00FC1117">
      <w:pPr>
        <w:pStyle w:val="eTRMHeading3"/>
      </w:pPr>
      <w:bookmarkStart w:id="12" w:name="_Toc486490849"/>
      <w:bookmarkStart w:id="13" w:name="_Toc486580920"/>
      <w:bookmarkStart w:id="14" w:name="_Toc69149910"/>
      <w:r w:rsidRPr="004B06E3">
        <w:t>Base Case Description</w:t>
      </w:r>
      <w:bookmarkEnd w:id="12"/>
      <w:bookmarkEnd w:id="13"/>
      <w:bookmarkEnd w:id="14"/>
      <w:r w:rsidRPr="00171BB8">
        <w:t xml:space="preserve"> </w:t>
      </w:r>
    </w:p>
    <w:p w14:paraId="3C43D9D7" w14:textId="43347F1D" w:rsidR="00440BCE" w:rsidRDefault="00440BCE" w:rsidP="00440BCE">
      <w:pPr>
        <w:rPr>
          <w:rFonts w:cs="Arial"/>
          <w:szCs w:val="20"/>
        </w:rPr>
      </w:pPr>
      <w:r>
        <w:rPr>
          <w:rFonts w:cs="Arial"/>
          <w:szCs w:val="20"/>
        </w:rPr>
        <w:t xml:space="preserve">The </w:t>
      </w:r>
      <w:r w:rsidR="00266EBA">
        <w:rPr>
          <w:rFonts w:cs="Arial"/>
          <w:szCs w:val="20"/>
        </w:rPr>
        <w:t xml:space="preserve">base case is defined as the </w:t>
      </w:r>
      <w:r>
        <w:rPr>
          <w:rFonts w:cs="Arial"/>
          <w:szCs w:val="20"/>
        </w:rPr>
        <w:t xml:space="preserve">existing thermosiphon heater </w:t>
      </w:r>
      <w:r w:rsidR="00266EBA">
        <w:rPr>
          <w:rFonts w:cs="Arial"/>
          <w:szCs w:val="20"/>
        </w:rPr>
        <w:t xml:space="preserve">that </w:t>
      </w:r>
      <w:r>
        <w:rPr>
          <w:rFonts w:cs="Arial"/>
          <w:szCs w:val="20"/>
        </w:rPr>
        <w:t>relies on the change in density, buoyancy, to circulate the heated coolant within the generator.</w:t>
      </w:r>
      <w:r w:rsidR="002E3F65">
        <w:rPr>
          <w:rFonts w:cs="Arial"/>
          <w:szCs w:val="20"/>
        </w:rPr>
        <w:t xml:space="preserve"> </w:t>
      </w:r>
      <w:r w:rsidR="002E3F65">
        <w:t>A</w:t>
      </w:r>
      <w:r w:rsidR="002E3F65" w:rsidRPr="00C52B19">
        <w:t xml:space="preserve"> thermosiphon heater</w:t>
      </w:r>
      <w:r w:rsidR="002E3F65">
        <w:t xml:space="preserve"> relies</w:t>
      </w:r>
      <w:r w:rsidR="002E3F65" w:rsidRPr="00C52B19">
        <w:t xml:space="preserve"> on the change in density (impacting buoyancy</w:t>
      </w:r>
      <w:r w:rsidR="002E3F65" w:rsidRPr="003F5736">
        <w:t>) to</w:t>
      </w:r>
      <w:r w:rsidR="002E3F65" w:rsidRPr="00C52B19">
        <w:t xml:space="preserve"> circulate the heated coolant. This type of circulation leads to non-uniform temperature distribution</w:t>
      </w:r>
      <w:r w:rsidR="002E3F65">
        <w:t xml:space="preserve"> – </w:t>
      </w:r>
      <w:r w:rsidR="002E3F65" w:rsidRPr="00C52B19">
        <w:t>the coolant is warmer at the top of the block and colder at the bottom</w:t>
      </w:r>
      <w:r w:rsidR="002E3F65">
        <w:t>,</w:t>
      </w:r>
      <w:r w:rsidR="002E3F65" w:rsidRPr="00C52B19">
        <w:t xml:space="preserve"> </w:t>
      </w:r>
      <w:r w:rsidR="002E3F65">
        <w:t>thus</w:t>
      </w:r>
      <w:r w:rsidR="002E3F65" w:rsidRPr="00C52B19">
        <w:t xml:space="preserve"> the electric resistance heater </w:t>
      </w:r>
      <w:r w:rsidR="002E3F65">
        <w:t>must</w:t>
      </w:r>
      <w:r w:rsidR="002E3F65" w:rsidRPr="00C52B19">
        <w:t xml:space="preserve"> operate for a longer duration. This </w:t>
      </w:r>
      <w:r w:rsidR="002E3F65">
        <w:t>type of circulation also</w:t>
      </w:r>
      <w:r w:rsidR="002E3F65" w:rsidRPr="00C52B19">
        <w:t xml:space="preserve"> means that there is waste heat in sections of the block</w:t>
      </w:r>
      <w:r w:rsidR="002E3F65">
        <w:t xml:space="preserve"> – </w:t>
      </w:r>
      <w:r w:rsidR="002E3F65" w:rsidRPr="00C52B19">
        <w:t>the heater must operate to maintain a certain temperature, so the top of the block will always be hotter than necessary.</w:t>
      </w:r>
    </w:p>
    <w:p w14:paraId="33615C63" w14:textId="5C53D8BE" w:rsidR="00091DB2" w:rsidRPr="00C0179D" w:rsidRDefault="003F5736" w:rsidP="00091DB2">
      <w:r>
        <w:t>The industry standard practice (base case) assumptions are supported by a</w:t>
      </w:r>
      <w:r w:rsidR="00091DB2">
        <w:t xml:space="preserve"> </w:t>
      </w:r>
      <w:r>
        <w:t xml:space="preserve">pump-driven block heater </w:t>
      </w:r>
      <w:r w:rsidR="00091DB2">
        <w:t xml:space="preserve">study </w:t>
      </w:r>
      <w:r>
        <w:t xml:space="preserve">conducted </w:t>
      </w:r>
      <w:r w:rsidR="00091DB2">
        <w:t xml:space="preserve">by </w:t>
      </w:r>
      <w:proofErr w:type="spellStart"/>
      <w:r w:rsidR="00091DB2">
        <w:t>Avista</w:t>
      </w:r>
      <w:proofErr w:type="spellEnd"/>
      <w:r>
        <w:t xml:space="preserve"> in</w:t>
      </w:r>
      <w:r w:rsidR="00091DB2">
        <w:t xml:space="preserve"> September 2012</w:t>
      </w:r>
      <w:r w:rsidR="002E3F65">
        <w:t>.</w:t>
      </w:r>
      <w:r w:rsidRPr="003F5736">
        <w:rPr>
          <w:rStyle w:val="FootnoteReference"/>
          <w:rFonts w:asciiTheme="minorHAnsi" w:hAnsiTheme="minorHAnsi" w:cstheme="minorHAnsi"/>
          <w:szCs w:val="22"/>
        </w:rPr>
        <w:footnoteReference w:id="2"/>
      </w:r>
      <w:r w:rsidR="00091DB2">
        <w:t xml:space="preserve"> The study indicates that historically, the </w:t>
      </w:r>
      <w:r>
        <w:t>thermosiphon</w:t>
      </w:r>
      <w:r w:rsidR="00091DB2">
        <w:t xml:space="preserve"> heater</w:t>
      </w:r>
      <w:r w:rsidR="00091DB2" w:rsidRPr="002A6B32">
        <w:t xml:space="preserve"> techno</w:t>
      </w:r>
      <w:r w:rsidR="00091DB2">
        <w:t xml:space="preserve">logy has dominated the block heater market. The </w:t>
      </w:r>
      <w:r w:rsidR="00091DB2" w:rsidRPr="002A6B32">
        <w:t>ubiquity of th</w:t>
      </w:r>
      <w:r w:rsidR="00091DB2">
        <w:t xml:space="preserve">e </w:t>
      </w:r>
      <w:r>
        <w:t xml:space="preserve">thermosiphon </w:t>
      </w:r>
      <w:r w:rsidR="00091DB2">
        <w:t>heater is driven primarily by o</w:t>
      </w:r>
      <w:r w:rsidR="00091DB2" w:rsidRPr="002A6B32">
        <w:t>riginal</w:t>
      </w:r>
      <w:r w:rsidR="00091DB2">
        <w:t xml:space="preserve"> equipment manufacturers </w:t>
      </w:r>
      <w:r w:rsidR="00091DB2" w:rsidRPr="002A6B32">
        <w:t>because th</w:t>
      </w:r>
      <w:r w:rsidR="00091DB2">
        <w:t xml:space="preserve">ey install them at the </w:t>
      </w:r>
      <w:r w:rsidR="002E3F65">
        <w:t>factory.</w:t>
      </w:r>
    </w:p>
    <w:p w14:paraId="31229FBE" w14:textId="77777777" w:rsidR="002942B0" w:rsidRPr="002942B0" w:rsidRDefault="002942B0" w:rsidP="002942B0"/>
    <w:p w14:paraId="7D9DA4A6" w14:textId="77777777" w:rsidR="007D230B" w:rsidRPr="00171BB8" w:rsidRDefault="007D230B" w:rsidP="00FC1117">
      <w:pPr>
        <w:pStyle w:val="eTRMHeading3"/>
      </w:pPr>
      <w:bookmarkStart w:id="15" w:name="_Toc486490850"/>
      <w:bookmarkStart w:id="16" w:name="_Toc486580921"/>
      <w:bookmarkStart w:id="17" w:name="_Toc69149911"/>
      <w:r w:rsidRPr="004B06E3">
        <w:t>Code Requirements</w:t>
      </w:r>
      <w:bookmarkEnd w:id="15"/>
      <w:bookmarkEnd w:id="16"/>
      <w:bookmarkEnd w:id="17"/>
    </w:p>
    <w:p w14:paraId="0CDCE678" w14:textId="62897625" w:rsidR="00274629" w:rsidRDefault="001011F6" w:rsidP="00C51DBA">
      <w:r>
        <w:t>The circulating block heater measure is not covered by either State or Federal efficiency standards. Air q</w:t>
      </w:r>
      <w:r w:rsidR="00274629" w:rsidRPr="00E161F4">
        <w:t xml:space="preserve">uality </w:t>
      </w:r>
      <w:r>
        <w:t>m</w:t>
      </w:r>
      <w:r w:rsidR="00274629" w:rsidRPr="00E161F4">
        <w:t xml:space="preserve">anagement </w:t>
      </w:r>
      <w:r>
        <w:t>d</w:t>
      </w:r>
      <w:r w:rsidR="00274629" w:rsidRPr="00E161F4">
        <w:t>istrict</w:t>
      </w:r>
      <w:r>
        <w:t>s</w:t>
      </w:r>
      <w:r w:rsidR="00274629" w:rsidRPr="00E161F4">
        <w:t xml:space="preserve"> </w:t>
      </w:r>
      <w:r>
        <w:t>have established</w:t>
      </w:r>
      <w:r w:rsidR="00274629" w:rsidRPr="00E161F4">
        <w:t xml:space="preserve"> standards </w:t>
      </w:r>
      <w:r>
        <w:t>that define the requirements of</w:t>
      </w:r>
      <w:r w:rsidR="00274629" w:rsidRPr="00E161F4">
        <w:t xml:space="preserve"> emergency backup generator</w:t>
      </w:r>
      <w:r>
        <w:t>s</w:t>
      </w:r>
      <w:r w:rsidR="00274629" w:rsidRPr="00E161F4">
        <w:t xml:space="preserve"> and the allowable air emissions. However, the allowable </w:t>
      </w:r>
      <w:r>
        <w:t xml:space="preserve">air </w:t>
      </w:r>
      <w:r w:rsidR="00274629" w:rsidRPr="00E161F4">
        <w:t>emissions do not impact savings calculations</w:t>
      </w:r>
      <w:r>
        <w:t>,</w:t>
      </w:r>
      <w:r w:rsidR="00274629" w:rsidRPr="00E161F4">
        <w:t xml:space="preserve"> as backup generators </w:t>
      </w:r>
      <w:proofErr w:type="gramStart"/>
      <w:r w:rsidR="00274629" w:rsidRPr="00E161F4">
        <w:t>are required to be ready at all times</w:t>
      </w:r>
      <w:proofErr w:type="gramEnd"/>
      <w:r w:rsidR="00274629" w:rsidRPr="00E161F4">
        <w:t xml:space="preserve"> </w:t>
      </w:r>
      <w:r w:rsidR="00274629">
        <w:t xml:space="preserve">for use. </w:t>
      </w:r>
      <w:r>
        <w:t>Thus, e</w:t>
      </w:r>
      <w:r w:rsidR="00274629">
        <w:t xml:space="preserve">mission standards </w:t>
      </w:r>
      <w:r w:rsidR="00274629" w:rsidRPr="00E161F4">
        <w:t xml:space="preserve">are not </w:t>
      </w:r>
      <w:r>
        <w:t>specified in the eTRM for this measure</w:t>
      </w:r>
      <w:r w:rsidR="00274629" w:rsidRPr="00E161F4">
        <w:t>.</w:t>
      </w:r>
      <w:r w:rsidR="00275412">
        <w:t xml:space="preserve"> NFPA code 110 for Emergency Power Systems requires that standby</w:t>
      </w:r>
      <w:r w:rsidR="00357E62">
        <w:t xml:space="preserve"> generator engine blocks shall be heated as necessary to allow full power within 10 seconds. </w:t>
      </w:r>
    </w:p>
    <w:p w14:paraId="7E96141F" w14:textId="0C35F12F" w:rsidR="00FD2C54" w:rsidRDefault="00FD2C54" w:rsidP="00F21ADC">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0FA193AE" w:rsidR="00FC77BB" w:rsidRPr="00BD6838" w:rsidRDefault="00FC77BB" w:rsidP="004F705B">
            <w:pPr>
              <w:keepNext/>
              <w:keepLines/>
              <w:spacing w:before="20" w:after="20"/>
              <w:rPr>
                <w:sz w:val="20"/>
                <w:szCs w:val="20"/>
              </w:rPr>
            </w:pPr>
            <w:r w:rsidRPr="00BD6838">
              <w:rPr>
                <w:sz w:val="20"/>
              </w:rPr>
              <w:t xml:space="preserve">CA Appliance Efficiency Regulations – Title 20 </w:t>
            </w:r>
          </w:p>
        </w:tc>
        <w:tc>
          <w:tcPr>
            <w:tcW w:w="2340" w:type="dxa"/>
            <w:shd w:val="clear" w:color="auto" w:fill="auto"/>
          </w:tcPr>
          <w:p w14:paraId="794A0264" w14:textId="0C9F69F9" w:rsidR="00FC77BB" w:rsidRPr="00FB030E" w:rsidRDefault="00274629" w:rsidP="004F705B">
            <w:pPr>
              <w:keepNext/>
              <w:keepLines/>
              <w:spacing w:before="20" w:after="20"/>
              <w:rPr>
                <w:sz w:val="20"/>
                <w:szCs w:val="20"/>
              </w:rPr>
            </w:pPr>
            <w:r>
              <w:rPr>
                <w:sz w:val="20"/>
                <w:szCs w:val="20"/>
              </w:rPr>
              <w:t>None.</w:t>
            </w:r>
          </w:p>
        </w:tc>
        <w:tc>
          <w:tcPr>
            <w:tcW w:w="2430" w:type="dxa"/>
            <w:shd w:val="clear" w:color="auto" w:fill="auto"/>
          </w:tcPr>
          <w:p w14:paraId="274AB5DC" w14:textId="0324A66F" w:rsidR="00FC77BB" w:rsidRPr="00FB030E" w:rsidRDefault="00274629" w:rsidP="004F705B">
            <w:pPr>
              <w:keepNext/>
              <w:keepLines/>
              <w:spacing w:before="20" w:after="20"/>
              <w:jc w:val="center"/>
              <w:rPr>
                <w:sz w:val="20"/>
                <w:szCs w:val="20"/>
              </w:rPr>
            </w:pPr>
            <w:r>
              <w:rPr>
                <w:sz w:val="20"/>
                <w:szCs w:val="20"/>
              </w:rPr>
              <w:t>n/a</w:t>
            </w:r>
          </w:p>
        </w:tc>
      </w:tr>
      <w:tr w:rsidR="00FC77BB" w:rsidRPr="00FB030E" w14:paraId="1238F946" w14:textId="64CC1E4E" w:rsidTr="00FC77BB">
        <w:trPr>
          <w:cantSplit/>
          <w:trHeight w:val="20"/>
        </w:trPr>
        <w:tc>
          <w:tcPr>
            <w:tcW w:w="4765" w:type="dxa"/>
            <w:shd w:val="clear" w:color="auto" w:fill="auto"/>
          </w:tcPr>
          <w:p w14:paraId="4F444C61" w14:textId="44AB23B9" w:rsidR="00FC77BB" w:rsidRPr="00BD6838" w:rsidRDefault="00FC77BB" w:rsidP="00FD2C54">
            <w:pPr>
              <w:keepNext/>
              <w:keepLines/>
              <w:spacing w:before="20" w:after="20"/>
              <w:rPr>
                <w:sz w:val="20"/>
                <w:szCs w:val="20"/>
              </w:rPr>
            </w:pPr>
            <w:r w:rsidRPr="00BD6838">
              <w:rPr>
                <w:sz w:val="20"/>
              </w:rPr>
              <w:t xml:space="preserve">CA Building Energy Efficiency Standards – Title 24 </w:t>
            </w:r>
          </w:p>
        </w:tc>
        <w:tc>
          <w:tcPr>
            <w:tcW w:w="2340" w:type="dxa"/>
            <w:shd w:val="clear" w:color="auto" w:fill="auto"/>
          </w:tcPr>
          <w:p w14:paraId="0A330E5E" w14:textId="7EB3EA4C" w:rsidR="00FC77BB" w:rsidRPr="00FB030E" w:rsidRDefault="00274629" w:rsidP="00BA3D7D">
            <w:pPr>
              <w:keepNext/>
              <w:keepLines/>
              <w:spacing w:before="20" w:after="20"/>
              <w:rPr>
                <w:sz w:val="20"/>
                <w:szCs w:val="20"/>
              </w:rPr>
            </w:pPr>
            <w:r>
              <w:rPr>
                <w:sz w:val="20"/>
                <w:szCs w:val="20"/>
              </w:rPr>
              <w:t>None.</w:t>
            </w:r>
          </w:p>
        </w:tc>
        <w:tc>
          <w:tcPr>
            <w:tcW w:w="2430" w:type="dxa"/>
            <w:shd w:val="clear" w:color="auto" w:fill="auto"/>
          </w:tcPr>
          <w:p w14:paraId="63BAD98E" w14:textId="15EC6488" w:rsidR="00FC77BB" w:rsidRPr="00FB030E" w:rsidRDefault="00274629" w:rsidP="00BA3D7D">
            <w:pPr>
              <w:keepNext/>
              <w:keepLines/>
              <w:spacing w:before="20" w:after="20"/>
              <w:jc w:val="center"/>
              <w:rPr>
                <w:sz w:val="20"/>
                <w:szCs w:val="20"/>
              </w:rPr>
            </w:pPr>
            <w:r>
              <w:rPr>
                <w:sz w:val="20"/>
                <w:szCs w:val="20"/>
              </w:rPr>
              <w:t>n/a</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BA3D7D">
            <w:pPr>
              <w:keepNext/>
              <w:keepLines/>
              <w:spacing w:before="20" w:after="20"/>
              <w:rPr>
                <w:sz w:val="20"/>
                <w:szCs w:val="20"/>
              </w:rPr>
            </w:pPr>
            <w:r w:rsidRPr="00BD6838">
              <w:rPr>
                <w:sz w:val="20"/>
              </w:rPr>
              <w:t>Federal Standards</w:t>
            </w:r>
          </w:p>
        </w:tc>
        <w:tc>
          <w:tcPr>
            <w:tcW w:w="2340" w:type="dxa"/>
            <w:shd w:val="clear" w:color="auto" w:fill="auto"/>
          </w:tcPr>
          <w:p w14:paraId="0D43394E" w14:textId="566AF12E" w:rsidR="00FC77BB" w:rsidRPr="00FB030E" w:rsidRDefault="00357E62" w:rsidP="00BA3D7D">
            <w:pPr>
              <w:keepNext/>
              <w:keepLines/>
              <w:spacing w:before="20" w:after="20"/>
              <w:rPr>
                <w:sz w:val="20"/>
                <w:szCs w:val="20"/>
              </w:rPr>
            </w:pPr>
            <w:r>
              <w:rPr>
                <w:sz w:val="20"/>
                <w:szCs w:val="20"/>
              </w:rPr>
              <w:t>NFPA 110</w:t>
            </w:r>
          </w:p>
        </w:tc>
        <w:tc>
          <w:tcPr>
            <w:tcW w:w="2430" w:type="dxa"/>
            <w:shd w:val="clear" w:color="auto" w:fill="auto"/>
          </w:tcPr>
          <w:p w14:paraId="66FA1B6F" w14:textId="5FB35849" w:rsidR="00FC77BB" w:rsidRPr="00FB030E" w:rsidRDefault="00357E62" w:rsidP="00BA3D7D">
            <w:pPr>
              <w:keepNext/>
              <w:keepLines/>
              <w:spacing w:before="20" w:after="20"/>
              <w:jc w:val="center"/>
              <w:rPr>
                <w:sz w:val="20"/>
                <w:szCs w:val="20"/>
              </w:rPr>
            </w:pPr>
            <w:r>
              <w:rPr>
                <w:sz w:val="20"/>
                <w:szCs w:val="20"/>
              </w:rPr>
              <w:t>2019</w:t>
            </w:r>
          </w:p>
        </w:tc>
      </w:tr>
    </w:tbl>
    <w:p w14:paraId="28A93655" w14:textId="77777777" w:rsidR="00FD2C54" w:rsidRDefault="00FD2C54" w:rsidP="0011498C"/>
    <w:p w14:paraId="1EE16D20" w14:textId="77777777" w:rsidR="007D230B" w:rsidRPr="00171BB8" w:rsidRDefault="007D230B" w:rsidP="00FC1117">
      <w:pPr>
        <w:pStyle w:val="eTRMHeading3"/>
      </w:pPr>
      <w:bookmarkStart w:id="18" w:name="_Toc486490851"/>
      <w:bookmarkStart w:id="19" w:name="_Toc486580922"/>
      <w:bookmarkStart w:id="20" w:name="_Toc69149912"/>
      <w:r w:rsidRPr="00A83458">
        <w:lastRenderedPageBreak/>
        <w:t>Normalizing</w:t>
      </w:r>
      <w:r w:rsidRPr="00171BB8">
        <w:t xml:space="preserve"> Unit</w:t>
      </w:r>
      <w:bookmarkEnd w:id="18"/>
      <w:bookmarkEnd w:id="19"/>
      <w:bookmarkEnd w:id="20"/>
    </w:p>
    <w:p w14:paraId="0115BB45" w14:textId="2AF435F0" w:rsidR="009C31A4" w:rsidRDefault="00440BCE" w:rsidP="00486585">
      <w:r>
        <w:t>Each.</w:t>
      </w:r>
    </w:p>
    <w:p w14:paraId="67330732" w14:textId="77777777" w:rsidR="00440BCE" w:rsidRPr="007D230B" w:rsidRDefault="00440BCE" w:rsidP="00486585"/>
    <w:p w14:paraId="2F4904E6" w14:textId="77777777" w:rsidR="007D230B" w:rsidRPr="004B06E3" w:rsidRDefault="007D230B" w:rsidP="00FC1117">
      <w:pPr>
        <w:pStyle w:val="eTRMHeading3"/>
      </w:pPr>
      <w:bookmarkStart w:id="21" w:name="_Toc486490852"/>
      <w:bookmarkStart w:id="22" w:name="_Toc486580923"/>
      <w:bookmarkStart w:id="23" w:name="_Toc69149913"/>
      <w:bookmarkStart w:id="24" w:name="_Hlk515365299"/>
      <w:bookmarkStart w:id="25" w:name="_Hlk515878271"/>
      <w:r w:rsidRPr="004B06E3">
        <w:t>Program Requirements</w:t>
      </w:r>
      <w:bookmarkEnd w:id="21"/>
      <w:bookmarkEnd w:id="22"/>
      <w:bookmarkEnd w:id="23"/>
      <w:r w:rsidRPr="004B06E3">
        <w:t xml:space="preserve"> </w:t>
      </w:r>
    </w:p>
    <w:p w14:paraId="6C6F4061" w14:textId="758A7185" w:rsidR="009E57DF" w:rsidRPr="000229F1" w:rsidRDefault="000229F1" w:rsidP="00E50B9E">
      <w:pPr>
        <w:pStyle w:val="eTRMHeading5"/>
        <w:keepNext/>
        <w:keepLines/>
      </w:pPr>
      <w:bookmarkStart w:id="26" w:name="_Hlk516047641"/>
      <w:r>
        <w:t xml:space="preserve">Measure </w:t>
      </w:r>
      <w:r w:rsidR="003E50CF" w:rsidRPr="000229F1">
        <w:t>Implementation Eligibility</w:t>
      </w:r>
    </w:p>
    <w:bookmarkEnd w:id="24"/>
    <w:p w14:paraId="28792F85" w14:textId="19AD5E1E" w:rsidR="001B426F" w:rsidRPr="00E35B8D" w:rsidRDefault="008B4C81" w:rsidP="00E50B9E">
      <w:pPr>
        <w:keepNext/>
        <w:keepLines/>
      </w:pPr>
      <w:r>
        <w:t>The table below</w:t>
      </w:r>
      <w:r w:rsidR="001B426F" w:rsidRPr="00E35B8D">
        <w:t xml:space="preserve"> specifies all measure application type, delivery type, and sector combinations that are established for this measure.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w:t>
      </w:r>
      <w:r w:rsidR="00E35B8D" w:rsidRPr="00E35B8D">
        <w:t xml:space="preserve"> This table also designates</w:t>
      </w:r>
      <w:r w:rsidR="001B426F" w:rsidRPr="00E35B8D">
        <w:t xml:space="preserve"> the</w:t>
      </w:r>
      <w:r w:rsidR="00E35B8D" w:rsidRPr="00E35B8D">
        <w:t xml:space="preserve"> broad</w:t>
      </w:r>
      <w:r w:rsidR="001B426F" w:rsidRPr="00E35B8D">
        <w:t xml:space="preserve"> market sector(s) </w:t>
      </w:r>
      <w:r w:rsidR="00E35B8D" w:rsidRPr="00E35B8D">
        <w:t xml:space="preserve">that are applicable </w:t>
      </w:r>
      <w:r w:rsidR="001B426F" w:rsidRPr="00E35B8D">
        <w:t xml:space="preserve">for </w:t>
      </w:r>
      <w:r w:rsidR="00E35B8D" w:rsidRPr="00E35B8D">
        <w:t xml:space="preserve">this </w:t>
      </w:r>
      <w:r w:rsidR="001B426F" w:rsidRPr="00E35B8D">
        <w:t>measure.</w:t>
      </w:r>
    </w:p>
    <w:p w14:paraId="4C20D576" w14:textId="4AD2310F" w:rsidR="001B426F" w:rsidRDefault="001B426F" w:rsidP="00F21ADC">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530568" w:rsidRPr="00A47168" w14:paraId="54F21FF2" w14:textId="77777777" w:rsidTr="006E307D">
        <w:trPr>
          <w:trHeight w:val="290"/>
        </w:trPr>
        <w:tc>
          <w:tcPr>
            <w:tcW w:w="3024" w:type="dxa"/>
            <w:noWrap/>
            <w:tcMar>
              <w:top w:w="0" w:type="dxa"/>
              <w:left w:w="108" w:type="dxa"/>
              <w:bottom w:w="0" w:type="dxa"/>
              <w:right w:w="108" w:type="dxa"/>
            </w:tcMar>
            <w:vAlign w:val="bottom"/>
          </w:tcPr>
          <w:p w14:paraId="178C5C26" w14:textId="69EB8407" w:rsidR="00530568" w:rsidRPr="00A47168" w:rsidRDefault="00530568" w:rsidP="00530568">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7EB7E369" w14:textId="325748FF" w:rsidR="00530568" w:rsidRPr="00A47168" w:rsidRDefault="004A6BEA" w:rsidP="00530568">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6F9C2987" w14:textId="59981FE6" w:rsidR="00530568" w:rsidRPr="00530568" w:rsidRDefault="004A6BEA" w:rsidP="00D40C58">
            <w:pPr>
              <w:keepNext/>
              <w:spacing w:before="0" w:after="0"/>
              <w:rPr>
                <w:color w:val="000000"/>
                <w:sz w:val="20"/>
              </w:rPr>
            </w:pPr>
            <w:r w:rsidRPr="006E307D">
              <w:rPr>
                <w:color w:val="000000"/>
                <w:sz w:val="20"/>
              </w:rPr>
              <w:t>Com</w:t>
            </w:r>
          </w:p>
        </w:tc>
      </w:tr>
      <w:tr w:rsidR="00530568" w:rsidRPr="00A47168" w14:paraId="5D22EDDB" w14:textId="77777777" w:rsidTr="006E307D">
        <w:trPr>
          <w:trHeight w:val="290"/>
        </w:trPr>
        <w:tc>
          <w:tcPr>
            <w:tcW w:w="3024" w:type="dxa"/>
            <w:noWrap/>
            <w:tcMar>
              <w:top w:w="0" w:type="dxa"/>
              <w:left w:w="108" w:type="dxa"/>
              <w:bottom w:w="0" w:type="dxa"/>
              <w:right w:w="108" w:type="dxa"/>
            </w:tcMar>
            <w:vAlign w:val="bottom"/>
          </w:tcPr>
          <w:p w14:paraId="67C06326" w14:textId="02005A8C" w:rsidR="00530568" w:rsidRPr="00A47168" w:rsidRDefault="00530568" w:rsidP="00530568">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5AA899A5" w14:textId="3C0C9C69" w:rsidR="00530568" w:rsidRPr="00A47168" w:rsidRDefault="004A6BEA" w:rsidP="00530568">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111B3DEA" w14:textId="4AD94A86" w:rsidR="00530568" w:rsidRPr="00A47168" w:rsidRDefault="004A6BEA" w:rsidP="00530568">
            <w:pPr>
              <w:keepNext/>
              <w:spacing w:before="0" w:after="0"/>
              <w:rPr>
                <w:color w:val="000000"/>
                <w:sz w:val="20"/>
              </w:rPr>
            </w:pPr>
            <w:r w:rsidRPr="006E307D">
              <w:rPr>
                <w:color w:val="000000"/>
                <w:sz w:val="20"/>
              </w:rPr>
              <w:t>Ind</w:t>
            </w:r>
          </w:p>
        </w:tc>
      </w:tr>
      <w:tr w:rsidR="00530568" w:rsidRPr="00A47168" w14:paraId="660949C7" w14:textId="77777777" w:rsidTr="006E307D">
        <w:trPr>
          <w:trHeight w:val="290"/>
        </w:trPr>
        <w:tc>
          <w:tcPr>
            <w:tcW w:w="3024" w:type="dxa"/>
            <w:noWrap/>
            <w:tcMar>
              <w:top w:w="0" w:type="dxa"/>
              <w:left w:w="108" w:type="dxa"/>
              <w:bottom w:w="0" w:type="dxa"/>
              <w:right w:w="108" w:type="dxa"/>
            </w:tcMar>
            <w:vAlign w:val="bottom"/>
          </w:tcPr>
          <w:p w14:paraId="200BDF13" w14:textId="629E6893" w:rsidR="00530568" w:rsidRPr="00A47168" w:rsidRDefault="00530568" w:rsidP="00530568">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0279A0B1" w14:textId="0D0CE37B" w:rsidR="00530568" w:rsidRPr="00A47168" w:rsidRDefault="004A6BEA" w:rsidP="00530568">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0F16500A" w14:textId="427F8F45" w:rsidR="00530568" w:rsidRPr="00A47168" w:rsidRDefault="004A6BEA" w:rsidP="00530568">
            <w:pPr>
              <w:keepNext/>
              <w:spacing w:before="0" w:after="0"/>
              <w:rPr>
                <w:color w:val="000000"/>
                <w:sz w:val="20"/>
              </w:rPr>
            </w:pPr>
            <w:r w:rsidRPr="006E307D">
              <w:rPr>
                <w:color w:val="000000"/>
                <w:sz w:val="20"/>
              </w:rPr>
              <w:t>Ag</w:t>
            </w:r>
          </w:p>
        </w:tc>
      </w:tr>
      <w:tr w:rsidR="004A6BEA" w:rsidRPr="00A47168" w14:paraId="3762EC9B" w14:textId="77777777" w:rsidTr="001B340D">
        <w:trPr>
          <w:trHeight w:val="290"/>
        </w:trPr>
        <w:tc>
          <w:tcPr>
            <w:tcW w:w="3024" w:type="dxa"/>
            <w:noWrap/>
            <w:tcMar>
              <w:top w:w="0" w:type="dxa"/>
              <w:left w:w="108" w:type="dxa"/>
              <w:bottom w:w="0" w:type="dxa"/>
              <w:right w:w="108" w:type="dxa"/>
            </w:tcMar>
            <w:vAlign w:val="bottom"/>
          </w:tcPr>
          <w:p w14:paraId="6A29F01C" w14:textId="6C019D2C" w:rsidR="004A6BEA" w:rsidRDefault="004A6BEA" w:rsidP="004A6BEA">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vAlign w:val="bottom"/>
          </w:tcPr>
          <w:p w14:paraId="65ED59E8" w14:textId="32A81CA3" w:rsidR="004A6BEA" w:rsidRDefault="004A6BEA" w:rsidP="004A6BEA">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5D9EFD29" w14:textId="765F797F" w:rsidR="004A6BEA" w:rsidRPr="006E307D" w:rsidRDefault="004A6BEA" w:rsidP="004A6BEA">
            <w:pPr>
              <w:keepNext/>
              <w:spacing w:before="0" w:after="0"/>
              <w:rPr>
                <w:color w:val="000000"/>
                <w:sz w:val="20"/>
              </w:rPr>
            </w:pPr>
            <w:r w:rsidRPr="006E307D">
              <w:rPr>
                <w:color w:val="000000"/>
                <w:sz w:val="20"/>
              </w:rPr>
              <w:t>Com</w:t>
            </w:r>
          </w:p>
        </w:tc>
      </w:tr>
      <w:tr w:rsidR="004A6BEA" w:rsidRPr="00A47168" w14:paraId="47A6D22B" w14:textId="77777777" w:rsidTr="001B340D">
        <w:trPr>
          <w:trHeight w:val="290"/>
        </w:trPr>
        <w:tc>
          <w:tcPr>
            <w:tcW w:w="3024" w:type="dxa"/>
            <w:noWrap/>
            <w:tcMar>
              <w:top w:w="0" w:type="dxa"/>
              <w:left w:w="108" w:type="dxa"/>
              <w:bottom w:w="0" w:type="dxa"/>
              <w:right w:w="108" w:type="dxa"/>
            </w:tcMar>
            <w:vAlign w:val="bottom"/>
          </w:tcPr>
          <w:p w14:paraId="691BC08F" w14:textId="5D567CA9" w:rsidR="004A6BEA" w:rsidRDefault="004A6BEA" w:rsidP="004A6BEA">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vAlign w:val="bottom"/>
          </w:tcPr>
          <w:p w14:paraId="68B72E60" w14:textId="47C4E6A3" w:rsidR="004A6BEA" w:rsidRDefault="004A6BEA" w:rsidP="004A6BEA">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567AFF73" w14:textId="67D0CB76" w:rsidR="004A6BEA" w:rsidRPr="006E307D" w:rsidRDefault="004A6BEA" w:rsidP="004A6BEA">
            <w:pPr>
              <w:keepNext/>
              <w:spacing w:before="0" w:after="0"/>
              <w:rPr>
                <w:color w:val="000000"/>
                <w:sz w:val="20"/>
              </w:rPr>
            </w:pPr>
            <w:r w:rsidRPr="006E307D">
              <w:rPr>
                <w:color w:val="000000"/>
                <w:sz w:val="20"/>
              </w:rPr>
              <w:t>Ind</w:t>
            </w:r>
          </w:p>
        </w:tc>
      </w:tr>
      <w:tr w:rsidR="004A6BEA" w:rsidRPr="00A47168" w14:paraId="3AB77A85" w14:textId="77777777" w:rsidTr="001B340D">
        <w:trPr>
          <w:trHeight w:val="290"/>
        </w:trPr>
        <w:tc>
          <w:tcPr>
            <w:tcW w:w="3024" w:type="dxa"/>
            <w:noWrap/>
            <w:tcMar>
              <w:top w:w="0" w:type="dxa"/>
              <w:left w:w="108" w:type="dxa"/>
              <w:bottom w:w="0" w:type="dxa"/>
              <w:right w:w="108" w:type="dxa"/>
            </w:tcMar>
            <w:vAlign w:val="bottom"/>
          </w:tcPr>
          <w:p w14:paraId="65D98AF8" w14:textId="59F954CC" w:rsidR="004A6BEA" w:rsidRDefault="004A6BEA" w:rsidP="004A6BEA">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vAlign w:val="bottom"/>
          </w:tcPr>
          <w:p w14:paraId="65B533A5" w14:textId="501A5C50" w:rsidR="004A6BEA" w:rsidRDefault="004A6BEA" w:rsidP="004A6BEA">
            <w:pPr>
              <w:keepNext/>
              <w:spacing w:before="0" w:after="0"/>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738B1BD4" w14:textId="1E5438DD" w:rsidR="004A6BEA" w:rsidRPr="006E307D" w:rsidRDefault="004A6BEA" w:rsidP="004A6BEA">
            <w:pPr>
              <w:keepNext/>
              <w:spacing w:before="0" w:after="0"/>
              <w:rPr>
                <w:color w:val="000000"/>
                <w:sz w:val="20"/>
              </w:rPr>
            </w:pPr>
            <w:r w:rsidRPr="006E307D">
              <w:rPr>
                <w:color w:val="000000"/>
                <w:sz w:val="20"/>
              </w:rPr>
              <w:t>Ag</w:t>
            </w:r>
          </w:p>
        </w:tc>
      </w:tr>
      <w:tr w:rsidR="0052380C" w:rsidRPr="00A47168" w14:paraId="63808583" w14:textId="77777777" w:rsidTr="001B340D">
        <w:trPr>
          <w:trHeight w:val="290"/>
        </w:trPr>
        <w:tc>
          <w:tcPr>
            <w:tcW w:w="3024" w:type="dxa"/>
            <w:noWrap/>
            <w:tcMar>
              <w:top w:w="0" w:type="dxa"/>
              <w:left w:w="108" w:type="dxa"/>
              <w:bottom w:w="0" w:type="dxa"/>
              <w:right w:w="108" w:type="dxa"/>
            </w:tcMar>
            <w:vAlign w:val="bottom"/>
          </w:tcPr>
          <w:p w14:paraId="7F14158E" w14:textId="385ABE8F" w:rsidR="0052380C" w:rsidRDefault="0052380C" w:rsidP="0052380C">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408BE737" w14:textId="4C2D412A" w:rsidR="0052380C" w:rsidRDefault="0052380C" w:rsidP="0052380C">
            <w:pPr>
              <w:keepNext/>
              <w:spacing w:before="0" w:after="0"/>
              <w:rPr>
                <w:color w:val="000000"/>
                <w:sz w:val="20"/>
              </w:rPr>
            </w:pPr>
            <w:r>
              <w:rPr>
                <w:color w:val="000000"/>
                <w:sz w:val="20"/>
              </w:rPr>
              <w:t>UpDeemed</w:t>
            </w:r>
          </w:p>
        </w:tc>
        <w:tc>
          <w:tcPr>
            <w:tcW w:w="3024" w:type="dxa"/>
            <w:noWrap/>
            <w:tcMar>
              <w:top w:w="0" w:type="dxa"/>
              <w:left w:w="108" w:type="dxa"/>
              <w:bottom w:w="0" w:type="dxa"/>
              <w:right w:w="108" w:type="dxa"/>
            </w:tcMar>
            <w:vAlign w:val="bottom"/>
          </w:tcPr>
          <w:p w14:paraId="523201EB" w14:textId="0D82C67D" w:rsidR="0052380C" w:rsidRPr="006E307D" w:rsidRDefault="0052380C" w:rsidP="0052380C">
            <w:pPr>
              <w:keepNext/>
              <w:spacing w:before="0" w:after="0"/>
              <w:rPr>
                <w:color w:val="000000"/>
                <w:sz w:val="20"/>
              </w:rPr>
            </w:pPr>
            <w:r w:rsidRPr="006E307D">
              <w:rPr>
                <w:color w:val="000000"/>
                <w:sz w:val="20"/>
              </w:rPr>
              <w:t>Com</w:t>
            </w:r>
          </w:p>
        </w:tc>
      </w:tr>
      <w:tr w:rsidR="0052380C" w:rsidRPr="00A47168" w14:paraId="07AB7A5A" w14:textId="77777777" w:rsidTr="006E307D">
        <w:trPr>
          <w:trHeight w:val="290"/>
        </w:trPr>
        <w:tc>
          <w:tcPr>
            <w:tcW w:w="3024" w:type="dxa"/>
            <w:noWrap/>
            <w:tcMar>
              <w:top w:w="0" w:type="dxa"/>
              <w:left w:w="108" w:type="dxa"/>
              <w:bottom w:w="0" w:type="dxa"/>
              <w:right w:w="108" w:type="dxa"/>
            </w:tcMar>
            <w:vAlign w:val="bottom"/>
          </w:tcPr>
          <w:p w14:paraId="28E2B10F" w14:textId="6D055E62" w:rsidR="0052380C" w:rsidRDefault="0052380C" w:rsidP="0052380C">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tcPr>
          <w:p w14:paraId="1BAF5E80" w14:textId="1ED45C10" w:rsidR="0052380C" w:rsidRDefault="0052380C" w:rsidP="0052380C">
            <w:pPr>
              <w:keepNext/>
              <w:spacing w:before="0" w:after="0"/>
              <w:rPr>
                <w:color w:val="000000"/>
                <w:sz w:val="20"/>
              </w:rPr>
            </w:pPr>
            <w:r w:rsidRPr="009B2D9F">
              <w:rPr>
                <w:color w:val="000000"/>
                <w:sz w:val="20"/>
              </w:rPr>
              <w:t>UpDeemed</w:t>
            </w:r>
          </w:p>
        </w:tc>
        <w:tc>
          <w:tcPr>
            <w:tcW w:w="3024" w:type="dxa"/>
            <w:noWrap/>
            <w:tcMar>
              <w:top w:w="0" w:type="dxa"/>
              <w:left w:w="108" w:type="dxa"/>
              <w:bottom w:w="0" w:type="dxa"/>
              <w:right w:w="108" w:type="dxa"/>
            </w:tcMar>
            <w:vAlign w:val="bottom"/>
          </w:tcPr>
          <w:p w14:paraId="31C90401" w14:textId="3E7B5811" w:rsidR="0052380C" w:rsidRPr="006E307D" w:rsidRDefault="0052380C" w:rsidP="0052380C">
            <w:pPr>
              <w:keepNext/>
              <w:spacing w:before="0" w:after="0"/>
              <w:rPr>
                <w:color w:val="000000"/>
                <w:sz w:val="20"/>
              </w:rPr>
            </w:pPr>
            <w:r w:rsidRPr="006E307D">
              <w:rPr>
                <w:color w:val="000000"/>
                <w:sz w:val="20"/>
              </w:rPr>
              <w:t>Ind</w:t>
            </w:r>
          </w:p>
        </w:tc>
      </w:tr>
      <w:tr w:rsidR="0052380C" w:rsidRPr="00A47168" w14:paraId="081CF5F5" w14:textId="77777777" w:rsidTr="006E307D">
        <w:trPr>
          <w:trHeight w:val="290"/>
        </w:trPr>
        <w:tc>
          <w:tcPr>
            <w:tcW w:w="3024" w:type="dxa"/>
            <w:noWrap/>
            <w:tcMar>
              <w:top w:w="0" w:type="dxa"/>
              <w:left w:w="108" w:type="dxa"/>
              <w:bottom w:w="0" w:type="dxa"/>
              <w:right w:w="108" w:type="dxa"/>
            </w:tcMar>
            <w:vAlign w:val="bottom"/>
          </w:tcPr>
          <w:p w14:paraId="040BB924" w14:textId="1CEE67D6" w:rsidR="0052380C" w:rsidRDefault="0052380C" w:rsidP="0052380C">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tcPr>
          <w:p w14:paraId="50CA40D1" w14:textId="4DF2398E" w:rsidR="0052380C" w:rsidRDefault="0052380C" w:rsidP="0052380C">
            <w:pPr>
              <w:keepNext/>
              <w:spacing w:before="0" w:after="0"/>
              <w:rPr>
                <w:color w:val="000000"/>
                <w:sz w:val="20"/>
              </w:rPr>
            </w:pPr>
            <w:r w:rsidRPr="009B2D9F">
              <w:rPr>
                <w:color w:val="000000"/>
                <w:sz w:val="20"/>
              </w:rPr>
              <w:t>UpDeemed</w:t>
            </w:r>
          </w:p>
        </w:tc>
        <w:tc>
          <w:tcPr>
            <w:tcW w:w="3024" w:type="dxa"/>
            <w:noWrap/>
            <w:tcMar>
              <w:top w:w="0" w:type="dxa"/>
              <w:left w:w="108" w:type="dxa"/>
              <w:bottom w:w="0" w:type="dxa"/>
              <w:right w:w="108" w:type="dxa"/>
            </w:tcMar>
            <w:vAlign w:val="bottom"/>
          </w:tcPr>
          <w:p w14:paraId="7A25683D" w14:textId="32DBF9FD" w:rsidR="0052380C" w:rsidRPr="006E307D" w:rsidRDefault="0052380C" w:rsidP="0052380C">
            <w:pPr>
              <w:keepNext/>
              <w:spacing w:before="0" w:after="0"/>
              <w:rPr>
                <w:color w:val="000000"/>
                <w:sz w:val="20"/>
              </w:rPr>
            </w:pPr>
            <w:r w:rsidRPr="006E307D">
              <w:rPr>
                <w:color w:val="000000"/>
                <w:sz w:val="20"/>
              </w:rPr>
              <w:t>Ag</w:t>
            </w:r>
          </w:p>
        </w:tc>
      </w:tr>
      <w:tr w:rsidR="0052380C" w:rsidRPr="00A47168" w14:paraId="29A06851" w14:textId="77777777" w:rsidTr="006E307D">
        <w:trPr>
          <w:trHeight w:val="290"/>
        </w:trPr>
        <w:tc>
          <w:tcPr>
            <w:tcW w:w="3024" w:type="dxa"/>
            <w:noWrap/>
            <w:tcMar>
              <w:top w:w="0" w:type="dxa"/>
              <w:left w:w="108" w:type="dxa"/>
              <w:bottom w:w="0" w:type="dxa"/>
              <w:right w:w="108" w:type="dxa"/>
            </w:tcMar>
            <w:vAlign w:val="bottom"/>
          </w:tcPr>
          <w:p w14:paraId="42C9B257" w14:textId="3C1238AD" w:rsidR="0052380C" w:rsidRDefault="0052380C" w:rsidP="0052380C">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4ECB85F3" w14:textId="159BA60C" w:rsidR="0052380C" w:rsidRDefault="0052380C" w:rsidP="0052380C">
            <w:pPr>
              <w:keepNext/>
              <w:spacing w:before="0" w:after="0"/>
              <w:rPr>
                <w:color w:val="000000"/>
                <w:sz w:val="20"/>
              </w:rPr>
            </w:pPr>
            <w:r w:rsidRPr="009B2D9F">
              <w:rPr>
                <w:color w:val="000000"/>
                <w:sz w:val="20"/>
              </w:rPr>
              <w:t>UpDeemed</w:t>
            </w:r>
          </w:p>
        </w:tc>
        <w:tc>
          <w:tcPr>
            <w:tcW w:w="3024" w:type="dxa"/>
            <w:noWrap/>
            <w:tcMar>
              <w:top w:w="0" w:type="dxa"/>
              <w:left w:w="108" w:type="dxa"/>
              <w:bottom w:w="0" w:type="dxa"/>
              <w:right w:w="108" w:type="dxa"/>
            </w:tcMar>
            <w:vAlign w:val="bottom"/>
          </w:tcPr>
          <w:p w14:paraId="70DEAD04" w14:textId="1EBBADEC" w:rsidR="0052380C" w:rsidRPr="006E307D" w:rsidRDefault="0052380C" w:rsidP="0052380C">
            <w:pPr>
              <w:keepNext/>
              <w:spacing w:before="0" w:after="0"/>
              <w:rPr>
                <w:color w:val="000000"/>
                <w:sz w:val="20"/>
              </w:rPr>
            </w:pPr>
            <w:r w:rsidRPr="006E307D">
              <w:rPr>
                <w:color w:val="000000"/>
                <w:sz w:val="20"/>
              </w:rPr>
              <w:t>Com</w:t>
            </w:r>
          </w:p>
        </w:tc>
      </w:tr>
      <w:tr w:rsidR="0052380C" w:rsidRPr="00A47168" w14:paraId="261581B6" w14:textId="77777777" w:rsidTr="006E307D">
        <w:trPr>
          <w:trHeight w:val="290"/>
        </w:trPr>
        <w:tc>
          <w:tcPr>
            <w:tcW w:w="3024" w:type="dxa"/>
            <w:noWrap/>
            <w:tcMar>
              <w:top w:w="0" w:type="dxa"/>
              <w:left w:w="108" w:type="dxa"/>
              <w:bottom w:w="0" w:type="dxa"/>
              <w:right w:w="108" w:type="dxa"/>
            </w:tcMar>
            <w:vAlign w:val="bottom"/>
          </w:tcPr>
          <w:p w14:paraId="62E04BF9" w14:textId="210BF54D" w:rsidR="0052380C" w:rsidRDefault="0052380C" w:rsidP="0052380C">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51CF79A1" w14:textId="54B1B283" w:rsidR="0052380C" w:rsidRDefault="0052380C" w:rsidP="0052380C">
            <w:pPr>
              <w:keepNext/>
              <w:spacing w:before="0" w:after="0"/>
              <w:rPr>
                <w:color w:val="000000"/>
                <w:sz w:val="20"/>
              </w:rPr>
            </w:pPr>
            <w:r w:rsidRPr="009B2D9F">
              <w:rPr>
                <w:color w:val="000000"/>
                <w:sz w:val="20"/>
              </w:rPr>
              <w:t>UpDeemed</w:t>
            </w:r>
          </w:p>
        </w:tc>
        <w:tc>
          <w:tcPr>
            <w:tcW w:w="3024" w:type="dxa"/>
            <w:noWrap/>
            <w:tcMar>
              <w:top w:w="0" w:type="dxa"/>
              <w:left w:w="108" w:type="dxa"/>
              <w:bottom w:w="0" w:type="dxa"/>
              <w:right w:w="108" w:type="dxa"/>
            </w:tcMar>
            <w:vAlign w:val="bottom"/>
          </w:tcPr>
          <w:p w14:paraId="1F79FE17" w14:textId="21188718" w:rsidR="0052380C" w:rsidRPr="006E307D" w:rsidRDefault="0052380C" w:rsidP="0052380C">
            <w:pPr>
              <w:keepNext/>
              <w:spacing w:before="0" w:after="0"/>
              <w:rPr>
                <w:color w:val="000000"/>
                <w:sz w:val="20"/>
              </w:rPr>
            </w:pPr>
            <w:r w:rsidRPr="006E307D">
              <w:rPr>
                <w:color w:val="000000"/>
                <w:sz w:val="20"/>
              </w:rPr>
              <w:t>Ind</w:t>
            </w:r>
          </w:p>
        </w:tc>
      </w:tr>
      <w:tr w:rsidR="0052380C" w:rsidRPr="00A47168" w14:paraId="140CBCCF" w14:textId="77777777" w:rsidTr="006E307D">
        <w:trPr>
          <w:trHeight w:val="290"/>
        </w:trPr>
        <w:tc>
          <w:tcPr>
            <w:tcW w:w="3024" w:type="dxa"/>
            <w:noWrap/>
            <w:tcMar>
              <w:top w:w="0" w:type="dxa"/>
              <w:left w:w="108" w:type="dxa"/>
              <w:bottom w:w="0" w:type="dxa"/>
              <w:right w:w="108" w:type="dxa"/>
            </w:tcMar>
            <w:vAlign w:val="bottom"/>
          </w:tcPr>
          <w:p w14:paraId="3F36CA93" w14:textId="45035CAA" w:rsidR="0052380C" w:rsidRDefault="0052380C" w:rsidP="0052380C">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34064471" w14:textId="4728F27A" w:rsidR="0052380C" w:rsidRDefault="0052380C" w:rsidP="0052380C">
            <w:pPr>
              <w:keepNext/>
              <w:spacing w:before="0" w:after="0"/>
              <w:rPr>
                <w:color w:val="000000"/>
                <w:sz w:val="20"/>
              </w:rPr>
            </w:pPr>
            <w:r w:rsidRPr="009B2D9F">
              <w:rPr>
                <w:color w:val="000000"/>
                <w:sz w:val="20"/>
              </w:rPr>
              <w:t>UpDeemed</w:t>
            </w:r>
          </w:p>
        </w:tc>
        <w:tc>
          <w:tcPr>
            <w:tcW w:w="3024" w:type="dxa"/>
            <w:noWrap/>
            <w:tcMar>
              <w:top w:w="0" w:type="dxa"/>
              <w:left w:w="108" w:type="dxa"/>
              <w:bottom w:w="0" w:type="dxa"/>
              <w:right w:w="108" w:type="dxa"/>
            </w:tcMar>
            <w:vAlign w:val="bottom"/>
          </w:tcPr>
          <w:p w14:paraId="6F7C7120" w14:textId="77361F26" w:rsidR="0052380C" w:rsidRPr="006E307D" w:rsidRDefault="0052380C" w:rsidP="0052380C">
            <w:pPr>
              <w:keepNext/>
              <w:spacing w:before="0" w:after="0"/>
              <w:rPr>
                <w:color w:val="000000"/>
                <w:sz w:val="20"/>
              </w:rPr>
            </w:pPr>
            <w:r w:rsidRPr="006E307D">
              <w:rPr>
                <w:color w:val="000000"/>
                <w:sz w:val="20"/>
              </w:rPr>
              <w:t>Ag</w:t>
            </w:r>
          </w:p>
        </w:tc>
      </w:tr>
    </w:tbl>
    <w:p w14:paraId="73035A5C" w14:textId="22F53AEC" w:rsidR="001B426F" w:rsidRDefault="001B426F" w:rsidP="001B426F"/>
    <w:bookmarkEnd w:id="25"/>
    <w:bookmarkEnd w:id="26"/>
    <w:p w14:paraId="50711562" w14:textId="5D0894B2" w:rsidR="00AA46AF" w:rsidRDefault="00196649" w:rsidP="00154391">
      <w:pPr>
        <w:pStyle w:val="eTRMHeading5"/>
      </w:pPr>
      <w:r>
        <w:t>Eligible Products</w:t>
      </w:r>
    </w:p>
    <w:p w14:paraId="43326553" w14:textId="20163AEC" w:rsidR="00A83226" w:rsidRPr="0039737F" w:rsidRDefault="00F505D3" w:rsidP="00C60806">
      <w:r>
        <w:t xml:space="preserve">For </w:t>
      </w:r>
      <w:r w:rsidR="00D40C58">
        <w:t>normal replacement</w:t>
      </w:r>
      <w:r>
        <w:t xml:space="preserve"> installation</w:t>
      </w:r>
      <w:r w:rsidR="001C0079">
        <w:t xml:space="preserve"> (NR)</w:t>
      </w:r>
      <w:r>
        <w:t xml:space="preserve">, </w:t>
      </w:r>
      <w:r w:rsidR="00665F4F">
        <w:t>t</w:t>
      </w:r>
      <w:r>
        <w:t>he e</w:t>
      </w:r>
      <w:r w:rsidR="00A83226" w:rsidRPr="0039737F">
        <w:t>xisting backup generator</w:t>
      </w:r>
      <w:r w:rsidR="00A83226">
        <w:t xml:space="preserve"> </w:t>
      </w:r>
      <w:r w:rsidR="00A83226" w:rsidRPr="0039737F">
        <w:t xml:space="preserve">is eligible if it is not currently fitted with </w:t>
      </w:r>
      <w:r w:rsidR="00A83226">
        <w:t xml:space="preserve">a </w:t>
      </w:r>
      <w:r>
        <w:t>c</w:t>
      </w:r>
      <w:r w:rsidR="00A83226" w:rsidRPr="0039737F">
        <w:t xml:space="preserve">irculating </w:t>
      </w:r>
      <w:r>
        <w:t>b</w:t>
      </w:r>
      <w:r w:rsidR="00A83226" w:rsidRPr="0039737F">
        <w:t xml:space="preserve">lock </w:t>
      </w:r>
      <w:r>
        <w:t>h</w:t>
      </w:r>
      <w:r w:rsidR="00A83226" w:rsidRPr="0039737F">
        <w:t>eater or device utilizing similar electro-mechanical system to heat</w:t>
      </w:r>
      <w:r w:rsidR="00A83226">
        <w:t xml:space="preserve"> and circulate</w:t>
      </w:r>
      <w:r w:rsidR="00A83226" w:rsidRPr="0039737F">
        <w:t xml:space="preserve"> generator block pre-warming fluid.</w:t>
      </w:r>
    </w:p>
    <w:p w14:paraId="7F65F225" w14:textId="3E70F174" w:rsidR="00A83226" w:rsidRPr="006B12BE" w:rsidRDefault="00F505D3" w:rsidP="00C60806">
      <w:r>
        <w:t>A n</w:t>
      </w:r>
      <w:r w:rsidR="00A83226" w:rsidRPr="0039737F">
        <w:t>ew generator installation</w:t>
      </w:r>
      <w:r w:rsidR="00A83226">
        <w:t xml:space="preserve"> </w:t>
      </w:r>
      <w:r w:rsidR="001C0079">
        <w:t xml:space="preserve">(NC), </w:t>
      </w:r>
      <w:r>
        <w:t>for which the</w:t>
      </w:r>
      <w:r w:rsidR="00A83226" w:rsidRPr="0039737F">
        <w:t xml:space="preserve"> base design prescribes a pre-heating device</w:t>
      </w:r>
      <w:r w:rsidR="00A83226">
        <w:t xml:space="preserve"> (e.g., </w:t>
      </w:r>
      <w:r>
        <w:t>t</w:t>
      </w:r>
      <w:r w:rsidR="00A83226">
        <w:t>hermosiphon heater)</w:t>
      </w:r>
      <w:r>
        <w:t xml:space="preserve"> </w:t>
      </w:r>
      <w:r w:rsidR="00A83226" w:rsidRPr="0039737F">
        <w:t xml:space="preserve">other than </w:t>
      </w:r>
      <w:r>
        <w:t>a c</w:t>
      </w:r>
      <w:r w:rsidR="00A83226" w:rsidRPr="0039737F">
        <w:t xml:space="preserve">irculating </w:t>
      </w:r>
      <w:r>
        <w:t>b</w:t>
      </w:r>
      <w:r w:rsidR="00A83226" w:rsidRPr="0039737F">
        <w:t xml:space="preserve">lock </w:t>
      </w:r>
      <w:r>
        <w:t>h</w:t>
      </w:r>
      <w:r w:rsidR="00A83226" w:rsidRPr="0039737F">
        <w:t xml:space="preserve">eater or similar device </w:t>
      </w:r>
      <w:r>
        <w:t>is eligible</w:t>
      </w:r>
      <w:r w:rsidR="00A83226" w:rsidRPr="0039737F">
        <w:t xml:space="preserve"> to upgrade from base design to efficient design including a </w:t>
      </w:r>
      <w:r>
        <w:t>circulating block heater</w:t>
      </w:r>
      <w:r w:rsidR="00A83226" w:rsidRPr="0039737F">
        <w:t>.</w:t>
      </w:r>
    </w:p>
    <w:p w14:paraId="64DB1145" w14:textId="0FDF31E6" w:rsidR="00A83226" w:rsidRDefault="001C0079" w:rsidP="002942B0">
      <w:r>
        <w:t xml:space="preserve">In addition, </w:t>
      </w:r>
      <w:r w:rsidR="00C60806">
        <w:t>eligibility requirements regarding the installation include:</w:t>
      </w:r>
    </w:p>
    <w:p w14:paraId="362AF162" w14:textId="3F7DAD43" w:rsidR="001F5589" w:rsidRPr="00A7677C" w:rsidRDefault="001F5589" w:rsidP="00C60806">
      <w:pPr>
        <w:pStyle w:val="eTRMBulletedText"/>
      </w:pPr>
      <w:r w:rsidRPr="00A7677C">
        <w:t xml:space="preserve">Installation of </w:t>
      </w:r>
      <w:r w:rsidR="00F21ADC">
        <w:t>a c</w:t>
      </w:r>
      <w:r w:rsidRPr="00A7677C">
        <w:t xml:space="preserve">irculating </w:t>
      </w:r>
      <w:r w:rsidR="00F21ADC">
        <w:t>b</w:t>
      </w:r>
      <w:r w:rsidRPr="00A7677C">
        <w:t xml:space="preserve">lock </w:t>
      </w:r>
      <w:r w:rsidR="00F21ADC">
        <w:t>h</w:t>
      </w:r>
      <w:r w:rsidRPr="00A7677C">
        <w:t>eater should be performed by a qualified technician (i.e. generator maintenance technician or mechanical service technician).</w:t>
      </w:r>
      <w:r>
        <w:t xml:space="preserve"> </w:t>
      </w:r>
    </w:p>
    <w:p w14:paraId="287B147F" w14:textId="401879D5" w:rsidR="001F5589" w:rsidRDefault="001F5589" w:rsidP="00C60806">
      <w:pPr>
        <w:pStyle w:val="eTRMBulletedText"/>
      </w:pPr>
      <w:r w:rsidRPr="00A7677C">
        <w:lastRenderedPageBreak/>
        <w:t>Installer should</w:t>
      </w:r>
      <w:r>
        <w:t xml:space="preserve"> follow </w:t>
      </w:r>
      <w:r w:rsidR="00F21ADC">
        <w:t xml:space="preserve">the </w:t>
      </w:r>
      <w:r>
        <w:t>manufacturer installation requirements and</w:t>
      </w:r>
      <w:r w:rsidRPr="00A7677C">
        <w:t xml:space="preserve"> assess and perform (if necessary) fluid hose adjustments that may be associated with the retrofit to enable the </w:t>
      </w:r>
      <w:r w:rsidR="00F21ADC">
        <w:t>c</w:t>
      </w:r>
      <w:r w:rsidRPr="00A7677C">
        <w:t xml:space="preserve">irculating </w:t>
      </w:r>
      <w:r w:rsidR="00F21ADC">
        <w:t>b</w:t>
      </w:r>
      <w:r w:rsidRPr="00A7677C">
        <w:t xml:space="preserve">lock </w:t>
      </w:r>
      <w:r w:rsidR="00F21ADC">
        <w:t>h</w:t>
      </w:r>
      <w:r w:rsidRPr="00A7677C">
        <w:t>eater to function at optimal energy efficiency</w:t>
      </w:r>
      <w:r>
        <w:t>.</w:t>
      </w:r>
    </w:p>
    <w:p w14:paraId="14CE0217" w14:textId="77777777" w:rsidR="001F5589" w:rsidRPr="00B70BB6" w:rsidRDefault="001F5589" w:rsidP="00C60806">
      <w:pPr>
        <w:pStyle w:val="eTRMBulletedText"/>
      </w:pPr>
      <w:r>
        <w:t xml:space="preserve">Installation shall meet all applicable regulations including but not limited to latest NFPA Code 110 for Emergency Power Systems and NEC. </w:t>
      </w:r>
    </w:p>
    <w:p w14:paraId="281F18E4" w14:textId="77777777" w:rsidR="00F505D3" w:rsidRPr="00F505D3" w:rsidRDefault="00F505D3" w:rsidP="00F505D3">
      <w:pPr>
        <w:pStyle w:val="Reminders"/>
        <w:rPr>
          <w:b/>
        </w:rPr>
      </w:pPr>
    </w:p>
    <w:p w14:paraId="7CE938DA" w14:textId="2434378C" w:rsidR="007B6A74" w:rsidRPr="00401C43" w:rsidRDefault="007B6A74" w:rsidP="00401C43">
      <w:pPr>
        <w:pStyle w:val="eTRMHeading5"/>
      </w:pPr>
      <w:r w:rsidRPr="00401C43">
        <w:t>Eligible Building Types</w:t>
      </w:r>
      <w:r w:rsidR="00E57AAD">
        <w:t xml:space="preserve"> and Vintages</w:t>
      </w:r>
    </w:p>
    <w:p w14:paraId="7AA25502" w14:textId="4A3922D8" w:rsidR="00571D95" w:rsidRDefault="006C6D18" w:rsidP="00571D95">
      <w:r>
        <w:t xml:space="preserve">This measure is applicable to the following </w:t>
      </w:r>
      <w:r w:rsidR="00B65900">
        <w:t xml:space="preserve">non-residential </w:t>
      </w:r>
      <w:r>
        <w:t>building types, of any vintage: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05"/>
        <w:gridCol w:w="3505"/>
      </w:tblGrid>
      <w:tr w:rsidR="00F21ADC" w:rsidRPr="00944F18" w14:paraId="1E40298A" w14:textId="77777777" w:rsidTr="003B4591">
        <w:tc>
          <w:tcPr>
            <w:tcW w:w="3505" w:type="dxa"/>
          </w:tcPr>
          <w:p w14:paraId="39721845" w14:textId="77777777" w:rsidR="00F21ADC" w:rsidRPr="0038497F" w:rsidRDefault="00F21ADC" w:rsidP="003B4591">
            <w:pPr>
              <w:keepNext/>
              <w:keepLines/>
              <w:spacing w:before="0" w:after="0" w:line="240" w:lineRule="auto"/>
              <w:rPr>
                <w:rFonts w:cstheme="minorHAnsi"/>
                <w:sz w:val="20"/>
              </w:rPr>
            </w:pPr>
            <w:r w:rsidRPr="0038497F">
              <w:rPr>
                <w:sz w:val="20"/>
              </w:rPr>
              <w:t>Assembly</w:t>
            </w:r>
          </w:p>
        </w:tc>
        <w:tc>
          <w:tcPr>
            <w:tcW w:w="3505" w:type="dxa"/>
          </w:tcPr>
          <w:p w14:paraId="6919CFA7" w14:textId="77777777" w:rsidR="00F21ADC" w:rsidRPr="0038497F" w:rsidRDefault="00F21ADC" w:rsidP="003B4591">
            <w:pPr>
              <w:keepNext/>
              <w:keepLines/>
              <w:spacing w:before="0" w:after="0" w:line="240" w:lineRule="auto"/>
              <w:rPr>
                <w:sz w:val="20"/>
              </w:rPr>
            </w:pPr>
            <w:r w:rsidRPr="0038497F">
              <w:rPr>
                <w:sz w:val="20"/>
              </w:rPr>
              <w:t>Manufacturing - Bio/Tech</w:t>
            </w:r>
          </w:p>
        </w:tc>
      </w:tr>
      <w:tr w:rsidR="00F21ADC" w:rsidRPr="00944F18" w14:paraId="727548C0" w14:textId="77777777" w:rsidTr="003B4591">
        <w:tc>
          <w:tcPr>
            <w:tcW w:w="3505" w:type="dxa"/>
          </w:tcPr>
          <w:p w14:paraId="1E864DE1" w14:textId="77777777" w:rsidR="00F21ADC" w:rsidRPr="0038497F" w:rsidRDefault="00F21ADC" w:rsidP="003B4591">
            <w:pPr>
              <w:keepNext/>
              <w:keepLines/>
              <w:spacing w:before="0" w:after="0" w:line="240" w:lineRule="auto"/>
              <w:rPr>
                <w:rFonts w:cstheme="minorHAnsi"/>
                <w:sz w:val="20"/>
              </w:rPr>
            </w:pPr>
            <w:r w:rsidRPr="0038497F">
              <w:rPr>
                <w:sz w:val="20"/>
              </w:rPr>
              <w:t>Education - Community College</w:t>
            </w:r>
          </w:p>
        </w:tc>
        <w:tc>
          <w:tcPr>
            <w:tcW w:w="3505" w:type="dxa"/>
          </w:tcPr>
          <w:p w14:paraId="216673CD" w14:textId="77777777" w:rsidR="00F21ADC" w:rsidRPr="0038497F" w:rsidRDefault="00F21ADC" w:rsidP="003B4591">
            <w:pPr>
              <w:keepNext/>
              <w:keepLines/>
              <w:spacing w:before="0" w:after="0" w:line="240" w:lineRule="auto"/>
              <w:rPr>
                <w:sz w:val="20"/>
              </w:rPr>
            </w:pPr>
            <w:r w:rsidRPr="0038497F">
              <w:rPr>
                <w:sz w:val="20"/>
              </w:rPr>
              <w:t>Manufacturing - Light Industrial</w:t>
            </w:r>
          </w:p>
        </w:tc>
      </w:tr>
      <w:tr w:rsidR="00F21ADC" w:rsidRPr="00944F18" w14:paraId="44501D39" w14:textId="77777777" w:rsidTr="003B4591">
        <w:tc>
          <w:tcPr>
            <w:tcW w:w="3505" w:type="dxa"/>
          </w:tcPr>
          <w:p w14:paraId="1874E051" w14:textId="77777777" w:rsidR="00F21ADC" w:rsidRPr="0038497F" w:rsidRDefault="00F21ADC" w:rsidP="003B4591">
            <w:pPr>
              <w:spacing w:before="0" w:after="0" w:line="240" w:lineRule="auto"/>
              <w:rPr>
                <w:rFonts w:cstheme="minorHAnsi"/>
                <w:sz w:val="20"/>
              </w:rPr>
            </w:pPr>
            <w:r w:rsidRPr="0038497F">
              <w:rPr>
                <w:sz w:val="20"/>
              </w:rPr>
              <w:t>Education - Primary School</w:t>
            </w:r>
          </w:p>
        </w:tc>
        <w:tc>
          <w:tcPr>
            <w:tcW w:w="3505" w:type="dxa"/>
          </w:tcPr>
          <w:p w14:paraId="56CE52EC" w14:textId="77777777" w:rsidR="00F21ADC" w:rsidRPr="0038497F" w:rsidRDefault="00F21ADC" w:rsidP="003B4591">
            <w:pPr>
              <w:spacing w:before="0" w:after="0" w:line="240" w:lineRule="auto"/>
              <w:rPr>
                <w:sz w:val="20"/>
              </w:rPr>
            </w:pPr>
            <w:r w:rsidRPr="0038497F">
              <w:rPr>
                <w:sz w:val="20"/>
              </w:rPr>
              <w:t>Office - Large</w:t>
            </w:r>
          </w:p>
        </w:tc>
      </w:tr>
      <w:tr w:rsidR="00F21ADC" w:rsidRPr="00944F18" w14:paraId="1E20B64B" w14:textId="77777777" w:rsidTr="003B4591">
        <w:tc>
          <w:tcPr>
            <w:tcW w:w="3505" w:type="dxa"/>
          </w:tcPr>
          <w:p w14:paraId="507DE65A" w14:textId="77777777" w:rsidR="00F21ADC" w:rsidRPr="0038497F" w:rsidRDefault="00F21ADC" w:rsidP="003B4591">
            <w:pPr>
              <w:spacing w:before="0" w:after="0" w:line="240" w:lineRule="auto"/>
              <w:rPr>
                <w:rFonts w:cstheme="minorHAnsi"/>
                <w:sz w:val="20"/>
              </w:rPr>
            </w:pPr>
            <w:r w:rsidRPr="0038497F">
              <w:rPr>
                <w:sz w:val="20"/>
              </w:rPr>
              <w:t>Education - Relocatable Classroom</w:t>
            </w:r>
          </w:p>
        </w:tc>
        <w:tc>
          <w:tcPr>
            <w:tcW w:w="3505" w:type="dxa"/>
          </w:tcPr>
          <w:p w14:paraId="08FAF1F3" w14:textId="77777777" w:rsidR="00F21ADC" w:rsidRPr="0038497F" w:rsidRDefault="00F21ADC" w:rsidP="003B4591">
            <w:pPr>
              <w:spacing w:before="0" w:after="0" w:line="240" w:lineRule="auto"/>
              <w:rPr>
                <w:sz w:val="20"/>
              </w:rPr>
            </w:pPr>
            <w:r w:rsidRPr="0038497F">
              <w:rPr>
                <w:sz w:val="20"/>
              </w:rPr>
              <w:t>Office - Small</w:t>
            </w:r>
          </w:p>
        </w:tc>
      </w:tr>
      <w:tr w:rsidR="00F21ADC" w:rsidRPr="00944F18" w14:paraId="37329899" w14:textId="77777777" w:rsidTr="003B4591">
        <w:tc>
          <w:tcPr>
            <w:tcW w:w="3505" w:type="dxa"/>
          </w:tcPr>
          <w:p w14:paraId="67FE2BDE" w14:textId="77777777" w:rsidR="00F21ADC" w:rsidRPr="0038497F" w:rsidRDefault="00F21ADC" w:rsidP="003B4591">
            <w:pPr>
              <w:spacing w:before="0" w:after="0" w:line="240" w:lineRule="auto"/>
              <w:rPr>
                <w:rFonts w:cstheme="minorHAnsi"/>
                <w:sz w:val="20"/>
              </w:rPr>
            </w:pPr>
            <w:r w:rsidRPr="0038497F">
              <w:rPr>
                <w:sz w:val="20"/>
              </w:rPr>
              <w:t>Education - Secondary School</w:t>
            </w:r>
          </w:p>
        </w:tc>
        <w:tc>
          <w:tcPr>
            <w:tcW w:w="3505" w:type="dxa"/>
          </w:tcPr>
          <w:p w14:paraId="1CE5CE93" w14:textId="77777777" w:rsidR="00F21ADC" w:rsidRPr="0038497F" w:rsidRDefault="00F21ADC" w:rsidP="003B4591">
            <w:pPr>
              <w:spacing w:before="0" w:after="0" w:line="240" w:lineRule="auto"/>
              <w:rPr>
                <w:sz w:val="20"/>
              </w:rPr>
            </w:pPr>
            <w:r w:rsidRPr="0038497F">
              <w:rPr>
                <w:sz w:val="20"/>
              </w:rPr>
              <w:t>Restaurant - Fast-Food</w:t>
            </w:r>
          </w:p>
        </w:tc>
      </w:tr>
      <w:tr w:rsidR="00F21ADC" w:rsidRPr="00944F18" w14:paraId="34811CE1" w14:textId="77777777" w:rsidTr="003B4591">
        <w:tc>
          <w:tcPr>
            <w:tcW w:w="3505" w:type="dxa"/>
          </w:tcPr>
          <w:p w14:paraId="2B14EC17" w14:textId="77777777" w:rsidR="00F21ADC" w:rsidRPr="0038497F" w:rsidRDefault="00F21ADC" w:rsidP="003B4591">
            <w:pPr>
              <w:spacing w:before="0" w:after="0" w:line="240" w:lineRule="auto"/>
              <w:rPr>
                <w:rFonts w:cstheme="minorHAnsi"/>
                <w:sz w:val="20"/>
              </w:rPr>
            </w:pPr>
            <w:r w:rsidRPr="0038497F">
              <w:rPr>
                <w:sz w:val="20"/>
              </w:rPr>
              <w:t>Education - University</w:t>
            </w:r>
          </w:p>
        </w:tc>
        <w:tc>
          <w:tcPr>
            <w:tcW w:w="3505" w:type="dxa"/>
          </w:tcPr>
          <w:p w14:paraId="5CB20545" w14:textId="77777777" w:rsidR="00F21ADC" w:rsidRPr="0038497F" w:rsidRDefault="00F21ADC" w:rsidP="003B4591">
            <w:pPr>
              <w:spacing w:before="0" w:after="0" w:line="240" w:lineRule="auto"/>
              <w:rPr>
                <w:sz w:val="20"/>
              </w:rPr>
            </w:pPr>
            <w:r w:rsidRPr="0038497F">
              <w:rPr>
                <w:sz w:val="20"/>
              </w:rPr>
              <w:t>Restaurant - Sit-Down</w:t>
            </w:r>
          </w:p>
        </w:tc>
      </w:tr>
      <w:tr w:rsidR="00F21ADC" w:rsidRPr="00944F18" w14:paraId="3BB84E21" w14:textId="77777777" w:rsidTr="003B4591">
        <w:tc>
          <w:tcPr>
            <w:tcW w:w="3505" w:type="dxa"/>
          </w:tcPr>
          <w:p w14:paraId="583DC465" w14:textId="77777777" w:rsidR="00F21ADC" w:rsidRPr="0038497F" w:rsidRDefault="00F21ADC" w:rsidP="003B4591">
            <w:pPr>
              <w:spacing w:before="0" w:after="0" w:line="240" w:lineRule="auto"/>
              <w:rPr>
                <w:rFonts w:cstheme="minorHAnsi"/>
                <w:sz w:val="20"/>
              </w:rPr>
            </w:pPr>
            <w:r w:rsidRPr="0038497F">
              <w:rPr>
                <w:sz w:val="20"/>
              </w:rPr>
              <w:t>Grocery</w:t>
            </w:r>
          </w:p>
        </w:tc>
        <w:tc>
          <w:tcPr>
            <w:tcW w:w="3505" w:type="dxa"/>
          </w:tcPr>
          <w:p w14:paraId="54A43CAB" w14:textId="77777777" w:rsidR="00F21ADC" w:rsidRPr="0038497F" w:rsidRDefault="00F21ADC" w:rsidP="003B4591">
            <w:pPr>
              <w:spacing w:before="0" w:after="0" w:line="240" w:lineRule="auto"/>
              <w:rPr>
                <w:sz w:val="20"/>
              </w:rPr>
            </w:pPr>
            <w:r w:rsidRPr="0038497F">
              <w:rPr>
                <w:sz w:val="20"/>
              </w:rPr>
              <w:t>Retail - Multistory Large</w:t>
            </w:r>
          </w:p>
        </w:tc>
      </w:tr>
      <w:tr w:rsidR="00F21ADC" w:rsidRPr="00944F18" w14:paraId="10AEEF82" w14:textId="77777777" w:rsidTr="003B4591">
        <w:tc>
          <w:tcPr>
            <w:tcW w:w="3505" w:type="dxa"/>
          </w:tcPr>
          <w:p w14:paraId="289A11F2" w14:textId="77777777" w:rsidR="00F21ADC" w:rsidRPr="0038497F" w:rsidRDefault="00F21ADC" w:rsidP="003B4591">
            <w:pPr>
              <w:spacing w:before="0" w:after="0" w:line="240" w:lineRule="auto"/>
              <w:rPr>
                <w:rFonts w:cstheme="minorHAnsi"/>
                <w:sz w:val="20"/>
              </w:rPr>
            </w:pPr>
            <w:r w:rsidRPr="0038497F">
              <w:rPr>
                <w:sz w:val="20"/>
              </w:rPr>
              <w:t>Health/Medical - Hospital</w:t>
            </w:r>
          </w:p>
        </w:tc>
        <w:tc>
          <w:tcPr>
            <w:tcW w:w="3505" w:type="dxa"/>
          </w:tcPr>
          <w:p w14:paraId="39AF2F1B" w14:textId="77777777" w:rsidR="00F21ADC" w:rsidRPr="0038497F" w:rsidRDefault="00F21ADC" w:rsidP="003B4591">
            <w:pPr>
              <w:spacing w:before="0" w:after="0" w:line="240" w:lineRule="auto"/>
              <w:rPr>
                <w:sz w:val="20"/>
              </w:rPr>
            </w:pPr>
            <w:r w:rsidRPr="0038497F">
              <w:rPr>
                <w:sz w:val="20"/>
              </w:rPr>
              <w:t>Retail - Single-Story Large</w:t>
            </w:r>
          </w:p>
        </w:tc>
      </w:tr>
      <w:tr w:rsidR="00F21ADC" w:rsidRPr="00944F18" w14:paraId="024D8E1C" w14:textId="77777777" w:rsidTr="003B4591">
        <w:tc>
          <w:tcPr>
            <w:tcW w:w="3505" w:type="dxa"/>
          </w:tcPr>
          <w:p w14:paraId="222719C2" w14:textId="77777777" w:rsidR="00F21ADC" w:rsidRPr="0038497F" w:rsidRDefault="00F21ADC" w:rsidP="003B4591">
            <w:pPr>
              <w:spacing w:before="0" w:after="0" w:line="240" w:lineRule="auto"/>
              <w:rPr>
                <w:rFonts w:cstheme="minorHAnsi"/>
                <w:sz w:val="20"/>
              </w:rPr>
            </w:pPr>
            <w:r w:rsidRPr="0038497F">
              <w:rPr>
                <w:sz w:val="20"/>
              </w:rPr>
              <w:t>Health/Medical - Nursing Home</w:t>
            </w:r>
          </w:p>
        </w:tc>
        <w:tc>
          <w:tcPr>
            <w:tcW w:w="3505" w:type="dxa"/>
          </w:tcPr>
          <w:p w14:paraId="5113DE8C" w14:textId="77777777" w:rsidR="00F21ADC" w:rsidRPr="0038497F" w:rsidRDefault="00F21ADC" w:rsidP="003B4591">
            <w:pPr>
              <w:spacing w:before="0" w:after="0" w:line="240" w:lineRule="auto"/>
              <w:rPr>
                <w:sz w:val="20"/>
              </w:rPr>
            </w:pPr>
            <w:r w:rsidRPr="0038497F">
              <w:rPr>
                <w:sz w:val="20"/>
              </w:rPr>
              <w:t>Retail - Small</w:t>
            </w:r>
          </w:p>
        </w:tc>
      </w:tr>
      <w:tr w:rsidR="00F21ADC" w:rsidRPr="00944F18" w14:paraId="454AB4B1" w14:textId="77777777" w:rsidTr="003B4591">
        <w:tc>
          <w:tcPr>
            <w:tcW w:w="3505" w:type="dxa"/>
          </w:tcPr>
          <w:p w14:paraId="74517533" w14:textId="77777777" w:rsidR="00F21ADC" w:rsidRPr="0038497F" w:rsidRDefault="00F21ADC" w:rsidP="003B4591">
            <w:pPr>
              <w:spacing w:before="0" w:after="0" w:line="240" w:lineRule="auto"/>
              <w:rPr>
                <w:rFonts w:cstheme="minorHAnsi"/>
                <w:sz w:val="20"/>
              </w:rPr>
            </w:pPr>
            <w:r w:rsidRPr="0038497F">
              <w:rPr>
                <w:sz w:val="20"/>
              </w:rPr>
              <w:t>Lodging - Guest Rooms</w:t>
            </w:r>
          </w:p>
        </w:tc>
        <w:tc>
          <w:tcPr>
            <w:tcW w:w="3505" w:type="dxa"/>
          </w:tcPr>
          <w:p w14:paraId="740A2C19" w14:textId="77777777" w:rsidR="00F21ADC" w:rsidRPr="0038497F" w:rsidRDefault="00F21ADC" w:rsidP="003B4591">
            <w:pPr>
              <w:spacing w:before="0" w:after="0" w:line="240" w:lineRule="auto"/>
              <w:rPr>
                <w:sz w:val="20"/>
              </w:rPr>
            </w:pPr>
            <w:r w:rsidRPr="0038497F">
              <w:rPr>
                <w:sz w:val="20"/>
              </w:rPr>
              <w:t>Storage - Conditioned</w:t>
            </w:r>
          </w:p>
        </w:tc>
      </w:tr>
      <w:tr w:rsidR="00F21ADC" w:rsidRPr="00944F18" w14:paraId="2829C413" w14:textId="77777777" w:rsidTr="003B4591">
        <w:tc>
          <w:tcPr>
            <w:tcW w:w="3505" w:type="dxa"/>
          </w:tcPr>
          <w:p w14:paraId="5E02BCA5" w14:textId="77777777" w:rsidR="00F21ADC" w:rsidRPr="0038497F" w:rsidRDefault="00F21ADC" w:rsidP="003B4591">
            <w:pPr>
              <w:spacing w:before="0" w:after="0" w:line="240" w:lineRule="auto"/>
              <w:rPr>
                <w:rFonts w:cstheme="minorHAnsi"/>
                <w:sz w:val="20"/>
              </w:rPr>
            </w:pPr>
            <w:r w:rsidRPr="0038497F">
              <w:rPr>
                <w:sz w:val="20"/>
              </w:rPr>
              <w:t>Lodging - Hotel</w:t>
            </w:r>
          </w:p>
        </w:tc>
        <w:tc>
          <w:tcPr>
            <w:tcW w:w="3505" w:type="dxa"/>
          </w:tcPr>
          <w:p w14:paraId="2A0BF7AF" w14:textId="77777777" w:rsidR="00F21ADC" w:rsidRPr="0038497F" w:rsidRDefault="00F21ADC" w:rsidP="003B4591">
            <w:pPr>
              <w:spacing w:before="0" w:after="0" w:line="240" w:lineRule="auto"/>
              <w:rPr>
                <w:sz w:val="20"/>
              </w:rPr>
            </w:pPr>
            <w:r w:rsidRPr="0038497F">
              <w:rPr>
                <w:sz w:val="20"/>
              </w:rPr>
              <w:t>Storage - Unconditioned</w:t>
            </w:r>
          </w:p>
        </w:tc>
      </w:tr>
      <w:tr w:rsidR="00F21ADC" w:rsidRPr="00944F18" w14:paraId="1A7BD7B1" w14:textId="77777777" w:rsidTr="003B4591">
        <w:tc>
          <w:tcPr>
            <w:tcW w:w="3505" w:type="dxa"/>
          </w:tcPr>
          <w:p w14:paraId="6553DC06" w14:textId="77777777" w:rsidR="00F21ADC" w:rsidRPr="0038497F" w:rsidRDefault="00F21ADC" w:rsidP="003B4591">
            <w:pPr>
              <w:spacing w:before="0" w:after="0" w:line="240" w:lineRule="auto"/>
              <w:rPr>
                <w:rFonts w:cstheme="minorHAnsi"/>
                <w:sz w:val="20"/>
              </w:rPr>
            </w:pPr>
            <w:r w:rsidRPr="0038497F">
              <w:rPr>
                <w:sz w:val="20"/>
              </w:rPr>
              <w:t>Lodging - Motel</w:t>
            </w:r>
          </w:p>
        </w:tc>
        <w:tc>
          <w:tcPr>
            <w:tcW w:w="3505" w:type="dxa"/>
          </w:tcPr>
          <w:p w14:paraId="5D2CCB30" w14:textId="77777777" w:rsidR="00F21ADC" w:rsidRPr="0038497F" w:rsidRDefault="00F21ADC" w:rsidP="003B4591">
            <w:pPr>
              <w:spacing w:before="0" w:after="0" w:line="240" w:lineRule="auto"/>
              <w:rPr>
                <w:sz w:val="20"/>
              </w:rPr>
            </w:pPr>
            <w:r w:rsidRPr="0038497F">
              <w:rPr>
                <w:sz w:val="20"/>
              </w:rPr>
              <w:t>Warehouse - Refrigerated</w:t>
            </w:r>
          </w:p>
        </w:tc>
      </w:tr>
    </w:tbl>
    <w:p w14:paraId="1C0E6051" w14:textId="77777777" w:rsidR="00F21ADC" w:rsidRPr="00571D95" w:rsidRDefault="00F21ADC" w:rsidP="00F21ADC"/>
    <w:p w14:paraId="1A3705F3" w14:textId="4BC0985D" w:rsidR="007B6A74" w:rsidRPr="004B06E3" w:rsidRDefault="00196649" w:rsidP="00154391">
      <w:pPr>
        <w:pStyle w:val="eTRMHeading5"/>
      </w:pPr>
      <w:r>
        <w:t>Eligible Climate Zones</w:t>
      </w:r>
    </w:p>
    <w:p w14:paraId="4A9FD22A" w14:textId="6F7B0467" w:rsidR="004B6780" w:rsidRDefault="004B6780" w:rsidP="004B6780">
      <w:r>
        <w:t xml:space="preserve">This measure is applicable to </w:t>
      </w:r>
      <w:r w:rsidR="00BE7DE8">
        <w:t>any</w:t>
      </w:r>
      <w:r>
        <w:t xml:space="preserve"> California climate zones.</w:t>
      </w:r>
    </w:p>
    <w:p w14:paraId="34FF761D" w14:textId="77777777" w:rsidR="006C41AD" w:rsidRPr="004B06E3" w:rsidRDefault="006C41AD" w:rsidP="004B06E3"/>
    <w:p w14:paraId="47630D60" w14:textId="77777777" w:rsidR="007D230B" w:rsidRPr="004B06E3" w:rsidRDefault="007D230B" w:rsidP="00FC1117">
      <w:pPr>
        <w:pStyle w:val="eTRMHeading3"/>
      </w:pPr>
      <w:bookmarkStart w:id="27" w:name="_Toc486490853"/>
      <w:bookmarkStart w:id="28" w:name="_Toc486580924"/>
      <w:bookmarkStart w:id="29" w:name="_Toc69149914"/>
      <w:r w:rsidRPr="004B06E3">
        <w:t>Program Exclusions</w:t>
      </w:r>
      <w:bookmarkEnd w:id="27"/>
      <w:bookmarkEnd w:id="28"/>
      <w:bookmarkEnd w:id="29"/>
      <w:r w:rsidRPr="004B06E3">
        <w:t xml:space="preserve"> </w:t>
      </w:r>
    </w:p>
    <w:p w14:paraId="0FAA0E21" w14:textId="0CFA8367" w:rsidR="0022137D" w:rsidRDefault="00F505D3" w:rsidP="00065E54">
      <w:r>
        <w:t>This measure is not eligible for residential buildings.</w:t>
      </w:r>
    </w:p>
    <w:p w14:paraId="40F52373" w14:textId="77777777" w:rsidR="002264DF" w:rsidRPr="004B06E3" w:rsidRDefault="002264DF" w:rsidP="004B06E3"/>
    <w:p w14:paraId="4891FCAB" w14:textId="77777777" w:rsidR="007D230B" w:rsidRPr="004B06E3" w:rsidRDefault="007D230B" w:rsidP="00FC1117">
      <w:pPr>
        <w:pStyle w:val="eTRMHeading3"/>
      </w:pPr>
      <w:bookmarkStart w:id="30" w:name="_Toc486490855"/>
      <w:bookmarkStart w:id="31" w:name="_Toc486580926"/>
      <w:bookmarkStart w:id="32" w:name="_Toc69149915"/>
      <w:r w:rsidRPr="004B06E3">
        <w:t>Use Category</w:t>
      </w:r>
      <w:bookmarkEnd w:id="30"/>
      <w:bookmarkEnd w:id="31"/>
      <w:bookmarkEnd w:id="32"/>
    </w:p>
    <w:p w14:paraId="4D0CC3E0" w14:textId="77777777" w:rsidR="00F21ADC" w:rsidRDefault="00F21ADC" w:rsidP="00F21ADC">
      <w:r>
        <w:t>Process</w:t>
      </w:r>
    </w:p>
    <w:p w14:paraId="69458728" w14:textId="77777777" w:rsidR="00132E1A" w:rsidRPr="004B06E3" w:rsidRDefault="00132E1A" w:rsidP="004B06E3"/>
    <w:p w14:paraId="4B62D367" w14:textId="425DDF68" w:rsidR="007D230B" w:rsidRPr="004B06E3" w:rsidRDefault="007D230B" w:rsidP="00FC1117">
      <w:pPr>
        <w:pStyle w:val="eTRMHeading3"/>
      </w:pPr>
      <w:bookmarkStart w:id="33" w:name="_Toc486490857"/>
      <w:bookmarkStart w:id="34" w:name="_Toc486580928"/>
      <w:bookmarkStart w:id="35" w:name="_Toc69149916"/>
      <w:r w:rsidRPr="004B06E3">
        <w:t>Electric Savings</w:t>
      </w:r>
      <w:r w:rsidR="00245AFF" w:rsidRPr="004B06E3">
        <w:t xml:space="preserve"> (</w:t>
      </w:r>
      <w:r w:rsidR="008F2E6B">
        <w:t>kWh</w:t>
      </w:r>
      <w:r w:rsidR="00245AFF" w:rsidRPr="004B06E3">
        <w:t>)</w:t>
      </w:r>
      <w:bookmarkEnd w:id="33"/>
      <w:bookmarkEnd w:id="34"/>
      <w:bookmarkEnd w:id="35"/>
    </w:p>
    <w:p w14:paraId="157792C4" w14:textId="23A68EB4" w:rsidR="00154798" w:rsidRDefault="00154798" w:rsidP="00154798">
      <w:r w:rsidRPr="00317DAB">
        <w:t xml:space="preserve">The </w:t>
      </w:r>
      <w:r>
        <w:t xml:space="preserve">unit energy </w:t>
      </w:r>
      <w:r w:rsidRPr="00317DAB">
        <w:t xml:space="preserve">savings </w:t>
      </w:r>
      <w:r>
        <w:t>(UES) is calculated as the difference between the unit energy consumption of a baseline preexisting thermosiphon heater and the measure case retrofitted circulating block heater. The baseline and measure case UEC estimates were derived from field monitoring data that was collected from numerous case studies developed through the Bonneville Power Authority (BPA) Emerging Technology program.</w:t>
      </w:r>
      <w:r w:rsidRPr="00317DAB">
        <w:t xml:space="preserve"> </w:t>
      </w:r>
      <w:r>
        <w:t xml:space="preserve">The data collected included average daily energy usage and outdoor air temperatures for both the preexisting thermosiphon heater and the retrofitted circulating block heater. The BPA data includes </w:t>
      </w:r>
      <w:r w:rsidRPr="00B92D82">
        <w:t>17 sources of data</w:t>
      </w:r>
      <w:r>
        <w:t xml:space="preserve"> </w:t>
      </w:r>
      <w:r w:rsidRPr="00B92D82">
        <w:t>from different sites</w:t>
      </w:r>
      <w:r>
        <w:t>,</w:t>
      </w:r>
      <w:r w:rsidRPr="00B92D82">
        <w:t xml:space="preserve"> including wastewater plants and data centers</w:t>
      </w:r>
      <w:r>
        <w:t xml:space="preserve">. </w:t>
      </w:r>
      <w:r w:rsidRPr="00B92D82">
        <w:t xml:space="preserve">The data was collected for different </w:t>
      </w:r>
      <w:r>
        <w:t>periods</w:t>
      </w:r>
      <w:r w:rsidRPr="00B92D82">
        <w:t xml:space="preserve"> of time for each site, but on average, there are </w:t>
      </w:r>
      <w:r>
        <w:t>two</w:t>
      </w:r>
      <w:r w:rsidRPr="00B92D82">
        <w:t xml:space="preserve"> months </w:t>
      </w:r>
      <w:r>
        <w:t xml:space="preserve">pre- </w:t>
      </w:r>
      <w:r w:rsidRPr="00B92D82">
        <w:t>and post</w:t>
      </w:r>
      <w:r>
        <w:t>-installation</w:t>
      </w:r>
      <w:r w:rsidRPr="00B92D82">
        <w:t xml:space="preserve"> for each site </w:t>
      </w:r>
      <w:r>
        <w:t>included</w:t>
      </w:r>
      <w:r w:rsidRPr="00B92D82">
        <w:t xml:space="preserve"> in the analysis.</w:t>
      </w:r>
    </w:p>
    <w:p w14:paraId="2746375B" w14:textId="77777777" w:rsidR="00154798" w:rsidRDefault="00154798" w:rsidP="00154798">
      <w:r>
        <w:lastRenderedPageBreak/>
        <w:t>The BPA field monitoring data was used to create multiple regression models for the different backup generator sizes specified for this measure.</w:t>
      </w:r>
      <w:r>
        <w:rPr>
          <w:rStyle w:val="FootnoteReference"/>
        </w:rPr>
        <w:footnoteReference w:id="3"/>
      </w:r>
      <w:r>
        <w:t xml:space="preserve"> </w:t>
      </w:r>
      <w:bookmarkStart w:id="36" w:name="_Hlk2701441"/>
      <w:r w:rsidRPr="00620489">
        <w:rPr>
          <w:i/>
        </w:rPr>
        <w:t>The raw data used for the regression analysis is available upon request.</w:t>
      </w:r>
      <w:bookmarkEnd w:id="36"/>
    </w:p>
    <w:p w14:paraId="4BC662D8" w14:textId="77777777" w:rsidR="00154798" w:rsidRDefault="00154798" w:rsidP="00154798">
      <w:r>
        <w:t>Studies conducted through the California Emerging Technologies Program that pertain to this measure are summarized below.</w:t>
      </w:r>
    </w:p>
    <w:p w14:paraId="14CAC892" w14:textId="1B8B8DD5" w:rsidR="00154798" w:rsidRPr="00460CD8" w:rsidRDefault="00154798" w:rsidP="00154798">
      <w:pPr>
        <w:pStyle w:val="eTRMBulletedText"/>
      </w:pPr>
      <w:bookmarkStart w:id="37" w:name="_Hlk2774905"/>
      <w:r w:rsidRPr="00715D9C">
        <w:rPr>
          <w:i/>
        </w:rPr>
        <w:t>Air Source Heat Pump for Preheating of Emergency Diesel Backup Generators</w:t>
      </w:r>
      <w:r>
        <w:t xml:space="preserve"> (2009)</w:t>
      </w:r>
      <w:r>
        <w:rPr>
          <w:rStyle w:val="FootnoteReference"/>
        </w:rPr>
        <w:footnoteReference w:id="4"/>
      </w:r>
      <w:r w:rsidRPr="00F5079B">
        <w:t xml:space="preserve"> investigated usage of air source heat pumps for this measure but found that the use of air source heat pumps </w:t>
      </w:r>
      <w:r w:rsidRPr="00460CD8">
        <w:t xml:space="preserve">was not cost effective. This study indicates that measure offerings were facilitated through the </w:t>
      </w:r>
      <w:r w:rsidR="00A04E4E">
        <w:t>Southern California Edison (</w:t>
      </w:r>
      <w:r w:rsidRPr="00460CD8">
        <w:t>SCE</w:t>
      </w:r>
      <w:r w:rsidR="00A04E4E">
        <w:t>)</w:t>
      </w:r>
      <w:r w:rsidRPr="00460CD8">
        <w:t xml:space="preserve"> Emerging Technologies program. </w:t>
      </w:r>
    </w:p>
    <w:bookmarkEnd w:id="37"/>
    <w:p w14:paraId="427D432F" w14:textId="77777777" w:rsidR="00154798" w:rsidRPr="002144FB" w:rsidRDefault="00154798" w:rsidP="00154798">
      <w:pPr>
        <w:pStyle w:val="eTRMBulletedText"/>
      </w:pPr>
      <w:r w:rsidRPr="00437CE2">
        <w:t>The results of</w:t>
      </w:r>
      <w:r>
        <w:t xml:space="preserve"> the</w:t>
      </w:r>
      <w:r w:rsidRPr="00437CE2">
        <w:t xml:space="preserve"> </w:t>
      </w:r>
      <w:r w:rsidRPr="00715D9C">
        <w:rPr>
          <w:i/>
        </w:rPr>
        <w:t>Forced Circulation Engine Generator Block Heater Energy Performance Assessment</w:t>
      </w:r>
      <w:r>
        <w:t xml:space="preserve"> (2014)</w:t>
      </w:r>
      <w:r w:rsidRPr="00437CE2">
        <w:rPr>
          <w:rStyle w:val="FootnoteReference"/>
        </w:rPr>
        <w:footnoteReference w:id="5"/>
      </w:r>
      <w:r w:rsidRPr="00437CE2">
        <w:t xml:space="preserve"> found there are no savings with forced circulation retrofits for ambient temperatures greater than 68 </w:t>
      </w:r>
      <w:r w:rsidRPr="00437CE2">
        <w:rPr>
          <w:vertAlign w:val="superscript"/>
        </w:rPr>
        <w:t>o</w:t>
      </w:r>
      <w:r w:rsidRPr="00437CE2">
        <w:t>F. The current calculation methodology does not take this into account</w:t>
      </w:r>
      <w:r>
        <w:t>;</w:t>
      </w:r>
      <w:r w:rsidRPr="00437CE2">
        <w:t xml:space="preserve"> </w:t>
      </w:r>
      <w:r>
        <w:t>m</w:t>
      </w:r>
      <w:r w:rsidRPr="00437CE2">
        <w:t xml:space="preserve">ost of the test data is below 68 </w:t>
      </w:r>
      <w:r w:rsidRPr="00437CE2">
        <w:rPr>
          <w:vertAlign w:val="superscript"/>
        </w:rPr>
        <w:t>o</w:t>
      </w:r>
      <w:r w:rsidRPr="00437CE2">
        <w:t>F.</w:t>
      </w:r>
    </w:p>
    <w:p w14:paraId="3BE96BA2" w14:textId="28770550" w:rsidR="00A0568D" w:rsidRPr="006E307D" w:rsidRDefault="009665D9" w:rsidP="00A0568D">
      <w:proofErr w:type="spellStart"/>
      <w:r w:rsidRPr="006E307D">
        <w:t>HotStart</w:t>
      </w:r>
      <w:proofErr w:type="spellEnd"/>
      <w:r>
        <w:t xml:space="preserve"> ® is a major equipment manufacturer of engine heaters that supplies components to generator companies like Quinn, CAT, and Cummins. </w:t>
      </w:r>
      <w:bookmarkStart w:id="38" w:name="_Hlk4136395"/>
      <w:r w:rsidR="00154798">
        <w:t>N</w:t>
      </w:r>
      <w:r w:rsidR="00154798" w:rsidRPr="006E307D">
        <w:t xml:space="preserve">o </w:t>
      </w:r>
      <w:r w:rsidR="00A0568D" w:rsidRPr="006E307D">
        <w:t xml:space="preserve">new studies with latest version of </w:t>
      </w:r>
      <w:proofErr w:type="spellStart"/>
      <w:r w:rsidR="00A0568D" w:rsidRPr="006E307D">
        <w:t>HotStart</w:t>
      </w:r>
      <w:proofErr w:type="spellEnd"/>
      <w:r>
        <w:t>®</w:t>
      </w:r>
      <w:r w:rsidR="00A0568D" w:rsidRPr="006E307D">
        <w:t xml:space="preserve"> products has been conducted.</w:t>
      </w:r>
      <w:r w:rsidR="00B37920">
        <w:t xml:space="preserve"> In October 2020, </w:t>
      </w:r>
      <w:proofErr w:type="spellStart"/>
      <w:r w:rsidR="00B37920">
        <w:t>HotStart</w:t>
      </w:r>
      <w:proofErr w:type="spellEnd"/>
      <w:r w:rsidR="00B37920">
        <w:t xml:space="preserve"> was contacted for updates related to pertinent studies; however, </w:t>
      </w:r>
      <w:proofErr w:type="spellStart"/>
      <w:r w:rsidR="00B37920">
        <w:t>Hotstart</w:t>
      </w:r>
      <w:proofErr w:type="spellEnd"/>
      <w:r w:rsidR="00B37920">
        <w:t xml:space="preserve"> indicated new studies were still being conducted.</w:t>
      </w:r>
      <w:r w:rsidR="00A0568D" w:rsidRPr="006E307D">
        <w:t xml:space="preserve"> The analysis should be updated </w:t>
      </w:r>
      <w:r w:rsidR="00227FBE">
        <w:t>if</w:t>
      </w:r>
      <w:r w:rsidR="00227FBE" w:rsidRPr="006E307D">
        <w:t xml:space="preserve"> </w:t>
      </w:r>
      <w:r w:rsidR="00A0568D" w:rsidRPr="006E307D">
        <w:t>additional data become</w:t>
      </w:r>
      <w:r w:rsidR="00227FBE">
        <w:t>s</w:t>
      </w:r>
      <w:r w:rsidR="00A0568D" w:rsidRPr="006E307D">
        <w:t xml:space="preserve"> available.</w:t>
      </w:r>
      <w:r w:rsidR="00B37920">
        <w:t xml:space="preserve"> </w:t>
      </w:r>
    </w:p>
    <w:bookmarkEnd w:id="38"/>
    <w:p w14:paraId="4587E4C2" w14:textId="3CCEF19E" w:rsidR="002264DF" w:rsidRDefault="00B37920" w:rsidP="004B06E3">
      <w:r>
        <w:t>D</w:t>
      </w:r>
      <w:r w:rsidR="00636165">
        <w:t>EER</w:t>
      </w:r>
      <w:r>
        <w:t xml:space="preserve"> </w:t>
      </w:r>
      <w:r w:rsidR="00227FBE">
        <w:t>CZ</w:t>
      </w:r>
      <w:r>
        <w:t xml:space="preserve">2022 weather data files for ambient outside air temperature were used to update all savings estimates </w:t>
      </w:r>
      <w:r w:rsidR="00227FBE">
        <w:t xml:space="preserve">of </w:t>
      </w:r>
      <w:r w:rsidR="00154798">
        <w:t>this measure</w:t>
      </w:r>
      <w:r>
        <w:t xml:space="preserve">. </w:t>
      </w:r>
    </w:p>
    <w:p w14:paraId="103303D0" w14:textId="77777777" w:rsidR="00154798" w:rsidRDefault="00154798" w:rsidP="004B06E3"/>
    <w:p w14:paraId="04B8B6A8" w14:textId="211F1FA0" w:rsidR="002264DF" w:rsidRPr="005E2F57" w:rsidRDefault="008F2E6B" w:rsidP="005E2F57">
      <w:pPr>
        <w:pStyle w:val="eTRMHeading4"/>
      </w:pPr>
      <w:r w:rsidRPr="005E2F57">
        <w:t>Data Exploration</w:t>
      </w:r>
    </w:p>
    <w:p w14:paraId="3D43F72A" w14:textId="77777777" w:rsidR="002264DF" w:rsidRPr="00DB233D" w:rsidRDefault="002264DF" w:rsidP="008629B6">
      <w:pPr>
        <w:pStyle w:val="eTRMHeading5"/>
      </w:pPr>
      <w:r w:rsidRPr="00DB233D">
        <w:t>Temperature and Daily kWh Variation within Size Categories</w:t>
      </w:r>
    </w:p>
    <w:p w14:paraId="736DDF92" w14:textId="5ED214B7" w:rsidR="002264DF" w:rsidRDefault="008629B6" w:rsidP="002264DF">
      <w:r>
        <w:t>S</w:t>
      </w:r>
      <w:r w:rsidR="002264DF">
        <w:t xml:space="preserve">ites </w:t>
      </w:r>
      <w:r>
        <w:t>were</w:t>
      </w:r>
      <w:r w:rsidR="002264DF">
        <w:t xml:space="preserve"> assigned </w:t>
      </w:r>
      <w:r>
        <w:t xml:space="preserve">to one of four </w:t>
      </w:r>
      <w:r w:rsidR="002264DF">
        <w:t>size categor</w:t>
      </w:r>
      <w:r>
        <w:t>ies (1-4)</w:t>
      </w:r>
      <w:r w:rsidR="002264DF">
        <w:t xml:space="preserve">, </w:t>
      </w:r>
      <w:r>
        <w:t>which loosely</w:t>
      </w:r>
      <w:r w:rsidR="002264DF">
        <w:t xml:space="preserve"> correspond to the actual (baseline) usage and is highly dependent on </w:t>
      </w:r>
      <w:r>
        <w:t>base case</w:t>
      </w:r>
      <w:r w:rsidR="002264DF">
        <w:t xml:space="preserve"> heater size. There is significant variation and overlap across categories in generator size, heater size, and observed kWh usage.</w:t>
      </w:r>
      <w:r w:rsidR="000711F2">
        <w:t xml:space="preserve"> M</w:t>
      </w:r>
      <w:r w:rsidR="000711F2" w:rsidRPr="000711F2">
        <w:t xml:space="preserve">easure offerings </w:t>
      </w:r>
      <w:r w:rsidR="000711F2">
        <w:t>that correspond to size categories</w:t>
      </w:r>
      <w:r w:rsidR="000711F2" w:rsidRPr="000711F2">
        <w:t xml:space="preserve"> </w:t>
      </w:r>
      <w:r w:rsidR="000711F2">
        <w:t xml:space="preserve">3 and 4 have been removed from </w:t>
      </w:r>
      <w:r w:rsidR="000711F2" w:rsidRPr="000711F2">
        <w:t xml:space="preserve">the workpaper due to negative incremental measure costs. </w:t>
      </w:r>
      <w:r w:rsidR="000711F2">
        <w:t xml:space="preserve">These size categories remain in this section of the workpaper for reference, but they are not used in the calculations. </w:t>
      </w:r>
    </w:p>
    <w:p w14:paraId="41461058" w14:textId="41DE0D89" w:rsidR="002264DF" w:rsidRPr="00D11D1F" w:rsidRDefault="002264DF" w:rsidP="00F21ADC">
      <w:pPr>
        <w:pStyle w:val="Caption"/>
      </w:pPr>
      <w:r>
        <w:lastRenderedPageBreak/>
        <w:t>Site-Specific Heater Sizes</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040"/>
        <w:gridCol w:w="1040"/>
        <w:gridCol w:w="1040"/>
        <w:gridCol w:w="1040"/>
        <w:gridCol w:w="1040"/>
        <w:gridCol w:w="1040"/>
        <w:gridCol w:w="1040"/>
        <w:gridCol w:w="1040"/>
        <w:gridCol w:w="1040"/>
      </w:tblGrid>
      <w:tr w:rsidR="002264DF" w:rsidRPr="006D31B3" w14:paraId="1B28831D" w14:textId="77777777" w:rsidTr="00E938F7">
        <w:trPr>
          <w:trHeight w:val="765"/>
        </w:trPr>
        <w:tc>
          <w:tcPr>
            <w:tcW w:w="1040" w:type="dxa"/>
            <w:shd w:val="clear" w:color="auto" w:fill="F2F2F2" w:themeFill="background1" w:themeFillShade="F2"/>
            <w:vAlign w:val="bottom"/>
            <w:hideMark/>
          </w:tcPr>
          <w:p w14:paraId="37EDD28A"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Site</w:t>
            </w:r>
          </w:p>
        </w:tc>
        <w:tc>
          <w:tcPr>
            <w:tcW w:w="1040" w:type="dxa"/>
            <w:shd w:val="clear" w:color="auto" w:fill="F2F2F2" w:themeFill="background1" w:themeFillShade="F2"/>
            <w:vAlign w:val="bottom"/>
            <w:hideMark/>
          </w:tcPr>
          <w:p w14:paraId="39B2D86B"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Site Size Category</w:t>
            </w:r>
          </w:p>
        </w:tc>
        <w:tc>
          <w:tcPr>
            <w:tcW w:w="1040" w:type="dxa"/>
            <w:shd w:val="clear" w:color="auto" w:fill="F2F2F2" w:themeFill="background1" w:themeFillShade="F2"/>
            <w:vAlign w:val="bottom"/>
            <w:hideMark/>
          </w:tcPr>
          <w:p w14:paraId="1D254402" w14:textId="46532AAB"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 xml:space="preserve">Generator Size </w:t>
            </w:r>
            <w:r w:rsidR="008629B6" w:rsidRPr="008629B6">
              <w:rPr>
                <w:rFonts w:cs="Calibri Light"/>
                <w:b/>
                <w:sz w:val="18"/>
                <w:szCs w:val="18"/>
              </w:rPr>
              <w:t>(</w:t>
            </w:r>
            <w:r w:rsidRPr="008629B6">
              <w:rPr>
                <w:rFonts w:cs="Calibri Light"/>
                <w:b/>
                <w:sz w:val="18"/>
                <w:szCs w:val="18"/>
              </w:rPr>
              <w:t>kW</w:t>
            </w:r>
            <w:r w:rsidR="008629B6" w:rsidRPr="008629B6">
              <w:rPr>
                <w:rFonts w:cs="Calibri Light"/>
                <w:b/>
                <w:sz w:val="18"/>
                <w:szCs w:val="18"/>
              </w:rPr>
              <w:t>)</w:t>
            </w:r>
          </w:p>
        </w:tc>
        <w:tc>
          <w:tcPr>
            <w:tcW w:w="1040" w:type="dxa"/>
            <w:shd w:val="clear" w:color="auto" w:fill="F2F2F2" w:themeFill="background1" w:themeFillShade="F2"/>
            <w:vAlign w:val="bottom"/>
            <w:hideMark/>
          </w:tcPr>
          <w:p w14:paraId="39AED0FA" w14:textId="212D8104"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 xml:space="preserve">Baseline Heater Size </w:t>
            </w:r>
            <w:r w:rsidR="008629B6" w:rsidRPr="008629B6">
              <w:rPr>
                <w:rFonts w:cs="Calibri Light"/>
                <w:b/>
                <w:sz w:val="18"/>
                <w:szCs w:val="18"/>
              </w:rPr>
              <w:t>(</w:t>
            </w:r>
            <w:r w:rsidRPr="008629B6">
              <w:rPr>
                <w:rFonts w:cs="Calibri Light"/>
                <w:b/>
                <w:sz w:val="18"/>
                <w:szCs w:val="18"/>
              </w:rPr>
              <w:t>kW</w:t>
            </w:r>
            <w:r w:rsidR="008629B6" w:rsidRPr="008629B6">
              <w:rPr>
                <w:rFonts w:cs="Calibri Light"/>
                <w:b/>
                <w:sz w:val="18"/>
                <w:szCs w:val="18"/>
              </w:rPr>
              <w:t>)</w:t>
            </w:r>
          </w:p>
        </w:tc>
        <w:tc>
          <w:tcPr>
            <w:tcW w:w="1040" w:type="dxa"/>
            <w:shd w:val="clear" w:color="auto" w:fill="F2F2F2" w:themeFill="background1" w:themeFillShade="F2"/>
            <w:vAlign w:val="bottom"/>
            <w:hideMark/>
          </w:tcPr>
          <w:p w14:paraId="0293CEE8"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Existing Measured kW</w:t>
            </w:r>
          </w:p>
        </w:tc>
        <w:tc>
          <w:tcPr>
            <w:tcW w:w="1040" w:type="dxa"/>
            <w:shd w:val="clear" w:color="auto" w:fill="F2F2F2" w:themeFill="background1" w:themeFillShade="F2"/>
            <w:vAlign w:val="bottom"/>
            <w:hideMark/>
          </w:tcPr>
          <w:p w14:paraId="7B7543B7"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Avg Baseline kWh</w:t>
            </w:r>
          </w:p>
        </w:tc>
        <w:tc>
          <w:tcPr>
            <w:tcW w:w="1040" w:type="dxa"/>
            <w:shd w:val="clear" w:color="auto" w:fill="F2F2F2" w:themeFill="background1" w:themeFillShade="F2"/>
            <w:vAlign w:val="bottom"/>
            <w:hideMark/>
          </w:tcPr>
          <w:p w14:paraId="5CB3AE7B" w14:textId="5E9323BB"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 xml:space="preserve">New Rated Heater Size </w:t>
            </w:r>
            <w:r w:rsidR="00F450D4">
              <w:rPr>
                <w:rFonts w:cs="Calibri Light"/>
                <w:b/>
                <w:sz w:val="18"/>
                <w:szCs w:val="18"/>
              </w:rPr>
              <w:t>(</w:t>
            </w:r>
            <w:r w:rsidRPr="008629B6">
              <w:rPr>
                <w:rFonts w:cs="Calibri Light"/>
                <w:b/>
                <w:sz w:val="18"/>
                <w:szCs w:val="18"/>
              </w:rPr>
              <w:t>kW</w:t>
            </w:r>
            <w:r w:rsidR="00F450D4">
              <w:rPr>
                <w:rFonts w:cs="Calibri Light"/>
                <w:b/>
                <w:sz w:val="18"/>
                <w:szCs w:val="18"/>
              </w:rPr>
              <w:t>)</w:t>
            </w:r>
          </w:p>
        </w:tc>
        <w:tc>
          <w:tcPr>
            <w:tcW w:w="1040" w:type="dxa"/>
            <w:shd w:val="clear" w:color="auto" w:fill="F2F2F2" w:themeFill="background1" w:themeFillShade="F2"/>
            <w:vAlign w:val="bottom"/>
            <w:hideMark/>
          </w:tcPr>
          <w:p w14:paraId="74397DEC"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New Measured kW</w:t>
            </w:r>
          </w:p>
        </w:tc>
        <w:tc>
          <w:tcPr>
            <w:tcW w:w="1040" w:type="dxa"/>
            <w:shd w:val="clear" w:color="auto" w:fill="F2F2F2" w:themeFill="background1" w:themeFillShade="F2"/>
            <w:vAlign w:val="bottom"/>
            <w:hideMark/>
          </w:tcPr>
          <w:p w14:paraId="5CA0AD62" w14:textId="77777777" w:rsidR="002264DF" w:rsidRPr="008629B6" w:rsidRDefault="002264DF" w:rsidP="008629B6">
            <w:pPr>
              <w:keepNext/>
              <w:keepLines/>
              <w:spacing w:before="100" w:beforeAutospacing="1" w:after="100" w:afterAutospacing="1" w:line="240" w:lineRule="auto"/>
              <w:jc w:val="center"/>
              <w:rPr>
                <w:rFonts w:cs="Calibri Light"/>
                <w:b/>
                <w:sz w:val="18"/>
                <w:szCs w:val="18"/>
              </w:rPr>
            </w:pPr>
            <w:r w:rsidRPr="008629B6">
              <w:rPr>
                <w:rFonts w:cs="Calibri Light"/>
                <w:b/>
                <w:sz w:val="18"/>
                <w:szCs w:val="18"/>
              </w:rPr>
              <w:t>Avg Treatment kWh</w:t>
            </w:r>
          </w:p>
        </w:tc>
      </w:tr>
      <w:tr w:rsidR="002264DF" w:rsidRPr="006D31B3" w14:paraId="1D2B773A" w14:textId="77777777" w:rsidTr="00E938F7">
        <w:trPr>
          <w:trHeight w:val="300"/>
        </w:trPr>
        <w:tc>
          <w:tcPr>
            <w:tcW w:w="1040" w:type="dxa"/>
            <w:shd w:val="clear" w:color="auto" w:fill="auto"/>
            <w:noWrap/>
            <w:vAlign w:val="bottom"/>
            <w:hideMark/>
          </w:tcPr>
          <w:p w14:paraId="7C3AA255"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COCCH</w:t>
            </w:r>
          </w:p>
        </w:tc>
        <w:tc>
          <w:tcPr>
            <w:tcW w:w="1040" w:type="dxa"/>
            <w:shd w:val="clear" w:color="auto" w:fill="auto"/>
            <w:noWrap/>
            <w:vAlign w:val="bottom"/>
            <w:hideMark/>
          </w:tcPr>
          <w:p w14:paraId="70729CEC"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77FB0849"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15</w:t>
            </w:r>
          </w:p>
        </w:tc>
        <w:tc>
          <w:tcPr>
            <w:tcW w:w="1040" w:type="dxa"/>
            <w:shd w:val="clear" w:color="auto" w:fill="auto"/>
            <w:noWrap/>
            <w:vAlign w:val="bottom"/>
            <w:hideMark/>
          </w:tcPr>
          <w:p w14:paraId="7479D0C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0.5</w:t>
            </w:r>
          </w:p>
        </w:tc>
        <w:tc>
          <w:tcPr>
            <w:tcW w:w="1040" w:type="dxa"/>
            <w:shd w:val="clear" w:color="auto" w:fill="auto"/>
            <w:noWrap/>
            <w:vAlign w:val="bottom"/>
            <w:hideMark/>
          </w:tcPr>
          <w:p w14:paraId="004B50AB"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0.46</w:t>
            </w:r>
          </w:p>
        </w:tc>
        <w:tc>
          <w:tcPr>
            <w:tcW w:w="1040" w:type="dxa"/>
            <w:shd w:val="clear" w:color="auto" w:fill="auto"/>
            <w:noWrap/>
            <w:vAlign w:val="bottom"/>
            <w:hideMark/>
          </w:tcPr>
          <w:p w14:paraId="646252A9"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11.0</w:t>
            </w:r>
          </w:p>
        </w:tc>
        <w:tc>
          <w:tcPr>
            <w:tcW w:w="1040" w:type="dxa"/>
            <w:shd w:val="clear" w:color="auto" w:fill="auto"/>
            <w:noWrap/>
            <w:vAlign w:val="bottom"/>
            <w:hideMark/>
          </w:tcPr>
          <w:p w14:paraId="2B0A137C"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C9A481A"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0.99</w:t>
            </w:r>
          </w:p>
        </w:tc>
        <w:tc>
          <w:tcPr>
            <w:tcW w:w="1040" w:type="dxa"/>
            <w:shd w:val="clear" w:color="auto" w:fill="auto"/>
            <w:noWrap/>
            <w:vAlign w:val="bottom"/>
            <w:hideMark/>
          </w:tcPr>
          <w:p w14:paraId="05CCCEF0"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6.8</w:t>
            </w:r>
          </w:p>
        </w:tc>
      </w:tr>
      <w:tr w:rsidR="002264DF" w:rsidRPr="006D31B3" w14:paraId="3E469FCA" w14:textId="77777777" w:rsidTr="00E938F7">
        <w:trPr>
          <w:trHeight w:val="300"/>
        </w:trPr>
        <w:tc>
          <w:tcPr>
            <w:tcW w:w="1040" w:type="dxa"/>
            <w:shd w:val="clear" w:color="auto" w:fill="auto"/>
            <w:noWrap/>
            <w:vAlign w:val="bottom"/>
            <w:hideMark/>
          </w:tcPr>
          <w:p w14:paraId="27899BBA"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Kid Kare</w:t>
            </w:r>
          </w:p>
        </w:tc>
        <w:tc>
          <w:tcPr>
            <w:tcW w:w="1040" w:type="dxa"/>
            <w:shd w:val="clear" w:color="auto" w:fill="auto"/>
            <w:noWrap/>
            <w:vAlign w:val="bottom"/>
            <w:hideMark/>
          </w:tcPr>
          <w:p w14:paraId="6527F620"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491A155F"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40</w:t>
            </w:r>
          </w:p>
        </w:tc>
        <w:tc>
          <w:tcPr>
            <w:tcW w:w="1040" w:type="dxa"/>
            <w:shd w:val="clear" w:color="auto" w:fill="auto"/>
            <w:noWrap/>
            <w:vAlign w:val="bottom"/>
            <w:hideMark/>
          </w:tcPr>
          <w:p w14:paraId="08B2BEFF"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4C55FC2D"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0.89</w:t>
            </w:r>
          </w:p>
        </w:tc>
        <w:tc>
          <w:tcPr>
            <w:tcW w:w="1040" w:type="dxa"/>
            <w:shd w:val="clear" w:color="auto" w:fill="auto"/>
            <w:noWrap/>
            <w:vAlign w:val="bottom"/>
            <w:hideMark/>
          </w:tcPr>
          <w:p w14:paraId="19B82563"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21.1</w:t>
            </w:r>
          </w:p>
        </w:tc>
        <w:tc>
          <w:tcPr>
            <w:tcW w:w="1040" w:type="dxa"/>
            <w:shd w:val="clear" w:color="auto" w:fill="auto"/>
            <w:noWrap/>
            <w:vAlign w:val="bottom"/>
            <w:hideMark/>
          </w:tcPr>
          <w:p w14:paraId="487F150A"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4E5704D0"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0.99</w:t>
            </w:r>
          </w:p>
        </w:tc>
        <w:tc>
          <w:tcPr>
            <w:tcW w:w="1040" w:type="dxa"/>
            <w:shd w:val="clear" w:color="auto" w:fill="auto"/>
            <w:noWrap/>
            <w:vAlign w:val="bottom"/>
            <w:hideMark/>
          </w:tcPr>
          <w:p w14:paraId="7B6073C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13.4</w:t>
            </w:r>
          </w:p>
        </w:tc>
      </w:tr>
      <w:tr w:rsidR="002264DF" w:rsidRPr="006D31B3" w14:paraId="5868CDEB" w14:textId="77777777" w:rsidTr="00E938F7">
        <w:trPr>
          <w:trHeight w:val="300"/>
        </w:trPr>
        <w:tc>
          <w:tcPr>
            <w:tcW w:w="1040" w:type="dxa"/>
            <w:shd w:val="clear" w:color="auto" w:fill="auto"/>
            <w:noWrap/>
            <w:vAlign w:val="bottom"/>
            <w:hideMark/>
          </w:tcPr>
          <w:p w14:paraId="366CE405"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TCWWTP</w:t>
            </w:r>
          </w:p>
        </w:tc>
        <w:tc>
          <w:tcPr>
            <w:tcW w:w="1040" w:type="dxa"/>
            <w:shd w:val="clear" w:color="auto" w:fill="auto"/>
            <w:noWrap/>
            <w:vAlign w:val="bottom"/>
            <w:hideMark/>
          </w:tcPr>
          <w:p w14:paraId="0A747347"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0772E01"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15</w:t>
            </w:r>
          </w:p>
        </w:tc>
        <w:tc>
          <w:tcPr>
            <w:tcW w:w="1040" w:type="dxa"/>
            <w:shd w:val="clear" w:color="auto" w:fill="auto"/>
            <w:noWrap/>
            <w:vAlign w:val="bottom"/>
            <w:hideMark/>
          </w:tcPr>
          <w:p w14:paraId="672CB394"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8F21F1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0.93</w:t>
            </w:r>
          </w:p>
        </w:tc>
        <w:tc>
          <w:tcPr>
            <w:tcW w:w="1040" w:type="dxa"/>
            <w:shd w:val="clear" w:color="auto" w:fill="auto"/>
            <w:noWrap/>
            <w:vAlign w:val="bottom"/>
            <w:hideMark/>
          </w:tcPr>
          <w:p w14:paraId="3B9F8588"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10.9</w:t>
            </w:r>
          </w:p>
        </w:tc>
        <w:tc>
          <w:tcPr>
            <w:tcW w:w="1040" w:type="dxa"/>
            <w:shd w:val="clear" w:color="auto" w:fill="auto"/>
            <w:noWrap/>
            <w:vAlign w:val="bottom"/>
            <w:hideMark/>
          </w:tcPr>
          <w:p w14:paraId="71D27384"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1A6893D"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1.03</w:t>
            </w:r>
          </w:p>
        </w:tc>
        <w:tc>
          <w:tcPr>
            <w:tcW w:w="1040" w:type="dxa"/>
            <w:shd w:val="clear" w:color="auto" w:fill="auto"/>
            <w:noWrap/>
            <w:vAlign w:val="bottom"/>
            <w:hideMark/>
          </w:tcPr>
          <w:p w14:paraId="5CEBAD6B"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8.2</w:t>
            </w:r>
          </w:p>
        </w:tc>
      </w:tr>
      <w:tr w:rsidR="002264DF" w:rsidRPr="006D31B3" w14:paraId="4D9386FA" w14:textId="77777777" w:rsidTr="00E938F7">
        <w:trPr>
          <w:trHeight w:val="300"/>
        </w:trPr>
        <w:tc>
          <w:tcPr>
            <w:tcW w:w="1040" w:type="dxa"/>
            <w:shd w:val="clear" w:color="auto" w:fill="auto"/>
            <w:noWrap/>
            <w:vAlign w:val="bottom"/>
            <w:hideMark/>
          </w:tcPr>
          <w:p w14:paraId="47B0875D"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HCNW</w:t>
            </w:r>
          </w:p>
        </w:tc>
        <w:tc>
          <w:tcPr>
            <w:tcW w:w="1040" w:type="dxa"/>
            <w:shd w:val="clear" w:color="auto" w:fill="auto"/>
            <w:noWrap/>
            <w:vAlign w:val="bottom"/>
            <w:hideMark/>
          </w:tcPr>
          <w:p w14:paraId="5A45D034"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4351376D"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600</w:t>
            </w:r>
          </w:p>
        </w:tc>
        <w:tc>
          <w:tcPr>
            <w:tcW w:w="1040" w:type="dxa"/>
            <w:shd w:val="clear" w:color="auto" w:fill="auto"/>
            <w:noWrap/>
            <w:vAlign w:val="bottom"/>
            <w:hideMark/>
          </w:tcPr>
          <w:p w14:paraId="1DC836F4"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w:t>
            </w:r>
          </w:p>
        </w:tc>
        <w:tc>
          <w:tcPr>
            <w:tcW w:w="1040" w:type="dxa"/>
            <w:shd w:val="clear" w:color="auto" w:fill="auto"/>
            <w:noWrap/>
            <w:vAlign w:val="bottom"/>
            <w:hideMark/>
          </w:tcPr>
          <w:p w14:paraId="24F0E6C4"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4.3</w:t>
            </w:r>
          </w:p>
        </w:tc>
        <w:tc>
          <w:tcPr>
            <w:tcW w:w="1040" w:type="dxa"/>
            <w:shd w:val="clear" w:color="auto" w:fill="auto"/>
            <w:noWrap/>
            <w:vAlign w:val="bottom"/>
            <w:hideMark/>
          </w:tcPr>
          <w:p w14:paraId="48D1A28D"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52.0</w:t>
            </w:r>
          </w:p>
        </w:tc>
        <w:tc>
          <w:tcPr>
            <w:tcW w:w="1040" w:type="dxa"/>
            <w:shd w:val="clear" w:color="auto" w:fill="auto"/>
            <w:noWrap/>
            <w:vAlign w:val="bottom"/>
            <w:hideMark/>
          </w:tcPr>
          <w:p w14:paraId="2D55E1A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w:t>
            </w:r>
          </w:p>
        </w:tc>
        <w:tc>
          <w:tcPr>
            <w:tcW w:w="1040" w:type="dxa"/>
            <w:shd w:val="clear" w:color="auto" w:fill="auto"/>
            <w:noWrap/>
            <w:vAlign w:val="bottom"/>
            <w:hideMark/>
          </w:tcPr>
          <w:p w14:paraId="52BE82C2"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5.4</w:t>
            </w:r>
          </w:p>
        </w:tc>
        <w:tc>
          <w:tcPr>
            <w:tcW w:w="1040" w:type="dxa"/>
            <w:shd w:val="clear" w:color="auto" w:fill="auto"/>
            <w:noWrap/>
            <w:vAlign w:val="bottom"/>
            <w:hideMark/>
          </w:tcPr>
          <w:p w14:paraId="71AB2411"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46.8</w:t>
            </w:r>
          </w:p>
        </w:tc>
      </w:tr>
      <w:tr w:rsidR="002264DF" w:rsidRPr="006D31B3" w14:paraId="77054889" w14:textId="77777777" w:rsidTr="00E938F7">
        <w:trPr>
          <w:trHeight w:val="300"/>
        </w:trPr>
        <w:tc>
          <w:tcPr>
            <w:tcW w:w="1040" w:type="dxa"/>
            <w:shd w:val="clear" w:color="auto" w:fill="auto"/>
            <w:noWrap/>
            <w:vAlign w:val="bottom"/>
            <w:hideMark/>
          </w:tcPr>
          <w:p w14:paraId="2FAE06C1"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COCFD</w:t>
            </w:r>
          </w:p>
        </w:tc>
        <w:tc>
          <w:tcPr>
            <w:tcW w:w="1040" w:type="dxa"/>
            <w:shd w:val="clear" w:color="auto" w:fill="auto"/>
            <w:noWrap/>
            <w:vAlign w:val="bottom"/>
            <w:hideMark/>
          </w:tcPr>
          <w:p w14:paraId="4245DD19"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0D3FF0C3"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75</w:t>
            </w:r>
          </w:p>
        </w:tc>
        <w:tc>
          <w:tcPr>
            <w:tcW w:w="1040" w:type="dxa"/>
            <w:shd w:val="clear" w:color="auto" w:fill="auto"/>
            <w:noWrap/>
            <w:vAlign w:val="bottom"/>
            <w:hideMark/>
          </w:tcPr>
          <w:p w14:paraId="690412CC"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5C521185"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0.88</w:t>
            </w:r>
          </w:p>
        </w:tc>
        <w:tc>
          <w:tcPr>
            <w:tcW w:w="1040" w:type="dxa"/>
            <w:shd w:val="clear" w:color="auto" w:fill="auto"/>
            <w:noWrap/>
            <w:vAlign w:val="bottom"/>
            <w:hideMark/>
          </w:tcPr>
          <w:p w14:paraId="53770D5B"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20.9</w:t>
            </w:r>
          </w:p>
        </w:tc>
        <w:tc>
          <w:tcPr>
            <w:tcW w:w="1040" w:type="dxa"/>
            <w:shd w:val="clear" w:color="auto" w:fill="auto"/>
            <w:noWrap/>
            <w:vAlign w:val="bottom"/>
            <w:hideMark/>
          </w:tcPr>
          <w:p w14:paraId="1948476F"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04E92BF8"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0.94</w:t>
            </w:r>
          </w:p>
        </w:tc>
        <w:tc>
          <w:tcPr>
            <w:tcW w:w="1040" w:type="dxa"/>
            <w:shd w:val="clear" w:color="auto" w:fill="auto"/>
            <w:noWrap/>
            <w:vAlign w:val="bottom"/>
            <w:hideMark/>
          </w:tcPr>
          <w:p w14:paraId="004876E1"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11.6</w:t>
            </w:r>
          </w:p>
        </w:tc>
      </w:tr>
      <w:tr w:rsidR="002264DF" w:rsidRPr="006D31B3" w14:paraId="4BD2E199" w14:textId="77777777" w:rsidTr="00E938F7">
        <w:trPr>
          <w:trHeight w:val="300"/>
        </w:trPr>
        <w:tc>
          <w:tcPr>
            <w:tcW w:w="1040" w:type="dxa"/>
            <w:shd w:val="clear" w:color="auto" w:fill="auto"/>
            <w:noWrap/>
            <w:vAlign w:val="bottom"/>
            <w:hideMark/>
          </w:tcPr>
          <w:p w14:paraId="20BCB5D2"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COCTV</w:t>
            </w:r>
          </w:p>
        </w:tc>
        <w:tc>
          <w:tcPr>
            <w:tcW w:w="1040" w:type="dxa"/>
            <w:shd w:val="clear" w:color="auto" w:fill="auto"/>
            <w:noWrap/>
            <w:vAlign w:val="bottom"/>
            <w:hideMark/>
          </w:tcPr>
          <w:p w14:paraId="0297F982"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1B4B96E4"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100</w:t>
            </w:r>
          </w:p>
        </w:tc>
        <w:tc>
          <w:tcPr>
            <w:tcW w:w="1040" w:type="dxa"/>
            <w:shd w:val="clear" w:color="auto" w:fill="auto"/>
            <w:noWrap/>
            <w:vAlign w:val="bottom"/>
            <w:hideMark/>
          </w:tcPr>
          <w:p w14:paraId="3DE8782E"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1A5754E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0.88</w:t>
            </w:r>
          </w:p>
        </w:tc>
        <w:tc>
          <w:tcPr>
            <w:tcW w:w="1040" w:type="dxa"/>
            <w:shd w:val="clear" w:color="auto" w:fill="auto"/>
            <w:noWrap/>
            <w:vAlign w:val="bottom"/>
            <w:hideMark/>
          </w:tcPr>
          <w:p w14:paraId="2360F3BE"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20.9</w:t>
            </w:r>
          </w:p>
        </w:tc>
        <w:tc>
          <w:tcPr>
            <w:tcW w:w="1040" w:type="dxa"/>
            <w:shd w:val="clear" w:color="auto" w:fill="auto"/>
            <w:noWrap/>
            <w:vAlign w:val="bottom"/>
            <w:hideMark/>
          </w:tcPr>
          <w:p w14:paraId="597380FC"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F282FE5"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0.92</w:t>
            </w:r>
          </w:p>
        </w:tc>
        <w:tc>
          <w:tcPr>
            <w:tcW w:w="1040" w:type="dxa"/>
            <w:shd w:val="clear" w:color="auto" w:fill="auto"/>
            <w:noWrap/>
            <w:vAlign w:val="bottom"/>
            <w:hideMark/>
          </w:tcPr>
          <w:p w14:paraId="03C230B2"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7.2</w:t>
            </w:r>
          </w:p>
        </w:tc>
      </w:tr>
      <w:tr w:rsidR="002264DF" w:rsidRPr="006D31B3" w14:paraId="26E831F5" w14:textId="77777777" w:rsidTr="00E938F7">
        <w:trPr>
          <w:trHeight w:val="300"/>
        </w:trPr>
        <w:tc>
          <w:tcPr>
            <w:tcW w:w="1040" w:type="dxa"/>
            <w:shd w:val="clear" w:color="auto" w:fill="auto"/>
            <w:noWrap/>
            <w:vAlign w:val="bottom"/>
            <w:hideMark/>
          </w:tcPr>
          <w:p w14:paraId="7425889D"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COMKR</w:t>
            </w:r>
          </w:p>
        </w:tc>
        <w:tc>
          <w:tcPr>
            <w:tcW w:w="1040" w:type="dxa"/>
            <w:shd w:val="clear" w:color="auto" w:fill="auto"/>
            <w:noWrap/>
            <w:vAlign w:val="bottom"/>
            <w:hideMark/>
          </w:tcPr>
          <w:p w14:paraId="5EF6EDAA"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42086BB3"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50</w:t>
            </w:r>
          </w:p>
        </w:tc>
        <w:tc>
          <w:tcPr>
            <w:tcW w:w="1040" w:type="dxa"/>
            <w:shd w:val="clear" w:color="auto" w:fill="auto"/>
            <w:noWrap/>
            <w:vAlign w:val="bottom"/>
            <w:hideMark/>
          </w:tcPr>
          <w:p w14:paraId="58187CCE"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E78CF51"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0.93</w:t>
            </w:r>
          </w:p>
        </w:tc>
        <w:tc>
          <w:tcPr>
            <w:tcW w:w="1040" w:type="dxa"/>
            <w:shd w:val="clear" w:color="auto" w:fill="auto"/>
            <w:noWrap/>
            <w:vAlign w:val="bottom"/>
            <w:hideMark/>
          </w:tcPr>
          <w:p w14:paraId="3BB62028"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20.7</w:t>
            </w:r>
          </w:p>
        </w:tc>
        <w:tc>
          <w:tcPr>
            <w:tcW w:w="1040" w:type="dxa"/>
            <w:shd w:val="clear" w:color="auto" w:fill="auto"/>
            <w:noWrap/>
            <w:vAlign w:val="bottom"/>
            <w:hideMark/>
          </w:tcPr>
          <w:p w14:paraId="54FC6E2E"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731BB7C5"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0965F156"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11.7</w:t>
            </w:r>
          </w:p>
        </w:tc>
      </w:tr>
      <w:tr w:rsidR="002264DF" w:rsidRPr="006D31B3" w14:paraId="4983EB61" w14:textId="77777777" w:rsidTr="00E938F7">
        <w:trPr>
          <w:trHeight w:val="300"/>
        </w:trPr>
        <w:tc>
          <w:tcPr>
            <w:tcW w:w="1040" w:type="dxa"/>
            <w:shd w:val="clear" w:color="auto" w:fill="auto"/>
            <w:noWrap/>
            <w:vAlign w:val="bottom"/>
            <w:hideMark/>
          </w:tcPr>
          <w:p w14:paraId="34D142F2" w14:textId="77777777" w:rsidR="002264DF" w:rsidRPr="008629B6" w:rsidRDefault="002264DF" w:rsidP="008629B6">
            <w:pPr>
              <w:keepNext/>
              <w:keepLines/>
              <w:spacing w:before="100" w:beforeAutospacing="1" w:after="100" w:afterAutospacing="1" w:line="240" w:lineRule="auto"/>
              <w:rPr>
                <w:rFonts w:cs="Calibri Light"/>
                <w:color w:val="000000"/>
                <w:sz w:val="18"/>
                <w:szCs w:val="18"/>
              </w:rPr>
            </w:pPr>
            <w:r w:rsidRPr="008629B6">
              <w:rPr>
                <w:rFonts w:cs="Calibri Light"/>
                <w:color w:val="000000"/>
                <w:sz w:val="18"/>
                <w:szCs w:val="18"/>
              </w:rPr>
              <w:t>COMW</w:t>
            </w:r>
          </w:p>
        </w:tc>
        <w:tc>
          <w:tcPr>
            <w:tcW w:w="1040" w:type="dxa"/>
            <w:shd w:val="clear" w:color="auto" w:fill="auto"/>
            <w:noWrap/>
            <w:vAlign w:val="bottom"/>
            <w:hideMark/>
          </w:tcPr>
          <w:p w14:paraId="5B020791" w14:textId="77777777" w:rsidR="002264DF" w:rsidRPr="008629B6" w:rsidRDefault="002264DF" w:rsidP="008629B6">
            <w:pPr>
              <w:keepNext/>
              <w:keepLines/>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77E934B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100</w:t>
            </w:r>
          </w:p>
        </w:tc>
        <w:tc>
          <w:tcPr>
            <w:tcW w:w="1040" w:type="dxa"/>
            <w:shd w:val="clear" w:color="auto" w:fill="auto"/>
            <w:noWrap/>
            <w:vAlign w:val="bottom"/>
            <w:hideMark/>
          </w:tcPr>
          <w:p w14:paraId="4898580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1775CEA6"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0.95</w:t>
            </w:r>
          </w:p>
        </w:tc>
        <w:tc>
          <w:tcPr>
            <w:tcW w:w="1040" w:type="dxa"/>
            <w:shd w:val="clear" w:color="auto" w:fill="auto"/>
            <w:noWrap/>
            <w:vAlign w:val="bottom"/>
            <w:hideMark/>
          </w:tcPr>
          <w:p w14:paraId="1D85826F"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22.7</w:t>
            </w:r>
          </w:p>
        </w:tc>
        <w:tc>
          <w:tcPr>
            <w:tcW w:w="1040" w:type="dxa"/>
            <w:shd w:val="clear" w:color="auto" w:fill="auto"/>
            <w:noWrap/>
            <w:vAlign w:val="bottom"/>
            <w:hideMark/>
          </w:tcPr>
          <w:p w14:paraId="25E9A4C8"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0F6358F0"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0.98</w:t>
            </w:r>
          </w:p>
        </w:tc>
        <w:tc>
          <w:tcPr>
            <w:tcW w:w="1040" w:type="dxa"/>
            <w:shd w:val="clear" w:color="auto" w:fill="auto"/>
            <w:noWrap/>
            <w:vAlign w:val="bottom"/>
            <w:hideMark/>
          </w:tcPr>
          <w:p w14:paraId="71579F37" w14:textId="77777777" w:rsidR="002264DF" w:rsidRPr="008629B6" w:rsidRDefault="002264DF" w:rsidP="001E206A">
            <w:pPr>
              <w:keepNext/>
              <w:keepLines/>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16.1</w:t>
            </w:r>
          </w:p>
        </w:tc>
      </w:tr>
      <w:tr w:rsidR="002264DF" w:rsidRPr="006D31B3" w14:paraId="0988D76E" w14:textId="77777777" w:rsidTr="00E938F7">
        <w:trPr>
          <w:trHeight w:val="300"/>
        </w:trPr>
        <w:tc>
          <w:tcPr>
            <w:tcW w:w="1040" w:type="dxa"/>
            <w:shd w:val="clear" w:color="auto" w:fill="auto"/>
            <w:noWrap/>
            <w:vAlign w:val="bottom"/>
            <w:hideMark/>
          </w:tcPr>
          <w:p w14:paraId="64E9BF61" w14:textId="77777777" w:rsidR="002264DF" w:rsidRPr="008629B6" w:rsidRDefault="002264DF" w:rsidP="008629B6">
            <w:pPr>
              <w:spacing w:before="100" w:beforeAutospacing="1" w:after="100" w:afterAutospacing="1" w:line="240" w:lineRule="auto"/>
              <w:rPr>
                <w:rFonts w:cs="Calibri Light"/>
                <w:color w:val="000000"/>
                <w:sz w:val="18"/>
                <w:szCs w:val="18"/>
              </w:rPr>
            </w:pPr>
            <w:r w:rsidRPr="008629B6">
              <w:rPr>
                <w:rFonts w:cs="Calibri Light"/>
                <w:color w:val="000000"/>
                <w:sz w:val="18"/>
                <w:szCs w:val="18"/>
              </w:rPr>
              <w:t>KE ECAM</w:t>
            </w:r>
          </w:p>
        </w:tc>
        <w:tc>
          <w:tcPr>
            <w:tcW w:w="1040" w:type="dxa"/>
            <w:shd w:val="clear" w:color="auto" w:fill="auto"/>
            <w:noWrap/>
            <w:vAlign w:val="bottom"/>
            <w:hideMark/>
          </w:tcPr>
          <w:p w14:paraId="765FCF97" w14:textId="77777777" w:rsidR="002264DF" w:rsidRPr="008629B6" w:rsidRDefault="002264DF" w:rsidP="008629B6">
            <w:pPr>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54ABCE83"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65</w:t>
            </w:r>
          </w:p>
        </w:tc>
        <w:tc>
          <w:tcPr>
            <w:tcW w:w="1040" w:type="dxa"/>
            <w:shd w:val="clear" w:color="auto" w:fill="auto"/>
            <w:noWrap/>
            <w:vAlign w:val="bottom"/>
            <w:hideMark/>
          </w:tcPr>
          <w:p w14:paraId="5E1E5EC4"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4E26639D"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0.93</w:t>
            </w:r>
          </w:p>
        </w:tc>
        <w:tc>
          <w:tcPr>
            <w:tcW w:w="1040" w:type="dxa"/>
            <w:shd w:val="clear" w:color="auto" w:fill="auto"/>
            <w:noWrap/>
            <w:vAlign w:val="bottom"/>
            <w:hideMark/>
          </w:tcPr>
          <w:p w14:paraId="31C852C8"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22.3</w:t>
            </w:r>
          </w:p>
        </w:tc>
        <w:tc>
          <w:tcPr>
            <w:tcW w:w="1040" w:type="dxa"/>
            <w:shd w:val="clear" w:color="auto" w:fill="auto"/>
            <w:noWrap/>
            <w:vAlign w:val="bottom"/>
            <w:hideMark/>
          </w:tcPr>
          <w:p w14:paraId="6D1C86D7"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7A6DCB2E"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0.99</w:t>
            </w:r>
          </w:p>
        </w:tc>
        <w:tc>
          <w:tcPr>
            <w:tcW w:w="1040" w:type="dxa"/>
            <w:shd w:val="clear" w:color="auto" w:fill="auto"/>
            <w:noWrap/>
            <w:vAlign w:val="bottom"/>
            <w:hideMark/>
          </w:tcPr>
          <w:p w14:paraId="6118A543"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12.5</w:t>
            </w:r>
          </w:p>
        </w:tc>
      </w:tr>
      <w:tr w:rsidR="002264DF" w:rsidRPr="006D31B3" w14:paraId="3571D2E4" w14:textId="77777777" w:rsidTr="00E938F7">
        <w:trPr>
          <w:trHeight w:val="300"/>
        </w:trPr>
        <w:tc>
          <w:tcPr>
            <w:tcW w:w="1040" w:type="dxa"/>
            <w:shd w:val="clear" w:color="auto" w:fill="auto"/>
            <w:noWrap/>
            <w:vAlign w:val="bottom"/>
            <w:hideMark/>
          </w:tcPr>
          <w:p w14:paraId="61BD5380" w14:textId="77777777" w:rsidR="002264DF" w:rsidRPr="008629B6" w:rsidRDefault="002264DF" w:rsidP="008629B6">
            <w:pPr>
              <w:spacing w:before="100" w:beforeAutospacing="1" w:after="100" w:afterAutospacing="1" w:line="240" w:lineRule="auto"/>
              <w:rPr>
                <w:rFonts w:cs="Calibri Light"/>
                <w:color w:val="000000"/>
                <w:sz w:val="18"/>
                <w:szCs w:val="18"/>
              </w:rPr>
            </w:pPr>
            <w:r w:rsidRPr="008629B6">
              <w:rPr>
                <w:rFonts w:cs="Calibri Light"/>
                <w:color w:val="000000"/>
                <w:sz w:val="18"/>
                <w:szCs w:val="18"/>
              </w:rPr>
              <w:t>TCWP</w:t>
            </w:r>
          </w:p>
        </w:tc>
        <w:tc>
          <w:tcPr>
            <w:tcW w:w="1040" w:type="dxa"/>
            <w:shd w:val="clear" w:color="auto" w:fill="auto"/>
            <w:noWrap/>
            <w:vAlign w:val="bottom"/>
            <w:hideMark/>
          </w:tcPr>
          <w:p w14:paraId="37394CB6" w14:textId="77777777" w:rsidR="002264DF" w:rsidRPr="008629B6" w:rsidRDefault="002264DF" w:rsidP="008629B6">
            <w:pPr>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2C40BB95"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20</w:t>
            </w:r>
          </w:p>
        </w:tc>
        <w:tc>
          <w:tcPr>
            <w:tcW w:w="1040" w:type="dxa"/>
            <w:shd w:val="clear" w:color="auto" w:fill="auto"/>
            <w:noWrap/>
            <w:vAlign w:val="bottom"/>
            <w:hideMark/>
          </w:tcPr>
          <w:p w14:paraId="4A691852"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3CD6EFC9"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0.97</w:t>
            </w:r>
          </w:p>
        </w:tc>
        <w:tc>
          <w:tcPr>
            <w:tcW w:w="1040" w:type="dxa"/>
            <w:shd w:val="clear" w:color="auto" w:fill="auto"/>
            <w:noWrap/>
            <w:vAlign w:val="bottom"/>
            <w:hideMark/>
          </w:tcPr>
          <w:p w14:paraId="1CB9BE60"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22.3</w:t>
            </w:r>
          </w:p>
        </w:tc>
        <w:tc>
          <w:tcPr>
            <w:tcW w:w="1040" w:type="dxa"/>
            <w:shd w:val="clear" w:color="auto" w:fill="auto"/>
            <w:noWrap/>
            <w:vAlign w:val="bottom"/>
            <w:hideMark/>
          </w:tcPr>
          <w:p w14:paraId="1CC91FE0"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w:t>
            </w:r>
          </w:p>
        </w:tc>
        <w:tc>
          <w:tcPr>
            <w:tcW w:w="1040" w:type="dxa"/>
            <w:shd w:val="clear" w:color="auto" w:fill="auto"/>
            <w:noWrap/>
            <w:vAlign w:val="bottom"/>
            <w:hideMark/>
          </w:tcPr>
          <w:p w14:paraId="6AD89449"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1.05</w:t>
            </w:r>
          </w:p>
        </w:tc>
        <w:tc>
          <w:tcPr>
            <w:tcW w:w="1040" w:type="dxa"/>
            <w:shd w:val="clear" w:color="auto" w:fill="auto"/>
            <w:noWrap/>
            <w:vAlign w:val="bottom"/>
            <w:hideMark/>
          </w:tcPr>
          <w:p w14:paraId="11BDB267"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10.5</w:t>
            </w:r>
          </w:p>
        </w:tc>
      </w:tr>
      <w:tr w:rsidR="002264DF" w:rsidRPr="006D31B3" w14:paraId="37D06791" w14:textId="77777777" w:rsidTr="00E938F7">
        <w:trPr>
          <w:trHeight w:val="300"/>
        </w:trPr>
        <w:tc>
          <w:tcPr>
            <w:tcW w:w="1040" w:type="dxa"/>
            <w:shd w:val="clear" w:color="auto" w:fill="auto"/>
            <w:noWrap/>
            <w:vAlign w:val="bottom"/>
            <w:hideMark/>
          </w:tcPr>
          <w:p w14:paraId="6AB43484" w14:textId="77777777" w:rsidR="002264DF" w:rsidRPr="008629B6" w:rsidRDefault="002264DF" w:rsidP="008629B6">
            <w:pPr>
              <w:spacing w:before="100" w:beforeAutospacing="1" w:after="100" w:afterAutospacing="1" w:line="240" w:lineRule="auto"/>
              <w:rPr>
                <w:rFonts w:cs="Calibri Light"/>
                <w:color w:val="000000"/>
                <w:sz w:val="18"/>
                <w:szCs w:val="18"/>
              </w:rPr>
            </w:pPr>
            <w:r w:rsidRPr="008629B6">
              <w:rPr>
                <w:rFonts w:cs="Calibri Light"/>
                <w:color w:val="000000"/>
                <w:sz w:val="18"/>
                <w:szCs w:val="18"/>
              </w:rPr>
              <w:t>BLDG210</w:t>
            </w:r>
          </w:p>
        </w:tc>
        <w:tc>
          <w:tcPr>
            <w:tcW w:w="1040" w:type="dxa"/>
            <w:shd w:val="clear" w:color="auto" w:fill="auto"/>
            <w:noWrap/>
            <w:vAlign w:val="bottom"/>
            <w:hideMark/>
          </w:tcPr>
          <w:p w14:paraId="1E4F94EE" w14:textId="77777777" w:rsidR="002264DF" w:rsidRPr="008629B6" w:rsidRDefault="002264DF" w:rsidP="008629B6">
            <w:pPr>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6E11344B"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250</w:t>
            </w:r>
          </w:p>
        </w:tc>
        <w:tc>
          <w:tcPr>
            <w:tcW w:w="1040" w:type="dxa"/>
            <w:shd w:val="clear" w:color="auto" w:fill="auto"/>
            <w:noWrap/>
            <w:vAlign w:val="bottom"/>
            <w:hideMark/>
          </w:tcPr>
          <w:p w14:paraId="2510062D"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2.5</w:t>
            </w:r>
          </w:p>
        </w:tc>
        <w:tc>
          <w:tcPr>
            <w:tcW w:w="1040" w:type="dxa"/>
            <w:shd w:val="clear" w:color="auto" w:fill="auto"/>
            <w:noWrap/>
            <w:vAlign w:val="bottom"/>
            <w:hideMark/>
          </w:tcPr>
          <w:p w14:paraId="72C9B999"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2.22</w:t>
            </w:r>
          </w:p>
        </w:tc>
        <w:tc>
          <w:tcPr>
            <w:tcW w:w="1040" w:type="dxa"/>
            <w:shd w:val="clear" w:color="auto" w:fill="auto"/>
            <w:noWrap/>
            <w:vAlign w:val="bottom"/>
            <w:hideMark/>
          </w:tcPr>
          <w:p w14:paraId="3FE206D6"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47.1</w:t>
            </w:r>
          </w:p>
        </w:tc>
        <w:tc>
          <w:tcPr>
            <w:tcW w:w="1040" w:type="dxa"/>
            <w:shd w:val="clear" w:color="auto" w:fill="auto"/>
            <w:noWrap/>
            <w:vAlign w:val="bottom"/>
            <w:hideMark/>
          </w:tcPr>
          <w:p w14:paraId="5D2D1B14"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3</w:t>
            </w:r>
          </w:p>
        </w:tc>
        <w:tc>
          <w:tcPr>
            <w:tcW w:w="1040" w:type="dxa"/>
            <w:shd w:val="clear" w:color="auto" w:fill="auto"/>
            <w:noWrap/>
            <w:vAlign w:val="bottom"/>
            <w:hideMark/>
          </w:tcPr>
          <w:p w14:paraId="2674B837"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2.8</w:t>
            </w:r>
          </w:p>
        </w:tc>
        <w:tc>
          <w:tcPr>
            <w:tcW w:w="1040" w:type="dxa"/>
            <w:shd w:val="clear" w:color="auto" w:fill="auto"/>
            <w:noWrap/>
            <w:vAlign w:val="bottom"/>
            <w:hideMark/>
          </w:tcPr>
          <w:p w14:paraId="66CBE9AC"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24.2</w:t>
            </w:r>
          </w:p>
        </w:tc>
      </w:tr>
      <w:tr w:rsidR="002264DF" w:rsidRPr="006D31B3" w14:paraId="75BC8E41" w14:textId="77777777" w:rsidTr="00E938F7">
        <w:trPr>
          <w:trHeight w:val="300"/>
        </w:trPr>
        <w:tc>
          <w:tcPr>
            <w:tcW w:w="1040" w:type="dxa"/>
            <w:shd w:val="clear" w:color="auto" w:fill="auto"/>
            <w:noWrap/>
            <w:vAlign w:val="bottom"/>
            <w:hideMark/>
          </w:tcPr>
          <w:p w14:paraId="5121F7B9" w14:textId="77777777" w:rsidR="002264DF" w:rsidRPr="008629B6" w:rsidRDefault="002264DF" w:rsidP="008629B6">
            <w:pPr>
              <w:spacing w:before="100" w:beforeAutospacing="1" w:after="100" w:afterAutospacing="1" w:line="240" w:lineRule="auto"/>
              <w:rPr>
                <w:rFonts w:cs="Calibri Light"/>
                <w:color w:val="000000"/>
                <w:sz w:val="18"/>
                <w:szCs w:val="18"/>
              </w:rPr>
            </w:pPr>
            <w:r w:rsidRPr="008629B6">
              <w:rPr>
                <w:rFonts w:cs="Calibri Light"/>
                <w:color w:val="000000"/>
                <w:sz w:val="18"/>
                <w:szCs w:val="18"/>
              </w:rPr>
              <w:t>PCDC</w:t>
            </w:r>
          </w:p>
        </w:tc>
        <w:tc>
          <w:tcPr>
            <w:tcW w:w="1040" w:type="dxa"/>
            <w:shd w:val="clear" w:color="auto" w:fill="auto"/>
            <w:noWrap/>
            <w:vAlign w:val="bottom"/>
            <w:hideMark/>
          </w:tcPr>
          <w:p w14:paraId="1F294A14" w14:textId="77777777" w:rsidR="002264DF" w:rsidRPr="008629B6" w:rsidRDefault="002264DF" w:rsidP="008629B6">
            <w:pPr>
              <w:spacing w:before="100" w:beforeAutospacing="1" w:after="100" w:afterAutospacing="1" w:line="240" w:lineRule="auto"/>
              <w:jc w:val="center"/>
              <w:rPr>
                <w:rFonts w:cs="Calibri Light"/>
                <w:color w:val="000000"/>
                <w:sz w:val="18"/>
                <w:szCs w:val="18"/>
              </w:rPr>
            </w:pPr>
            <w:r w:rsidRPr="008629B6">
              <w:rPr>
                <w:rFonts w:cs="Calibri Light"/>
                <w:color w:val="000000"/>
                <w:sz w:val="18"/>
                <w:szCs w:val="18"/>
              </w:rPr>
              <w:t>2</w:t>
            </w:r>
          </w:p>
        </w:tc>
        <w:tc>
          <w:tcPr>
            <w:tcW w:w="1040" w:type="dxa"/>
            <w:shd w:val="clear" w:color="auto" w:fill="auto"/>
            <w:noWrap/>
            <w:vAlign w:val="bottom"/>
            <w:hideMark/>
          </w:tcPr>
          <w:p w14:paraId="0E0B9AE4"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900</w:t>
            </w:r>
          </w:p>
        </w:tc>
        <w:tc>
          <w:tcPr>
            <w:tcW w:w="1040" w:type="dxa"/>
            <w:shd w:val="clear" w:color="auto" w:fill="auto"/>
            <w:noWrap/>
            <w:vAlign w:val="bottom"/>
            <w:hideMark/>
          </w:tcPr>
          <w:p w14:paraId="6E41C417"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w:t>
            </w:r>
            <w:r w:rsidRPr="008629B6">
              <w:rPr>
                <w:rStyle w:val="FootnoteReference"/>
                <w:rFonts w:cs="Calibri Light"/>
                <w:color w:val="000000"/>
                <w:sz w:val="18"/>
                <w:szCs w:val="18"/>
              </w:rPr>
              <w:footnoteReference w:id="6"/>
            </w:r>
          </w:p>
        </w:tc>
        <w:tc>
          <w:tcPr>
            <w:tcW w:w="1040" w:type="dxa"/>
            <w:shd w:val="clear" w:color="auto" w:fill="auto"/>
            <w:noWrap/>
            <w:vAlign w:val="bottom"/>
            <w:hideMark/>
          </w:tcPr>
          <w:p w14:paraId="6C0C8716"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4.62</w:t>
            </w:r>
          </w:p>
        </w:tc>
        <w:tc>
          <w:tcPr>
            <w:tcW w:w="1040" w:type="dxa"/>
            <w:shd w:val="clear" w:color="auto" w:fill="auto"/>
            <w:noWrap/>
            <w:vAlign w:val="bottom"/>
            <w:hideMark/>
          </w:tcPr>
          <w:p w14:paraId="37A74404"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48.4</w:t>
            </w:r>
          </w:p>
        </w:tc>
        <w:tc>
          <w:tcPr>
            <w:tcW w:w="1040" w:type="dxa"/>
            <w:shd w:val="clear" w:color="auto" w:fill="auto"/>
            <w:noWrap/>
            <w:vAlign w:val="bottom"/>
            <w:hideMark/>
          </w:tcPr>
          <w:p w14:paraId="26E90C05"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6</w:t>
            </w:r>
          </w:p>
        </w:tc>
        <w:tc>
          <w:tcPr>
            <w:tcW w:w="1040" w:type="dxa"/>
            <w:shd w:val="clear" w:color="auto" w:fill="auto"/>
            <w:noWrap/>
            <w:vAlign w:val="bottom"/>
            <w:hideMark/>
          </w:tcPr>
          <w:p w14:paraId="557EE8FE"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5.5</w:t>
            </w:r>
          </w:p>
        </w:tc>
        <w:tc>
          <w:tcPr>
            <w:tcW w:w="1040" w:type="dxa"/>
            <w:shd w:val="clear" w:color="auto" w:fill="auto"/>
            <w:noWrap/>
            <w:vAlign w:val="bottom"/>
            <w:hideMark/>
          </w:tcPr>
          <w:p w14:paraId="00BD3590" w14:textId="77777777" w:rsidR="002264DF" w:rsidRPr="008629B6" w:rsidRDefault="002264DF" w:rsidP="001E206A">
            <w:pPr>
              <w:spacing w:before="100" w:beforeAutospacing="1" w:after="100" w:afterAutospacing="1" w:line="240" w:lineRule="auto"/>
              <w:jc w:val="right"/>
              <w:rPr>
                <w:rFonts w:cs="Calibri Light"/>
                <w:color w:val="000000"/>
                <w:sz w:val="18"/>
                <w:szCs w:val="18"/>
              </w:rPr>
            </w:pPr>
            <w:r w:rsidRPr="008629B6">
              <w:rPr>
                <w:rFonts w:cs="Calibri Light"/>
                <w:color w:val="000000"/>
                <w:sz w:val="18"/>
                <w:szCs w:val="18"/>
              </w:rPr>
              <w:t>44.1</w:t>
            </w:r>
          </w:p>
        </w:tc>
      </w:tr>
    </w:tbl>
    <w:p w14:paraId="5376D39D" w14:textId="77777777" w:rsidR="002264DF" w:rsidRPr="00CB0FB1" w:rsidRDefault="002264DF" w:rsidP="008629B6"/>
    <w:p w14:paraId="10A102EF" w14:textId="21BE6326" w:rsidR="002264DF" w:rsidRDefault="002264DF" w:rsidP="002264DF">
      <w:r>
        <w:t xml:space="preserve">Observations </w:t>
      </w:r>
      <w:r w:rsidR="0064082C">
        <w:t>were recorded</w:t>
      </w:r>
      <w:r>
        <w:t xml:space="preserve"> at varying times of year and </w:t>
      </w:r>
      <w:r w:rsidR="0064082C">
        <w:t>reveal</w:t>
      </w:r>
      <w:r>
        <w:t xml:space="preserve"> significant variation in range of temperatures observed </w:t>
      </w:r>
      <w:r w:rsidR="008629B6">
        <w:t>across sites</w:t>
      </w:r>
      <w:r>
        <w:t xml:space="preserve"> and from baseline to treatment periods. Some sites </w:t>
      </w:r>
      <w:r w:rsidR="008629B6">
        <w:t>reveal</w:t>
      </w:r>
      <w:r>
        <w:t xml:space="preserve"> significant temperature dependence in </w:t>
      </w:r>
      <w:r w:rsidR="008629B6">
        <w:t>base case</w:t>
      </w:r>
      <w:r>
        <w:t xml:space="preserve"> usage, </w:t>
      </w:r>
      <w:r w:rsidR="008629B6">
        <w:t>and</w:t>
      </w:r>
      <w:r>
        <w:t xml:space="preserve"> other sites show no temperature dependence (often displaying remarkably consistent usage). Temperature dependence </w:t>
      </w:r>
      <w:r w:rsidR="00227FBE">
        <w:t xml:space="preserve">was </w:t>
      </w:r>
      <w:r>
        <w:t>observed at sites with larger baseline heater sizes (within a size category</w:t>
      </w:r>
      <w:r w:rsidR="008629B6">
        <w:t>) and</w:t>
      </w:r>
      <w:r>
        <w:t xml:space="preserve"> is consistent with a </w:t>
      </w:r>
      <w:r w:rsidR="00932601">
        <w:t>properly sized</w:t>
      </w:r>
      <w:r>
        <w:t xml:space="preserve"> heater. Temperature independence (flat baseline) </w:t>
      </w:r>
      <w:r w:rsidR="00227FBE">
        <w:t xml:space="preserve">was </w:t>
      </w:r>
      <w:r>
        <w:t xml:space="preserve">observed at sites with smaller baseline heater </w:t>
      </w:r>
      <w:r w:rsidR="008629B6">
        <w:t>sizes and</w:t>
      </w:r>
      <w:r>
        <w:t xml:space="preserve"> is consistent with an undersized heater (reflecting the heater is running consistently on full).</w:t>
      </w:r>
    </w:p>
    <w:p w14:paraId="1D8B6AD9" w14:textId="77777777" w:rsidR="00371CCC" w:rsidRDefault="002264DF" w:rsidP="001E206A">
      <w:pPr>
        <w:keepNext/>
      </w:pPr>
      <w:r>
        <w:rPr>
          <w:noProof/>
        </w:rPr>
        <w:lastRenderedPageBreak/>
        <w:drawing>
          <wp:inline distT="0" distB="0" distL="0" distR="0" wp14:anchorId="14ED7920" wp14:editId="46D3BE90">
            <wp:extent cx="4114800" cy="2295144"/>
            <wp:effectExtent l="0" t="0" r="0" b="10160"/>
            <wp:docPr id="5" name="Char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FA3696" w14:textId="30133534" w:rsidR="002264DF" w:rsidRDefault="00371CCC" w:rsidP="00F21ADC">
      <w:pPr>
        <w:pStyle w:val="Caption"/>
      </w:pPr>
      <w:r>
        <w:t xml:space="preserve">Figure </w:t>
      </w:r>
      <w:r w:rsidR="005B5834">
        <w:rPr>
          <w:noProof/>
        </w:rPr>
        <w:fldChar w:fldCharType="begin"/>
      </w:r>
      <w:r w:rsidR="005B5834">
        <w:rPr>
          <w:noProof/>
        </w:rPr>
        <w:instrText xml:space="preserve"> SEQ Figure \* ARABIC </w:instrText>
      </w:r>
      <w:r w:rsidR="005B5834">
        <w:rPr>
          <w:noProof/>
        </w:rPr>
        <w:fldChar w:fldCharType="separate"/>
      </w:r>
      <w:r>
        <w:rPr>
          <w:noProof/>
        </w:rPr>
        <w:t>1</w:t>
      </w:r>
      <w:r w:rsidR="005B5834">
        <w:rPr>
          <w:noProof/>
        </w:rPr>
        <w:fldChar w:fldCharType="end"/>
      </w:r>
      <w:r>
        <w:t xml:space="preserve"> Category 1 Daily kWh v. Temp by Site</w:t>
      </w:r>
    </w:p>
    <w:p w14:paraId="190CCEF8" w14:textId="77777777" w:rsidR="002264DF" w:rsidRDefault="002264DF" w:rsidP="002264DF">
      <w:pPr>
        <w:jc w:val="center"/>
      </w:pPr>
    </w:p>
    <w:p w14:paraId="69492E9B" w14:textId="77777777" w:rsidR="00371CCC" w:rsidRDefault="002264DF" w:rsidP="001E206A">
      <w:pPr>
        <w:keepNext/>
      </w:pPr>
      <w:r>
        <w:rPr>
          <w:noProof/>
        </w:rPr>
        <w:drawing>
          <wp:inline distT="0" distB="0" distL="0" distR="0" wp14:anchorId="11ACF402" wp14:editId="233BE0D3">
            <wp:extent cx="4114800" cy="2295144"/>
            <wp:effectExtent l="0" t="0" r="0" b="10160"/>
            <wp:docPr id="6" name="Char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6CB598" w14:textId="12BC6FA1" w:rsidR="002264DF" w:rsidRDefault="00371CCC" w:rsidP="00F21ADC">
      <w:pPr>
        <w:pStyle w:val="Caption"/>
      </w:pPr>
      <w:r>
        <w:t xml:space="preserve">Figure </w:t>
      </w:r>
      <w:r w:rsidR="005B5834">
        <w:rPr>
          <w:noProof/>
        </w:rPr>
        <w:fldChar w:fldCharType="begin"/>
      </w:r>
      <w:r w:rsidR="005B5834">
        <w:rPr>
          <w:noProof/>
        </w:rPr>
        <w:instrText xml:space="preserve"> SEQ Figure \* ARABIC </w:instrText>
      </w:r>
      <w:r w:rsidR="005B5834">
        <w:rPr>
          <w:noProof/>
        </w:rPr>
        <w:fldChar w:fldCharType="separate"/>
      </w:r>
      <w:r>
        <w:rPr>
          <w:noProof/>
        </w:rPr>
        <w:t>2</w:t>
      </w:r>
      <w:r w:rsidR="005B5834">
        <w:rPr>
          <w:noProof/>
        </w:rPr>
        <w:fldChar w:fldCharType="end"/>
      </w:r>
      <w:r>
        <w:t xml:space="preserve"> Category 2 Daily kWh v. Temp by Site</w:t>
      </w:r>
    </w:p>
    <w:p w14:paraId="347F5638" w14:textId="77777777" w:rsidR="002264DF" w:rsidRDefault="002264DF" w:rsidP="002264DF">
      <w:pPr>
        <w:jc w:val="center"/>
      </w:pPr>
    </w:p>
    <w:p w14:paraId="1B2E4EA8" w14:textId="77777777" w:rsidR="00F450D4" w:rsidRDefault="00F450D4" w:rsidP="002264DF"/>
    <w:p w14:paraId="7DF942EC" w14:textId="00F370D2" w:rsidR="002264DF" w:rsidRDefault="002264DF" w:rsidP="002264DF">
      <w:r>
        <w:t xml:space="preserve">The </w:t>
      </w:r>
      <w:r w:rsidR="00227FBE">
        <w:t xml:space="preserve">number of </w:t>
      </w:r>
      <w:r>
        <w:t>sites per size category that exhibit flat baselines (indicative of undersized heaters) suggest the following designation of undersized v. proper-sized heaters</w:t>
      </w:r>
      <w:r w:rsidR="00227FBE">
        <w:t xml:space="preserve">. </w:t>
      </w:r>
      <w:r w:rsidR="00227FBE" w:rsidRPr="006E307D">
        <w:t>The heater range applies only to base case heater sizes; the new heaters all exhibit temperature dependence.</w:t>
      </w:r>
      <w:r w:rsidR="00227FBE">
        <w:t>)</w:t>
      </w:r>
    </w:p>
    <w:p w14:paraId="56E279CB" w14:textId="309AD39E" w:rsidR="002264DF" w:rsidRPr="00EA3797" w:rsidRDefault="002264DF" w:rsidP="00F21ADC">
      <w:pPr>
        <w:pStyle w:val="Caption"/>
      </w:pPr>
      <w:r>
        <w:t>Baseline Heater Size Ranges (as suggested by data)</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00"/>
        <w:gridCol w:w="2520"/>
        <w:gridCol w:w="2520"/>
      </w:tblGrid>
      <w:tr w:rsidR="002264DF" w:rsidRPr="006D31B3" w14:paraId="5906F28A" w14:textId="77777777" w:rsidTr="001E206A">
        <w:tc>
          <w:tcPr>
            <w:tcW w:w="1800" w:type="dxa"/>
            <w:shd w:val="clear" w:color="auto" w:fill="F2F2F2" w:themeFill="background1" w:themeFillShade="F2"/>
            <w:vAlign w:val="center"/>
          </w:tcPr>
          <w:p w14:paraId="4967356A" w14:textId="77777777" w:rsidR="002264DF" w:rsidRPr="006D31B3" w:rsidRDefault="002264DF" w:rsidP="00A94FD5">
            <w:pPr>
              <w:spacing w:before="0" w:after="0" w:line="240" w:lineRule="auto"/>
              <w:rPr>
                <w:rFonts w:cstheme="minorHAnsi"/>
                <w:b/>
                <w:sz w:val="20"/>
                <w:szCs w:val="20"/>
              </w:rPr>
            </w:pPr>
            <w:r w:rsidRPr="006D31B3">
              <w:rPr>
                <w:rFonts w:cstheme="minorHAnsi"/>
                <w:b/>
                <w:sz w:val="20"/>
                <w:szCs w:val="20"/>
              </w:rPr>
              <w:t>Site Size Category</w:t>
            </w:r>
          </w:p>
        </w:tc>
        <w:tc>
          <w:tcPr>
            <w:tcW w:w="2520" w:type="dxa"/>
            <w:shd w:val="clear" w:color="auto" w:fill="F2F2F2" w:themeFill="background1" w:themeFillShade="F2"/>
            <w:vAlign w:val="center"/>
          </w:tcPr>
          <w:p w14:paraId="17790717" w14:textId="77777777" w:rsidR="002264DF" w:rsidRPr="006D31B3" w:rsidRDefault="002264DF" w:rsidP="00A94FD5">
            <w:pPr>
              <w:spacing w:before="0" w:after="0" w:line="240" w:lineRule="auto"/>
              <w:rPr>
                <w:rFonts w:cstheme="minorHAnsi"/>
                <w:b/>
                <w:sz w:val="20"/>
                <w:szCs w:val="20"/>
              </w:rPr>
            </w:pPr>
            <w:r w:rsidRPr="006D31B3">
              <w:rPr>
                <w:rFonts w:cstheme="minorHAnsi"/>
                <w:b/>
                <w:sz w:val="20"/>
                <w:szCs w:val="20"/>
              </w:rPr>
              <w:t>Undersized Heater Range</w:t>
            </w:r>
          </w:p>
        </w:tc>
        <w:tc>
          <w:tcPr>
            <w:tcW w:w="2520" w:type="dxa"/>
            <w:shd w:val="clear" w:color="auto" w:fill="F2F2F2" w:themeFill="background1" w:themeFillShade="F2"/>
            <w:vAlign w:val="center"/>
          </w:tcPr>
          <w:p w14:paraId="1911C032" w14:textId="77777777" w:rsidR="002264DF" w:rsidRPr="006D31B3" w:rsidRDefault="002264DF" w:rsidP="00A94FD5">
            <w:pPr>
              <w:spacing w:before="0" w:after="0" w:line="240" w:lineRule="auto"/>
              <w:rPr>
                <w:rFonts w:cstheme="minorHAnsi"/>
                <w:b/>
                <w:sz w:val="20"/>
                <w:szCs w:val="20"/>
              </w:rPr>
            </w:pPr>
            <w:r w:rsidRPr="006D31B3">
              <w:rPr>
                <w:rFonts w:cstheme="minorHAnsi"/>
                <w:b/>
                <w:sz w:val="20"/>
                <w:szCs w:val="20"/>
              </w:rPr>
              <w:t>Proper-sized Heater Range</w:t>
            </w:r>
          </w:p>
        </w:tc>
      </w:tr>
      <w:tr w:rsidR="002264DF" w:rsidRPr="006D31B3" w14:paraId="504589E3" w14:textId="77777777" w:rsidTr="001E206A">
        <w:tc>
          <w:tcPr>
            <w:tcW w:w="1800" w:type="dxa"/>
          </w:tcPr>
          <w:p w14:paraId="7A9370B2" w14:textId="77777777" w:rsidR="002264DF" w:rsidRPr="006D31B3" w:rsidRDefault="002264DF" w:rsidP="00A94FD5">
            <w:pPr>
              <w:spacing w:before="0" w:after="0" w:line="240" w:lineRule="auto"/>
              <w:jc w:val="center"/>
              <w:rPr>
                <w:sz w:val="20"/>
                <w:szCs w:val="20"/>
              </w:rPr>
            </w:pPr>
            <w:r w:rsidRPr="006D31B3">
              <w:rPr>
                <w:sz w:val="20"/>
                <w:szCs w:val="20"/>
              </w:rPr>
              <w:t>1</w:t>
            </w:r>
          </w:p>
        </w:tc>
        <w:tc>
          <w:tcPr>
            <w:tcW w:w="2520" w:type="dxa"/>
          </w:tcPr>
          <w:p w14:paraId="05575155" w14:textId="77777777" w:rsidR="002264DF" w:rsidRPr="006D31B3" w:rsidRDefault="002264DF" w:rsidP="00A94FD5">
            <w:pPr>
              <w:spacing w:before="0" w:after="0" w:line="240" w:lineRule="auto"/>
              <w:jc w:val="center"/>
              <w:rPr>
                <w:sz w:val="20"/>
                <w:szCs w:val="20"/>
              </w:rPr>
            </w:pPr>
            <w:r w:rsidRPr="006D31B3">
              <w:rPr>
                <w:sz w:val="20"/>
                <w:szCs w:val="20"/>
              </w:rPr>
              <w:t>1 kW and below</w:t>
            </w:r>
          </w:p>
        </w:tc>
        <w:tc>
          <w:tcPr>
            <w:tcW w:w="2520" w:type="dxa"/>
          </w:tcPr>
          <w:p w14:paraId="01D7D651" w14:textId="77777777" w:rsidR="002264DF" w:rsidRPr="006D31B3" w:rsidRDefault="002264DF" w:rsidP="00A94FD5">
            <w:pPr>
              <w:spacing w:before="0" w:after="0" w:line="240" w:lineRule="auto"/>
              <w:jc w:val="center"/>
              <w:rPr>
                <w:sz w:val="20"/>
                <w:szCs w:val="20"/>
              </w:rPr>
            </w:pPr>
            <w:r w:rsidRPr="006D31B3">
              <w:rPr>
                <w:sz w:val="20"/>
                <w:szCs w:val="20"/>
              </w:rPr>
              <w:t>2 kW and above</w:t>
            </w:r>
          </w:p>
        </w:tc>
      </w:tr>
      <w:tr w:rsidR="002264DF" w:rsidRPr="006D31B3" w14:paraId="5081217A" w14:textId="77777777" w:rsidTr="001E206A">
        <w:tc>
          <w:tcPr>
            <w:tcW w:w="1800" w:type="dxa"/>
          </w:tcPr>
          <w:p w14:paraId="16C7A69B" w14:textId="77777777" w:rsidR="002264DF" w:rsidRPr="006D31B3" w:rsidRDefault="002264DF" w:rsidP="00A94FD5">
            <w:pPr>
              <w:spacing w:before="0" w:after="0" w:line="240" w:lineRule="auto"/>
              <w:jc w:val="center"/>
              <w:rPr>
                <w:sz w:val="20"/>
                <w:szCs w:val="20"/>
              </w:rPr>
            </w:pPr>
            <w:r w:rsidRPr="006D31B3">
              <w:rPr>
                <w:sz w:val="20"/>
                <w:szCs w:val="20"/>
              </w:rPr>
              <w:t>2</w:t>
            </w:r>
          </w:p>
        </w:tc>
        <w:tc>
          <w:tcPr>
            <w:tcW w:w="2520" w:type="dxa"/>
          </w:tcPr>
          <w:p w14:paraId="044F4A53" w14:textId="77777777" w:rsidR="002264DF" w:rsidRPr="006D31B3" w:rsidRDefault="002264DF" w:rsidP="00A94FD5">
            <w:pPr>
              <w:spacing w:before="0" w:after="0" w:line="240" w:lineRule="auto"/>
              <w:jc w:val="center"/>
              <w:rPr>
                <w:sz w:val="20"/>
                <w:szCs w:val="20"/>
              </w:rPr>
            </w:pPr>
            <w:r w:rsidRPr="006D31B3">
              <w:rPr>
                <w:sz w:val="20"/>
                <w:szCs w:val="20"/>
              </w:rPr>
              <w:t>1 kW and below</w:t>
            </w:r>
          </w:p>
        </w:tc>
        <w:tc>
          <w:tcPr>
            <w:tcW w:w="2520" w:type="dxa"/>
          </w:tcPr>
          <w:p w14:paraId="70E30699" w14:textId="77777777" w:rsidR="002264DF" w:rsidRPr="006D31B3" w:rsidRDefault="002264DF" w:rsidP="00A94FD5">
            <w:pPr>
              <w:spacing w:before="0" w:after="0" w:line="240" w:lineRule="auto"/>
              <w:jc w:val="center"/>
              <w:rPr>
                <w:sz w:val="20"/>
                <w:szCs w:val="20"/>
              </w:rPr>
            </w:pPr>
            <w:r w:rsidRPr="006D31B3">
              <w:rPr>
                <w:sz w:val="20"/>
                <w:szCs w:val="20"/>
              </w:rPr>
              <w:t>2 kW and above</w:t>
            </w:r>
          </w:p>
        </w:tc>
      </w:tr>
    </w:tbl>
    <w:p w14:paraId="25E4FE59" w14:textId="77777777" w:rsidR="002264DF" w:rsidRDefault="002264DF" w:rsidP="002264DF"/>
    <w:p w14:paraId="28C90A81" w14:textId="77777777" w:rsidR="002264DF" w:rsidRDefault="002264DF" w:rsidP="001E206A">
      <w:pPr>
        <w:shd w:val="clear" w:color="auto" w:fill="FFFFFF" w:themeFill="background1"/>
        <w:rPr>
          <w:rFonts w:asciiTheme="minorHAnsi" w:hAnsiTheme="minorHAnsi" w:cstheme="minorHAnsi"/>
          <w:szCs w:val="22"/>
        </w:rPr>
      </w:pPr>
    </w:p>
    <w:p w14:paraId="43A4B7D4" w14:textId="20E649B9" w:rsidR="002264DF" w:rsidRPr="005E2F57" w:rsidRDefault="008F2E6B" w:rsidP="005E2F57">
      <w:pPr>
        <w:pStyle w:val="eTRMHeading4"/>
      </w:pPr>
      <w:r w:rsidRPr="005E2F57">
        <w:lastRenderedPageBreak/>
        <w:t>Methodology</w:t>
      </w:r>
    </w:p>
    <w:p w14:paraId="212D0600" w14:textId="0408370B" w:rsidR="002264DF" w:rsidRDefault="002264DF" w:rsidP="002264DF">
      <w:r w:rsidRPr="00E64574">
        <w:t xml:space="preserve">Undersized and proper-sized sites </w:t>
      </w:r>
      <w:r w:rsidR="00E64574" w:rsidRPr="00E64574">
        <w:t>operate</w:t>
      </w:r>
      <w:r w:rsidRPr="00E64574">
        <w:t xml:space="preserve"> differently, and thus </w:t>
      </w:r>
      <w:r w:rsidR="00E64574" w:rsidRPr="00E64574">
        <w:t>were</w:t>
      </w:r>
      <w:r w:rsidRPr="00E64574">
        <w:t xml:space="preserve"> modeled separately.</w:t>
      </w:r>
      <w:r w:rsidR="00A94FD5" w:rsidRPr="00E64574">
        <w:t xml:space="preserve"> Each is</w:t>
      </w:r>
      <w:r w:rsidR="00A94FD5">
        <w:t xml:space="preserve"> described below.</w:t>
      </w:r>
    </w:p>
    <w:p w14:paraId="0AE0980C" w14:textId="3EC3E388" w:rsidR="00397B4D" w:rsidRDefault="00227FBE" w:rsidP="00A94FD5">
      <w:pPr>
        <w:pStyle w:val="eTRMHeading5"/>
      </w:pPr>
      <w:r>
        <w:t>Baseline Unit Energy Consumption</w:t>
      </w:r>
    </w:p>
    <w:p w14:paraId="61C3CF25" w14:textId="27B6936A" w:rsidR="002264DF" w:rsidRDefault="002264DF" w:rsidP="00397B4D">
      <w:r w:rsidRPr="00397B4D">
        <w:rPr>
          <w:b/>
        </w:rPr>
        <w:t xml:space="preserve">Undersized </w:t>
      </w:r>
      <w:r w:rsidR="00397B4D" w:rsidRPr="00397B4D">
        <w:rPr>
          <w:b/>
        </w:rPr>
        <w:t>Units:</w:t>
      </w:r>
      <w:r w:rsidR="00397B4D">
        <w:t xml:space="preserve"> The </w:t>
      </w:r>
      <w:r w:rsidR="00227FBE">
        <w:t>baseline UEC</w:t>
      </w:r>
      <w:r w:rsidR="00397B4D">
        <w:t xml:space="preserve"> of u</w:t>
      </w:r>
      <w:r>
        <w:t xml:space="preserve">ndersized sites frequently showed remarkable consistency; individual sites did not display enough variation to warrant modeling. </w:t>
      </w:r>
      <w:r w:rsidR="002D1B1D">
        <w:t>Therefore,</w:t>
      </w:r>
      <w:r>
        <w:t xml:space="preserve"> a single expected </w:t>
      </w:r>
      <w:r w:rsidR="00E64574">
        <w:t>base case</w:t>
      </w:r>
      <w:r>
        <w:t xml:space="preserve"> usage was attributed for each site. </w:t>
      </w:r>
      <w:r w:rsidR="00E64574">
        <w:t xml:space="preserve">(At sites where an overwhelming mode value was observed, the mode was used as the expected baseline usage.) Otherwise, the mean baseline usage was used. </w:t>
      </w:r>
      <w:r>
        <w:t xml:space="preserve">Across sites, the usage exhibited a </w:t>
      </w:r>
      <w:r w:rsidR="00932601">
        <w:t>linear</w:t>
      </w:r>
      <w:r>
        <w:t xml:space="preserve"> relationship with heater size across site size categories.</w:t>
      </w:r>
    </w:p>
    <w:p w14:paraId="6F18768B" w14:textId="22421736" w:rsidR="002264DF" w:rsidRDefault="00397B4D" w:rsidP="002264DF">
      <w:r w:rsidRPr="00397B4D">
        <w:rPr>
          <w:b/>
        </w:rPr>
        <w:t>Properly-Sized Units:</w:t>
      </w:r>
      <w:r>
        <w:t xml:space="preserve"> The base case</w:t>
      </w:r>
      <w:r w:rsidR="002264DF">
        <w:t xml:space="preserve"> usage </w:t>
      </w:r>
      <w:r>
        <w:t>of</w:t>
      </w:r>
      <w:r w:rsidR="002264DF">
        <w:t xml:space="preserve"> properly-sized sites </w:t>
      </w:r>
      <w:r>
        <w:t>was</w:t>
      </w:r>
      <w:r w:rsidR="002264DF">
        <w:t xml:space="preserve"> modeled (for each size category) as a function of temperature</w:t>
      </w:r>
      <w:r w:rsidR="004E2A8B">
        <w:t>.</w:t>
      </w:r>
      <w:r w:rsidR="00B37920">
        <w:rPr>
          <w:rStyle w:val="FootnoteReference"/>
        </w:rPr>
        <w:footnoteReference w:id="7"/>
      </w:r>
      <w:r w:rsidR="002264DF">
        <w:t xml:space="preserve"> There were not enough sites or variation in the baseline heater size to model usage as a function of heater size as well as site size category.  The </w:t>
      </w:r>
      <w:r>
        <w:t xml:space="preserve">regression </w:t>
      </w:r>
      <w:r w:rsidR="002264DF">
        <w:t>model applied (per site size category) is</w:t>
      </w:r>
      <w:r>
        <w:t xml:space="preserve"> represented as</w:t>
      </w:r>
      <w:r w:rsidR="002264DF">
        <w:t>:</w:t>
      </w:r>
    </w:p>
    <w:p w14:paraId="4AE3E0BF" w14:textId="77777777" w:rsidR="002264DF" w:rsidRPr="00A94FD5" w:rsidRDefault="002264DF" w:rsidP="00397B4D">
      <w:pPr>
        <w:ind w:left="720"/>
        <w:rPr>
          <w:sz w:val="18"/>
        </w:rPr>
      </w:pPr>
      <m:oMathPara>
        <m:oMathParaPr>
          <m:jc m:val="left"/>
        </m:oMathParaPr>
        <m:oMath>
          <m:r>
            <w:rPr>
              <w:rFonts w:ascii="Cambria Math" w:hAnsi="Cambria Math"/>
              <w:sz w:val="18"/>
            </w:rPr>
            <m:t xml:space="preserve">daily_kWh= </m:t>
          </m:r>
          <m:sSub>
            <m:sSubPr>
              <m:ctrlPr>
                <w:rPr>
                  <w:rFonts w:ascii="Cambria Math" w:hAnsi="Cambria Math"/>
                  <w:i/>
                  <w:sz w:val="18"/>
                </w:rPr>
              </m:ctrlPr>
            </m:sSubPr>
            <m:e>
              <m:r>
                <w:rPr>
                  <w:rFonts w:ascii="Cambria Math" w:hAnsi="Cambria Math"/>
                  <w:sz w:val="18"/>
                </w:rPr>
                <m:t>β</m:t>
              </m:r>
            </m:e>
            <m:sub>
              <m:r>
                <w:rPr>
                  <w:rFonts w:ascii="Cambria Math" w:hAnsi="Cambria Math"/>
                  <w:sz w:val="18"/>
                </w:rPr>
                <m:t>0</m:t>
              </m:r>
            </m:sub>
          </m:sSub>
          <m:r>
            <w:rPr>
              <w:rFonts w:ascii="Cambria Math" w:hAnsi="Cambria Math"/>
              <w:sz w:val="18"/>
            </w:rPr>
            <m:t>+</m:t>
          </m:r>
          <m:sSub>
            <m:sSubPr>
              <m:ctrlPr>
                <w:rPr>
                  <w:rFonts w:ascii="Cambria Math" w:hAnsi="Cambria Math"/>
                  <w:i/>
                  <w:sz w:val="18"/>
                </w:rPr>
              </m:ctrlPr>
            </m:sSubPr>
            <m:e>
              <m:r>
                <w:rPr>
                  <w:rFonts w:ascii="Cambria Math" w:hAnsi="Cambria Math"/>
                  <w:sz w:val="18"/>
                </w:rPr>
                <m:t>β</m:t>
              </m:r>
            </m:e>
            <m:sub>
              <m:r>
                <w:rPr>
                  <w:rFonts w:ascii="Cambria Math" w:hAnsi="Cambria Math"/>
                  <w:sz w:val="18"/>
                </w:rPr>
                <m:t>1</m:t>
              </m:r>
            </m:sub>
          </m:sSub>
          <m:r>
            <w:rPr>
              <w:rFonts w:ascii="Cambria Math" w:hAnsi="Cambria Math"/>
              <w:sz w:val="18"/>
            </w:rPr>
            <m:t>*Temperature+ε</m:t>
          </m:r>
        </m:oMath>
      </m:oMathPara>
    </w:p>
    <w:p w14:paraId="4DA052A0" w14:textId="39831E40" w:rsidR="002264DF" w:rsidRPr="00A94FD5" w:rsidRDefault="00A94FD5" w:rsidP="00397B4D">
      <w:pPr>
        <w:ind w:left="720"/>
        <w:rPr>
          <w:rFonts w:ascii="Cambria Math" w:hAnsi="Cambria Math"/>
          <w:sz w:val="18"/>
        </w:rPr>
      </w:pPr>
      <w:r w:rsidRPr="00A94FD5">
        <w:rPr>
          <w:rFonts w:ascii="Cambria Math" w:hAnsi="Cambria Math"/>
          <w:sz w:val="18"/>
        </w:rPr>
        <w:t>w</w:t>
      </w:r>
      <w:r w:rsidR="002264DF" w:rsidRPr="00A94FD5">
        <w:rPr>
          <w:rFonts w:ascii="Cambria Math" w:hAnsi="Cambria Math"/>
          <w:sz w:val="18"/>
        </w:rPr>
        <w:t>here:</w:t>
      </w:r>
    </w:p>
    <w:p w14:paraId="1A8EA409" w14:textId="4A5A55A3" w:rsidR="002264DF" w:rsidRPr="00A94FD5" w:rsidRDefault="002264DF" w:rsidP="00397B4D">
      <w:pPr>
        <w:spacing w:before="0" w:after="0"/>
        <w:ind w:left="1080"/>
        <w:rPr>
          <w:rFonts w:ascii="Cambria Math" w:hAnsi="Cambria Math"/>
          <w:sz w:val="18"/>
        </w:rPr>
      </w:pPr>
      <w:proofErr w:type="spellStart"/>
      <w:r w:rsidRPr="00A94FD5">
        <w:rPr>
          <w:rFonts w:ascii="Cambria Math" w:hAnsi="Cambria Math"/>
          <w:i/>
          <w:sz w:val="18"/>
        </w:rPr>
        <w:t>Daily_</w:t>
      </w:r>
      <w:proofErr w:type="gramStart"/>
      <w:r w:rsidRPr="00A94FD5">
        <w:rPr>
          <w:rFonts w:ascii="Cambria Math" w:hAnsi="Cambria Math"/>
          <w:i/>
          <w:sz w:val="18"/>
        </w:rPr>
        <w:t>kWh</w:t>
      </w:r>
      <w:proofErr w:type="spellEnd"/>
      <w:r w:rsidRPr="00A94FD5">
        <w:rPr>
          <w:rFonts w:ascii="Cambria Math" w:hAnsi="Cambria Math"/>
          <w:sz w:val="18"/>
        </w:rPr>
        <w:t xml:space="preserve"> </w:t>
      </w:r>
      <w:r w:rsidR="00A94FD5">
        <w:rPr>
          <w:rFonts w:ascii="Cambria Math" w:hAnsi="Cambria Math"/>
          <w:sz w:val="18"/>
        </w:rPr>
        <w:t xml:space="preserve"> =</w:t>
      </w:r>
      <w:proofErr w:type="gramEnd"/>
      <w:r w:rsidR="00A94FD5">
        <w:rPr>
          <w:rFonts w:ascii="Cambria Math" w:hAnsi="Cambria Math"/>
          <w:sz w:val="18"/>
        </w:rPr>
        <w:t xml:space="preserve"> </w:t>
      </w:r>
      <w:r w:rsidR="00A94FD5">
        <w:rPr>
          <w:rFonts w:ascii="Cambria Math" w:hAnsi="Cambria Math"/>
          <w:sz w:val="18"/>
        </w:rPr>
        <w:tab/>
      </w:r>
      <w:r w:rsidR="00A94FD5">
        <w:rPr>
          <w:rFonts w:ascii="Cambria Math" w:hAnsi="Cambria Math"/>
          <w:sz w:val="18"/>
        </w:rPr>
        <w:tab/>
      </w:r>
      <w:r w:rsidRPr="00A94FD5">
        <w:rPr>
          <w:rFonts w:ascii="Cambria Math" w:hAnsi="Cambria Math"/>
          <w:sz w:val="18"/>
        </w:rPr>
        <w:t xml:space="preserve"> the daily usage (kWh) as collected</w:t>
      </w:r>
    </w:p>
    <w:p w14:paraId="6D37B3ED" w14:textId="19A1B098" w:rsidR="002264DF" w:rsidRPr="00A94FD5" w:rsidRDefault="002264DF" w:rsidP="00397B4D">
      <w:pPr>
        <w:spacing w:before="0" w:after="0"/>
        <w:ind w:left="1080"/>
        <w:rPr>
          <w:rFonts w:ascii="Cambria Math" w:hAnsi="Cambria Math"/>
          <w:sz w:val="18"/>
        </w:rPr>
      </w:pPr>
      <w:r w:rsidRPr="00A94FD5">
        <w:rPr>
          <w:rFonts w:ascii="Cambria Math" w:hAnsi="Cambria Math"/>
          <w:i/>
          <w:sz w:val="18"/>
        </w:rPr>
        <w:t xml:space="preserve">Temperature </w:t>
      </w:r>
      <w:r w:rsidR="00A94FD5">
        <w:rPr>
          <w:rFonts w:ascii="Cambria Math" w:hAnsi="Cambria Math"/>
          <w:sz w:val="18"/>
        </w:rPr>
        <w:t>=</w:t>
      </w:r>
      <w:r w:rsidR="00A94FD5">
        <w:rPr>
          <w:rFonts w:ascii="Cambria Math" w:hAnsi="Cambria Math"/>
          <w:sz w:val="18"/>
        </w:rPr>
        <w:tab/>
      </w:r>
      <w:r w:rsidRPr="00A94FD5">
        <w:rPr>
          <w:rFonts w:ascii="Cambria Math" w:hAnsi="Cambria Math"/>
          <w:sz w:val="18"/>
        </w:rPr>
        <w:t xml:space="preserve"> the observed average outside air temperature (</w:t>
      </w:r>
      <w:r w:rsidRPr="00A94FD5">
        <w:rPr>
          <w:rFonts w:ascii="Cambria Math" w:hAnsi="Cambria Math" w:cstheme="minorHAnsi"/>
          <w:sz w:val="18"/>
        </w:rPr>
        <w:t>°</w:t>
      </w:r>
      <w:r w:rsidRPr="00A94FD5">
        <w:rPr>
          <w:rFonts w:ascii="Cambria Math" w:hAnsi="Cambria Math"/>
          <w:sz w:val="18"/>
        </w:rPr>
        <w:t>F)</w:t>
      </w:r>
    </w:p>
    <w:p w14:paraId="0CFE6FF4" w14:textId="77777777" w:rsidR="002264DF" w:rsidRDefault="002264DF" w:rsidP="002264DF">
      <w:pPr>
        <w:ind w:left="360"/>
      </w:pPr>
    </w:p>
    <w:p w14:paraId="1819AA00" w14:textId="5C8133F4" w:rsidR="002264DF" w:rsidRPr="00FC659F" w:rsidRDefault="00E64574" w:rsidP="00A94FD5">
      <w:pPr>
        <w:pStyle w:val="eTRMHeading5"/>
      </w:pPr>
      <w:r>
        <w:t>Measure Case</w:t>
      </w:r>
      <w:r w:rsidR="002264DF">
        <w:t xml:space="preserve"> </w:t>
      </w:r>
      <w:r w:rsidR="004E2A8B">
        <w:t xml:space="preserve">Unit Energy Consumption </w:t>
      </w:r>
    </w:p>
    <w:p w14:paraId="2B9B8AFB" w14:textId="271C32EB" w:rsidR="002264DF" w:rsidRDefault="002264DF" w:rsidP="002264DF">
      <w:r>
        <w:t xml:space="preserve">Measure undersized heaters were not an issue as in the baseline </w:t>
      </w:r>
      <w:r w:rsidR="00636165">
        <w:t>periods;</w:t>
      </w:r>
      <w:r>
        <w:t xml:space="preserve"> </w:t>
      </w:r>
      <w:r w:rsidR="00932601">
        <w:t>therefore,</w:t>
      </w:r>
      <w:r>
        <w:t xml:space="preserve"> </w:t>
      </w:r>
      <w:r w:rsidR="004E2A8B">
        <w:t xml:space="preserve">the measure case UEC at all sites </w:t>
      </w:r>
      <w:r>
        <w:t xml:space="preserve">was modeled as a function of temperature and new heater size.  The </w:t>
      </w:r>
      <w:r w:rsidR="00E64574">
        <w:t xml:space="preserve">regression </w:t>
      </w:r>
      <w:r>
        <w:t>model (per site size category) is:</w:t>
      </w:r>
    </w:p>
    <w:p w14:paraId="0195924A" w14:textId="77777777" w:rsidR="002264DF" w:rsidRPr="00A94FD5" w:rsidRDefault="002264DF" w:rsidP="00397B4D">
      <w:pPr>
        <w:ind w:left="720"/>
        <w:rPr>
          <w:sz w:val="18"/>
        </w:rPr>
      </w:pPr>
      <m:oMathPara>
        <m:oMathParaPr>
          <m:jc m:val="left"/>
        </m:oMathParaPr>
        <m:oMath>
          <m:r>
            <w:rPr>
              <w:rFonts w:ascii="Cambria Math" w:hAnsi="Cambria Math"/>
              <w:sz w:val="18"/>
            </w:rPr>
            <m:t xml:space="preserve">daily_kWh= </m:t>
          </m:r>
          <m:sSub>
            <m:sSubPr>
              <m:ctrlPr>
                <w:rPr>
                  <w:rFonts w:ascii="Cambria Math" w:hAnsi="Cambria Math"/>
                  <w:i/>
                  <w:sz w:val="18"/>
                </w:rPr>
              </m:ctrlPr>
            </m:sSubPr>
            <m:e>
              <m:r>
                <w:rPr>
                  <w:rFonts w:ascii="Cambria Math" w:hAnsi="Cambria Math"/>
                  <w:sz w:val="18"/>
                </w:rPr>
                <m:t>β</m:t>
              </m:r>
            </m:e>
            <m:sub>
              <m:r>
                <w:rPr>
                  <w:rFonts w:ascii="Cambria Math" w:hAnsi="Cambria Math"/>
                  <w:sz w:val="18"/>
                </w:rPr>
                <m:t>0</m:t>
              </m:r>
            </m:sub>
          </m:sSub>
          <m:r>
            <w:rPr>
              <w:rFonts w:ascii="Cambria Math" w:hAnsi="Cambria Math"/>
              <w:sz w:val="18"/>
            </w:rPr>
            <m:t>+</m:t>
          </m:r>
          <m:sSub>
            <m:sSubPr>
              <m:ctrlPr>
                <w:rPr>
                  <w:rFonts w:ascii="Cambria Math" w:hAnsi="Cambria Math"/>
                  <w:i/>
                  <w:sz w:val="18"/>
                </w:rPr>
              </m:ctrlPr>
            </m:sSubPr>
            <m:e>
              <m:r>
                <w:rPr>
                  <w:rFonts w:ascii="Cambria Math" w:hAnsi="Cambria Math"/>
                  <w:sz w:val="18"/>
                </w:rPr>
                <m:t>β</m:t>
              </m:r>
            </m:e>
            <m:sub>
              <m:r>
                <w:rPr>
                  <w:rFonts w:ascii="Cambria Math" w:hAnsi="Cambria Math"/>
                  <w:sz w:val="18"/>
                </w:rPr>
                <m:t>1</m:t>
              </m:r>
            </m:sub>
          </m:sSub>
          <m:r>
            <w:rPr>
              <w:rFonts w:ascii="Cambria Math" w:hAnsi="Cambria Math"/>
              <w:sz w:val="18"/>
            </w:rPr>
            <m:t>*New_Heater_Size+</m:t>
          </m:r>
          <m:sSub>
            <m:sSubPr>
              <m:ctrlPr>
                <w:rPr>
                  <w:rFonts w:ascii="Cambria Math" w:hAnsi="Cambria Math"/>
                  <w:i/>
                  <w:sz w:val="18"/>
                </w:rPr>
              </m:ctrlPr>
            </m:sSubPr>
            <m:e>
              <m:r>
                <w:rPr>
                  <w:rFonts w:ascii="Cambria Math" w:hAnsi="Cambria Math"/>
                  <w:sz w:val="18"/>
                </w:rPr>
                <m:t>β</m:t>
              </m:r>
            </m:e>
            <m:sub>
              <m:r>
                <w:rPr>
                  <w:rFonts w:ascii="Cambria Math" w:hAnsi="Cambria Math"/>
                  <w:sz w:val="18"/>
                </w:rPr>
                <m:t>2</m:t>
              </m:r>
            </m:sub>
          </m:sSub>
          <m:r>
            <w:rPr>
              <w:rFonts w:ascii="Cambria Math" w:hAnsi="Cambria Math"/>
              <w:sz w:val="18"/>
            </w:rPr>
            <m:t>*New_Heater_Size*Temperature+ε</m:t>
          </m:r>
        </m:oMath>
      </m:oMathPara>
    </w:p>
    <w:p w14:paraId="641E5C90" w14:textId="7954C655" w:rsidR="002264DF" w:rsidRPr="001E206A" w:rsidRDefault="002264DF" w:rsidP="00397B4D">
      <w:pPr>
        <w:spacing w:before="0" w:after="0" w:line="240" w:lineRule="auto"/>
        <w:ind w:left="1080"/>
        <w:rPr>
          <w:rFonts w:ascii="Cambria Math" w:hAnsi="Cambria Math"/>
          <w:i/>
          <w:iCs/>
          <w:sz w:val="18"/>
          <w:szCs w:val="18"/>
        </w:rPr>
      </w:pPr>
      <w:proofErr w:type="spellStart"/>
      <w:r w:rsidRPr="00ED0D7F">
        <w:rPr>
          <w:rFonts w:ascii="Cambria Math" w:hAnsi="Cambria Math"/>
          <w:i/>
          <w:iCs/>
          <w:sz w:val="18"/>
          <w:szCs w:val="18"/>
        </w:rPr>
        <w:t>Daily_kWh</w:t>
      </w:r>
      <w:proofErr w:type="spellEnd"/>
      <w:r w:rsidRPr="001E206A">
        <w:rPr>
          <w:rFonts w:ascii="Cambria Math" w:hAnsi="Cambria Math"/>
          <w:i/>
          <w:iCs/>
          <w:sz w:val="18"/>
          <w:szCs w:val="18"/>
        </w:rPr>
        <w:t xml:space="preserve"> </w:t>
      </w:r>
      <w:r w:rsidR="00A94FD5" w:rsidRPr="001E206A">
        <w:rPr>
          <w:rFonts w:ascii="Cambria Math" w:hAnsi="Cambria Math"/>
          <w:i/>
          <w:iCs/>
          <w:sz w:val="18"/>
          <w:szCs w:val="18"/>
        </w:rPr>
        <w:t>=</w:t>
      </w:r>
      <w:r w:rsidR="00A94FD5" w:rsidRPr="001E206A">
        <w:rPr>
          <w:rFonts w:ascii="Cambria Math" w:hAnsi="Cambria Math"/>
          <w:i/>
          <w:iCs/>
          <w:sz w:val="18"/>
          <w:szCs w:val="18"/>
        </w:rPr>
        <w:tab/>
      </w:r>
      <w:r w:rsidR="00A04E4E">
        <w:rPr>
          <w:rFonts w:ascii="Cambria Math" w:hAnsi="Cambria Math"/>
          <w:i/>
          <w:iCs/>
          <w:sz w:val="18"/>
          <w:szCs w:val="18"/>
        </w:rPr>
        <w:tab/>
        <w:t xml:space="preserve"> </w:t>
      </w:r>
      <w:r w:rsidRPr="001E206A">
        <w:rPr>
          <w:rFonts w:ascii="Cambria Math" w:hAnsi="Cambria Math"/>
          <w:i/>
          <w:iCs/>
          <w:sz w:val="18"/>
          <w:szCs w:val="18"/>
        </w:rPr>
        <w:t>the daily usage (kWh) as collected</w:t>
      </w:r>
    </w:p>
    <w:p w14:paraId="7BD1D9B3" w14:textId="30D9A9C1" w:rsidR="002264DF" w:rsidRPr="001E206A" w:rsidRDefault="002264DF" w:rsidP="00397B4D">
      <w:pPr>
        <w:spacing w:before="0" w:after="0" w:line="240" w:lineRule="auto"/>
        <w:ind w:left="1080"/>
        <w:rPr>
          <w:rFonts w:ascii="Cambria Math" w:hAnsi="Cambria Math"/>
          <w:i/>
          <w:iCs/>
          <w:sz w:val="18"/>
          <w:szCs w:val="18"/>
        </w:rPr>
      </w:pPr>
      <w:proofErr w:type="spellStart"/>
      <w:r w:rsidRPr="00ED0D7F">
        <w:rPr>
          <w:rFonts w:ascii="Cambria Math" w:hAnsi="Cambria Math"/>
          <w:i/>
          <w:iCs/>
          <w:sz w:val="18"/>
          <w:szCs w:val="18"/>
        </w:rPr>
        <w:t>New_Heater_Size</w:t>
      </w:r>
      <w:proofErr w:type="spellEnd"/>
      <w:r w:rsidRPr="001E206A">
        <w:rPr>
          <w:rFonts w:ascii="Cambria Math" w:hAnsi="Cambria Math"/>
          <w:i/>
          <w:iCs/>
          <w:sz w:val="18"/>
          <w:szCs w:val="18"/>
        </w:rPr>
        <w:t xml:space="preserve"> </w:t>
      </w:r>
      <w:r w:rsidR="00A94FD5" w:rsidRPr="001E206A">
        <w:rPr>
          <w:rFonts w:ascii="Cambria Math" w:hAnsi="Cambria Math"/>
          <w:i/>
          <w:iCs/>
          <w:sz w:val="18"/>
          <w:szCs w:val="18"/>
        </w:rPr>
        <w:t>=</w:t>
      </w:r>
      <w:r w:rsidR="00A94FD5" w:rsidRPr="001E206A">
        <w:rPr>
          <w:rFonts w:ascii="Cambria Math" w:hAnsi="Cambria Math"/>
          <w:i/>
          <w:iCs/>
          <w:sz w:val="18"/>
          <w:szCs w:val="18"/>
        </w:rPr>
        <w:tab/>
      </w:r>
      <w:r w:rsidRPr="001E206A">
        <w:rPr>
          <w:rFonts w:ascii="Cambria Math" w:hAnsi="Cambria Math"/>
          <w:i/>
          <w:iCs/>
          <w:sz w:val="18"/>
          <w:szCs w:val="18"/>
        </w:rPr>
        <w:t xml:space="preserve"> the recorded new heater size (kW)</w:t>
      </w:r>
    </w:p>
    <w:p w14:paraId="3C999C9E" w14:textId="3C3AD452" w:rsidR="002264DF" w:rsidRPr="001E206A" w:rsidRDefault="002264DF" w:rsidP="00397B4D">
      <w:pPr>
        <w:spacing w:before="0" w:after="0" w:line="240" w:lineRule="auto"/>
        <w:ind w:left="1080"/>
        <w:rPr>
          <w:rFonts w:ascii="Cambria Math" w:hAnsi="Cambria Math"/>
          <w:i/>
          <w:iCs/>
          <w:sz w:val="18"/>
          <w:szCs w:val="18"/>
        </w:rPr>
      </w:pPr>
      <w:r w:rsidRPr="00ED0D7F">
        <w:rPr>
          <w:rFonts w:ascii="Cambria Math" w:hAnsi="Cambria Math"/>
          <w:i/>
          <w:iCs/>
          <w:sz w:val="18"/>
          <w:szCs w:val="18"/>
        </w:rPr>
        <w:t xml:space="preserve">Temperature </w:t>
      </w:r>
      <w:r w:rsidR="00A94FD5" w:rsidRPr="001E206A">
        <w:rPr>
          <w:rFonts w:ascii="Cambria Math" w:hAnsi="Cambria Math"/>
          <w:i/>
          <w:iCs/>
          <w:sz w:val="18"/>
          <w:szCs w:val="18"/>
        </w:rPr>
        <w:t>=</w:t>
      </w:r>
      <w:r w:rsidR="00A94FD5" w:rsidRPr="001E206A">
        <w:rPr>
          <w:rFonts w:ascii="Cambria Math" w:hAnsi="Cambria Math"/>
          <w:i/>
          <w:iCs/>
          <w:sz w:val="18"/>
          <w:szCs w:val="18"/>
        </w:rPr>
        <w:tab/>
      </w:r>
      <w:r w:rsidRPr="001E206A">
        <w:rPr>
          <w:rFonts w:ascii="Cambria Math" w:hAnsi="Cambria Math"/>
          <w:i/>
          <w:iCs/>
          <w:sz w:val="18"/>
          <w:szCs w:val="18"/>
        </w:rPr>
        <w:t xml:space="preserve"> the observed average outside air temperature (</w:t>
      </w:r>
      <w:r w:rsidRPr="001E206A">
        <w:rPr>
          <w:rFonts w:ascii="Cambria Math" w:hAnsi="Cambria Math" w:cstheme="minorHAnsi"/>
          <w:i/>
          <w:iCs/>
          <w:sz w:val="18"/>
          <w:szCs w:val="18"/>
        </w:rPr>
        <w:t>°</w:t>
      </w:r>
      <w:r w:rsidRPr="001E206A">
        <w:rPr>
          <w:rFonts w:ascii="Cambria Math" w:hAnsi="Cambria Math"/>
          <w:i/>
          <w:iCs/>
          <w:sz w:val="18"/>
          <w:szCs w:val="18"/>
        </w:rPr>
        <w:t>F)</w:t>
      </w:r>
    </w:p>
    <w:p w14:paraId="6C1A2526" w14:textId="31FB1F44" w:rsidR="002264DF" w:rsidRDefault="002264DF" w:rsidP="00E64574"/>
    <w:p w14:paraId="1EB7F0F6" w14:textId="11A3CE1C" w:rsidR="00E64574" w:rsidRDefault="00E64574" w:rsidP="00E64574">
      <w:r>
        <w:t>Note</w:t>
      </w:r>
      <w:r w:rsidRPr="00524D76">
        <w:t xml:space="preserve"> that interactive effects are not </w:t>
      </w:r>
      <w:r>
        <w:t>applied</w:t>
      </w:r>
      <w:r w:rsidRPr="00524D76">
        <w:t xml:space="preserve"> in the calculation of the energy savings as the equipment will either be installed outside or in </w:t>
      </w:r>
      <w:r>
        <w:t>a</w:t>
      </w:r>
      <w:r w:rsidRPr="00524D76">
        <w:t xml:space="preserve"> room.</w:t>
      </w:r>
      <w:r>
        <w:t xml:space="preserve"> Due to the equipment being installed either outside or in an unconditioned room, the energy savings will not vary by building type.</w:t>
      </w:r>
    </w:p>
    <w:p w14:paraId="09EB30B3" w14:textId="77777777" w:rsidR="00E64574" w:rsidRPr="006519DC" w:rsidRDefault="00E64574" w:rsidP="00E64574"/>
    <w:p w14:paraId="59D675B2" w14:textId="77777777" w:rsidR="004E2A8B" w:rsidRPr="00DB233D" w:rsidRDefault="004E2A8B" w:rsidP="004E2A8B">
      <w:pPr>
        <w:pStyle w:val="eTRMHeading5"/>
      </w:pPr>
      <w:r>
        <w:t>Estimation Results</w:t>
      </w:r>
    </w:p>
    <w:p w14:paraId="136E00FD" w14:textId="77777777" w:rsidR="004E2A8B" w:rsidRPr="00A94FD5" w:rsidRDefault="004E2A8B" w:rsidP="004E2A8B">
      <w:r>
        <w:t>The b</w:t>
      </w:r>
      <w:r w:rsidRPr="00A94FD5">
        <w:t xml:space="preserve">aseline </w:t>
      </w:r>
      <w:r>
        <w:t>u</w:t>
      </w:r>
      <w:r w:rsidRPr="00A94FD5">
        <w:t xml:space="preserve">sage for </w:t>
      </w:r>
      <w:r>
        <w:t>u</w:t>
      </w:r>
      <w:r w:rsidRPr="00A94FD5">
        <w:t xml:space="preserve">ndersized </w:t>
      </w:r>
      <w:r>
        <w:t>s</w:t>
      </w:r>
      <w:r w:rsidRPr="00A94FD5">
        <w:t>ites</w:t>
      </w:r>
      <w:r>
        <w:t xml:space="preserve"> is represented by the following calculation. </w:t>
      </w:r>
    </w:p>
    <w:p w14:paraId="7E289CC8" w14:textId="77777777" w:rsidR="004E2A8B" w:rsidRPr="00A94FD5" w:rsidRDefault="004E2A8B" w:rsidP="004E2A8B">
      <w:pPr>
        <w:tabs>
          <w:tab w:val="left" w:pos="7200"/>
        </w:tabs>
        <w:ind w:left="720"/>
        <w:rPr>
          <w:rFonts w:ascii="Cambria Math" w:hAnsi="Cambria Math"/>
        </w:rPr>
      </w:pPr>
      <w:proofErr w:type="spellStart"/>
      <w:r w:rsidRPr="00A94FD5">
        <w:rPr>
          <w:rFonts w:ascii="Cambria Math" w:hAnsi="Cambria Math"/>
          <w:i/>
          <w:sz w:val="18"/>
        </w:rPr>
        <w:t>daily_kWh</w:t>
      </w:r>
      <w:proofErr w:type="spellEnd"/>
      <w:r w:rsidRPr="00A94FD5">
        <w:rPr>
          <w:rFonts w:ascii="Cambria Math" w:hAnsi="Cambria Math"/>
          <w:sz w:val="18"/>
        </w:rPr>
        <w:t xml:space="preserve"> = 20.2 </w:t>
      </w:r>
      <w:r w:rsidRPr="00BD17A1">
        <w:rPr>
          <w:rFonts w:ascii="Arial" w:hAnsi="Arial" w:cs="Arial"/>
          <w:sz w:val="18"/>
        </w:rPr>
        <w:t>x</w:t>
      </w:r>
      <w:r w:rsidRPr="00A94FD5">
        <w:rPr>
          <w:rFonts w:ascii="Cambria Math" w:hAnsi="Cambria Math"/>
          <w:sz w:val="18"/>
        </w:rPr>
        <w:t xml:space="preserve"> </w:t>
      </w:r>
      <w:proofErr w:type="spellStart"/>
      <w:r w:rsidRPr="00A94FD5">
        <w:rPr>
          <w:rFonts w:ascii="Cambria Math" w:hAnsi="Cambria Math"/>
          <w:i/>
          <w:sz w:val="18"/>
        </w:rPr>
        <w:t>Baseline_Heater_Size</w:t>
      </w:r>
      <w:proofErr w:type="spellEnd"/>
    </w:p>
    <w:p w14:paraId="7713B1AB" w14:textId="77777777" w:rsidR="004E2A8B" w:rsidRDefault="004E2A8B" w:rsidP="004E2A8B">
      <w:pPr>
        <w:tabs>
          <w:tab w:val="left" w:pos="7200"/>
        </w:tabs>
        <w:ind w:left="720"/>
        <w:rPr>
          <w:i/>
        </w:rPr>
      </w:pPr>
    </w:p>
    <w:p w14:paraId="4993E7A1" w14:textId="77777777" w:rsidR="004E2A8B" w:rsidRPr="00BC142C" w:rsidRDefault="004E2A8B" w:rsidP="004E2A8B">
      <w:r>
        <w:lastRenderedPageBreak/>
        <w:t xml:space="preserve">The regression results for the baseline usage for properly sized sites and for treatment (measure case) usage </w:t>
      </w:r>
      <w:proofErr w:type="gramStart"/>
      <w:r>
        <w:t>are</w:t>
      </w:r>
      <w:proofErr w:type="gramEnd"/>
      <w:r>
        <w:t xml:space="preserve"> provided below.</w:t>
      </w:r>
    </w:p>
    <w:p w14:paraId="4545FEAF" w14:textId="03DF41E8" w:rsidR="002264DF" w:rsidRPr="006519DC" w:rsidRDefault="002264DF" w:rsidP="00F21ADC">
      <w:pPr>
        <w:pStyle w:val="Caption"/>
      </w:pPr>
      <w:r w:rsidRPr="006519DC">
        <w:t xml:space="preserve">Estimated Baseline Usage for </w:t>
      </w:r>
      <w:r w:rsidR="00A04E4E">
        <w:t>Properly Sized</w:t>
      </w:r>
      <w:r w:rsidRPr="006519DC">
        <w:t xml:space="preserve"> Sites</w:t>
      </w:r>
      <w:r>
        <w:t xml:space="preserve"> (regression results)</w:t>
      </w:r>
    </w:p>
    <w:tbl>
      <w:tblPr>
        <w:tblW w:w="57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920"/>
        <w:gridCol w:w="1920"/>
        <w:gridCol w:w="1920"/>
      </w:tblGrid>
      <w:tr w:rsidR="002264DF" w:rsidRPr="00A94FD5" w14:paraId="0D3647BF" w14:textId="77777777" w:rsidTr="004212C3">
        <w:trPr>
          <w:cantSplit/>
          <w:trHeight w:val="20"/>
        </w:trPr>
        <w:tc>
          <w:tcPr>
            <w:tcW w:w="1920" w:type="dxa"/>
            <w:vMerge w:val="restart"/>
            <w:shd w:val="clear" w:color="auto" w:fill="F2F2F2" w:themeFill="background1" w:themeFillShade="F2"/>
            <w:vAlign w:val="bottom"/>
            <w:hideMark/>
          </w:tcPr>
          <w:p w14:paraId="29485D16" w14:textId="77777777" w:rsidR="002264DF" w:rsidRPr="00A94FD5" w:rsidRDefault="002264DF" w:rsidP="00A94FD5">
            <w:pPr>
              <w:spacing w:before="0" w:after="0" w:line="240" w:lineRule="auto"/>
              <w:jc w:val="center"/>
              <w:rPr>
                <w:rFonts w:cs="Calibri Light"/>
                <w:b/>
                <w:color w:val="000000"/>
                <w:sz w:val="20"/>
                <w:szCs w:val="20"/>
              </w:rPr>
            </w:pPr>
            <w:r w:rsidRPr="00A94FD5">
              <w:rPr>
                <w:rFonts w:cs="Calibri Light"/>
                <w:b/>
                <w:color w:val="000000"/>
                <w:sz w:val="20"/>
                <w:szCs w:val="20"/>
              </w:rPr>
              <w:t>Site Size Category</w:t>
            </w:r>
          </w:p>
        </w:tc>
        <w:tc>
          <w:tcPr>
            <w:tcW w:w="3840" w:type="dxa"/>
            <w:gridSpan w:val="2"/>
            <w:shd w:val="clear" w:color="auto" w:fill="F2F2F2" w:themeFill="background1" w:themeFillShade="F2"/>
            <w:vAlign w:val="bottom"/>
            <w:hideMark/>
          </w:tcPr>
          <w:p w14:paraId="5827E2D7"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Regression Coefficients</w:t>
            </w:r>
          </w:p>
        </w:tc>
      </w:tr>
      <w:tr w:rsidR="002264DF" w:rsidRPr="00A94FD5" w14:paraId="7794AB2A" w14:textId="77777777" w:rsidTr="004212C3">
        <w:trPr>
          <w:cantSplit/>
          <w:trHeight w:val="20"/>
        </w:trPr>
        <w:tc>
          <w:tcPr>
            <w:tcW w:w="1920" w:type="dxa"/>
            <w:vMerge/>
            <w:shd w:val="clear" w:color="auto" w:fill="F2F2F2" w:themeFill="background1" w:themeFillShade="F2"/>
            <w:vAlign w:val="bottom"/>
            <w:hideMark/>
          </w:tcPr>
          <w:p w14:paraId="766B249A" w14:textId="77777777" w:rsidR="002264DF" w:rsidRPr="00A94FD5" w:rsidRDefault="002264DF" w:rsidP="00A94FD5">
            <w:pPr>
              <w:spacing w:before="0" w:after="0" w:line="240" w:lineRule="auto"/>
              <w:jc w:val="center"/>
              <w:rPr>
                <w:rFonts w:cs="Calibri Light"/>
                <w:b/>
                <w:color w:val="000000"/>
                <w:sz w:val="20"/>
                <w:szCs w:val="20"/>
              </w:rPr>
            </w:pPr>
          </w:p>
        </w:tc>
        <w:tc>
          <w:tcPr>
            <w:tcW w:w="1920" w:type="dxa"/>
            <w:shd w:val="clear" w:color="auto" w:fill="F2F2F2" w:themeFill="background1" w:themeFillShade="F2"/>
            <w:vAlign w:val="bottom"/>
            <w:hideMark/>
          </w:tcPr>
          <w:p w14:paraId="07682D52"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Intercept</w:t>
            </w:r>
          </w:p>
        </w:tc>
        <w:tc>
          <w:tcPr>
            <w:tcW w:w="1920" w:type="dxa"/>
            <w:shd w:val="clear" w:color="auto" w:fill="F2F2F2" w:themeFill="background1" w:themeFillShade="F2"/>
            <w:vAlign w:val="bottom"/>
            <w:hideMark/>
          </w:tcPr>
          <w:p w14:paraId="429F628E"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Temp.</w:t>
            </w:r>
          </w:p>
        </w:tc>
      </w:tr>
      <w:tr w:rsidR="002264DF" w:rsidRPr="00A94FD5" w14:paraId="443A0881" w14:textId="77777777" w:rsidTr="004212C3">
        <w:trPr>
          <w:cantSplit/>
          <w:trHeight w:val="20"/>
        </w:trPr>
        <w:tc>
          <w:tcPr>
            <w:tcW w:w="1920" w:type="dxa"/>
            <w:shd w:val="clear" w:color="auto" w:fill="auto"/>
            <w:vAlign w:val="center"/>
            <w:hideMark/>
          </w:tcPr>
          <w:p w14:paraId="1D775256" w14:textId="77777777" w:rsidR="002264DF" w:rsidRPr="00A94FD5" w:rsidRDefault="002264DF" w:rsidP="00A94FD5">
            <w:pPr>
              <w:spacing w:before="0" w:after="0" w:line="240" w:lineRule="auto"/>
              <w:jc w:val="center"/>
              <w:rPr>
                <w:rFonts w:cs="Calibri Light"/>
                <w:color w:val="000000"/>
                <w:sz w:val="20"/>
                <w:szCs w:val="20"/>
              </w:rPr>
            </w:pPr>
            <w:r w:rsidRPr="00A94FD5">
              <w:rPr>
                <w:rFonts w:cs="Calibri Light"/>
                <w:color w:val="000000"/>
                <w:sz w:val="20"/>
                <w:szCs w:val="20"/>
              </w:rPr>
              <w:t>1</w:t>
            </w:r>
          </w:p>
        </w:tc>
        <w:tc>
          <w:tcPr>
            <w:tcW w:w="1920" w:type="dxa"/>
            <w:shd w:val="clear" w:color="auto" w:fill="auto"/>
            <w:vAlign w:val="center"/>
            <w:hideMark/>
          </w:tcPr>
          <w:p w14:paraId="059E6C43" w14:textId="77777777" w:rsidR="002264DF" w:rsidRPr="00A94FD5" w:rsidRDefault="002264DF" w:rsidP="001E206A">
            <w:pPr>
              <w:spacing w:before="0" w:after="0" w:line="240" w:lineRule="auto"/>
              <w:ind w:right="667"/>
              <w:jc w:val="right"/>
              <w:rPr>
                <w:rFonts w:cs="Calibri Light"/>
                <w:color w:val="000000"/>
                <w:sz w:val="20"/>
                <w:szCs w:val="20"/>
              </w:rPr>
            </w:pPr>
            <w:r w:rsidRPr="00A94FD5">
              <w:rPr>
                <w:rFonts w:cs="Calibri Light"/>
                <w:color w:val="000000"/>
                <w:sz w:val="20"/>
                <w:szCs w:val="20"/>
              </w:rPr>
              <w:t>105.91</w:t>
            </w:r>
          </w:p>
        </w:tc>
        <w:tc>
          <w:tcPr>
            <w:tcW w:w="1920" w:type="dxa"/>
            <w:shd w:val="clear" w:color="auto" w:fill="auto"/>
            <w:vAlign w:val="center"/>
            <w:hideMark/>
          </w:tcPr>
          <w:p w14:paraId="29ABF09A" w14:textId="77777777" w:rsidR="002264DF" w:rsidRPr="00A94FD5" w:rsidRDefault="002264DF" w:rsidP="001E206A">
            <w:pPr>
              <w:spacing w:before="0" w:after="0" w:line="240" w:lineRule="auto"/>
              <w:ind w:right="667"/>
              <w:jc w:val="right"/>
              <w:rPr>
                <w:rFonts w:cs="Calibri Light"/>
                <w:color w:val="000000"/>
                <w:sz w:val="20"/>
                <w:szCs w:val="20"/>
              </w:rPr>
            </w:pPr>
            <w:r w:rsidRPr="00A94FD5">
              <w:rPr>
                <w:rFonts w:cs="Calibri Light"/>
                <w:color w:val="000000"/>
                <w:sz w:val="20"/>
                <w:szCs w:val="20"/>
              </w:rPr>
              <w:t>-1.178</w:t>
            </w:r>
          </w:p>
        </w:tc>
      </w:tr>
      <w:tr w:rsidR="002264DF" w:rsidRPr="00A94FD5" w14:paraId="50F39D80" w14:textId="77777777" w:rsidTr="004212C3">
        <w:trPr>
          <w:cantSplit/>
          <w:trHeight w:val="20"/>
        </w:trPr>
        <w:tc>
          <w:tcPr>
            <w:tcW w:w="1920" w:type="dxa"/>
            <w:shd w:val="clear" w:color="auto" w:fill="auto"/>
            <w:vAlign w:val="center"/>
            <w:hideMark/>
          </w:tcPr>
          <w:p w14:paraId="01651E6D" w14:textId="77777777" w:rsidR="002264DF" w:rsidRPr="00A94FD5" w:rsidRDefault="002264DF" w:rsidP="00A94FD5">
            <w:pPr>
              <w:spacing w:before="0" w:after="0" w:line="240" w:lineRule="auto"/>
              <w:jc w:val="center"/>
              <w:rPr>
                <w:rFonts w:cs="Calibri Light"/>
                <w:color w:val="000000"/>
                <w:sz w:val="20"/>
                <w:szCs w:val="20"/>
              </w:rPr>
            </w:pPr>
            <w:r w:rsidRPr="00A94FD5">
              <w:rPr>
                <w:rFonts w:cs="Calibri Light"/>
                <w:color w:val="000000"/>
                <w:sz w:val="20"/>
                <w:szCs w:val="20"/>
              </w:rPr>
              <w:t>2</w:t>
            </w:r>
          </w:p>
        </w:tc>
        <w:tc>
          <w:tcPr>
            <w:tcW w:w="1920" w:type="dxa"/>
            <w:shd w:val="clear" w:color="auto" w:fill="auto"/>
            <w:vAlign w:val="center"/>
            <w:hideMark/>
          </w:tcPr>
          <w:p w14:paraId="1F4CDBBF" w14:textId="77777777" w:rsidR="002264DF" w:rsidRPr="00A94FD5" w:rsidRDefault="002264DF" w:rsidP="001E206A">
            <w:pPr>
              <w:spacing w:before="0" w:after="0" w:line="240" w:lineRule="auto"/>
              <w:ind w:right="667"/>
              <w:jc w:val="right"/>
              <w:rPr>
                <w:rFonts w:cs="Calibri Light"/>
                <w:color w:val="000000"/>
                <w:sz w:val="20"/>
                <w:szCs w:val="20"/>
              </w:rPr>
            </w:pPr>
            <w:r w:rsidRPr="00A94FD5">
              <w:rPr>
                <w:rFonts w:cs="Calibri Light"/>
                <w:color w:val="000000"/>
                <w:sz w:val="20"/>
                <w:szCs w:val="20"/>
              </w:rPr>
              <w:t>88.92</w:t>
            </w:r>
          </w:p>
        </w:tc>
        <w:tc>
          <w:tcPr>
            <w:tcW w:w="1920" w:type="dxa"/>
            <w:shd w:val="clear" w:color="auto" w:fill="auto"/>
            <w:vAlign w:val="center"/>
            <w:hideMark/>
          </w:tcPr>
          <w:p w14:paraId="6296DEF1" w14:textId="77777777" w:rsidR="002264DF" w:rsidRPr="00A94FD5" w:rsidRDefault="002264DF" w:rsidP="001E206A">
            <w:pPr>
              <w:spacing w:before="0" w:after="0" w:line="240" w:lineRule="auto"/>
              <w:ind w:right="667"/>
              <w:jc w:val="right"/>
              <w:rPr>
                <w:rFonts w:cs="Calibri Light"/>
                <w:color w:val="000000"/>
                <w:sz w:val="20"/>
                <w:szCs w:val="20"/>
              </w:rPr>
            </w:pPr>
            <w:r w:rsidRPr="00A94FD5">
              <w:rPr>
                <w:rFonts w:cs="Calibri Light"/>
                <w:color w:val="000000"/>
                <w:sz w:val="20"/>
                <w:szCs w:val="20"/>
              </w:rPr>
              <w:t>-0.701</w:t>
            </w:r>
          </w:p>
        </w:tc>
      </w:tr>
    </w:tbl>
    <w:p w14:paraId="5544E8B2" w14:textId="68928A0E" w:rsidR="002264DF" w:rsidRDefault="003678B6" w:rsidP="00F21ADC">
      <w:pPr>
        <w:pStyle w:val="Caption"/>
      </w:pPr>
      <w:r>
        <w:br/>
      </w:r>
      <w:r w:rsidR="002264DF" w:rsidRPr="006519DC">
        <w:t xml:space="preserve">Estimated </w:t>
      </w:r>
      <w:r w:rsidR="002264DF">
        <w:t>Treatment</w:t>
      </w:r>
      <w:r w:rsidR="002264DF" w:rsidRPr="006519DC">
        <w:t xml:space="preserve"> Usage </w:t>
      </w:r>
      <w:r w:rsidR="002264DF">
        <w:t>(regression results)</w:t>
      </w:r>
    </w:p>
    <w:tbl>
      <w:tblPr>
        <w:tblW w:w="57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40"/>
        <w:gridCol w:w="1440"/>
        <w:gridCol w:w="1440"/>
        <w:gridCol w:w="1440"/>
      </w:tblGrid>
      <w:tr w:rsidR="002264DF" w:rsidRPr="006D31B3" w14:paraId="6EC9B41D" w14:textId="77777777" w:rsidTr="001E206A">
        <w:trPr>
          <w:cantSplit/>
          <w:trHeight w:val="20"/>
        </w:trPr>
        <w:tc>
          <w:tcPr>
            <w:tcW w:w="1440" w:type="dxa"/>
            <w:vMerge w:val="restart"/>
            <w:shd w:val="clear" w:color="auto" w:fill="F2F2F2" w:themeFill="background1" w:themeFillShade="F2"/>
            <w:vAlign w:val="bottom"/>
            <w:hideMark/>
          </w:tcPr>
          <w:p w14:paraId="4F9FD612" w14:textId="77777777" w:rsidR="002264DF" w:rsidRPr="00A94FD5" w:rsidRDefault="002264DF" w:rsidP="00A94FD5">
            <w:pPr>
              <w:spacing w:before="0" w:after="0" w:line="240" w:lineRule="auto"/>
              <w:jc w:val="center"/>
              <w:rPr>
                <w:rFonts w:cs="Calibri Light"/>
                <w:b/>
                <w:color w:val="000000"/>
                <w:sz w:val="20"/>
                <w:szCs w:val="20"/>
              </w:rPr>
            </w:pPr>
            <w:r w:rsidRPr="00A94FD5">
              <w:rPr>
                <w:rFonts w:cs="Calibri Light"/>
                <w:b/>
                <w:color w:val="000000"/>
                <w:sz w:val="20"/>
                <w:szCs w:val="20"/>
              </w:rPr>
              <w:t>Site Size Category</w:t>
            </w:r>
          </w:p>
        </w:tc>
        <w:tc>
          <w:tcPr>
            <w:tcW w:w="4320" w:type="dxa"/>
            <w:gridSpan w:val="3"/>
            <w:shd w:val="clear" w:color="auto" w:fill="F2F2F2" w:themeFill="background1" w:themeFillShade="F2"/>
            <w:vAlign w:val="bottom"/>
            <w:hideMark/>
          </w:tcPr>
          <w:p w14:paraId="41E44F79"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Regression Coefficients</w:t>
            </w:r>
          </w:p>
        </w:tc>
      </w:tr>
      <w:tr w:rsidR="002264DF" w:rsidRPr="006D31B3" w14:paraId="3CC1766D" w14:textId="77777777" w:rsidTr="001E206A">
        <w:trPr>
          <w:cantSplit/>
          <w:trHeight w:val="20"/>
        </w:trPr>
        <w:tc>
          <w:tcPr>
            <w:tcW w:w="1440" w:type="dxa"/>
            <w:vMerge/>
            <w:shd w:val="clear" w:color="auto" w:fill="F2F2F2" w:themeFill="background1" w:themeFillShade="F2"/>
            <w:vAlign w:val="bottom"/>
            <w:hideMark/>
          </w:tcPr>
          <w:p w14:paraId="4B0FB099" w14:textId="77777777" w:rsidR="002264DF" w:rsidRPr="00A94FD5" w:rsidRDefault="002264DF" w:rsidP="00A94FD5">
            <w:pPr>
              <w:spacing w:before="0" w:after="0" w:line="240" w:lineRule="auto"/>
              <w:jc w:val="center"/>
              <w:rPr>
                <w:rFonts w:cs="Calibri Light"/>
                <w:b/>
                <w:color w:val="000000"/>
                <w:sz w:val="20"/>
                <w:szCs w:val="20"/>
              </w:rPr>
            </w:pPr>
          </w:p>
        </w:tc>
        <w:tc>
          <w:tcPr>
            <w:tcW w:w="1440" w:type="dxa"/>
            <w:shd w:val="clear" w:color="auto" w:fill="F2F2F2" w:themeFill="background1" w:themeFillShade="F2"/>
            <w:vAlign w:val="bottom"/>
            <w:hideMark/>
          </w:tcPr>
          <w:p w14:paraId="33F6C55C"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Intercept</w:t>
            </w:r>
          </w:p>
        </w:tc>
        <w:tc>
          <w:tcPr>
            <w:tcW w:w="1440" w:type="dxa"/>
            <w:shd w:val="clear" w:color="auto" w:fill="F2F2F2" w:themeFill="background1" w:themeFillShade="F2"/>
            <w:vAlign w:val="bottom"/>
            <w:hideMark/>
          </w:tcPr>
          <w:p w14:paraId="1CFE23DB" w14:textId="77777777"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Heater Size</w:t>
            </w:r>
          </w:p>
        </w:tc>
        <w:tc>
          <w:tcPr>
            <w:tcW w:w="1440" w:type="dxa"/>
            <w:shd w:val="clear" w:color="auto" w:fill="F2F2F2" w:themeFill="background1" w:themeFillShade="F2"/>
            <w:vAlign w:val="bottom"/>
            <w:hideMark/>
          </w:tcPr>
          <w:p w14:paraId="5CB23C55" w14:textId="26F01821" w:rsidR="002264DF" w:rsidRPr="00A94FD5" w:rsidRDefault="002264DF" w:rsidP="00A94FD5">
            <w:pPr>
              <w:spacing w:before="0" w:after="0" w:line="240" w:lineRule="auto"/>
              <w:jc w:val="center"/>
              <w:rPr>
                <w:rFonts w:cs="Calibri Light"/>
                <w:b/>
                <w:sz w:val="20"/>
                <w:szCs w:val="20"/>
              </w:rPr>
            </w:pPr>
            <w:r w:rsidRPr="00A94FD5">
              <w:rPr>
                <w:rFonts w:cs="Calibri Light"/>
                <w:b/>
                <w:sz w:val="20"/>
                <w:szCs w:val="20"/>
              </w:rPr>
              <w:t xml:space="preserve">Heater </w:t>
            </w:r>
            <w:proofErr w:type="gramStart"/>
            <w:r w:rsidRPr="00A94FD5">
              <w:rPr>
                <w:rFonts w:cs="Calibri Light"/>
                <w:b/>
                <w:sz w:val="20"/>
                <w:szCs w:val="20"/>
              </w:rPr>
              <w:t>Size  Temp.</w:t>
            </w:r>
            <w:proofErr w:type="gramEnd"/>
          </w:p>
        </w:tc>
      </w:tr>
      <w:tr w:rsidR="002264DF" w:rsidRPr="006D31B3" w14:paraId="530235E4" w14:textId="77777777" w:rsidTr="001E206A">
        <w:trPr>
          <w:cantSplit/>
          <w:trHeight w:val="20"/>
        </w:trPr>
        <w:tc>
          <w:tcPr>
            <w:tcW w:w="1440" w:type="dxa"/>
            <w:shd w:val="clear" w:color="auto" w:fill="auto"/>
            <w:vAlign w:val="center"/>
            <w:hideMark/>
          </w:tcPr>
          <w:p w14:paraId="64E8FC80" w14:textId="77777777" w:rsidR="002264DF" w:rsidRPr="00A94FD5" w:rsidRDefault="002264DF" w:rsidP="00A94FD5">
            <w:pPr>
              <w:spacing w:before="0" w:after="0" w:line="240" w:lineRule="auto"/>
              <w:jc w:val="center"/>
              <w:rPr>
                <w:rFonts w:cs="Calibri Light"/>
                <w:color w:val="000000"/>
                <w:sz w:val="20"/>
                <w:szCs w:val="20"/>
              </w:rPr>
            </w:pPr>
            <w:r w:rsidRPr="00A94FD5">
              <w:rPr>
                <w:rFonts w:cs="Calibri Light"/>
                <w:color w:val="000000"/>
                <w:sz w:val="20"/>
                <w:szCs w:val="20"/>
              </w:rPr>
              <w:t>1</w:t>
            </w:r>
          </w:p>
        </w:tc>
        <w:tc>
          <w:tcPr>
            <w:tcW w:w="1440" w:type="dxa"/>
            <w:shd w:val="clear" w:color="auto" w:fill="auto"/>
            <w:vAlign w:val="center"/>
            <w:hideMark/>
          </w:tcPr>
          <w:p w14:paraId="592BB096"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3.70</w:t>
            </w:r>
          </w:p>
        </w:tc>
        <w:tc>
          <w:tcPr>
            <w:tcW w:w="1440" w:type="dxa"/>
            <w:shd w:val="clear" w:color="auto" w:fill="auto"/>
            <w:vAlign w:val="center"/>
            <w:hideMark/>
          </w:tcPr>
          <w:p w14:paraId="7C224E85"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13.135</w:t>
            </w:r>
          </w:p>
        </w:tc>
        <w:tc>
          <w:tcPr>
            <w:tcW w:w="1440" w:type="dxa"/>
            <w:shd w:val="clear" w:color="auto" w:fill="auto"/>
            <w:vAlign w:val="center"/>
            <w:hideMark/>
          </w:tcPr>
          <w:p w14:paraId="4B2B30F6"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-0.136</w:t>
            </w:r>
          </w:p>
        </w:tc>
      </w:tr>
      <w:tr w:rsidR="002264DF" w:rsidRPr="006D31B3" w14:paraId="547666CF" w14:textId="77777777" w:rsidTr="001E206A">
        <w:trPr>
          <w:cantSplit/>
          <w:trHeight w:val="20"/>
        </w:trPr>
        <w:tc>
          <w:tcPr>
            <w:tcW w:w="1440" w:type="dxa"/>
            <w:shd w:val="clear" w:color="auto" w:fill="auto"/>
            <w:vAlign w:val="center"/>
            <w:hideMark/>
          </w:tcPr>
          <w:p w14:paraId="16DA5495" w14:textId="77777777" w:rsidR="002264DF" w:rsidRPr="00A94FD5" w:rsidRDefault="002264DF" w:rsidP="00A94FD5">
            <w:pPr>
              <w:spacing w:before="0" w:after="0" w:line="240" w:lineRule="auto"/>
              <w:jc w:val="center"/>
              <w:rPr>
                <w:rFonts w:cs="Calibri Light"/>
                <w:color w:val="000000"/>
                <w:sz w:val="20"/>
                <w:szCs w:val="20"/>
              </w:rPr>
            </w:pPr>
            <w:r w:rsidRPr="00A94FD5">
              <w:rPr>
                <w:rFonts w:cs="Calibri Light"/>
                <w:color w:val="000000"/>
                <w:sz w:val="20"/>
                <w:szCs w:val="20"/>
              </w:rPr>
              <w:t>2</w:t>
            </w:r>
          </w:p>
        </w:tc>
        <w:tc>
          <w:tcPr>
            <w:tcW w:w="1440" w:type="dxa"/>
            <w:shd w:val="clear" w:color="auto" w:fill="auto"/>
            <w:vAlign w:val="center"/>
            <w:hideMark/>
          </w:tcPr>
          <w:p w14:paraId="50EB890E"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5.86</w:t>
            </w:r>
          </w:p>
        </w:tc>
        <w:tc>
          <w:tcPr>
            <w:tcW w:w="1440" w:type="dxa"/>
            <w:shd w:val="clear" w:color="auto" w:fill="auto"/>
            <w:vAlign w:val="center"/>
            <w:hideMark/>
          </w:tcPr>
          <w:p w14:paraId="76F5CF60"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13.195</w:t>
            </w:r>
          </w:p>
        </w:tc>
        <w:tc>
          <w:tcPr>
            <w:tcW w:w="1440" w:type="dxa"/>
            <w:shd w:val="clear" w:color="auto" w:fill="auto"/>
            <w:vAlign w:val="center"/>
            <w:hideMark/>
          </w:tcPr>
          <w:p w14:paraId="4F21884A" w14:textId="77777777" w:rsidR="002264DF" w:rsidRPr="00A94FD5" w:rsidRDefault="002264DF" w:rsidP="001E206A">
            <w:pPr>
              <w:spacing w:before="0" w:after="0" w:line="240" w:lineRule="auto"/>
              <w:ind w:right="388"/>
              <w:jc w:val="right"/>
              <w:rPr>
                <w:rFonts w:cs="Calibri Light"/>
                <w:color w:val="000000"/>
                <w:sz w:val="20"/>
                <w:szCs w:val="20"/>
              </w:rPr>
            </w:pPr>
            <w:r w:rsidRPr="00A94FD5">
              <w:rPr>
                <w:rFonts w:cs="Calibri Light"/>
                <w:color w:val="000000"/>
                <w:sz w:val="20"/>
                <w:szCs w:val="20"/>
              </w:rPr>
              <w:t>-0.133</w:t>
            </w:r>
          </w:p>
        </w:tc>
      </w:tr>
    </w:tbl>
    <w:p w14:paraId="78EEF4CC" w14:textId="77777777" w:rsidR="002264DF" w:rsidRDefault="002264DF" w:rsidP="002264DF"/>
    <w:p w14:paraId="57C855EF" w14:textId="56352AAF" w:rsidR="002264DF" w:rsidRDefault="002264DF" w:rsidP="002264DF">
      <w:r>
        <w:t xml:space="preserve">Using the estimation results to estimate </w:t>
      </w:r>
      <w:r w:rsidR="004E2A8B">
        <w:t xml:space="preserve">the UES </w:t>
      </w:r>
      <w:r>
        <w:t>from a CBH installation requires the following items:</w:t>
      </w:r>
    </w:p>
    <w:p w14:paraId="3B959854" w14:textId="77777777" w:rsidR="002264DF" w:rsidRDefault="002264DF" w:rsidP="00A94FD5">
      <w:pPr>
        <w:pStyle w:val="eTRMBulletedText"/>
      </w:pPr>
      <w:r>
        <w:t>Site size category</w:t>
      </w:r>
    </w:p>
    <w:p w14:paraId="7501AB93" w14:textId="77777777" w:rsidR="002264DF" w:rsidRDefault="002264DF" w:rsidP="00A94FD5">
      <w:pPr>
        <w:pStyle w:val="eTRMBulletedText"/>
      </w:pPr>
      <w:r>
        <w:t>Baseline heater size</w:t>
      </w:r>
    </w:p>
    <w:p w14:paraId="5C20172B" w14:textId="77777777" w:rsidR="002264DF" w:rsidRDefault="002264DF" w:rsidP="00A94FD5">
      <w:pPr>
        <w:pStyle w:val="eTRMBulletedText"/>
      </w:pPr>
      <w:r>
        <w:t>New heater size</w:t>
      </w:r>
    </w:p>
    <w:p w14:paraId="5625B4B2" w14:textId="77777777" w:rsidR="002264DF" w:rsidRDefault="002264DF" w:rsidP="00A94FD5">
      <w:pPr>
        <w:pStyle w:val="eTRMBulletedText"/>
      </w:pPr>
      <w:r>
        <w:t>Climate zone (to determine average temperature)</w:t>
      </w:r>
    </w:p>
    <w:p w14:paraId="31D32FEB" w14:textId="50B36765" w:rsidR="004E2A8B" w:rsidRDefault="002264DF" w:rsidP="002264DF">
      <w:r>
        <w:t>Note that the range of observed temperatures are generally lower than those observed in SCE territory climate zones, particularly for baseline regression. These savings estimates</w:t>
      </w:r>
      <w:r w:rsidR="00A04E4E">
        <w:t>, therefore,</w:t>
      </w:r>
      <w:r>
        <w:t xml:space="preserve"> </w:t>
      </w:r>
      <w:r w:rsidR="00A04E4E">
        <w:t>project</w:t>
      </w:r>
      <w:r>
        <w:t xml:space="preserve"> heater performance for temperatures generally outside the observed range. </w:t>
      </w:r>
    </w:p>
    <w:p w14:paraId="7F91F5F7" w14:textId="0D927625" w:rsidR="002264DF" w:rsidRDefault="004E2A8B" w:rsidP="002264DF">
      <w:r>
        <w:t>The UES of this measure i</w:t>
      </w:r>
      <w:r w:rsidR="002264DF">
        <w:t>s determined by the following steps:</w:t>
      </w:r>
    </w:p>
    <w:p w14:paraId="1D95F4C0" w14:textId="163BE4E9" w:rsidR="002264DF" w:rsidRDefault="002264DF" w:rsidP="00A94FD5">
      <w:pPr>
        <w:pStyle w:val="eTRMBulletedText"/>
      </w:pPr>
      <w:r>
        <w:t xml:space="preserve">Determine whether baseline heater is </w:t>
      </w:r>
      <w:r w:rsidRPr="00FA109E">
        <w:rPr>
          <w:i/>
        </w:rPr>
        <w:t>undersized</w:t>
      </w:r>
      <w:r>
        <w:t xml:space="preserve"> or </w:t>
      </w:r>
      <w:r w:rsidR="00932601" w:rsidRPr="00FA109E">
        <w:rPr>
          <w:i/>
        </w:rPr>
        <w:t>properly sized</w:t>
      </w:r>
      <w:r>
        <w:t xml:space="preserve"> for the site size category.</w:t>
      </w:r>
    </w:p>
    <w:p w14:paraId="1CDB3282" w14:textId="1E0699C3" w:rsidR="002264DF" w:rsidRDefault="002264DF" w:rsidP="00A94FD5">
      <w:pPr>
        <w:pStyle w:val="ListParagraph"/>
        <w:numPr>
          <w:ilvl w:val="1"/>
          <w:numId w:val="22"/>
        </w:numPr>
        <w:spacing w:before="0" w:after="160" w:line="259" w:lineRule="auto"/>
      </w:pPr>
      <w:r>
        <w:t xml:space="preserve">For </w:t>
      </w:r>
      <w:r w:rsidRPr="00FA109E">
        <w:rPr>
          <w:i/>
        </w:rPr>
        <w:t>undersized</w:t>
      </w:r>
      <w:r>
        <w:t xml:space="preserve"> baseline heaters, average daily </w:t>
      </w:r>
      <w:r w:rsidR="00F72E20">
        <w:t xml:space="preserve">UEC </w:t>
      </w:r>
      <w:r>
        <w:t xml:space="preserve">is determined using </w:t>
      </w:r>
      <w:r w:rsidR="00F72E20">
        <w:t>regression results in the previous tables.</w:t>
      </w:r>
    </w:p>
    <w:p w14:paraId="202D6704" w14:textId="24050F96" w:rsidR="002264DF" w:rsidRDefault="002264DF" w:rsidP="00A94FD5">
      <w:pPr>
        <w:pStyle w:val="ListParagraph"/>
        <w:numPr>
          <w:ilvl w:val="1"/>
          <w:numId w:val="22"/>
        </w:numPr>
        <w:spacing w:before="0" w:after="160" w:line="259" w:lineRule="auto"/>
      </w:pPr>
      <w:r>
        <w:t xml:space="preserve">For </w:t>
      </w:r>
      <w:r w:rsidR="004F3096">
        <w:rPr>
          <w:i/>
        </w:rPr>
        <w:t>properly sized</w:t>
      </w:r>
      <w:r>
        <w:t xml:space="preserve"> heaters, averaged daily </w:t>
      </w:r>
      <w:r w:rsidR="00F72E20">
        <w:t xml:space="preserve">UEC </w:t>
      </w:r>
      <w:r>
        <w:t xml:space="preserve">is determined for climate zone average temperature, using regression results </w:t>
      </w:r>
      <w:r w:rsidR="00924C51">
        <w:t xml:space="preserve">in the </w:t>
      </w:r>
      <w:r w:rsidR="00F72E20">
        <w:t>previous tables</w:t>
      </w:r>
      <w:r w:rsidR="00924C51">
        <w:t xml:space="preserve">. </w:t>
      </w:r>
    </w:p>
    <w:p w14:paraId="08D5CA5D" w14:textId="2E1416BA" w:rsidR="002264DF" w:rsidRDefault="002264DF" w:rsidP="00A94FD5">
      <w:pPr>
        <w:pStyle w:val="eTRMBulletedText"/>
      </w:pPr>
      <w:r>
        <w:t xml:space="preserve">Estimate treatment usage based on new heater size and climate zone average temperature, using regression results </w:t>
      </w:r>
      <w:r w:rsidR="00924C51">
        <w:t xml:space="preserve">provided in the table above. </w:t>
      </w:r>
    </w:p>
    <w:p w14:paraId="0CC11752" w14:textId="77777777" w:rsidR="002264DF" w:rsidRDefault="002264DF" w:rsidP="002264DF">
      <w:pPr>
        <w:pStyle w:val="ListParagraph"/>
        <w:numPr>
          <w:ilvl w:val="0"/>
          <w:numId w:val="19"/>
        </w:numPr>
        <w:spacing w:before="0" w:after="160" w:line="259" w:lineRule="auto"/>
      </w:pPr>
      <w:r>
        <w:t>The difference in daily kWh can be projected into annual saving using preferred assumed days of operation.</w:t>
      </w:r>
    </w:p>
    <w:p w14:paraId="66A86DD8" w14:textId="5F7715EB" w:rsidR="002264DF" w:rsidRPr="0027206F" w:rsidRDefault="00D23E39" w:rsidP="008F2E6B">
      <w:pPr>
        <w:pStyle w:val="eTRMHeading4"/>
      </w:pPr>
      <w:r>
        <w:t>Sample Calculations</w:t>
      </w:r>
    </w:p>
    <w:p w14:paraId="668AD521" w14:textId="77777777" w:rsidR="002264DF" w:rsidRDefault="002264DF" w:rsidP="002264DF">
      <w:r w:rsidRPr="0027206F">
        <w:rPr>
          <w:u w:val="single"/>
        </w:rPr>
        <w:t>Sample 1</w:t>
      </w:r>
      <w:r>
        <w:t>: Climate Zone 6, site size category 1, baseline heater size 1 kW, new heater size 1 kW, annual operation 334 days / year.</w:t>
      </w:r>
    </w:p>
    <w:p w14:paraId="771F2EC6" w14:textId="77777777" w:rsidR="002264DF" w:rsidRDefault="002264DF" w:rsidP="00A94FD5">
      <w:pPr>
        <w:pStyle w:val="eTRMBulletedText"/>
      </w:pPr>
      <w:r>
        <w:t>Designation: Undersized</w:t>
      </w:r>
    </w:p>
    <w:p w14:paraId="02524F54" w14:textId="6E53007B" w:rsidR="002264DF" w:rsidRDefault="002264DF" w:rsidP="00A94FD5">
      <w:pPr>
        <w:pStyle w:val="eTRMBulletedText"/>
      </w:pPr>
      <w:r>
        <w:t xml:space="preserve">Annual Average Temperature: </w:t>
      </w:r>
      <w:r w:rsidR="00AD4DDE">
        <w:t>63</w:t>
      </w:r>
      <w:r>
        <w:t>.</w:t>
      </w:r>
      <w:r w:rsidR="00AD4DDE">
        <w:t>9</w:t>
      </w:r>
      <w:r w:rsidR="001D4C9D">
        <w:t>5</w:t>
      </w:r>
      <w:r>
        <w:rPr>
          <w:rFonts w:cstheme="minorHAnsi"/>
        </w:rPr>
        <w:t>°</w:t>
      </w:r>
      <w:r>
        <w:t>F</w:t>
      </w:r>
    </w:p>
    <w:p w14:paraId="2ABA047C" w14:textId="77777777" w:rsidR="002264DF" w:rsidRDefault="002264DF" w:rsidP="00A94FD5">
      <w:pPr>
        <w:pStyle w:val="eTRMBulletedText"/>
      </w:pPr>
      <w:r>
        <w:t>Baseline Daily kWh: 20.2 * [Baseline Heater Size] = 20.2 kWh / day.</w:t>
      </w:r>
    </w:p>
    <w:p w14:paraId="3D4AE104" w14:textId="73DFE89C" w:rsidR="002264DF" w:rsidRDefault="002264DF" w:rsidP="00A94FD5">
      <w:pPr>
        <w:pStyle w:val="eTRMBulletedText"/>
      </w:pPr>
      <w:r>
        <w:lastRenderedPageBreak/>
        <w:t>Treatment Daily kWh: 3.70 + 13.135 * [New Heater Size] – 0.136 * [New Heater Size] * [</w:t>
      </w:r>
      <w:r w:rsidR="00AD4DDE">
        <w:t>63</w:t>
      </w:r>
      <w:r>
        <w:t>.</w:t>
      </w:r>
      <w:r w:rsidR="00AD4DDE">
        <w:t>9</w:t>
      </w:r>
      <w:r w:rsidR="001D4C9D">
        <w:t>5</w:t>
      </w:r>
      <w:r>
        <w:rPr>
          <w:rFonts w:cstheme="minorHAnsi"/>
        </w:rPr>
        <w:t>°</w:t>
      </w:r>
      <w:r>
        <w:t>F] = 8.</w:t>
      </w:r>
      <w:r w:rsidR="00AD4DDE">
        <w:t xml:space="preserve">1 </w:t>
      </w:r>
      <w:r>
        <w:t>kWh / day</w:t>
      </w:r>
    </w:p>
    <w:p w14:paraId="17A0CF09" w14:textId="3B91F784" w:rsidR="00213C1B" w:rsidRPr="00213C1B" w:rsidRDefault="002264DF" w:rsidP="00213C1B">
      <w:pPr>
        <w:pStyle w:val="eTRMBulletedText"/>
      </w:pPr>
      <w:r>
        <w:t>Annual Savings: (20.2 kWh/day – 8.</w:t>
      </w:r>
      <w:r w:rsidR="002F1724">
        <w:t xml:space="preserve">1 </w:t>
      </w:r>
      <w:r>
        <w:t xml:space="preserve">kWh/day) * 334 days/year = </w:t>
      </w:r>
      <w:r w:rsidR="00AD4DDE">
        <w:rPr>
          <w:b/>
        </w:rPr>
        <w:t>4,039</w:t>
      </w:r>
      <w:r w:rsidRPr="0094586B">
        <w:rPr>
          <w:b/>
        </w:rPr>
        <w:t xml:space="preserve"> kWh/year.</w:t>
      </w:r>
    </w:p>
    <w:p w14:paraId="0E04927C" w14:textId="7626C813" w:rsidR="00213C1B" w:rsidRPr="00213C1B" w:rsidRDefault="00213C1B" w:rsidP="00F21ADC">
      <w:pPr>
        <w:pStyle w:val="Caption"/>
        <w:rPr>
          <w:bCs/>
        </w:rPr>
      </w:pPr>
      <w:r w:rsidRPr="006D31B3">
        <w:t xml:space="preserve">Sample </w:t>
      </w:r>
      <w:r>
        <w:t xml:space="preserve">Calculation </w:t>
      </w:r>
      <w:r w:rsidRPr="006D31B3">
        <w:t>- Climate Zone 6</w:t>
      </w:r>
    </w:p>
    <w:tbl>
      <w:tblPr>
        <w:tblW w:w="91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318"/>
        <w:gridCol w:w="1424"/>
        <w:gridCol w:w="1339"/>
        <w:gridCol w:w="1744"/>
        <w:gridCol w:w="1424"/>
        <w:gridCol w:w="1551"/>
        <w:gridCol w:w="1380"/>
      </w:tblGrid>
      <w:tr w:rsidR="00213C1B" w:rsidRPr="006D31B3" w14:paraId="4597C71D" w14:textId="77777777" w:rsidTr="001E206A">
        <w:trPr>
          <w:trHeight w:val="765"/>
        </w:trPr>
        <w:tc>
          <w:tcPr>
            <w:tcW w:w="318" w:type="dxa"/>
            <w:shd w:val="clear" w:color="auto" w:fill="F2F2F2" w:themeFill="background1" w:themeFillShade="F2"/>
            <w:noWrap/>
            <w:vAlign w:val="bottom"/>
            <w:hideMark/>
          </w:tcPr>
          <w:p w14:paraId="089954A2" w14:textId="0053AB0A" w:rsidR="00213C1B" w:rsidRPr="00213C1B" w:rsidRDefault="00213C1B" w:rsidP="00213C1B">
            <w:pPr>
              <w:spacing w:before="0" w:after="0" w:line="240" w:lineRule="auto"/>
              <w:jc w:val="center"/>
              <w:rPr>
                <w:rFonts w:cs="Calibri Light"/>
                <w:b/>
                <w:color w:val="000000"/>
                <w:sz w:val="20"/>
                <w:szCs w:val="20"/>
              </w:rPr>
            </w:pPr>
          </w:p>
        </w:tc>
        <w:tc>
          <w:tcPr>
            <w:tcW w:w="1424" w:type="dxa"/>
            <w:shd w:val="clear" w:color="auto" w:fill="F2F2F2" w:themeFill="background1" w:themeFillShade="F2"/>
            <w:vAlign w:val="bottom"/>
            <w:hideMark/>
          </w:tcPr>
          <w:p w14:paraId="7D5086A4" w14:textId="77777777"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Baseline Heater Size</w:t>
            </w:r>
          </w:p>
        </w:tc>
        <w:tc>
          <w:tcPr>
            <w:tcW w:w="1339" w:type="dxa"/>
            <w:shd w:val="clear" w:color="auto" w:fill="F2F2F2" w:themeFill="background1" w:themeFillShade="F2"/>
            <w:vAlign w:val="bottom"/>
            <w:hideMark/>
          </w:tcPr>
          <w:p w14:paraId="154A3FD6" w14:textId="77777777"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New Heater Size</w:t>
            </w:r>
          </w:p>
        </w:tc>
        <w:tc>
          <w:tcPr>
            <w:tcW w:w="1744" w:type="dxa"/>
            <w:shd w:val="clear" w:color="auto" w:fill="F2F2F2" w:themeFill="background1" w:themeFillShade="F2"/>
            <w:vAlign w:val="bottom"/>
            <w:hideMark/>
          </w:tcPr>
          <w:p w14:paraId="5C7FAAC4" w14:textId="77777777"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Baseline Heater Designation</w:t>
            </w:r>
          </w:p>
        </w:tc>
        <w:tc>
          <w:tcPr>
            <w:tcW w:w="1424" w:type="dxa"/>
            <w:shd w:val="clear" w:color="auto" w:fill="F2F2F2" w:themeFill="background1" w:themeFillShade="F2"/>
            <w:vAlign w:val="bottom"/>
            <w:hideMark/>
          </w:tcPr>
          <w:p w14:paraId="28C6F99F" w14:textId="6A348BAC"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 xml:space="preserve">Baseline Daily </w:t>
            </w:r>
            <w:r>
              <w:rPr>
                <w:rFonts w:cs="Calibri Light"/>
                <w:b/>
                <w:color w:val="000000"/>
                <w:sz w:val="20"/>
                <w:szCs w:val="20"/>
              </w:rPr>
              <w:t>Usage (</w:t>
            </w:r>
            <w:r w:rsidRPr="00213C1B">
              <w:rPr>
                <w:rFonts w:cs="Calibri Light"/>
                <w:b/>
                <w:color w:val="000000"/>
                <w:sz w:val="20"/>
                <w:szCs w:val="20"/>
              </w:rPr>
              <w:t>kWh</w:t>
            </w:r>
            <w:r>
              <w:rPr>
                <w:rFonts w:cs="Calibri Light"/>
                <w:b/>
                <w:color w:val="000000"/>
                <w:sz w:val="20"/>
                <w:szCs w:val="20"/>
              </w:rPr>
              <w:t>)</w:t>
            </w:r>
          </w:p>
        </w:tc>
        <w:tc>
          <w:tcPr>
            <w:tcW w:w="1551" w:type="dxa"/>
            <w:shd w:val="clear" w:color="auto" w:fill="F2F2F2" w:themeFill="background1" w:themeFillShade="F2"/>
            <w:vAlign w:val="bottom"/>
            <w:hideMark/>
          </w:tcPr>
          <w:p w14:paraId="7463091F" w14:textId="39CFB4AD"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 xml:space="preserve">Treatment Daily </w:t>
            </w:r>
            <w:r>
              <w:rPr>
                <w:rFonts w:cs="Calibri Light"/>
                <w:b/>
                <w:color w:val="000000"/>
                <w:sz w:val="20"/>
                <w:szCs w:val="20"/>
              </w:rPr>
              <w:t>Usage (</w:t>
            </w:r>
            <w:r w:rsidRPr="00213C1B">
              <w:rPr>
                <w:rFonts w:cs="Calibri Light"/>
                <w:b/>
                <w:color w:val="000000"/>
                <w:sz w:val="20"/>
                <w:szCs w:val="20"/>
              </w:rPr>
              <w:t>kWh</w:t>
            </w:r>
            <w:r>
              <w:rPr>
                <w:rFonts w:cs="Calibri Light"/>
                <w:b/>
                <w:color w:val="000000"/>
                <w:sz w:val="20"/>
                <w:szCs w:val="20"/>
              </w:rPr>
              <w:t>)</w:t>
            </w:r>
          </w:p>
        </w:tc>
        <w:tc>
          <w:tcPr>
            <w:tcW w:w="1380" w:type="dxa"/>
            <w:shd w:val="clear" w:color="auto" w:fill="F2F2F2" w:themeFill="background1" w:themeFillShade="F2"/>
            <w:vAlign w:val="bottom"/>
            <w:hideMark/>
          </w:tcPr>
          <w:p w14:paraId="1661EB97" w14:textId="058338DB" w:rsidR="00213C1B" w:rsidRPr="00213C1B" w:rsidRDefault="00213C1B" w:rsidP="00213C1B">
            <w:pPr>
              <w:spacing w:before="0" w:after="0" w:line="240" w:lineRule="auto"/>
              <w:jc w:val="center"/>
              <w:rPr>
                <w:rFonts w:cs="Calibri Light"/>
                <w:b/>
                <w:color w:val="000000"/>
                <w:sz w:val="20"/>
                <w:szCs w:val="20"/>
              </w:rPr>
            </w:pPr>
            <w:r w:rsidRPr="00213C1B">
              <w:rPr>
                <w:rFonts w:cs="Calibri Light"/>
                <w:b/>
                <w:color w:val="000000"/>
                <w:sz w:val="20"/>
                <w:szCs w:val="20"/>
              </w:rPr>
              <w:t>Annual Savings</w:t>
            </w:r>
            <w:r>
              <w:rPr>
                <w:rFonts w:cs="Calibri Light"/>
                <w:b/>
                <w:color w:val="000000"/>
                <w:sz w:val="20"/>
                <w:szCs w:val="20"/>
              </w:rPr>
              <w:t xml:space="preserve"> (kWh)</w:t>
            </w:r>
          </w:p>
        </w:tc>
      </w:tr>
      <w:tr w:rsidR="00213C1B" w:rsidRPr="006D31B3" w14:paraId="751C3F81" w14:textId="77777777" w:rsidTr="001E206A">
        <w:trPr>
          <w:trHeight w:val="300"/>
        </w:trPr>
        <w:tc>
          <w:tcPr>
            <w:tcW w:w="318" w:type="dxa"/>
            <w:vMerge w:val="restart"/>
            <w:shd w:val="clear" w:color="auto" w:fill="auto"/>
            <w:noWrap/>
            <w:vAlign w:val="center"/>
            <w:hideMark/>
          </w:tcPr>
          <w:p w14:paraId="6ABE7368"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w:t>
            </w:r>
          </w:p>
        </w:tc>
        <w:tc>
          <w:tcPr>
            <w:tcW w:w="1424" w:type="dxa"/>
            <w:shd w:val="clear" w:color="auto" w:fill="auto"/>
            <w:noWrap/>
            <w:vAlign w:val="bottom"/>
            <w:hideMark/>
          </w:tcPr>
          <w:p w14:paraId="275E4EC0"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w:t>
            </w:r>
          </w:p>
        </w:tc>
        <w:tc>
          <w:tcPr>
            <w:tcW w:w="1339" w:type="dxa"/>
            <w:shd w:val="clear" w:color="auto" w:fill="auto"/>
            <w:noWrap/>
            <w:vAlign w:val="bottom"/>
            <w:hideMark/>
          </w:tcPr>
          <w:p w14:paraId="67FFD9CA"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w:t>
            </w:r>
          </w:p>
        </w:tc>
        <w:tc>
          <w:tcPr>
            <w:tcW w:w="1744" w:type="dxa"/>
            <w:shd w:val="clear" w:color="auto" w:fill="auto"/>
            <w:noWrap/>
            <w:vAlign w:val="bottom"/>
            <w:hideMark/>
          </w:tcPr>
          <w:p w14:paraId="5D530381" w14:textId="77777777" w:rsidR="00213C1B" w:rsidRPr="00213C1B" w:rsidRDefault="00213C1B" w:rsidP="00213C1B">
            <w:pPr>
              <w:spacing w:before="0" w:after="0" w:line="240" w:lineRule="auto"/>
              <w:rPr>
                <w:rFonts w:cs="Calibri Light"/>
                <w:color w:val="000000"/>
                <w:sz w:val="20"/>
                <w:szCs w:val="20"/>
              </w:rPr>
            </w:pPr>
            <w:r w:rsidRPr="00213C1B">
              <w:rPr>
                <w:rFonts w:cs="Calibri Light"/>
                <w:color w:val="000000"/>
                <w:sz w:val="20"/>
                <w:szCs w:val="20"/>
              </w:rPr>
              <w:t>Undersized</w:t>
            </w:r>
          </w:p>
        </w:tc>
        <w:tc>
          <w:tcPr>
            <w:tcW w:w="1424" w:type="dxa"/>
            <w:shd w:val="clear" w:color="auto" w:fill="auto"/>
            <w:noWrap/>
            <w:vAlign w:val="bottom"/>
            <w:hideMark/>
          </w:tcPr>
          <w:p w14:paraId="54BA65FF"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20.2</w:t>
            </w:r>
          </w:p>
        </w:tc>
        <w:tc>
          <w:tcPr>
            <w:tcW w:w="1551" w:type="dxa"/>
            <w:shd w:val="clear" w:color="auto" w:fill="auto"/>
            <w:noWrap/>
            <w:vAlign w:val="bottom"/>
            <w:hideMark/>
          </w:tcPr>
          <w:p w14:paraId="0DE7C454" w14:textId="69D146E9"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8.</w:t>
            </w:r>
            <w:r w:rsidR="00AD4DDE">
              <w:rPr>
                <w:rFonts w:cs="Calibri Light"/>
                <w:color w:val="000000"/>
                <w:sz w:val="20"/>
                <w:szCs w:val="20"/>
              </w:rPr>
              <w:t>1</w:t>
            </w:r>
          </w:p>
        </w:tc>
        <w:tc>
          <w:tcPr>
            <w:tcW w:w="1380" w:type="dxa"/>
            <w:shd w:val="clear" w:color="auto" w:fill="auto"/>
            <w:noWrap/>
            <w:vAlign w:val="bottom"/>
            <w:hideMark/>
          </w:tcPr>
          <w:p w14:paraId="0F637215" w14:textId="1C9A4F2F" w:rsidR="00213C1B" w:rsidRPr="00213C1B" w:rsidRDefault="00AD4DDE" w:rsidP="00213C1B">
            <w:pPr>
              <w:spacing w:before="0" w:after="0" w:line="240" w:lineRule="auto"/>
              <w:jc w:val="center"/>
              <w:rPr>
                <w:rFonts w:cs="Calibri Light"/>
                <w:bCs/>
                <w:color w:val="000000"/>
                <w:sz w:val="20"/>
                <w:szCs w:val="20"/>
              </w:rPr>
            </w:pPr>
            <w:r>
              <w:rPr>
                <w:rFonts w:cs="Calibri Light"/>
                <w:bCs/>
                <w:color w:val="000000"/>
                <w:sz w:val="20"/>
                <w:szCs w:val="20"/>
              </w:rPr>
              <w:t>4,039</w:t>
            </w:r>
          </w:p>
        </w:tc>
      </w:tr>
      <w:tr w:rsidR="00213C1B" w:rsidRPr="006D31B3" w14:paraId="6B940A5C" w14:textId="77777777" w:rsidTr="001E206A">
        <w:trPr>
          <w:trHeight w:val="300"/>
        </w:trPr>
        <w:tc>
          <w:tcPr>
            <w:tcW w:w="318" w:type="dxa"/>
            <w:vMerge/>
            <w:shd w:val="clear" w:color="auto" w:fill="auto"/>
            <w:vAlign w:val="center"/>
            <w:hideMark/>
          </w:tcPr>
          <w:p w14:paraId="57BD3AB0" w14:textId="77777777" w:rsidR="00213C1B" w:rsidRPr="00213C1B" w:rsidRDefault="00213C1B" w:rsidP="00213C1B">
            <w:pPr>
              <w:spacing w:before="0" w:after="0" w:line="240" w:lineRule="auto"/>
              <w:rPr>
                <w:rFonts w:cs="Calibri Light"/>
                <w:color w:val="000000"/>
                <w:sz w:val="20"/>
                <w:szCs w:val="20"/>
              </w:rPr>
            </w:pPr>
          </w:p>
        </w:tc>
        <w:tc>
          <w:tcPr>
            <w:tcW w:w="1424" w:type="dxa"/>
            <w:shd w:val="clear" w:color="auto" w:fill="auto"/>
            <w:noWrap/>
            <w:vAlign w:val="bottom"/>
            <w:hideMark/>
          </w:tcPr>
          <w:p w14:paraId="11815179"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3</w:t>
            </w:r>
          </w:p>
        </w:tc>
        <w:tc>
          <w:tcPr>
            <w:tcW w:w="1339" w:type="dxa"/>
            <w:shd w:val="clear" w:color="auto" w:fill="auto"/>
            <w:noWrap/>
            <w:vAlign w:val="bottom"/>
            <w:hideMark/>
          </w:tcPr>
          <w:p w14:paraId="291F5923"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3</w:t>
            </w:r>
          </w:p>
        </w:tc>
        <w:tc>
          <w:tcPr>
            <w:tcW w:w="1744" w:type="dxa"/>
            <w:shd w:val="clear" w:color="auto" w:fill="auto"/>
            <w:noWrap/>
            <w:vAlign w:val="bottom"/>
            <w:hideMark/>
          </w:tcPr>
          <w:p w14:paraId="32AB66D0" w14:textId="77777777" w:rsidR="00213C1B" w:rsidRPr="00213C1B" w:rsidRDefault="00213C1B" w:rsidP="00213C1B">
            <w:pPr>
              <w:spacing w:before="0" w:after="0" w:line="240" w:lineRule="auto"/>
              <w:rPr>
                <w:rFonts w:cs="Calibri Light"/>
                <w:color w:val="000000"/>
                <w:sz w:val="20"/>
                <w:szCs w:val="20"/>
              </w:rPr>
            </w:pPr>
            <w:r w:rsidRPr="00213C1B">
              <w:rPr>
                <w:rFonts w:cs="Calibri Light"/>
                <w:color w:val="000000"/>
                <w:sz w:val="20"/>
                <w:szCs w:val="20"/>
              </w:rPr>
              <w:t>Proper-Sized</w:t>
            </w:r>
          </w:p>
        </w:tc>
        <w:tc>
          <w:tcPr>
            <w:tcW w:w="1424" w:type="dxa"/>
            <w:shd w:val="clear" w:color="auto" w:fill="auto"/>
            <w:noWrap/>
            <w:vAlign w:val="bottom"/>
            <w:hideMark/>
          </w:tcPr>
          <w:p w14:paraId="7493FDE5" w14:textId="66DC7F2F" w:rsidR="00213C1B" w:rsidRPr="00213C1B" w:rsidRDefault="00AD4DDE" w:rsidP="00213C1B">
            <w:pPr>
              <w:spacing w:before="0" w:after="0" w:line="240" w:lineRule="auto"/>
              <w:jc w:val="center"/>
              <w:rPr>
                <w:rFonts w:cs="Calibri Light"/>
                <w:color w:val="000000"/>
                <w:sz w:val="20"/>
                <w:szCs w:val="20"/>
              </w:rPr>
            </w:pPr>
            <w:r>
              <w:rPr>
                <w:rFonts w:cs="Calibri Light"/>
                <w:color w:val="000000"/>
                <w:sz w:val="20"/>
                <w:szCs w:val="20"/>
              </w:rPr>
              <w:t>30.6</w:t>
            </w:r>
          </w:p>
        </w:tc>
        <w:tc>
          <w:tcPr>
            <w:tcW w:w="1551" w:type="dxa"/>
            <w:shd w:val="clear" w:color="auto" w:fill="auto"/>
            <w:noWrap/>
            <w:vAlign w:val="bottom"/>
            <w:hideMark/>
          </w:tcPr>
          <w:p w14:paraId="6C802D34" w14:textId="3408285C" w:rsidR="00213C1B" w:rsidRPr="00213C1B" w:rsidRDefault="00AD4DDE" w:rsidP="00213C1B">
            <w:pPr>
              <w:spacing w:before="0" w:after="0" w:line="240" w:lineRule="auto"/>
              <w:jc w:val="center"/>
              <w:rPr>
                <w:rFonts w:cs="Calibri Light"/>
                <w:color w:val="000000"/>
                <w:sz w:val="20"/>
                <w:szCs w:val="20"/>
              </w:rPr>
            </w:pPr>
            <w:r w:rsidRPr="00213C1B">
              <w:rPr>
                <w:rFonts w:cs="Calibri Light"/>
                <w:color w:val="000000"/>
                <w:sz w:val="20"/>
                <w:szCs w:val="20"/>
              </w:rPr>
              <w:t>1</w:t>
            </w:r>
            <w:r>
              <w:rPr>
                <w:rFonts w:cs="Calibri Light"/>
                <w:color w:val="000000"/>
                <w:sz w:val="20"/>
                <w:szCs w:val="20"/>
              </w:rPr>
              <w:t>6</w:t>
            </w:r>
            <w:r w:rsidR="00213C1B" w:rsidRPr="00213C1B">
              <w:rPr>
                <w:rFonts w:cs="Calibri Light"/>
                <w:color w:val="000000"/>
                <w:sz w:val="20"/>
                <w:szCs w:val="20"/>
              </w:rPr>
              <w:t>.9</w:t>
            </w:r>
          </w:p>
        </w:tc>
        <w:tc>
          <w:tcPr>
            <w:tcW w:w="1380" w:type="dxa"/>
            <w:shd w:val="clear" w:color="auto" w:fill="auto"/>
            <w:noWrap/>
            <w:vAlign w:val="bottom"/>
            <w:hideMark/>
          </w:tcPr>
          <w:p w14:paraId="0C531D34" w14:textId="380115AF" w:rsidR="00213C1B" w:rsidRPr="00213C1B" w:rsidRDefault="00AD4DDE" w:rsidP="00213C1B">
            <w:pPr>
              <w:spacing w:before="0" w:after="0" w:line="240" w:lineRule="auto"/>
              <w:jc w:val="center"/>
              <w:rPr>
                <w:rFonts w:cs="Calibri Light"/>
                <w:bCs/>
                <w:color w:val="000000"/>
                <w:sz w:val="20"/>
                <w:szCs w:val="20"/>
              </w:rPr>
            </w:pPr>
            <w:r>
              <w:rPr>
                <w:rFonts w:cs="Calibri Light"/>
                <w:bCs/>
                <w:color w:val="000000"/>
                <w:sz w:val="20"/>
                <w:szCs w:val="20"/>
              </w:rPr>
              <w:t>4,553</w:t>
            </w:r>
          </w:p>
        </w:tc>
      </w:tr>
      <w:tr w:rsidR="00213C1B" w:rsidRPr="006D31B3" w14:paraId="32B61EEA" w14:textId="77777777" w:rsidTr="001E206A">
        <w:trPr>
          <w:trHeight w:val="300"/>
        </w:trPr>
        <w:tc>
          <w:tcPr>
            <w:tcW w:w="318" w:type="dxa"/>
            <w:vMerge w:val="restart"/>
            <w:shd w:val="clear" w:color="auto" w:fill="auto"/>
            <w:noWrap/>
            <w:vAlign w:val="center"/>
            <w:hideMark/>
          </w:tcPr>
          <w:p w14:paraId="295E6DA6" w14:textId="1628E43B"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2</w:t>
            </w:r>
          </w:p>
        </w:tc>
        <w:tc>
          <w:tcPr>
            <w:tcW w:w="1424" w:type="dxa"/>
            <w:shd w:val="clear" w:color="auto" w:fill="auto"/>
            <w:noWrap/>
            <w:vAlign w:val="bottom"/>
            <w:hideMark/>
          </w:tcPr>
          <w:p w14:paraId="26A14775"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w:t>
            </w:r>
          </w:p>
        </w:tc>
        <w:tc>
          <w:tcPr>
            <w:tcW w:w="1339" w:type="dxa"/>
            <w:shd w:val="clear" w:color="auto" w:fill="auto"/>
            <w:noWrap/>
            <w:vAlign w:val="bottom"/>
            <w:hideMark/>
          </w:tcPr>
          <w:p w14:paraId="143F184B"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w:t>
            </w:r>
          </w:p>
        </w:tc>
        <w:tc>
          <w:tcPr>
            <w:tcW w:w="1744" w:type="dxa"/>
            <w:shd w:val="clear" w:color="auto" w:fill="auto"/>
            <w:noWrap/>
            <w:vAlign w:val="bottom"/>
            <w:hideMark/>
          </w:tcPr>
          <w:p w14:paraId="53939EFB" w14:textId="77777777" w:rsidR="00213C1B" w:rsidRPr="00213C1B" w:rsidRDefault="00213C1B" w:rsidP="00213C1B">
            <w:pPr>
              <w:spacing w:before="0" w:after="0" w:line="240" w:lineRule="auto"/>
              <w:rPr>
                <w:rFonts w:cs="Calibri Light"/>
                <w:color w:val="000000"/>
                <w:sz w:val="20"/>
                <w:szCs w:val="20"/>
              </w:rPr>
            </w:pPr>
            <w:r w:rsidRPr="00213C1B">
              <w:rPr>
                <w:rFonts w:cs="Calibri Light"/>
                <w:color w:val="000000"/>
                <w:sz w:val="20"/>
                <w:szCs w:val="20"/>
              </w:rPr>
              <w:t>Undersized</w:t>
            </w:r>
          </w:p>
        </w:tc>
        <w:tc>
          <w:tcPr>
            <w:tcW w:w="1424" w:type="dxa"/>
            <w:shd w:val="clear" w:color="auto" w:fill="auto"/>
            <w:noWrap/>
            <w:vAlign w:val="bottom"/>
            <w:hideMark/>
          </w:tcPr>
          <w:p w14:paraId="6146E3B1"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20.2</w:t>
            </w:r>
          </w:p>
        </w:tc>
        <w:tc>
          <w:tcPr>
            <w:tcW w:w="1551" w:type="dxa"/>
            <w:shd w:val="clear" w:color="auto" w:fill="auto"/>
            <w:noWrap/>
            <w:vAlign w:val="bottom"/>
            <w:hideMark/>
          </w:tcPr>
          <w:p w14:paraId="7799D557" w14:textId="1CA9A043"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10.</w:t>
            </w:r>
            <w:r w:rsidR="00AD4DDE">
              <w:rPr>
                <w:rFonts w:cs="Calibri Light"/>
                <w:color w:val="000000"/>
                <w:sz w:val="20"/>
                <w:szCs w:val="20"/>
              </w:rPr>
              <w:t>5</w:t>
            </w:r>
          </w:p>
        </w:tc>
        <w:tc>
          <w:tcPr>
            <w:tcW w:w="1380" w:type="dxa"/>
            <w:shd w:val="clear" w:color="auto" w:fill="auto"/>
            <w:noWrap/>
            <w:vAlign w:val="bottom"/>
            <w:hideMark/>
          </w:tcPr>
          <w:p w14:paraId="639A54DA" w14:textId="3275DAF8" w:rsidR="00213C1B" w:rsidRPr="00213C1B" w:rsidRDefault="00AD4DDE" w:rsidP="00213C1B">
            <w:pPr>
              <w:spacing w:before="0" w:after="0" w:line="240" w:lineRule="auto"/>
              <w:jc w:val="center"/>
              <w:rPr>
                <w:rFonts w:cs="Calibri Light"/>
                <w:bCs/>
                <w:color w:val="000000"/>
                <w:sz w:val="20"/>
                <w:szCs w:val="20"/>
              </w:rPr>
            </w:pPr>
            <w:r>
              <w:rPr>
                <w:rFonts w:cs="Calibri Light"/>
                <w:bCs/>
                <w:color w:val="000000"/>
                <w:sz w:val="20"/>
                <w:szCs w:val="20"/>
              </w:rPr>
              <w:t>3,233</w:t>
            </w:r>
          </w:p>
        </w:tc>
      </w:tr>
      <w:tr w:rsidR="00213C1B" w:rsidRPr="006D31B3" w14:paraId="6F3D366F" w14:textId="77777777" w:rsidTr="001E206A">
        <w:trPr>
          <w:trHeight w:val="300"/>
        </w:trPr>
        <w:tc>
          <w:tcPr>
            <w:tcW w:w="318" w:type="dxa"/>
            <w:vMerge/>
            <w:shd w:val="clear" w:color="auto" w:fill="auto"/>
            <w:vAlign w:val="center"/>
            <w:hideMark/>
          </w:tcPr>
          <w:p w14:paraId="0FCCCA2E" w14:textId="77777777" w:rsidR="00213C1B" w:rsidRPr="00213C1B" w:rsidRDefault="00213C1B" w:rsidP="00213C1B">
            <w:pPr>
              <w:spacing w:before="0" w:after="0" w:line="240" w:lineRule="auto"/>
              <w:rPr>
                <w:rFonts w:cs="Calibri Light"/>
                <w:color w:val="000000"/>
                <w:sz w:val="20"/>
                <w:szCs w:val="20"/>
              </w:rPr>
            </w:pPr>
          </w:p>
        </w:tc>
        <w:tc>
          <w:tcPr>
            <w:tcW w:w="1424" w:type="dxa"/>
            <w:shd w:val="clear" w:color="auto" w:fill="auto"/>
            <w:noWrap/>
            <w:vAlign w:val="bottom"/>
            <w:hideMark/>
          </w:tcPr>
          <w:p w14:paraId="3E751204"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6</w:t>
            </w:r>
          </w:p>
        </w:tc>
        <w:tc>
          <w:tcPr>
            <w:tcW w:w="1339" w:type="dxa"/>
            <w:shd w:val="clear" w:color="auto" w:fill="auto"/>
            <w:noWrap/>
            <w:vAlign w:val="bottom"/>
            <w:hideMark/>
          </w:tcPr>
          <w:p w14:paraId="2C40EBFC" w14:textId="77777777" w:rsidR="00213C1B" w:rsidRPr="00213C1B" w:rsidRDefault="00213C1B" w:rsidP="00213C1B">
            <w:pPr>
              <w:spacing w:before="0" w:after="0" w:line="240" w:lineRule="auto"/>
              <w:jc w:val="center"/>
              <w:rPr>
                <w:rFonts w:cs="Calibri Light"/>
                <w:color w:val="000000"/>
                <w:sz w:val="20"/>
                <w:szCs w:val="20"/>
              </w:rPr>
            </w:pPr>
            <w:r w:rsidRPr="00213C1B">
              <w:rPr>
                <w:rFonts w:cs="Calibri Light"/>
                <w:color w:val="000000"/>
                <w:sz w:val="20"/>
                <w:szCs w:val="20"/>
              </w:rPr>
              <w:t>6</w:t>
            </w:r>
          </w:p>
        </w:tc>
        <w:tc>
          <w:tcPr>
            <w:tcW w:w="1744" w:type="dxa"/>
            <w:shd w:val="clear" w:color="auto" w:fill="auto"/>
            <w:noWrap/>
            <w:vAlign w:val="bottom"/>
            <w:hideMark/>
          </w:tcPr>
          <w:p w14:paraId="51A9F5CB" w14:textId="77777777" w:rsidR="00213C1B" w:rsidRPr="00213C1B" w:rsidRDefault="00213C1B" w:rsidP="00213C1B">
            <w:pPr>
              <w:spacing w:before="0" w:after="0" w:line="240" w:lineRule="auto"/>
              <w:rPr>
                <w:rFonts w:cs="Calibri Light"/>
                <w:color w:val="000000"/>
                <w:sz w:val="20"/>
                <w:szCs w:val="20"/>
              </w:rPr>
            </w:pPr>
            <w:r w:rsidRPr="00213C1B">
              <w:rPr>
                <w:rFonts w:cs="Calibri Light"/>
                <w:color w:val="000000"/>
                <w:sz w:val="20"/>
                <w:szCs w:val="20"/>
              </w:rPr>
              <w:t>Proper-Sized</w:t>
            </w:r>
          </w:p>
        </w:tc>
        <w:tc>
          <w:tcPr>
            <w:tcW w:w="1424" w:type="dxa"/>
            <w:shd w:val="clear" w:color="auto" w:fill="auto"/>
            <w:noWrap/>
            <w:vAlign w:val="bottom"/>
            <w:hideMark/>
          </w:tcPr>
          <w:p w14:paraId="00473F06" w14:textId="2E9E4B21" w:rsidR="00213C1B" w:rsidRPr="00213C1B" w:rsidRDefault="00AD4DDE" w:rsidP="00213C1B">
            <w:pPr>
              <w:spacing w:before="0" w:after="0" w:line="240" w:lineRule="auto"/>
              <w:jc w:val="center"/>
              <w:rPr>
                <w:rFonts w:cs="Calibri Light"/>
                <w:color w:val="000000"/>
                <w:sz w:val="20"/>
                <w:szCs w:val="20"/>
              </w:rPr>
            </w:pPr>
            <w:r w:rsidRPr="00213C1B">
              <w:rPr>
                <w:rFonts w:cs="Calibri Light"/>
                <w:color w:val="000000"/>
                <w:sz w:val="20"/>
                <w:szCs w:val="20"/>
              </w:rPr>
              <w:t>4</w:t>
            </w:r>
            <w:r>
              <w:rPr>
                <w:rFonts w:cs="Calibri Light"/>
                <w:color w:val="000000"/>
                <w:sz w:val="20"/>
                <w:szCs w:val="20"/>
              </w:rPr>
              <w:t>4</w:t>
            </w:r>
            <w:r w:rsidR="00213C1B" w:rsidRPr="00213C1B">
              <w:rPr>
                <w:rFonts w:cs="Calibri Light"/>
                <w:color w:val="000000"/>
                <w:sz w:val="20"/>
                <w:szCs w:val="20"/>
              </w:rPr>
              <w:t>.</w:t>
            </w:r>
            <w:r>
              <w:rPr>
                <w:rFonts w:cs="Calibri Light"/>
                <w:color w:val="000000"/>
                <w:sz w:val="20"/>
                <w:szCs w:val="20"/>
              </w:rPr>
              <w:t>1</w:t>
            </w:r>
          </w:p>
        </w:tc>
        <w:tc>
          <w:tcPr>
            <w:tcW w:w="1551" w:type="dxa"/>
            <w:shd w:val="clear" w:color="auto" w:fill="auto"/>
            <w:noWrap/>
            <w:vAlign w:val="bottom"/>
            <w:hideMark/>
          </w:tcPr>
          <w:p w14:paraId="4849673A" w14:textId="09B4F10E" w:rsidR="00213C1B" w:rsidRPr="00213C1B" w:rsidRDefault="00AD4DDE" w:rsidP="00213C1B">
            <w:pPr>
              <w:spacing w:before="0" w:after="0" w:line="240" w:lineRule="auto"/>
              <w:jc w:val="center"/>
              <w:rPr>
                <w:rFonts w:cs="Calibri Light"/>
                <w:color w:val="000000"/>
                <w:sz w:val="20"/>
                <w:szCs w:val="20"/>
              </w:rPr>
            </w:pPr>
            <w:r w:rsidRPr="00213C1B">
              <w:rPr>
                <w:rFonts w:cs="Calibri Light"/>
                <w:color w:val="000000"/>
                <w:sz w:val="20"/>
                <w:szCs w:val="20"/>
              </w:rPr>
              <w:t>3</w:t>
            </w:r>
            <w:r>
              <w:rPr>
                <w:rFonts w:cs="Calibri Light"/>
                <w:color w:val="000000"/>
                <w:sz w:val="20"/>
                <w:szCs w:val="20"/>
              </w:rPr>
              <w:t>3</w:t>
            </w:r>
            <w:r w:rsidR="00213C1B" w:rsidRPr="00213C1B">
              <w:rPr>
                <w:rFonts w:cs="Calibri Light"/>
                <w:color w:val="000000"/>
                <w:sz w:val="20"/>
                <w:szCs w:val="20"/>
              </w:rPr>
              <w:t>.8</w:t>
            </w:r>
          </w:p>
        </w:tc>
        <w:tc>
          <w:tcPr>
            <w:tcW w:w="1380" w:type="dxa"/>
            <w:shd w:val="clear" w:color="auto" w:fill="auto"/>
            <w:noWrap/>
            <w:vAlign w:val="bottom"/>
            <w:hideMark/>
          </w:tcPr>
          <w:p w14:paraId="4309EFB1" w14:textId="7D90652C" w:rsidR="00213C1B" w:rsidRPr="00213C1B" w:rsidRDefault="00AD4DDE" w:rsidP="00213C1B">
            <w:pPr>
              <w:spacing w:before="0" w:after="0" w:line="240" w:lineRule="auto"/>
              <w:jc w:val="center"/>
              <w:rPr>
                <w:rFonts w:cs="Calibri Light"/>
                <w:bCs/>
                <w:color w:val="000000"/>
                <w:sz w:val="20"/>
                <w:szCs w:val="20"/>
              </w:rPr>
            </w:pPr>
            <w:r>
              <w:rPr>
                <w:rFonts w:cs="Calibri Light"/>
                <w:bCs/>
                <w:color w:val="000000"/>
                <w:sz w:val="20"/>
                <w:szCs w:val="20"/>
              </w:rPr>
              <w:t>3,431</w:t>
            </w:r>
          </w:p>
        </w:tc>
      </w:tr>
    </w:tbl>
    <w:p w14:paraId="63E76E11" w14:textId="77777777" w:rsidR="00213C1B" w:rsidRDefault="00213C1B" w:rsidP="00213C1B">
      <w:pPr>
        <w:pStyle w:val="eTRMBulletedText"/>
        <w:numPr>
          <w:ilvl w:val="0"/>
          <w:numId w:val="0"/>
        </w:numPr>
        <w:ind w:left="720" w:hanging="360"/>
      </w:pPr>
    </w:p>
    <w:p w14:paraId="5DDDAFEE" w14:textId="2150555C" w:rsidR="002264DF" w:rsidRDefault="002264DF" w:rsidP="008F2E6B">
      <w:pPr>
        <w:pStyle w:val="eTRMHeading4"/>
      </w:pPr>
      <w:r w:rsidRPr="00AE5B40">
        <w:t>Sensitivity Analysis</w:t>
      </w:r>
    </w:p>
    <w:p w14:paraId="6E15E839" w14:textId="7666BF78" w:rsidR="001D3555" w:rsidRPr="001D3555" w:rsidRDefault="00213C1B" w:rsidP="00213C1B">
      <w:pPr>
        <w:rPr>
          <w:rFonts w:cstheme="minorHAnsi"/>
          <w:szCs w:val="22"/>
        </w:rPr>
      </w:pPr>
      <w:r>
        <w:t>A sensitivity analysis was conducted to examine</w:t>
      </w:r>
      <w:r w:rsidR="002264DF">
        <w:t xml:space="preserve"> the validity of using </w:t>
      </w:r>
      <w:r>
        <w:t>the annual</w:t>
      </w:r>
      <w:r w:rsidR="002264DF">
        <w:t xml:space="preserve"> average temperature </w:t>
      </w:r>
      <w:r>
        <w:t>instead of</w:t>
      </w:r>
      <w:r w:rsidR="002264DF">
        <w:t xml:space="preserve"> daily average temperature</w:t>
      </w:r>
      <w:r>
        <w:t xml:space="preserve"> to estimate the UES for this measure.</w:t>
      </w:r>
      <w:r>
        <w:rPr>
          <w:rStyle w:val="FootnoteReference"/>
        </w:rPr>
        <w:footnoteReference w:id="8"/>
      </w:r>
      <w:r w:rsidR="001D3555">
        <w:t xml:space="preserve"> </w:t>
      </w:r>
      <w:r w:rsidR="002264DF">
        <w:t xml:space="preserve">For climate zone 6, </w:t>
      </w:r>
      <w:r>
        <w:t>t</w:t>
      </w:r>
      <w:r w:rsidR="002264DF">
        <w:t>he savings using daily average temperature were on average, within 0.</w:t>
      </w:r>
      <w:r w:rsidR="00E22004">
        <w:t>0</w:t>
      </w:r>
      <w:r w:rsidR="009F2BB7">
        <w:t>6</w:t>
      </w:r>
      <w:r w:rsidR="002264DF">
        <w:t xml:space="preserve">% of the savings </w:t>
      </w:r>
      <w:r w:rsidR="001D3555">
        <w:t xml:space="preserve">results </w:t>
      </w:r>
      <w:r w:rsidR="002264DF">
        <w:t>using the yearly average temperature</w:t>
      </w:r>
      <w:r w:rsidR="001D3555">
        <w:t xml:space="preserve">. For climate zone 15, the savings estimated with daily average temperature were on average, within 0.03% of the savings estimated using the yearly average temperature. </w:t>
      </w:r>
      <w:r w:rsidR="001D3555">
        <w:rPr>
          <w:rFonts w:cstheme="minorHAnsi"/>
          <w:szCs w:val="22"/>
        </w:rPr>
        <w:t xml:space="preserve">Based on the results of the sensitivity analysis, the savings using the yearly average temperature seems to be an appropriate assumption for this </w:t>
      </w:r>
      <w:r w:rsidR="004E2A8B">
        <w:rPr>
          <w:rFonts w:cstheme="minorHAnsi"/>
          <w:szCs w:val="22"/>
        </w:rPr>
        <w:t>measure</w:t>
      </w:r>
      <w:r w:rsidR="001D3555">
        <w:rPr>
          <w:rFonts w:cstheme="minorHAnsi"/>
          <w:szCs w:val="22"/>
        </w:rPr>
        <w:t>.</w:t>
      </w:r>
    </w:p>
    <w:p w14:paraId="4BD9544A" w14:textId="7E74A889" w:rsidR="002264DF" w:rsidRPr="00887EC1" w:rsidRDefault="001D3555" w:rsidP="00F21ADC">
      <w:pPr>
        <w:pStyle w:val="Caption"/>
      </w:pPr>
      <w:r>
        <w:t xml:space="preserve">Sensitivity Analysis Results – Climate </w:t>
      </w:r>
      <w:r w:rsidR="002264DF" w:rsidRPr="00887EC1">
        <w:t>Zone 6</w:t>
      </w:r>
    </w:p>
    <w:tbl>
      <w:tblPr>
        <w:tblStyle w:val="TableContemporary"/>
        <w:tblW w:w="9194"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97"/>
        <w:gridCol w:w="1661"/>
        <w:gridCol w:w="1620"/>
        <w:gridCol w:w="1316"/>
      </w:tblGrid>
      <w:tr w:rsidR="002264DF" w:rsidRPr="00697868" w14:paraId="64B19FFB" w14:textId="77777777" w:rsidTr="001E206A">
        <w:trPr>
          <w:cnfStyle w:val="100000000000" w:firstRow="1" w:lastRow="0" w:firstColumn="0" w:lastColumn="0" w:oddVBand="0" w:evenVBand="0" w:oddHBand="0" w:evenHBand="0" w:firstRowFirstColumn="0" w:firstRowLastColumn="0" w:lastRowFirstColumn="0" w:lastRowLastColumn="0"/>
          <w:cantSplit/>
          <w:trHeight w:val="20"/>
          <w:jc w:val="center"/>
        </w:trPr>
        <w:tc>
          <w:tcPr>
            <w:tcW w:w="0" w:type="dxa"/>
            <w:shd w:val="clear" w:color="auto" w:fill="F2F2F2" w:themeFill="background1" w:themeFillShade="F2"/>
            <w:vAlign w:val="bottom"/>
          </w:tcPr>
          <w:p w14:paraId="6B838162" w14:textId="77777777" w:rsidR="002264DF" w:rsidRPr="001D3555" w:rsidRDefault="002264DF" w:rsidP="001D3555">
            <w:pPr>
              <w:spacing w:before="0" w:after="0" w:line="240" w:lineRule="auto"/>
              <w:jc w:val="center"/>
              <w:rPr>
                <w:rFonts w:cs="Calibri Light"/>
                <w:sz w:val="20"/>
              </w:rPr>
            </w:pPr>
            <w:r w:rsidRPr="001D3555">
              <w:rPr>
                <w:rFonts w:cs="Calibri Light"/>
                <w:sz w:val="20"/>
              </w:rPr>
              <w:t>Measure</w:t>
            </w:r>
          </w:p>
        </w:tc>
        <w:tc>
          <w:tcPr>
            <w:tcW w:w="0" w:type="dxa"/>
            <w:shd w:val="clear" w:color="auto" w:fill="F2F2F2" w:themeFill="background1" w:themeFillShade="F2"/>
            <w:vAlign w:val="bottom"/>
          </w:tcPr>
          <w:p w14:paraId="2F077906" w14:textId="77777777" w:rsidR="002264DF" w:rsidRPr="001D3555" w:rsidRDefault="002264DF" w:rsidP="001D3555">
            <w:pPr>
              <w:spacing w:before="0" w:after="0" w:line="240" w:lineRule="auto"/>
              <w:jc w:val="center"/>
              <w:rPr>
                <w:rFonts w:cs="Calibri Light"/>
                <w:sz w:val="20"/>
              </w:rPr>
            </w:pPr>
            <w:r w:rsidRPr="001D3555">
              <w:rPr>
                <w:rFonts w:cs="Calibri Light"/>
                <w:sz w:val="20"/>
              </w:rPr>
              <w:t>Sensitivity Analysis Savings (kWh)</w:t>
            </w:r>
          </w:p>
        </w:tc>
        <w:tc>
          <w:tcPr>
            <w:tcW w:w="0" w:type="dxa"/>
            <w:shd w:val="clear" w:color="auto" w:fill="F2F2F2" w:themeFill="background1" w:themeFillShade="F2"/>
            <w:vAlign w:val="bottom"/>
          </w:tcPr>
          <w:p w14:paraId="4CBAAEB9" w14:textId="77777777" w:rsidR="002264DF" w:rsidRPr="001D3555" w:rsidRDefault="002264DF" w:rsidP="001D3555">
            <w:pPr>
              <w:spacing w:before="0" w:after="0" w:line="240" w:lineRule="auto"/>
              <w:jc w:val="center"/>
              <w:rPr>
                <w:rFonts w:cs="Calibri Light"/>
                <w:sz w:val="20"/>
              </w:rPr>
            </w:pPr>
            <w:r w:rsidRPr="001D3555">
              <w:rPr>
                <w:rFonts w:cs="Calibri Light"/>
                <w:sz w:val="20"/>
              </w:rPr>
              <w:t>Original Savings (kWh)</w:t>
            </w:r>
          </w:p>
        </w:tc>
        <w:tc>
          <w:tcPr>
            <w:tcW w:w="0" w:type="dxa"/>
            <w:shd w:val="clear" w:color="auto" w:fill="F2F2F2" w:themeFill="background1" w:themeFillShade="F2"/>
            <w:vAlign w:val="bottom"/>
          </w:tcPr>
          <w:p w14:paraId="30CDDD5A" w14:textId="77777777" w:rsidR="002264DF" w:rsidRPr="001D3555" w:rsidRDefault="002264DF" w:rsidP="001D3555">
            <w:pPr>
              <w:spacing w:before="0" w:after="0" w:line="240" w:lineRule="auto"/>
              <w:jc w:val="center"/>
              <w:rPr>
                <w:rFonts w:cs="Calibri Light"/>
                <w:sz w:val="20"/>
              </w:rPr>
            </w:pPr>
            <w:r w:rsidRPr="001D3555">
              <w:rPr>
                <w:rFonts w:cs="Calibri Light"/>
                <w:sz w:val="20"/>
              </w:rPr>
              <w:t>% Difference in Savings</w:t>
            </w:r>
          </w:p>
        </w:tc>
      </w:tr>
      <w:tr w:rsidR="002264DF" w:rsidRPr="00A21C06" w14:paraId="7178D446" w14:textId="77777777" w:rsidTr="001D3555">
        <w:trPr>
          <w:cnfStyle w:val="000000100000" w:firstRow="0" w:lastRow="0" w:firstColumn="0" w:lastColumn="0" w:oddVBand="0" w:evenVBand="0" w:oddHBand="1" w:evenHBand="0" w:firstRowFirstColumn="0" w:firstRowLastColumn="0" w:lastRowFirstColumn="0" w:lastRowLastColumn="0"/>
          <w:cantSplit/>
          <w:trHeight w:val="20"/>
          <w:jc w:val="center"/>
        </w:trPr>
        <w:tc>
          <w:tcPr>
            <w:tcW w:w="4597" w:type="dxa"/>
            <w:shd w:val="clear" w:color="auto" w:fill="auto"/>
          </w:tcPr>
          <w:p w14:paraId="0D535BAB" w14:textId="77777777" w:rsidR="002264DF" w:rsidRPr="001D3555" w:rsidRDefault="002264DF" w:rsidP="001D3555">
            <w:pPr>
              <w:spacing w:before="0" w:after="0" w:line="240" w:lineRule="auto"/>
              <w:rPr>
                <w:rFonts w:cs="Calibri Light"/>
                <w:sz w:val="20"/>
              </w:rPr>
            </w:pPr>
            <w:r w:rsidRPr="001D3555">
              <w:rPr>
                <w:rFonts w:cs="Calibri Light"/>
                <w:sz w:val="20"/>
              </w:rPr>
              <w:t>37-199 kW Backup Generator with Circulating Block Heater replacing Undersized Thermosiphon Heater</w:t>
            </w:r>
          </w:p>
        </w:tc>
        <w:tc>
          <w:tcPr>
            <w:tcW w:w="1661" w:type="dxa"/>
            <w:shd w:val="clear" w:color="auto" w:fill="auto"/>
            <w:vAlign w:val="center"/>
          </w:tcPr>
          <w:p w14:paraId="51F06FC9" w14:textId="5ECC6623" w:rsidR="002264DF" w:rsidRPr="001D3555" w:rsidRDefault="0073572E" w:rsidP="001D3555">
            <w:pPr>
              <w:spacing w:before="0" w:after="0" w:line="240" w:lineRule="auto"/>
              <w:jc w:val="center"/>
              <w:rPr>
                <w:rFonts w:cs="Calibri Light"/>
                <w:sz w:val="20"/>
              </w:rPr>
            </w:pPr>
            <w:r>
              <w:rPr>
                <w:rFonts w:cs="Calibri Light"/>
                <w:sz w:val="20"/>
              </w:rPr>
              <w:t>4,</w:t>
            </w:r>
            <w:r w:rsidR="00E22004">
              <w:rPr>
                <w:rFonts w:cs="Calibri Light"/>
                <w:sz w:val="20"/>
              </w:rPr>
              <w:t>039</w:t>
            </w:r>
          </w:p>
        </w:tc>
        <w:tc>
          <w:tcPr>
            <w:tcW w:w="1620" w:type="dxa"/>
            <w:shd w:val="clear" w:color="auto" w:fill="auto"/>
            <w:vAlign w:val="center"/>
          </w:tcPr>
          <w:p w14:paraId="0FFD427F" w14:textId="62773D2E" w:rsidR="002264DF" w:rsidRPr="001D3555" w:rsidRDefault="002264DF" w:rsidP="001D3555">
            <w:pPr>
              <w:spacing w:before="0" w:after="0" w:line="240" w:lineRule="auto"/>
              <w:jc w:val="center"/>
              <w:rPr>
                <w:rFonts w:cs="Calibri Light"/>
                <w:sz w:val="20"/>
              </w:rPr>
            </w:pPr>
            <w:r w:rsidRPr="001D3555">
              <w:rPr>
                <w:rFonts w:cs="Calibri Light"/>
                <w:sz w:val="20"/>
              </w:rPr>
              <w:t xml:space="preserve"> </w:t>
            </w:r>
            <w:r w:rsidR="0073572E">
              <w:rPr>
                <w:rFonts w:cs="Calibri Light"/>
                <w:sz w:val="20"/>
              </w:rPr>
              <w:t>4,</w:t>
            </w:r>
            <w:r w:rsidR="00E22004">
              <w:rPr>
                <w:rFonts w:cs="Calibri Light"/>
                <w:sz w:val="20"/>
              </w:rPr>
              <w:t>037</w:t>
            </w:r>
            <w:r w:rsidRPr="001D3555">
              <w:rPr>
                <w:rFonts w:cs="Calibri Light"/>
                <w:sz w:val="20"/>
              </w:rPr>
              <w:t xml:space="preserve"> </w:t>
            </w:r>
          </w:p>
        </w:tc>
        <w:tc>
          <w:tcPr>
            <w:tcW w:w="1316" w:type="dxa"/>
            <w:shd w:val="clear" w:color="auto" w:fill="auto"/>
            <w:vAlign w:val="center"/>
          </w:tcPr>
          <w:p w14:paraId="01ECB8C3" w14:textId="13730034" w:rsidR="002264DF" w:rsidRPr="001D3555" w:rsidRDefault="00E22004" w:rsidP="001D3555">
            <w:pPr>
              <w:spacing w:before="0" w:after="0" w:line="240" w:lineRule="auto"/>
              <w:jc w:val="center"/>
              <w:rPr>
                <w:rFonts w:cs="Calibri Light"/>
                <w:sz w:val="20"/>
              </w:rPr>
            </w:pPr>
            <w:r>
              <w:rPr>
                <w:rFonts w:cs="Calibri Light"/>
                <w:sz w:val="20"/>
              </w:rPr>
              <w:t>-</w:t>
            </w:r>
            <w:r w:rsidR="002264DF" w:rsidRPr="001D3555">
              <w:rPr>
                <w:rFonts w:cs="Calibri Light"/>
                <w:sz w:val="20"/>
              </w:rPr>
              <w:t>0.</w:t>
            </w:r>
            <w:r w:rsidRPr="001D3555">
              <w:rPr>
                <w:rFonts w:cs="Calibri Light"/>
                <w:sz w:val="20"/>
              </w:rPr>
              <w:t>0</w:t>
            </w:r>
            <w:r>
              <w:rPr>
                <w:rFonts w:cs="Calibri Light"/>
                <w:sz w:val="20"/>
              </w:rPr>
              <w:t>5</w:t>
            </w:r>
            <w:r w:rsidR="002264DF" w:rsidRPr="001D3555">
              <w:rPr>
                <w:rFonts w:cs="Calibri Light"/>
                <w:sz w:val="20"/>
              </w:rPr>
              <w:t>%</w:t>
            </w:r>
          </w:p>
        </w:tc>
      </w:tr>
      <w:tr w:rsidR="002264DF" w:rsidRPr="00A21C06" w14:paraId="4BFD0950" w14:textId="77777777" w:rsidTr="001D3555">
        <w:trPr>
          <w:cnfStyle w:val="000000010000" w:firstRow="0" w:lastRow="0" w:firstColumn="0" w:lastColumn="0" w:oddVBand="0" w:evenVBand="0" w:oddHBand="0" w:evenHBand="1" w:firstRowFirstColumn="0" w:firstRowLastColumn="0" w:lastRowFirstColumn="0" w:lastRowLastColumn="0"/>
          <w:cantSplit/>
          <w:trHeight w:val="20"/>
          <w:jc w:val="center"/>
        </w:trPr>
        <w:tc>
          <w:tcPr>
            <w:tcW w:w="4597" w:type="dxa"/>
            <w:shd w:val="clear" w:color="auto" w:fill="auto"/>
          </w:tcPr>
          <w:p w14:paraId="43746D8E" w14:textId="5A92A175" w:rsidR="002264DF" w:rsidRPr="001D3555" w:rsidRDefault="002264DF" w:rsidP="001D3555">
            <w:pPr>
              <w:spacing w:before="0" w:after="0" w:line="240" w:lineRule="auto"/>
              <w:rPr>
                <w:rFonts w:cs="Calibri Light"/>
                <w:sz w:val="20"/>
              </w:rPr>
            </w:pPr>
            <w:r w:rsidRPr="001D3555">
              <w:rPr>
                <w:rFonts w:cs="Calibri Light"/>
                <w:sz w:val="20"/>
              </w:rPr>
              <w:t>200-799 kW Backup Generator with Circulating Block Heater replacing Undersized Thermosiphon Heater</w:t>
            </w:r>
            <w:r w:rsidR="00213C1B" w:rsidRPr="001D3555">
              <w:rPr>
                <w:rFonts w:cs="Calibri Light"/>
                <w:sz w:val="20"/>
              </w:rPr>
              <w:t>.</w:t>
            </w:r>
          </w:p>
        </w:tc>
        <w:tc>
          <w:tcPr>
            <w:tcW w:w="1661" w:type="dxa"/>
            <w:shd w:val="clear" w:color="auto" w:fill="auto"/>
            <w:vAlign w:val="center"/>
          </w:tcPr>
          <w:p w14:paraId="649BAF2F" w14:textId="3DDB9359" w:rsidR="002264DF" w:rsidRPr="001D3555" w:rsidRDefault="002264DF" w:rsidP="001D3555">
            <w:pPr>
              <w:spacing w:before="0" w:after="0" w:line="240" w:lineRule="auto"/>
              <w:jc w:val="center"/>
              <w:rPr>
                <w:rFonts w:cs="Calibri Light"/>
                <w:sz w:val="20"/>
              </w:rPr>
            </w:pPr>
            <w:r w:rsidRPr="001D3555">
              <w:rPr>
                <w:rFonts w:cs="Calibri Light"/>
                <w:sz w:val="20"/>
              </w:rPr>
              <w:t>3,</w:t>
            </w:r>
            <w:r w:rsidR="00E22004">
              <w:rPr>
                <w:rFonts w:cs="Calibri Light"/>
                <w:sz w:val="20"/>
              </w:rPr>
              <w:t>233</w:t>
            </w:r>
          </w:p>
        </w:tc>
        <w:tc>
          <w:tcPr>
            <w:tcW w:w="1620" w:type="dxa"/>
            <w:shd w:val="clear" w:color="auto" w:fill="auto"/>
            <w:vAlign w:val="center"/>
          </w:tcPr>
          <w:p w14:paraId="439C8CAB" w14:textId="2BB0899C" w:rsidR="002264DF" w:rsidRPr="001D3555" w:rsidRDefault="002264DF" w:rsidP="001D3555">
            <w:pPr>
              <w:spacing w:before="0" w:after="0" w:line="240" w:lineRule="auto"/>
              <w:jc w:val="center"/>
              <w:rPr>
                <w:rFonts w:cs="Calibri Light"/>
                <w:sz w:val="20"/>
              </w:rPr>
            </w:pPr>
            <w:r w:rsidRPr="001D3555">
              <w:rPr>
                <w:rFonts w:cs="Calibri Light"/>
                <w:sz w:val="20"/>
              </w:rPr>
              <w:t xml:space="preserve"> </w:t>
            </w:r>
            <w:r w:rsidR="00EC4D3C">
              <w:rPr>
                <w:rFonts w:cs="Calibri Light"/>
                <w:sz w:val="20"/>
              </w:rPr>
              <w:t>3,</w:t>
            </w:r>
            <w:r w:rsidR="00E22004">
              <w:rPr>
                <w:rFonts w:cs="Calibri Light"/>
                <w:sz w:val="20"/>
              </w:rPr>
              <w:t>231</w:t>
            </w:r>
            <w:r w:rsidRPr="001D3555">
              <w:rPr>
                <w:rFonts w:cs="Calibri Light"/>
                <w:sz w:val="20"/>
              </w:rPr>
              <w:t xml:space="preserve"> </w:t>
            </w:r>
          </w:p>
        </w:tc>
        <w:tc>
          <w:tcPr>
            <w:tcW w:w="1316" w:type="dxa"/>
            <w:shd w:val="clear" w:color="auto" w:fill="auto"/>
            <w:vAlign w:val="center"/>
          </w:tcPr>
          <w:p w14:paraId="67CD59DB" w14:textId="2E9BFC11" w:rsidR="002264DF" w:rsidRPr="001D3555" w:rsidRDefault="00E22004" w:rsidP="001D3555">
            <w:pPr>
              <w:spacing w:before="0" w:after="0" w:line="240" w:lineRule="auto"/>
              <w:jc w:val="center"/>
              <w:rPr>
                <w:rFonts w:cs="Calibri Light"/>
                <w:sz w:val="20"/>
              </w:rPr>
            </w:pPr>
            <w:r>
              <w:rPr>
                <w:rFonts w:cs="Calibri Light"/>
                <w:sz w:val="20"/>
              </w:rPr>
              <w:t>-</w:t>
            </w:r>
            <w:r w:rsidR="002264DF" w:rsidRPr="001D3555">
              <w:rPr>
                <w:rFonts w:cs="Calibri Light"/>
                <w:sz w:val="20"/>
              </w:rPr>
              <w:t>0.</w:t>
            </w:r>
            <w:r w:rsidRPr="001D3555">
              <w:rPr>
                <w:rFonts w:cs="Calibri Light"/>
                <w:sz w:val="20"/>
              </w:rPr>
              <w:t>0</w:t>
            </w:r>
            <w:r>
              <w:rPr>
                <w:rFonts w:cs="Calibri Light"/>
                <w:sz w:val="20"/>
              </w:rPr>
              <w:t>6</w:t>
            </w:r>
            <w:r w:rsidR="002264DF" w:rsidRPr="001D3555">
              <w:rPr>
                <w:rFonts w:cs="Calibri Light"/>
                <w:sz w:val="20"/>
              </w:rPr>
              <w:t>%</w:t>
            </w:r>
          </w:p>
        </w:tc>
      </w:tr>
    </w:tbl>
    <w:p w14:paraId="037DCF57" w14:textId="77777777" w:rsidR="001D3555" w:rsidRDefault="001D3555" w:rsidP="001D3555"/>
    <w:p w14:paraId="32F2230E" w14:textId="137E10BC" w:rsidR="002264DF" w:rsidRPr="007D0D3B" w:rsidRDefault="001D3555" w:rsidP="00F21ADC">
      <w:pPr>
        <w:pStyle w:val="Caption"/>
      </w:pPr>
      <w:r>
        <w:t>Sensitivity Analysis – C</w:t>
      </w:r>
      <w:r w:rsidR="002264DF" w:rsidRPr="007D0D3B">
        <w:t>limate Zone 15</w:t>
      </w:r>
    </w:p>
    <w:tbl>
      <w:tblPr>
        <w:tblStyle w:val="TableContemporary"/>
        <w:tblW w:w="9187"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94"/>
        <w:gridCol w:w="1710"/>
        <w:gridCol w:w="1567"/>
        <w:gridCol w:w="1316"/>
      </w:tblGrid>
      <w:tr w:rsidR="002264DF" w:rsidRPr="00697868" w14:paraId="0FFEF102" w14:textId="77777777" w:rsidTr="001E206A">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F2F2F2" w:themeFill="background1" w:themeFillShade="F2"/>
            <w:vAlign w:val="bottom"/>
          </w:tcPr>
          <w:p w14:paraId="0E37A668" w14:textId="77777777" w:rsidR="002264DF" w:rsidRPr="00213C1B" w:rsidRDefault="002264DF" w:rsidP="00213C1B">
            <w:pPr>
              <w:spacing w:before="0" w:after="0"/>
              <w:jc w:val="center"/>
              <w:rPr>
                <w:rFonts w:cs="Calibri Light"/>
                <w:sz w:val="20"/>
              </w:rPr>
            </w:pPr>
            <w:r w:rsidRPr="00213C1B">
              <w:rPr>
                <w:rFonts w:cs="Calibri Light"/>
                <w:sz w:val="20"/>
              </w:rPr>
              <w:t>Measure</w:t>
            </w:r>
          </w:p>
        </w:tc>
        <w:tc>
          <w:tcPr>
            <w:tcW w:w="0" w:type="dxa"/>
            <w:shd w:val="clear" w:color="auto" w:fill="F2F2F2" w:themeFill="background1" w:themeFillShade="F2"/>
            <w:vAlign w:val="bottom"/>
          </w:tcPr>
          <w:p w14:paraId="07F7AC5A" w14:textId="77777777" w:rsidR="002264DF" w:rsidRPr="00213C1B" w:rsidRDefault="002264DF" w:rsidP="00213C1B">
            <w:pPr>
              <w:spacing w:before="0" w:after="0"/>
              <w:jc w:val="center"/>
              <w:rPr>
                <w:rFonts w:cs="Calibri Light"/>
                <w:sz w:val="20"/>
              </w:rPr>
            </w:pPr>
            <w:r w:rsidRPr="00213C1B">
              <w:rPr>
                <w:rFonts w:cs="Calibri Light"/>
                <w:sz w:val="20"/>
              </w:rPr>
              <w:t>Sensitivity Analysis Savings (kWh)</w:t>
            </w:r>
          </w:p>
        </w:tc>
        <w:tc>
          <w:tcPr>
            <w:tcW w:w="0" w:type="dxa"/>
            <w:shd w:val="clear" w:color="auto" w:fill="F2F2F2" w:themeFill="background1" w:themeFillShade="F2"/>
            <w:vAlign w:val="bottom"/>
          </w:tcPr>
          <w:p w14:paraId="439BBC3E" w14:textId="77777777" w:rsidR="002264DF" w:rsidRPr="00213C1B" w:rsidRDefault="002264DF" w:rsidP="00213C1B">
            <w:pPr>
              <w:spacing w:before="0" w:after="0"/>
              <w:jc w:val="center"/>
              <w:rPr>
                <w:rFonts w:cs="Calibri Light"/>
                <w:sz w:val="20"/>
              </w:rPr>
            </w:pPr>
            <w:r w:rsidRPr="00213C1B">
              <w:rPr>
                <w:rFonts w:cs="Calibri Light"/>
                <w:sz w:val="20"/>
              </w:rPr>
              <w:t>Original Savings (kWh)</w:t>
            </w:r>
          </w:p>
        </w:tc>
        <w:tc>
          <w:tcPr>
            <w:tcW w:w="0" w:type="dxa"/>
            <w:shd w:val="clear" w:color="auto" w:fill="F2F2F2" w:themeFill="background1" w:themeFillShade="F2"/>
            <w:vAlign w:val="bottom"/>
          </w:tcPr>
          <w:p w14:paraId="489179EA" w14:textId="77777777" w:rsidR="002264DF" w:rsidRPr="00213C1B" w:rsidRDefault="002264DF" w:rsidP="00213C1B">
            <w:pPr>
              <w:spacing w:before="0" w:after="0"/>
              <w:jc w:val="center"/>
              <w:rPr>
                <w:rFonts w:cs="Calibri Light"/>
                <w:sz w:val="20"/>
              </w:rPr>
            </w:pPr>
            <w:r w:rsidRPr="00213C1B">
              <w:rPr>
                <w:rFonts w:cs="Calibri Light"/>
                <w:sz w:val="20"/>
              </w:rPr>
              <w:t>% Difference in Savings</w:t>
            </w:r>
          </w:p>
        </w:tc>
      </w:tr>
      <w:tr w:rsidR="002264DF" w:rsidRPr="00A21C06" w14:paraId="5AAF4658" w14:textId="77777777" w:rsidTr="00213C1B">
        <w:trPr>
          <w:cnfStyle w:val="000000100000" w:firstRow="0" w:lastRow="0" w:firstColumn="0" w:lastColumn="0" w:oddVBand="0" w:evenVBand="0" w:oddHBand="1" w:evenHBand="0" w:firstRowFirstColumn="0" w:firstRowLastColumn="0" w:lastRowFirstColumn="0" w:lastRowLastColumn="0"/>
          <w:trHeight w:val="243"/>
          <w:jc w:val="center"/>
        </w:trPr>
        <w:tc>
          <w:tcPr>
            <w:tcW w:w="4594" w:type="dxa"/>
            <w:shd w:val="clear" w:color="auto" w:fill="auto"/>
          </w:tcPr>
          <w:p w14:paraId="42709BE3" w14:textId="77777777" w:rsidR="002264DF" w:rsidRPr="00213C1B" w:rsidRDefault="002264DF" w:rsidP="00213C1B">
            <w:pPr>
              <w:spacing w:before="0" w:after="0"/>
              <w:rPr>
                <w:rFonts w:cs="Calibri Light"/>
                <w:sz w:val="20"/>
              </w:rPr>
            </w:pPr>
            <w:r w:rsidRPr="00213C1B">
              <w:rPr>
                <w:rFonts w:cs="Calibri Light"/>
                <w:sz w:val="20"/>
              </w:rPr>
              <w:t>37-199 kW Backup Generator with Circulating Block Heater replacing Undersized Thermosiphon Heater</w:t>
            </w:r>
          </w:p>
        </w:tc>
        <w:tc>
          <w:tcPr>
            <w:tcW w:w="1710" w:type="dxa"/>
            <w:shd w:val="clear" w:color="auto" w:fill="auto"/>
            <w:vAlign w:val="center"/>
          </w:tcPr>
          <w:p w14:paraId="75193C36" w14:textId="3121DC36" w:rsidR="002264DF" w:rsidRPr="00213C1B" w:rsidRDefault="002264DF" w:rsidP="00213C1B">
            <w:pPr>
              <w:spacing w:before="0" w:after="0"/>
              <w:jc w:val="center"/>
              <w:rPr>
                <w:rFonts w:cs="Calibri Light"/>
                <w:sz w:val="20"/>
              </w:rPr>
            </w:pPr>
            <w:r w:rsidRPr="00213C1B">
              <w:rPr>
                <w:rFonts w:cs="Calibri Light"/>
                <w:sz w:val="20"/>
              </w:rPr>
              <w:t xml:space="preserve"> 4</w:t>
            </w:r>
            <w:r w:rsidR="00EC4D3C">
              <w:rPr>
                <w:rFonts w:cs="Calibri Light"/>
                <w:sz w:val="20"/>
              </w:rPr>
              <w:t>,601</w:t>
            </w:r>
            <w:r w:rsidRPr="00213C1B">
              <w:rPr>
                <w:rFonts w:cs="Calibri Light"/>
                <w:sz w:val="20"/>
              </w:rPr>
              <w:t xml:space="preserve"> </w:t>
            </w:r>
          </w:p>
        </w:tc>
        <w:tc>
          <w:tcPr>
            <w:tcW w:w="1567" w:type="dxa"/>
            <w:shd w:val="clear" w:color="auto" w:fill="auto"/>
            <w:vAlign w:val="center"/>
          </w:tcPr>
          <w:p w14:paraId="6427E145" w14:textId="441A27D5" w:rsidR="002264DF" w:rsidRPr="00213C1B" w:rsidRDefault="00EC4D3C" w:rsidP="00213C1B">
            <w:pPr>
              <w:spacing w:before="0" w:after="0"/>
              <w:jc w:val="center"/>
              <w:rPr>
                <w:rFonts w:cs="Calibri Light"/>
                <w:sz w:val="20"/>
              </w:rPr>
            </w:pPr>
            <w:r w:rsidRPr="00213C1B">
              <w:rPr>
                <w:rFonts w:cs="Calibri Light"/>
                <w:sz w:val="20"/>
              </w:rPr>
              <w:t>4</w:t>
            </w:r>
            <w:r>
              <w:rPr>
                <w:rFonts w:cs="Calibri Light"/>
                <w:sz w:val="20"/>
              </w:rPr>
              <w:t>,60</w:t>
            </w:r>
            <w:r w:rsidR="00E22004">
              <w:rPr>
                <w:rFonts w:cs="Calibri Light"/>
                <w:sz w:val="20"/>
              </w:rPr>
              <w:t>2</w:t>
            </w:r>
          </w:p>
        </w:tc>
        <w:tc>
          <w:tcPr>
            <w:tcW w:w="1316" w:type="dxa"/>
            <w:shd w:val="clear" w:color="auto" w:fill="auto"/>
            <w:vAlign w:val="center"/>
          </w:tcPr>
          <w:p w14:paraId="68FA056E" w14:textId="7F1B6F53" w:rsidR="002264DF" w:rsidRPr="00213C1B" w:rsidRDefault="002264DF" w:rsidP="00213C1B">
            <w:pPr>
              <w:spacing w:before="0" w:after="0"/>
              <w:jc w:val="center"/>
              <w:rPr>
                <w:rFonts w:cs="Calibri Light"/>
                <w:sz w:val="20"/>
              </w:rPr>
            </w:pPr>
            <w:r w:rsidRPr="00213C1B">
              <w:rPr>
                <w:rFonts w:cs="Calibri Light"/>
                <w:sz w:val="20"/>
              </w:rPr>
              <w:t>0.</w:t>
            </w:r>
            <w:r w:rsidR="00E22004" w:rsidRPr="00213C1B">
              <w:rPr>
                <w:rFonts w:cs="Calibri Light"/>
                <w:sz w:val="20"/>
              </w:rPr>
              <w:t>0</w:t>
            </w:r>
            <w:r w:rsidR="00E22004">
              <w:rPr>
                <w:rFonts w:cs="Calibri Light"/>
                <w:sz w:val="20"/>
              </w:rPr>
              <w:t>2</w:t>
            </w:r>
            <w:r w:rsidRPr="00213C1B">
              <w:rPr>
                <w:rFonts w:cs="Calibri Light"/>
                <w:sz w:val="20"/>
              </w:rPr>
              <w:t>%</w:t>
            </w:r>
          </w:p>
        </w:tc>
      </w:tr>
      <w:tr w:rsidR="002264DF" w:rsidRPr="00A21C06" w14:paraId="6E837466" w14:textId="77777777" w:rsidTr="00213C1B">
        <w:trPr>
          <w:cnfStyle w:val="000000010000" w:firstRow="0" w:lastRow="0" w:firstColumn="0" w:lastColumn="0" w:oddVBand="0" w:evenVBand="0" w:oddHBand="0" w:evenHBand="1" w:firstRowFirstColumn="0" w:firstRowLastColumn="0" w:lastRowFirstColumn="0" w:lastRowLastColumn="0"/>
          <w:trHeight w:val="243"/>
          <w:jc w:val="center"/>
        </w:trPr>
        <w:tc>
          <w:tcPr>
            <w:tcW w:w="4594" w:type="dxa"/>
            <w:shd w:val="clear" w:color="auto" w:fill="auto"/>
          </w:tcPr>
          <w:p w14:paraId="112A81B4" w14:textId="77777777" w:rsidR="002264DF" w:rsidRPr="00213C1B" w:rsidRDefault="002264DF" w:rsidP="00213C1B">
            <w:pPr>
              <w:spacing w:before="0" w:after="0"/>
              <w:rPr>
                <w:rFonts w:cs="Calibri Light"/>
                <w:sz w:val="20"/>
              </w:rPr>
            </w:pPr>
            <w:r w:rsidRPr="00213C1B">
              <w:rPr>
                <w:rFonts w:cs="Calibri Light"/>
                <w:sz w:val="20"/>
              </w:rPr>
              <w:t>200-799 kW Backup Generator with Circulating Block Heater replacing Undersized Thermosiphon Heater</w:t>
            </w:r>
          </w:p>
        </w:tc>
        <w:tc>
          <w:tcPr>
            <w:tcW w:w="1710" w:type="dxa"/>
            <w:shd w:val="clear" w:color="auto" w:fill="auto"/>
            <w:vAlign w:val="center"/>
          </w:tcPr>
          <w:p w14:paraId="26BE80CD" w14:textId="5A8AB8B7" w:rsidR="002264DF" w:rsidRPr="00213C1B" w:rsidRDefault="002264DF" w:rsidP="00213C1B">
            <w:pPr>
              <w:spacing w:before="0" w:after="0"/>
              <w:jc w:val="center"/>
              <w:rPr>
                <w:rFonts w:cs="Calibri Light"/>
                <w:sz w:val="20"/>
              </w:rPr>
            </w:pPr>
            <w:r w:rsidRPr="00213C1B">
              <w:rPr>
                <w:rFonts w:cs="Calibri Light"/>
                <w:sz w:val="20"/>
              </w:rPr>
              <w:t xml:space="preserve"> 3,</w:t>
            </w:r>
            <w:r w:rsidR="00EC4D3C" w:rsidRPr="00213C1B">
              <w:rPr>
                <w:rFonts w:cs="Calibri Light"/>
                <w:sz w:val="20"/>
              </w:rPr>
              <w:t>7</w:t>
            </w:r>
            <w:r w:rsidR="00EC4D3C">
              <w:rPr>
                <w:rFonts w:cs="Calibri Light"/>
                <w:sz w:val="20"/>
              </w:rPr>
              <w:t>82</w:t>
            </w:r>
            <w:r w:rsidR="00EC4D3C" w:rsidRPr="00213C1B">
              <w:rPr>
                <w:rFonts w:cs="Calibri Light"/>
                <w:sz w:val="20"/>
              </w:rPr>
              <w:t xml:space="preserve"> </w:t>
            </w:r>
          </w:p>
        </w:tc>
        <w:tc>
          <w:tcPr>
            <w:tcW w:w="1567" w:type="dxa"/>
            <w:shd w:val="clear" w:color="auto" w:fill="auto"/>
            <w:vAlign w:val="center"/>
          </w:tcPr>
          <w:p w14:paraId="75600AF7" w14:textId="16DD1E2C" w:rsidR="002264DF" w:rsidRPr="00213C1B" w:rsidRDefault="00EC4D3C" w:rsidP="00213C1B">
            <w:pPr>
              <w:spacing w:before="0" w:after="0"/>
              <w:jc w:val="center"/>
              <w:rPr>
                <w:rFonts w:cs="Calibri Light"/>
                <w:sz w:val="20"/>
              </w:rPr>
            </w:pPr>
            <w:r w:rsidRPr="00213C1B">
              <w:rPr>
                <w:rFonts w:cs="Calibri Light"/>
                <w:sz w:val="20"/>
              </w:rPr>
              <w:t>3,7</w:t>
            </w:r>
            <w:r>
              <w:rPr>
                <w:rFonts w:cs="Calibri Light"/>
                <w:sz w:val="20"/>
              </w:rPr>
              <w:t>8</w:t>
            </w:r>
            <w:r w:rsidR="00E22004">
              <w:rPr>
                <w:rFonts w:cs="Calibri Light"/>
                <w:sz w:val="20"/>
              </w:rPr>
              <w:t>3</w:t>
            </w:r>
            <w:r w:rsidR="002264DF" w:rsidRPr="00213C1B">
              <w:rPr>
                <w:rFonts w:cs="Calibri Light"/>
                <w:sz w:val="20"/>
              </w:rPr>
              <w:t xml:space="preserve"> </w:t>
            </w:r>
          </w:p>
        </w:tc>
        <w:tc>
          <w:tcPr>
            <w:tcW w:w="1316" w:type="dxa"/>
            <w:shd w:val="clear" w:color="auto" w:fill="auto"/>
            <w:vAlign w:val="center"/>
          </w:tcPr>
          <w:p w14:paraId="0091A56A" w14:textId="65751179" w:rsidR="002264DF" w:rsidRPr="00213C1B" w:rsidRDefault="002264DF" w:rsidP="00213C1B">
            <w:pPr>
              <w:spacing w:before="0" w:after="0"/>
              <w:jc w:val="center"/>
              <w:rPr>
                <w:rFonts w:cs="Calibri Light"/>
                <w:sz w:val="20"/>
              </w:rPr>
            </w:pPr>
            <w:r w:rsidRPr="00213C1B">
              <w:rPr>
                <w:rFonts w:cs="Calibri Light"/>
                <w:sz w:val="20"/>
              </w:rPr>
              <w:t>0.</w:t>
            </w:r>
            <w:r w:rsidR="00E22004" w:rsidRPr="00213C1B">
              <w:rPr>
                <w:rFonts w:cs="Calibri Light"/>
                <w:sz w:val="20"/>
              </w:rPr>
              <w:t>0</w:t>
            </w:r>
            <w:r w:rsidR="00E22004">
              <w:rPr>
                <w:rFonts w:cs="Calibri Light"/>
                <w:sz w:val="20"/>
              </w:rPr>
              <w:t>3</w:t>
            </w:r>
            <w:r w:rsidRPr="00213C1B">
              <w:rPr>
                <w:rFonts w:cs="Calibri Light"/>
                <w:sz w:val="20"/>
              </w:rPr>
              <w:t>%</w:t>
            </w:r>
          </w:p>
        </w:tc>
      </w:tr>
    </w:tbl>
    <w:p w14:paraId="38BA4C77" w14:textId="77777777" w:rsidR="005E2F57" w:rsidRDefault="005E2F57" w:rsidP="004B06E3"/>
    <w:p w14:paraId="46B7702E" w14:textId="77777777" w:rsidR="00BB4F22" w:rsidRPr="004B06E3" w:rsidRDefault="00BB4F22" w:rsidP="00FC1117">
      <w:pPr>
        <w:pStyle w:val="eTRMHeading3"/>
      </w:pPr>
      <w:bookmarkStart w:id="39" w:name="_Toc486490856"/>
      <w:bookmarkStart w:id="40" w:name="_Toc486580927"/>
      <w:bookmarkStart w:id="41" w:name="_Toc69149917"/>
      <w:r w:rsidRPr="004B06E3">
        <w:t>Peak Electric Demand Reduction (kW)</w:t>
      </w:r>
      <w:bookmarkEnd w:id="39"/>
      <w:bookmarkEnd w:id="40"/>
      <w:bookmarkEnd w:id="41"/>
    </w:p>
    <w:p w14:paraId="4616332A" w14:textId="5E26772E" w:rsidR="002264DF" w:rsidRDefault="002264DF" w:rsidP="00583D4A">
      <w:r>
        <w:t xml:space="preserve">The </w:t>
      </w:r>
      <w:r w:rsidR="001D3555">
        <w:t>peak d</w:t>
      </w:r>
      <w:r>
        <w:t>emand reduction for</w:t>
      </w:r>
      <w:r w:rsidR="001D3555">
        <w:t xml:space="preserve"> this measure was calculated </w:t>
      </w:r>
      <w:r>
        <w:t xml:space="preserve">by </w:t>
      </w:r>
      <w:r w:rsidR="001D3555">
        <w:t xml:space="preserve">dividing </w:t>
      </w:r>
      <w:r>
        <w:t xml:space="preserve">the </w:t>
      </w:r>
      <w:r w:rsidR="001D3555">
        <w:t xml:space="preserve">estimated annual unit </w:t>
      </w:r>
      <w:r>
        <w:t xml:space="preserve">energy </w:t>
      </w:r>
      <w:proofErr w:type="gramStart"/>
      <w:r>
        <w:t>savings</w:t>
      </w:r>
      <w:r w:rsidR="004E2A8B">
        <w:t>(</w:t>
      </w:r>
      <w:proofErr w:type="gramEnd"/>
      <w:r w:rsidR="004E2A8B">
        <w:t>UES)</w:t>
      </w:r>
      <w:r>
        <w:t xml:space="preserve"> by the total operating hours. </w:t>
      </w:r>
      <w:r w:rsidR="001D3555">
        <w:t>Because circulating block heaters</w:t>
      </w:r>
      <w:r>
        <w:t xml:space="preserve"> are typically installed on backup generators </w:t>
      </w:r>
      <w:r w:rsidR="001D3555">
        <w:t>that</w:t>
      </w:r>
      <w:r>
        <w:t xml:space="preserve"> are required to kick on when needed (when the power goes out), the energy savings calculations assume that the circulating block heaters are enabled continuously for 334 days out of the year (accounting for maintenance). A sample calculation </w:t>
      </w:r>
      <w:r w:rsidR="001D3555">
        <w:t xml:space="preserve">is provided below. </w:t>
      </w:r>
    </w:p>
    <w:p w14:paraId="5CB5A67A" w14:textId="77777777" w:rsidR="002264DF" w:rsidRDefault="002264DF" w:rsidP="002264DF">
      <w:pPr>
        <w:pStyle w:val="Reminder"/>
        <w:rPr>
          <w:rFonts w:asciiTheme="minorHAnsi" w:hAnsiTheme="minorHAnsi" w:cstheme="minorHAnsi"/>
          <w:i w:val="0"/>
          <w:color w:val="auto"/>
          <w:szCs w:val="22"/>
        </w:rPr>
      </w:pPr>
    </w:p>
    <w:p w14:paraId="3FC07674" w14:textId="14C39E14" w:rsidR="002264DF" w:rsidRDefault="002264DF" w:rsidP="002264DF">
      <w:r w:rsidRPr="0027206F">
        <w:rPr>
          <w:u w:val="single"/>
        </w:rPr>
        <w:t xml:space="preserve">Sample </w:t>
      </w:r>
      <w:r>
        <w:rPr>
          <w:u w:val="single"/>
        </w:rPr>
        <w:t>3</w:t>
      </w:r>
      <w:r>
        <w:t xml:space="preserve">: Climate Zone 6, site size category 1, baseline heater size 1 kW, new heater size 1 kW, annual operation 334 days / </w:t>
      </w:r>
      <w:r w:rsidR="001D3555">
        <w:t>per y</w:t>
      </w:r>
      <w:r>
        <w:t>ear.</w:t>
      </w:r>
    </w:p>
    <w:p w14:paraId="558D1BB4" w14:textId="77777777" w:rsidR="002264DF" w:rsidRPr="001D3555" w:rsidRDefault="002264DF" w:rsidP="001D3555">
      <w:pPr>
        <w:pStyle w:val="eTRMBulletedText"/>
      </w:pPr>
      <w:r w:rsidRPr="001D3555">
        <w:t>Designation: Undersized</w:t>
      </w:r>
    </w:p>
    <w:p w14:paraId="216CA0E2" w14:textId="580B5EE7" w:rsidR="002264DF" w:rsidRPr="001D3555" w:rsidRDefault="002264DF" w:rsidP="001D3555">
      <w:pPr>
        <w:pStyle w:val="eTRMBulletedText"/>
      </w:pPr>
      <w:r w:rsidRPr="001D3555">
        <w:t xml:space="preserve">Annual Average Temperature: </w:t>
      </w:r>
      <w:r w:rsidR="00972DA5" w:rsidRPr="001D3555">
        <w:t>6</w:t>
      </w:r>
      <w:r w:rsidR="00972DA5">
        <w:t>3</w:t>
      </w:r>
      <w:r w:rsidRPr="001D3555">
        <w:t>.</w:t>
      </w:r>
      <w:r w:rsidR="00972DA5">
        <w:t>9</w:t>
      </w:r>
      <w:r w:rsidR="001D4C9D">
        <w:t>5</w:t>
      </w:r>
      <w:r w:rsidRPr="001D3555">
        <w:rPr>
          <w:rFonts w:cstheme="minorHAnsi"/>
        </w:rPr>
        <w:t>°</w:t>
      </w:r>
      <w:r w:rsidRPr="001D3555">
        <w:t>F</w:t>
      </w:r>
    </w:p>
    <w:p w14:paraId="5F64C56F" w14:textId="1ABAED0D" w:rsidR="002264DF" w:rsidRPr="001D3555" w:rsidRDefault="001D3555" w:rsidP="001D3555">
      <w:pPr>
        <w:pStyle w:val="eTRMBulletedText"/>
      </w:pPr>
      <w:r>
        <w:t>Base Case</w:t>
      </w:r>
      <w:r w:rsidR="002264DF" w:rsidRPr="001D3555">
        <w:t xml:space="preserve"> Daily </w:t>
      </w:r>
      <w:r>
        <w:t>Usage (</w:t>
      </w:r>
      <w:r w:rsidR="002264DF" w:rsidRPr="001D3555">
        <w:t>kWh</w:t>
      </w:r>
      <w:r>
        <w:t>)</w:t>
      </w:r>
      <w:r w:rsidR="002264DF" w:rsidRPr="001D3555">
        <w:t>: 20.2 * [Baseline Heater Size] = 20.2 kWh / day.</w:t>
      </w:r>
    </w:p>
    <w:p w14:paraId="37F70A2B" w14:textId="28783A67" w:rsidR="002264DF" w:rsidRPr="001D3555" w:rsidRDefault="001D3555" w:rsidP="001D3555">
      <w:pPr>
        <w:pStyle w:val="eTRMBulletedText"/>
      </w:pPr>
      <w:r>
        <w:t>Measure Case</w:t>
      </w:r>
      <w:r w:rsidR="002264DF" w:rsidRPr="001D3555">
        <w:t xml:space="preserve"> Daily </w:t>
      </w:r>
      <w:r>
        <w:t>Usage (</w:t>
      </w:r>
      <w:r w:rsidR="002264DF" w:rsidRPr="001D3555">
        <w:t>kWh</w:t>
      </w:r>
      <w:r>
        <w:t>)</w:t>
      </w:r>
      <w:r w:rsidR="002264DF" w:rsidRPr="001D3555">
        <w:t>: 3.70 + 13.135 * [New Heater Size] – 0.136 * [New Heater Size] * [</w:t>
      </w:r>
      <w:r w:rsidR="00972DA5" w:rsidRPr="001D3555">
        <w:t>6</w:t>
      </w:r>
      <w:r w:rsidR="00972DA5">
        <w:t>3</w:t>
      </w:r>
      <w:r w:rsidR="002264DF" w:rsidRPr="001D3555">
        <w:t>.</w:t>
      </w:r>
      <w:r w:rsidR="00972DA5">
        <w:t>9</w:t>
      </w:r>
      <w:r w:rsidR="001D4C9D">
        <w:t>5</w:t>
      </w:r>
      <w:r w:rsidR="002264DF" w:rsidRPr="001D3555">
        <w:rPr>
          <w:rFonts w:cstheme="minorHAnsi"/>
        </w:rPr>
        <w:t>°</w:t>
      </w:r>
      <w:r w:rsidR="002264DF" w:rsidRPr="001D3555">
        <w:t>F] = 8.</w:t>
      </w:r>
      <w:r w:rsidR="00972DA5">
        <w:t>1</w:t>
      </w:r>
      <w:r w:rsidR="00972DA5" w:rsidRPr="001D3555">
        <w:t xml:space="preserve"> </w:t>
      </w:r>
      <w:r w:rsidR="002264DF" w:rsidRPr="001D3555">
        <w:t>kWh / day</w:t>
      </w:r>
    </w:p>
    <w:p w14:paraId="1B4DDB1B" w14:textId="57998967" w:rsidR="002264DF" w:rsidRPr="001D3555" w:rsidRDefault="002264DF" w:rsidP="001D3555">
      <w:pPr>
        <w:pStyle w:val="eTRMBulletedText"/>
      </w:pPr>
      <w:r w:rsidRPr="001D3555">
        <w:t xml:space="preserve">Annual </w:t>
      </w:r>
      <w:r w:rsidR="001D3555">
        <w:t>UES</w:t>
      </w:r>
      <w:r w:rsidRPr="001D3555">
        <w:t>: (20.2 kWh/day – 8.</w:t>
      </w:r>
      <w:r w:rsidR="00972DA5">
        <w:t>1</w:t>
      </w:r>
      <w:r w:rsidR="00972DA5" w:rsidRPr="001D3555">
        <w:t xml:space="preserve"> </w:t>
      </w:r>
      <w:r w:rsidRPr="001D3555">
        <w:t xml:space="preserve">kWh/day) * 334 days/year = </w:t>
      </w:r>
      <w:r w:rsidR="00972DA5">
        <w:t>4</w:t>
      </w:r>
      <w:r w:rsidRPr="001D3555">
        <w:t>,</w:t>
      </w:r>
      <w:r w:rsidR="00972DA5">
        <w:t>03</w:t>
      </w:r>
      <w:r w:rsidR="004432EB">
        <w:t>9</w:t>
      </w:r>
      <w:r w:rsidR="00972DA5" w:rsidRPr="001D3555">
        <w:t xml:space="preserve"> </w:t>
      </w:r>
      <w:r w:rsidRPr="001D3555">
        <w:t>kWh/year.</w:t>
      </w:r>
    </w:p>
    <w:p w14:paraId="14DB593A" w14:textId="0F991623" w:rsidR="002264DF" w:rsidRPr="001D3555" w:rsidRDefault="002264DF" w:rsidP="001D3555">
      <w:pPr>
        <w:pStyle w:val="eTRMBulletedText"/>
      </w:pPr>
      <w:r w:rsidRPr="001D3555">
        <w:t xml:space="preserve">Annual </w:t>
      </w:r>
      <w:r w:rsidR="001D3555">
        <w:t>peak demand reduction (</w:t>
      </w:r>
      <w:r w:rsidRPr="001D3555">
        <w:t>kW</w:t>
      </w:r>
      <w:r w:rsidR="001D3555">
        <w:t>)</w:t>
      </w:r>
      <w:r w:rsidRPr="001D3555">
        <w:t xml:space="preserve">: </w:t>
      </w:r>
      <w:r w:rsidR="00972DA5">
        <w:t>4</w:t>
      </w:r>
      <w:r w:rsidRPr="001D3555">
        <w:t>,</w:t>
      </w:r>
      <w:r w:rsidR="00972DA5">
        <w:t>03</w:t>
      </w:r>
      <w:r w:rsidR="004432EB">
        <w:t>9</w:t>
      </w:r>
      <w:r w:rsidR="00972DA5" w:rsidRPr="001D3555">
        <w:t xml:space="preserve"> </w:t>
      </w:r>
      <w:r w:rsidRPr="001D3555">
        <w:t>kWh/year / (334 days/year * 24 hours/day) = 0.</w:t>
      </w:r>
      <w:r w:rsidR="004432EB">
        <w:t>5</w:t>
      </w:r>
      <w:r w:rsidR="004432EB" w:rsidRPr="001D3555">
        <w:t>0</w:t>
      </w:r>
      <w:r w:rsidR="000C3723">
        <w:t>4</w:t>
      </w:r>
      <w:r w:rsidR="004432EB" w:rsidRPr="001D3555">
        <w:t xml:space="preserve"> </w:t>
      </w:r>
      <w:r w:rsidRPr="001D3555">
        <w:t>kW</w:t>
      </w:r>
    </w:p>
    <w:p w14:paraId="5894232C" w14:textId="77777777" w:rsidR="002264DF" w:rsidRDefault="002264DF" w:rsidP="00BB4F22"/>
    <w:p w14:paraId="02E97124" w14:textId="77777777" w:rsidR="00177EB6" w:rsidRPr="004B06E3" w:rsidRDefault="00177EB6" w:rsidP="00FC1117">
      <w:pPr>
        <w:pStyle w:val="eTRMHeading3"/>
      </w:pPr>
      <w:bookmarkStart w:id="42" w:name="_Toc486490858"/>
      <w:bookmarkStart w:id="43" w:name="_Toc486580929"/>
      <w:bookmarkStart w:id="44" w:name="_Toc69149918"/>
      <w:r w:rsidRPr="004B06E3">
        <w:t>Gas Savings (Therms)</w:t>
      </w:r>
      <w:bookmarkEnd w:id="42"/>
      <w:bookmarkEnd w:id="43"/>
      <w:bookmarkEnd w:id="44"/>
    </w:p>
    <w:p w14:paraId="20A2A164" w14:textId="2A28E860" w:rsidR="00177EB6" w:rsidRDefault="00413943" w:rsidP="00177EB6">
      <w:r>
        <w:t>Not applicable.</w:t>
      </w:r>
    </w:p>
    <w:p w14:paraId="7E677DD1" w14:textId="77777777" w:rsidR="00932601" w:rsidRDefault="00932601" w:rsidP="00177EB6"/>
    <w:p w14:paraId="4DDCD51F" w14:textId="4F2BBAD7" w:rsidR="007D230B" w:rsidRPr="004B06E3" w:rsidRDefault="00245AFF" w:rsidP="00FC1117">
      <w:pPr>
        <w:pStyle w:val="eTRMHeading3"/>
      </w:pPr>
      <w:bookmarkStart w:id="45" w:name="_Toc69149919"/>
      <w:bookmarkStart w:id="46" w:name="_Toc486490859"/>
      <w:bookmarkStart w:id="47" w:name="_Toc486580930"/>
      <w:r w:rsidRPr="004B06E3">
        <w:t>Life Cycle</w:t>
      </w:r>
      <w:bookmarkEnd w:id="45"/>
      <w:r w:rsidR="007D230B" w:rsidRPr="004B06E3">
        <w:t xml:space="preserve"> </w:t>
      </w:r>
      <w:bookmarkEnd w:id="46"/>
      <w:bookmarkEnd w:id="47"/>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2BE8EC3E" w14:textId="7EF30445" w:rsidR="007D230B" w:rsidRDefault="007F669E" w:rsidP="004142EF">
      <w:r w:rsidRPr="00A14717">
        <w:t xml:space="preserve">The EUL and RUL specified for </w:t>
      </w:r>
      <w:r w:rsidR="00A94849" w:rsidRPr="00A14717">
        <w:t>a circulating block heater</w:t>
      </w:r>
      <w:r w:rsidRPr="00A14717">
        <w:t xml:space="preserve"> </w:t>
      </w:r>
      <w:r w:rsidR="00A94849" w:rsidRPr="00A14717">
        <w:t>is</w:t>
      </w:r>
      <w:r w:rsidRPr="00A14717">
        <w:t xml:space="preserve"> presented in </w:t>
      </w:r>
      <w:r w:rsidR="008B4C81">
        <w:t>the table below</w:t>
      </w:r>
      <w:r w:rsidRPr="00A14717">
        <w:t xml:space="preserve">. </w:t>
      </w:r>
      <w:r w:rsidR="00A94849" w:rsidRPr="00A14717">
        <w:t>The estimated lifetime for</w:t>
      </w:r>
      <w:r w:rsidR="00A94849">
        <w:t xml:space="preserve"> this measure is based upon a water loop pump and is supported by several retention studies</w:t>
      </w:r>
      <w:r w:rsidR="00A14717">
        <w:t xml:space="preserve"> conducted by California investor-owned utilities.</w:t>
      </w:r>
      <w:r w:rsidR="004B5222">
        <w:t xml:space="preserve"> Note that RUL is only applicable for </w:t>
      </w:r>
      <w:r w:rsidR="00FC657A">
        <w:t>Add-on Equipment (AOE</w:t>
      </w:r>
      <w:r w:rsidR="004B5222">
        <w:t>)</w:t>
      </w:r>
      <w:r w:rsidR="00FC657A">
        <w:t xml:space="preserve"> </w:t>
      </w:r>
      <w:r w:rsidR="004B5222">
        <w:t>measures</w:t>
      </w:r>
      <w:r w:rsidR="00FC657A">
        <w:t>,</w:t>
      </w:r>
      <w:r w:rsidR="004B5222">
        <w:t xml:space="preserve"> thus not applicable</w:t>
      </w:r>
      <w:r w:rsidR="00FC657A">
        <w:t>.</w:t>
      </w:r>
    </w:p>
    <w:p w14:paraId="7D542FEF" w14:textId="06DC6887" w:rsidR="00FD2C54" w:rsidRPr="00920905" w:rsidRDefault="00FD2C54" w:rsidP="00F21ADC">
      <w:pPr>
        <w:pStyle w:val="Caption"/>
      </w:pPr>
      <w:r>
        <w:lastRenderedPageBreak/>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440BCE" w:rsidRPr="00500C4E" w14:paraId="1FE81044" w14:textId="0C091959" w:rsidTr="00A94849">
        <w:trPr>
          <w:cantSplit/>
          <w:trHeight w:val="20"/>
        </w:trPr>
        <w:tc>
          <w:tcPr>
            <w:tcW w:w="2877" w:type="dxa"/>
            <w:shd w:val="clear" w:color="auto" w:fill="F2F2F2" w:themeFill="background1" w:themeFillShade="F2"/>
            <w:vAlign w:val="bottom"/>
          </w:tcPr>
          <w:p w14:paraId="1666F440" w14:textId="31AB2C31" w:rsidR="00440BCE" w:rsidRPr="00694410" w:rsidRDefault="00440BCE" w:rsidP="009C31A4">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440BCE" w:rsidRPr="00694410" w:rsidRDefault="00440BCE" w:rsidP="009C31A4">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440BCE" w:rsidRPr="00694410" w:rsidRDefault="00440BCE" w:rsidP="009C31A4">
            <w:pPr>
              <w:keepNext/>
              <w:keepLines/>
              <w:spacing w:before="20" w:after="20"/>
              <w:jc w:val="center"/>
              <w:rPr>
                <w:rFonts w:cstheme="minorHAnsi"/>
                <w:b/>
                <w:sz w:val="20"/>
                <w:szCs w:val="20"/>
              </w:rPr>
            </w:pPr>
            <w:r>
              <w:rPr>
                <w:rFonts w:cstheme="minorHAnsi"/>
                <w:b/>
                <w:sz w:val="20"/>
                <w:szCs w:val="20"/>
              </w:rPr>
              <w:t>Source</w:t>
            </w:r>
          </w:p>
        </w:tc>
      </w:tr>
      <w:tr w:rsidR="00440BCE" w:rsidRPr="00500C4E" w14:paraId="7B636A73" w14:textId="217149CE" w:rsidTr="00A94849">
        <w:trPr>
          <w:cantSplit/>
          <w:trHeight w:val="20"/>
        </w:trPr>
        <w:tc>
          <w:tcPr>
            <w:tcW w:w="2877" w:type="dxa"/>
          </w:tcPr>
          <w:p w14:paraId="64E6D65F" w14:textId="63968C12" w:rsidR="00440BCE" w:rsidRPr="00177EB6" w:rsidRDefault="00440BCE" w:rsidP="00177EB6">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p>
        </w:tc>
        <w:tc>
          <w:tcPr>
            <w:tcW w:w="1438" w:type="dxa"/>
          </w:tcPr>
          <w:p w14:paraId="636160CC" w14:textId="4B655D06" w:rsidR="00440BCE" w:rsidRPr="006E307D" w:rsidRDefault="00440BCE" w:rsidP="00177EB6">
            <w:pPr>
              <w:keepNext/>
              <w:keepLines/>
              <w:spacing w:before="20" w:after="20"/>
              <w:jc w:val="center"/>
              <w:rPr>
                <w:sz w:val="20"/>
                <w:szCs w:val="20"/>
              </w:rPr>
            </w:pPr>
            <w:r w:rsidRPr="006E307D">
              <w:rPr>
                <w:sz w:val="20"/>
                <w:szCs w:val="20"/>
              </w:rPr>
              <w:t>15.0</w:t>
            </w:r>
          </w:p>
        </w:tc>
        <w:tc>
          <w:tcPr>
            <w:tcW w:w="5220" w:type="dxa"/>
          </w:tcPr>
          <w:p w14:paraId="4998FC7A" w14:textId="77777777" w:rsidR="00932601" w:rsidRPr="00C24F81" w:rsidRDefault="00932601" w:rsidP="00932601">
            <w:pPr>
              <w:keepNext/>
              <w:keepLines/>
              <w:spacing w:before="20" w:after="40" w:line="240" w:lineRule="auto"/>
              <w:rPr>
                <w:sz w:val="18"/>
                <w:szCs w:val="20"/>
                <w:highlight w:val="yellow"/>
              </w:rPr>
            </w:pPr>
            <w:r w:rsidRPr="00C24F81">
              <w:rPr>
                <w:sz w:val="18"/>
              </w:rPr>
              <w:t>San Diego Gas &amp; Electric (SDG&amp;E), Marketing Programs &amp; Planning. 2004. </w:t>
            </w:r>
            <w:r w:rsidRPr="00C24F81">
              <w:rPr>
                <w:rStyle w:val="Emphasis"/>
                <w:sz w:val="18"/>
              </w:rPr>
              <w:t>1994 &amp; 1995 Commercial Energy Efficiency Incentives Ninth Year Retention Evaluation</w:t>
            </w:r>
            <w:r w:rsidRPr="00C24F81">
              <w:rPr>
                <w:sz w:val="18"/>
              </w:rPr>
              <w:t>. Study ID Nos. 925 &amp; 961.</w:t>
            </w:r>
          </w:p>
          <w:p w14:paraId="0D1AB5A8" w14:textId="77777777" w:rsidR="00932601" w:rsidRPr="00C24F81" w:rsidRDefault="00932601" w:rsidP="00932601">
            <w:pPr>
              <w:keepNext/>
              <w:keepLines/>
              <w:spacing w:before="20" w:after="40" w:line="240" w:lineRule="auto"/>
              <w:rPr>
                <w:sz w:val="18"/>
              </w:rPr>
            </w:pPr>
            <w:r w:rsidRPr="00C24F81">
              <w:rPr>
                <w:sz w:val="18"/>
              </w:rPr>
              <w:t xml:space="preserve">ADM Associates, Inc. 2003. </w:t>
            </w:r>
            <w:r w:rsidRPr="00C24F81">
              <w:rPr>
                <w:rStyle w:val="Emphasis"/>
                <w:sz w:val="18"/>
              </w:rPr>
              <w:t>Southern California Edison Commercial/Industrial/Agricultural Energy Efficiency Incentives Program Retention Study</w:t>
            </w:r>
            <w:r w:rsidRPr="00C24F81">
              <w:rPr>
                <w:sz w:val="18"/>
              </w:rPr>
              <w:t>. Prepared for Southern California Edison Company. </w:t>
            </w:r>
          </w:p>
          <w:p w14:paraId="12293357" w14:textId="2C826930" w:rsidR="00FC657A" w:rsidRPr="006E307D" w:rsidRDefault="00932601">
            <w:pPr>
              <w:keepNext/>
              <w:keepLines/>
              <w:spacing w:before="20" w:after="20"/>
              <w:rPr>
                <w:sz w:val="20"/>
                <w:szCs w:val="20"/>
                <w:highlight w:val="yellow"/>
              </w:rPr>
            </w:pPr>
            <w:r w:rsidRPr="00C24F81">
              <w:rPr>
                <w:sz w:val="18"/>
              </w:rPr>
              <w:t xml:space="preserve">San Diego Gas &amp; Electric (SDG&amp;E). 2003. </w:t>
            </w:r>
            <w:r w:rsidRPr="00C24F81">
              <w:rPr>
                <w:rStyle w:val="Emphasis"/>
                <w:sz w:val="18"/>
              </w:rPr>
              <w:t>1996 &amp; 1997 Agricultural Energy Efficiency Incentives Sixth Year Retention Evaluation</w:t>
            </w:r>
            <w:r w:rsidRPr="00C24F81">
              <w:rPr>
                <w:sz w:val="18"/>
              </w:rPr>
              <w:t>. Study ID Nos. 1000 &amp; 1024.</w:t>
            </w:r>
          </w:p>
        </w:tc>
      </w:tr>
      <w:tr w:rsidR="00440BCE" w:rsidRPr="00500C4E" w14:paraId="71871DE1" w14:textId="51A3395E" w:rsidTr="00A94849">
        <w:trPr>
          <w:cantSplit/>
          <w:trHeight w:val="20"/>
        </w:trPr>
        <w:tc>
          <w:tcPr>
            <w:tcW w:w="2877" w:type="dxa"/>
          </w:tcPr>
          <w:p w14:paraId="4BA48D82" w14:textId="5EFD77B9" w:rsidR="00440BCE" w:rsidRPr="00177EB6" w:rsidRDefault="00440BCE" w:rsidP="00177EB6">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1438" w:type="dxa"/>
          </w:tcPr>
          <w:p w14:paraId="012CC38D" w14:textId="5EF9AA64" w:rsidR="00440BCE" w:rsidRPr="006E307D" w:rsidRDefault="00A94849" w:rsidP="00177EB6">
            <w:pPr>
              <w:keepNext/>
              <w:keepLines/>
              <w:spacing w:before="20" w:after="20"/>
              <w:jc w:val="center"/>
              <w:rPr>
                <w:sz w:val="20"/>
                <w:szCs w:val="20"/>
              </w:rPr>
            </w:pPr>
            <w:r w:rsidRPr="006E307D">
              <w:rPr>
                <w:sz w:val="20"/>
                <w:szCs w:val="20"/>
              </w:rPr>
              <w:t>n/a</w:t>
            </w:r>
          </w:p>
        </w:tc>
        <w:tc>
          <w:tcPr>
            <w:tcW w:w="5220" w:type="dxa"/>
          </w:tcPr>
          <w:p w14:paraId="7DDC9DCA" w14:textId="4F909219" w:rsidR="00440BCE" w:rsidRPr="006E307D" w:rsidRDefault="00A94849" w:rsidP="00177EB6">
            <w:pPr>
              <w:keepNext/>
              <w:keepLines/>
              <w:spacing w:before="20" w:after="20"/>
              <w:jc w:val="center"/>
              <w:rPr>
                <w:sz w:val="20"/>
                <w:szCs w:val="20"/>
              </w:rPr>
            </w:pPr>
            <w:r w:rsidRPr="006E307D">
              <w:rPr>
                <w:sz w:val="20"/>
                <w:szCs w:val="20"/>
              </w:rPr>
              <w:t>n/a</w:t>
            </w:r>
          </w:p>
        </w:tc>
      </w:tr>
    </w:tbl>
    <w:p w14:paraId="21BBC22B" w14:textId="77777777" w:rsidR="007D230B" w:rsidRPr="004B06E3" w:rsidRDefault="007D230B" w:rsidP="004142EF"/>
    <w:p w14:paraId="3B14B593" w14:textId="77777777" w:rsidR="007D230B" w:rsidRPr="004B06E3" w:rsidRDefault="007D230B" w:rsidP="00FC1117">
      <w:pPr>
        <w:pStyle w:val="eTRMHeading3"/>
      </w:pPr>
      <w:bookmarkStart w:id="48" w:name="_Toc486490860"/>
      <w:bookmarkStart w:id="49" w:name="_Toc486580931"/>
      <w:bookmarkStart w:id="50" w:name="_Toc69149920"/>
      <w:r w:rsidRPr="004B06E3">
        <w:t>Base Case Material Cost ($/unit)</w:t>
      </w:r>
      <w:bookmarkEnd w:id="48"/>
      <w:bookmarkEnd w:id="49"/>
      <w:bookmarkEnd w:id="50"/>
    </w:p>
    <w:p w14:paraId="2D545190" w14:textId="77777777" w:rsidR="00932601" w:rsidRDefault="00932601" w:rsidP="00932601">
      <w:pPr>
        <w:spacing w:before="0" w:after="0" w:line="240" w:lineRule="auto"/>
      </w:pPr>
      <w:r>
        <w:t>Base case material costs were developed from the same data and methodology as the Measure Case Material Cost.</w:t>
      </w:r>
    </w:p>
    <w:p w14:paraId="395958A8" w14:textId="6BE0EF71" w:rsidR="00B65EF5" w:rsidRPr="00840FDC" w:rsidRDefault="00B65EF5" w:rsidP="00B65EF5">
      <w:pPr>
        <w:rPr>
          <w:b/>
          <w:bCs/>
        </w:rPr>
      </w:pPr>
      <w:r>
        <w:rPr>
          <w:b/>
          <w:bCs/>
        </w:rPr>
        <w:t>Base Case</w:t>
      </w:r>
      <w:r w:rsidRPr="00840FDC">
        <w:rPr>
          <w:b/>
          <w:bCs/>
        </w:rPr>
        <w:t xml:space="preserve"> Material Costs</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75"/>
        <w:gridCol w:w="2610"/>
      </w:tblGrid>
      <w:tr w:rsidR="00B65EF5" w:rsidRPr="007E3A33" w14:paraId="4C72D081" w14:textId="77777777" w:rsidTr="002F1724">
        <w:trPr>
          <w:trHeight w:val="20"/>
        </w:trPr>
        <w:tc>
          <w:tcPr>
            <w:tcW w:w="6475" w:type="dxa"/>
            <w:shd w:val="clear" w:color="auto" w:fill="F2F2F2" w:themeFill="background1" w:themeFillShade="F2"/>
            <w:vAlign w:val="bottom"/>
          </w:tcPr>
          <w:p w14:paraId="33AAF01C" w14:textId="77777777" w:rsidR="00B65EF5" w:rsidRPr="007E3A33" w:rsidRDefault="00B65EF5" w:rsidP="002F1724">
            <w:pPr>
              <w:keepNext/>
              <w:keepLines/>
              <w:spacing w:before="20" w:after="20"/>
              <w:jc w:val="center"/>
              <w:rPr>
                <w:b/>
                <w:sz w:val="20"/>
                <w:szCs w:val="20"/>
              </w:rPr>
            </w:pPr>
            <w:r>
              <w:rPr>
                <w:b/>
                <w:sz w:val="20"/>
                <w:szCs w:val="20"/>
              </w:rPr>
              <w:t>Cost Description</w:t>
            </w:r>
          </w:p>
        </w:tc>
        <w:tc>
          <w:tcPr>
            <w:tcW w:w="2610" w:type="dxa"/>
            <w:shd w:val="clear" w:color="auto" w:fill="F2F2F2" w:themeFill="background1" w:themeFillShade="F2"/>
            <w:vAlign w:val="bottom"/>
          </w:tcPr>
          <w:p w14:paraId="3FCA3C29" w14:textId="77777777" w:rsidR="00B65EF5" w:rsidRDefault="00B65EF5" w:rsidP="002F1724">
            <w:pPr>
              <w:keepNext/>
              <w:keepLines/>
              <w:spacing w:before="20" w:after="20"/>
              <w:jc w:val="center"/>
              <w:rPr>
                <w:b/>
                <w:sz w:val="20"/>
                <w:szCs w:val="20"/>
              </w:rPr>
            </w:pPr>
            <w:r>
              <w:rPr>
                <w:b/>
                <w:sz w:val="20"/>
                <w:szCs w:val="20"/>
              </w:rPr>
              <w:t>Cost ($)</w:t>
            </w:r>
          </w:p>
        </w:tc>
      </w:tr>
      <w:tr w:rsidR="00B65EF5" w:rsidRPr="00D7404C" w14:paraId="69B63108" w14:textId="77777777" w:rsidTr="002F1724">
        <w:trPr>
          <w:trHeight w:val="20"/>
        </w:trPr>
        <w:tc>
          <w:tcPr>
            <w:tcW w:w="6475" w:type="dxa"/>
            <w:shd w:val="clear" w:color="auto" w:fill="auto"/>
          </w:tcPr>
          <w:p w14:paraId="6BB5B602" w14:textId="51FB08FB" w:rsidR="00B65EF5" w:rsidRPr="00122959" w:rsidRDefault="00B65EF5" w:rsidP="002F1724">
            <w:pPr>
              <w:keepNext/>
              <w:keepLines/>
              <w:spacing w:before="20" w:after="20"/>
              <w:rPr>
                <w:rFonts w:cs="Calibri Light"/>
                <w:sz w:val="20"/>
                <w:szCs w:val="22"/>
              </w:rPr>
            </w:pPr>
            <w:r>
              <w:rPr>
                <w:sz w:val="20"/>
                <w:szCs w:val="22"/>
              </w:rPr>
              <w:t>Thermosiphon for 37 - 199 kW Generator Capacity</w:t>
            </w:r>
          </w:p>
        </w:tc>
        <w:tc>
          <w:tcPr>
            <w:tcW w:w="2610" w:type="dxa"/>
            <w:vAlign w:val="center"/>
          </w:tcPr>
          <w:p w14:paraId="35146011" w14:textId="136429DA" w:rsidR="00B65EF5" w:rsidRPr="00C27787" w:rsidRDefault="00B65EF5" w:rsidP="002F1724">
            <w:pPr>
              <w:keepNext/>
              <w:keepLines/>
              <w:spacing w:before="20" w:after="20"/>
              <w:jc w:val="center"/>
              <w:rPr>
                <w:rFonts w:cs="Calibri Light"/>
                <w:color w:val="000000"/>
                <w:sz w:val="20"/>
                <w:szCs w:val="20"/>
              </w:rPr>
            </w:pPr>
            <w:r>
              <w:rPr>
                <w:rFonts w:cs="Calibri Light"/>
                <w:color w:val="000000"/>
                <w:sz w:val="20"/>
                <w:szCs w:val="20"/>
              </w:rPr>
              <w:t>$201</w:t>
            </w:r>
            <w:r w:rsidR="000C3723">
              <w:rPr>
                <w:rFonts w:cs="Calibri Light"/>
                <w:color w:val="000000"/>
                <w:sz w:val="20"/>
                <w:szCs w:val="20"/>
              </w:rPr>
              <w:t>.25</w:t>
            </w:r>
          </w:p>
        </w:tc>
      </w:tr>
      <w:tr w:rsidR="00B65EF5" w:rsidRPr="00D7404C" w14:paraId="174400E8" w14:textId="77777777" w:rsidTr="002F1724">
        <w:trPr>
          <w:trHeight w:val="20"/>
        </w:trPr>
        <w:tc>
          <w:tcPr>
            <w:tcW w:w="6475" w:type="dxa"/>
            <w:shd w:val="clear" w:color="auto" w:fill="auto"/>
          </w:tcPr>
          <w:p w14:paraId="0D83FD57" w14:textId="05B74387" w:rsidR="00B65EF5" w:rsidRDefault="00B65EF5" w:rsidP="002F1724">
            <w:pPr>
              <w:keepNext/>
              <w:keepLines/>
              <w:spacing w:before="20" w:after="20"/>
              <w:rPr>
                <w:sz w:val="20"/>
                <w:szCs w:val="22"/>
              </w:rPr>
            </w:pPr>
            <w:r>
              <w:rPr>
                <w:sz w:val="20"/>
                <w:szCs w:val="22"/>
              </w:rPr>
              <w:t>Thermosiphon for 200 – 799 kW Generator Capacity</w:t>
            </w:r>
          </w:p>
        </w:tc>
        <w:tc>
          <w:tcPr>
            <w:tcW w:w="2610" w:type="dxa"/>
            <w:vAlign w:val="center"/>
          </w:tcPr>
          <w:p w14:paraId="1B9AA8A2" w14:textId="53891026" w:rsidR="00B65EF5" w:rsidRDefault="00B65EF5" w:rsidP="002F1724">
            <w:pPr>
              <w:keepNext/>
              <w:keepLines/>
              <w:spacing w:before="20" w:after="20"/>
              <w:jc w:val="center"/>
              <w:rPr>
                <w:rFonts w:cs="Calibri Light"/>
                <w:color w:val="000000"/>
                <w:sz w:val="20"/>
                <w:szCs w:val="20"/>
              </w:rPr>
            </w:pPr>
            <w:r>
              <w:rPr>
                <w:rFonts w:cs="Calibri Light"/>
                <w:color w:val="000000"/>
                <w:sz w:val="20"/>
                <w:szCs w:val="20"/>
              </w:rPr>
              <w:t>$717</w:t>
            </w:r>
            <w:r w:rsidR="000C3723">
              <w:rPr>
                <w:rFonts w:cs="Calibri Light"/>
                <w:color w:val="000000"/>
                <w:sz w:val="20"/>
                <w:szCs w:val="20"/>
              </w:rPr>
              <w:t>.35</w:t>
            </w:r>
          </w:p>
        </w:tc>
      </w:tr>
    </w:tbl>
    <w:p w14:paraId="207D1AA2" w14:textId="77777777" w:rsidR="00B65EF5" w:rsidRDefault="00B65EF5" w:rsidP="001D580F">
      <w:pPr>
        <w:spacing w:before="0" w:after="0" w:line="240" w:lineRule="auto"/>
      </w:pPr>
    </w:p>
    <w:p w14:paraId="44E8DBEB" w14:textId="77777777" w:rsidR="007D230B" w:rsidRPr="004B06E3" w:rsidRDefault="007D230B" w:rsidP="00FC1117">
      <w:pPr>
        <w:pStyle w:val="eTRMHeading3"/>
      </w:pPr>
      <w:bookmarkStart w:id="51" w:name="_Toc486490861"/>
      <w:bookmarkStart w:id="52" w:name="_Toc486580932"/>
      <w:bookmarkStart w:id="53" w:name="_Toc69149921"/>
      <w:r w:rsidRPr="004B06E3">
        <w:t>Measure Case Material Cost ($/unit)</w:t>
      </w:r>
      <w:bookmarkEnd w:id="51"/>
      <w:bookmarkEnd w:id="52"/>
      <w:bookmarkEnd w:id="53"/>
    </w:p>
    <w:p w14:paraId="75F2D4CC" w14:textId="1F295B9E" w:rsidR="001D580F" w:rsidRDefault="00932601" w:rsidP="001D580F">
      <w:r>
        <w:t xml:space="preserve">The measure case equipment costs were derived from data obtained in 2017 from </w:t>
      </w:r>
      <w:proofErr w:type="spellStart"/>
      <w:r>
        <w:t>HotStart</w:t>
      </w:r>
      <w:proofErr w:type="spellEnd"/>
      <w:r>
        <w:t xml:space="preserve">®, a major equipment manufacturer of engine heaters that supplies components to generator companies like Quinn, CAT, and Cummins. </w:t>
      </w:r>
      <w:r w:rsidR="00C103B5">
        <w:t>The 2017</w:t>
      </w:r>
      <w:r w:rsidR="00557A2F">
        <w:t xml:space="preserve"> costs were updated in 2020 </w:t>
      </w:r>
      <w:r w:rsidR="00C103B5">
        <w:t>with cost data</w:t>
      </w:r>
      <w:r w:rsidR="006C0124">
        <w:t xml:space="preserve"> provided by </w:t>
      </w:r>
      <w:proofErr w:type="spellStart"/>
      <w:r w:rsidR="006C0124">
        <w:t>HotStart</w:t>
      </w:r>
      <w:proofErr w:type="spellEnd"/>
      <w:r w:rsidR="00557A2F">
        <w:t>.</w:t>
      </w:r>
      <w:r w:rsidR="001D580F">
        <w:t xml:space="preserve"> The methodology to calculate the base case and measure case costs from the data provided by </w:t>
      </w:r>
      <w:proofErr w:type="spellStart"/>
      <w:r w:rsidR="001D580F">
        <w:t>HotStart</w:t>
      </w:r>
      <w:proofErr w:type="spellEnd"/>
      <w:r w:rsidR="001D580F">
        <w:t xml:space="preserve"> is summarized below:</w:t>
      </w:r>
      <w:r w:rsidRPr="00932601">
        <w:rPr>
          <w:rStyle w:val="FootnoteReference"/>
        </w:rPr>
        <w:t xml:space="preserve"> </w:t>
      </w:r>
      <w:r>
        <w:rPr>
          <w:rStyle w:val="FootnoteReference"/>
        </w:rPr>
        <w:footnoteReference w:id="9"/>
      </w:r>
    </w:p>
    <w:p w14:paraId="7FDA8A52" w14:textId="77777777" w:rsidR="001D580F" w:rsidRDefault="001D580F" w:rsidP="001D580F">
      <w:pPr>
        <w:pStyle w:val="ListParagraph"/>
        <w:numPr>
          <w:ilvl w:val="0"/>
          <w:numId w:val="21"/>
        </w:numPr>
        <w:spacing w:before="0" w:after="0" w:line="240" w:lineRule="auto"/>
      </w:pPr>
      <w:proofErr w:type="spellStart"/>
      <w:r>
        <w:t>HotStart</w:t>
      </w:r>
      <w:proofErr w:type="spellEnd"/>
      <w:r>
        <w:t xml:space="preserve"> representative provided a list of recommended </w:t>
      </w:r>
      <w:proofErr w:type="gramStart"/>
      <w:r>
        <w:t>thermosiphon</w:t>
      </w:r>
      <w:proofErr w:type="gramEnd"/>
      <w:r>
        <w:t xml:space="preserve"> and forced circulation heater models corresponding to engine displacement in liters ranging from 2.4 L to 76.3 L.</w:t>
      </w:r>
    </w:p>
    <w:p w14:paraId="7DF9617F" w14:textId="77777777" w:rsidR="001D580F" w:rsidRDefault="001D580F" w:rsidP="001D580F">
      <w:pPr>
        <w:pStyle w:val="ListParagraph"/>
        <w:numPr>
          <w:ilvl w:val="0"/>
          <w:numId w:val="21"/>
        </w:numPr>
        <w:spacing w:before="0" w:after="0" w:line="240" w:lineRule="auto"/>
      </w:pPr>
      <w:r>
        <w:t xml:space="preserve"> These engine displacements in liters are converted to generator capacities in kW using manufacturer websites (Generac and Kohler). The resultant range of generator capacities after the conversion is 30 kW to 2,500 kW. These conversions were reviewed with the </w:t>
      </w:r>
      <w:proofErr w:type="spellStart"/>
      <w:r>
        <w:t>HotStart</w:t>
      </w:r>
      <w:proofErr w:type="spellEnd"/>
      <w:r>
        <w:t xml:space="preserve"> representative. </w:t>
      </w:r>
    </w:p>
    <w:p w14:paraId="631E5320" w14:textId="44048243" w:rsidR="001D580F" w:rsidRDefault="001D580F" w:rsidP="001D580F">
      <w:pPr>
        <w:pStyle w:val="ListParagraph"/>
        <w:numPr>
          <w:ilvl w:val="0"/>
          <w:numId w:val="21"/>
        </w:numPr>
        <w:spacing w:before="0" w:after="0" w:line="240" w:lineRule="auto"/>
      </w:pPr>
      <w:r>
        <w:t xml:space="preserve">The engine heaters are designed for different voltages, phases, </w:t>
      </w:r>
      <w:r w:rsidR="00932601">
        <w:t>frequencies,</w:t>
      </w:r>
      <w:r>
        <w:t xml:space="preserve"> and features based on the application. Some variations in features include with-thermostats, adjustable thermostats, and without thermostats. </w:t>
      </w:r>
    </w:p>
    <w:p w14:paraId="1D67D48F" w14:textId="77777777" w:rsidR="001D580F" w:rsidRDefault="001D580F" w:rsidP="001D580F">
      <w:pPr>
        <w:pStyle w:val="ListParagraph"/>
        <w:numPr>
          <w:ilvl w:val="0"/>
          <w:numId w:val="21"/>
        </w:numPr>
        <w:spacing w:before="0" w:after="0" w:line="240" w:lineRule="auto"/>
      </w:pPr>
      <w:r>
        <w:t xml:space="preserve">Pricing information for a variety thermosiphon models was provided by </w:t>
      </w:r>
      <w:proofErr w:type="spellStart"/>
      <w:r>
        <w:t>HotStart</w:t>
      </w:r>
      <w:proofErr w:type="spellEnd"/>
      <w:r>
        <w:t xml:space="preserve">. However, for the forced circulation heaters, cost data was limited to a few recommended models: </w:t>
      </w:r>
    </w:p>
    <w:p w14:paraId="335234F0" w14:textId="77777777" w:rsidR="001D580F" w:rsidRDefault="001D580F" w:rsidP="001D580F">
      <w:pPr>
        <w:pStyle w:val="ListParagraph"/>
        <w:ind w:left="1440"/>
      </w:pPr>
      <w:r>
        <w:lastRenderedPageBreak/>
        <w:t>Backup Generator 40 to 600 kW – Single phase and 120 Volts</w:t>
      </w:r>
    </w:p>
    <w:p w14:paraId="73C59D7F" w14:textId="77777777" w:rsidR="001D580F" w:rsidRDefault="001D580F" w:rsidP="001D580F">
      <w:pPr>
        <w:pStyle w:val="ListParagraph"/>
        <w:ind w:left="1440"/>
      </w:pPr>
      <w:r>
        <w:t>Backup Generator 750 to 2000 kW – Single phase and 208 Volts</w:t>
      </w:r>
    </w:p>
    <w:p w14:paraId="2390F8B4" w14:textId="310D8F6A" w:rsidR="001D580F" w:rsidRDefault="001D580F" w:rsidP="00063EC2">
      <w:pPr>
        <w:pStyle w:val="ListParagraph"/>
        <w:ind w:left="1440"/>
      </w:pPr>
      <w:r>
        <w:t>Backup Generator 250</w:t>
      </w:r>
      <w:r w:rsidR="00063EC2">
        <w:t>0 kW – Three phase and 208 Volts</w:t>
      </w:r>
    </w:p>
    <w:p w14:paraId="0BA1DD26" w14:textId="77777777" w:rsidR="001D580F" w:rsidRDefault="001D580F" w:rsidP="001D580F">
      <w:pPr>
        <w:pStyle w:val="ListParagraph"/>
        <w:numPr>
          <w:ilvl w:val="0"/>
          <w:numId w:val="21"/>
        </w:numPr>
        <w:spacing w:before="0" w:after="0" w:line="240" w:lineRule="auto"/>
      </w:pPr>
      <w:r>
        <w:t>To provide an accurate cost analysis, the above forced circulation heater models were compared with the thermosiphon counterparts with the same features.</w:t>
      </w:r>
    </w:p>
    <w:p w14:paraId="2EF009C1" w14:textId="003F7C1C" w:rsidR="001D580F" w:rsidRDefault="001D580F" w:rsidP="001D580F">
      <w:pPr>
        <w:pStyle w:val="ListParagraph"/>
        <w:numPr>
          <w:ilvl w:val="0"/>
          <w:numId w:val="21"/>
        </w:numPr>
        <w:spacing w:before="0" w:after="0" w:line="240" w:lineRule="auto"/>
      </w:pPr>
      <w:r>
        <w:t xml:space="preserve">The average price for the base and measure equipment was calculated for </w:t>
      </w:r>
      <w:r w:rsidR="00636165">
        <w:t>each of the</w:t>
      </w:r>
      <w:r>
        <w:t xml:space="preserve"> size categories of the generator capacities identified for measure savings. </w:t>
      </w:r>
    </w:p>
    <w:p w14:paraId="49B305A2" w14:textId="6767170D" w:rsidR="001D580F" w:rsidRPr="0030051F" w:rsidRDefault="00932601" w:rsidP="001D580F">
      <w:pPr>
        <w:pStyle w:val="ListParagraph"/>
        <w:numPr>
          <w:ilvl w:val="0"/>
          <w:numId w:val="21"/>
        </w:numPr>
        <w:spacing w:before="0" w:after="0" w:line="240" w:lineRule="auto"/>
      </w:pPr>
      <w:r>
        <w:t xml:space="preserve">The </w:t>
      </w:r>
      <w:proofErr w:type="spellStart"/>
      <w:r w:rsidR="001D580F">
        <w:t>HotStart</w:t>
      </w:r>
      <w:proofErr w:type="spellEnd"/>
      <w:r w:rsidR="001D580F">
        <w:t xml:space="preserve"> representative was not aware of the concept of properly sized and undersized thermosiphon heaters </w:t>
      </w:r>
      <w:r w:rsidR="001D580F" w:rsidRPr="0030051F">
        <w:t xml:space="preserve">as defined in the calculation methodology. It is assumed that the base case cost is the same for properly sized and undersized. There is no </w:t>
      </w:r>
      <w:r w:rsidR="00FC657A" w:rsidRPr="0030051F">
        <w:t>under sizing</w:t>
      </w:r>
      <w:r w:rsidR="001D580F" w:rsidRPr="0030051F">
        <w:t xml:space="preserve"> of the forced circulating heater. Hence, measure cost will always be properly sized circulating block heater. </w:t>
      </w:r>
    </w:p>
    <w:p w14:paraId="4DA06823" w14:textId="77777777" w:rsidR="00B65EF5" w:rsidRPr="001E206A" w:rsidRDefault="00B65EF5" w:rsidP="001E206A">
      <w:pPr>
        <w:rPr>
          <w:b/>
          <w:bCs/>
        </w:rPr>
      </w:pPr>
      <w:r w:rsidRPr="001E206A">
        <w:rPr>
          <w:b/>
          <w:bCs/>
        </w:rPr>
        <w:t>Measure Material Costs</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75"/>
        <w:gridCol w:w="2610"/>
      </w:tblGrid>
      <w:tr w:rsidR="00B65EF5" w:rsidRPr="007E3A33" w14:paraId="0C1C7122" w14:textId="77777777" w:rsidTr="002F1724">
        <w:trPr>
          <w:trHeight w:val="20"/>
        </w:trPr>
        <w:tc>
          <w:tcPr>
            <w:tcW w:w="6475" w:type="dxa"/>
            <w:shd w:val="clear" w:color="auto" w:fill="F2F2F2" w:themeFill="background1" w:themeFillShade="F2"/>
            <w:vAlign w:val="bottom"/>
          </w:tcPr>
          <w:p w14:paraId="1DC7F756" w14:textId="77777777" w:rsidR="00B65EF5" w:rsidRPr="007E3A33" w:rsidRDefault="00B65EF5" w:rsidP="002F1724">
            <w:pPr>
              <w:keepNext/>
              <w:keepLines/>
              <w:spacing w:before="20" w:after="20"/>
              <w:jc w:val="center"/>
              <w:rPr>
                <w:b/>
                <w:sz w:val="20"/>
                <w:szCs w:val="20"/>
              </w:rPr>
            </w:pPr>
            <w:r>
              <w:rPr>
                <w:b/>
                <w:sz w:val="20"/>
                <w:szCs w:val="20"/>
              </w:rPr>
              <w:t>Cost Description</w:t>
            </w:r>
          </w:p>
        </w:tc>
        <w:tc>
          <w:tcPr>
            <w:tcW w:w="2610" w:type="dxa"/>
            <w:shd w:val="clear" w:color="auto" w:fill="F2F2F2" w:themeFill="background1" w:themeFillShade="F2"/>
            <w:vAlign w:val="bottom"/>
          </w:tcPr>
          <w:p w14:paraId="1B6851F2" w14:textId="77777777" w:rsidR="00B65EF5" w:rsidRDefault="00B65EF5" w:rsidP="002F1724">
            <w:pPr>
              <w:keepNext/>
              <w:keepLines/>
              <w:spacing w:before="20" w:after="20"/>
              <w:jc w:val="center"/>
              <w:rPr>
                <w:b/>
                <w:sz w:val="20"/>
                <w:szCs w:val="20"/>
              </w:rPr>
            </w:pPr>
            <w:r>
              <w:rPr>
                <w:b/>
                <w:sz w:val="20"/>
                <w:szCs w:val="20"/>
              </w:rPr>
              <w:t>Cost ($)</w:t>
            </w:r>
          </w:p>
        </w:tc>
      </w:tr>
      <w:tr w:rsidR="00B65EF5" w:rsidRPr="00D7404C" w14:paraId="60429406" w14:textId="77777777" w:rsidTr="002F1724">
        <w:trPr>
          <w:trHeight w:val="20"/>
        </w:trPr>
        <w:tc>
          <w:tcPr>
            <w:tcW w:w="6475" w:type="dxa"/>
            <w:shd w:val="clear" w:color="auto" w:fill="auto"/>
          </w:tcPr>
          <w:p w14:paraId="3A2CCC04" w14:textId="77777777" w:rsidR="00B65EF5" w:rsidRPr="00122959" w:rsidRDefault="00B65EF5" w:rsidP="002F1724">
            <w:pPr>
              <w:keepNext/>
              <w:keepLines/>
              <w:spacing w:before="20" w:after="20"/>
              <w:rPr>
                <w:rFonts w:cs="Calibri Light"/>
                <w:sz w:val="20"/>
                <w:szCs w:val="22"/>
              </w:rPr>
            </w:pPr>
            <w:r>
              <w:rPr>
                <w:sz w:val="20"/>
                <w:szCs w:val="22"/>
              </w:rPr>
              <w:t>Forced Circulation Block Heater for 37 - 199 kW Generator Capacity</w:t>
            </w:r>
          </w:p>
        </w:tc>
        <w:tc>
          <w:tcPr>
            <w:tcW w:w="2610" w:type="dxa"/>
            <w:vAlign w:val="center"/>
          </w:tcPr>
          <w:p w14:paraId="639B84CD" w14:textId="358B651E" w:rsidR="00B65EF5" w:rsidRPr="00C27787" w:rsidRDefault="00B65EF5" w:rsidP="002F1724">
            <w:pPr>
              <w:keepNext/>
              <w:keepLines/>
              <w:spacing w:before="20" w:after="20"/>
              <w:jc w:val="center"/>
              <w:rPr>
                <w:rFonts w:cs="Calibri Light"/>
                <w:color w:val="000000"/>
                <w:sz w:val="20"/>
                <w:szCs w:val="20"/>
              </w:rPr>
            </w:pPr>
            <w:r>
              <w:rPr>
                <w:rFonts w:cs="Calibri Light"/>
                <w:color w:val="000000"/>
                <w:sz w:val="20"/>
                <w:szCs w:val="20"/>
              </w:rPr>
              <w:t>$700</w:t>
            </w:r>
            <w:r w:rsidR="00CB422E">
              <w:rPr>
                <w:rFonts w:cs="Calibri Light"/>
                <w:color w:val="000000"/>
                <w:sz w:val="20"/>
                <w:szCs w:val="20"/>
              </w:rPr>
              <w:t>.00</w:t>
            </w:r>
          </w:p>
        </w:tc>
      </w:tr>
      <w:tr w:rsidR="00B65EF5" w:rsidRPr="00D7404C" w14:paraId="7FE5B044" w14:textId="77777777" w:rsidTr="002F1724">
        <w:trPr>
          <w:trHeight w:val="20"/>
        </w:trPr>
        <w:tc>
          <w:tcPr>
            <w:tcW w:w="6475" w:type="dxa"/>
            <w:shd w:val="clear" w:color="auto" w:fill="auto"/>
          </w:tcPr>
          <w:p w14:paraId="75358511" w14:textId="77777777" w:rsidR="00B65EF5" w:rsidRDefault="00B65EF5" w:rsidP="002F1724">
            <w:pPr>
              <w:keepNext/>
              <w:keepLines/>
              <w:spacing w:before="20" w:after="20"/>
              <w:rPr>
                <w:sz w:val="20"/>
                <w:szCs w:val="22"/>
              </w:rPr>
            </w:pPr>
            <w:r>
              <w:rPr>
                <w:sz w:val="20"/>
                <w:szCs w:val="22"/>
              </w:rPr>
              <w:t>Forced Circulation Block Heater for 200 – 799 kW Generator Capacity</w:t>
            </w:r>
          </w:p>
        </w:tc>
        <w:tc>
          <w:tcPr>
            <w:tcW w:w="2610" w:type="dxa"/>
            <w:vAlign w:val="center"/>
          </w:tcPr>
          <w:p w14:paraId="213EC3AE" w14:textId="1E88E3F0" w:rsidR="00B65EF5" w:rsidRDefault="00B65EF5" w:rsidP="002F1724">
            <w:pPr>
              <w:keepNext/>
              <w:keepLines/>
              <w:spacing w:before="20" w:after="20"/>
              <w:jc w:val="center"/>
              <w:rPr>
                <w:rFonts w:cs="Calibri Light"/>
                <w:color w:val="000000"/>
                <w:sz w:val="20"/>
                <w:szCs w:val="20"/>
              </w:rPr>
            </w:pPr>
            <w:r>
              <w:rPr>
                <w:rFonts w:cs="Calibri Light"/>
                <w:color w:val="000000"/>
                <w:sz w:val="20"/>
                <w:szCs w:val="20"/>
              </w:rPr>
              <w:t>$80</w:t>
            </w:r>
            <w:r w:rsidR="00CB422E">
              <w:rPr>
                <w:rFonts w:cs="Calibri Light"/>
                <w:color w:val="000000"/>
                <w:sz w:val="20"/>
                <w:szCs w:val="20"/>
              </w:rPr>
              <w:t>4.86</w:t>
            </w:r>
          </w:p>
        </w:tc>
      </w:tr>
    </w:tbl>
    <w:p w14:paraId="508150BA" w14:textId="77777777" w:rsidR="006A08D9" w:rsidRDefault="006A08D9"/>
    <w:p w14:paraId="02691007" w14:textId="3C007D4F" w:rsidR="007D230B" w:rsidRPr="004B06E3" w:rsidRDefault="002E5874" w:rsidP="00FC1117">
      <w:pPr>
        <w:pStyle w:val="eTRMHeading3"/>
      </w:pPr>
      <w:bookmarkStart w:id="54" w:name="_Toc486490862"/>
      <w:bookmarkStart w:id="55" w:name="_Toc486580933"/>
      <w:bookmarkStart w:id="56" w:name="_Toc69149922"/>
      <w:r>
        <w:t xml:space="preserve">Base Case </w:t>
      </w:r>
      <w:r w:rsidR="007D230B" w:rsidRPr="004B06E3">
        <w:t>Labor Cost ($/unit)</w:t>
      </w:r>
      <w:bookmarkEnd w:id="54"/>
      <w:bookmarkEnd w:id="55"/>
      <w:bookmarkEnd w:id="56"/>
    </w:p>
    <w:p w14:paraId="6FDC15C5" w14:textId="77777777" w:rsidR="00932601" w:rsidRDefault="00932601" w:rsidP="00932601">
      <w:pPr>
        <w:spacing w:before="0" w:after="0" w:line="240" w:lineRule="auto"/>
      </w:pPr>
      <w:r>
        <w:t>Base case labor costs were developed from the same data and methodology as the Measure Case Labor Cost.</w:t>
      </w:r>
    </w:p>
    <w:p w14:paraId="61549A0F" w14:textId="77777777" w:rsidR="006A08D9" w:rsidRDefault="006A08D9" w:rsidP="001E206A"/>
    <w:p w14:paraId="5E89BC5E" w14:textId="22B628A3" w:rsidR="002E5874" w:rsidRPr="004B06E3" w:rsidRDefault="002E5874" w:rsidP="00FC1117">
      <w:pPr>
        <w:pStyle w:val="eTRMHeading3"/>
      </w:pPr>
      <w:bookmarkStart w:id="57" w:name="_Toc69149923"/>
      <w:r>
        <w:t xml:space="preserve">Measure Case </w:t>
      </w:r>
      <w:r w:rsidRPr="004B06E3">
        <w:t>Labor Cost ($/unit)</w:t>
      </w:r>
      <w:bookmarkEnd w:id="57"/>
    </w:p>
    <w:p w14:paraId="52EA9B7F" w14:textId="78CA584D" w:rsidR="009363A7" w:rsidRDefault="009363A7" w:rsidP="009363A7">
      <w:r>
        <w:t xml:space="preserve">The labor </w:t>
      </w:r>
      <w:r w:rsidR="001D580F">
        <w:t xml:space="preserve">installation </w:t>
      </w:r>
      <w:r>
        <w:t xml:space="preserve">cost </w:t>
      </w:r>
      <w:r w:rsidR="001D580F">
        <w:t>was derived</w:t>
      </w:r>
      <w:r>
        <w:t xml:space="preserve"> from RSMean</w:t>
      </w:r>
      <w:r w:rsidR="0013396D">
        <w:t>s</w:t>
      </w:r>
      <w:r>
        <w:t xml:space="preserve"> Data Year </w:t>
      </w:r>
      <w:r w:rsidR="00557A2F">
        <w:t xml:space="preserve">2020 </w:t>
      </w:r>
      <w:r>
        <w:t xml:space="preserve">Quarter </w:t>
      </w:r>
      <w:r w:rsidR="00557A2F">
        <w:t xml:space="preserve">3 electrician union labor rates, along with the labor hours required </w:t>
      </w:r>
      <w:r>
        <w:t xml:space="preserve">for installing a 2 </w:t>
      </w:r>
      <w:r w:rsidR="00932601">
        <w:t xml:space="preserve">hp </w:t>
      </w:r>
      <w:r>
        <w:t>size 00 motor, Magnetic FVNR with enclosures and heaters (Line Number 262419400080).</w:t>
      </w:r>
      <w:r w:rsidR="00932601">
        <w:rPr>
          <w:rStyle w:val="FootnoteReference"/>
        </w:rPr>
        <w:footnoteReference w:id="10"/>
      </w:r>
      <w:r>
        <w:t xml:space="preserve"> Based on discussion</w:t>
      </w:r>
      <w:r w:rsidR="00CD3B22">
        <w:t>s</w:t>
      </w:r>
      <w:r>
        <w:t xml:space="preserve"> with </w:t>
      </w:r>
      <w:proofErr w:type="spellStart"/>
      <w:r>
        <w:t>HotStart</w:t>
      </w:r>
      <w:proofErr w:type="spellEnd"/>
      <w:r>
        <w:t xml:space="preserve">®, </w:t>
      </w:r>
      <w:r w:rsidR="00CD3B22">
        <w:t>the installation of</w:t>
      </w:r>
      <w:r>
        <w:t xml:space="preserve"> the thermosiphon and circulating block heaters typically </w:t>
      </w:r>
      <w:r w:rsidR="00CD3B22">
        <w:t>requires a</w:t>
      </w:r>
      <w:r>
        <w:t xml:space="preserve"> couple of hours and there is no variation in the installation times</w:t>
      </w:r>
      <w:r w:rsidR="001D580F">
        <w:t xml:space="preserve"> across different sized units</w:t>
      </w:r>
      <w:r>
        <w:t xml:space="preserve">. </w:t>
      </w:r>
    </w:p>
    <w:p w14:paraId="2D91C075" w14:textId="6B82071F" w:rsidR="00B65EF5" w:rsidRPr="00840FDC" w:rsidRDefault="00B65EF5" w:rsidP="001E206A">
      <w:pPr>
        <w:keepNext/>
        <w:keepLines/>
        <w:rPr>
          <w:b/>
          <w:bCs/>
        </w:rPr>
      </w:pPr>
      <w:r w:rsidRPr="00840FDC">
        <w:rPr>
          <w:b/>
          <w:bCs/>
        </w:rPr>
        <w:t xml:space="preserve">Measure </w:t>
      </w:r>
      <w:r>
        <w:rPr>
          <w:b/>
          <w:bCs/>
        </w:rPr>
        <w:t xml:space="preserve">Labor </w:t>
      </w:r>
      <w:r w:rsidRPr="00840FDC">
        <w:rPr>
          <w:b/>
          <w:bCs/>
        </w:rPr>
        <w:t>Costs</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095"/>
        <w:gridCol w:w="990"/>
      </w:tblGrid>
      <w:tr w:rsidR="00B65EF5" w:rsidRPr="007E3A33" w14:paraId="3939BF8C" w14:textId="77777777" w:rsidTr="001E206A">
        <w:trPr>
          <w:trHeight w:val="20"/>
        </w:trPr>
        <w:tc>
          <w:tcPr>
            <w:tcW w:w="8095" w:type="dxa"/>
            <w:shd w:val="clear" w:color="auto" w:fill="F2F2F2" w:themeFill="background1" w:themeFillShade="F2"/>
            <w:vAlign w:val="bottom"/>
          </w:tcPr>
          <w:p w14:paraId="4B910738" w14:textId="77777777" w:rsidR="00B65EF5" w:rsidRPr="007E3A33" w:rsidRDefault="00B65EF5" w:rsidP="00F21ADC">
            <w:pPr>
              <w:keepNext/>
              <w:keepLines/>
              <w:spacing w:before="20" w:after="20"/>
              <w:jc w:val="center"/>
              <w:rPr>
                <w:b/>
                <w:sz w:val="20"/>
                <w:szCs w:val="20"/>
              </w:rPr>
            </w:pPr>
            <w:r>
              <w:rPr>
                <w:b/>
                <w:sz w:val="20"/>
                <w:szCs w:val="20"/>
              </w:rPr>
              <w:t>Cost Description</w:t>
            </w:r>
          </w:p>
        </w:tc>
        <w:tc>
          <w:tcPr>
            <w:tcW w:w="990" w:type="dxa"/>
            <w:shd w:val="clear" w:color="auto" w:fill="F2F2F2" w:themeFill="background1" w:themeFillShade="F2"/>
            <w:vAlign w:val="bottom"/>
          </w:tcPr>
          <w:p w14:paraId="15CECA76" w14:textId="77777777" w:rsidR="00B65EF5" w:rsidRDefault="00B65EF5" w:rsidP="00F21ADC">
            <w:pPr>
              <w:keepNext/>
              <w:keepLines/>
              <w:spacing w:before="20" w:after="20"/>
              <w:jc w:val="center"/>
              <w:rPr>
                <w:b/>
                <w:sz w:val="20"/>
                <w:szCs w:val="20"/>
              </w:rPr>
            </w:pPr>
            <w:r>
              <w:rPr>
                <w:b/>
                <w:sz w:val="20"/>
                <w:szCs w:val="20"/>
              </w:rPr>
              <w:t>Cost ($)</w:t>
            </w:r>
          </w:p>
        </w:tc>
      </w:tr>
      <w:tr w:rsidR="00B65EF5" w:rsidRPr="00D7404C" w14:paraId="3726C46B" w14:textId="77777777" w:rsidTr="001E206A">
        <w:trPr>
          <w:trHeight w:val="20"/>
        </w:trPr>
        <w:tc>
          <w:tcPr>
            <w:tcW w:w="8095" w:type="dxa"/>
            <w:shd w:val="clear" w:color="auto" w:fill="auto"/>
          </w:tcPr>
          <w:p w14:paraId="77763DEA" w14:textId="05AA6B8D" w:rsidR="00B65EF5" w:rsidRPr="00122959" w:rsidRDefault="00B65EF5" w:rsidP="00F21ADC">
            <w:pPr>
              <w:keepNext/>
              <w:keepLines/>
              <w:spacing w:before="20" w:after="20"/>
              <w:rPr>
                <w:rFonts w:cs="Calibri Light"/>
                <w:sz w:val="20"/>
                <w:szCs w:val="22"/>
              </w:rPr>
            </w:pPr>
            <w:r>
              <w:rPr>
                <w:sz w:val="20"/>
                <w:szCs w:val="22"/>
              </w:rPr>
              <w:t xml:space="preserve">(1) Union Electricians Labor Rate at the Labor Hours Required to Install (1) </w:t>
            </w:r>
            <w:r w:rsidRPr="00B65EF5">
              <w:rPr>
                <w:sz w:val="20"/>
                <w:szCs w:val="22"/>
              </w:rPr>
              <w:t>2 HP size 00 motor, Magnetic FVNR with enclosures and heaters (Line Number 262419400080) - RS Means 2020 Q3</w:t>
            </w:r>
            <w:r>
              <w:rPr>
                <w:sz w:val="20"/>
                <w:szCs w:val="22"/>
              </w:rPr>
              <w:br/>
            </w:r>
            <w:r>
              <w:rPr>
                <w:sz w:val="20"/>
                <w:szCs w:val="22"/>
              </w:rPr>
              <w:br/>
            </w:r>
            <w:r>
              <w:rPr>
                <w:rFonts w:cs="Calibri Light"/>
                <w:sz w:val="20"/>
                <w:szCs w:val="22"/>
              </w:rPr>
              <w:t>Labor Rate: $91.35</w:t>
            </w:r>
            <w:r>
              <w:rPr>
                <w:rFonts w:cs="Calibri Light"/>
                <w:sz w:val="20"/>
                <w:szCs w:val="22"/>
              </w:rPr>
              <w:br/>
              <w:t>Labor Hours: 2.28</w:t>
            </w:r>
            <w:r w:rsidR="005E55D5">
              <w:rPr>
                <w:rFonts w:cs="Calibri Light"/>
                <w:sz w:val="20"/>
                <w:szCs w:val="22"/>
              </w:rPr>
              <w:t>6</w:t>
            </w:r>
          </w:p>
        </w:tc>
        <w:tc>
          <w:tcPr>
            <w:tcW w:w="990" w:type="dxa"/>
            <w:vAlign w:val="center"/>
          </w:tcPr>
          <w:p w14:paraId="0E3234F8" w14:textId="75ECB126" w:rsidR="00B65EF5" w:rsidRPr="00C27787" w:rsidRDefault="00B65EF5" w:rsidP="00F21ADC">
            <w:pPr>
              <w:keepNext/>
              <w:keepLines/>
              <w:spacing w:before="20" w:after="20"/>
              <w:jc w:val="center"/>
              <w:rPr>
                <w:rFonts w:cs="Calibri Light"/>
                <w:color w:val="000000"/>
                <w:sz w:val="20"/>
                <w:szCs w:val="20"/>
              </w:rPr>
            </w:pPr>
            <w:r>
              <w:rPr>
                <w:rFonts w:cs="Calibri Light"/>
                <w:color w:val="000000"/>
                <w:sz w:val="20"/>
                <w:szCs w:val="20"/>
              </w:rPr>
              <w:t>$208.</w:t>
            </w:r>
            <w:r w:rsidR="005E55D5">
              <w:rPr>
                <w:rFonts w:cs="Calibri Light"/>
                <w:color w:val="000000"/>
                <w:sz w:val="20"/>
                <w:szCs w:val="20"/>
              </w:rPr>
              <w:t>8</w:t>
            </w:r>
            <w:r w:rsidR="00B3373C">
              <w:rPr>
                <w:rFonts w:cs="Calibri Light"/>
                <w:color w:val="000000"/>
                <w:sz w:val="20"/>
                <w:szCs w:val="20"/>
              </w:rPr>
              <w:t>3</w:t>
            </w:r>
          </w:p>
        </w:tc>
      </w:tr>
    </w:tbl>
    <w:p w14:paraId="0D5C48CE" w14:textId="77777777" w:rsidR="009363A7" w:rsidRPr="004B06E3" w:rsidRDefault="009363A7" w:rsidP="009363A7"/>
    <w:p w14:paraId="050D9183" w14:textId="7ABF5C13" w:rsidR="007D230B" w:rsidRPr="004B06E3" w:rsidRDefault="004B06E3" w:rsidP="00FC1117">
      <w:pPr>
        <w:pStyle w:val="eTRMHeading3"/>
      </w:pPr>
      <w:bookmarkStart w:id="58" w:name="_Toc486490863"/>
      <w:bookmarkStart w:id="59" w:name="_Toc486580934"/>
      <w:bookmarkStart w:id="60" w:name="_Toc69149924"/>
      <w:r>
        <w:lastRenderedPageBreak/>
        <w:t>Net-to-Gross</w:t>
      </w:r>
      <w:bookmarkEnd w:id="58"/>
      <w:bookmarkEnd w:id="59"/>
      <w:r w:rsidR="008D4652">
        <w:t xml:space="preserve"> (NTG)</w:t>
      </w:r>
      <w:bookmarkEnd w:id="60"/>
    </w:p>
    <w:p w14:paraId="74940D3A" w14:textId="1454F019" w:rsidR="007D230B" w:rsidRDefault="00AA3E2A" w:rsidP="004142EF">
      <w:pPr>
        <w:rPr>
          <w:highlight w:val="yellow"/>
        </w:rPr>
      </w:pPr>
      <w:r w:rsidRPr="0089775B">
        <w:t xml:space="preserve">The net-to-gross (NTG) ratio represents the portion of gross impacts that are determined to be directly attributed to a specific program intervention. The relevant NTG value for the </w:t>
      </w:r>
      <w:r w:rsidR="0089775B" w:rsidRPr="0089775B">
        <w:t>circulating block heater</w:t>
      </w:r>
      <w:r w:rsidRPr="0089775B">
        <w:t xml:space="preserve"> </w:t>
      </w:r>
      <w:r w:rsidR="0089775B" w:rsidRPr="0089775B">
        <w:t>is</w:t>
      </w:r>
      <w:r w:rsidRPr="0089775B">
        <w:t xml:space="preserve"> specified in </w:t>
      </w:r>
      <w:r w:rsidR="008B4C81">
        <w:t>the table below</w:t>
      </w:r>
      <w:r w:rsidRPr="0089775B">
        <w:t xml:space="preserve">. </w:t>
      </w:r>
      <w:r w:rsidR="0089775B" w:rsidRPr="0089775B">
        <w:t>This NTG value is documented in the 2011 DEER Update Study conducted by Itron,</w:t>
      </w:r>
      <w:r w:rsidR="0089775B" w:rsidRPr="00AF3038">
        <w:t xml:space="preserve"> Inc. </w:t>
      </w:r>
      <w:r w:rsidR="0089775B">
        <w:t>This</w:t>
      </w:r>
      <w:r w:rsidR="0089775B" w:rsidRPr="00AF3038">
        <w:t xml:space="preserve"> sector average NTGs (“default NTGs”) </w:t>
      </w:r>
      <w:r w:rsidR="0089775B">
        <w:t>is</w:t>
      </w:r>
      <w:r w:rsidR="0089775B" w:rsidRPr="00AF3038">
        <w:t xml:space="preserve"> applicable </w:t>
      </w:r>
      <w:r w:rsidR="0089775B">
        <w:t xml:space="preserve">to </w:t>
      </w:r>
      <w:r w:rsidR="0089775B" w:rsidRPr="00AF3038">
        <w:t xml:space="preserve">all energy efficiency measures that have been offered </w:t>
      </w:r>
      <w:r w:rsidR="0089775B">
        <w:t>through</w:t>
      </w:r>
      <w:r w:rsidR="0089775B" w:rsidRPr="00AF3038">
        <w:t xml:space="preserve"> </w:t>
      </w:r>
      <w:r w:rsidR="0089775B">
        <w:t xml:space="preserve">residential or nonresidential sector energy efficiency </w:t>
      </w:r>
      <w:r w:rsidR="0089775B" w:rsidRPr="00AF3038">
        <w:t xml:space="preserve">programs for </w:t>
      </w:r>
      <w:r w:rsidR="0089775B">
        <w:t>two years or less</w:t>
      </w:r>
      <w:r w:rsidR="0089775B" w:rsidRPr="00AF3038">
        <w:t xml:space="preserve"> and for which impact evaluation results are not available.</w:t>
      </w:r>
      <w:r w:rsidR="0089775B" w:rsidRPr="00765218">
        <w:t>  </w:t>
      </w:r>
    </w:p>
    <w:p w14:paraId="0D1CEED6" w14:textId="576BF680" w:rsidR="00DE1A0F" w:rsidRPr="0059426D" w:rsidRDefault="00DE1A0F" w:rsidP="00F21ADC">
      <w:pPr>
        <w:pStyle w:val="Caption"/>
      </w:pPr>
      <w:r>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85"/>
        <w:gridCol w:w="1204"/>
        <w:gridCol w:w="5456"/>
      </w:tblGrid>
      <w:tr w:rsidR="00AA3E2A" w:rsidRPr="0059426D" w14:paraId="0D2B92AF" w14:textId="662FBAEE" w:rsidTr="001E206A">
        <w:trPr>
          <w:cantSplit/>
          <w:trHeight w:val="20"/>
        </w:trPr>
        <w:tc>
          <w:tcPr>
            <w:tcW w:w="278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204"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456"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7F4935" w:rsidRPr="0059426D" w14:paraId="682BF062" w14:textId="72E696E9" w:rsidTr="001A62E8">
        <w:trPr>
          <w:cantSplit/>
          <w:trHeight w:val="20"/>
        </w:trPr>
        <w:tc>
          <w:tcPr>
            <w:tcW w:w="2785" w:type="dxa"/>
            <w:vAlign w:val="center"/>
          </w:tcPr>
          <w:p w14:paraId="24B680D1" w14:textId="77777777" w:rsidR="007F4935" w:rsidRDefault="007F4935" w:rsidP="0030051F">
            <w:pPr>
              <w:keepNext/>
              <w:keepLines/>
              <w:spacing w:before="0" w:after="0" w:line="200" w:lineRule="atLeast"/>
              <w:rPr>
                <w:rFonts w:cs="Arial"/>
                <w:color w:val="000000"/>
                <w:sz w:val="20"/>
                <w:szCs w:val="20"/>
              </w:rPr>
            </w:pPr>
            <w:r w:rsidRPr="000513A4">
              <w:rPr>
                <w:rFonts w:cs="Arial"/>
                <w:color w:val="000000"/>
                <w:sz w:val="20"/>
                <w:szCs w:val="20"/>
              </w:rPr>
              <w:t xml:space="preserve">NTG </w:t>
            </w:r>
            <w:proofErr w:type="gramStart"/>
            <w:r w:rsidRPr="000513A4">
              <w:rPr>
                <w:rFonts w:cs="Arial"/>
                <w:color w:val="000000"/>
                <w:sz w:val="20"/>
                <w:szCs w:val="20"/>
              </w:rPr>
              <w:t xml:space="preserve">–  </w:t>
            </w:r>
            <w:r w:rsidR="0030051F">
              <w:rPr>
                <w:rFonts w:cs="Arial"/>
                <w:color w:val="000000"/>
                <w:sz w:val="20"/>
                <w:szCs w:val="20"/>
              </w:rPr>
              <w:t>Commercial</w:t>
            </w:r>
            <w:proofErr w:type="gramEnd"/>
          </w:p>
          <w:p w14:paraId="5BA6FA92" w14:textId="0E3D9853" w:rsidR="001A62E8" w:rsidRPr="000513A4" w:rsidRDefault="001A62E8" w:rsidP="0030051F">
            <w:pPr>
              <w:keepNext/>
              <w:keepLines/>
              <w:spacing w:before="0" w:after="0" w:line="200" w:lineRule="atLeast"/>
              <w:rPr>
                <w:rFonts w:cstheme="minorHAnsi"/>
                <w:sz w:val="20"/>
                <w:szCs w:val="20"/>
              </w:rPr>
            </w:pPr>
            <w:r>
              <w:rPr>
                <w:rFonts w:cs="Arial"/>
                <w:color w:val="000000"/>
                <w:sz w:val="20"/>
                <w:szCs w:val="20"/>
              </w:rPr>
              <w:t xml:space="preserve">NTG ID </w:t>
            </w:r>
            <w:proofErr w:type="gramStart"/>
            <w:r w:rsidRPr="000513A4">
              <w:rPr>
                <w:rFonts w:cs="Arial"/>
                <w:color w:val="000000"/>
                <w:sz w:val="20"/>
                <w:szCs w:val="20"/>
              </w:rPr>
              <w:t xml:space="preserve">– </w:t>
            </w:r>
            <w:r>
              <w:rPr>
                <w:rFonts w:cs="Arial"/>
                <w:color w:val="000000"/>
                <w:sz w:val="20"/>
                <w:szCs w:val="20"/>
              </w:rPr>
              <w:t xml:space="preserve"> </w:t>
            </w:r>
            <w:r w:rsidRPr="00D42DCC">
              <w:rPr>
                <w:rFonts w:cs="Calibri Light"/>
                <w:sz w:val="20"/>
                <w:szCs w:val="20"/>
              </w:rPr>
              <w:t>Com</w:t>
            </w:r>
            <w:proofErr w:type="gramEnd"/>
            <w:r w:rsidRPr="00D42DCC">
              <w:rPr>
                <w:rFonts w:cs="Calibri Light"/>
                <w:sz w:val="20"/>
                <w:szCs w:val="20"/>
              </w:rPr>
              <w:t>-Default&gt;2yrs</w:t>
            </w:r>
          </w:p>
        </w:tc>
        <w:tc>
          <w:tcPr>
            <w:tcW w:w="1204" w:type="dxa"/>
            <w:shd w:val="clear" w:color="auto" w:fill="auto"/>
            <w:noWrap/>
            <w:vAlign w:val="center"/>
          </w:tcPr>
          <w:p w14:paraId="62F18FF1" w14:textId="4C95EB6C" w:rsidR="007F4935" w:rsidRPr="0059426D" w:rsidRDefault="007F4935" w:rsidP="007A039B">
            <w:pPr>
              <w:keepNext/>
              <w:keepLines/>
              <w:spacing w:before="0" w:after="0" w:line="200" w:lineRule="atLeast"/>
              <w:jc w:val="center"/>
              <w:rPr>
                <w:color w:val="000000"/>
                <w:sz w:val="20"/>
                <w:szCs w:val="20"/>
              </w:rPr>
            </w:pPr>
            <w:r w:rsidRPr="0030051F">
              <w:rPr>
                <w:sz w:val="20"/>
                <w:szCs w:val="20"/>
              </w:rPr>
              <w:t>0.60</w:t>
            </w:r>
          </w:p>
        </w:tc>
        <w:tc>
          <w:tcPr>
            <w:tcW w:w="5456" w:type="dxa"/>
            <w:vAlign w:val="center"/>
          </w:tcPr>
          <w:p w14:paraId="133857EB" w14:textId="00FA73F2" w:rsidR="007F4935" w:rsidRPr="00BB4F22" w:rsidRDefault="007F4935" w:rsidP="007A039B">
            <w:pPr>
              <w:keepNext/>
              <w:keepLines/>
              <w:spacing w:before="0" w:after="0" w:line="200" w:lineRule="atLeast"/>
              <w:rPr>
                <w:color w:val="FF0000"/>
                <w:sz w:val="20"/>
                <w:szCs w:val="20"/>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30051F" w:rsidRPr="0059426D" w14:paraId="3B820EA4" w14:textId="77777777" w:rsidTr="001E206A">
        <w:trPr>
          <w:cantSplit/>
          <w:trHeight w:val="20"/>
        </w:trPr>
        <w:tc>
          <w:tcPr>
            <w:tcW w:w="2785" w:type="dxa"/>
            <w:vAlign w:val="center"/>
          </w:tcPr>
          <w:p w14:paraId="3B4B9137" w14:textId="77777777" w:rsidR="0030051F" w:rsidRDefault="0030051F" w:rsidP="0030051F">
            <w:pPr>
              <w:keepNext/>
              <w:keepLines/>
              <w:spacing w:before="0" w:after="0" w:line="200" w:lineRule="atLeast"/>
              <w:rPr>
                <w:rFonts w:cs="Arial"/>
                <w:color w:val="000000"/>
                <w:sz w:val="20"/>
                <w:szCs w:val="20"/>
              </w:rPr>
            </w:pPr>
            <w:r w:rsidRPr="000513A4">
              <w:rPr>
                <w:rFonts w:cs="Arial"/>
                <w:color w:val="000000"/>
                <w:sz w:val="20"/>
                <w:szCs w:val="20"/>
              </w:rPr>
              <w:t xml:space="preserve">NTG </w:t>
            </w:r>
            <w:proofErr w:type="gramStart"/>
            <w:r w:rsidRPr="000513A4">
              <w:rPr>
                <w:rFonts w:cs="Arial"/>
                <w:color w:val="000000"/>
                <w:sz w:val="20"/>
                <w:szCs w:val="20"/>
              </w:rPr>
              <w:t xml:space="preserve">–  </w:t>
            </w:r>
            <w:r>
              <w:rPr>
                <w:rFonts w:cs="Arial"/>
                <w:color w:val="000000"/>
                <w:sz w:val="20"/>
                <w:szCs w:val="20"/>
              </w:rPr>
              <w:t>Industrial</w:t>
            </w:r>
            <w:proofErr w:type="gramEnd"/>
          </w:p>
          <w:p w14:paraId="03E0A26D" w14:textId="3E360946" w:rsidR="001A62E8" w:rsidRPr="000513A4" w:rsidRDefault="001A62E8" w:rsidP="0030051F">
            <w:pPr>
              <w:keepNext/>
              <w:keepLines/>
              <w:spacing w:before="0" w:after="0" w:line="200" w:lineRule="atLeast"/>
              <w:rPr>
                <w:rFonts w:cs="Arial"/>
                <w:color w:val="000000"/>
                <w:sz w:val="20"/>
                <w:szCs w:val="20"/>
              </w:rPr>
            </w:pPr>
            <w:r>
              <w:rPr>
                <w:rFonts w:cs="Arial"/>
                <w:color w:val="000000"/>
                <w:sz w:val="20"/>
                <w:szCs w:val="20"/>
              </w:rPr>
              <w:t xml:space="preserve">NTG ID </w:t>
            </w:r>
            <w:r w:rsidRPr="000513A4">
              <w:rPr>
                <w:rFonts w:cs="Arial"/>
                <w:color w:val="000000"/>
                <w:sz w:val="20"/>
                <w:szCs w:val="20"/>
              </w:rPr>
              <w:t>–</w:t>
            </w:r>
            <w:r>
              <w:rPr>
                <w:rFonts w:cs="Arial"/>
                <w:color w:val="000000"/>
                <w:sz w:val="20"/>
                <w:szCs w:val="20"/>
              </w:rPr>
              <w:t xml:space="preserve"> </w:t>
            </w:r>
            <w:r w:rsidRPr="00D42DCC">
              <w:rPr>
                <w:rFonts w:cs="Calibri Light"/>
                <w:sz w:val="20"/>
                <w:szCs w:val="20"/>
              </w:rPr>
              <w:t>Ind-Default&gt;2yrs</w:t>
            </w:r>
          </w:p>
        </w:tc>
        <w:tc>
          <w:tcPr>
            <w:tcW w:w="1204" w:type="dxa"/>
            <w:shd w:val="clear" w:color="auto" w:fill="auto"/>
            <w:noWrap/>
            <w:vAlign w:val="center"/>
          </w:tcPr>
          <w:p w14:paraId="5BC3EAB7" w14:textId="02D33A58" w:rsidR="0030051F" w:rsidRPr="0030051F" w:rsidRDefault="0030051F" w:rsidP="0030051F">
            <w:pPr>
              <w:keepNext/>
              <w:keepLines/>
              <w:spacing w:before="0" w:after="0" w:line="200" w:lineRule="atLeast"/>
              <w:jc w:val="center"/>
              <w:rPr>
                <w:sz w:val="20"/>
                <w:szCs w:val="20"/>
              </w:rPr>
            </w:pPr>
            <w:r w:rsidRPr="0030051F">
              <w:rPr>
                <w:sz w:val="20"/>
                <w:szCs w:val="20"/>
              </w:rPr>
              <w:t>0.60</w:t>
            </w:r>
          </w:p>
        </w:tc>
        <w:tc>
          <w:tcPr>
            <w:tcW w:w="5456" w:type="dxa"/>
            <w:vAlign w:val="center"/>
          </w:tcPr>
          <w:p w14:paraId="06105463" w14:textId="7C71FD3C" w:rsidR="0030051F" w:rsidRPr="00575E9A" w:rsidRDefault="0030051F" w:rsidP="0030051F">
            <w:pPr>
              <w:keepNext/>
              <w:keepLines/>
              <w:spacing w:before="0" w:after="0" w:line="200" w:lineRule="atLeast"/>
              <w:rPr>
                <w:sz w:val="18"/>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30051F" w:rsidRPr="0059426D" w14:paraId="7477E7CB" w14:textId="77777777" w:rsidTr="001E206A">
        <w:trPr>
          <w:cantSplit/>
          <w:trHeight w:val="20"/>
        </w:trPr>
        <w:tc>
          <w:tcPr>
            <w:tcW w:w="2785" w:type="dxa"/>
            <w:vAlign w:val="center"/>
          </w:tcPr>
          <w:p w14:paraId="6A0E6C98" w14:textId="77777777" w:rsidR="0030051F" w:rsidRDefault="0030051F" w:rsidP="0030051F">
            <w:pPr>
              <w:keepNext/>
              <w:keepLines/>
              <w:spacing w:before="0" w:after="0" w:line="200" w:lineRule="atLeast"/>
              <w:rPr>
                <w:rFonts w:cs="Arial"/>
                <w:color w:val="000000"/>
                <w:sz w:val="20"/>
                <w:szCs w:val="20"/>
              </w:rPr>
            </w:pPr>
            <w:r w:rsidRPr="000513A4">
              <w:rPr>
                <w:rFonts w:cs="Arial"/>
                <w:color w:val="000000"/>
                <w:sz w:val="20"/>
                <w:szCs w:val="20"/>
              </w:rPr>
              <w:t xml:space="preserve">NTG </w:t>
            </w:r>
            <w:proofErr w:type="gramStart"/>
            <w:r w:rsidRPr="000513A4">
              <w:rPr>
                <w:rFonts w:cs="Arial"/>
                <w:color w:val="000000"/>
                <w:sz w:val="20"/>
                <w:szCs w:val="20"/>
              </w:rPr>
              <w:t xml:space="preserve">–  </w:t>
            </w:r>
            <w:r>
              <w:rPr>
                <w:rFonts w:cs="Arial"/>
                <w:color w:val="000000"/>
                <w:sz w:val="20"/>
                <w:szCs w:val="20"/>
              </w:rPr>
              <w:t>Agriculture</w:t>
            </w:r>
            <w:proofErr w:type="gramEnd"/>
          </w:p>
          <w:p w14:paraId="5CA6B292" w14:textId="0FFE2437" w:rsidR="001A62E8" w:rsidRPr="000513A4" w:rsidRDefault="001A62E8" w:rsidP="0030051F">
            <w:pPr>
              <w:keepNext/>
              <w:keepLines/>
              <w:spacing w:before="0" w:after="0" w:line="200" w:lineRule="atLeast"/>
              <w:rPr>
                <w:rFonts w:cs="Arial"/>
                <w:color w:val="000000"/>
                <w:sz w:val="20"/>
                <w:szCs w:val="20"/>
              </w:rPr>
            </w:pPr>
            <w:r>
              <w:rPr>
                <w:rFonts w:cs="Arial"/>
                <w:color w:val="000000"/>
                <w:sz w:val="20"/>
                <w:szCs w:val="20"/>
              </w:rPr>
              <w:t xml:space="preserve">NTG ID </w:t>
            </w:r>
            <w:r w:rsidRPr="000513A4">
              <w:rPr>
                <w:rFonts w:cs="Arial"/>
                <w:color w:val="000000"/>
                <w:sz w:val="20"/>
                <w:szCs w:val="20"/>
              </w:rPr>
              <w:t>–</w:t>
            </w:r>
            <w:r>
              <w:rPr>
                <w:rFonts w:cs="Arial"/>
                <w:color w:val="000000"/>
                <w:sz w:val="20"/>
                <w:szCs w:val="20"/>
              </w:rPr>
              <w:t xml:space="preserve"> </w:t>
            </w:r>
            <w:r w:rsidRPr="00D42DCC">
              <w:rPr>
                <w:rFonts w:cs="Calibri Light"/>
                <w:sz w:val="20"/>
                <w:szCs w:val="20"/>
              </w:rPr>
              <w:t>Agric-Default&gt;2yrs</w:t>
            </w:r>
          </w:p>
        </w:tc>
        <w:tc>
          <w:tcPr>
            <w:tcW w:w="1204" w:type="dxa"/>
            <w:shd w:val="clear" w:color="auto" w:fill="auto"/>
            <w:noWrap/>
            <w:vAlign w:val="center"/>
          </w:tcPr>
          <w:p w14:paraId="021D7478" w14:textId="1DF08E00" w:rsidR="0030051F" w:rsidRPr="0030051F" w:rsidRDefault="0030051F" w:rsidP="0030051F">
            <w:pPr>
              <w:keepNext/>
              <w:keepLines/>
              <w:spacing w:before="0" w:after="0" w:line="200" w:lineRule="atLeast"/>
              <w:jc w:val="center"/>
              <w:rPr>
                <w:sz w:val="20"/>
                <w:szCs w:val="20"/>
              </w:rPr>
            </w:pPr>
            <w:r w:rsidRPr="0030051F">
              <w:rPr>
                <w:sz w:val="20"/>
                <w:szCs w:val="20"/>
              </w:rPr>
              <w:t>0.60</w:t>
            </w:r>
          </w:p>
        </w:tc>
        <w:tc>
          <w:tcPr>
            <w:tcW w:w="5456" w:type="dxa"/>
            <w:vAlign w:val="center"/>
          </w:tcPr>
          <w:p w14:paraId="3F09C283" w14:textId="308448E1" w:rsidR="0030051F" w:rsidRPr="00575E9A" w:rsidRDefault="0030051F" w:rsidP="0030051F">
            <w:pPr>
              <w:keepNext/>
              <w:keepLines/>
              <w:spacing w:before="0" w:after="0" w:line="200" w:lineRule="atLeast"/>
              <w:rPr>
                <w:sz w:val="18"/>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bl>
    <w:p w14:paraId="6ECC6493" w14:textId="77777777" w:rsidR="007D230B" w:rsidRPr="004B06E3" w:rsidRDefault="007D230B" w:rsidP="004142EF"/>
    <w:p w14:paraId="323B5B02" w14:textId="4C4B13DC" w:rsidR="007D230B" w:rsidRPr="004B06E3" w:rsidRDefault="00D02C36" w:rsidP="00FC1117">
      <w:pPr>
        <w:pStyle w:val="eTRMHeading3"/>
      </w:pPr>
      <w:bookmarkStart w:id="61" w:name="_Toc486490864"/>
      <w:bookmarkStart w:id="62" w:name="_Toc486580935"/>
      <w:bookmarkStart w:id="63" w:name="_Toc69149925"/>
      <w:r>
        <w:t>Gross Savings Installation Adjustment (</w:t>
      </w:r>
      <w:r w:rsidR="007D230B" w:rsidRPr="004B06E3">
        <w:t>GSIA</w:t>
      </w:r>
      <w:bookmarkEnd w:id="61"/>
      <w:bookmarkEnd w:id="62"/>
      <w:r>
        <w:t>)</w:t>
      </w:r>
      <w:bookmarkEnd w:id="63"/>
    </w:p>
    <w:p w14:paraId="15275D6D" w14:textId="1D9EB79E" w:rsidR="007A039B" w:rsidRDefault="007A039B" w:rsidP="007A039B">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64" w:name="_Hlk494220086"/>
      <w:r>
        <w:t xml:space="preserve">The GSIA rate specified for a circulating block heater is included in </w:t>
      </w:r>
      <w:r w:rsidR="008B4C81">
        <w:t>the table below</w:t>
      </w:r>
      <w:r>
        <w:t xml:space="preserve">. </w:t>
      </w:r>
      <w:bookmarkEnd w:id="64"/>
      <w:r>
        <w:t>This GSIA rate is the current “default” rate specified for measures for which an alternative GSIA has not been estimated and approved.</w:t>
      </w:r>
    </w:p>
    <w:p w14:paraId="2237D513" w14:textId="1E137F92" w:rsidR="007A039B" w:rsidRPr="0059426D" w:rsidRDefault="007A039B" w:rsidP="00F21ADC">
      <w:pPr>
        <w:pStyle w:val="Caption"/>
      </w:pPr>
      <w:r>
        <w:t>Gross Savings Installation Adjustment</w:t>
      </w:r>
    </w:p>
    <w:tbl>
      <w:tblPr>
        <w:tblW w:w="942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2670"/>
        <w:gridCol w:w="4680"/>
      </w:tblGrid>
      <w:tr w:rsidR="007A039B" w:rsidRPr="00052C24" w14:paraId="226E1BF9" w14:textId="77777777" w:rsidTr="00E2624B">
        <w:tc>
          <w:tcPr>
            <w:tcW w:w="2070" w:type="dxa"/>
            <w:shd w:val="clear" w:color="auto" w:fill="F2F2F2" w:themeFill="background1" w:themeFillShade="F2"/>
            <w:vAlign w:val="bottom"/>
          </w:tcPr>
          <w:p w14:paraId="52F5EF66" w14:textId="77777777" w:rsidR="007A039B" w:rsidRPr="00052C24" w:rsidRDefault="007A039B" w:rsidP="00E2624B">
            <w:pPr>
              <w:keepNext/>
              <w:keepLines/>
              <w:spacing w:before="0" w:after="0" w:line="200" w:lineRule="atLeast"/>
              <w:jc w:val="center"/>
              <w:rPr>
                <w:b/>
                <w:sz w:val="20"/>
              </w:rPr>
            </w:pPr>
            <w:r>
              <w:rPr>
                <w:b/>
                <w:sz w:val="20"/>
              </w:rPr>
              <w:t>Parameter</w:t>
            </w:r>
          </w:p>
        </w:tc>
        <w:tc>
          <w:tcPr>
            <w:tcW w:w="2670" w:type="dxa"/>
            <w:shd w:val="clear" w:color="auto" w:fill="F2F2F2" w:themeFill="background1" w:themeFillShade="F2"/>
            <w:vAlign w:val="center"/>
          </w:tcPr>
          <w:p w14:paraId="3FEE106B" w14:textId="20F5A170" w:rsidR="007A039B" w:rsidRPr="00AC72DE" w:rsidRDefault="007A039B" w:rsidP="00E2624B">
            <w:pPr>
              <w:keepNext/>
              <w:keepLines/>
              <w:spacing w:before="0" w:after="0" w:line="200" w:lineRule="atLeast"/>
              <w:jc w:val="center"/>
              <w:rPr>
                <w:b/>
                <w:sz w:val="20"/>
              </w:rPr>
            </w:pPr>
            <w:r>
              <w:rPr>
                <w:rFonts w:cs="Arial"/>
                <w:b/>
                <w:color w:val="000000"/>
                <w:sz w:val="20"/>
                <w:szCs w:val="20"/>
              </w:rPr>
              <w:t>Circulating Block Heater</w:t>
            </w:r>
          </w:p>
        </w:tc>
        <w:tc>
          <w:tcPr>
            <w:tcW w:w="4680" w:type="dxa"/>
            <w:shd w:val="clear" w:color="auto" w:fill="F2F2F2" w:themeFill="background1" w:themeFillShade="F2"/>
            <w:vAlign w:val="bottom"/>
          </w:tcPr>
          <w:p w14:paraId="2AF8B615" w14:textId="77777777" w:rsidR="007A039B" w:rsidRDefault="007A039B" w:rsidP="00E2624B">
            <w:pPr>
              <w:keepNext/>
              <w:keepLines/>
              <w:spacing w:before="0" w:after="0" w:line="200" w:lineRule="atLeast"/>
              <w:jc w:val="center"/>
              <w:rPr>
                <w:b/>
                <w:sz w:val="20"/>
              </w:rPr>
            </w:pPr>
            <w:r>
              <w:rPr>
                <w:b/>
                <w:sz w:val="20"/>
              </w:rPr>
              <w:t>Source</w:t>
            </w:r>
          </w:p>
        </w:tc>
      </w:tr>
      <w:tr w:rsidR="007A039B" w:rsidRPr="009062D0" w14:paraId="3087B229" w14:textId="77777777" w:rsidTr="00E2624B">
        <w:trPr>
          <w:trHeight w:val="260"/>
        </w:trPr>
        <w:tc>
          <w:tcPr>
            <w:tcW w:w="2070" w:type="dxa"/>
            <w:vAlign w:val="center"/>
          </w:tcPr>
          <w:p w14:paraId="7533D8D9" w14:textId="78BDBA5A" w:rsidR="007A039B" w:rsidRPr="009062D0" w:rsidRDefault="007A039B" w:rsidP="00E2624B">
            <w:pPr>
              <w:keepNext/>
              <w:keepLines/>
              <w:spacing w:before="0" w:after="0" w:line="200" w:lineRule="atLeast"/>
              <w:rPr>
                <w:sz w:val="20"/>
              </w:rPr>
            </w:pPr>
            <w:r>
              <w:rPr>
                <w:sz w:val="20"/>
              </w:rPr>
              <w:t>GSIA</w:t>
            </w:r>
            <w:r w:rsidR="001A62E8">
              <w:rPr>
                <w:sz w:val="20"/>
              </w:rPr>
              <w:br/>
            </w:r>
            <w:proofErr w:type="spellStart"/>
            <w:r w:rsidR="001A62E8">
              <w:rPr>
                <w:sz w:val="20"/>
              </w:rPr>
              <w:t>GSIA</w:t>
            </w:r>
            <w:proofErr w:type="spellEnd"/>
            <w:r w:rsidR="001A62E8">
              <w:rPr>
                <w:sz w:val="20"/>
              </w:rPr>
              <w:t xml:space="preserve"> ID </w:t>
            </w:r>
            <w:r w:rsidR="001A62E8" w:rsidRPr="000513A4">
              <w:rPr>
                <w:rFonts w:cs="Arial"/>
                <w:color w:val="000000"/>
                <w:sz w:val="20"/>
                <w:szCs w:val="20"/>
              </w:rPr>
              <w:t>–</w:t>
            </w:r>
            <w:r w:rsidR="001A62E8">
              <w:rPr>
                <w:rFonts w:cs="Arial"/>
                <w:color w:val="000000"/>
                <w:sz w:val="20"/>
                <w:szCs w:val="20"/>
              </w:rPr>
              <w:t xml:space="preserve"> </w:t>
            </w:r>
            <w:r w:rsidR="001A62E8" w:rsidRPr="00D42DCC">
              <w:rPr>
                <w:rFonts w:cstheme="minorHAnsi"/>
                <w:sz w:val="20"/>
                <w:szCs w:val="20"/>
              </w:rPr>
              <w:t>Def-GSIA</w:t>
            </w:r>
          </w:p>
        </w:tc>
        <w:tc>
          <w:tcPr>
            <w:tcW w:w="2670" w:type="dxa"/>
            <w:vAlign w:val="center"/>
          </w:tcPr>
          <w:p w14:paraId="61130247" w14:textId="77777777" w:rsidR="007A039B" w:rsidRPr="009062D0" w:rsidRDefault="007A039B" w:rsidP="00E2624B">
            <w:pPr>
              <w:keepNext/>
              <w:keepLines/>
              <w:spacing w:before="0" w:after="0" w:line="200" w:lineRule="atLeast"/>
              <w:jc w:val="center"/>
              <w:rPr>
                <w:color w:val="FF0000"/>
                <w:sz w:val="20"/>
              </w:rPr>
            </w:pPr>
            <w:r w:rsidRPr="0030051F">
              <w:rPr>
                <w:sz w:val="20"/>
                <w:szCs w:val="20"/>
              </w:rPr>
              <w:t>1.0</w:t>
            </w:r>
          </w:p>
        </w:tc>
        <w:tc>
          <w:tcPr>
            <w:tcW w:w="4680" w:type="dxa"/>
            <w:vAlign w:val="center"/>
          </w:tcPr>
          <w:p w14:paraId="314B4AF7" w14:textId="77777777" w:rsidR="007A039B" w:rsidRPr="009062D0" w:rsidRDefault="007A039B" w:rsidP="00E2624B">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FC1117">
      <w:pPr>
        <w:pStyle w:val="eTRMHeading3"/>
      </w:pPr>
      <w:bookmarkStart w:id="65" w:name="_Toc486490865"/>
      <w:bookmarkStart w:id="66" w:name="_Toc486580936"/>
      <w:bookmarkStart w:id="67" w:name="_Toc69149926"/>
      <w:r w:rsidRPr="004B06E3">
        <w:t xml:space="preserve">Non-Energy </w:t>
      </w:r>
      <w:bookmarkEnd w:id="65"/>
      <w:bookmarkEnd w:id="66"/>
      <w:r w:rsidR="00DA6B7E">
        <w:t>Impacts</w:t>
      </w:r>
      <w:bookmarkEnd w:id="67"/>
    </w:p>
    <w:p w14:paraId="0D73FC70" w14:textId="6D11BBC9" w:rsidR="00697A88" w:rsidRDefault="00697A88" w:rsidP="001D580F">
      <w:r>
        <w:t xml:space="preserve">Non-energy </w:t>
      </w:r>
      <w:r w:rsidR="00932601">
        <w:t xml:space="preserve">impacts </w:t>
      </w:r>
      <w:r>
        <w:t xml:space="preserve">for this measure have not been </w:t>
      </w:r>
      <w:r w:rsidR="009D7F4D">
        <w:t>quantified</w:t>
      </w:r>
      <w:r>
        <w:t>.</w:t>
      </w:r>
    </w:p>
    <w:p w14:paraId="0C37F289" w14:textId="77777777" w:rsidR="00697A88" w:rsidRDefault="00697A88" w:rsidP="004142EF"/>
    <w:p w14:paraId="7D8551BB" w14:textId="760F7D39" w:rsidR="009C31A4" w:rsidRPr="004B06E3" w:rsidRDefault="009C31A4" w:rsidP="00FC1117">
      <w:pPr>
        <w:pStyle w:val="eTRMHeading3"/>
      </w:pPr>
      <w:bookmarkStart w:id="68" w:name="_Toc69149927"/>
      <w:r>
        <w:t>DEER Differences Analysis</w:t>
      </w:r>
      <w:bookmarkEnd w:id="68"/>
    </w:p>
    <w:p w14:paraId="115A3A77" w14:textId="537B41DA" w:rsidR="00D926FD" w:rsidRPr="00D926FD" w:rsidRDefault="003F21D2" w:rsidP="00D926FD">
      <w:pPr>
        <w:rPr>
          <w:rFonts w:cs="Calibri Light"/>
          <w:i/>
          <w:szCs w:val="22"/>
        </w:rPr>
      </w:pPr>
      <w:r w:rsidRPr="00D926FD">
        <w:rPr>
          <w:rFonts w:cs="Calibri Light"/>
        </w:rPr>
        <w:t>This section provides a summary of DEER-based inputs and methods, and the rationale for inputs and methods that are not DEER-based.</w:t>
      </w:r>
      <w:r w:rsidR="00D926FD" w:rsidRPr="00D926FD">
        <w:rPr>
          <w:rFonts w:cs="Calibri Light"/>
        </w:rPr>
        <w:t xml:space="preserve"> </w:t>
      </w:r>
      <w:r w:rsidR="00D926FD" w:rsidRPr="00D926FD">
        <w:rPr>
          <w:rFonts w:cs="Calibri Light"/>
          <w:szCs w:val="22"/>
        </w:rPr>
        <w:t xml:space="preserve">Currently, DEER does not address this type of measure. Also, DEER interactive effects </w:t>
      </w:r>
      <w:r w:rsidR="00D926FD">
        <w:rPr>
          <w:rFonts w:cs="Calibri Light"/>
          <w:szCs w:val="22"/>
        </w:rPr>
        <w:t>are</w:t>
      </w:r>
      <w:r w:rsidR="00D926FD" w:rsidRPr="00D926FD">
        <w:rPr>
          <w:rFonts w:cs="Calibri Light"/>
          <w:szCs w:val="22"/>
        </w:rPr>
        <w:t xml:space="preserve"> not </w:t>
      </w:r>
      <w:r w:rsidR="00D926FD">
        <w:rPr>
          <w:rFonts w:cs="Calibri Light"/>
          <w:szCs w:val="22"/>
        </w:rPr>
        <w:t>incorporated,</w:t>
      </w:r>
      <w:r w:rsidR="00D926FD" w:rsidRPr="00D926FD">
        <w:rPr>
          <w:rFonts w:cs="Calibri Light"/>
          <w:szCs w:val="22"/>
        </w:rPr>
        <w:t xml:space="preserve"> as most backup generators are kept in </w:t>
      </w:r>
      <w:r w:rsidR="00274629">
        <w:rPr>
          <w:rFonts w:cs="Calibri Light"/>
          <w:szCs w:val="22"/>
        </w:rPr>
        <w:t xml:space="preserve">a </w:t>
      </w:r>
      <w:r w:rsidR="00D926FD" w:rsidRPr="00D926FD">
        <w:rPr>
          <w:rFonts w:cs="Calibri Light"/>
          <w:szCs w:val="22"/>
        </w:rPr>
        <w:t>non</w:t>
      </w:r>
      <w:r w:rsidR="007F4935">
        <w:rPr>
          <w:rFonts w:cs="Calibri Light"/>
          <w:szCs w:val="22"/>
        </w:rPr>
        <w:t>-</w:t>
      </w:r>
      <w:r w:rsidR="00D926FD" w:rsidRPr="00D926FD">
        <w:rPr>
          <w:rFonts w:cs="Calibri Light"/>
          <w:szCs w:val="22"/>
        </w:rPr>
        <w:t>conditioned or exterior space.</w:t>
      </w:r>
    </w:p>
    <w:p w14:paraId="756C62FB" w14:textId="7CB1AC9A" w:rsidR="00EA057C" w:rsidRPr="00920905" w:rsidRDefault="00EA057C" w:rsidP="00F21ADC">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274629" w:rsidRPr="00500C4E" w14:paraId="33003020" w14:textId="77777777" w:rsidTr="00EA057C">
        <w:trPr>
          <w:trHeight w:val="20"/>
        </w:trPr>
        <w:tc>
          <w:tcPr>
            <w:tcW w:w="1730" w:type="pct"/>
          </w:tcPr>
          <w:p w14:paraId="1F2D360A" w14:textId="77777777" w:rsidR="00274629" w:rsidRPr="00EA057C" w:rsidRDefault="00274629" w:rsidP="00274629">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4F139C33" w:rsidR="00274629" w:rsidRPr="00EA057C" w:rsidRDefault="00274629" w:rsidP="00274629">
            <w:pPr>
              <w:keepNext/>
              <w:keepLines/>
              <w:spacing w:before="20" w:after="20"/>
              <w:rPr>
                <w:rFonts w:cs="Arial"/>
                <w:b/>
                <w:color w:val="FF0000"/>
                <w:sz w:val="20"/>
                <w:szCs w:val="20"/>
              </w:rPr>
            </w:pPr>
            <w:r w:rsidRPr="002B1658">
              <w:rPr>
                <w:rFonts w:cs="Arial"/>
                <w:szCs w:val="20"/>
              </w:rPr>
              <w:t>No</w:t>
            </w:r>
          </w:p>
        </w:tc>
      </w:tr>
      <w:tr w:rsidR="00274629" w:rsidRPr="00500C4E" w14:paraId="507422EA" w14:textId="77777777" w:rsidTr="00EA057C">
        <w:trPr>
          <w:trHeight w:val="20"/>
        </w:trPr>
        <w:tc>
          <w:tcPr>
            <w:tcW w:w="1730" w:type="pct"/>
          </w:tcPr>
          <w:p w14:paraId="29430E33" w14:textId="77777777" w:rsidR="00274629" w:rsidRPr="00EA057C" w:rsidRDefault="00274629" w:rsidP="00274629">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3E5C371B" w:rsidR="00274629" w:rsidRPr="00EA057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335CDE40" w14:textId="77777777" w:rsidTr="00EA057C">
        <w:trPr>
          <w:trHeight w:val="20"/>
        </w:trPr>
        <w:tc>
          <w:tcPr>
            <w:tcW w:w="1730" w:type="pct"/>
          </w:tcPr>
          <w:p w14:paraId="126C3B42" w14:textId="77777777" w:rsidR="00274629" w:rsidRPr="00EA057C" w:rsidRDefault="00274629" w:rsidP="00274629">
            <w:pPr>
              <w:keepNext/>
              <w:keepLines/>
              <w:spacing w:before="20" w:after="20"/>
              <w:rPr>
                <w:rFonts w:cs="Arial"/>
                <w:sz w:val="20"/>
                <w:szCs w:val="20"/>
              </w:rPr>
            </w:pPr>
            <w:r w:rsidRPr="00EA057C">
              <w:rPr>
                <w:rFonts w:cs="Arial"/>
                <w:sz w:val="20"/>
                <w:szCs w:val="20"/>
              </w:rPr>
              <w:t>DEER Base Case</w:t>
            </w:r>
          </w:p>
        </w:tc>
        <w:tc>
          <w:tcPr>
            <w:tcW w:w="3270" w:type="pct"/>
          </w:tcPr>
          <w:p w14:paraId="5D2A1B0E" w14:textId="72BAD3D5" w:rsidR="00274629" w:rsidRPr="00EA057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1F8399E1" w14:textId="77777777" w:rsidTr="00EA057C">
        <w:trPr>
          <w:trHeight w:val="20"/>
        </w:trPr>
        <w:tc>
          <w:tcPr>
            <w:tcW w:w="1730" w:type="pct"/>
          </w:tcPr>
          <w:p w14:paraId="0CC701E3" w14:textId="77777777" w:rsidR="00274629" w:rsidRPr="00EA057C" w:rsidRDefault="00274629" w:rsidP="00274629">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045D8818" w:rsidR="00274629" w:rsidRPr="00EA057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663742C6" w14:textId="77777777" w:rsidTr="00EA057C">
        <w:trPr>
          <w:trHeight w:val="20"/>
        </w:trPr>
        <w:tc>
          <w:tcPr>
            <w:tcW w:w="1730" w:type="pct"/>
          </w:tcPr>
          <w:p w14:paraId="16B2FDAB" w14:textId="77777777" w:rsidR="00274629" w:rsidRPr="00EA057C" w:rsidRDefault="00274629" w:rsidP="00274629">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133AC1FC" w:rsidR="00274629" w:rsidRPr="00EA057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424F1325" w14:textId="77777777" w:rsidTr="00EA057C">
        <w:trPr>
          <w:trHeight w:val="20"/>
        </w:trPr>
        <w:tc>
          <w:tcPr>
            <w:tcW w:w="1730" w:type="pct"/>
          </w:tcPr>
          <w:p w14:paraId="71098DDA" w14:textId="77777777" w:rsidR="00274629" w:rsidRPr="00EA057C" w:rsidRDefault="00274629" w:rsidP="00274629">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50309C0A" w:rsidR="00274629" w:rsidRPr="00EA057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0B93AD47" w14:textId="77777777" w:rsidTr="00EA057C">
        <w:trPr>
          <w:trHeight w:val="20"/>
        </w:trPr>
        <w:tc>
          <w:tcPr>
            <w:tcW w:w="1730" w:type="pct"/>
          </w:tcPr>
          <w:p w14:paraId="6E9E484F" w14:textId="77777777" w:rsidR="00274629" w:rsidRPr="00EA057C" w:rsidRDefault="00274629" w:rsidP="00274629">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73DF0E03" w:rsidR="00274629" w:rsidRPr="00EA057C" w:rsidDel="00505CEC" w:rsidRDefault="00274629" w:rsidP="00274629">
            <w:pPr>
              <w:keepNext/>
              <w:keepLines/>
              <w:spacing w:before="20" w:after="20"/>
              <w:rPr>
                <w:rFonts w:cs="Arial"/>
                <w:color w:val="FF0000"/>
                <w:sz w:val="20"/>
                <w:szCs w:val="20"/>
              </w:rPr>
            </w:pPr>
            <w:r w:rsidRPr="002B1658">
              <w:rPr>
                <w:rFonts w:cs="Arial"/>
                <w:szCs w:val="20"/>
              </w:rPr>
              <w:t>No</w:t>
            </w:r>
          </w:p>
        </w:tc>
      </w:tr>
      <w:tr w:rsidR="00274629" w:rsidRPr="00500C4E" w14:paraId="2CFDE9D3" w14:textId="77777777" w:rsidTr="00EA057C">
        <w:trPr>
          <w:trHeight w:val="180"/>
        </w:trPr>
        <w:tc>
          <w:tcPr>
            <w:tcW w:w="1730" w:type="pct"/>
          </w:tcPr>
          <w:p w14:paraId="3B6B3E22" w14:textId="77777777" w:rsidR="00274629" w:rsidRPr="00EA057C" w:rsidRDefault="00274629" w:rsidP="00274629">
            <w:pPr>
              <w:keepNext/>
              <w:keepLines/>
              <w:spacing w:before="20" w:after="20"/>
              <w:rPr>
                <w:rFonts w:cs="Arial"/>
                <w:sz w:val="20"/>
                <w:szCs w:val="20"/>
              </w:rPr>
            </w:pPr>
            <w:r w:rsidRPr="00EA057C">
              <w:rPr>
                <w:rFonts w:cs="Arial"/>
                <w:sz w:val="20"/>
                <w:szCs w:val="20"/>
              </w:rPr>
              <w:t>DEER Version</w:t>
            </w:r>
          </w:p>
        </w:tc>
        <w:tc>
          <w:tcPr>
            <w:tcW w:w="3270" w:type="pct"/>
          </w:tcPr>
          <w:p w14:paraId="1C3B60D1" w14:textId="36C001C2" w:rsidR="00274629" w:rsidRPr="00EA057C" w:rsidRDefault="001D580F" w:rsidP="00274629">
            <w:pPr>
              <w:keepNext/>
              <w:keepLines/>
              <w:spacing w:before="20" w:after="20"/>
              <w:rPr>
                <w:rFonts w:cs="Arial"/>
                <w:color w:val="FF0000"/>
                <w:sz w:val="20"/>
                <w:szCs w:val="20"/>
              </w:rPr>
            </w:pPr>
            <w:r>
              <w:rPr>
                <w:rFonts w:cstheme="minorHAnsi"/>
                <w:szCs w:val="20"/>
              </w:rPr>
              <w:t>n/a</w:t>
            </w:r>
          </w:p>
        </w:tc>
      </w:tr>
      <w:tr w:rsidR="00274629" w:rsidRPr="00500C4E" w14:paraId="3B7464D7" w14:textId="77777777" w:rsidTr="00EA057C">
        <w:trPr>
          <w:trHeight w:val="20"/>
        </w:trPr>
        <w:tc>
          <w:tcPr>
            <w:tcW w:w="1730" w:type="pct"/>
          </w:tcPr>
          <w:p w14:paraId="24000A76" w14:textId="77777777" w:rsidR="00274629" w:rsidRPr="00EA057C" w:rsidRDefault="00274629" w:rsidP="00274629">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52B3BC19" w:rsidR="00274629" w:rsidRPr="00EA057C" w:rsidRDefault="001D580F" w:rsidP="00274629">
            <w:pPr>
              <w:keepNext/>
              <w:keepLines/>
              <w:spacing w:before="20" w:after="20"/>
              <w:rPr>
                <w:rFonts w:cs="Arial"/>
                <w:color w:val="FF0000"/>
                <w:sz w:val="20"/>
                <w:szCs w:val="20"/>
              </w:rPr>
            </w:pPr>
            <w:r>
              <w:rPr>
                <w:rFonts w:cstheme="minorHAnsi"/>
                <w:szCs w:val="20"/>
              </w:rPr>
              <w:t>n/a</w:t>
            </w:r>
          </w:p>
        </w:tc>
      </w:tr>
      <w:tr w:rsidR="00274629" w:rsidRPr="00500C4E" w14:paraId="4A7EE859" w14:textId="77777777" w:rsidTr="00EA057C">
        <w:trPr>
          <w:trHeight w:val="20"/>
        </w:trPr>
        <w:tc>
          <w:tcPr>
            <w:tcW w:w="1730" w:type="pct"/>
          </w:tcPr>
          <w:p w14:paraId="7B4D686A" w14:textId="77777777" w:rsidR="00274629" w:rsidRPr="00EA057C" w:rsidRDefault="00274629" w:rsidP="00274629">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0EAC687D" w:rsidR="00274629" w:rsidRPr="00EA057C" w:rsidRDefault="001D580F" w:rsidP="00274629">
            <w:pPr>
              <w:keepNext/>
              <w:keepLines/>
              <w:spacing w:before="20" w:after="20"/>
              <w:rPr>
                <w:rFonts w:cs="Arial"/>
                <w:color w:val="FF0000"/>
                <w:sz w:val="20"/>
                <w:szCs w:val="20"/>
              </w:rPr>
            </w:pPr>
            <w:r>
              <w:rPr>
                <w:rFonts w:cstheme="minorHAnsi"/>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3741C01B" w:rsidR="00EA057C" w:rsidRPr="00EA057C" w:rsidRDefault="005A74DC">
            <w:pPr>
              <w:keepNext/>
              <w:keepLines/>
              <w:spacing w:before="20" w:after="20"/>
              <w:rPr>
                <w:rFonts w:cs="Arial"/>
                <w:sz w:val="20"/>
                <w:szCs w:val="20"/>
              </w:rPr>
            </w:pPr>
            <w:r>
              <w:rPr>
                <w:rFonts w:cs="Arial"/>
                <w:sz w:val="20"/>
                <w:szCs w:val="20"/>
              </w:rPr>
              <w:t xml:space="preserve">The NTG of </w:t>
            </w:r>
            <w:r w:rsidR="00440BCE">
              <w:rPr>
                <w:rFonts w:cs="Arial"/>
                <w:sz w:val="20"/>
                <w:szCs w:val="20"/>
              </w:rPr>
              <w:t>0.</w:t>
            </w:r>
            <w:r w:rsidR="007F4935">
              <w:rPr>
                <w:rFonts w:cs="Arial"/>
                <w:sz w:val="20"/>
                <w:szCs w:val="20"/>
              </w:rPr>
              <w:t>6</w:t>
            </w:r>
            <w:r w:rsidR="00274629">
              <w:rPr>
                <w:rFonts w:cs="Arial"/>
                <w:sz w:val="20"/>
                <w:szCs w:val="20"/>
              </w:rPr>
              <w:t>0</w:t>
            </w:r>
            <w:r>
              <w:rPr>
                <w:rFonts w:cs="Arial"/>
                <w:sz w:val="20"/>
                <w:szCs w:val="20"/>
              </w:rPr>
              <w:t xml:space="preserve"> is associated </w:t>
            </w:r>
            <w:r w:rsidRPr="007F4935">
              <w:rPr>
                <w:rFonts w:cs="Arial"/>
                <w:sz w:val="20"/>
                <w:szCs w:val="20"/>
              </w:rPr>
              <w:t xml:space="preserve">with NTG ID: </w:t>
            </w:r>
            <w:r w:rsidR="007F4935" w:rsidRPr="0030051F">
              <w:rPr>
                <w:i/>
                <w:sz w:val="20"/>
                <w:szCs w:val="20"/>
              </w:rPr>
              <w:t>Com</w:t>
            </w:r>
            <w:r w:rsidR="00274629" w:rsidRPr="0030051F">
              <w:rPr>
                <w:i/>
                <w:sz w:val="20"/>
                <w:szCs w:val="20"/>
              </w:rPr>
              <w:t>-Default</w:t>
            </w:r>
            <w:r w:rsidR="007F4935" w:rsidRPr="0030051F">
              <w:rPr>
                <w:i/>
                <w:sz w:val="20"/>
                <w:szCs w:val="20"/>
              </w:rPr>
              <w:t>&gt;</w:t>
            </w:r>
            <w:r w:rsidR="00274629" w:rsidRPr="0030051F">
              <w:rPr>
                <w:i/>
                <w:sz w:val="20"/>
                <w:szCs w:val="20"/>
              </w:rPr>
              <w:t>2yrs</w:t>
            </w:r>
            <w:r w:rsidR="007F4935" w:rsidRPr="0030051F">
              <w:rPr>
                <w:i/>
                <w:sz w:val="20"/>
                <w:szCs w:val="20"/>
              </w:rPr>
              <w:t>, Ind-Default&gt;2yrs, and Ag</w:t>
            </w:r>
            <w:r w:rsidR="001A62E8">
              <w:rPr>
                <w:i/>
                <w:sz w:val="20"/>
                <w:szCs w:val="20"/>
              </w:rPr>
              <w:t>ric</w:t>
            </w:r>
            <w:r w:rsidR="007F4935" w:rsidRPr="0030051F">
              <w:rPr>
                <w:i/>
                <w:sz w:val="20"/>
                <w:szCs w:val="20"/>
              </w:rPr>
              <w:t>-Default&gt;2yrs</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1BF7D537" w:rsidR="00EA057C" w:rsidRPr="00EA057C" w:rsidRDefault="005A74DC" w:rsidP="005A74DC">
            <w:pPr>
              <w:keepNext/>
              <w:keepLines/>
              <w:spacing w:before="20" w:after="20"/>
              <w:rPr>
                <w:rFonts w:cs="Arial"/>
                <w:sz w:val="20"/>
                <w:szCs w:val="20"/>
              </w:rPr>
            </w:pPr>
            <w:r>
              <w:rPr>
                <w:rFonts w:cs="Arial"/>
                <w:sz w:val="20"/>
                <w:szCs w:val="20"/>
              </w:rPr>
              <w:t xml:space="preserve">The GSIA of </w:t>
            </w:r>
            <w:r w:rsidR="00274629">
              <w:rPr>
                <w:rFonts w:cs="Arial"/>
                <w:sz w:val="20"/>
                <w:szCs w:val="20"/>
              </w:rPr>
              <w:t>1.0</w:t>
            </w:r>
            <w:r>
              <w:rPr>
                <w:rFonts w:cs="Arial"/>
                <w:sz w:val="20"/>
                <w:szCs w:val="20"/>
              </w:rPr>
              <w:t xml:space="preserve"> is associated with GSIA ID: </w:t>
            </w:r>
            <w:r w:rsidR="00274629">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5BD9C961" w14:textId="3D469035" w:rsidR="00EA057C" w:rsidRPr="00EA057C" w:rsidRDefault="005A74DC" w:rsidP="00EA057C">
            <w:pPr>
              <w:keepNext/>
              <w:keepLines/>
              <w:spacing w:before="20" w:after="20"/>
              <w:rPr>
                <w:rFonts w:cs="Arial"/>
                <w:sz w:val="20"/>
                <w:szCs w:val="20"/>
              </w:rPr>
            </w:pPr>
            <w:r>
              <w:rPr>
                <w:rFonts w:cs="Arial"/>
                <w:sz w:val="20"/>
                <w:szCs w:val="20"/>
              </w:rPr>
              <w:t xml:space="preserve">The value of </w:t>
            </w:r>
            <w:r w:rsidR="00440BCE">
              <w:rPr>
                <w:rFonts w:cs="Arial"/>
                <w:sz w:val="20"/>
                <w:szCs w:val="20"/>
              </w:rPr>
              <w:t>15</w:t>
            </w:r>
            <w:r>
              <w:rPr>
                <w:rFonts w:cs="Arial"/>
                <w:sz w:val="20"/>
                <w:szCs w:val="20"/>
              </w:rPr>
              <w:t xml:space="preserve"> years is associated with EUL ID: </w:t>
            </w:r>
            <w:r w:rsidR="00440BCE">
              <w:rPr>
                <w:rFonts w:cs="Arial"/>
                <w:i/>
                <w:sz w:val="20"/>
                <w:szCs w:val="20"/>
              </w:rPr>
              <w:t>Motors-pump</w:t>
            </w:r>
            <w:r>
              <w:rPr>
                <w:rFonts w:cs="Arial"/>
                <w:sz w:val="20"/>
                <w:szCs w:val="20"/>
              </w:rPr>
              <w:t>.</w:t>
            </w:r>
            <w:r w:rsidR="0095396E">
              <w:rPr>
                <w:rFonts w:cs="Arial"/>
                <w:sz w:val="20"/>
                <w:szCs w:val="20"/>
              </w:rPr>
              <w:t xml:space="preserve"> </w:t>
            </w:r>
          </w:p>
        </w:tc>
      </w:tr>
    </w:tbl>
    <w:p w14:paraId="3D440479" w14:textId="77777777" w:rsidR="00EA057C" w:rsidRDefault="00EA057C" w:rsidP="004142EF">
      <w:bookmarkStart w:id="69" w:name="_Hlk516051142"/>
    </w:p>
    <w:p w14:paraId="59542C0D" w14:textId="77777777" w:rsidR="007D230B" w:rsidRDefault="007D230B" w:rsidP="00FC1117">
      <w:pPr>
        <w:pStyle w:val="eTRMHeading3"/>
      </w:pPr>
      <w:bookmarkStart w:id="70" w:name="_Toc486490866"/>
      <w:bookmarkStart w:id="71" w:name="_Toc486580937"/>
      <w:bookmarkStart w:id="72" w:name="_Toc69149928"/>
      <w:bookmarkStart w:id="73" w:name="_Hlk516047558"/>
      <w:r w:rsidRPr="004B06E3">
        <w:t>Revision History</w:t>
      </w:r>
      <w:bookmarkEnd w:id="70"/>
      <w:bookmarkEnd w:id="71"/>
      <w:bookmarkEnd w:id="72"/>
    </w:p>
    <w:p w14:paraId="3661732B" w14:textId="2D7FB42E" w:rsidR="00CA1CB3" w:rsidRDefault="00742F88" w:rsidP="00F21ADC">
      <w:pPr>
        <w:pStyle w:val="Caption"/>
      </w:pPr>
      <w:bookmarkStart w:id="74"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CA1CB3">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063EC2" w:rsidRPr="00CA1CB3" w14:paraId="0A9DBD7D" w14:textId="04A29668" w:rsidTr="00CA1CB3">
        <w:trPr>
          <w:trHeight w:val="20"/>
        </w:trPr>
        <w:tc>
          <w:tcPr>
            <w:tcW w:w="503" w:type="pct"/>
            <w:vMerge w:val="restart"/>
          </w:tcPr>
          <w:p w14:paraId="38788C98" w14:textId="7A1BA0EE" w:rsidR="00063EC2" w:rsidRPr="00846446" w:rsidRDefault="00063EC2" w:rsidP="00871123">
            <w:pPr>
              <w:keepNext/>
              <w:keepLines/>
              <w:spacing w:before="20" w:after="20"/>
              <w:rPr>
                <w:rFonts w:cs="Arial"/>
                <w:sz w:val="20"/>
                <w:szCs w:val="20"/>
              </w:rPr>
            </w:pPr>
            <w:r w:rsidRPr="00846446">
              <w:rPr>
                <w:rFonts w:cs="Arial"/>
                <w:sz w:val="20"/>
                <w:szCs w:val="20"/>
              </w:rPr>
              <w:t>01</w:t>
            </w:r>
          </w:p>
        </w:tc>
        <w:tc>
          <w:tcPr>
            <w:tcW w:w="722" w:type="pct"/>
          </w:tcPr>
          <w:p w14:paraId="03B67B1D" w14:textId="3BD0A707" w:rsidR="00063EC2" w:rsidRPr="00846446" w:rsidRDefault="00063EC2" w:rsidP="00871123">
            <w:pPr>
              <w:keepNext/>
              <w:keepLines/>
              <w:spacing w:before="20" w:after="20"/>
              <w:rPr>
                <w:rFonts w:cs="Arial"/>
                <w:sz w:val="20"/>
                <w:szCs w:val="20"/>
              </w:rPr>
            </w:pPr>
            <w:r w:rsidRPr="00846446">
              <w:rPr>
                <w:rFonts w:cs="Arial"/>
                <w:sz w:val="20"/>
                <w:szCs w:val="20"/>
              </w:rPr>
              <w:t>06/30/2018</w:t>
            </w:r>
          </w:p>
        </w:tc>
        <w:tc>
          <w:tcPr>
            <w:tcW w:w="842" w:type="pct"/>
          </w:tcPr>
          <w:p w14:paraId="24160CE8" w14:textId="21E11821" w:rsidR="00063EC2" w:rsidRPr="00846446" w:rsidRDefault="00063EC2" w:rsidP="00871123">
            <w:pPr>
              <w:keepNext/>
              <w:keepLines/>
              <w:spacing w:before="20" w:after="20"/>
              <w:rPr>
                <w:rFonts w:cs="Arial"/>
                <w:sz w:val="20"/>
                <w:szCs w:val="20"/>
              </w:rPr>
            </w:pPr>
            <w:r w:rsidRPr="00846446">
              <w:rPr>
                <w:rFonts w:cs="Arial"/>
                <w:sz w:val="20"/>
                <w:szCs w:val="20"/>
              </w:rPr>
              <w:t>Jennifer Holmes</w:t>
            </w:r>
          </w:p>
          <w:p w14:paraId="32D154D7" w14:textId="0FB8154E" w:rsidR="00063EC2" w:rsidRPr="00846446" w:rsidRDefault="00063EC2" w:rsidP="00871123">
            <w:pPr>
              <w:keepNext/>
              <w:keepLines/>
              <w:spacing w:before="20" w:after="20"/>
              <w:rPr>
                <w:rFonts w:cs="Arial"/>
                <w:sz w:val="20"/>
                <w:szCs w:val="20"/>
              </w:rPr>
            </w:pPr>
            <w:r w:rsidRPr="00846446">
              <w:rPr>
                <w:rFonts w:cs="Arial"/>
                <w:sz w:val="20"/>
                <w:szCs w:val="20"/>
              </w:rPr>
              <w:t>Cal TF Staff</w:t>
            </w:r>
          </w:p>
        </w:tc>
        <w:tc>
          <w:tcPr>
            <w:tcW w:w="2933" w:type="pct"/>
          </w:tcPr>
          <w:p w14:paraId="0C93091A" w14:textId="77777777" w:rsidR="00063EC2" w:rsidRDefault="00063EC2" w:rsidP="00871123">
            <w:pPr>
              <w:keepNext/>
              <w:keepLines/>
              <w:spacing w:before="20" w:after="20"/>
              <w:rPr>
                <w:rFonts w:cs="Arial"/>
                <w:sz w:val="20"/>
                <w:szCs w:val="20"/>
              </w:rPr>
            </w:pPr>
            <w:r>
              <w:rPr>
                <w:rFonts w:cs="Arial"/>
                <w:sz w:val="20"/>
                <w:szCs w:val="20"/>
              </w:rPr>
              <w:t>Draft of consolidated text for this statewide measure is based upon:</w:t>
            </w:r>
          </w:p>
          <w:p w14:paraId="631B06C1" w14:textId="4B465513" w:rsidR="00063EC2" w:rsidRDefault="00063EC2" w:rsidP="00871123">
            <w:pPr>
              <w:keepNext/>
              <w:keepLines/>
              <w:spacing w:before="20" w:after="20"/>
              <w:rPr>
                <w:rFonts w:cs="Arial"/>
                <w:sz w:val="20"/>
                <w:szCs w:val="20"/>
              </w:rPr>
            </w:pPr>
            <w:r>
              <w:rPr>
                <w:rFonts w:cs="Arial"/>
                <w:sz w:val="20"/>
                <w:szCs w:val="20"/>
              </w:rPr>
              <w:t>SCE17HC055 Revision 0 (November 16, 2017)</w:t>
            </w:r>
          </w:p>
          <w:p w14:paraId="08AE5623" w14:textId="4FA6192B" w:rsidR="00063EC2" w:rsidRDefault="00063EC2" w:rsidP="00871123">
            <w:pPr>
              <w:keepNext/>
              <w:keepLines/>
              <w:spacing w:before="20" w:after="20"/>
              <w:rPr>
                <w:rFonts w:cs="Arial"/>
                <w:sz w:val="20"/>
                <w:szCs w:val="20"/>
              </w:rPr>
            </w:pPr>
            <w:r>
              <w:rPr>
                <w:rFonts w:cs="Arial"/>
                <w:sz w:val="20"/>
                <w:szCs w:val="20"/>
              </w:rPr>
              <w:t>SCE13HC055 Revision 0 (September 19, 2014)</w:t>
            </w:r>
          </w:p>
          <w:p w14:paraId="6C70C36F" w14:textId="1F5DBDD3" w:rsidR="00063EC2" w:rsidRPr="00CA1CB3" w:rsidRDefault="00063EC2" w:rsidP="001D580F">
            <w:pPr>
              <w:keepNext/>
              <w:keepLines/>
              <w:spacing w:before="20" w:after="20"/>
              <w:rPr>
                <w:rFonts w:cs="Arial"/>
                <w:sz w:val="20"/>
                <w:szCs w:val="20"/>
              </w:rPr>
            </w:pPr>
            <w:r>
              <w:rPr>
                <w:rFonts w:cs="Arial"/>
                <w:sz w:val="20"/>
                <w:szCs w:val="20"/>
              </w:rPr>
              <w:t>Consensus reached among Cal TF members.</w:t>
            </w:r>
            <w:r w:rsidRPr="00CA1CB3">
              <w:rPr>
                <w:rFonts w:cs="Arial"/>
                <w:sz w:val="20"/>
                <w:szCs w:val="20"/>
              </w:rPr>
              <w:t xml:space="preserve"> </w:t>
            </w:r>
          </w:p>
        </w:tc>
      </w:tr>
      <w:tr w:rsidR="00063EC2" w:rsidRPr="00CA1CB3" w14:paraId="5EB2209E" w14:textId="77777777" w:rsidTr="00CA1CB3">
        <w:trPr>
          <w:trHeight w:val="20"/>
        </w:trPr>
        <w:tc>
          <w:tcPr>
            <w:tcW w:w="503" w:type="pct"/>
            <w:vMerge/>
          </w:tcPr>
          <w:p w14:paraId="5072925A" w14:textId="4F5826E3" w:rsidR="00063EC2" w:rsidRPr="00846446" w:rsidRDefault="00063EC2" w:rsidP="00871123">
            <w:pPr>
              <w:keepNext/>
              <w:keepLines/>
              <w:spacing w:before="20" w:after="20"/>
              <w:rPr>
                <w:rFonts w:cs="Arial"/>
                <w:sz w:val="20"/>
                <w:szCs w:val="20"/>
              </w:rPr>
            </w:pPr>
          </w:p>
        </w:tc>
        <w:tc>
          <w:tcPr>
            <w:tcW w:w="722" w:type="pct"/>
          </w:tcPr>
          <w:p w14:paraId="5665645B" w14:textId="2A0F983E" w:rsidR="00063EC2" w:rsidRPr="00846446" w:rsidRDefault="00063EC2" w:rsidP="00871123">
            <w:pPr>
              <w:keepNext/>
              <w:keepLines/>
              <w:spacing w:before="20" w:after="20"/>
              <w:rPr>
                <w:rFonts w:cs="Arial"/>
                <w:sz w:val="20"/>
                <w:szCs w:val="20"/>
              </w:rPr>
            </w:pPr>
            <w:r>
              <w:rPr>
                <w:rFonts w:cs="Arial"/>
                <w:sz w:val="20"/>
                <w:szCs w:val="20"/>
              </w:rPr>
              <w:t>3/28/2019</w:t>
            </w:r>
          </w:p>
        </w:tc>
        <w:tc>
          <w:tcPr>
            <w:tcW w:w="842" w:type="pct"/>
          </w:tcPr>
          <w:p w14:paraId="0AC7D2D9" w14:textId="729A255D" w:rsidR="00063EC2" w:rsidRPr="00846446" w:rsidRDefault="00063EC2" w:rsidP="00871123">
            <w:pPr>
              <w:keepNext/>
              <w:keepLines/>
              <w:spacing w:before="20" w:after="20"/>
              <w:rPr>
                <w:rFonts w:cs="Arial"/>
                <w:sz w:val="20"/>
                <w:szCs w:val="20"/>
              </w:rPr>
            </w:pPr>
            <w:r>
              <w:rPr>
                <w:rFonts w:cs="Arial"/>
                <w:sz w:val="20"/>
                <w:szCs w:val="20"/>
              </w:rPr>
              <w:t>Jesse Manao</w:t>
            </w:r>
          </w:p>
        </w:tc>
        <w:tc>
          <w:tcPr>
            <w:tcW w:w="2933" w:type="pct"/>
          </w:tcPr>
          <w:p w14:paraId="10F9BBC1" w14:textId="1B63D852" w:rsidR="00063EC2" w:rsidRDefault="00063EC2" w:rsidP="00871123">
            <w:pPr>
              <w:keepNext/>
              <w:keepLines/>
              <w:spacing w:before="20" w:after="20"/>
              <w:rPr>
                <w:rFonts w:cs="Arial"/>
                <w:sz w:val="20"/>
                <w:szCs w:val="20"/>
              </w:rPr>
            </w:pPr>
            <w:r>
              <w:rPr>
                <w:rFonts w:cs="Arial"/>
                <w:sz w:val="20"/>
                <w:szCs w:val="20"/>
              </w:rPr>
              <w:t>Text and cost data updated using the latest workpaper:</w:t>
            </w:r>
          </w:p>
          <w:p w14:paraId="2EF095DE" w14:textId="23B59920" w:rsidR="00063EC2" w:rsidRDefault="00063EC2" w:rsidP="00871123">
            <w:pPr>
              <w:keepNext/>
              <w:keepLines/>
              <w:spacing w:before="20" w:after="20"/>
              <w:rPr>
                <w:rFonts w:cs="Arial"/>
                <w:sz w:val="20"/>
                <w:szCs w:val="20"/>
              </w:rPr>
            </w:pPr>
            <w:r>
              <w:rPr>
                <w:rFonts w:cs="Arial"/>
                <w:sz w:val="20"/>
                <w:szCs w:val="20"/>
              </w:rPr>
              <w:t>SCE17HC055 Revision 2 (May 9, 2018)</w:t>
            </w:r>
          </w:p>
        </w:tc>
      </w:tr>
      <w:tr w:rsidR="006D0B48" w:rsidRPr="00CA1CB3" w14:paraId="1A1B2AFF" w14:textId="77777777" w:rsidTr="00CA1CB3">
        <w:trPr>
          <w:trHeight w:val="20"/>
        </w:trPr>
        <w:tc>
          <w:tcPr>
            <w:tcW w:w="503" w:type="pct"/>
            <w:vMerge w:val="restart"/>
          </w:tcPr>
          <w:p w14:paraId="23A30258" w14:textId="0CB784E7" w:rsidR="006D0B48" w:rsidRPr="00846446" w:rsidRDefault="006D0B48" w:rsidP="00871123">
            <w:pPr>
              <w:keepNext/>
              <w:keepLines/>
              <w:spacing w:before="20" w:after="20"/>
              <w:rPr>
                <w:rFonts w:cs="Arial"/>
                <w:sz w:val="20"/>
                <w:szCs w:val="20"/>
              </w:rPr>
            </w:pPr>
            <w:r>
              <w:rPr>
                <w:rFonts w:cs="Arial"/>
                <w:sz w:val="20"/>
                <w:szCs w:val="20"/>
              </w:rPr>
              <w:t>02</w:t>
            </w:r>
          </w:p>
        </w:tc>
        <w:tc>
          <w:tcPr>
            <w:tcW w:w="722" w:type="pct"/>
          </w:tcPr>
          <w:p w14:paraId="3F9DA1F1" w14:textId="2CFAC946" w:rsidR="006D0B48" w:rsidRDefault="006D0B48" w:rsidP="00871123">
            <w:pPr>
              <w:keepNext/>
              <w:keepLines/>
              <w:spacing w:before="20" w:after="20"/>
              <w:rPr>
                <w:rFonts w:cs="Arial"/>
                <w:sz w:val="20"/>
                <w:szCs w:val="20"/>
              </w:rPr>
            </w:pPr>
            <w:r>
              <w:rPr>
                <w:rFonts w:cs="Arial"/>
                <w:sz w:val="20"/>
                <w:szCs w:val="20"/>
              </w:rPr>
              <w:t>11/13/2020</w:t>
            </w:r>
          </w:p>
        </w:tc>
        <w:tc>
          <w:tcPr>
            <w:tcW w:w="842" w:type="pct"/>
          </w:tcPr>
          <w:p w14:paraId="78996558" w14:textId="77777777" w:rsidR="006D0B48" w:rsidRDefault="006D0B48" w:rsidP="00871123">
            <w:pPr>
              <w:keepNext/>
              <w:keepLines/>
              <w:spacing w:before="20" w:after="20"/>
              <w:rPr>
                <w:rFonts w:cs="Arial"/>
                <w:sz w:val="20"/>
                <w:szCs w:val="20"/>
              </w:rPr>
            </w:pPr>
            <w:r>
              <w:rPr>
                <w:rFonts w:cs="Arial"/>
                <w:sz w:val="20"/>
                <w:szCs w:val="20"/>
              </w:rPr>
              <w:t>Rich Williams</w:t>
            </w:r>
          </w:p>
          <w:p w14:paraId="02FCBF0C" w14:textId="77777777" w:rsidR="006D0B48" w:rsidRDefault="006D0B48" w:rsidP="00871123">
            <w:pPr>
              <w:keepNext/>
              <w:keepLines/>
              <w:spacing w:before="20" w:after="20"/>
              <w:rPr>
                <w:rFonts w:cs="Arial"/>
                <w:sz w:val="20"/>
                <w:szCs w:val="20"/>
              </w:rPr>
            </w:pPr>
            <w:r>
              <w:rPr>
                <w:rFonts w:cs="Arial"/>
                <w:sz w:val="20"/>
                <w:szCs w:val="20"/>
              </w:rPr>
              <w:t xml:space="preserve">TRC </w:t>
            </w:r>
          </w:p>
          <w:p w14:paraId="0A4CAB93" w14:textId="77777777" w:rsidR="006D0B48" w:rsidRDefault="006D0B48" w:rsidP="00871123">
            <w:pPr>
              <w:keepNext/>
              <w:keepLines/>
              <w:spacing w:before="20" w:after="20"/>
              <w:rPr>
                <w:rFonts w:cs="Arial"/>
                <w:sz w:val="20"/>
                <w:szCs w:val="20"/>
              </w:rPr>
            </w:pPr>
          </w:p>
          <w:p w14:paraId="03AE2962" w14:textId="77777777" w:rsidR="006D0B48" w:rsidRDefault="006D0B48" w:rsidP="00871123">
            <w:pPr>
              <w:keepNext/>
              <w:keepLines/>
              <w:spacing w:before="20" w:after="20"/>
              <w:rPr>
                <w:rFonts w:cs="Arial"/>
                <w:sz w:val="20"/>
                <w:szCs w:val="20"/>
              </w:rPr>
            </w:pPr>
            <w:r>
              <w:rPr>
                <w:rFonts w:cs="Arial"/>
                <w:sz w:val="20"/>
                <w:szCs w:val="20"/>
              </w:rPr>
              <w:t>Kara Vega</w:t>
            </w:r>
          </w:p>
          <w:p w14:paraId="1D5A6854" w14:textId="66A20DD3" w:rsidR="006D0B48" w:rsidRDefault="006D0B48" w:rsidP="00871123">
            <w:pPr>
              <w:keepNext/>
              <w:keepLines/>
              <w:spacing w:before="20" w:after="20"/>
              <w:rPr>
                <w:rFonts w:cs="Arial"/>
                <w:sz w:val="20"/>
                <w:szCs w:val="20"/>
              </w:rPr>
            </w:pPr>
            <w:r>
              <w:rPr>
                <w:rFonts w:cs="Arial"/>
                <w:sz w:val="20"/>
                <w:szCs w:val="20"/>
              </w:rPr>
              <w:t>TRC</w:t>
            </w:r>
          </w:p>
        </w:tc>
        <w:tc>
          <w:tcPr>
            <w:tcW w:w="2933" w:type="pct"/>
          </w:tcPr>
          <w:p w14:paraId="78B9B9DE" w14:textId="2C085B85" w:rsidR="006D0B48" w:rsidRDefault="006D0B48" w:rsidP="00871123">
            <w:pPr>
              <w:keepNext/>
              <w:keepLines/>
              <w:spacing w:before="20" w:after="20"/>
              <w:rPr>
                <w:rFonts w:cs="Arial"/>
                <w:sz w:val="20"/>
                <w:szCs w:val="20"/>
              </w:rPr>
            </w:pPr>
            <w:r>
              <w:rPr>
                <w:rFonts w:cs="Arial"/>
                <w:sz w:val="20"/>
                <w:szCs w:val="20"/>
              </w:rPr>
              <w:t xml:space="preserve">Updated costs based on vendor material costs and labor costs based on hourly RS Means 2020 labor rates. </w:t>
            </w:r>
          </w:p>
          <w:p w14:paraId="047A254A" w14:textId="57ABD608" w:rsidR="006D0B48" w:rsidRDefault="006D0B48" w:rsidP="00871123">
            <w:pPr>
              <w:keepNext/>
              <w:keepLines/>
              <w:spacing w:before="20" w:after="20"/>
              <w:rPr>
                <w:rFonts w:cs="Arial"/>
                <w:sz w:val="20"/>
                <w:szCs w:val="20"/>
              </w:rPr>
            </w:pPr>
            <w:r>
              <w:rPr>
                <w:rFonts w:cs="Arial"/>
                <w:sz w:val="20"/>
                <w:szCs w:val="20"/>
              </w:rPr>
              <w:t>Updated energy savings calculations based on 2017 ASHRAE handbook ambient design air temperatures for CZ reference sites.</w:t>
            </w:r>
          </w:p>
          <w:p w14:paraId="306126D3" w14:textId="67E121BC" w:rsidR="006D0B48" w:rsidRDefault="006D0B48" w:rsidP="00871123">
            <w:pPr>
              <w:keepNext/>
              <w:keepLines/>
              <w:spacing w:before="20" w:after="20"/>
              <w:rPr>
                <w:rFonts w:cs="Arial"/>
                <w:sz w:val="20"/>
                <w:szCs w:val="20"/>
              </w:rPr>
            </w:pPr>
            <w:r>
              <w:rPr>
                <w:rFonts w:cs="Arial"/>
                <w:sz w:val="20"/>
                <w:szCs w:val="20"/>
              </w:rPr>
              <w:t xml:space="preserve">Measure offerings SWPR004E and SWPR004F were removed from the workpaper due to negative incremental measure costs. </w:t>
            </w:r>
          </w:p>
        </w:tc>
      </w:tr>
      <w:tr w:rsidR="00FE10D6" w:rsidRPr="00CA1CB3" w14:paraId="3922E5D1" w14:textId="77777777" w:rsidTr="007B4316">
        <w:trPr>
          <w:trHeight w:val="20"/>
        </w:trPr>
        <w:tc>
          <w:tcPr>
            <w:tcW w:w="503" w:type="pct"/>
            <w:vMerge/>
          </w:tcPr>
          <w:p w14:paraId="1D5C2213" w14:textId="77777777" w:rsidR="00FE10D6" w:rsidRDefault="00FE10D6" w:rsidP="00FE10D6">
            <w:pPr>
              <w:keepNext/>
              <w:keepLines/>
              <w:spacing w:before="20" w:after="20"/>
              <w:rPr>
                <w:rFonts w:cs="Arial"/>
                <w:sz w:val="20"/>
                <w:szCs w:val="20"/>
              </w:rPr>
            </w:pPr>
          </w:p>
        </w:tc>
        <w:tc>
          <w:tcPr>
            <w:tcW w:w="722" w:type="pct"/>
          </w:tcPr>
          <w:p w14:paraId="7293ED32" w14:textId="1C80213E" w:rsidR="00FE10D6" w:rsidRDefault="00FE10D6" w:rsidP="00FE10D6">
            <w:pPr>
              <w:keepNext/>
              <w:keepLines/>
              <w:spacing w:before="20" w:after="20"/>
              <w:rPr>
                <w:rFonts w:cs="Arial"/>
                <w:sz w:val="20"/>
                <w:szCs w:val="20"/>
              </w:rPr>
            </w:pPr>
            <w:r>
              <w:rPr>
                <w:rFonts w:cs="Arial"/>
                <w:sz w:val="20"/>
                <w:szCs w:val="20"/>
              </w:rPr>
              <w:t>07/06/2021</w:t>
            </w:r>
          </w:p>
        </w:tc>
        <w:tc>
          <w:tcPr>
            <w:tcW w:w="842" w:type="pct"/>
          </w:tcPr>
          <w:p w14:paraId="6486DDA1" w14:textId="77777777" w:rsidR="00FE10D6" w:rsidRDefault="00FE10D6" w:rsidP="00FE10D6">
            <w:pPr>
              <w:keepNext/>
              <w:keepLines/>
              <w:spacing w:before="20" w:after="20"/>
              <w:rPr>
                <w:rFonts w:cs="Arial"/>
                <w:sz w:val="20"/>
                <w:szCs w:val="20"/>
              </w:rPr>
            </w:pPr>
            <w:r>
              <w:rPr>
                <w:rFonts w:cs="Arial"/>
                <w:sz w:val="20"/>
                <w:szCs w:val="20"/>
              </w:rPr>
              <w:t>Adan Rosillo</w:t>
            </w:r>
          </w:p>
          <w:p w14:paraId="2FFF7D25" w14:textId="3A43C7D1" w:rsidR="00FE10D6" w:rsidRDefault="00FE10D6" w:rsidP="00FE10D6">
            <w:pPr>
              <w:keepNext/>
              <w:keepLines/>
              <w:spacing w:before="20" w:after="20"/>
              <w:rPr>
                <w:rFonts w:cs="Arial"/>
                <w:sz w:val="20"/>
                <w:szCs w:val="20"/>
              </w:rPr>
            </w:pPr>
            <w:r>
              <w:rPr>
                <w:rFonts w:cs="Arial"/>
                <w:sz w:val="20"/>
                <w:szCs w:val="20"/>
              </w:rPr>
              <w:t>PG&amp;E</w:t>
            </w:r>
          </w:p>
        </w:tc>
        <w:tc>
          <w:tcPr>
            <w:tcW w:w="2933" w:type="pct"/>
            <w:vAlign w:val="center"/>
          </w:tcPr>
          <w:p w14:paraId="7770B028" w14:textId="69FC60D6" w:rsidR="00FE10D6" w:rsidRDefault="00FE10D6" w:rsidP="00FE10D6">
            <w:pPr>
              <w:keepNext/>
              <w:keepLines/>
              <w:spacing w:before="20" w:after="20"/>
              <w:rPr>
                <w:rFonts w:cs="Arial"/>
                <w:sz w:val="20"/>
                <w:szCs w:val="20"/>
              </w:rPr>
            </w:pPr>
            <w:r>
              <w:rPr>
                <w:rFonts w:cs="Calibri Light"/>
                <w:sz w:val="20"/>
                <w:szCs w:val="20"/>
              </w:rPr>
              <w:t>Added PG&amp;E’s measure codes to adopt indicated measures.</w:t>
            </w:r>
          </w:p>
        </w:tc>
      </w:tr>
      <w:bookmarkEnd w:id="69"/>
      <w:bookmarkEnd w:id="73"/>
      <w:bookmarkEnd w:id="74"/>
    </w:tbl>
    <w:p w14:paraId="5C9CAB2A" w14:textId="57A4A72A" w:rsidR="00085726" w:rsidRDefault="00085726" w:rsidP="00387072"/>
    <w:sectPr w:rsidR="00085726" w:rsidSect="005F505E">
      <w:headerReference w:type="default" r:id="rId16"/>
      <w:headerReference w:type="firs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30131" w14:textId="77777777" w:rsidR="005E4145" w:rsidRDefault="005E4145" w:rsidP="00A2690C">
      <w:r>
        <w:separator/>
      </w:r>
    </w:p>
    <w:p w14:paraId="4DA170AB" w14:textId="77777777" w:rsidR="005E4145" w:rsidRDefault="005E4145"/>
  </w:endnote>
  <w:endnote w:type="continuationSeparator" w:id="0">
    <w:p w14:paraId="62532B5F" w14:textId="77777777" w:rsidR="005E4145" w:rsidRDefault="005E4145" w:rsidP="00A2690C">
      <w:r>
        <w:continuationSeparator/>
      </w:r>
    </w:p>
    <w:p w14:paraId="2BB3D3B3" w14:textId="77777777" w:rsidR="005E4145" w:rsidRDefault="005E4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FA0E2F" w:rsidRDefault="00FA0E2F"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0" name="Picture 20"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FA0E2F" w:rsidRPr="00B837C1" w:rsidRDefault="00FA0E2F"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FA0E2F" w:rsidRDefault="00FA0E2F"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1" name="Picture 2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FA0E2F" w:rsidRPr="00B837C1" w:rsidRDefault="00FA0E2F"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17</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FA0E2F" w:rsidRDefault="00FA0E2F"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23" name="Picture 2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FA0E2F" w:rsidRPr="005F505E" w:rsidRDefault="00FA0E2F"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AE2EC" w14:textId="77777777" w:rsidR="005E4145" w:rsidRDefault="005E4145" w:rsidP="00A2690C">
      <w:r>
        <w:separator/>
      </w:r>
    </w:p>
    <w:p w14:paraId="7AC04A74" w14:textId="77777777" w:rsidR="005E4145" w:rsidRDefault="005E4145"/>
  </w:footnote>
  <w:footnote w:type="continuationSeparator" w:id="0">
    <w:p w14:paraId="0299D4C2" w14:textId="77777777" w:rsidR="005E4145" w:rsidRDefault="005E4145" w:rsidP="00A2690C">
      <w:r>
        <w:continuationSeparator/>
      </w:r>
    </w:p>
    <w:p w14:paraId="6283C814" w14:textId="77777777" w:rsidR="005E4145" w:rsidRDefault="005E4145"/>
  </w:footnote>
  <w:footnote w:id="1">
    <w:p w14:paraId="07474EBF" w14:textId="511EFC7D" w:rsidR="00FA0E2F" w:rsidRDefault="00FA0E2F" w:rsidP="003F5736">
      <w:pPr>
        <w:pStyle w:val="FootnoteText"/>
      </w:pPr>
      <w:r w:rsidRPr="0030051F">
        <w:rPr>
          <w:rStyle w:val="FootnoteReference"/>
        </w:rPr>
        <w:footnoteRef/>
      </w:r>
      <w:r w:rsidRPr="0030051F">
        <w:t xml:space="preserve"> </w:t>
      </w:r>
      <w:r w:rsidRPr="00F24B17">
        <w:t>Bonneville Power Administration</w:t>
      </w:r>
      <w:r>
        <w:t xml:space="preserve"> (BPA)</w:t>
      </w:r>
      <w:r w:rsidRPr="00F24B17">
        <w:t>. (n.d.) “Energy Efficient Stationary Engine Block Heater.”</w:t>
      </w:r>
    </w:p>
  </w:footnote>
  <w:footnote w:id="2">
    <w:p w14:paraId="7B8D5F12" w14:textId="77777777" w:rsidR="00FA0E2F" w:rsidRDefault="00FA0E2F" w:rsidP="003F5736">
      <w:pPr>
        <w:pStyle w:val="FootnoteText"/>
      </w:pPr>
      <w:r>
        <w:rPr>
          <w:rStyle w:val="FootnoteReference"/>
        </w:rPr>
        <w:footnoteRef/>
      </w:r>
      <w:r>
        <w:t xml:space="preserve"> </w:t>
      </w:r>
      <w:proofErr w:type="spellStart"/>
      <w:r>
        <w:t>Avista</w:t>
      </w:r>
      <w:proofErr w:type="spellEnd"/>
      <w:r>
        <w:t xml:space="preserve">. 2012. </w:t>
      </w:r>
      <w:r w:rsidRPr="003F5736">
        <w:rPr>
          <w:i/>
        </w:rPr>
        <w:t>Pump-Driven Block Heaters: A Study in Energy Efficiency</w:t>
      </w:r>
      <w:r>
        <w:rPr>
          <w:i/>
        </w:rPr>
        <w:t>.</w:t>
      </w:r>
    </w:p>
  </w:footnote>
  <w:footnote w:id="3">
    <w:p w14:paraId="5A873A1D" w14:textId="77777777" w:rsidR="00FA0E2F" w:rsidRDefault="00FA0E2F" w:rsidP="00154798">
      <w:pPr>
        <w:pStyle w:val="FootnoteText"/>
      </w:pPr>
      <w:r>
        <w:rPr>
          <w:rStyle w:val="FootnoteReference"/>
        </w:rPr>
        <w:footnoteRef/>
      </w:r>
      <w:r>
        <w:t xml:space="preserve"> </w:t>
      </w:r>
      <w:r w:rsidRPr="000D18DF">
        <w:t>Southern California Edison (SCE). 2017. "SCE17HC055.0 Circulating Block Heater - Savings Analysis and Estimates.xlsx."</w:t>
      </w:r>
    </w:p>
  </w:footnote>
  <w:footnote w:id="4">
    <w:p w14:paraId="10CD54C9" w14:textId="77777777" w:rsidR="00FA0E2F" w:rsidRDefault="00FA0E2F" w:rsidP="00154798">
      <w:pPr>
        <w:pStyle w:val="FootnoteText"/>
      </w:pPr>
      <w:r>
        <w:rPr>
          <w:rStyle w:val="FootnoteReference"/>
        </w:rPr>
        <w:footnoteRef/>
      </w:r>
      <w:r>
        <w:t xml:space="preserve"> </w:t>
      </w:r>
      <w:r w:rsidRPr="00437CE2">
        <w:t xml:space="preserve">Southern California Edison (SCE). 2009. </w:t>
      </w:r>
      <w:r w:rsidRPr="00620489">
        <w:rPr>
          <w:i/>
        </w:rPr>
        <w:t>Air Source Heat Pump for Preheating of Emergency Diesel Backup Generators.</w:t>
      </w:r>
      <w:r w:rsidRPr="00437CE2">
        <w:t xml:space="preserve"> ET08SCE1020.</w:t>
      </w:r>
    </w:p>
  </w:footnote>
  <w:footnote w:id="5">
    <w:p w14:paraId="303A6C3A" w14:textId="77777777" w:rsidR="00FA0E2F" w:rsidRDefault="00FA0E2F" w:rsidP="00154798">
      <w:pPr>
        <w:pStyle w:val="FootnoteText"/>
      </w:pPr>
      <w:r>
        <w:rPr>
          <w:rStyle w:val="FootnoteReference"/>
        </w:rPr>
        <w:footnoteRef/>
      </w:r>
      <w:r>
        <w:t xml:space="preserve"> </w:t>
      </w:r>
      <w:r w:rsidRPr="00437CE2">
        <w:t xml:space="preserve">Pacific Gas &amp; Electric (PG&amp;E). 2014. </w:t>
      </w:r>
      <w:r w:rsidRPr="00620489">
        <w:rPr>
          <w:i/>
        </w:rPr>
        <w:t>Forced Circulation Engine Generator Block Heater Energy Performance Assessment.</w:t>
      </w:r>
      <w:r w:rsidRPr="00437CE2">
        <w:t xml:space="preserve"> ET Project Number: ET13PGE1091.</w:t>
      </w:r>
    </w:p>
  </w:footnote>
  <w:footnote w:id="6">
    <w:p w14:paraId="2F573935" w14:textId="77777777" w:rsidR="00FA0E2F" w:rsidRDefault="00FA0E2F" w:rsidP="002264DF">
      <w:pPr>
        <w:pStyle w:val="FootnoteText"/>
      </w:pPr>
      <w:r>
        <w:rPr>
          <w:rStyle w:val="FootnoteReference"/>
        </w:rPr>
        <w:footnoteRef/>
      </w:r>
      <w:r>
        <w:t xml:space="preserve"> PCDC was reported to have a baseline heater size of 12 kW; this value is anomalously large and not consistent with other observable data.  Based on measured kW and usage levels, a heater size of 6 is more plausible and more consistent.</w:t>
      </w:r>
    </w:p>
  </w:footnote>
  <w:footnote w:id="7">
    <w:p w14:paraId="08FBB3B1" w14:textId="3688F7B1" w:rsidR="00FA0E2F" w:rsidRDefault="00FA0E2F">
      <w:pPr>
        <w:pStyle w:val="FootnoteText"/>
      </w:pPr>
      <w:r>
        <w:rPr>
          <w:rStyle w:val="FootnoteReference"/>
        </w:rPr>
        <w:footnoteRef/>
      </w:r>
      <w:r>
        <w:t xml:space="preserve"> Outside air temperature data are based on DEER 2022 Outside dry-bulb temperature data.</w:t>
      </w:r>
    </w:p>
  </w:footnote>
  <w:footnote w:id="8">
    <w:p w14:paraId="63586D7A" w14:textId="5294E93D" w:rsidR="00FA0E2F" w:rsidRDefault="00FA0E2F">
      <w:pPr>
        <w:pStyle w:val="FootnoteText"/>
      </w:pPr>
      <w:r>
        <w:rPr>
          <w:rStyle w:val="FootnoteReference"/>
        </w:rPr>
        <w:footnoteRef/>
      </w:r>
      <w:r>
        <w:t xml:space="preserve"> Southern California </w:t>
      </w:r>
      <w:proofErr w:type="spellStart"/>
      <w:r>
        <w:t>Edision</w:t>
      </w:r>
      <w:proofErr w:type="spellEnd"/>
      <w:r>
        <w:t xml:space="preserve"> (SCE). 2020. “SWPR004-02 </w:t>
      </w:r>
      <w:r w:rsidRPr="008D12F6">
        <w:t xml:space="preserve">Sensitivity </w:t>
      </w:r>
      <w:proofErr w:type="spellStart"/>
      <w:r w:rsidRPr="008D12F6">
        <w:t>Analysis</w:t>
      </w:r>
      <w:r>
        <w:t>.xslx</w:t>
      </w:r>
      <w:proofErr w:type="spellEnd"/>
      <w:r>
        <w:t>.”</w:t>
      </w:r>
    </w:p>
  </w:footnote>
  <w:footnote w:id="9">
    <w:p w14:paraId="1EAEEF3B" w14:textId="0BE229C8" w:rsidR="00FA0E2F" w:rsidRDefault="00FA0E2F" w:rsidP="00932601">
      <w:pPr>
        <w:pStyle w:val="FootnoteText"/>
      </w:pPr>
      <w:r>
        <w:rPr>
          <w:rStyle w:val="FootnoteReference"/>
        </w:rPr>
        <w:footnoteRef/>
      </w:r>
      <w:r>
        <w:t xml:space="preserve"> </w:t>
      </w:r>
      <w:r w:rsidRPr="009140AF">
        <w:t xml:space="preserve">Southern California Edison (SCE). </w:t>
      </w:r>
      <w:r>
        <w:t>2020</w:t>
      </w:r>
      <w:r w:rsidRPr="009140AF">
        <w:t>. "</w:t>
      </w:r>
      <w:r>
        <w:t>SWPR0040-02</w:t>
      </w:r>
      <w:r w:rsidRPr="009140AF">
        <w:t xml:space="preserve"> Cost Analysis.xlsx."</w:t>
      </w:r>
    </w:p>
  </w:footnote>
  <w:footnote w:id="10">
    <w:p w14:paraId="6B1CEB9F" w14:textId="77777777" w:rsidR="00FA0E2F" w:rsidRDefault="00FA0E2F" w:rsidP="00932601">
      <w:pPr>
        <w:pStyle w:val="FootnoteText"/>
      </w:pPr>
      <w:r>
        <w:rPr>
          <w:rStyle w:val="FootnoteReference"/>
        </w:rPr>
        <w:footnoteRef/>
      </w:r>
      <w:r>
        <w:t xml:space="preserve"> </w:t>
      </w:r>
      <w:r w:rsidRPr="009140AF">
        <w:t xml:space="preserve">Southern California Edison (SCE). </w:t>
      </w:r>
      <w:r>
        <w:t>2020</w:t>
      </w:r>
      <w:r w:rsidRPr="009140AF">
        <w:t>. "</w:t>
      </w:r>
      <w:r>
        <w:t>SWPR0040-02</w:t>
      </w:r>
      <w:r w:rsidRPr="009140AF">
        <w:t xml:space="preserve"> Cost Analysis.xlsx."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FA0E2F" w:rsidRPr="000220A0" w:rsidRDefault="00FA0E2F"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0B4A01DF" w:rsidR="00FA0E2F" w:rsidRDefault="00FA0E2F">
    <w:pPr>
      <w:pStyle w:val="Header"/>
    </w:pPr>
    <w:r>
      <w:rPr>
        <w:rFonts w:ascii="Calibri Light" w:hAnsi="Calibri Light"/>
      </w:rPr>
      <w:t>PROCESS</w:t>
    </w:r>
    <w:r w:rsidDel="002F1724">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cs="Calibri Light"/>
        <w:b/>
      </w:rPr>
      <w:t>Circulating Block Heater</w:t>
    </w:r>
  </w:p>
  <w:p w14:paraId="0BBA2503" w14:textId="77777777" w:rsidR="00FA0E2F" w:rsidRDefault="00FA0E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FA0E2F" w:rsidRDefault="00FA0E2F" w:rsidP="00BD221D">
    <w:pPr>
      <w:jc w:val="center"/>
    </w:pPr>
  </w:p>
  <w:p w14:paraId="342310D5" w14:textId="5BACBCD8" w:rsidR="00FA0E2F" w:rsidRDefault="00FA0E2F" w:rsidP="00BD221D">
    <w:pPr>
      <w:jc w:val="center"/>
    </w:pPr>
    <w:r>
      <w:rPr>
        <w:noProof/>
      </w:rPr>
      <w:drawing>
        <wp:inline distT="0" distB="0" distL="0" distR="0" wp14:anchorId="4B2AF0A8" wp14:editId="7258E71E">
          <wp:extent cx="937307" cy="1405961"/>
          <wp:effectExtent l="0" t="0" r="2540" b="0"/>
          <wp:docPr id="22" name="Picture 2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D1716" w14:textId="35D89878" w:rsidR="00FA0E2F" w:rsidRPr="00053D6E" w:rsidRDefault="00FA0E2F" w:rsidP="00053D6E">
    <w:pPr>
      <w:pStyle w:val="Header"/>
      <w:rPr>
        <w:rFonts w:ascii="Calibri Light" w:hAnsi="Calibri Light" w:cs="Calibri Light"/>
        <w:b/>
      </w:rPr>
    </w:pPr>
    <w:r>
      <w:rPr>
        <w:rFonts w:ascii="Calibri Light" w:hAnsi="Calibri Light"/>
      </w:rPr>
      <w:t xml:space="preserve">PROCESS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 xml:space="preserve"> Circulating Block Heater</w:t>
    </w:r>
  </w:p>
  <w:p w14:paraId="2AC97B25" w14:textId="77777777" w:rsidR="00FA0E2F" w:rsidRDefault="00FA0E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FA0E2F" w:rsidRDefault="00FA0E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8746C"/>
    <w:multiLevelType w:val="hybridMultilevel"/>
    <w:tmpl w:val="5BE84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C2D68"/>
    <w:multiLevelType w:val="hybridMultilevel"/>
    <w:tmpl w:val="EEB08B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AE3940"/>
    <w:multiLevelType w:val="hybridMultilevel"/>
    <w:tmpl w:val="043C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BA4E76"/>
    <w:multiLevelType w:val="hybridMultilevel"/>
    <w:tmpl w:val="9BE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610116"/>
    <w:multiLevelType w:val="hybridMultilevel"/>
    <w:tmpl w:val="93AE2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C11CB0"/>
    <w:multiLevelType w:val="hybridMultilevel"/>
    <w:tmpl w:val="63809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8F178B1"/>
    <w:multiLevelType w:val="hybridMultilevel"/>
    <w:tmpl w:val="3FE24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E054E2"/>
    <w:multiLevelType w:val="hybridMultilevel"/>
    <w:tmpl w:val="721E8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F445A"/>
    <w:multiLevelType w:val="hybridMultilevel"/>
    <w:tmpl w:val="15F4A9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3"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5" w15:restartNumberingAfterBreak="0">
    <w:nsid w:val="7D5D3C9C"/>
    <w:multiLevelType w:val="hybridMultilevel"/>
    <w:tmpl w:val="E8EE9678"/>
    <w:lvl w:ilvl="0" w:tplc="04090001">
      <w:start w:val="1"/>
      <w:numFmt w:val="bullet"/>
      <w:lvlText w:val=""/>
      <w:lvlJc w:val="left"/>
      <w:pPr>
        <w:ind w:left="720" w:hanging="360"/>
      </w:pPr>
      <w:rPr>
        <w:rFonts w:ascii="Symbol" w:hAnsi="Symbol" w:hint="default"/>
      </w:rPr>
    </w:lvl>
    <w:lvl w:ilvl="1" w:tplc="D5BAC996">
      <w:start w:val="1"/>
      <w:numFmt w:val="bullet"/>
      <w:lvlText w:val=""/>
      <w:lvlJc w:val="left"/>
      <w:pPr>
        <w:ind w:left="1440" w:hanging="360"/>
      </w:pPr>
      <w:rPr>
        <w:rFonts w:ascii="Symbol" w:hAnsi="Symbol" w:hint="default"/>
        <w:color w:val="404040" w:themeColor="accent3" w:themeShade="8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24"/>
  </w:num>
  <w:num w:numId="4">
    <w:abstractNumId w:val="24"/>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21"/>
  </w:num>
  <w:num w:numId="9">
    <w:abstractNumId w:val="0"/>
  </w:num>
  <w:num w:numId="10">
    <w:abstractNumId w:val="23"/>
  </w:num>
  <w:num w:numId="11">
    <w:abstractNumId w:val="9"/>
  </w:num>
  <w:num w:numId="12">
    <w:abstractNumId w:val="4"/>
  </w:num>
  <w:num w:numId="13">
    <w:abstractNumId w:val="18"/>
  </w:num>
  <w:num w:numId="14">
    <w:abstractNumId w:val="16"/>
  </w:num>
  <w:num w:numId="15">
    <w:abstractNumId w:val="5"/>
  </w:num>
  <w:num w:numId="16">
    <w:abstractNumId w:val="11"/>
  </w:num>
  <w:num w:numId="17">
    <w:abstractNumId w:val="8"/>
  </w:num>
  <w:num w:numId="18">
    <w:abstractNumId w:val="10"/>
  </w:num>
  <w:num w:numId="19">
    <w:abstractNumId w:val="19"/>
  </w:num>
  <w:num w:numId="20">
    <w:abstractNumId w:val="2"/>
  </w:num>
  <w:num w:numId="21">
    <w:abstractNumId w:val="15"/>
  </w:num>
  <w:num w:numId="22">
    <w:abstractNumId w:val="25"/>
  </w:num>
  <w:num w:numId="23">
    <w:abstractNumId w:val="7"/>
  </w:num>
  <w:num w:numId="24">
    <w:abstractNumId w:val="3"/>
  </w:num>
  <w:num w:numId="2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110D9"/>
    <w:rsid w:val="000111AF"/>
    <w:rsid w:val="00016928"/>
    <w:rsid w:val="00020E5F"/>
    <w:rsid w:val="000220A0"/>
    <w:rsid w:val="000229F1"/>
    <w:rsid w:val="000232D7"/>
    <w:rsid w:val="0002389A"/>
    <w:rsid w:val="00026D58"/>
    <w:rsid w:val="000302DF"/>
    <w:rsid w:val="00031184"/>
    <w:rsid w:val="00035CCF"/>
    <w:rsid w:val="00037A06"/>
    <w:rsid w:val="00046BB0"/>
    <w:rsid w:val="00047E10"/>
    <w:rsid w:val="000513A4"/>
    <w:rsid w:val="00051DBB"/>
    <w:rsid w:val="00052C95"/>
    <w:rsid w:val="000530E4"/>
    <w:rsid w:val="00053D6E"/>
    <w:rsid w:val="0005587A"/>
    <w:rsid w:val="00061D34"/>
    <w:rsid w:val="000621A8"/>
    <w:rsid w:val="00063EC2"/>
    <w:rsid w:val="00065E54"/>
    <w:rsid w:val="000672E5"/>
    <w:rsid w:val="000711F2"/>
    <w:rsid w:val="00074E3E"/>
    <w:rsid w:val="000767E9"/>
    <w:rsid w:val="0008108C"/>
    <w:rsid w:val="000841AA"/>
    <w:rsid w:val="00084EDF"/>
    <w:rsid w:val="00085726"/>
    <w:rsid w:val="00087FD4"/>
    <w:rsid w:val="00090BBF"/>
    <w:rsid w:val="000910B7"/>
    <w:rsid w:val="00091581"/>
    <w:rsid w:val="00091DB2"/>
    <w:rsid w:val="00093455"/>
    <w:rsid w:val="00094517"/>
    <w:rsid w:val="00096485"/>
    <w:rsid w:val="000978C8"/>
    <w:rsid w:val="000A270E"/>
    <w:rsid w:val="000A4D3A"/>
    <w:rsid w:val="000A62EF"/>
    <w:rsid w:val="000A66B7"/>
    <w:rsid w:val="000A7058"/>
    <w:rsid w:val="000B139B"/>
    <w:rsid w:val="000B6004"/>
    <w:rsid w:val="000B7F33"/>
    <w:rsid w:val="000C36B4"/>
    <w:rsid w:val="000C3723"/>
    <w:rsid w:val="000C72C1"/>
    <w:rsid w:val="000C7B77"/>
    <w:rsid w:val="000E044A"/>
    <w:rsid w:val="000E2A7A"/>
    <w:rsid w:val="000F1833"/>
    <w:rsid w:val="001011F6"/>
    <w:rsid w:val="00101E55"/>
    <w:rsid w:val="00103399"/>
    <w:rsid w:val="0010471F"/>
    <w:rsid w:val="00104933"/>
    <w:rsid w:val="00106DE5"/>
    <w:rsid w:val="00111A53"/>
    <w:rsid w:val="0011498C"/>
    <w:rsid w:val="00120592"/>
    <w:rsid w:val="001217DF"/>
    <w:rsid w:val="0012187D"/>
    <w:rsid w:val="00124BFE"/>
    <w:rsid w:val="00126809"/>
    <w:rsid w:val="00126B25"/>
    <w:rsid w:val="00131C5A"/>
    <w:rsid w:val="00131FA0"/>
    <w:rsid w:val="001326ED"/>
    <w:rsid w:val="00132E1A"/>
    <w:rsid w:val="0013396D"/>
    <w:rsid w:val="00142D3C"/>
    <w:rsid w:val="001451AB"/>
    <w:rsid w:val="00146E64"/>
    <w:rsid w:val="00150AEC"/>
    <w:rsid w:val="00151553"/>
    <w:rsid w:val="001516FA"/>
    <w:rsid w:val="00151B9F"/>
    <w:rsid w:val="00152A25"/>
    <w:rsid w:val="00153BB7"/>
    <w:rsid w:val="00154391"/>
    <w:rsid w:val="00154798"/>
    <w:rsid w:val="001564FC"/>
    <w:rsid w:val="00157985"/>
    <w:rsid w:val="00161DF1"/>
    <w:rsid w:val="001648F6"/>
    <w:rsid w:val="00164D8D"/>
    <w:rsid w:val="001676D9"/>
    <w:rsid w:val="00171BB8"/>
    <w:rsid w:val="00174707"/>
    <w:rsid w:val="00175DA1"/>
    <w:rsid w:val="00177EB6"/>
    <w:rsid w:val="00180DAD"/>
    <w:rsid w:val="00181672"/>
    <w:rsid w:val="00181E01"/>
    <w:rsid w:val="001834A5"/>
    <w:rsid w:val="001944A0"/>
    <w:rsid w:val="001944B4"/>
    <w:rsid w:val="00195B03"/>
    <w:rsid w:val="00196649"/>
    <w:rsid w:val="001A11C7"/>
    <w:rsid w:val="001A4BE1"/>
    <w:rsid w:val="001A62E8"/>
    <w:rsid w:val="001A7A21"/>
    <w:rsid w:val="001B0D29"/>
    <w:rsid w:val="001B1D23"/>
    <w:rsid w:val="001B340D"/>
    <w:rsid w:val="001B426F"/>
    <w:rsid w:val="001C0079"/>
    <w:rsid w:val="001C2ACE"/>
    <w:rsid w:val="001C6C9B"/>
    <w:rsid w:val="001C7134"/>
    <w:rsid w:val="001D3555"/>
    <w:rsid w:val="001D4C9D"/>
    <w:rsid w:val="001D580F"/>
    <w:rsid w:val="001D656F"/>
    <w:rsid w:val="001D65A6"/>
    <w:rsid w:val="001D7A57"/>
    <w:rsid w:val="001E19A3"/>
    <w:rsid w:val="001E206A"/>
    <w:rsid w:val="001E4C3F"/>
    <w:rsid w:val="001E5C5C"/>
    <w:rsid w:val="001E6273"/>
    <w:rsid w:val="001F00E9"/>
    <w:rsid w:val="001F5589"/>
    <w:rsid w:val="001F735E"/>
    <w:rsid w:val="002005A8"/>
    <w:rsid w:val="002006B6"/>
    <w:rsid w:val="00205BAF"/>
    <w:rsid w:val="00207F85"/>
    <w:rsid w:val="0021226A"/>
    <w:rsid w:val="0021230E"/>
    <w:rsid w:val="00213C1B"/>
    <w:rsid w:val="00216EA6"/>
    <w:rsid w:val="0022137D"/>
    <w:rsid w:val="00224A16"/>
    <w:rsid w:val="00225142"/>
    <w:rsid w:val="002264DF"/>
    <w:rsid w:val="00226694"/>
    <w:rsid w:val="00227BDD"/>
    <w:rsid w:val="00227FBE"/>
    <w:rsid w:val="002315E1"/>
    <w:rsid w:val="002318A4"/>
    <w:rsid w:val="002335FF"/>
    <w:rsid w:val="00233D87"/>
    <w:rsid w:val="00235D51"/>
    <w:rsid w:val="0023666C"/>
    <w:rsid w:val="00236692"/>
    <w:rsid w:val="00236E0A"/>
    <w:rsid w:val="00237964"/>
    <w:rsid w:val="002434DE"/>
    <w:rsid w:val="00245AFF"/>
    <w:rsid w:val="0024628D"/>
    <w:rsid w:val="0024690E"/>
    <w:rsid w:val="00251ABC"/>
    <w:rsid w:val="00252039"/>
    <w:rsid w:val="002524CF"/>
    <w:rsid w:val="00256400"/>
    <w:rsid w:val="002652D2"/>
    <w:rsid w:val="00266809"/>
    <w:rsid w:val="00266EBA"/>
    <w:rsid w:val="00271B18"/>
    <w:rsid w:val="00274629"/>
    <w:rsid w:val="00275412"/>
    <w:rsid w:val="00276F9B"/>
    <w:rsid w:val="00280D6C"/>
    <w:rsid w:val="002942B0"/>
    <w:rsid w:val="0029555D"/>
    <w:rsid w:val="0029781E"/>
    <w:rsid w:val="002A1953"/>
    <w:rsid w:val="002A2471"/>
    <w:rsid w:val="002A2A94"/>
    <w:rsid w:val="002A6FEE"/>
    <w:rsid w:val="002B107C"/>
    <w:rsid w:val="002B2C97"/>
    <w:rsid w:val="002B3BF4"/>
    <w:rsid w:val="002B6DED"/>
    <w:rsid w:val="002B6F2A"/>
    <w:rsid w:val="002C06FC"/>
    <w:rsid w:val="002C1117"/>
    <w:rsid w:val="002C67DF"/>
    <w:rsid w:val="002D0036"/>
    <w:rsid w:val="002D0A2A"/>
    <w:rsid w:val="002D17CE"/>
    <w:rsid w:val="002D1B1D"/>
    <w:rsid w:val="002D29F8"/>
    <w:rsid w:val="002D40EE"/>
    <w:rsid w:val="002D4993"/>
    <w:rsid w:val="002D50E9"/>
    <w:rsid w:val="002D5111"/>
    <w:rsid w:val="002D59A2"/>
    <w:rsid w:val="002D5CFA"/>
    <w:rsid w:val="002E3F65"/>
    <w:rsid w:val="002E5874"/>
    <w:rsid w:val="002F036B"/>
    <w:rsid w:val="002F1724"/>
    <w:rsid w:val="0030051F"/>
    <w:rsid w:val="00302A82"/>
    <w:rsid w:val="00304892"/>
    <w:rsid w:val="003103FB"/>
    <w:rsid w:val="00313E1D"/>
    <w:rsid w:val="003247FA"/>
    <w:rsid w:val="003309DA"/>
    <w:rsid w:val="003326EC"/>
    <w:rsid w:val="00333809"/>
    <w:rsid w:val="003357F5"/>
    <w:rsid w:val="00336313"/>
    <w:rsid w:val="00337D1D"/>
    <w:rsid w:val="0034538B"/>
    <w:rsid w:val="0035060F"/>
    <w:rsid w:val="00350F37"/>
    <w:rsid w:val="00352864"/>
    <w:rsid w:val="00357E62"/>
    <w:rsid w:val="00362F9E"/>
    <w:rsid w:val="00363BE8"/>
    <w:rsid w:val="003678B6"/>
    <w:rsid w:val="00370B5D"/>
    <w:rsid w:val="00371CCC"/>
    <w:rsid w:val="00372F61"/>
    <w:rsid w:val="00385069"/>
    <w:rsid w:val="00385C0A"/>
    <w:rsid w:val="00386A29"/>
    <w:rsid w:val="00387072"/>
    <w:rsid w:val="00392097"/>
    <w:rsid w:val="00392684"/>
    <w:rsid w:val="00395594"/>
    <w:rsid w:val="00397B4D"/>
    <w:rsid w:val="003B2D4C"/>
    <w:rsid w:val="003B4591"/>
    <w:rsid w:val="003B7610"/>
    <w:rsid w:val="003C2CC3"/>
    <w:rsid w:val="003C3614"/>
    <w:rsid w:val="003C7721"/>
    <w:rsid w:val="003D087D"/>
    <w:rsid w:val="003D1FB8"/>
    <w:rsid w:val="003D7104"/>
    <w:rsid w:val="003E2013"/>
    <w:rsid w:val="003E50CF"/>
    <w:rsid w:val="003E5605"/>
    <w:rsid w:val="003E7BC6"/>
    <w:rsid w:val="003F21D2"/>
    <w:rsid w:val="003F269E"/>
    <w:rsid w:val="003F4964"/>
    <w:rsid w:val="003F5736"/>
    <w:rsid w:val="003F65F3"/>
    <w:rsid w:val="00401C43"/>
    <w:rsid w:val="004046FF"/>
    <w:rsid w:val="00410790"/>
    <w:rsid w:val="00411EF4"/>
    <w:rsid w:val="004133BB"/>
    <w:rsid w:val="004137F3"/>
    <w:rsid w:val="00413943"/>
    <w:rsid w:val="004142EF"/>
    <w:rsid w:val="00420958"/>
    <w:rsid w:val="00420EF1"/>
    <w:rsid w:val="004212C3"/>
    <w:rsid w:val="00421920"/>
    <w:rsid w:val="00423D33"/>
    <w:rsid w:val="004249A0"/>
    <w:rsid w:val="0043155E"/>
    <w:rsid w:val="00432D49"/>
    <w:rsid w:val="004339EA"/>
    <w:rsid w:val="00433E8F"/>
    <w:rsid w:val="00434145"/>
    <w:rsid w:val="00440BCE"/>
    <w:rsid w:val="004432EB"/>
    <w:rsid w:val="0044577B"/>
    <w:rsid w:val="00451588"/>
    <w:rsid w:val="004517F1"/>
    <w:rsid w:val="00451FF6"/>
    <w:rsid w:val="004556DF"/>
    <w:rsid w:val="00455E30"/>
    <w:rsid w:val="00461AE3"/>
    <w:rsid w:val="00462BB6"/>
    <w:rsid w:val="00464A63"/>
    <w:rsid w:val="004650D7"/>
    <w:rsid w:val="00466DD6"/>
    <w:rsid w:val="00470670"/>
    <w:rsid w:val="00472286"/>
    <w:rsid w:val="00472328"/>
    <w:rsid w:val="00475A47"/>
    <w:rsid w:val="00475D57"/>
    <w:rsid w:val="00476432"/>
    <w:rsid w:val="00484536"/>
    <w:rsid w:val="00486585"/>
    <w:rsid w:val="0049615E"/>
    <w:rsid w:val="00497289"/>
    <w:rsid w:val="004A06AE"/>
    <w:rsid w:val="004A510D"/>
    <w:rsid w:val="004A6BEA"/>
    <w:rsid w:val="004B06E3"/>
    <w:rsid w:val="004B35DC"/>
    <w:rsid w:val="004B38EE"/>
    <w:rsid w:val="004B4DDE"/>
    <w:rsid w:val="004B5222"/>
    <w:rsid w:val="004B5888"/>
    <w:rsid w:val="004B6780"/>
    <w:rsid w:val="004B714C"/>
    <w:rsid w:val="004B7CAA"/>
    <w:rsid w:val="004C2A36"/>
    <w:rsid w:val="004C3663"/>
    <w:rsid w:val="004C57EC"/>
    <w:rsid w:val="004C69F2"/>
    <w:rsid w:val="004D0C20"/>
    <w:rsid w:val="004D1461"/>
    <w:rsid w:val="004D3A71"/>
    <w:rsid w:val="004D3CE4"/>
    <w:rsid w:val="004D7E51"/>
    <w:rsid w:val="004E04EE"/>
    <w:rsid w:val="004E1B37"/>
    <w:rsid w:val="004E2704"/>
    <w:rsid w:val="004E2A8B"/>
    <w:rsid w:val="004E3F72"/>
    <w:rsid w:val="004E4D01"/>
    <w:rsid w:val="004F3096"/>
    <w:rsid w:val="004F705B"/>
    <w:rsid w:val="00500964"/>
    <w:rsid w:val="00500C66"/>
    <w:rsid w:val="0050548D"/>
    <w:rsid w:val="00505B94"/>
    <w:rsid w:val="005130EC"/>
    <w:rsid w:val="005146E6"/>
    <w:rsid w:val="00520182"/>
    <w:rsid w:val="0052380C"/>
    <w:rsid w:val="00530568"/>
    <w:rsid w:val="00535A42"/>
    <w:rsid w:val="0053748E"/>
    <w:rsid w:val="0054152A"/>
    <w:rsid w:val="005449C6"/>
    <w:rsid w:val="005514B6"/>
    <w:rsid w:val="00557A2F"/>
    <w:rsid w:val="0056177B"/>
    <w:rsid w:val="00566B42"/>
    <w:rsid w:val="0057165C"/>
    <w:rsid w:val="00571D95"/>
    <w:rsid w:val="005722C6"/>
    <w:rsid w:val="00580FF8"/>
    <w:rsid w:val="00583D4A"/>
    <w:rsid w:val="00585C8D"/>
    <w:rsid w:val="005862CC"/>
    <w:rsid w:val="00586752"/>
    <w:rsid w:val="005911FE"/>
    <w:rsid w:val="00592048"/>
    <w:rsid w:val="0059312F"/>
    <w:rsid w:val="00593220"/>
    <w:rsid w:val="0059380C"/>
    <w:rsid w:val="00595758"/>
    <w:rsid w:val="00595B98"/>
    <w:rsid w:val="00596081"/>
    <w:rsid w:val="005A3943"/>
    <w:rsid w:val="005A51E6"/>
    <w:rsid w:val="005A5D88"/>
    <w:rsid w:val="005A632E"/>
    <w:rsid w:val="005A74DC"/>
    <w:rsid w:val="005B5834"/>
    <w:rsid w:val="005B7418"/>
    <w:rsid w:val="005C03A9"/>
    <w:rsid w:val="005C1D6E"/>
    <w:rsid w:val="005C2BFC"/>
    <w:rsid w:val="005C324B"/>
    <w:rsid w:val="005C43E2"/>
    <w:rsid w:val="005C454A"/>
    <w:rsid w:val="005C74C9"/>
    <w:rsid w:val="005D1B14"/>
    <w:rsid w:val="005D257B"/>
    <w:rsid w:val="005E1D5C"/>
    <w:rsid w:val="005E25DC"/>
    <w:rsid w:val="005E2F57"/>
    <w:rsid w:val="005E4145"/>
    <w:rsid w:val="005E52AE"/>
    <w:rsid w:val="005E55D5"/>
    <w:rsid w:val="005E5607"/>
    <w:rsid w:val="005E567C"/>
    <w:rsid w:val="005F24F4"/>
    <w:rsid w:val="005F505E"/>
    <w:rsid w:val="00602795"/>
    <w:rsid w:val="00602976"/>
    <w:rsid w:val="0060388D"/>
    <w:rsid w:val="00604231"/>
    <w:rsid w:val="00605D69"/>
    <w:rsid w:val="006068F3"/>
    <w:rsid w:val="00610C2F"/>
    <w:rsid w:val="00615E42"/>
    <w:rsid w:val="0062187C"/>
    <w:rsid w:val="006239BC"/>
    <w:rsid w:val="00625805"/>
    <w:rsid w:val="00627AC4"/>
    <w:rsid w:val="0063253B"/>
    <w:rsid w:val="00634925"/>
    <w:rsid w:val="00636165"/>
    <w:rsid w:val="006363C8"/>
    <w:rsid w:val="00637AB8"/>
    <w:rsid w:val="0064082C"/>
    <w:rsid w:val="0064370D"/>
    <w:rsid w:val="00643771"/>
    <w:rsid w:val="00644946"/>
    <w:rsid w:val="00645496"/>
    <w:rsid w:val="00646AB8"/>
    <w:rsid w:val="00647BD9"/>
    <w:rsid w:val="00654086"/>
    <w:rsid w:val="00654A3E"/>
    <w:rsid w:val="00657C37"/>
    <w:rsid w:val="006624A7"/>
    <w:rsid w:val="0066515F"/>
    <w:rsid w:val="00665F4F"/>
    <w:rsid w:val="006663E9"/>
    <w:rsid w:val="006668AF"/>
    <w:rsid w:val="00670A7E"/>
    <w:rsid w:val="0067278C"/>
    <w:rsid w:val="00676DAA"/>
    <w:rsid w:val="00686439"/>
    <w:rsid w:val="00697A88"/>
    <w:rsid w:val="00697CF1"/>
    <w:rsid w:val="006A08D9"/>
    <w:rsid w:val="006A0E89"/>
    <w:rsid w:val="006A6051"/>
    <w:rsid w:val="006B31D9"/>
    <w:rsid w:val="006C0102"/>
    <w:rsid w:val="006C0124"/>
    <w:rsid w:val="006C07D4"/>
    <w:rsid w:val="006C41AD"/>
    <w:rsid w:val="006C6D18"/>
    <w:rsid w:val="006D04BD"/>
    <w:rsid w:val="006D0B48"/>
    <w:rsid w:val="006D1E0D"/>
    <w:rsid w:val="006D47EF"/>
    <w:rsid w:val="006D6644"/>
    <w:rsid w:val="006D7180"/>
    <w:rsid w:val="006E307D"/>
    <w:rsid w:val="006E433B"/>
    <w:rsid w:val="006E7899"/>
    <w:rsid w:val="006E7C78"/>
    <w:rsid w:val="006F27F4"/>
    <w:rsid w:val="006F2E23"/>
    <w:rsid w:val="006F4C30"/>
    <w:rsid w:val="006F7024"/>
    <w:rsid w:val="00703A7C"/>
    <w:rsid w:val="007076DA"/>
    <w:rsid w:val="00707860"/>
    <w:rsid w:val="00711B23"/>
    <w:rsid w:val="00713549"/>
    <w:rsid w:val="00717131"/>
    <w:rsid w:val="00717AA0"/>
    <w:rsid w:val="007207BF"/>
    <w:rsid w:val="00725CB0"/>
    <w:rsid w:val="0073517D"/>
    <w:rsid w:val="0073572E"/>
    <w:rsid w:val="0073685C"/>
    <w:rsid w:val="00737EA5"/>
    <w:rsid w:val="007400AE"/>
    <w:rsid w:val="00741F3E"/>
    <w:rsid w:val="00742F88"/>
    <w:rsid w:val="00743AA8"/>
    <w:rsid w:val="00750840"/>
    <w:rsid w:val="00757617"/>
    <w:rsid w:val="007614EB"/>
    <w:rsid w:val="0076370E"/>
    <w:rsid w:val="00763AD8"/>
    <w:rsid w:val="00765016"/>
    <w:rsid w:val="00767EDE"/>
    <w:rsid w:val="0077100C"/>
    <w:rsid w:val="00776C39"/>
    <w:rsid w:val="00780E73"/>
    <w:rsid w:val="00781D00"/>
    <w:rsid w:val="007900F3"/>
    <w:rsid w:val="00791B69"/>
    <w:rsid w:val="0079498E"/>
    <w:rsid w:val="00796F10"/>
    <w:rsid w:val="007A039B"/>
    <w:rsid w:val="007A5093"/>
    <w:rsid w:val="007A530B"/>
    <w:rsid w:val="007A6638"/>
    <w:rsid w:val="007A6AB5"/>
    <w:rsid w:val="007A6C67"/>
    <w:rsid w:val="007B14D9"/>
    <w:rsid w:val="007B2B46"/>
    <w:rsid w:val="007B30F2"/>
    <w:rsid w:val="007B377F"/>
    <w:rsid w:val="007B4274"/>
    <w:rsid w:val="007B443D"/>
    <w:rsid w:val="007B5117"/>
    <w:rsid w:val="007B599D"/>
    <w:rsid w:val="007B6650"/>
    <w:rsid w:val="007B6A74"/>
    <w:rsid w:val="007C2DC8"/>
    <w:rsid w:val="007D097E"/>
    <w:rsid w:val="007D230B"/>
    <w:rsid w:val="007D2D80"/>
    <w:rsid w:val="007D3681"/>
    <w:rsid w:val="007D3824"/>
    <w:rsid w:val="007D49A1"/>
    <w:rsid w:val="007D59DD"/>
    <w:rsid w:val="007E042E"/>
    <w:rsid w:val="007E1F66"/>
    <w:rsid w:val="007E2CB5"/>
    <w:rsid w:val="007E4C10"/>
    <w:rsid w:val="007E6501"/>
    <w:rsid w:val="007E6C25"/>
    <w:rsid w:val="007F32D7"/>
    <w:rsid w:val="007F4935"/>
    <w:rsid w:val="007F4F97"/>
    <w:rsid w:val="007F669E"/>
    <w:rsid w:val="00801632"/>
    <w:rsid w:val="0080520B"/>
    <w:rsid w:val="00807B3E"/>
    <w:rsid w:val="00810D4A"/>
    <w:rsid w:val="00812F82"/>
    <w:rsid w:val="008146FD"/>
    <w:rsid w:val="00816AAB"/>
    <w:rsid w:val="00820402"/>
    <w:rsid w:val="008243B2"/>
    <w:rsid w:val="00824F08"/>
    <w:rsid w:val="008302C3"/>
    <w:rsid w:val="008310DF"/>
    <w:rsid w:val="00831105"/>
    <w:rsid w:val="00831FE1"/>
    <w:rsid w:val="00835487"/>
    <w:rsid w:val="00837994"/>
    <w:rsid w:val="00844A4B"/>
    <w:rsid w:val="00846446"/>
    <w:rsid w:val="00854676"/>
    <w:rsid w:val="00857D62"/>
    <w:rsid w:val="008629B6"/>
    <w:rsid w:val="00865296"/>
    <w:rsid w:val="00867086"/>
    <w:rsid w:val="00871123"/>
    <w:rsid w:val="00874663"/>
    <w:rsid w:val="00881B95"/>
    <w:rsid w:val="008831CA"/>
    <w:rsid w:val="00887FDA"/>
    <w:rsid w:val="0089272A"/>
    <w:rsid w:val="00894890"/>
    <w:rsid w:val="00897247"/>
    <w:rsid w:val="0089775B"/>
    <w:rsid w:val="008B08F0"/>
    <w:rsid w:val="008B262C"/>
    <w:rsid w:val="008B2DAD"/>
    <w:rsid w:val="008B4C81"/>
    <w:rsid w:val="008B6FC8"/>
    <w:rsid w:val="008C19E9"/>
    <w:rsid w:val="008C26E9"/>
    <w:rsid w:val="008C297F"/>
    <w:rsid w:val="008C774E"/>
    <w:rsid w:val="008D12F6"/>
    <w:rsid w:val="008D255F"/>
    <w:rsid w:val="008D4652"/>
    <w:rsid w:val="008D6D9D"/>
    <w:rsid w:val="008E04F1"/>
    <w:rsid w:val="008F1691"/>
    <w:rsid w:val="008F22E2"/>
    <w:rsid w:val="008F2E6B"/>
    <w:rsid w:val="008F5698"/>
    <w:rsid w:val="008F639E"/>
    <w:rsid w:val="00901EF2"/>
    <w:rsid w:val="00903EB6"/>
    <w:rsid w:val="00904906"/>
    <w:rsid w:val="00906F03"/>
    <w:rsid w:val="0090702F"/>
    <w:rsid w:val="009079D0"/>
    <w:rsid w:val="00913D0A"/>
    <w:rsid w:val="009148A1"/>
    <w:rsid w:val="00914C43"/>
    <w:rsid w:val="00924972"/>
    <w:rsid w:val="00924C51"/>
    <w:rsid w:val="009309D7"/>
    <w:rsid w:val="00932601"/>
    <w:rsid w:val="00932E1E"/>
    <w:rsid w:val="00934068"/>
    <w:rsid w:val="00936348"/>
    <w:rsid w:val="009363A7"/>
    <w:rsid w:val="00937854"/>
    <w:rsid w:val="009400F4"/>
    <w:rsid w:val="0094045A"/>
    <w:rsid w:val="009469E0"/>
    <w:rsid w:val="00951C4D"/>
    <w:rsid w:val="00952E03"/>
    <w:rsid w:val="0095396E"/>
    <w:rsid w:val="009547E2"/>
    <w:rsid w:val="00956488"/>
    <w:rsid w:val="00956F5F"/>
    <w:rsid w:val="009610DC"/>
    <w:rsid w:val="00966202"/>
    <w:rsid w:val="009665D9"/>
    <w:rsid w:val="009669D2"/>
    <w:rsid w:val="0097154F"/>
    <w:rsid w:val="00972DA5"/>
    <w:rsid w:val="0098457F"/>
    <w:rsid w:val="00985996"/>
    <w:rsid w:val="00986978"/>
    <w:rsid w:val="00987D3D"/>
    <w:rsid w:val="00994F74"/>
    <w:rsid w:val="0099563A"/>
    <w:rsid w:val="009A13F4"/>
    <w:rsid w:val="009A44BE"/>
    <w:rsid w:val="009B029F"/>
    <w:rsid w:val="009B27F8"/>
    <w:rsid w:val="009B4A8B"/>
    <w:rsid w:val="009B74FB"/>
    <w:rsid w:val="009C0660"/>
    <w:rsid w:val="009C31A4"/>
    <w:rsid w:val="009C4845"/>
    <w:rsid w:val="009C7314"/>
    <w:rsid w:val="009D2442"/>
    <w:rsid w:val="009D5D9F"/>
    <w:rsid w:val="009D7F4D"/>
    <w:rsid w:val="009E0FA2"/>
    <w:rsid w:val="009E2244"/>
    <w:rsid w:val="009E2D42"/>
    <w:rsid w:val="009E57DF"/>
    <w:rsid w:val="009F2BB7"/>
    <w:rsid w:val="009F57FD"/>
    <w:rsid w:val="009F7F9F"/>
    <w:rsid w:val="00A01E02"/>
    <w:rsid w:val="00A02E26"/>
    <w:rsid w:val="00A04E4E"/>
    <w:rsid w:val="00A0568D"/>
    <w:rsid w:val="00A05BA0"/>
    <w:rsid w:val="00A10C74"/>
    <w:rsid w:val="00A14717"/>
    <w:rsid w:val="00A159C9"/>
    <w:rsid w:val="00A167FB"/>
    <w:rsid w:val="00A21B70"/>
    <w:rsid w:val="00A21D02"/>
    <w:rsid w:val="00A21DDB"/>
    <w:rsid w:val="00A23CF6"/>
    <w:rsid w:val="00A2690C"/>
    <w:rsid w:val="00A2792F"/>
    <w:rsid w:val="00A30970"/>
    <w:rsid w:val="00A315E4"/>
    <w:rsid w:val="00A31D96"/>
    <w:rsid w:val="00A31DC7"/>
    <w:rsid w:val="00A31FEE"/>
    <w:rsid w:val="00A33722"/>
    <w:rsid w:val="00A33C55"/>
    <w:rsid w:val="00A406C3"/>
    <w:rsid w:val="00A42681"/>
    <w:rsid w:val="00A42875"/>
    <w:rsid w:val="00A44DC1"/>
    <w:rsid w:val="00A47168"/>
    <w:rsid w:val="00A47A98"/>
    <w:rsid w:val="00A47EE7"/>
    <w:rsid w:val="00A50B43"/>
    <w:rsid w:val="00A51C87"/>
    <w:rsid w:val="00A54197"/>
    <w:rsid w:val="00A61821"/>
    <w:rsid w:val="00A61E3A"/>
    <w:rsid w:val="00A631BA"/>
    <w:rsid w:val="00A65C27"/>
    <w:rsid w:val="00A67CA5"/>
    <w:rsid w:val="00A72942"/>
    <w:rsid w:val="00A75CCD"/>
    <w:rsid w:val="00A80506"/>
    <w:rsid w:val="00A806AE"/>
    <w:rsid w:val="00A8118F"/>
    <w:rsid w:val="00A83226"/>
    <w:rsid w:val="00A83458"/>
    <w:rsid w:val="00A83693"/>
    <w:rsid w:val="00A86C41"/>
    <w:rsid w:val="00A90148"/>
    <w:rsid w:val="00A917F8"/>
    <w:rsid w:val="00A94849"/>
    <w:rsid w:val="00A94FD5"/>
    <w:rsid w:val="00A9673C"/>
    <w:rsid w:val="00AA0D8C"/>
    <w:rsid w:val="00AA25BC"/>
    <w:rsid w:val="00AA3077"/>
    <w:rsid w:val="00AA3E2A"/>
    <w:rsid w:val="00AA46AF"/>
    <w:rsid w:val="00AA5AE7"/>
    <w:rsid w:val="00AA6CCE"/>
    <w:rsid w:val="00AB1C20"/>
    <w:rsid w:val="00AB2477"/>
    <w:rsid w:val="00AB4E9E"/>
    <w:rsid w:val="00AB6C99"/>
    <w:rsid w:val="00AC11D5"/>
    <w:rsid w:val="00AC15E5"/>
    <w:rsid w:val="00AC22BB"/>
    <w:rsid w:val="00AC4080"/>
    <w:rsid w:val="00AC5A6D"/>
    <w:rsid w:val="00AC5D73"/>
    <w:rsid w:val="00AC73AD"/>
    <w:rsid w:val="00AC7BED"/>
    <w:rsid w:val="00AD067D"/>
    <w:rsid w:val="00AD4DDE"/>
    <w:rsid w:val="00AD5FFD"/>
    <w:rsid w:val="00AD705A"/>
    <w:rsid w:val="00AD78F9"/>
    <w:rsid w:val="00AE008D"/>
    <w:rsid w:val="00AE30E0"/>
    <w:rsid w:val="00AE346F"/>
    <w:rsid w:val="00AE3AD5"/>
    <w:rsid w:val="00AF2329"/>
    <w:rsid w:val="00AF3660"/>
    <w:rsid w:val="00AF7A20"/>
    <w:rsid w:val="00B01312"/>
    <w:rsid w:val="00B02D98"/>
    <w:rsid w:val="00B06685"/>
    <w:rsid w:val="00B15D2F"/>
    <w:rsid w:val="00B16399"/>
    <w:rsid w:val="00B1760F"/>
    <w:rsid w:val="00B2586D"/>
    <w:rsid w:val="00B25AE4"/>
    <w:rsid w:val="00B265C9"/>
    <w:rsid w:val="00B26909"/>
    <w:rsid w:val="00B27664"/>
    <w:rsid w:val="00B31169"/>
    <w:rsid w:val="00B31828"/>
    <w:rsid w:val="00B3373C"/>
    <w:rsid w:val="00B35224"/>
    <w:rsid w:val="00B37920"/>
    <w:rsid w:val="00B41E25"/>
    <w:rsid w:val="00B42BEE"/>
    <w:rsid w:val="00B452B7"/>
    <w:rsid w:val="00B458E3"/>
    <w:rsid w:val="00B518FF"/>
    <w:rsid w:val="00B54F17"/>
    <w:rsid w:val="00B561EE"/>
    <w:rsid w:val="00B57D47"/>
    <w:rsid w:val="00B61584"/>
    <w:rsid w:val="00B6210E"/>
    <w:rsid w:val="00B632E3"/>
    <w:rsid w:val="00B64DC8"/>
    <w:rsid w:val="00B65900"/>
    <w:rsid w:val="00B65EF5"/>
    <w:rsid w:val="00B70688"/>
    <w:rsid w:val="00B75FD9"/>
    <w:rsid w:val="00B77091"/>
    <w:rsid w:val="00B837C1"/>
    <w:rsid w:val="00B841E0"/>
    <w:rsid w:val="00B84F60"/>
    <w:rsid w:val="00B860BA"/>
    <w:rsid w:val="00B865F5"/>
    <w:rsid w:val="00B870A0"/>
    <w:rsid w:val="00B91DFE"/>
    <w:rsid w:val="00B92858"/>
    <w:rsid w:val="00B966E9"/>
    <w:rsid w:val="00B96BC7"/>
    <w:rsid w:val="00B97229"/>
    <w:rsid w:val="00BA08A3"/>
    <w:rsid w:val="00BA3D7D"/>
    <w:rsid w:val="00BA5AB3"/>
    <w:rsid w:val="00BB227E"/>
    <w:rsid w:val="00BB4F22"/>
    <w:rsid w:val="00BB69FD"/>
    <w:rsid w:val="00BB7E3D"/>
    <w:rsid w:val="00BC10E8"/>
    <w:rsid w:val="00BC3CD1"/>
    <w:rsid w:val="00BC5EC6"/>
    <w:rsid w:val="00BC5F0E"/>
    <w:rsid w:val="00BD2211"/>
    <w:rsid w:val="00BD221D"/>
    <w:rsid w:val="00BD3E65"/>
    <w:rsid w:val="00BD5934"/>
    <w:rsid w:val="00BD7785"/>
    <w:rsid w:val="00BE3B2E"/>
    <w:rsid w:val="00BE4A4E"/>
    <w:rsid w:val="00BE5413"/>
    <w:rsid w:val="00BE7DE8"/>
    <w:rsid w:val="00BF1CBD"/>
    <w:rsid w:val="00BF2C5F"/>
    <w:rsid w:val="00BF52C4"/>
    <w:rsid w:val="00BF62EC"/>
    <w:rsid w:val="00C006BE"/>
    <w:rsid w:val="00C04A8B"/>
    <w:rsid w:val="00C05B8E"/>
    <w:rsid w:val="00C103B5"/>
    <w:rsid w:val="00C1063D"/>
    <w:rsid w:val="00C11B42"/>
    <w:rsid w:val="00C15E0E"/>
    <w:rsid w:val="00C23FB5"/>
    <w:rsid w:val="00C24A1A"/>
    <w:rsid w:val="00C331BB"/>
    <w:rsid w:val="00C41A08"/>
    <w:rsid w:val="00C422B9"/>
    <w:rsid w:val="00C4240A"/>
    <w:rsid w:val="00C4241E"/>
    <w:rsid w:val="00C503EE"/>
    <w:rsid w:val="00C504EC"/>
    <w:rsid w:val="00C50EFE"/>
    <w:rsid w:val="00C51DBA"/>
    <w:rsid w:val="00C52E29"/>
    <w:rsid w:val="00C60806"/>
    <w:rsid w:val="00C615A3"/>
    <w:rsid w:val="00C6198D"/>
    <w:rsid w:val="00C635DA"/>
    <w:rsid w:val="00C639E7"/>
    <w:rsid w:val="00C659BE"/>
    <w:rsid w:val="00C75D4B"/>
    <w:rsid w:val="00C80300"/>
    <w:rsid w:val="00C813DE"/>
    <w:rsid w:val="00C82307"/>
    <w:rsid w:val="00C840EB"/>
    <w:rsid w:val="00C8613B"/>
    <w:rsid w:val="00C900DE"/>
    <w:rsid w:val="00C92622"/>
    <w:rsid w:val="00C97228"/>
    <w:rsid w:val="00C9780D"/>
    <w:rsid w:val="00CA02DA"/>
    <w:rsid w:val="00CA1A54"/>
    <w:rsid w:val="00CA1CB3"/>
    <w:rsid w:val="00CA655A"/>
    <w:rsid w:val="00CB422E"/>
    <w:rsid w:val="00CB48A5"/>
    <w:rsid w:val="00CC3B34"/>
    <w:rsid w:val="00CC46B2"/>
    <w:rsid w:val="00CC5718"/>
    <w:rsid w:val="00CC59AD"/>
    <w:rsid w:val="00CD1352"/>
    <w:rsid w:val="00CD1CBE"/>
    <w:rsid w:val="00CD1E3E"/>
    <w:rsid w:val="00CD234E"/>
    <w:rsid w:val="00CD2EDC"/>
    <w:rsid w:val="00CD32E2"/>
    <w:rsid w:val="00CD3B22"/>
    <w:rsid w:val="00CD4B0B"/>
    <w:rsid w:val="00CD5768"/>
    <w:rsid w:val="00CD6698"/>
    <w:rsid w:val="00CE1E5B"/>
    <w:rsid w:val="00CF1D92"/>
    <w:rsid w:val="00CF2D92"/>
    <w:rsid w:val="00CF5D91"/>
    <w:rsid w:val="00D0025C"/>
    <w:rsid w:val="00D004FB"/>
    <w:rsid w:val="00D02BBC"/>
    <w:rsid w:val="00D02C36"/>
    <w:rsid w:val="00D12172"/>
    <w:rsid w:val="00D12B8C"/>
    <w:rsid w:val="00D200F6"/>
    <w:rsid w:val="00D2106D"/>
    <w:rsid w:val="00D21646"/>
    <w:rsid w:val="00D2171F"/>
    <w:rsid w:val="00D23E39"/>
    <w:rsid w:val="00D25E6B"/>
    <w:rsid w:val="00D34F37"/>
    <w:rsid w:val="00D36A3A"/>
    <w:rsid w:val="00D40C58"/>
    <w:rsid w:val="00D454F2"/>
    <w:rsid w:val="00D47CE9"/>
    <w:rsid w:val="00D52995"/>
    <w:rsid w:val="00D60425"/>
    <w:rsid w:val="00D62E3F"/>
    <w:rsid w:val="00D64C9D"/>
    <w:rsid w:val="00D72ADE"/>
    <w:rsid w:val="00D75233"/>
    <w:rsid w:val="00D7728F"/>
    <w:rsid w:val="00D77696"/>
    <w:rsid w:val="00D81CC4"/>
    <w:rsid w:val="00D926FD"/>
    <w:rsid w:val="00D9765E"/>
    <w:rsid w:val="00DA1473"/>
    <w:rsid w:val="00DA4591"/>
    <w:rsid w:val="00DA6430"/>
    <w:rsid w:val="00DA681A"/>
    <w:rsid w:val="00DA6B7E"/>
    <w:rsid w:val="00DB63BE"/>
    <w:rsid w:val="00DB63DB"/>
    <w:rsid w:val="00DB7824"/>
    <w:rsid w:val="00DC308E"/>
    <w:rsid w:val="00DC5E0F"/>
    <w:rsid w:val="00DC6C76"/>
    <w:rsid w:val="00DC7F73"/>
    <w:rsid w:val="00DE191A"/>
    <w:rsid w:val="00DE1A0F"/>
    <w:rsid w:val="00DE3123"/>
    <w:rsid w:val="00DE339F"/>
    <w:rsid w:val="00DE62ED"/>
    <w:rsid w:val="00DE65D3"/>
    <w:rsid w:val="00DF1535"/>
    <w:rsid w:val="00DF4F3F"/>
    <w:rsid w:val="00DF53F5"/>
    <w:rsid w:val="00DF61FD"/>
    <w:rsid w:val="00DF6226"/>
    <w:rsid w:val="00DF6D25"/>
    <w:rsid w:val="00E00FE3"/>
    <w:rsid w:val="00E03C6D"/>
    <w:rsid w:val="00E04C0D"/>
    <w:rsid w:val="00E11EE3"/>
    <w:rsid w:val="00E135F9"/>
    <w:rsid w:val="00E14349"/>
    <w:rsid w:val="00E20C28"/>
    <w:rsid w:val="00E22004"/>
    <w:rsid w:val="00E22A77"/>
    <w:rsid w:val="00E22E84"/>
    <w:rsid w:val="00E24B18"/>
    <w:rsid w:val="00E2624B"/>
    <w:rsid w:val="00E3016C"/>
    <w:rsid w:val="00E348BC"/>
    <w:rsid w:val="00E35395"/>
    <w:rsid w:val="00E35B8D"/>
    <w:rsid w:val="00E4307D"/>
    <w:rsid w:val="00E4318F"/>
    <w:rsid w:val="00E4392E"/>
    <w:rsid w:val="00E50B9E"/>
    <w:rsid w:val="00E54395"/>
    <w:rsid w:val="00E54741"/>
    <w:rsid w:val="00E568E5"/>
    <w:rsid w:val="00E57AAD"/>
    <w:rsid w:val="00E6453F"/>
    <w:rsid w:val="00E64574"/>
    <w:rsid w:val="00E659EF"/>
    <w:rsid w:val="00E677A6"/>
    <w:rsid w:val="00E70CBD"/>
    <w:rsid w:val="00E717E8"/>
    <w:rsid w:val="00E72BAF"/>
    <w:rsid w:val="00E73D81"/>
    <w:rsid w:val="00E754F4"/>
    <w:rsid w:val="00E80023"/>
    <w:rsid w:val="00E865D1"/>
    <w:rsid w:val="00E938F7"/>
    <w:rsid w:val="00EA057C"/>
    <w:rsid w:val="00EA0FBD"/>
    <w:rsid w:val="00EA2D3D"/>
    <w:rsid w:val="00EA5B84"/>
    <w:rsid w:val="00EA6D75"/>
    <w:rsid w:val="00EB20F9"/>
    <w:rsid w:val="00EB24EB"/>
    <w:rsid w:val="00EB34AF"/>
    <w:rsid w:val="00EB4719"/>
    <w:rsid w:val="00EB5800"/>
    <w:rsid w:val="00EC03B8"/>
    <w:rsid w:val="00EC4235"/>
    <w:rsid w:val="00EC4D3C"/>
    <w:rsid w:val="00EC594A"/>
    <w:rsid w:val="00ED06CC"/>
    <w:rsid w:val="00ED0D7F"/>
    <w:rsid w:val="00ED1B02"/>
    <w:rsid w:val="00ED2C8E"/>
    <w:rsid w:val="00ED379E"/>
    <w:rsid w:val="00ED7680"/>
    <w:rsid w:val="00EE0424"/>
    <w:rsid w:val="00EE0D47"/>
    <w:rsid w:val="00EE2566"/>
    <w:rsid w:val="00EE5358"/>
    <w:rsid w:val="00EF1B6A"/>
    <w:rsid w:val="00EF3C59"/>
    <w:rsid w:val="00EF54D8"/>
    <w:rsid w:val="00EF71E9"/>
    <w:rsid w:val="00F006D2"/>
    <w:rsid w:val="00F00BD1"/>
    <w:rsid w:val="00F017B0"/>
    <w:rsid w:val="00F01FD9"/>
    <w:rsid w:val="00F03B98"/>
    <w:rsid w:val="00F04B07"/>
    <w:rsid w:val="00F05BA8"/>
    <w:rsid w:val="00F07657"/>
    <w:rsid w:val="00F16F13"/>
    <w:rsid w:val="00F20AEA"/>
    <w:rsid w:val="00F219C3"/>
    <w:rsid w:val="00F21ADC"/>
    <w:rsid w:val="00F23E9A"/>
    <w:rsid w:val="00F242D9"/>
    <w:rsid w:val="00F259FE"/>
    <w:rsid w:val="00F30B41"/>
    <w:rsid w:val="00F3715D"/>
    <w:rsid w:val="00F4156E"/>
    <w:rsid w:val="00F44B62"/>
    <w:rsid w:val="00F44C82"/>
    <w:rsid w:val="00F450D4"/>
    <w:rsid w:val="00F505D3"/>
    <w:rsid w:val="00F5072C"/>
    <w:rsid w:val="00F51CBF"/>
    <w:rsid w:val="00F526D5"/>
    <w:rsid w:val="00F53F63"/>
    <w:rsid w:val="00F5411D"/>
    <w:rsid w:val="00F56D2B"/>
    <w:rsid w:val="00F57D2D"/>
    <w:rsid w:val="00F606D8"/>
    <w:rsid w:val="00F62A49"/>
    <w:rsid w:val="00F64F0D"/>
    <w:rsid w:val="00F65726"/>
    <w:rsid w:val="00F7026A"/>
    <w:rsid w:val="00F70BD6"/>
    <w:rsid w:val="00F71826"/>
    <w:rsid w:val="00F72B45"/>
    <w:rsid w:val="00F72E20"/>
    <w:rsid w:val="00F73B00"/>
    <w:rsid w:val="00F73EB4"/>
    <w:rsid w:val="00F764EE"/>
    <w:rsid w:val="00F84737"/>
    <w:rsid w:val="00F87B69"/>
    <w:rsid w:val="00F90C95"/>
    <w:rsid w:val="00F9103E"/>
    <w:rsid w:val="00F95923"/>
    <w:rsid w:val="00F96A39"/>
    <w:rsid w:val="00F96DB3"/>
    <w:rsid w:val="00F97463"/>
    <w:rsid w:val="00FA0E2F"/>
    <w:rsid w:val="00FA4B50"/>
    <w:rsid w:val="00FA4DC6"/>
    <w:rsid w:val="00FA5D99"/>
    <w:rsid w:val="00FB030E"/>
    <w:rsid w:val="00FB571F"/>
    <w:rsid w:val="00FC1117"/>
    <w:rsid w:val="00FC42BA"/>
    <w:rsid w:val="00FC4CC7"/>
    <w:rsid w:val="00FC6166"/>
    <w:rsid w:val="00FC657A"/>
    <w:rsid w:val="00FC77BB"/>
    <w:rsid w:val="00FD08C1"/>
    <w:rsid w:val="00FD2C54"/>
    <w:rsid w:val="00FD7A7A"/>
    <w:rsid w:val="00FE10C1"/>
    <w:rsid w:val="00FE10D6"/>
    <w:rsid w:val="00FE190E"/>
    <w:rsid w:val="00FE20A9"/>
    <w:rsid w:val="00FE48A9"/>
    <w:rsid w:val="00FF08B7"/>
    <w:rsid w:val="00FF12B8"/>
    <w:rsid w:val="00FF521D"/>
    <w:rsid w:val="00FF6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E2A8B"/>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4E2A8B"/>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iPriority w:val="99"/>
    <w:unhideWhenUsed/>
    <w:qFormat/>
    <w:rsid w:val="005E25DC"/>
    <w:rPr>
      <w:sz w:val="18"/>
    </w:rPr>
  </w:style>
  <w:style w:type="character" w:customStyle="1" w:styleId="FootnoteTextChar">
    <w:name w:val="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WP Table"/>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FC1117"/>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FC1117"/>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paragraph" w:customStyle="1" w:styleId="Reminders">
    <w:name w:val="Reminders"/>
    <w:basedOn w:val="Normal"/>
    <w:link w:val="RemindersChar"/>
    <w:rsid w:val="00440BCE"/>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40BCE"/>
    <w:rPr>
      <w:rFonts w:ascii="Trebuchet MS" w:eastAsia="Times New Roman" w:hAnsi="Trebuchet MS" w:cs="Times New Roman"/>
      <w:i/>
      <w:color w:val="FF0000"/>
      <w:sz w:val="22"/>
    </w:rPr>
  </w:style>
  <w:style w:type="paragraph" w:customStyle="1" w:styleId="Reminder">
    <w:name w:val="Reminder"/>
    <w:basedOn w:val="Reminders"/>
    <w:link w:val="ReminderChar"/>
    <w:rsid w:val="00D926FD"/>
  </w:style>
  <w:style w:type="character" w:customStyle="1" w:styleId="ReminderChar">
    <w:name w:val="Reminder Char"/>
    <w:basedOn w:val="RemindersChar"/>
    <w:link w:val="Reminder"/>
    <w:rsid w:val="00D926FD"/>
    <w:rPr>
      <w:rFonts w:ascii="Trebuchet MS" w:eastAsia="Times New Roman" w:hAnsi="Trebuchet MS" w:cs="Times New Roman"/>
      <w:i/>
      <w:color w:val="FF0000"/>
      <w:sz w:val="22"/>
    </w:rPr>
  </w:style>
  <w:style w:type="table" w:customStyle="1" w:styleId="TableGrid1">
    <w:name w:val="Table Grid1"/>
    <w:basedOn w:val="TableNormal"/>
    <w:next w:val="TableGrid"/>
    <w:rsid w:val="002264D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326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11869597">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72373438">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ongr1\AppData\Roaming\Microsoft\Excel\CBH%20Data%20Analysis%20and%20Regression%20Results%20(version%201).xlsb"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ongr1\AppData\Roaming\Microsoft\Excel\CBH%20Data%20Analysis%20and%20Regression%20Results%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n-US"/>
              <a:t>Daily kWh v. Temp by Site, Category 1 (Baseline)</a:t>
            </a:r>
          </a:p>
        </c:rich>
      </c:tx>
      <c:overlay val="0"/>
      <c:spPr>
        <a:noFill/>
        <a:ln>
          <a:noFill/>
        </a:ln>
        <a:effectLst/>
      </c:spPr>
    </c:title>
    <c:autoTitleDeleted val="0"/>
    <c:plotArea>
      <c:layout/>
      <c:scatterChart>
        <c:scatterStyle val="lineMarker"/>
        <c:varyColors val="0"/>
        <c:ser>
          <c:idx val="3"/>
          <c:order val="0"/>
          <c:tx>
            <c:v>COCCH</c:v>
          </c:tx>
          <c:spPr>
            <a:ln w="25400" cap="rnd">
              <a:noFill/>
              <a:round/>
            </a:ln>
            <a:effectLst/>
          </c:spPr>
          <c:marker>
            <c:symbol val="circle"/>
            <c:size val="5"/>
            <c:spPr>
              <a:solidFill>
                <a:schemeClr val="accent4"/>
              </a:solidFill>
              <a:ln w="9525">
                <a:solidFill>
                  <a:schemeClr val="accent4"/>
                </a:solidFill>
              </a:ln>
              <a:effectLst/>
            </c:spPr>
          </c:marker>
          <c:xVal>
            <c:numRef>
              <c:f>'Scattergraph Data'!$F$121:$F$200</c:f>
              <c:numCache>
                <c:formatCode>General</c:formatCode>
                <c:ptCount val="80"/>
                <c:pt idx="0">
                  <c:v>33</c:v>
                </c:pt>
                <c:pt idx="1">
                  <c:v>24</c:v>
                </c:pt>
                <c:pt idx="2">
                  <c:v>25</c:v>
                </c:pt>
                <c:pt idx="3">
                  <c:v>31</c:v>
                </c:pt>
                <c:pt idx="4">
                  <c:v>36</c:v>
                </c:pt>
                <c:pt idx="5">
                  <c:v>33</c:v>
                </c:pt>
                <c:pt idx="6">
                  <c:v>30</c:v>
                </c:pt>
                <c:pt idx="7">
                  <c:v>28</c:v>
                </c:pt>
                <c:pt idx="8">
                  <c:v>31</c:v>
                </c:pt>
                <c:pt idx="9">
                  <c:v>31</c:v>
                </c:pt>
                <c:pt idx="10">
                  <c:v>33</c:v>
                </c:pt>
                <c:pt idx="11">
                  <c:v>25</c:v>
                </c:pt>
                <c:pt idx="12">
                  <c:v>26</c:v>
                </c:pt>
                <c:pt idx="13">
                  <c:v>36</c:v>
                </c:pt>
                <c:pt idx="14">
                  <c:v>35</c:v>
                </c:pt>
                <c:pt idx="15">
                  <c:v>35</c:v>
                </c:pt>
                <c:pt idx="16">
                  <c:v>33</c:v>
                </c:pt>
                <c:pt idx="17">
                  <c:v>30</c:v>
                </c:pt>
                <c:pt idx="18">
                  <c:v>29</c:v>
                </c:pt>
                <c:pt idx="19">
                  <c:v>30</c:v>
                </c:pt>
                <c:pt idx="20">
                  <c:v>29</c:v>
                </c:pt>
                <c:pt idx="21">
                  <c:v>27</c:v>
                </c:pt>
                <c:pt idx="22">
                  <c:v>22</c:v>
                </c:pt>
                <c:pt idx="23">
                  <c:v>22</c:v>
                </c:pt>
                <c:pt idx="24">
                  <c:v>25</c:v>
                </c:pt>
                <c:pt idx="25">
                  <c:v>27</c:v>
                </c:pt>
                <c:pt idx="26">
                  <c:v>32</c:v>
                </c:pt>
                <c:pt idx="27">
                  <c:v>35</c:v>
                </c:pt>
                <c:pt idx="28">
                  <c:v>38</c:v>
                </c:pt>
                <c:pt idx="29">
                  <c:v>28</c:v>
                </c:pt>
                <c:pt idx="30">
                  <c:v>27</c:v>
                </c:pt>
                <c:pt idx="31">
                  <c:v>28</c:v>
                </c:pt>
                <c:pt idx="32">
                  <c:v>36</c:v>
                </c:pt>
                <c:pt idx="33">
                  <c:v>31</c:v>
                </c:pt>
                <c:pt idx="34">
                  <c:v>28</c:v>
                </c:pt>
                <c:pt idx="35">
                  <c:v>29</c:v>
                </c:pt>
                <c:pt idx="36">
                  <c:v>34</c:v>
                </c:pt>
                <c:pt idx="37">
                  <c:v>37</c:v>
                </c:pt>
                <c:pt idx="38">
                  <c:v>33</c:v>
                </c:pt>
                <c:pt idx="39">
                  <c:v>28</c:v>
                </c:pt>
                <c:pt idx="40">
                  <c:v>31</c:v>
                </c:pt>
                <c:pt idx="41">
                  <c:v>34</c:v>
                </c:pt>
                <c:pt idx="42">
                  <c:v>35</c:v>
                </c:pt>
                <c:pt idx="43">
                  <c:v>35</c:v>
                </c:pt>
                <c:pt idx="44">
                  <c:v>36</c:v>
                </c:pt>
                <c:pt idx="45">
                  <c:v>32</c:v>
                </c:pt>
                <c:pt idx="46">
                  <c:v>30</c:v>
                </c:pt>
                <c:pt idx="47">
                  <c:v>27</c:v>
                </c:pt>
                <c:pt idx="48">
                  <c:v>28</c:v>
                </c:pt>
                <c:pt idx="49">
                  <c:v>35</c:v>
                </c:pt>
                <c:pt idx="50">
                  <c:v>36</c:v>
                </c:pt>
                <c:pt idx="51">
                  <c:v>30</c:v>
                </c:pt>
                <c:pt idx="52">
                  <c:v>32</c:v>
                </c:pt>
                <c:pt idx="53">
                  <c:v>35</c:v>
                </c:pt>
                <c:pt idx="54">
                  <c:v>34</c:v>
                </c:pt>
                <c:pt idx="55">
                  <c:v>32</c:v>
                </c:pt>
                <c:pt idx="56">
                  <c:v>33</c:v>
                </c:pt>
                <c:pt idx="57">
                  <c:v>31</c:v>
                </c:pt>
                <c:pt idx="58">
                  <c:v>31</c:v>
                </c:pt>
                <c:pt idx="59">
                  <c:v>32</c:v>
                </c:pt>
                <c:pt idx="60">
                  <c:v>31</c:v>
                </c:pt>
                <c:pt idx="61">
                  <c:v>30</c:v>
                </c:pt>
                <c:pt idx="62">
                  <c:v>35</c:v>
                </c:pt>
                <c:pt idx="63">
                  <c:v>30</c:v>
                </c:pt>
                <c:pt idx="64">
                  <c:v>35</c:v>
                </c:pt>
                <c:pt idx="65">
                  <c:v>38</c:v>
                </c:pt>
                <c:pt idx="66">
                  <c:v>46</c:v>
                </c:pt>
                <c:pt idx="67">
                  <c:v>45</c:v>
                </c:pt>
                <c:pt idx="68">
                  <c:v>35</c:v>
                </c:pt>
                <c:pt idx="69">
                  <c:v>33</c:v>
                </c:pt>
                <c:pt idx="70">
                  <c:v>35</c:v>
                </c:pt>
                <c:pt idx="71">
                  <c:v>38</c:v>
                </c:pt>
                <c:pt idx="72">
                  <c:v>36</c:v>
                </c:pt>
                <c:pt idx="73">
                  <c:v>32</c:v>
                </c:pt>
                <c:pt idx="74">
                  <c:v>38</c:v>
                </c:pt>
                <c:pt idx="75">
                  <c:v>35</c:v>
                </c:pt>
                <c:pt idx="76">
                  <c:v>39</c:v>
                </c:pt>
                <c:pt idx="77">
                  <c:v>44</c:v>
                </c:pt>
                <c:pt idx="78">
                  <c:v>48</c:v>
                </c:pt>
                <c:pt idx="79">
                  <c:v>52</c:v>
                </c:pt>
              </c:numCache>
            </c:numRef>
          </c:xVal>
          <c:yVal>
            <c:numRef>
              <c:f>'Scattergraph Data'!$C$121:$C$200</c:f>
              <c:numCache>
                <c:formatCode>General</c:formatCode>
                <c:ptCount val="80"/>
                <c:pt idx="0">
                  <c:v>11.039999961853001</c:v>
                </c:pt>
                <c:pt idx="1">
                  <c:v>11.039999961853001</c:v>
                </c:pt>
                <c:pt idx="2">
                  <c:v>11.039999961853001</c:v>
                </c:pt>
                <c:pt idx="3">
                  <c:v>11.039999961853001</c:v>
                </c:pt>
                <c:pt idx="4">
                  <c:v>10.8400001525879</c:v>
                </c:pt>
                <c:pt idx="5">
                  <c:v>11.039999961853001</c:v>
                </c:pt>
                <c:pt idx="6">
                  <c:v>11.039999961853001</c:v>
                </c:pt>
                <c:pt idx="7">
                  <c:v>11.039999961853001</c:v>
                </c:pt>
                <c:pt idx="8">
                  <c:v>11.039999961853001</c:v>
                </c:pt>
                <c:pt idx="9">
                  <c:v>11.039999961853001</c:v>
                </c:pt>
                <c:pt idx="10">
                  <c:v>11.039999961853001</c:v>
                </c:pt>
                <c:pt idx="11">
                  <c:v>10.920000076293899</c:v>
                </c:pt>
                <c:pt idx="12">
                  <c:v>11.039999961853001</c:v>
                </c:pt>
                <c:pt idx="13">
                  <c:v>11.039999961853001</c:v>
                </c:pt>
                <c:pt idx="14">
                  <c:v>11.039999961853001</c:v>
                </c:pt>
                <c:pt idx="15">
                  <c:v>11.039999961853001</c:v>
                </c:pt>
                <c:pt idx="16">
                  <c:v>11.039999961853001</c:v>
                </c:pt>
                <c:pt idx="17">
                  <c:v>11.039999961853001</c:v>
                </c:pt>
                <c:pt idx="18">
                  <c:v>10.920000076293899</c:v>
                </c:pt>
                <c:pt idx="19">
                  <c:v>11.039999961853001</c:v>
                </c:pt>
                <c:pt idx="20">
                  <c:v>11.039999961853001</c:v>
                </c:pt>
                <c:pt idx="21">
                  <c:v>11.039999961853001</c:v>
                </c:pt>
                <c:pt idx="22">
                  <c:v>11.039999961853001</c:v>
                </c:pt>
                <c:pt idx="23">
                  <c:v>11.039999961853001</c:v>
                </c:pt>
                <c:pt idx="24">
                  <c:v>11.039999961853001</c:v>
                </c:pt>
                <c:pt idx="25">
                  <c:v>11.039999961853001</c:v>
                </c:pt>
                <c:pt idx="26">
                  <c:v>11.039999961853001</c:v>
                </c:pt>
                <c:pt idx="27">
                  <c:v>10.920000076293899</c:v>
                </c:pt>
                <c:pt idx="28">
                  <c:v>11.039999961853001</c:v>
                </c:pt>
                <c:pt idx="29">
                  <c:v>11.039999961853001</c:v>
                </c:pt>
                <c:pt idx="30">
                  <c:v>11.039999961853001</c:v>
                </c:pt>
                <c:pt idx="31">
                  <c:v>11.039999961853001</c:v>
                </c:pt>
                <c:pt idx="32">
                  <c:v>11.039999961853001</c:v>
                </c:pt>
                <c:pt idx="33">
                  <c:v>11.039999961853001</c:v>
                </c:pt>
                <c:pt idx="34">
                  <c:v>11.039999961853001</c:v>
                </c:pt>
                <c:pt idx="35">
                  <c:v>11.039999961853001</c:v>
                </c:pt>
                <c:pt idx="36">
                  <c:v>11.039999961853001</c:v>
                </c:pt>
                <c:pt idx="37">
                  <c:v>11.039999961853001</c:v>
                </c:pt>
                <c:pt idx="38">
                  <c:v>11.039999961853001</c:v>
                </c:pt>
                <c:pt idx="39">
                  <c:v>11.039999961853001</c:v>
                </c:pt>
                <c:pt idx="40">
                  <c:v>11.039999961853001</c:v>
                </c:pt>
                <c:pt idx="41">
                  <c:v>11.039999961853001</c:v>
                </c:pt>
                <c:pt idx="42">
                  <c:v>10.9099998474121</c:v>
                </c:pt>
                <c:pt idx="43">
                  <c:v>11.039999961853001</c:v>
                </c:pt>
                <c:pt idx="44">
                  <c:v>11.039999961853001</c:v>
                </c:pt>
                <c:pt idx="45">
                  <c:v>11.039999961853001</c:v>
                </c:pt>
                <c:pt idx="46">
                  <c:v>11.039999961853001</c:v>
                </c:pt>
                <c:pt idx="47">
                  <c:v>11.039999961853001</c:v>
                </c:pt>
                <c:pt idx="48">
                  <c:v>11.039999961853001</c:v>
                </c:pt>
                <c:pt idx="49">
                  <c:v>10.9099998474121</c:v>
                </c:pt>
                <c:pt idx="50">
                  <c:v>11.039999961853001</c:v>
                </c:pt>
                <c:pt idx="51">
                  <c:v>11.039999961853001</c:v>
                </c:pt>
                <c:pt idx="52">
                  <c:v>11.039999961853001</c:v>
                </c:pt>
                <c:pt idx="53">
                  <c:v>11.039999961853001</c:v>
                </c:pt>
                <c:pt idx="54">
                  <c:v>11.039999961853001</c:v>
                </c:pt>
                <c:pt idx="55">
                  <c:v>11.039999961853001</c:v>
                </c:pt>
                <c:pt idx="56">
                  <c:v>10.9099998474121</c:v>
                </c:pt>
                <c:pt idx="57">
                  <c:v>11.039999961853001</c:v>
                </c:pt>
                <c:pt idx="58">
                  <c:v>11.039999961853001</c:v>
                </c:pt>
                <c:pt idx="59">
                  <c:v>11.039999961853001</c:v>
                </c:pt>
                <c:pt idx="60">
                  <c:v>11.039999961853001</c:v>
                </c:pt>
                <c:pt idx="61">
                  <c:v>11.039999961853001</c:v>
                </c:pt>
                <c:pt idx="62">
                  <c:v>11.039999961853001</c:v>
                </c:pt>
                <c:pt idx="63">
                  <c:v>10.9099998474121</c:v>
                </c:pt>
                <c:pt idx="64">
                  <c:v>11.039999961853001</c:v>
                </c:pt>
                <c:pt idx="65">
                  <c:v>11.039999961853001</c:v>
                </c:pt>
                <c:pt idx="66">
                  <c:v>11.039999961853001</c:v>
                </c:pt>
                <c:pt idx="67">
                  <c:v>11.039999961853001</c:v>
                </c:pt>
                <c:pt idx="68">
                  <c:v>11.039999961853001</c:v>
                </c:pt>
                <c:pt idx="69">
                  <c:v>11.039999961853001</c:v>
                </c:pt>
                <c:pt idx="70">
                  <c:v>10.8999996185303</c:v>
                </c:pt>
                <c:pt idx="71">
                  <c:v>10.920000076293899</c:v>
                </c:pt>
                <c:pt idx="72">
                  <c:v>11.039999961853001</c:v>
                </c:pt>
                <c:pt idx="73">
                  <c:v>11.039999961853001</c:v>
                </c:pt>
                <c:pt idx="74">
                  <c:v>11.039999961853001</c:v>
                </c:pt>
                <c:pt idx="75">
                  <c:v>11.039999961853001</c:v>
                </c:pt>
                <c:pt idx="76">
                  <c:v>11.039999961853001</c:v>
                </c:pt>
                <c:pt idx="77">
                  <c:v>10.8900003433228</c:v>
                </c:pt>
                <c:pt idx="78">
                  <c:v>11.039999961853001</c:v>
                </c:pt>
                <c:pt idx="79">
                  <c:v>11.039999961853001</c:v>
                </c:pt>
              </c:numCache>
            </c:numRef>
          </c:yVal>
          <c:smooth val="0"/>
          <c:extLst>
            <c:ext xmlns:c16="http://schemas.microsoft.com/office/drawing/2014/chart" uri="{C3380CC4-5D6E-409C-BE32-E72D297353CC}">
              <c16:uniqueId val="{00000000-22DE-4B03-B86E-CED963AAFBFC}"/>
            </c:ext>
          </c:extLst>
        </c:ser>
        <c:ser>
          <c:idx val="9"/>
          <c:order val="1"/>
          <c:tx>
            <c:v>HCNW</c:v>
          </c:tx>
          <c:spPr>
            <a:ln w="25400" cap="rnd">
              <a:noFill/>
              <a:round/>
            </a:ln>
            <a:effectLst/>
          </c:spPr>
          <c:marker>
            <c:symbol val="circle"/>
            <c:size val="5"/>
            <c:spPr>
              <a:solidFill>
                <a:schemeClr val="accent4">
                  <a:lumMod val="60000"/>
                </a:schemeClr>
              </a:solidFill>
              <a:ln w="9525">
                <a:solidFill>
                  <a:schemeClr val="accent4">
                    <a:lumMod val="60000"/>
                  </a:schemeClr>
                </a:solidFill>
              </a:ln>
              <a:effectLst/>
            </c:spPr>
          </c:marker>
          <c:xVal>
            <c:numRef>
              <c:f>'Scattergraph Data'!$F$446:$F$505</c:f>
              <c:numCache>
                <c:formatCode>General</c:formatCode>
                <c:ptCount val="60"/>
                <c:pt idx="0">
                  <c:v>52</c:v>
                </c:pt>
                <c:pt idx="1">
                  <c:v>55</c:v>
                </c:pt>
                <c:pt idx="2">
                  <c:v>57</c:v>
                </c:pt>
                <c:pt idx="3">
                  <c:v>59</c:v>
                </c:pt>
                <c:pt idx="4">
                  <c:v>56</c:v>
                </c:pt>
                <c:pt idx="5">
                  <c:v>56</c:v>
                </c:pt>
                <c:pt idx="6">
                  <c:v>58</c:v>
                </c:pt>
                <c:pt idx="7">
                  <c:v>59</c:v>
                </c:pt>
                <c:pt idx="8">
                  <c:v>60</c:v>
                </c:pt>
                <c:pt idx="9">
                  <c:v>58</c:v>
                </c:pt>
                <c:pt idx="10">
                  <c:v>54</c:v>
                </c:pt>
                <c:pt idx="11">
                  <c:v>55</c:v>
                </c:pt>
                <c:pt idx="12">
                  <c:v>55</c:v>
                </c:pt>
                <c:pt idx="13">
                  <c:v>56</c:v>
                </c:pt>
                <c:pt idx="14">
                  <c:v>53</c:v>
                </c:pt>
                <c:pt idx="15">
                  <c:v>54</c:v>
                </c:pt>
                <c:pt idx="16">
                  <c:v>58</c:v>
                </c:pt>
                <c:pt idx="17">
                  <c:v>58</c:v>
                </c:pt>
                <c:pt idx="18">
                  <c:v>56</c:v>
                </c:pt>
                <c:pt idx="19">
                  <c:v>59</c:v>
                </c:pt>
                <c:pt idx="20">
                  <c:v>40</c:v>
                </c:pt>
                <c:pt idx="21">
                  <c:v>36</c:v>
                </c:pt>
                <c:pt idx="22">
                  <c:v>36</c:v>
                </c:pt>
                <c:pt idx="23">
                  <c:v>36</c:v>
                </c:pt>
                <c:pt idx="24">
                  <c:v>38</c:v>
                </c:pt>
                <c:pt idx="25">
                  <c:v>44</c:v>
                </c:pt>
                <c:pt idx="26">
                  <c:v>47</c:v>
                </c:pt>
                <c:pt idx="27">
                  <c:v>44</c:v>
                </c:pt>
                <c:pt idx="28">
                  <c:v>46</c:v>
                </c:pt>
                <c:pt idx="29">
                  <c:v>46</c:v>
                </c:pt>
                <c:pt idx="30">
                  <c:v>55</c:v>
                </c:pt>
                <c:pt idx="31">
                  <c:v>57</c:v>
                </c:pt>
                <c:pt idx="32">
                  <c:v>56</c:v>
                </c:pt>
                <c:pt idx="33">
                  <c:v>48</c:v>
                </c:pt>
                <c:pt idx="34">
                  <c:v>43</c:v>
                </c:pt>
                <c:pt idx="35">
                  <c:v>39</c:v>
                </c:pt>
                <c:pt idx="36">
                  <c:v>44</c:v>
                </c:pt>
                <c:pt idx="37">
                  <c:v>44</c:v>
                </c:pt>
                <c:pt idx="38">
                  <c:v>34</c:v>
                </c:pt>
                <c:pt idx="39">
                  <c:v>31</c:v>
                </c:pt>
                <c:pt idx="40">
                  <c:v>31</c:v>
                </c:pt>
                <c:pt idx="41">
                  <c:v>31</c:v>
                </c:pt>
                <c:pt idx="42">
                  <c:v>33</c:v>
                </c:pt>
                <c:pt idx="43">
                  <c:v>34</c:v>
                </c:pt>
                <c:pt idx="44">
                  <c:v>38</c:v>
                </c:pt>
                <c:pt idx="45">
                  <c:v>43</c:v>
                </c:pt>
                <c:pt idx="46">
                  <c:v>45</c:v>
                </c:pt>
                <c:pt idx="47">
                  <c:v>47</c:v>
                </c:pt>
                <c:pt idx="48">
                  <c:v>44</c:v>
                </c:pt>
                <c:pt idx="49">
                  <c:v>44</c:v>
                </c:pt>
                <c:pt idx="50">
                  <c:v>38</c:v>
                </c:pt>
                <c:pt idx="51">
                  <c:v>48</c:v>
                </c:pt>
                <c:pt idx="52">
                  <c:v>55</c:v>
                </c:pt>
                <c:pt idx="53">
                  <c:v>43</c:v>
                </c:pt>
                <c:pt idx="54">
                  <c:v>45</c:v>
                </c:pt>
                <c:pt idx="55">
                  <c:v>31</c:v>
                </c:pt>
                <c:pt idx="56">
                  <c:v>25</c:v>
                </c:pt>
                <c:pt idx="57">
                  <c:v>22</c:v>
                </c:pt>
                <c:pt idx="58">
                  <c:v>26</c:v>
                </c:pt>
                <c:pt idx="59">
                  <c:v>29</c:v>
                </c:pt>
              </c:numCache>
            </c:numRef>
          </c:xVal>
          <c:yVal>
            <c:numRef>
              <c:f>'Scattergraph Data'!$C$446:$C$505</c:f>
              <c:numCache>
                <c:formatCode>General</c:formatCode>
                <c:ptCount val="60"/>
                <c:pt idx="0">
                  <c:v>42.099998474121101</c:v>
                </c:pt>
                <c:pt idx="1">
                  <c:v>38.900001525878899</c:v>
                </c:pt>
                <c:pt idx="2">
                  <c:v>37.799999237060497</c:v>
                </c:pt>
                <c:pt idx="3">
                  <c:v>35.099998474121101</c:v>
                </c:pt>
                <c:pt idx="4">
                  <c:v>38.599998474121101</c:v>
                </c:pt>
                <c:pt idx="5">
                  <c:v>36.700000762939503</c:v>
                </c:pt>
                <c:pt idx="6">
                  <c:v>35.900001525878899</c:v>
                </c:pt>
                <c:pt idx="7">
                  <c:v>34.5</c:v>
                </c:pt>
                <c:pt idx="8">
                  <c:v>34</c:v>
                </c:pt>
                <c:pt idx="9">
                  <c:v>37.299999237060497</c:v>
                </c:pt>
                <c:pt idx="10">
                  <c:v>38.599998474121101</c:v>
                </c:pt>
                <c:pt idx="11">
                  <c:v>39.700000762939503</c:v>
                </c:pt>
                <c:pt idx="12">
                  <c:v>40.900001525878899</c:v>
                </c:pt>
                <c:pt idx="13">
                  <c:v>40.700000762939503</c:v>
                </c:pt>
                <c:pt idx="14">
                  <c:v>42.299999237060497</c:v>
                </c:pt>
                <c:pt idx="15">
                  <c:v>40.700000762939503</c:v>
                </c:pt>
                <c:pt idx="16">
                  <c:v>36.900001525878899</c:v>
                </c:pt>
                <c:pt idx="17">
                  <c:v>36.599998474121101</c:v>
                </c:pt>
                <c:pt idx="18">
                  <c:v>39.299999237060497</c:v>
                </c:pt>
                <c:pt idx="19">
                  <c:v>41.599998474121101</c:v>
                </c:pt>
                <c:pt idx="20">
                  <c:v>58.799999237060497</c:v>
                </c:pt>
                <c:pt idx="21">
                  <c:v>60.599998474121101</c:v>
                </c:pt>
                <c:pt idx="22">
                  <c:v>60.599998474121101</c:v>
                </c:pt>
                <c:pt idx="23">
                  <c:v>60.700000762939503</c:v>
                </c:pt>
                <c:pt idx="24">
                  <c:v>55.700000762939503</c:v>
                </c:pt>
                <c:pt idx="25">
                  <c:v>55.900001525878899</c:v>
                </c:pt>
                <c:pt idx="26">
                  <c:v>50.200000762939503</c:v>
                </c:pt>
                <c:pt idx="27">
                  <c:v>52.599998474121101</c:v>
                </c:pt>
                <c:pt idx="28">
                  <c:v>51.799999237060497</c:v>
                </c:pt>
                <c:pt idx="29">
                  <c:v>51.900001525878899</c:v>
                </c:pt>
                <c:pt idx="30">
                  <c:v>45.5</c:v>
                </c:pt>
                <c:pt idx="31">
                  <c:v>43.400001525878899</c:v>
                </c:pt>
                <c:pt idx="32">
                  <c:v>44.299999237060497</c:v>
                </c:pt>
                <c:pt idx="33">
                  <c:v>53.200000762939503</c:v>
                </c:pt>
                <c:pt idx="34">
                  <c:v>56.099998474121101</c:v>
                </c:pt>
                <c:pt idx="35">
                  <c:v>58.400001525878899</c:v>
                </c:pt>
                <c:pt idx="36">
                  <c:v>54.5</c:v>
                </c:pt>
                <c:pt idx="37">
                  <c:v>56.400001525878899</c:v>
                </c:pt>
                <c:pt idx="38">
                  <c:v>63.599998474121101</c:v>
                </c:pt>
                <c:pt idx="39">
                  <c:v>70.400001525878906</c:v>
                </c:pt>
                <c:pt idx="40">
                  <c:v>67.800003051757798</c:v>
                </c:pt>
                <c:pt idx="41">
                  <c:v>70.400001525878906</c:v>
                </c:pt>
                <c:pt idx="42">
                  <c:v>67.099998474121094</c:v>
                </c:pt>
                <c:pt idx="43">
                  <c:v>66.5</c:v>
                </c:pt>
                <c:pt idx="44">
                  <c:v>62.200000762939503</c:v>
                </c:pt>
                <c:pt idx="45">
                  <c:v>56.700000762939503</c:v>
                </c:pt>
                <c:pt idx="46">
                  <c:v>52.299999237060497</c:v>
                </c:pt>
                <c:pt idx="47">
                  <c:v>51.5</c:v>
                </c:pt>
                <c:pt idx="48">
                  <c:v>55.200000762939503</c:v>
                </c:pt>
                <c:pt idx="49">
                  <c:v>55.599998474121101</c:v>
                </c:pt>
                <c:pt idx="50">
                  <c:v>59.900001525878899</c:v>
                </c:pt>
                <c:pt idx="51">
                  <c:v>50.700000762939503</c:v>
                </c:pt>
                <c:pt idx="52">
                  <c:v>45.599998474121101</c:v>
                </c:pt>
                <c:pt idx="53">
                  <c:v>52.900001525878899</c:v>
                </c:pt>
                <c:pt idx="54">
                  <c:v>54.5</c:v>
                </c:pt>
                <c:pt idx="55">
                  <c:v>69.599998474121094</c:v>
                </c:pt>
                <c:pt idx="56">
                  <c:v>82.5</c:v>
                </c:pt>
                <c:pt idx="57">
                  <c:v>80</c:v>
                </c:pt>
                <c:pt idx="58">
                  <c:v>76.400001525878906</c:v>
                </c:pt>
                <c:pt idx="59">
                  <c:v>70.900001525878906</c:v>
                </c:pt>
              </c:numCache>
            </c:numRef>
          </c:yVal>
          <c:smooth val="0"/>
          <c:extLst>
            <c:ext xmlns:c16="http://schemas.microsoft.com/office/drawing/2014/chart" uri="{C3380CC4-5D6E-409C-BE32-E72D297353CC}">
              <c16:uniqueId val="{00000001-22DE-4B03-B86E-CED963AAFBFC}"/>
            </c:ext>
          </c:extLst>
        </c:ser>
        <c:ser>
          <c:idx val="11"/>
          <c:order val="2"/>
          <c:tx>
            <c:v>Kid Kare</c:v>
          </c:tx>
          <c:spPr>
            <a:ln w="25400" cap="rnd">
              <a:noFill/>
              <a:round/>
            </a:ln>
            <a:effectLst/>
          </c:spPr>
          <c:marker>
            <c:symbol val="circle"/>
            <c:size val="5"/>
            <c:spPr>
              <a:solidFill>
                <a:schemeClr val="accent6">
                  <a:lumMod val="60000"/>
                </a:schemeClr>
              </a:solidFill>
              <a:ln w="9525">
                <a:solidFill>
                  <a:schemeClr val="accent6">
                    <a:lumMod val="60000"/>
                  </a:schemeClr>
                </a:solidFill>
              </a:ln>
              <a:effectLst/>
            </c:spPr>
          </c:marker>
          <c:xVal>
            <c:numRef>
              <c:f>'Scattergraph Data'!$F$540:$F$592</c:f>
              <c:numCache>
                <c:formatCode>General</c:formatCode>
                <c:ptCount val="53"/>
                <c:pt idx="0">
                  <c:v>25</c:v>
                </c:pt>
                <c:pt idx="1">
                  <c:v>30</c:v>
                </c:pt>
                <c:pt idx="2">
                  <c:v>33</c:v>
                </c:pt>
                <c:pt idx="3">
                  <c:v>35</c:v>
                </c:pt>
                <c:pt idx="4">
                  <c:v>38</c:v>
                </c:pt>
                <c:pt idx="5">
                  <c:v>30</c:v>
                </c:pt>
                <c:pt idx="6">
                  <c:v>20</c:v>
                </c:pt>
                <c:pt idx="7">
                  <c:v>14</c:v>
                </c:pt>
                <c:pt idx="8">
                  <c:v>14</c:v>
                </c:pt>
                <c:pt idx="9">
                  <c:v>19</c:v>
                </c:pt>
                <c:pt idx="10">
                  <c:v>21</c:v>
                </c:pt>
                <c:pt idx="11">
                  <c:v>19</c:v>
                </c:pt>
                <c:pt idx="12">
                  <c:v>16</c:v>
                </c:pt>
                <c:pt idx="13">
                  <c:v>20</c:v>
                </c:pt>
                <c:pt idx="14">
                  <c:v>18</c:v>
                </c:pt>
                <c:pt idx="15">
                  <c:v>20</c:v>
                </c:pt>
                <c:pt idx="16">
                  <c:v>24</c:v>
                </c:pt>
                <c:pt idx="17">
                  <c:v>16</c:v>
                </c:pt>
                <c:pt idx="18">
                  <c:v>20</c:v>
                </c:pt>
                <c:pt idx="19">
                  <c:v>33</c:v>
                </c:pt>
                <c:pt idx="20">
                  <c:v>32</c:v>
                </c:pt>
                <c:pt idx="21">
                  <c:v>35</c:v>
                </c:pt>
                <c:pt idx="22">
                  <c:v>30</c:v>
                </c:pt>
                <c:pt idx="23">
                  <c:v>27</c:v>
                </c:pt>
                <c:pt idx="24">
                  <c:v>23</c:v>
                </c:pt>
                <c:pt idx="25">
                  <c:v>31</c:v>
                </c:pt>
                <c:pt idx="26">
                  <c:v>38</c:v>
                </c:pt>
                <c:pt idx="27">
                  <c:v>39</c:v>
                </c:pt>
                <c:pt idx="28">
                  <c:v>32</c:v>
                </c:pt>
                <c:pt idx="29">
                  <c:v>29</c:v>
                </c:pt>
                <c:pt idx="30">
                  <c:v>39</c:v>
                </c:pt>
                <c:pt idx="31">
                  <c:v>36</c:v>
                </c:pt>
                <c:pt idx="32">
                  <c:v>37</c:v>
                </c:pt>
                <c:pt idx="33">
                  <c:v>31</c:v>
                </c:pt>
                <c:pt idx="34">
                  <c:v>32</c:v>
                </c:pt>
                <c:pt idx="35">
                  <c:v>27</c:v>
                </c:pt>
                <c:pt idx="36">
                  <c:v>26</c:v>
                </c:pt>
                <c:pt idx="37">
                  <c:v>27</c:v>
                </c:pt>
                <c:pt idx="38">
                  <c:v>34</c:v>
                </c:pt>
                <c:pt idx="39">
                  <c:v>40</c:v>
                </c:pt>
                <c:pt idx="40">
                  <c:v>32</c:v>
                </c:pt>
                <c:pt idx="41">
                  <c:v>34</c:v>
                </c:pt>
                <c:pt idx="42">
                  <c:v>30</c:v>
                </c:pt>
                <c:pt idx="43">
                  <c:v>34</c:v>
                </c:pt>
                <c:pt idx="44">
                  <c:v>31</c:v>
                </c:pt>
                <c:pt idx="45">
                  <c:v>30</c:v>
                </c:pt>
                <c:pt idx="46">
                  <c:v>32</c:v>
                </c:pt>
                <c:pt idx="47">
                  <c:v>29</c:v>
                </c:pt>
                <c:pt idx="48">
                  <c:v>33</c:v>
                </c:pt>
                <c:pt idx="49">
                  <c:v>33</c:v>
                </c:pt>
                <c:pt idx="50">
                  <c:v>30</c:v>
                </c:pt>
                <c:pt idx="51">
                  <c:v>34</c:v>
                </c:pt>
                <c:pt idx="52">
                  <c:v>34</c:v>
                </c:pt>
              </c:numCache>
            </c:numRef>
          </c:xVal>
          <c:yVal>
            <c:numRef>
              <c:f>'Scattergraph Data'!$C$540:$C$592</c:f>
              <c:numCache>
                <c:formatCode>General</c:formatCode>
                <c:ptCount val="53"/>
                <c:pt idx="0">
                  <c:v>21.360000610351602</c:v>
                </c:pt>
                <c:pt idx="1">
                  <c:v>21.360000610351602</c:v>
                </c:pt>
                <c:pt idx="2">
                  <c:v>21.360000610351602</c:v>
                </c:pt>
                <c:pt idx="3">
                  <c:v>21.360000610351602</c:v>
                </c:pt>
                <c:pt idx="4">
                  <c:v>19.930000305175799</c:v>
                </c:pt>
                <c:pt idx="5">
                  <c:v>20.909999847412099</c:v>
                </c:pt>
                <c:pt idx="6">
                  <c:v>21.360000610351602</c:v>
                </c:pt>
                <c:pt idx="7">
                  <c:v>21.360000610351602</c:v>
                </c:pt>
                <c:pt idx="8">
                  <c:v>21.360000610351602</c:v>
                </c:pt>
                <c:pt idx="9">
                  <c:v>21.360000610351602</c:v>
                </c:pt>
                <c:pt idx="10">
                  <c:v>21.360000610351602</c:v>
                </c:pt>
                <c:pt idx="11">
                  <c:v>21.360000610351602</c:v>
                </c:pt>
                <c:pt idx="12">
                  <c:v>21.360000610351602</c:v>
                </c:pt>
                <c:pt idx="13">
                  <c:v>21.360000610351602</c:v>
                </c:pt>
                <c:pt idx="14">
                  <c:v>21.360000610351602</c:v>
                </c:pt>
                <c:pt idx="15">
                  <c:v>21.360000610351602</c:v>
                </c:pt>
                <c:pt idx="16">
                  <c:v>21.360000610351602</c:v>
                </c:pt>
                <c:pt idx="17">
                  <c:v>21.360000610351602</c:v>
                </c:pt>
                <c:pt idx="18">
                  <c:v>21.360000610351602</c:v>
                </c:pt>
                <c:pt idx="19">
                  <c:v>21.360000610351602</c:v>
                </c:pt>
                <c:pt idx="20">
                  <c:v>21.120000839233398</c:v>
                </c:pt>
                <c:pt idx="21">
                  <c:v>21.110000610351602</c:v>
                </c:pt>
                <c:pt idx="22">
                  <c:v>21.360000610351602</c:v>
                </c:pt>
                <c:pt idx="23">
                  <c:v>21.360000610351602</c:v>
                </c:pt>
                <c:pt idx="24">
                  <c:v>21.360000610351602</c:v>
                </c:pt>
                <c:pt idx="25">
                  <c:v>21.360000610351602</c:v>
                </c:pt>
                <c:pt idx="26">
                  <c:v>20.100000381469702</c:v>
                </c:pt>
                <c:pt idx="27">
                  <c:v>20.340000152587901</c:v>
                </c:pt>
                <c:pt idx="28">
                  <c:v>20.430000305175799</c:v>
                </c:pt>
                <c:pt idx="29">
                  <c:v>20.629999160766602</c:v>
                </c:pt>
                <c:pt idx="30">
                  <c:v>20.209999084472699</c:v>
                </c:pt>
                <c:pt idx="31">
                  <c:v>20.329999923706101</c:v>
                </c:pt>
                <c:pt idx="32">
                  <c:v>20.899999618530298</c:v>
                </c:pt>
                <c:pt idx="33">
                  <c:v>21.360000610351602</c:v>
                </c:pt>
                <c:pt idx="34">
                  <c:v>20.860000610351602</c:v>
                </c:pt>
                <c:pt idx="35">
                  <c:v>21.360000610351602</c:v>
                </c:pt>
                <c:pt idx="36">
                  <c:v>21.360000610351602</c:v>
                </c:pt>
                <c:pt idx="37">
                  <c:v>21.360000610351602</c:v>
                </c:pt>
                <c:pt idx="38">
                  <c:v>21.110000610351602</c:v>
                </c:pt>
                <c:pt idx="39">
                  <c:v>20.860000610351602</c:v>
                </c:pt>
                <c:pt idx="40">
                  <c:v>21.360000610351602</c:v>
                </c:pt>
                <c:pt idx="41">
                  <c:v>20.610000610351602</c:v>
                </c:pt>
                <c:pt idx="42">
                  <c:v>21.360000610351602</c:v>
                </c:pt>
                <c:pt idx="43">
                  <c:v>21.360000610351602</c:v>
                </c:pt>
                <c:pt idx="44">
                  <c:v>21.110000610351602</c:v>
                </c:pt>
                <c:pt idx="45">
                  <c:v>21.360000610351602</c:v>
                </c:pt>
                <c:pt idx="46">
                  <c:v>21.360000610351602</c:v>
                </c:pt>
                <c:pt idx="47">
                  <c:v>21.360000610351602</c:v>
                </c:pt>
                <c:pt idx="48">
                  <c:v>21.360000610351602</c:v>
                </c:pt>
                <c:pt idx="49">
                  <c:v>21.360000610351602</c:v>
                </c:pt>
                <c:pt idx="50">
                  <c:v>21.360000610351602</c:v>
                </c:pt>
                <c:pt idx="51">
                  <c:v>21.360000610351602</c:v>
                </c:pt>
                <c:pt idx="52">
                  <c:v>21.360000610351602</c:v>
                </c:pt>
              </c:numCache>
            </c:numRef>
          </c:yVal>
          <c:smooth val="0"/>
          <c:extLst>
            <c:ext xmlns:c16="http://schemas.microsoft.com/office/drawing/2014/chart" uri="{C3380CC4-5D6E-409C-BE32-E72D297353CC}">
              <c16:uniqueId val="{00000002-22DE-4B03-B86E-CED963AAFBFC}"/>
            </c:ext>
          </c:extLst>
        </c:ser>
        <c:ser>
          <c:idx val="16"/>
          <c:order val="3"/>
          <c:tx>
            <c:v>TCWWTP</c:v>
          </c:tx>
          <c:spPr>
            <a:ln w="25400" cap="rnd">
              <a:noFill/>
              <a:round/>
            </a:ln>
            <a:effectLst/>
          </c:spPr>
          <c:marker>
            <c:symbol val="circle"/>
            <c:size val="5"/>
            <c:spPr>
              <a:solidFill>
                <a:schemeClr val="accent5">
                  <a:lumMod val="80000"/>
                  <a:lumOff val="20000"/>
                </a:schemeClr>
              </a:solidFill>
              <a:ln w="9525">
                <a:solidFill>
                  <a:schemeClr val="accent5">
                    <a:lumMod val="80000"/>
                    <a:lumOff val="20000"/>
                  </a:schemeClr>
                </a:solidFill>
              </a:ln>
              <a:effectLst/>
            </c:spPr>
          </c:marker>
          <c:xVal>
            <c:numRef>
              <c:f>'Scattergraph Data'!$F$859:$F$947</c:f>
              <c:numCache>
                <c:formatCode>General</c:formatCode>
                <c:ptCount val="89"/>
                <c:pt idx="0">
                  <c:v>50</c:v>
                </c:pt>
                <c:pt idx="1">
                  <c:v>48</c:v>
                </c:pt>
                <c:pt idx="2">
                  <c:v>40</c:v>
                </c:pt>
                <c:pt idx="3">
                  <c:v>39</c:v>
                </c:pt>
                <c:pt idx="4">
                  <c:v>44</c:v>
                </c:pt>
                <c:pt idx="5">
                  <c:v>41</c:v>
                </c:pt>
                <c:pt idx="6">
                  <c:v>36</c:v>
                </c:pt>
                <c:pt idx="7">
                  <c:v>35</c:v>
                </c:pt>
                <c:pt idx="8">
                  <c:v>38</c:v>
                </c:pt>
                <c:pt idx="9">
                  <c:v>42</c:v>
                </c:pt>
                <c:pt idx="10">
                  <c:v>46</c:v>
                </c:pt>
                <c:pt idx="11">
                  <c:v>51</c:v>
                </c:pt>
                <c:pt idx="12">
                  <c:v>56</c:v>
                </c:pt>
                <c:pt idx="13">
                  <c:v>48</c:v>
                </c:pt>
                <c:pt idx="14">
                  <c:v>43</c:v>
                </c:pt>
                <c:pt idx="15">
                  <c:v>45</c:v>
                </c:pt>
                <c:pt idx="16">
                  <c:v>44</c:v>
                </c:pt>
                <c:pt idx="17">
                  <c:v>45</c:v>
                </c:pt>
                <c:pt idx="18">
                  <c:v>48</c:v>
                </c:pt>
                <c:pt idx="19">
                  <c:v>47</c:v>
                </c:pt>
                <c:pt idx="20">
                  <c:v>47</c:v>
                </c:pt>
                <c:pt idx="21">
                  <c:v>58</c:v>
                </c:pt>
                <c:pt idx="22">
                  <c:v>57</c:v>
                </c:pt>
                <c:pt idx="23">
                  <c:v>59</c:v>
                </c:pt>
                <c:pt idx="24">
                  <c:v>64</c:v>
                </c:pt>
                <c:pt idx="25">
                  <c:v>63</c:v>
                </c:pt>
                <c:pt idx="26">
                  <c:v>58</c:v>
                </c:pt>
                <c:pt idx="27">
                  <c:v>53</c:v>
                </c:pt>
                <c:pt idx="28">
                  <c:v>43</c:v>
                </c:pt>
                <c:pt idx="29">
                  <c:v>44</c:v>
                </c:pt>
                <c:pt idx="30">
                  <c:v>48</c:v>
                </c:pt>
                <c:pt idx="31">
                  <c:v>47</c:v>
                </c:pt>
                <c:pt idx="32">
                  <c:v>44</c:v>
                </c:pt>
                <c:pt idx="33">
                  <c:v>41</c:v>
                </c:pt>
                <c:pt idx="34">
                  <c:v>39</c:v>
                </c:pt>
                <c:pt idx="35">
                  <c:v>46</c:v>
                </c:pt>
                <c:pt idx="36">
                  <c:v>43</c:v>
                </c:pt>
                <c:pt idx="37">
                  <c:v>45</c:v>
                </c:pt>
                <c:pt idx="38">
                  <c:v>48</c:v>
                </c:pt>
                <c:pt idx="39">
                  <c:v>57</c:v>
                </c:pt>
                <c:pt idx="40">
                  <c:v>58</c:v>
                </c:pt>
                <c:pt idx="41">
                  <c:v>47</c:v>
                </c:pt>
                <c:pt idx="42">
                  <c:v>45</c:v>
                </c:pt>
                <c:pt idx="43">
                  <c:v>51</c:v>
                </c:pt>
                <c:pt idx="44">
                  <c:v>58</c:v>
                </c:pt>
                <c:pt idx="45">
                  <c:v>61</c:v>
                </c:pt>
                <c:pt idx="46">
                  <c:v>63</c:v>
                </c:pt>
                <c:pt idx="47">
                  <c:v>65</c:v>
                </c:pt>
                <c:pt idx="48">
                  <c:v>56</c:v>
                </c:pt>
                <c:pt idx="49">
                  <c:v>52</c:v>
                </c:pt>
                <c:pt idx="50">
                  <c:v>51</c:v>
                </c:pt>
                <c:pt idx="51">
                  <c:v>56</c:v>
                </c:pt>
                <c:pt idx="52">
                  <c:v>59</c:v>
                </c:pt>
                <c:pt idx="53">
                  <c:v>52</c:v>
                </c:pt>
                <c:pt idx="54">
                  <c:v>48</c:v>
                </c:pt>
                <c:pt idx="55">
                  <c:v>50</c:v>
                </c:pt>
                <c:pt idx="56">
                  <c:v>45</c:v>
                </c:pt>
                <c:pt idx="57">
                  <c:v>44</c:v>
                </c:pt>
                <c:pt idx="58">
                  <c:v>44</c:v>
                </c:pt>
                <c:pt idx="59">
                  <c:v>54</c:v>
                </c:pt>
                <c:pt idx="60">
                  <c:v>53</c:v>
                </c:pt>
                <c:pt idx="61">
                  <c:v>56</c:v>
                </c:pt>
                <c:pt idx="62">
                  <c:v>55</c:v>
                </c:pt>
                <c:pt idx="63">
                  <c:v>62</c:v>
                </c:pt>
                <c:pt idx="64">
                  <c:v>56</c:v>
                </c:pt>
                <c:pt idx="65">
                  <c:v>54</c:v>
                </c:pt>
                <c:pt idx="66">
                  <c:v>58</c:v>
                </c:pt>
                <c:pt idx="67">
                  <c:v>54</c:v>
                </c:pt>
                <c:pt idx="68">
                  <c:v>49</c:v>
                </c:pt>
                <c:pt idx="69">
                  <c:v>54</c:v>
                </c:pt>
                <c:pt idx="70">
                  <c:v>54</c:v>
                </c:pt>
                <c:pt idx="71">
                  <c:v>48</c:v>
                </c:pt>
                <c:pt idx="72">
                  <c:v>49</c:v>
                </c:pt>
                <c:pt idx="73">
                  <c:v>58</c:v>
                </c:pt>
                <c:pt idx="74">
                  <c:v>58</c:v>
                </c:pt>
                <c:pt idx="75">
                  <c:v>58</c:v>
                </c:pt>
                <c:pt idx="76">
                  <c:v>59</c:v>
                </c:pt>
                <c:pt idx="77">
                  <c:v>64</c:v>
                </c:pt>
                <c:pt idx="78">
                  <c:v>62</c:v>
                </c:pt>
                <c:pt idx="79">
                  <c:v>68</c:v>
                </c:pt>
                <c:pt idx="80">
                  <c:v>55</c:v>
                </c:pt>
                <c:pt idx="81">
                  <c:v>53</c:v>
                </c:pt>
                <c:pt idx="82">
                  <c:v>57</c:v>
                </c:pt>
                <c:pt idx="83">
                  <c:v>64</c:v>
                </c:pt>
                <c:pt idx="84">
                  <c:v>67</c:v>
                </c:pt>
                <c:pt idx="85">
                  <c:v>68</c:v>
                </c:pt>
                <c:pt idx="86">
                  <c:v>70</c:v>
                </c:pt>
                <c:pt idx="87">
                  <c:v>72</c:v>
                </c:pt>
                <c:pt idx="88">
                  <c:v>60</c:v>
                </c:pt>
              </c:numCache>
            </c:numRef>
          </c:xVal>
          <c:yVal>
            <c:numRef>
              <c:f>'Scattergraph Data'!$C$859:$C$947</c:f>
              <c:numCache>
                <c:formatCode>General</c:formatCode>
                <c:ptCount val="89"/>
                <c:pt idx="0">
                  <c:v>12.5</c:v>
                </c:pt>
                <c:pt idx="1">
                  <c:v>11.75</c:v>
                </c:pt>
                <c:pt idx="2">
                  <c:v>12.819999694824199</c:v>
                </c:pt>
                <c:pt idx="3">
                  <c:v>12.9899997711182</c:v>
                </c:pt>
                <c:pt idx="4">
                  <c:v>12.5299997329712</c:v>
                </c:pt>
                <c:pt idx="5">
                  <c:v>12.8500003814697</c:v>
                </c:pt>
                <c:pt idx="6">
                  <c:v>11.7600002288818</c:v>
                </c:pt>
                <c:pt idx="7">
                  <c:v>13.050000190734901</c:v>
                </c:pt>
                <c:pt idx="8">
                  <c:v>13.289999961853001</c:v>
                </c:pt>
                <c:pt idx="9">
                  <c:v>12.680000305175801</c:v>
                </c:pt>
                <c:pt idx="10">
                  <c:v>12.180000305175801</c:v>
                </c:pt>
                <c:pt idx="11">
                  <c:v>11.8999996185303</c:v>
                </c:pt>
                <c:pt idx="12">
                  <c:v>11.300000190734901</c:v>
                </c:pt>
                <c:pt idx="13">
                  <c:v>10.6300001144409</c:v>
                </c:pt>
                <c:pt idx="14">
                  <c:v>12.039999961853001</c:v>
                </c:pt>
                <c:pt idx="15">
                  <c:v>12.1400003433228</c:v>
                </c:pt>
                <c:pt idx="16">
                  <c:v>12.3400001525879</c:v>
                </c:pt>
                <c:pt idx="17">
                  <c:v>12.329999923706101</c:v>
                </c:pt>
                <c:pt idx="18">
                  <c:v>12.0200004577637</c:v>
                </c:pt>
                <c:pt idx="19">
                  <c:v>12</c:v>
                </c:pt>
                <c:pt idx="20">
                  <c:v>10.5299997329712</c:v>
                </c:pt>
                <c:pt idx="21">
                  <c:v>11.449999809265099</c:v>
                </c:pt>
                <c:pt idx="22">
                  <c:v>10.579999923706101</c:v>
                </c:pt>
                <c:pt idx="23">
                  <c:v>10.560000419616699</c:v>
                </c:pt>
                <c:pt idx="24">
                  <c:v>10</c:v>
                </c:pt>
                <c:pt idx="25">
                  <c:v>9.8599996566772496</c:v>
                </c:pt>
                <c:pt idx="26">
                  <c:v>10.180000305175801</c:v>
                </c:pt>
                <c:pt idx="27">
                  <c:v>9.6199998855590803</c:v>
                </c:pt>
                <c:pt idx="28">
                  <c:v>12.5200004577637</c:v>
                </c:pt>
                <c:pt idx="29">
                  <c:v>12.069999694824199</c:v>
                </c:pt>
                <c:pt idx="30">
                  <c:v>11.8599996566772</c:v>
                </c:pt>
                <c:pt idx="31">
                  <c:v>12.199999809265099</c:v>
                </c:pt>
                <c:pt idx="32">
                  <c:v>12.3699998855591</c:v>
                </c:pt>
                <c:pt idx="33">
                  <c:v>12.6099996566772</c:v>
                </c:pt>
                <c:pt idx="34">
                  <c:v>11.3699998855591</c:v>
                </c:pt>
                <c:pt idx="35">
                  <c:v>12.310000419616699</c:v>
                </c:pt>
                <c:pt idx="36">
                  <c:v>12.7700004577637</c:v>
                </c:pt>
                <c:pt idx="37">
                  <c:v>12.5900001525879</c:v>
                </c:pt>
                <c:pt idx="38">
                  <c:v>11.8900003433228</c:v>
                </c:pt>
                <c:pt idx="39">
                  <c:v>11.2799997329712</c:v>
                </c:pt>
                <c:pt idx="40">
                  <c:v>10.4700002670288</c:v>
                </c:pt>
                <c:pt idx="41">
                  <c:v>10.300000190734901</c:v>
                </c:pt>
                <c:pt idx="42">
                  <c:v>12.2200002670288</c:v>
                </c:pt>
                <c:pt idx="43">
                  <c:v>11.4700002670288</c:v>
                </c:pt>
                <c:pt idx="44">
                  <c:v>10.9099998474121</c:v>
                </c:pt>
                <c:pt idx="45">
                  <c:v>10.180000305175801</c:v>
                </c:pt>
                <c:pt idx="46">
                  <c:v>9.8400001525878906</c:v>
                </c:pt>
                <c:pt idx="47">
                  <c:v>9.3999996185302699</c:v>
                </c:pt>
                <c:pt idx="48">
                  <c:v>9.1599998474121094</c:v>
                </c:pt>
                <c:pt idx="49">
                  <c:v>11.0200004577637</c:v>
                </c:pt>
                <c:pt idx="50">
                  <c:v>8.9300003051757795</c:v>
                </c:pt>
                <c:pt idx="51">
                  <c:v>10.689999580383301</c:v>
                </c:pt>
                <c:pt idx="52">
                  <c:v>10.039999961853001</c:v>
                </c:pt>
                <c:pt idx="53">
                  <c:v>11.0299997329712</c:v>
                </c:pt>
                <c:pt idx="54">
                  <c:v>11.689999580383301</c:v>
                </c:pt>
                <c:pt idx="55">
                  <c:v>10.300000190734901</c:v>
                </c:pt>
                <c:pt idx="56">
                  <c:v>12.060000419616699</c:v>
                </c:pt>
                <c:pt idx="57">
                  <c:v>12.1199998855591</c:v>
                </c:pt>
                <c:pt idx="58">
                  <c:v>12.1400003433228</c:v>
                </c:pt>
                <c:pt idx="59">
                  <c:v>11.329999923706101</c:v>
                </c:pt>
                <c:pt idx="60">
                  <c:v>11.1499996185303</c:v>
                </c:pt>
                <c:pt idx="61">
                  <c:v>10.550000190734901</c:v>
                </c:pt>
                <c:pt idx="62">
                  <c:v>9.4300003051757795</c:v>
                </c:pt>
                <c:pt idx="63">
                  <c:v>9.8000001907348597</c:v>
                </c:pt>
                <c:pt idx="64">
                  <c:v>10.5299997329712</c:v>
                </c:pt>
                <c:pt idx="65">
                  <c:v>10.6199998855591</c:v>
                </c:pt>
                <c:pt idx="66">
                  <c:v>10</c:v>
                </c:pt>
                <c:pt idx="67">
                  <c:v>11.1099996566772</c:v>
                </c:pt>
                <c:pt idx="68">
                  <c:v>11.949999809265099</c:v>
                </c:pt>
                <c:pt idx="69">
                  <c:v>9.4399995803833008</c:v>
                </c:pt>
                <c:pt idx="70">
                  <c:v>10.7299995422363</c:v>
                </c:pt>
                <c:pt idx="71">
                  <c:v>11.3999996185303</c:v>
                </c:pt>
                <c:pt idx="72">
                  <c:v>12.3999996185303</c:v>
                </c:pt>
                <c:pt idx="73">
                  <c:v>10.420000076293899</c:v>
                </c:pt>
                <c:pt idx="74">
                  <c:v>10.170000076293899</c:v>
                </c:pt>
                <c:pt idx="75">
                  <c:v>10.0299997329712</c:v>
                </c:pt>
                <c:pt idx="76">
                  <c:v>8.6199998855590803</c:v>
                </c:pt>
                <c:pt idx="77">
                  <c:v>9.6599998474121094</c:v>
                </c:pt>
                <c:pt idx="78">
                  <c:v>9.5900001525878906</c:v>
                </c:pt>
                <c:pt idx="79">
                  <c:v>9.3500003814697301</c:v>
                </c:pt>
                <c:pt idx="80">
                  <c:v>7.2399997711181596</c:v>
                </c:pt>
                <c:pt idx="81">
                  <c:v>9.8299999237060494</c:v>
                </c:pt>
                <c:pt idx="82">
                  <c:v>10.2799997329712</c:v>
                </c:pt>
                <c:pt idx="83">
                  <c:v>8</c:v>
                </c:pt>
                <c:pt idx="84">
                  <c:v>8.8699998855590803</c:v>
                </c:pt>
                <c:pt idx="85">
                  <c:v>8.1700000762939506</c:v>
                </c:pt>
                <c:pt idx="86">
                  <c:v>7.96000003814697</c:v>
                </c:pt>
                <c:pt idx="87">
                  <c:v>7.6500000953674299</c:v>
                </c:pt>
                <c:pt idx="88">
                  <c:v>8.8599996566772496</c:v>
                </c:pt>
              </c:numCache>
            </c:numRef>
          </c:yVal>
          <c:smooth val="0"/>
          <c:extLst>
            <c:ext xmlns:c16="http://schemas.microsoft.com/office/drawing/2014/chart" uri="{C3380CC4-5D6E-409C-BE32-E72D297353CC}">
              <c16:uniqueId val="{00000003-22DE-4B03-B86E-CED963AAFBFC}"/>
            </c:ext>
          </c:extLst>
        </c:ser>
        <c:dLbls>
          <c:showLegendKey val="0"/>
          <c:showVal val="0"/>
          <c:showCatName val="0"/>
          <c:showSerName val="0"/>
          <c:showPercent val="0"/>
          <c:showBubbleSize val="0"/>
        </c:dLbls>
        <c:axId val="433394544"/>
        <c:axId val="433394936"/>
      </c:scatterChart>
      <c:valAx>
        <c:axId val="43339454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Temperature (Deg F)</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433394936"/>
        <c:crosses val="autoZero"/>
        <c:crossBetween val="midCat"/>
      </c:valAx>
      <c:valAx>
        <c:axId val="4333949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kWh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433394544"/>
        <c:crosses val="autoZero"/>
        <c:crossBetween val="midCat"/>
      </c:valAx>
      <c:spPr>
        <a:noFill/>
        <a:ln>
          <a:noFill/>
        </a:ln>
        <a:effectLst/>
      </c:spPr>
    </c:plotArea>
    <c:legend>
      <c:legendPos val="r"/>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n-US"/>
              <a:t>Daily kWh v. Temp by Site, Category 2 (Baseline)</a:t>
            </a:r>
          </a:p>
        </c:rich>
      </c:tx>
      <c:overlay val="0"/>
      <c:spPr>
        <a:noFill/>
        <a:ln>
          <a:noFill/>
        </a:ln>
        <a:effectLst/>
      </c:spPr>
    </c:title>
    <c:autoTitleDeleted val="0"/>
    <c:plotArea>
      <c:layout/>
      <c:scatterChart>
        <c:scatterStyle val="lineMarker"/>
        <c:varyColors val="0"/>
        <c:ser>
          <c:idx val="1"/>
          <c:order val="0"/>
          <c:tx>
            <c:v>BLDG210</c:v>
          </c:tx>
          <c:spPr>
            <a:ln w="25400" cap="rnd">
              <a:noFill/>
              <a:round/>
            </a:ln>
            <a:effectLst/>
          </c:spPr>
          <c:marker>
            <c:symbol val="circle"/>
            <c:size val="5"/>
            <c:spPr>
              <a:solidFill>
                <a:schemeClr val="accent2"/>
              </a:solidFill>
              <a:ln w="9525">
                <a:solidFill>
                  <a:schemeClr val="accent2"/>
                </a:solidFill>
              </a:ln>
              <a:effectLst/>
            </c:spPr>
          </c:marker>
          <c:xVal>
            <c:numRef>
              <c:f>'Scattergraph Data'!$F$52:$F$72</c:f>
              <c:numCache>
                <c:formatCode>General</c:formatCode>
                <c:ptCount val="21"/>
                <c:pt idx="0">
                  <c:v>33</c:v>
                </c:pt>
                <c:pt idx="1">
                  <c:v>29</c:v>
                </c:pt>
                <c:pt idx="2">
                  <c:v>32</c:v>
                </c:pt>
                <c:pt idx="3">
                  <c:v>32</c:v>
                </c:pt>
                <c:pt idx="4">
                  <c:v>30</c:v>
                </c:pt>
                <c:pt idx="5">
                  <c:v>33</c:v>
                </c:pt>
                <c:pt idx="6">
                  <c:v>32</c:v>
                </c:pt>
                <c:pt idx="7">
                  <c:v>34</c:v>
                </c:pt>
                <c:pt idx="8">
                  <c:v>34</c:v>
                </c:pt>
                <c:pt idx="9">
                  <c:v>35</c:v>
                </c:pt>
                <c:pt idx="10">
                  <c:v>35</c:v>
                </c:pt>
                <c:pt idx="11">
                  <c:v>41</c:v>
                </c:pt>
                <c:pt idx="12">
                  <c:v>34</c:v>
                </c:pt>
                <c:pt idx="13">
                  <c:v>46</c:v>
                </c:pt>
                <c:pt idx="14">
                  <c:v>46</c:v>
                </c:pt>
                <c:pt idx="15">
                  <c:v>44</c:v>
                </c:pt>
                <c:pt idx="16">
                  <c:v>42</c:v>
                </c:pt>
                <c:pt idx="17">
                  <c:v>35</c:v>
                </c:pt>
                <c:pt idx="18">
                  <c:v>32</c:v>
                </c:pt>
                <c:pt idx="19">
                  <c:v>34</c:v>
                </c:pt>
                <c:pt idx="20">
                  <c:v>36</c:v>
                </c:pt>
              </c:numCache>
            </c:numRef>
          </c:xVal>
          <c:yVal>
            <c:numRef>
              <c:f>'Scattergraph Data'!$C$52:$C$72</c:f>
              <c:numCache>
                <c:formatCode>General</c:formatCode>
                <c:ptCount val="21"/>
                <c:pt idx="0">
                  <c:v>44.701919555664098</c:v>
                </c:pt>
                <c:pt idx="1">
                  <c:v>50.616001129150398</c:v>
                </c:pt>
                <c:pt idx="2">
                  <c:v>48.4315185546875</c:v>
                </c:pt>
                <c:pt idx="3">
                  <c:v>48.165119171142599</c:v>
                </c:pt>
                <c:pt idx="4">
                  <c:v>49.710239410400398</c:v>
                </c:pt>
                <c:pt idx="5">
                  <c:v>48.4315185546875</c:v>
                </c:pt>
                <c:pt idx="6">
                  <c:v>49.763519287109403</c:v>
                </c:pt>
                <c:pt idx="7">
                  <c:v>47.365921020507798</c:v>
                </c:pt>
                <c:pt idx="8">
                  <c:v>47.951999664306598</c:v>
                </c:pt>
                <c:pt idx="9">
                  <c:v>49.390560150146499</c:v>
                </c:pt>
                <c:pt idx="10">
                  <c:v>48.4315185546875</c:v>
                </c:pt>
                <c:pt idx="11">
                  <c:v>47.685600280761697</c:v>
                </c:pt>
                <c:pt idx="12">
                  <c:v>46.4068794250488</c:v>
                </c:pt>
                <c:pt idx="13">
                  <c:v>38.7345581054688</c:v>
                </c:pt>
                <c:pt idx="14">
                  <c:v>42.091201782226598</c:v>
                </c:pt>
                <c:pt idx="15">
                  <c:v>43.7961616516113</c:v>
                </c:pt>
                <c:pt idx="16">
                  <c:v>45.767520904541001</c:v>
                </c:pt>
                <c:pt idx="17">
                  <c:v>48.591358184814503</c:v>
                </c:pt>
                <c:pt idx="18">
                  <c:v>48.165119171142599</c:v>
                </c:pt>
                <c:pt idx="19">
                  <c:v>51.148799896240199</c:v>
                </c:pt>
                <c:pt idx="20">
                  <c:v>43.689601898193402</c:v>
                </c:pt>
              </c:numCache>
            </c:numRef>
          </c:yVal>
          <c:smooth val="0"/>
          <c:extLst>
            <c:ext xmlns:c16="http://schemas.microsoft.com/office/drawing/2014/chart" uri="{C3380CC4-5D6E-409C-BE32-E72D297353CC}">
              <c16:uniqueId val="{00000000-3D80-459E-9D07-87CC70AA4CF4}"/>
            </c:ext>
          </c:extLst>
        </c:ser>
        <c:ser>
          <c:idx val="4"/>
          <c:order val="1"/>
          <c:tx>
            <c:v>COCFD</c:v>
          </c:tx>
          <c:spPr>
            <a:ln w="25400" cap="rnd">
              <a:noFill/>
              <a:round/>
            </a:ln>
            <a:effectLst/>
          </c:spPr>
          <c:marker>
            <c:symbol val="circle"/>
            <c:size val="5"/>
            <c:spPr>
              <a:solidFill>
                <a:schemeClr val="accent5"/>
              </a:solidFill>
              <a:ln w="9525">
                <a:solidFill>
                  <a:schemeClr val="accent5"/>
                </a:solidFill>
              </a:ln>
              <a:effectLst/>
            </c:spPr>
          </c:marker>
          <c:xVal>
            <c:numRef>
              <c:f>'Scattergraph Data'!$F$201:$F$244</c:f>
              <c:numCache>
                <c:formatCode>General</c:formatCode>
                <c:ptCount val="44"/>
                <c:pt idx="0">
                  <c:v>34</c:v>
                </c:pt>
                <c:pt idx="1">
                  <c:v>37</c:v>
                </c:pt>
                <c:pt idx="2">
                  <c:v>33</c:v>
                </c:pt>
                <c:pt idx="3">
                  <c:v>28</c:v>
                </c:pt>
                <c:pt idx="4">
                  <c:v>31</c:v>
                </c:pt>
                <c:pt idx="5">
                  <c:v>34</c:v>
                </c:pt>
                <c:pt idx="6">
                  <c:v>35</c:v>
                </c:pt>
                <c:pt idx="7">
                  <c:v>35</c:v>
                </c:pt>
                <c:pt idx="8">
                  <c:v>36</c:v>
                </c:pt>
                <c:pt idx="9">
                  <c:v>32</c:v>
                </c:pt>
                <c:pt idx="10">
                  <c:v>30</c:v>
                </c:pt>
                <c:pt idx="11">
                  <c:v>27</c:v>
                </c:pt>
                <c:pt idx="12">
                  <c:v>28</c:v>
                </c:pt>
                <c:pt idx="13">
                  <c:v>35</c:v>
                </c:pt>
                <c:pt idx="14">
                  <c:v>36</c:v>
                </c:pt>
                <c:pt idx="15">
                  <c:v>30</c:v>
                </c:pt>
                <c:pt idx="16">
                  <c:v>32</c:v>
                </c:pt>
                <c:pt idx="17">
                  <c:v>35</c:v>
                </c:pt>
                <c:pt idx="18">
                  <c:v>34</c:v>
                </c:pt>
                <c:pt idx="19">
                  <c:v>32</c:v>
                </c:pt>
                <c:pt idx="20">
                  <c:v>33</c:v>
                </c:pt>
                <c:pt idx="21">
                  <c:v>31</c:v>
                </c:pt>
                <c:pt idx="22">
                  <c:v>31</c:v>
                </c:pt>
                <c:pt idx="23">
                  <c:v>32</c:v>
                </c:pt>
                <c:pt idx="24">
                  <c:v>31</c:v>
                </c:pt>
                <c:pt idx="25">
                  <c:v>30</c:v>
                </c:pt>
                <c:pt idx="26">
                  <c:v>35</c:v>
                </c:pt>
                <c:pt idx="27">
                  <c:v>30</c:v>
                </c:pt>
                <c:pt idx="28">
                  <c:v>35</c:v>
                </c:pt>
                <c:pt idx="29">
                  <c:v>38</c:v>
                </c:pt>
                <c:pt idx="30">
                  <c:v>46</c:v>
                </c:pt>
                <c:pt idx="31">
                  <c:v>45</c:v>
                </c:pt>
                <c:pt idx="32">
                  <c:v>35</c:v>
                </c:pt>
                <c:pt idx="33">
                  <c:v>33</c:v>
                </c:pt>
                <c:pt idx="34">
                  <c:v>35</c:v>
                </c:pt>
                <c:pt idx="35">
                  <c:v>38</c:v>
                </c:pt>
                <c:pt idx="36">
                  <c:v>36</c:v>
                </c:pt>
                <c:pt idx="37">
                  <c:v>32</c:v>
                </c:pt>
                <c:pt idx="38">
                  <c:v>38</c:v>
                </c:pt>
                <c:pt idx="39">
                  <c:v>35</c:v>
                </c:pt>
                <c:pt idx="40">
                  <c:v>39</c:v>
                </c:pt>
                <c:pt idx="41">
                  <c:v>44</c:v>
                </c:pt>
                <c:pt idx="42">
                  <c:v>48</c:v>
                </c:pt>
                <c:pt idx="43">
                  <c:v>52</c:v>
                </c:pt>
              </c:numCache>
            </c:numRef>
          </c:xVal>
          <c:yVal>
            <c:numRef>
              <c:f>'Scattergraph Data'!$C$201:$C$244</c:f>
              <c:numCache>
                <c:formatCode>General</c:formatCode>
                <c:ptCount val="44"/>
                <c:pt idx="0">
                  <c:v>21.120000839233398</c:v>
                </c:pt>
                <c:pt idx="1">
                  <c:v>21.120000839233398</c:v>
                </c:pt>
                <c:pt idx="2">
                  <c:v>21.120000839233398</c:v>
                </c:pt>
                <c:pt idx="3">
                  <c:v>21.120000839233398</c:v>
                </c:pt>
                <c:pt idx="4">
                  <c:v>21.120000839233398</c:v>
                </c:pt>
                <c:pt idx="5">
                  <c:v>21.120000839233398</c:v>
                </c:pt>
                <c:pt idx="6">
                  <c:v>19.850000381469702</c:v>
                </c:pt>
                <c:pt idx="7">
                  <c:v>21.120000839233398</c:v>
                </c:pt>
                <c:pt idx="8">
                  <c:v>21.120000839233398</c:v>
                </c:pt>
                <c:pt idx="9">
                  <c:v>21.120000839233398</c:v>
                </c:pt>
                <c:pt idx="10">
                  <c:v>21.120000839233398</c:v>
                </c:pt>
                <c:pt idx="11">
                  <c:v>21.120000839233398</c:v>
                </c:pt>
                <c:pt idx="12">
                  <c:v>21.120000839233398</c:v>
                </c:pt>
                <c:pt idx="13">
                  <c:v>19.870000839233398</c:v>
                </c:pt>
                <c:pt idx="14">
                  <c:v>21.120000839233398</c:v>
                </c:pt>
                <c:pt idx="15">
                  <c:v>21.120000839233398</c:v>
                </c:pt>
                <c:pt idx="16">
                  <c:v>21.120000839233398</c:v>
                </c:pt>
                <c:pt idx="17">
                  <c:v>21.120000839233398</c:v>
                </c:pt>
                <c:pt idx="18">
                  <c:v>21.120000839233398</c:v>
                </c:pt>
                <c:pt idx="19">
                  <c:v>21.120000839233398</c:v>
                </c:pt>
                <c:pt idx="20">
                  <c:v>19.940000534057599</c:v>
                </c:pt>
                <c:pt idx="21">
                  <c:v>21.120000839233398</c:v>
                </c:pt>
                <c:pt idx="22">
                  <c:v>21.120000839233398</c:v>
                </c:pt>
                <c:pt idx="23">
                  <c:v>21.120000839233398</c:v>
                </c:pt>
                <c:pt idx="24">
                  <c:v>21.120000839233398</c:v>
                </c:pt>
                <c:pt idx="25">
                  <c:v>21.120000839233398</c:v>
                </c:pt>
                <c:pt idx="26">
                  <c:v>21.120000839233398</c:v>
                </c:pt>
                <c:pt idx="27">
                  <c:v>19.840000152587901</c:v>
                </c:pt>
                <c:pt idx="28">
                  <c:v>21.120000839233398</c:v>
                </c:pt>
                <c:pt idx="29">
                  <c:v>21.120000839233398</c:v>
                </c:pt>
                <c:pt idx="30">
                  <c:v>21.120000839233398</c:v>
                </c:pt>
                <c:pt idx="31">
                  <c:v>21.120000839233398</c:v>
                </c:pt>
                <c:pt idx="32">
                  <c:v>21.120000839233398</c:v>
                </c:pt>
                <c:pt idx="33">
                  <c:v>21.120000839233398</c:v>
                </c:pt>
                <c:pt idx="34">
                  <c:v>20.069999694824201</c:v>
                </c:pt>
                <c:pt idx="35">
                  <c:v>20.670000076293899</c:v>
                </c:pt>
                <c:pt idx="36">
                  <c:v>21.120000839233398</c:v>
                </c:pt>
                <c:pt idx="37">
                  <c:v>21.120000839233398</c:v>
                </c:pt>
                <c:pt idx="38">
                  <c:v>21.120000839233398</c:v>
                </c:pt>
                <c:pt idx="39">
                  <c:v>21.120000839233398</c:v>
                </c:pt>
                <c:pt idx="40">
                  <c:v>21.120000839233398</c:v>
                </c:pt>
                <c:pt idx="41">
                  <c:v>19.659999847412099</c:v>
                </c:pt>
                <c:pt idx="42">
                  <c:v>21.120000839233398</c:v>
                </c:pt>
                <c:pt idx="43">
                  <c:v>21.120000839233398</c:v>
                </c:pt>
              </c:numCache>
            </c:numRef>
          </c:yVal>
          <c:smooth val="0"/>
          <c:extLst>
            <c:ext xmlns:c16="http://schemas.microsoft.com/office/drawing/2014/chart" uri="{C3380CC4-5D6E-409C-BE32-E72D297353CC}">
              <c16:uniqueId val="{00000001-3D80-459E-9D07-87CC70AA4CF4}"/>
            </c:ext>
          </c:extLst>
        </c:ser>
        <c:ser>
          <c:idx val="5"/>
          <c:order val="2"/>
          <c:tx>
            <c:v>COCTV</c:v>
          </c:tx>
          <c:spPr>
            <a:ln w="25400" cap="rnd">
              <a:noFill/>
              <a:round/>
            </a:ln>
            <a:effectLst/>
          </c:spPr>
          <c:marker>
            <c:symbol val="circle"/>
            <c:size val="5"/>
            <c:spPr>
              <a:solidFill>
                <a:schemeClr val="accent6"/>
              </a:solidFill>
              <a:ln w="9525">
                <a:solidFill>
                  <a:schemeClr val="accent6"/>
                </a:solidFill>
              </a:ln>
              <a:effectLst/>
            </c:spPr>
          </c:marker>
          <c:xVal>
            <c:numRef>
              <c:f>'Scattergraph Data'!$F$245:$F$341</c:f>
              <c:numCache>
                <c:formatCode>General</c:formatCode>
                <c:ptCount val="97"/>
                <c:pt idx="0">
                  <c:v>33</c:v>
                </c:pt>
                <c:pt idx="1">
                  <c:v>24</c:v>
                </c:pt>
                <c:pt idx="2">
                  <c:v>25</c:v>
                </c:pt>
                <c:pt idx="3">
                  <c:v>31</c:v>
                </c:pt>
                <c:pt idx="4">
                  <c:v>36</c:v>
                </c:pt>
                <c:pt idx="5">
                  <c:v>33</c:v>
                </c:pt>
                <c:pt idx="6">
                  <c:v>30</c:v>
                </c:pt>
                <c:pt idx="7">
                  <c:v>28</c:v>
                </c:pt>
                <c:pt idx="8">
                  <c:v>31</c:v>
                </c:pt>
                <c:pt idx="9">
                  <c:v>31</c:v>
                </c:pt>
                <c:pt idx="10">
                  <c:v>33</c:v>
                </c:pt>
                <c:pt idx="11">
                  <c:v>25</c:v>
                </c:pt>
                <c:pt idx="12">
                  <c:v>26</c:v>
                </c:pt>
                <c:pt idx="13">
                  <c:v>36</c:v>
                </c:pt>
                <c:pt idx="14">
                  <c:v>35</c:v>
                </c:pt>
                <c:pt idx="15">
                  <c:v>35</c:v>
                </c:pt>
                <c:pt idx="16">
                  <c:v>33</c:v>
                </c:pt>
                <c:pt idx="17">
                  <c:v>30</c:v>
                </c:pt>
                <c:pt idx="18">
                  <c:v>29</c:v>
                </c:pt>
                <c:pt idx="19">
                  <c:v>30</c:v>
                </c:pt>
                <c:pt idx="20">
                  <c:v>29</c:v>
                </c:pt>
                <c:pt idx="21">
                  <c:v>27</c:v>
                </c:pt>
                <c:pt idx="22">
                  <c:v>22</c:v>
                </c:pt>
                <c:pt idx="23">
                  <c:v>22</c:v>
                </c:pt>
                <c:pt idx="24">
                  <c:v>23</c:v>
                </c:pt>
                <c:pt idx="25">
                  <c:v>22</c:v>
                </c:pt>
                <c:pt idx="26">
                  <c:v>23</c:v>
                </c:pt>
                <c:pt idx="27">
                  <c:v>13</c:v>
                </c:pt>
                <c:pt idx="28">
                  <c:v>24</c:v>
                </c:pt>
                <c:pt idx="29">
                  <c:v>25</c:v>
                </c:pt>
                <c:pt idx="30">
                  <c:v>27</c:v>
                </c:pt>
                <c:pt idx="31">
                  <c:v>32</c:v>
                </c:pt>
                <c:pt idx="32">
                  <c:v>35</c:v>
                </c:pt>
                <c:pt idx="33">
                  <c:v>38</c:v>
                </c:pt>
                <c:pt idx="34">
                  <c:v>28</c:v>
                </c:pt>
                <c:pt idx="35">
                  <c:v>20</c:v>
                </c:pt>
                <c:pt idx="36">
                  <c:v>16</c:v>
                </c:pt>
                <c:pt idx="37">
                  <c:v>17</c:v>
                </c:pt>
                <c:pt idx="38">
                  <c:v>21</c:v>
                </c:pt>
                <c:pt idx="39">
                  <c:v>22</c:v>
                </c:pt>
                <c:pt idx="40">
                  <c:v>20</c:v>
                </c:pt>
                <c:pt idx="41">
                  <c:v>18</c:v>
                </c:pt>
                <c:pt idx="42">
                  <c:v>21</c:v>
                </c:pt>
                <c:pt idx="43">
                  <c:v>23</c:v>
                </c:pt>
                <c:pt idx="44">
                  <c:v>17</c:v>
                </c:pt>
                <c:pt idx="45">
                  <c:v>14</c:v>
                </c:pt>
                <c:pt idx="46">
                  <c:v>15</c:v>
                </c:pt>
                <c:pt idx="47">
                  <c:v>27</c:v>
                </c:pt>
                <c:pt idx="48">
                  <c:v>28</c:v>
                </c:pt>
                <c:pt idx="49">
                  <c:v>36</c:v>
                </c:pt>
                <c:pt idx="50">
                  <c:v>31</c:v>
                </c:pt>
                <c:pt idx="51">
                  <c:v>28</c:v>
                </c:pt>
                <c:pt idx="52">
                  <c:v>29</c:v>
                </c:pt>
                <c:pt idx="53">
                  <c:v>34</c:v>
                </c:pt>
                <c:pt idx="54">
                  <c:v>37</c:v>
                </c:pt>
                <c:pt idx="55">
                  <c:v>33</c:v>
                </c:pt>
                <c:pt idx="56">
                  <c:v>28</c:v>
                </c:pt>
                <c:pt idx="57">
                  <c:v>31</c:v>
                </c:pt>
                <c:pt idx="58">
                  <c:v>34</c:v>
                </c:pt>
                <c:pt idx="59">
                  <c:v>35</c:v>
                </c:pt>
                <c:pt idx="60">
                  <c:v>35</c:v>
                </c:pt>
                <c:pt idx="61">
                  <c:v>36</c:v>
                </c:pt>
                <c:pt idx="62">
                  <c:v>32</c:v>
                </c:pt>
                <c:pt idx="63">
                  <c:v>30</c:v>
                </c:pt>
                <c:pt idx="64">
                  <c:v>27</c:v>
                </c:pt>
                <c:pt idx="65">
                  <c:v>28</c:v>
                </c:pt>
                <c:pt idx="66">
                  <c:v>35</c:v>
                </c:pt>
                <c:pt idx="67">
                  <c:v>36</c:v>
                </c:pt>
                <c:pt idx="68">
                  <c:v>30</c:v>
                </c:pt>
                <c:pt idx="69">
                  <c:v>32</c:v>
                </c:pt>
                <c:pt idx="70">
                  <c:v>35</c:v>
                </c:pt>
                <c:pt idx="71">
                  <c:v>34</c:v>
                </c:pt>
                <c:pt idx="72">
                  <c:v>32</c:v>
                </c:pt>
                <c:pt idx="73">
                  <c:v>33</c:v>
                </c:pt>
                <c:pt idx="74">
                  <c:v>31</c:v>
                </c:pt>
                <c:pt idx="75">
                  <c:v>31</c:v>
                </c:pt>
                <c:pt idx="76">
                  <c:v>32</c:v>
                </c:pt>
                <c:pt idx="77">
                  <c:v>31</c:v>
                </c:pt>
                <c:pt idx="78">
                  <c:v>30</c:v>
                </c:pt>
                <c:pt idx="79">
                  <c:v>35</c:v>
                </c:pt>
                <c:pt idx="80">
                  <c:v>30</c:v>
                </c:pt>
                <c:pt idx="81">
                  <c:v>35</c:v>
                </c:pt>
                <c:pt idx="82">
                  <c:v>38</c:v>
                </c:pt>
                <c:pt idx="83">
                  <c:v>46</c:v>
                </c:pt>
                <c:pt idx="84">
                  <c:v>45</c:v>
                </c:pt>
                <c:pt idx="85">
                  <c:v>35</c:v>
                </c:pt>
                <c:pt idx="86">
                  <c:v>33</c:v>
                </c:pt>
                <c:pt idx="87">
                  <c:v>35</c:v>
                </c:pt>
                <c:pt idx="88">
                  <c:v>38</c:v>
                </c:pt>
                <c:pt idx="89">
                  <c:v>36</c:v>
                </c:pt>
                <c:pt idx="90">
                  <c:v>32</c:v>
                </c:pt>
                <c:pt idx="91">
                  <c:v>38</c:v>
                </c:pt>
                <c:pt idx="92">
                  <c:v>35</c:v>
                </c:pt>
                <c:pt idx="93">
                  <c:v>39</c:v>
                </c:pt>
                <c:pt idx="94">
                  <c:v>44</c:v>
                </c:pt>
                <c:pt idx="95">
                  <c:v>48</c:v>
                </c:pt>
                <c:pt idx="96">
                  <c:v>52</c:v>
                </c:pt>
              </c:numCache>
            </c:numRef>
          </c:xVal>
          <c:yVal>
            <c:numRef>
              <c:f>'Scattergraph Data'!$C$245:$C$341</c:f>
              <c:numCache>
                <c:formatCode>General</c:formatCode>
                <c:ptCount val="97"/>
                <c:pt idx="0">
                  <c:v>21.120000839233398</c:v>
                </c:pt>
                <c:pt idx="1">
                  <c:v>21.120000839233398</c:v>
                </c:pt>
                <c:pt idx="2">
                  <c:v>21.120000839233398</c:v>
                </c:pt>
                <c:pt idx="3">
                  <c:v>21.120000839233398</c:v>
                </c:pt>
                <c:pt idx="4">
                  <c:v>21.120000839233398</c:v>
                </c:pt>
                <c:pt idx="5">
                  <c:v>19.870000839233398</c:v>
                </c:pt>
                <c:pt idx="6">
                  <c:v>21.120000839233398</c:v>
                </c:pt>
                <c:pt idx="7">
                  <c:v>21.120000839233398</c:v>
                </c:pt>
                <c:pt idx="8">
                  <c:v>21.120000839233398</c:v>
                </c:pt>
                <c:pt idx="9">
                  <c:v>21.120000839233398</c:v>
                </c:pt>
                <c:pt idx="10">
                  <c:v>21.120000839233398</c:v>
                </c:pt>
                <c:pt idx="11">
                  <c:v>21.120000839233398</c:v>
                </c:pt>
                <c:pt idx="12">
                  <c:v>20.040000915527301</c:v>
                </c:pt>
                <c:pt idx="13">
                  <c:v>21.120000839233398</c:v>
                </c:pt>
                <c:pt idx="14">
                  <c:v>21.120000839233398</c:v>
                </c:pt>
                <c:pt idx="15">
                  <c:v>21.120000839233398</c:v>
                </c:pt>
                <c:pt idx="16">
                  <c:v>21.120000839233398</c:v>
                </c:pt>
                <c:pt idx="17">
                  <c:v>21.120000839233398</c:v>
                </c:pt>
                <c:pt idx="18">
                  <c:v>21.120000839233398</c:v>
                </c:pt>
                <c:pt idx="19">
                  <c:v>19.969999313354499</c:v>
                </c:pt>
                <c:pt idx="20">
                  <c:v>21.120000839233398</c:v>
                </c:pt>
                <c:pt idx="21">
                  <c:v>21.120000839233398</c:v>
                </c:pt>
                <c:pt idx="22">
                  <c:v>21.120000839233398</c:v>
                </c:pt>
                <c:pt idx="23">
                  <c:v>21.120000839233398</c:v>
                </c:pt>
                <c:pt idx="24">
                  <c:v>21.120000839233398</c:v>
                </c:pt>
                <c:pt idx="25">
                  <c:v>21.120000839233398</c:v>
                </c:pt>
                <c:pt idx="26">
                  <c:v>20.049999237060501</c:v>
                </c:pt>
                <c:pt idx="27">
                  <c:v>21.120000839233398</c:v>
                </c:pt>
                <c:pt idx="28">
                  <c:v>21.120000839233398</c:v>
                </c:pt>
                <c:pt idx="29">
                  <c:v>21.120000839233398</c:v>
                </c:pt>
                <c:pt idx="30">
                  <c:v>21.120000839233398</c:v>
                </c:pt>
                <c:pt idx="31">
                  <c:v>21.120000839233398</c:v>
                </c:pt>
                <c:pt idx="32">
                  <c:v>21.120000839233398</c:v>
                </c:pt>
                <c:pt idx="33">
                  <c:v>19.879999160766602</c:v>
                </c:pt>
                <c:pt idx="34">
                  <c:v>21.120000839233398</c:v>
                </c:pt>
                <c:pt idx="35">
                  <c:v>21.120000839233398</c:v>
                </c:pt>
                <c:pt idx="36">
                  <c:v>21.120000839233398</c:v>
                </c:pt>
                <c:pt idx="37">
                  <c:v>21.120000839233398</c:v>
                </c:pt>
                <c:pt idx="38">
                  <c:v>21.120000839233398</c:v>
                </c:pt>
                <c:pt idx="39">
                  <c:v>21.120000839233398</c:v>
                </c:pt>
                <c:pt idx="40">
                  <c:v>20.2299995422363</c:v>
                </c:pt>
                <c:pt idx="41">
                  <c:v>21.120000839233398</c:v>
                </c:pt>
                <c:pt idx="42">
                  <c:v>21.120000839233398</c:v>
                </c:pt>
                <c:pt idx="43">
                  <c:v>21.120000839233398</c:v>
                </c:pt>
                <c:pt idx="44">
                  <c:v>21.120000839233398</c:v>
                </c:pt>
                <c:pt idx="45">
                  <c:v>21.120000839233398</c:v>
                </c:pt>
                <c:pt idx="46">
                  <c:v>21.120000839233398</c:v>
                </c:pt>
                <c:pt idx="47">
                  <c:v>20.079999923706101</c:v>
                </c:pt>
                <c:pt idx="48">
                  <c:v>21.120000839233398</c:v>
                </c:pt>
                <c:pt idx="49">
                  <c:v>21.120000839233398</c:v>
                </c:pt>
                <c:pt idx="50">
                  <c:v>21.120000839233398</c:v>
                </c:pt>
                <c:pt idx="51">
                  <c:v>21.120000839233398</c:v>
                </c:pt>
                <c:pt idx="52">
                  <c:v>21.120000839233398</c:v>
                </c:pt>
                <c:pt idx="53">
                  <c:v>20.120000839233398</c:v>
                </c:pt>
                <c:pt idx="54">
                  <c:v>21.120000839233398</c:v>
                </c:pt>
                <c:pt idx="55">
                  <c:v>21.120000839233398</c:v>
                </c:pt>
                <c:pt idx="56">
                  <c:v>21.120000839233398</c:v>
                </c:pt>
                <c:pt idx="57">
                  <c:v>21.120000839233398</c:v>
                </c:pt>
                <c:pt idx="58">
                  <c:v>21.120000839233398</c:v>
                </c:pt>
                <c:pt idx="59">
                  <c:v>21.120000839233398</c:v>
                </c:pt>
                <c:pt idx="60">
                  <c:v>20.120000839233398</c:v>
                </c:pt>
                <c:pt idx="61">
                  <c:v>21.120000839233398</c:v>
                </c:pt>
                <c:pt idx="62">
                  <c:v>21.120000839233398</c:v>
                </c:pt>
                <c:pt idx="63">
                  <c:v>21.120000839233398</c:v>
                </c:pt>
                <c:pt idx="64">
                  <c:v>21.120000839233398</c:v>
                </c:pt>
                <c:pt idx="65">
                  <c:v>21.120000839233398</c:v>
                </c:pt>
                <c:pt idx="66">
                  <c:v>21.120000839233398</c:v>
                </c:pt>
                <c:pt idx="67">
                  <c:v>20.059999465942401</c:v>
                </c:pt>
                <c:pt idx="68">
                  <c:v>21.120000839233398</c:v>
                </c:pt>
                <c:pt idx="69">
                  <c:v>20.700000762939499</c:v>
                </c:pt>
                <c:pt idx="70">
                  <c:v>21.120000839233398</c:v>
                </c:pt>
                <c:pt idx="71">
                  <c:v>21.120000839233398</c:v>
                </c:pt>
                <c:pt idx="72">
                  <c:v>21.120000839233398</c:v>
                </c:pt>
                <c:pt idx="73">
                  <c:v>21.120000839233398</c:v>
                </c:pt>
                <c:pt idx="74">
                  <c:v>20.040000915527301</c:v>
                </c:pt>
                <c:pt idx="75">
                  <c:v>21.120000839233398</c:v>
                </c:pt>
                <c:pt idx="76">
                  <c:v>21.120000839233398</c:v>
                </c:pt>
                <c:pt idx="77">
                  <c:v>21.120000839233398</c:v>
                </c:pt>
                <c:pt idx="78">
                  <c:v>21.120000839233398</c:v>
                </c:pt>
                <c:pt idx="79">
                  <c:v>21.120000839233398</c:v>
                </c:pt>
                <c:pt idx="80">
                  <c:v>21.120000839233398</c:v>
                </c:pt>
                <c:pt idx="81">
                  <c:v>20.0100002288818</c:v>
                </c:pt>
                <c:pt idx="82">
                  <c:v>21.120000839233398</c:v>
                </c:pt>
                <c:pt idx="83">
                  <c:v>21.120000839233398</c:v>
                </c:pt>
                <c:pt idx="84">
                  <c:v>21.120000839233398</c:v>
                </c:pt>
                <c:pt idx="85">
                  <c:v>21.120000839233398</c:v>
                </c:pt>
                <c:pt idx="86">
                  <c:v>21.120000839233398</c:v>
                </c:pt>
                <c:pt idx="87">
                  <c:v>21.120000839233398</c:v>
                </c:pt>
                <c:pt idx="88">
                  <c:v>19.799999237060501</c:v>
                </c:pt>
                <c:pt idx="89">
                  <c:v>21.120000839233398</c:v>
                </c:pt>
                <c:pt idx="90">
                  <c:v>21.120000839233398</c:v>
                </c:pt>
                <c:pt idx="91">
                  <c:v>21.120000839233398</c:v>
                </c:pt>
                <c:pt idx="92">
                  <c:v>21.120000839233398</c:v>
                </c:pt>
                <c:pt idx="93">
                  <c:v>21.120000839233398</c:v>
                </c:pt>
                <c:pt idx="94">
                  <c:v>21.120000839233398</c:v>
                </c:pt>
                <c:pt idx="95">
                  <c:v>19.069999694824201</c:v>
                </c:pt>
                <c:pt idx="96">
                  <c:v>20.2600002288818</c:v>
                </c:pt>
              </c:numCache>
            </c:numRef>
          </c:yVal>
          <c:smooth val="0"/>
          <c:extLst>
            <c:ext xmlns:c16="http://schemas.microsoft.com/office/drawing/2014/chart" uri="{C3380CC4-5D6E-409C-BE32-E72D297353CC}">
              <c16:uniqueId val="{00000002-3D80-459E-9D07-87CC70AA4CF4}"/>
            </c:ext>
          </c:extLst>
        </c:ser>
        <c:ser>
          <c:idx val="7"/>
          <c:order val="3"/>
          <c:tx>
            <c:v>COMKR</c:v>
          </c:tx>
          <c:spPr>
            <a:ln w="25400" cap="rnd">
              <a:noFill/>
              <a:round/>
            </a:ln>
            <a:effectLst/>
          </c:spPr>
          <c:marker>
            <c:symbol val="circle"/>
            <c:size val="5"/>
            <c:spPr>
              <a:solidFill>
                <a:schemeClr val="accent2">
                  <a:lumMod val="60000"/>
                </a:schemeClr>
              </a:solidFill>
              <a:ln w="9525">
                <a:solidFill>
                  <a:schemeClr val="accent2">
                    <a:lumMod val="60000"/>
                  </a:schemeClr>
                </a:solidFill>
              </a:ln>
              <a:effectLst/>
            </c:spPr>
          </c:marker>
          <c:xVal>
            <c:numRef>
              <c:f>'Scattergraph Data'!$F$410:$F$427</c:f>
              <c:numCache>
                <c:formatCode>General</c:formatCode>
                <c:ptCount val="18"/>
                <c:pt idx="0">
                  <c:v>33</c:v>
                </c:pt>
                <c:pt idx="1">
                  <c:v>35</c:v>
                </c:pt>
                <c:pt idx="2">
                  <c:v>36</c:v>
                </c:pt>
                <c:pt idx="3">
                  <c:v>38</c:v>
                </c:pt>
                <c:pt idx="4">
                  <c:v>38</c:v>
                </c:pt>
                <c:pt idx="5">
                  <c:v>47</c:v>
                </c:pt>
                <c:pt idx="6">
                  <c:v>45</c:v>
                </c:pt>
                <c:pt idx="7">
                  <c:v>47</c:v>
                </c:pt>
                <c:pt idx="8">
                  <c:v>38</c:v>
                </c:pt>
                <c:pt idx="9">
                  <c:v>35</c:v>
                </c:pt>
                <c:pt idx="10">
                  <c:v>32</c:v>
                </c:pt>
                <c:pt idx="11">
                  <c:v>33</c:v>
                </c:pt>
                <c:pt idx="12">
                  <c:v>39</c:v>
                </c:pt>
                <c:pt idx="13">
                  <c:v>35</c:v>
                </c:pt>
                <c:pt idx="14">
                  <c:v>29</c:v>
                </c:pt>
                <c:pt idx="15">
                  <c:v>27</c:v>
                </c:pt>
                <c:pt idx="16">
                  <c:v>28</c:v>
                </c:pt>
                <c:pt idx="17">
                  <c:v>33</c:v>
                </c:pt>
              </c:numCache>
            </c:numRef>
          </c:xVal>
          <c:yVal>
            <c:numRef>
              <c:f>'Scattergraph Data'!$C$410:$C$427</c:f>
              <c:numCache>
                <c:formatCode>General</c:formatCode>
                <c:ptCount val="18"/>
                <c:pt idx="0">
                  <c:v>20.799999237060501</c:v>
                </c:pt>
                <c:pt idx="1">
                  <c:v>21.200000762939499</c:v>
                </c:pt>
                <c:pt idx="2">
                  <c:v>20.799999237060501</c:v>
                </c:pt>
                <c:pt idx="3">
                  <c:v>21.700000762939499</c:v>
                </c:pt>
                <c:pt idx="4">
                  <c:v>20.100000381469702</c:v>
                </c:pt>
                <c:pt idx="5">
                  <c:v>17.899999618530298</c:v>
                </c:pt>
                <c:pt idx="6">
                  <c:v>16.799999237060501</c:v>
                </c:pt>
                <c:pt idx="7">
                  <c:v>21.600000381469702</c:v>
                </c:pt>
                <c:pt idx="8">
                  <c:v>20.399999618530298</c:v>
                </c:pt>
                <c:pt idx="9">
                  <c:v>22.299999237060501</c:v>
                </c:pt>
                <c:pt idx="10">
                  <c:v>22.299999237060501</c:v>
                </c:pt>
                <c:pt idx="11">
                  <c:v>20.399999618530298</c:v>
                </c:pt>
                <c:pt idx="12">
                  <c:v>21</c:v>
                </c:pt>
                <c:pt idx="13">
                  <c:v>21.299999237060501</c:v>
                </c:pt>
                <c:pt idx="14">
                  <c:v>21.899999618530298</c:v>
                </c:pt>
                <c:pt idx="15">
                  <c:v>20.299999237060501</c:v>
                </c:pt>
                <c:pt idx="16">
                  <c:v>21</c:v>
                </c:pt>
                <c:pt idx="17">
                  <c:v>19.899999618530298</c:v>
                </c:pt>
              </c:numCache>
            </c:numRef>
          </c:yVal>
          <c:smooth val="0"/>
          <c:extLst>
            <c:ext xmlns:c16="http://schemas.microsoft.com/office/drawing/2014/chart" uri="{C3380CC4-5D6E-409C-BE32-E72D297353CC}">
              <c16:uniqueId val="{00000003-3D80-459E-9D07-87CC70AA4CF4}"/>
            </c:ext>
          </c:extLst>
        </c:ser>
        <c:ser>
          <c:idx val="8"/>
          <c:order val="4"/>
          <c:tx>
            <c:v>COMW</c:v>
          </c:tx>
          <c:spPr>
            <a:ln w="25400" cap="rnd">
              <a:noFill/>
              <a:round/>
            </a:ln>
            <a:effectLst/>
          </c:spPr>
          <c:marker>
            <c:symbol val="circle"/>
            <c:size val="5"/>
            <c:spPr>
              <a:solidFill>
                <a:schemeClr val="accent3">
                  <a:lumMod val="60000"/>
                </a:schemeClr>
              </a:solidFill>
              <a:ln w="9525">
                <a:solidFill>
                  <a:schemeClr val="accent3">
                    <a:lumMod val="60000"/>
                  </a:schemeClr>
                </a:solidFill>
              </a:ln>
              <a:effectLst/>
            </c:spPr>
          </c:marker>
          <c:xVal>
            <c:numRef>
              <c:f>'Scattergraph Data'!$F$428:$F$445</c:f>
              <c:numCache>
                <c:formatCode>General</c:formatCode>
                <c:ptCount val="18"/>
                <c:pt idx="0">
                  <c:v>33</c:v>
                </c:pt>
                <c:pt idx="1">
                  <c:v>35</c:v>
                </c:pt>
                <c:pt idx="2">
                  <c:v>36</c:v>
                </c:pt>
                <c:pt idx="3">
                  <c:v>38</c:v>
                </c:pt>
                <c:pt idx="4">
                  <c:v>38</c:v>
                </c:pt>
                <c:pt idx="5">
                  <c:v>47</c:v>
                </c:pt>
                <c:pt idx="6">
                  <c:v>45</c:v>
                </c:pt>
                <c:pt idx="7">
                  <c:v>47</c:v>
                </c:pt>
                <c:pt idx="8">
                  <c:v>38</c:v>
                </c:pt>
                <c:pt idx="9">
                  <c:v>35</c:v>
                </c:pt>
                <c:pt idx="10">
                  <c:v>32</c:v>
                </c:pt>
                <c:pt idx="11">
                  <c:v>33</c:v>
                </c:pt>
                <c:pt idx="12">
                  <c:v>39</c:v>
                </c:pt>
                <c:pt idx="13">
                  <c:v>35</c:v>
                </c:pt>
                <c:pt idx="14">
                  <c:v>29</c:v>
                </c:pt>
                <c:pt idx="15">
                  <c:v>27</c:v>
                </c:pt>
                <c:pt idx="16">
                  <c:v>28</c:v>
                </c:pt>
                <c:pt idx="17">
                  <c:v>33</c:v>
                </c:pt>
              </c:numCache>
            </c:numRef>
          </c:xVal>
          <c:yVal>
            <c:numRef>
              <c:f>'Scattergraph Data'!$C$428:$C$445</c:f>
              <c:numCache>
                <c:formatCode>General</c:formatCode>
                <c:ptCount val="18"/>
                <c:pt idx="0">
                  <c:v>22.799999237060501</c:v>
                </c:pt>
                <c:pt idx="1">
                  <c:v>22.799999237060501</c:v>
                </c:pt>
                <c:pt idx="2">
                  <c:v>22.799999237060501</c:v>
                </c:pt>
                <c:pt idx="3">
                  <c:v>22.799999237060501</c:v>
                </c:pt>
                <c:pt idx="4">
                  <c:v>22.799999237060501</c:v>
                </c:pt>
                <c:pt idx="5">
                  <c:v>21.600000381469702</c:v>
                </c:pt>
                <c:pt idx="6">
                  <c:v>22</c:v>
                </c:pt>
                <c:pt idx="7">
                  <c:v>22.799999237060501</c:v>
                </c:pt>
                <c:pt idx="8">
                  <c:v>22.799999237060501</c:v>
                </c:pt>
                <c:pt idx="9">
                  <c:v>22.799999237060501</c:v>
                </c:pt>
                <c:pt idx="10">
                  <c:v>22.799999237060501</c:v>
                </c:pt>
                <c:pt idx="11">
                  <c:v>22.799999237060501</c:v>
                </c:pt>
                <c:pt idx="12">
                  <c:v>22.100000381469702</c:v>
                </c:pt>
                <c:pt idx="13">
                  <c:v>22.799999237060501</c:v>
                </c:pt>
                <c:pt idx="14">
                  <c:v>22.799999237060501</c:v>
                </c:pt>
                <c:pt idx="15">
                  <c:v>22.799999237060501</c:v>
                </c:pt>
                <c:pt idx="16">
                  <c:v>22.799999237060501</c:v>
                </c:pt>
                <c:pt idx="17">
                  <c:v>22.799999237060501</c:v>
                </c:pt>
              </c:numCache>
            </c:numRef>
          </c:yVal>
          <c:smooth val="0"/>
          <c:extLst>
            <c:ext xmlns:c16="http://schemas.microsoft.com/office/drawing/2014/chart" uri="{C3380CC4-5D6E-409C-BE32-E72D297353CC}">
              <c16:uniqueId val="{00000004-3D80-459E-9D07-87CC70AA4CF4}"/>
            </c:ext>
          </c:extLst>
        </c:ser>
        <c:ser>
          <c:idx val="10"/>
          <c:order val="5"/>
          <c:tx>
            <c:v>KE ECAM</c:v>
          </c:tx>
          <c:spPr>
            <a:ln w="25400" cap="rnd">
              <a:noFill/>
              <a:round/>
            </a:ln>
            <a:effectLst/>
          </c:spPr>
          <c:marker>
            <c:symbol val="circle"/>
            <c:size val="5"/>
            <c:spPr>
              <a:solidFill>
                <a:schemeClr val="accent5">
                  <a:lumMod val="60000"/>
                </a:schemeClr>
              </a:solidFill>
              <a:ln w="9525">
                <a:solidFill>
                  <a:schemeClr val="accent5">
                    <a:lumMod val="60000"/>
                  </a:schemeClr>
                </a:solidFill>
              </a:ln>
              <a:effectLst/>
            </c:spPr>
          </c:marker>
          <c:xVal>
            <c:numRef>
              <c:f>'Scattergraph Data'!$F$506:$F$539</c:f>
              <c:numCache>
                <c:formatCode>General</c:formatCode>
                <c:ptCount val="34"/>
                <c:pt idx="0">
                  <c:v>29</c:v>
                </c:pt>
                <c:pt idx="1">
                  <c:v>29</c:v>
                </c:pt>
                <c:pt idx="2">
                  <c:v>32</c:v>
                </c:pt>
                <c:pt idx="3">
                  <c:v>34</c:v>
                </c:pt>
                <c:pt idx="4">
                  <c:v>32</c:v>
                </c:pt>
                <c:pt idx="5">
                  <c:v>29</c:v>
                </c:pt>
                <c:pt idx="6">
                  <c:v>29</c:v>
                </c:pt>
                <c:pt idx="7">
                  <c:v>26</c:v>
                </c:pt>
                <c:pt idx="8">
                  <c:v>25</c:v>
                </c:pt>
                <c:pt idx="9">
                  <c:v>24</c:v>
                </c:pt>
                <c:pt idx="10">
                  <c:v>28</c:v>
                </c:pt>
                <c:pt idx="11">
                  <c:v>32</c:v>
                </c:pt>
                <c:pt idx="12">
                  <c:v>32</c:v>
                </c:pt>
                <c:pt idx="13">
                  <c:v>36</c:v>
                </c:pt>
                <c:pt idx="14">
                  <c:v>46</c:v>
                </c:pt>
                <c:pt idx="15">
                  <c:v>41</c:v>
                </c:pt>
                <c:pt idx="16">
                  <c:v>38</c:v>
                </c:pt>
                <c:pt idx="17">
                  <c:v>30</c:v>
                </c:pt>
                <c:pt idx="18">
                  <c:v>30</c:v>
                </c:pt>
                <c:pt idx="19">
                  <c:v>32</c:v>
                </c:pt>
                <c:pt idx="20">
                  <c:v>39</c:v>
                </c:pt>
                <c:pt idx="21">
                  <c:v>42</c:v>
                </c:pt>
                <c:pt idx="22">
                  <c:v>41</c:v>
                </c:pt>
                <c:pt idx="23">
                  <c:v>31</c:v>
                </c:pt>
                <c:pt idx="24">
                  <c:v>32</c:v>
                </c:pt>
                <c:pt idx="25">
                  <c:v>34</c:v>
                </c:pt>
                <c:pt idx="26">
                  <c:v>34</c:v>
                </c:pt>
                <c:pt idx="27">
                  <c:v>32</c:v>
                </c:pt>
                <c:pt idx="28">
                  <c:v>22</c:v>
                </c:pt>
                <c:pt idx="29">
                  <c:v>18</c:v>
                </c:pt>
                <c:pt idx="30">
                  <c:v>25</c:v>
                </c:pt>
                <c:pt idx="31">
                  <c:v>34</c:v>
                </c:pt>
                <c:pt idx="32">
                  <c:v>26</c:v>
                </c:pt>
                <c:pt idx="33">
                  <c:v>24</c:v>
                </c:pt>
              </c:numCache>
            </c:numRef>
          </c:xVal>
          <c:yVal>
            <c:numRef>
              <c:f>'Scattergraph Data'!$C$506:$C$539</c:f>
              <c:numCache>
                <c:formatCode>General</c:formatCode>
                <c:ptCount val="34"/>
                <c:pt idx="0">
                  <c:v>21.920000076293899</c:v>
                </c:pt>
                <c:pt idx="1">
                  <c:v>22.319999694824201</c:v>
                </c:pt>
                <c:pt idx="2">
                  <c:v>22.319999694824201</c:v>
                </c:pt>
                <c:pt idx="3">
                  <c:v>22.319999694824201</c:v>
                </c:pt>
                <c:pt idx="4">
                  <c:v>22.319999694824201</c:v>
                </c:pt>
                <c:pt idx="5">
                  <c:v>22.319999694824201</c:v>
                </c:pt>
                <c:pt idx="6">
                  <c:v>22.319999694824201</c:v>
                </c:pt>
                <c:pt idx="7">
                  <c:v>22.059999465942401</c:v>
                </c:pt>
                <c:pt idx="8">
                  <c:v>22.319999694824201</c:v>
                </c:pt>
                <c:pt idx="9">
                  <c:v>22.319999694824201</c:v>
                </c:pt>
                <c:pt idx="10">
                  <c:v>22.319999694824201</c:v>
                </c:pt>
                <c:pt idx="11">
                  <c:v>22.319999694824201</c:v>
                </c:pt>
                <c:pt idx="12">
                  <c:v>22.319999694824201</c:v>
                </c:pt>
                <c:pt idx="13">
                  <c:v>22.319999694824201</c:v>
                </c:pt>
                <c:pt idx="14">
                  <c:v>21.819999694824201</c:v>
                </c:pt>
                <c:pt idx="15">
                  <c:v>22.319999694824201</c:v>
                </c:pt>
                <c:pt idx="16">
                  <c:v>22.319999694824201</c:v>
                </c:pt>
                <c:pt idx="17">
                  <c:v>22.319999694824201</c:v>
                </c:pt>
                <c:pt idx="18">
                  <c:v>22.319999694824201</c:v>
                </c:pt>
                <c:pt idx="19">
                  <c:v>22.319999694824201</c:v>
                </c:pt>
                <c:pt idx="20">
                  <c:v>22.319999694824201</c:v>
                </c:pt>
                <c:pt idx="21">
                  <c:v>21.690000534057599</c:v>
                </c:pt>
                <c:pt idx="22">
                  <c:v>22.319999694824201</c:v>
                </c:pt>
                <c:pt idx="23">
                  <c:v>22.319999694824201</c:v>
                </c:pt>
                <c:pt idx="24">
                  <c:v>22.319999694824201</c:v>
                </c:pt>
                <c:pt idx="25">
                  <c:v>22.319999694824201</c:v>
                </c:pt>
                <c:pt idx="26">
                  <c:v>22.319999694824201</c:v>
                </c:pt>
                <c:pt idx="27">
                  <c:v>22.319999694824201</c:v>
                </c:pt>
                <c:pt idx="28">
                  <c:v>22.120000839233398</c:v>
                </c:pt>
                <c:pt idx="29">
                  <c:v>22.319999694824201</c:v>
                </c:pt>
                <c:pt idx="30">
                  <c:v>22.319999694824201</c:v>
                </c:pt>
                <c:pt idx="31">
                  <c:v>22.319999694824201</c:v>
                </c:pt>
                <c:pt idx="32">
                  <c:v>22.319999694824201</c:v>
                </c:pt>
                <c:pt idx="33">
                  <c:v>22.319999694824201</c:v>
                </c:pt>
              </c:numCache>
            </c:numRef>
          </c:yVal>
          <c:smooth val="0"/>
          <c:extLst>
            <c:ext xmlns:c16="http://schemas.microsoft.com/office/drawing/2014/chart" uri="{C3380CC4-5D6E-409C-BE32-E72D297353CC}">
              <c16:uniqueId val="{00000005-3D80-459E-9D07-87CC70AA4CF4}"/>
            </c:ext>
          </c:extLst>
        </c:ser>
        <c:ser>
          <c:idx val="14"/>
          <c:order val="6"/>
          <c:tx>
            <c:v>PCDC</c:v>
          </c:tx>
          <c:spPr>
            <a:ln w="25400" cap="rnd">
              <a:no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xVal>
            <c:numRef>
              <c:f>'Scattergraph Data'!$F$674:$F$813</c:f>
              <c:numCache>
                <c:formatCode>General</c:formatCode>
                <c:ptCount val="140"/>
                <c:pt idx="0">
                  <c:v>49</c:v>
                </c:pt>
                <c:pt idx="1">
                  <c:v>41</c:v>
                </c:pt>
                <c:pt idx="2">
                  <c:v>50</c:v>
                </c:pt>
                <c:pt idx="3">
                  <c:v>47</c:v>
                </c:pt>
                <c:pt idx="4">
                  <c:v>48</c:v>
                </c:pt>
                <c:pt idx="5">
                  <c:v>57</c:v>
                </c:pt>
                <c:pt idx="6">
                  <c:v>64</c:v>
                </c:pt>
                <c:pt idx="7">
                  <c:v>60</c:v>
                </c:pt>
                <c:pt idx="8">
                  <c:v>59</c:v>
                </c:pt>
                <c:pt idx="9">
                  <c:v>52</c:v>
                </c:pt>
                <c:pt idx="10">
                  <c:v>43</c:v>
                </c:pt>
                <c:pt idx="11">
                  <c:v>48</c:v>
                </c:pt>
                <c:pt idx="12">
                  <c:v>48</c:v>
                </c:pt>
                <c:pt idx="13">
                  <c:v>46</c:v>
                </c:pt>
                <c:pt idx="14">
                  <c:v>44</c:v>
                </c:pt>
                <c:pt idx="15">
                  <c:v>42</c:v>
                </c:pt>
                <c:pt idx="16">
                  <c:v>46</c:v>
                </c:pt>
                <c:pt idx="17">
                  <c:v>40</c:v>
                </c:pt>
                <c:pt idx="18">
                  <c:v>47</c:v>
                </c:pt>
                <c:pt idx="19">
                  <c:v>49</c:v>
                </c:pt>
                <c:pt idx="20">
                  <c:v>57</c:v>
                </c:pt>
                <c:pt idx="21">
                  <c:v>56</c:v>
                </c:pt>
                <c:pt idx="22">
                  <c:v>48</c:v>
                </c:pt>
                <c:pt idx="23">
                  <c:v>58</c:v>
                </c:pt>
                <c:pt idx="24">
                  <c:v>65</c:v>
                </c:pt>
                <c:pt idx="25">
                  <c:v>64</c:v>
                </c:pt>
                <c:pt idx="26">
                  <c:v>66</c:v>
                </c:pt>
                <c:pt idx="27">
                  <c:v>64</c:v>
                </c:pt>
                <c:pt idx="28">
                  <c:v>58</c:v>
                </c:pt>
                <c:pt idx="29">
                  <c:v>53</c:v>
                </c:pt>
                <c:pt idx="30">
                  <c:v>50</c:v>
                </c:pt>
                <c:pt idx="31">
                  <c:v>55</c:v>
                </c:pt>
                <c:pt idx="32">
                  <c:v>54</c:v>
                </c:pt>
                <c:pt idx="33">
                  <c:v>53</c:v>
                </c:pt>
                <c:pt idx="34">
                  <c:v>48</c:v>
                </c:pt>
                <c:pt idx="35">
                  <c:v>51</c:v>
                </c:pt>
                <c:pt idx="36">
                  <c:v>51</c:v>
                </c:pt>
                <c:pt idx="37">
                  <c:v>52</c:v>
                </c:pt>
                <c:pt idx="38">
                  <c:v>45</c:v>
                </c:pt>
                <c:pt idx="39">
                  <c:v>52</c:v>
                </c:pt>
                <c:pt idx="40">
                  <c:v>50</c:v>
                </c:pt>
                <c:pt idx="41">
                  <c:v>53</c:v>
                </c:pt>
                <c:pt idx="42">
                  <c:v>49</c:v>
                </c:pt>
                <c:pt idx="43">
                  <c:v>55</c:v>
                </c:pt>
                <c:pt idx="44">
                  <c:v>54</c:v>
                </c:pt>
                <c:pt idx="45">
                  <c:v>52</c:v>
                </c:pt>
                <c:pt idx="46">
                  <c:v>64</c:v>
                </c:pt>
                <c:pt idx="47">
                  <c:v>53</c:v>
                </c:pt>
                <c:pt idx="48">
                  <c:v>42</c:v>
                </c:pt>
                <c:pt idx="49">
                  <c:v>51</c:v>
                </c:pt>
                <c:pt idx="50">
                  <c:v>51</c:v>
                </c:pt>
                <c:pt idx="51">
                  <c:v>45</c:v>
                </c:pt>
                <c:pt idx="52">
                  <c:v>46</c:v>
                </c:pt>
                <c:pt idx="53">
                  <c:v>57</c:v>
                </c:pt>
                <c:pt idx="54">
                  <c:v>56</c:v>
                </c:pt>
                <c:pt idx="55">
                  <c:v>53</c:v>
                </c:pt>
                <c:pt idx="56">
                  <c:v>68</c:v>
                </c:pt>
                <c:pt idx="57">
                  <c:v>59</c:v>
                </c:pt>
                <c:pt idx="58">
                  <c:v>59</c:v>
                </c:pt>
                <c:pt idx="59">
                  <c:v>52</c:v>
                </c:pt>
                <c:pt idx="60">
                  <c:v>58</c:v>
                </c:pt>
                <c:pt idx="61">
                  <c:v>59</c:v>
                </c:pt>
                <c:pt idx="62">
                  <c:v>72</c:v>
                </c:pt>
                <c:pt idx="63">
                  <c:v>69</c:v>
                </c:pt>
                <c:pt idx="64">
                  <c:v>71</c:v>
                </c:pt>
                <c:pt idx="65">
                  <c:v>71</c:v>
                </c:pt>
                <c:pt idx="66">
                  <c:v>77</c:v>
                </c:pt>
                <c:pt idx="67">
                  <c:v>56</c:v>
                </c:pt>
                <c:pt idx="68">
                  <c:v>56</c:v>
                </c:pt>
                <c:pt idx="69">
                  <c:v>63</c:v>
                </c:pt>
                <c:pt idx="70">
                  <c:v>64</c:v>
                </c:pt>
                <c:pt idx="71">
                  <c:v>67</c:v>
                </c:pt>
                <c:pt idx="72">
                  <c:v>64</c:v>
                </c:pt>
                <c:pt idx="73">
                  <c:v>66</c:v>
                </c:pt>
                <c:pt idx="74">
                  <c:v>58</c:v>
                </c:pt>
                <c:pt idx="75">
                  <c:v>58</c:v>
                </c:pt>
                <c:pt idx="76">
                  <c:v>65</c:v>
                </c:pt>
                <c:pt idx="77">
                  <c:v>68</c:v>
                </c:pt>
                <c:pt idx="78">
                  <c:v>73</c:v>
                </c:pt>
                <c:pt idx="79">
                  <c:v>76</c:v>
                </c:pt>
                <c:pt idx="80">
                  <c:v>79</c:v>
                </c:pt>
                <c:pt idx="81">
                  <c:v>75</c:v>
                </c:pt>
                <c:pt idx="82">
                  <c:v>75</c:v>
                </c:pt>
                <c:pt idx="83">
                  <c:v>77</c:v>
                </c:pt>
                <c:pt idx="84">
                  <c:v>83</c:v>
                </c:pt>
                <c:pt idx="85">
                  <c:v>70</c:v>
                </c:pt>
                <c:pt idx="86">
                  <c:v>66</c:v>
                </c:pt>
                <c:pt idx="87">
                  <c:v>72</c:v>
                </c:pt>
                <c:pt idx="88">
                  <c:v>71</c:v>
                </c:pt>
                <c:pt idx="89">
                  <c:v>73</c:v>
                </c:pt>
                <c:pt idx="90">
                  <c:v>73</c:v>
                </c:pt>
                <c:pt idx="91">
                  <c:v>73</c:v>
                </c:pt>
                <c:pt idx="92">
                  <c:v>68</c:v>
                </c:pt>
                <c:pt idx="93">
                  <c:v>72</c:v>
                </c:pt>
                <c:pt idx="94">
                  <c:v>67</c:v>
                </c:pt>
                <c:pt idx="95">
                  <c:v>60</c:v>
                </c:pt>
                <c:pt idx="96">
                  <c:v>66</c:v>
                </c:pt>
                <c:pt idx="97">
                  <c:v>76</c:v>
                </c:pt>
                <c:pt idx="98">
                  <c:v>73</c:v>
                </c:pt>
                <c:pt idx="99">
                  <c:v>71</c:v>
                </c:pt>
                <c:pt idx="100">
                  <c:v>69</c:v>
                </c:pt>
                <c:pt idx="101">
                  <c:v>68</c:v>
                </c:pt>
                <c:pt idx="102">
                  <c:v>74</c:v>
                </c:pt>
                <c:pt idx="103">
                  <c:v>72</c:v>
                </c:pt>
                <c:pt idx="104">
                  <c:v>74</c:v>
                </c:pt>
                <c:pt idx="105">
                  <c:v>73</c:v>
                </c:pt>
                <c:pt idx="106">
                  <c:v>75</c:v>
                </c:pt>
                <c:pt idx="107">
                  <c:v>71</c:v>
                </c:pt>
                <c:pt idx="108">
                  <c:v>72</c:v>
                </c:pt>
                <c:pt idx="109">
                  <c:v>71</c:v>
                </c:pt>
                <c:pt idx="110">
                  <c:v>75</c:v>
                </c:pt>
                <c:pt idx="111">
                  <c:v>74</c:v>
                </c:pt>
                <c:pt idx="112">
                  <c:v>72</c:v>
                </c:pt>
                <c:pt idx="113">
                  <c:v>65</c:v>
                </c:pt>
                <c:pt idx="114">
                  <c:v>64</c:v>
                </c:pt>
                <c:pt idx="115">
                  <c:v>67</c:v>
                </c:pt>
                <c:pt idx="116">
                  <c:v>74</c:v>
                </c:pt>
                <c:pt idx="117">
                  <c:v>75</c:v>
                </c:pt>
                <c:pt idx="118">
                  <c:v>74</c:v>
                </c:pt>
                <c:pt idx="119">
                  <c:v>65</c:v>
                </c:pt>
                <c:pt idx="120">
                  <c:v>70</c:v>
                </c:pt>
                <c:pt idx="121">
                  <c:v>62</c:v>
                </c:pt>
                <c:pt idx="122">
                  <c:v>57</c:v>
                </c:pt>
                <c:pt idx="123">
                  <c:v>56</c:v>
                </c:pt>
                <c:pt idx="124">
                  <c:v>66</c:v>
                </c:pt>
                <c:pt idx="125">
                  <c:v>72</c:v>
                </c:pt>
                <c:pt idx="126">
                  <c:v>69</c:v>
                </c:pt>
                <c:pt idx="127">
                  <c:v>64</c:v>
                </c:pt>
                <c:pt idx="128">
                  <c:v>60</c:v>
                </c:pt>
                <c:pt idx="129">
                  <c:v>66</c:v>
                </c:pt>
                <c:pt idx="130">
                  <c:v>61</c:v>
                </c:pt>
                <c:pt idx="131">
                  <c:v>60</c:v>
                </c:pt>
                <c:pt idx="132">
                  <c:v>58</c:v>
                </c:pt>
                <c:pt idx="133">
                  <c:v>60</c:v>
                </c:pt>
                <c:pt idx="134">
                  <c:v>58</c:v>
                </c:pt>
                <c:pt idx="135">
                  <c:v>58</c:v>
                </c:pt>
                <c:pt idx="136">
                  <c:v>57</c:v>
                </c:pt>
                <c:pt idx="137">
                  <c:v>61</c:v>
                </c:pt>
                <c:pt idx="138">
                  <c:v>63</c:v>
                </c:pt>
                <c:pt idx="139">
                  <c:v>57</c:v>
                </c:pt>
              </c:numCache>
            </c:numRef>
          </c:xVal>
          <c:yVal>
            <c:numRef>
              <c:f>'Scattergraph Data'!$C$674:$C$813</c:f>
              <c:numCache>
                <c:formatCode>General</c:formatCode>
                <c:ptCount val="140"/>
                <c:pt idx="0">
                  <c:v>73.099998474121094</c:v>
                </c:pt>
                <c:pt idx="1">
                  <c:v>75.400001525878906</c:v>
                </c:pt>
                <c:pt idx="2">
                  <c:v>72.800003051757798</c:v>
                </c:pt>
                <c:pt idx="3">
                  <c:v>66.599998474121094</c:v>
                </c:pt>
                <c:pt idx="4">
                  <c:v>63.799999237060497</c:v>
                </c:pt>
                <c:pt idx="5">
                  <c:v>57.799999237060497</c:v>
                </c:pt>
                <c:pt idx="6">
                  <c:v>48.799999237060497</c:v>
                </c:pt>
                <c:pt idx="7">
                  <c:v>46.700000762939503</c:v>
                </c:pt>
                <c:pt idx="8">
                  <c:v>47.5</c:v>
                </c:pt>
                <c:pt idx="9">
                  <c:v>59.900001525878899</c:v>
                </c:pt>
                <c:pt idx="10">
                  <c:v>75.199996948242202</c:v>
                </c:pt>
                <c:pt idx="11">
                  <c:v>69.099998474121094</c:v>
                </c:pt>
                <c:pt idx="12">
                  <c:v>67.699996948242202</c:v>
                </c:pt>
                <c:pt idx="13">
                  <c:v>60.599998474121101</c:v>
                </c:pt>
                <c:pt idx="14">
                  <c:v>74.699996948242202</c:v>
                </c:pt>
                <c:pt idx="15">
                  <c:v>75.699996948242202</c:v>
                </c:pt>
                <c:pt idx="16">
                  <c:v>70.099998474121094</c:v>
                </c:pt>
                <c:pt idx="17">
                  <c:v>80.699996948242202</c:v>
                </c:pt>
                <c:pt idx="18">
                  <c:v>72.599998474121094</c:v>
                </c:pt>
                <c:pt idx="19">
                  <c:v>50.900001525878899</c:v>
                </c:pt>
                <c:pt idx="20">
                  <c:v>57.200000762939503</c:v>
                </c:pt>
                <c:pt idx="21">
                  <c:v>55.400001525878899</c:v>
                </c:pt>
                <c:pt idx="22">
                  <c:v>71.599998474121094</c:v>
                </c:pt>
                <c:pt idx="23">
                  <c:v>51.099998474121101</c:v>
                </c:pt>
                <c:pt idx="24">
                  <c:v>51.799999237060497</c:v>
                </c:pt>
                <c:pt idx="25">
                  <c:v>39.299999237060497</c:v>
                </c:pt>
                <c:pt idx="26">
                  <c:v>46.5</c:v>
                </c:pt>
                <c:pt idx="27">
                  <c:v>44</c:v>
                </c:pt>
                <c:pt idx="28">
                  <c:v>50.299999237060497</c:v>
                </c:pt>
                <c:pt idx="29">
                  <c:v>63</c:v>
                </c:pt>
                <c:pt idx="30">
                  <c:v>62.5</c:v>
                </c:pt>
                <c:pt idx="31">
                  <c:v>57.400001525878899</c:v>
                </c:pt>
                <c:pt idx="32">
                  <c:v>58.700000762939503</c:v>
                </c:pt>
                <c:pt idx="33">
                  <c:v>61.900001525878899</c:v>
                </c:pt>
                <c:pt idx="34">
                  <c:v>69.300003051757798</c:v>
                </c:pt>
                <c:pt idx="35">
                  <c:v>65.699996948242202</c:v>
                </c:pt>
                <c:pt idx="36">
                  <c:v>66.199996948242202</c:v>
                </c:pt>
                <c:pt idx="37">
                  <c:v>67.599998474121094</c:v>
                </c:pt>
                <c:pt idx="38">
                  <c:v>72.599998474121094</c:v>
                </c:pt>
                <c:pt idx="39">
                  <c:v>52.299999237060497</c:v>
                </c:pt>
                <c:pt idx="40">
                  <c:v>64.800003051757798</c:v>
                </c:pt>
                <c:pt idx="41">
                  <c:v>56.799999237060497</c:v>
                </c:pt>
                <c:pt idx="42">
                  <c:v>65.300003051757798</c:v>
                </c:pt>
                <c:pt idx="43">
                  <c:v>56.799999237060497</c:v>
                </c:pt>
                <c:pt idx="44">
                  <c:v>55.299999237060497</c:v>
                </c:pt>
                <c:pt idx="45">
                  <c:v>60.700000762939503</c:v>
                </c:pt>
                <c:pt idx="46">
                  <c:v>46.200000762939503</c:v>
                </c:pt>
                <c:pt idx="47">
                  <c:v>58.299999237060497</c:v>
                </c:pt>
                <c:pt idx="48">
                  <c:v>76.699996948242202</c:v>
                </c:pt>
                <c:pt idx="49">
                  <c:v>51.599998474121101</c:v>
                </c:pt>
                <c:pt idx="50">
                  <c:v>63.599998474121101</c:v>
                </c:pt>
                <c:pt idx="51">
                  <c:v>68.5</c:v>
                </c:pt>
                <c:pt idx="52">
                  <c:v>71.800003051757798</c:v>
                </c:pt>
                <c:pt idx="53">
                  <c:v>46.799999237060497</c:v>
                </c:pt>
                <c:pt idx="54">
                  <c:v>57.099998474121101</c:v>
                </c:pt>
                <c:pt idx="55">
                  <c:v>50.799999237060497</c:v>
                </c:pt>
                <c:pt idx="56">
                  <c:v>47.5</c:v>
                </c:pt>
                <c:pt idx="57">
                  <c:v>46.900001525878899</c:v>
                </c:pt>
                <c:pt idx="58">
                  <c:v>51.799999237060497</c:v>
                </c:pt>
                <c:pt idx="59">
                  <c:v>60.200000762939503</c:v>
                </c:pt>
                <c:pt idx="60">
                  <c:v>61.799999237060497</c:v>
                </c:pt>
                <c:pt idx="61">
                  <c:v>48.400001525878899</c:v>
                </c:pt>
                <c:pt idx="62">
                  <c:v>43.700000762939503</c:v>
                </c:pt>
                <c:pt idx="63">
                  <c:v>37.700000762939503</c:v>
                </c:pt>
                <c:pt idx="64">
                  <c:v>38.900001525878899</c:v>
                </c:pt>
                <c:pt idx="65">
                  <c:v>38.599998474121101</c:v>
                </c:pt>
                <c:pt idx="66">
                  <c:v>26.899999618530298</c:v>
                </c:pt>
                <c:pt idx="67">
                  <c:v>56.5</c:v>
                </c:pt>
                <c:pt idx="68">
                  <c:v>55.299999237060497</c:v>
                </c:pt>
                <c:pt idx="69">
                  <c:v>45.400001525878899</c:v>
                </c:pt>
                <c:pt idx="70">
                  <c:v>41.700000762939503</c:v>
                </c:pt>
                <c:pt idx="71">
                  <c:v>42.599998474121101</c:v>
                </c:pt>
                <c:pt idx="72">
                  <c:v>44.099998474121101</c:v>
                </c:pt>
                <c:pt idx="73">
                  <c:v>43.5</c:v>
                </c:pt>
                <c:pt idx="74">
                  <c:v>52.299999237060497</c:v>
                </c:pt>
                <c:pt idx="75">
                  <c:v>55.299999237060497</c:v>
                </c:pt>
                <c:pt idx="76">
                  <c:v>44.900001525878899</c:v>
                </c:pt>
                <c:pt idx="77">
                  <c:v>41.5</c:v>
                </c:pt>
                <c:pt idx="78">
                  <c:v>31.200000762939499</c:v>
                </c:pt>
                <c:pt idx="79">
                  <c:v>31.399999618530298</c:v>
                </c:pt>
                <c:pt idx="80">
                  <c:v>17</c:v>
                </c:pt>
                <c:pt idx="81">
                  <c:v>31.399999618530298</c:v>
                </c:pt>
                <c:pt idx="82">
                  <c:v>34.299999237060497</c:v>
                </c:pt>
                <c:pt idx="83">
                  <c:v>24.200000762939499</c:v>
                </c:pt>
                <c:pt idx="84">
                  <c:v>23.200000762939499</c:v>
                </c:pt>
                <c:pt idx="85">
                  <c:v>32.200000762939503</c:v>
                </c:pt>
                <c:pt idx="86">
                  <c:v>37.200000762939503</c:v>
                </c:pt>
                <c:pt idx="87">
                  <c:v>35.5</c:v>
                </c:pt>
                <c:pt idx="88">
                  <c:v>32</c:v>
                </c:pt>
                <c:pt idx="89">
                  <c:v>33.700000762939503</c:v>
                </c:pt>
                <c:pt idx="90">
                  <c:v>29.100000381469702</c:v>
                </c:pt>
                <c:pt idx="91">
                  <c:v>30.700000762939499</c:v>
                </c:pt>
                <c:pt idx="92">
                  <c:v>39.700000762939503</c:v>
                </c:pt>
                <c:pt idx="93">
                  <c:v>33.400001525878899</c:v>
                </c:pt>
                <c:pt idx="94">
                  <c:v>31.399999618530298</c:v>
                </c:pt>
                <c:pt idx="95">
                  <c:v>49.5</c:v>
                </c:pt>
                <c:pt idx="96">
                  <c:v>31</c:v>
                </c:pt>
                <c:pt idx="97">
                  <c:v>34.299999237060497</c:v>
                </c:pt>
                <c:pt idx="98">
                  <c:v>34.200000762939503</c:v>
                </c:pt>
                <c:pt idx="99">
                  <c:v>31.899999618530298</c:v>
                </c:pt>
                <c:pt idx="100">
                  <c:v>37.299999237060497</c:v>
                </c:pt>
                <c:pt idx="101">
                  <c:v>35.200000762939503</c:v>
                </c:pt>
                <c:pt idx="102">
                  <c:v>39.099998474121101</c:v>
                </c:pt>
                <c:pt idx="103">
                  <c:v>31.899999618530298</c:v>
                </c:pt>
                <c:pt idx="104">
                  <c:v>24.799999237060501</c:v>
                </c:pt>
                <c:pt idx="105">
                  <c:v>24.100000381469702</c:v>
                </c:pt>
                <c:pt idx="106">
                  <c:v>20.399999618530298</c:v>
                </c:pt>
                <c:pt idx="107">
                  <c:v>35.400001525878899</c:v>
                </c:pt>
                <c:pt idx="108">
                  <c:v>33.700000762939503</c:v>
                </c:pt>
                <c:pt idx="109">
                  <c:v>35.799999237060497</c:v>
                </c:pt>
                <c:pt idx="110">
                  <c:v>32.200000762939503</c:v>
                </c:pt>
                <c:pt idx="111">
                  <c:v>30.799999237060501</c:v>
                </c:pt>
                <c:pt idx="112">
                  <c:v>37</c:v>
                </c:pt>
                <c:pt idx="113">
                  <c:v>50</c:v>
                </c:pt>
                <c:pt idx="114">
                  <c:v>46</c:v>
                </c:pt>
                <c:pt idx="115">
                  <c:v>39.700000762939503</c:v>
                </c:pt>
                <c:pt idx="116">
                  <c:v>33.599998474121101</c:v>
                </c:pt>
                <c:pt idx="117">
                  <c:v>33.200000762939503</c:v>
                </c:pt>
                <c:pt idx="118">
                  <c:v>25.200000762939499</c:v>
                </c:pt>
                <c:pt idx="119">
                  <c:v>46.400001525878899</c:v>
                </c:pt>
                <c:pt idx="120">
                  <c:v>40.5</c:v>
                </c:pt>
                <c:pt idx="121">
                  <c:v>46.400001525878899</c:v>
                </c:pt>
                <c:pt idx="122">
                  <c:v>53.599998474121101</c:v>
                </c:pt>
                <c:pt idx="123">
                  <c:v>52.5</c:v>
                </c:pt>
                <c:pt idx="124">
                  <c:v>41.799999237060497</c:v>
                </c:pt>
                <c:pt idx="125">
                  <c:v>38.099998474121101</c:v>
                </c:pt>
                <c:pt idx="126">
                  <c:v>39.200000762939503</c:v>
                </c:pt>
                <c:pt idx="127">
                  <c:v>43</c:v>
                </c:pt>
                <c:pt idx="128">
                  <c:v>50.099998474121101</c:v>
                </c:pt>
                <c:pt idx="129">
                  <c:v>45.400001525878899</c:v>
                </c:pt>
                <c:pt idx="130">
                  <c:v>46</c:v>
                </c:pt>
                <c:pt idx="131">
                  <c:v>51.900001525878899</c:v>
                </c:pt>
                <c:pt idx="132">
                  <c:v>41.799999237060497</c:v>
                </c:pt>
                <c:pt idx="133">
                  <c:v>51.5</c:v>
                </c:pt>
                <c:pt idx="134">
                  <c:v>51.099998474121101</c:v>
                </c:pt>
                <c:pt idx="135">
                  <c:v>54</c:v>
                </c:pt>
                <c:pt idx="136">
                  <c:v>54.5</c:v>
                </c:pt>
                <c:pt idx="137">
                  <c:v>50.599998474121101</c:v>
                </c:pt>
                <c:pt idx="138">
                  <c:v>47.700000762939503</c:v>
                </c:pt>
                <c:pt idx="139">
                  <c:v>55.5</c:v>
                </c:pt>
              </c:numCache>
            </c:numRef>
          </c:yVal>
          <c:smooth val="0"/>
          <c:extLst>
            <c:ext xmlns:c16="http://schemas.microsoft.com/office/drawing/2014/chart" uri="{C3380CC4-5D6E-409C-BE32-E72D297353CC}">
              <c16:uniqueId val="{00000006-3D80-459E-9D07-87CC70AA4CF4}"/>
            </c:ext>
          </c:extLst>
        </c:ser>
        <c:ser>
          <c:idx val="15"/>
          <c:order val="7"/>
          <c:tx>
            <c:v>TCWP</c:v>
          </c:tx>
          <c:spPr>
            <a:ln w="25400" cap="rnd">
              <a:noFill/>
              <a:round/>
            </a:ln>
            <a:effectLst/>
          </c:spPr>
          <c:marker>
            <c:symbol val="circle"/>
            <c:size val="5"/>
            <c:spPr>
              <a:solidFill>
                <a:schemeClr val="accent4">
                  <a:lumMod val="80000"/>
                  <a:lumOff val="20000"/>
                </a:schemeClr>
              </a:solidFill>
              <a:ln w="9525">
                <a:solidFill>
                  <a:schemeClr val="accent4">
                    <a:lumMod val="80000"/>
                    <a:lumOff val="20000"/>
                  </a:schemeClr>
                </a:solidFill>
              </a:ln>
              <a:effectLst/>
            </c:spPr>
          </c:marker>
          <c:xVal>
            <c:numRef>
              <c:f>'Scattergraph Data'!$F$814:$F$858</c:f>
              <c:numCache>
                <c:formatCode>General</c:formatCode>
                <c:ptCount val="45"/>
                <c:pt idx="0">
                  <c:v>33</c:v>
                </c:pt>
                <c:pt idx="1">
                  <c:v>33</c:v>
                </c:pt>
                <c:pt idx="2">
                  <c:v>31</c:v>
                </c:pt>
                <c:pt idx="3">
                  <c:v>35</c:v>
                </c:pt>
                <c:pt idx="4">
                  <c:v>31</c:v>
                </c:pt>
                <c:pt idx="5">
                  <c:v>28</c:v>
                </c:pt>
                <c:pt idx="6">
                  <c:v>34</c:v>
                </c:pt>
                <c:pt idx="7">
                  <c:v>34</c:v>
                </c:pt>
                <c:pt idx="8">
                  <c:v>33</c:v>
                </c:pt>
                <c:pt idx="9">
                  <c:v>33</c:v>
                </c:pt>
                <c:pt idx="10">
                  <c:v>41</c:v>
                </c:pt>
                <c:pt idx="11">
                  <c:v>40</c:v>
                </c:pt>
                <c:pt idx="12">
                  <c:v>32</c:v>
                </c:pt>
                <c:pt idx="13">
                  <c:v>37</c:v>
                </c:pt>
                <c:pt idx="14">
                  <c:v>36</c:v>
                </c:pt>
                <c:pt idx="15">
                  <c:v>32</c:v>
                </c:pt>
                <c:pt idx="16">
                  <c:v>28</c:v>
                </c:pt>
                <c:pt idx="17">
                  <c:v>26</c:v>
                </c:pt>
                <c:pt idx="18">
                  <c:v>30</c:v>
                </c:pt>
                <c:pt idx="19">
                  <c:v>30</c:v>
                </c:pt>
                <c:pt idx="20">
                  <c:v>32</c:v>
                </c:pt>
                <c:pt idx="21">
                  <c:v>42</c:v>
                </c:pt>
                <c:pt idx="22">
                  <c:v>47</c:v>
                </c:pt>
                <c:pt idx="23">
                  <c:v>47</c:v>
                </c:pt>
                <c:pt idx="24">
                  <c:v>30</c:v>
                </c:pt>
                <c:pt idx="25">
                  <c:v>30</c:v>
                </c:pt>
                <c:pt idx="26">
                  <c:v>34</c:v>
                </c:pt>
                <c:pt idx="27">
                  <c:v>45</c:v>
                </c:pt>
                <c:pt idx="28">
                  <c:v>45</c:v>
                </c:pt>
                <c:pt idx="29">
                  <c:v>40</c:v>
                </c:pt>
                <c:pt idx="30">
                  <c:v>38</c:v>
                </c:pt>
                <c:pt idx="31">
                  <c:v>43</c:v>
                </c:pt>
                <c:pt idx="32">
                  <c:v>35</c:v>
                </c:pt>
                <c:pt idx="33">
                  <c:v>47</c:v>
                </c:pt>
                <c:pt idx="34">
                  <c:v>42</c:v>
                </c:pt>
                <c:pt idx="35">
                  <c:v>35</c:v>
                </c:pt>
                <c:pt idx="36">
                  <c:v>35</c:v>
                </c:pt>
                <c:pt idx="37">
                  <c:v>34</c:v>
                </c:pt>
                <c:pt idx="38">
                  <c:v>36</c:v>
                </c:pt>
                <c:pt idx="39">
                  <c:v>38</c:v>
                </c:pt>
                <c:pt idx="40">
                  <c:v>40</c:v>
                </c:pt>
                <c:pt idx="41">
                  <c:v>38</c:v>
                </c:pt>
                <c:pt idx="42">
                  <c:v>39</c:v>
                </c:pt>
                <c:pt idx="43">
                  <c:v>44</c:v>
                </c:pt>
                <c:pt idx="44">
                  <c:v>41</c:v>
                </c:pt>
              </c:numCache>
            </c:numRef>
          </c:xVal>
          <c:yVal>
            <c:numRef>
              <c:f>'Scattergraph Data'!$C$814:$C$858</c:f>
              <c:numCache>
                <c:formatCode>General</c:formatCode>
                <c:ptCount val="45"/>
                <c:pt idx="0">
                  <c:v>23.170000076293899</c:v>
                </c:pt>
                <c:pt idx="1">
                  <c:v>22.379999160766602</c:v>
                </c:pt>
                <c:pt idx="2">
                  <c:v>23.280000686645501</c:v>
                </c:pt>
                <c:pt idx="3">
                  <c:v>22.9799995422363</c:v>
                </c:pt>
                <c:pt idx="4">
                  <c:v>23.280000686645501</c:v>
                </c:pt>
                <c:pt idx="5">
                  <c:v>22.420000076293899</c:v>
                </c:pt>
                <c:pt idx="6">
                  <c:v>22.430000305175799</c:v>
                </c:pt>
                <c:pt idx="7">
                  <c:v>23.280000686645501</c:v>
                </c:pt>
                <c:pt idx="8">
                  <c:v>23.280000686645501</c:v>
                </c:pt>
                <c:pt idx="9">
                  <c:v>23.280000686645501</c:v>
                </c:pt>
                <c:pt idx="10">
                  <c:v>23.159999847412099</c:v>
                </c:pt>
                <c:pt idx="11">
                  <c:v>22.950000762939499</c:v>
                </c:pt>
                <c:pt idx="12">
                  <c:v>22.930000305175799</c:v>
                </c:pt>
                <c:pt idx="13">
                  <c:v>23.159999847412099</c:v>
                </c:pt>
                <c:pt idx="14">
                  <c:v>23.059999465942401</c:v>
                </c:pt>
                <c:pt idx="15">
                  <c:v>23.280000686645501</c:v>
                </c:pt>
                <c:pt idx="16">
                  <c:v>23.280000686645501</c:v>
                </c:pt>
                <c:pt idx="17">
                  <c:v>22.9899997711182</c:v>
                </c:pt>
                <c:pt idx="18">
                  <c:v>23.280000686645501</c:v>
                </c:pt>
                <c:pt idx="19">
                  <c:v>22.930000305175799</c:v>
                </c:pt>
                <c:pt idx="20">
                  <c:v>23.280000686645501</c:v>
                </c:pt>
                <c:pt idx="21">
                  <c:v>22.639999389648398</c:v>
                </c:pt>
                <c:pt idx="22">
                  <c:v>21.299999237060501</c:v>
                </c:pt>
                <c:pt idx="23">
                  <c:v>21.139999389648398</c:v>
                </c:pt>
                <c:pt idx="24">
                  <c:v>23.120000839233398</c:v>
                </c:pt>
                <c:pt idx="25">
                  <c:v>23.280000686645501</c:v>
                </c:pt>
                <c:pt idx="26">
                  <c:v>21.5100002288818</c:v>
                </c:pt>
                <c:pt idx="27">
                  <c:v>20.950000762939499</c:v>
                </c:pt>
                <c:pt idx="28">
                  <c:v>21.209999084472699</c:v>
                </c:pt>
                <c:pt idx="29">
                  <c:v>22.110000610351602</c:v>
                </c:pt>
                <c:pt idx="30">
                  <c:v>21.540000915527301</c:v>
                </c:pt>
                <c:pt idx="31">
                  <c:v>22.079999923706101</c:v>
                </c:pt>
                <c:pt idx="32">
                  <c:v>22.709999084472699</c:v>
                </c:pt>
                <c:pt idx="33">
                  <c:v>20.0100002288818</c:v>
                </c:pt>
                <c:pt idx="34">
                  <c:v>20.149999618530298</c:v>
                </c:pt>
                <c:pt idx="35">
                  <c:v>22.0100002288818</c:v>
                </c:pt>
                <c:pt idx="36">
                  <c:v>22.610000610351602</c:v>
                </c:pt>
                <c:pt idx="37">
                  <c:v>23.200000762939499</c:v>
                </c:pt>
                <c:pt idx="38">
                  <c:v>23.280000686645501</c:v>
                </c:pt>
                <c:pt idx="39">
                  <c:v>21</c:v>
                </c:pt>
                <c:pt idx="40">
                  <c:v>20.569999694824201</c:v>
                </c:pt>
                <c:pt idx="41">
                  <c:v>21.840000152587901</c:v>
                </c:pt>
                <c:pt idx="42">
                  <c:v>20.9799995422363</c:v>
                </c:pt>
                <c:pt idx="43">
                  <c:v>19.639999389648398</c:v>
                </c:pt>
                <c:pt idx="44">
                  <c:v>21.120000839233398</c:v>
                </c:pt>
              </c:numCache>
            </c:numRef>
          </c:yVal>
          <c:smooth val="0"/>
          <c:extLst>
            <c:ext xmlns:c16="http://schemas.microsoft.com/office/drawing/2014/chart" uri="{C3380CC4-5D6E-409C-BE32-E72D297353CC}">
              <c16:uniqueId val="{00000007-3D80-459E-9D07-87CC70AA4CF4}"/>
            </c:ext>
          </c:extLst>
        </c:ser>
        <c:dLbls>
          <c:showLegendKey val="0"/>
          <c:showVal val="0"/>
          <c:showCatName val="0"/>
          <c:showSerName val="0"/>
          <c:showPercent val="0"/>
          <c:showBubbleSize val="0"/>
        </c:dLbls>
        <c:axId val="433392584"/>
        <c:axId val="433392192"/>
      </c:scatterChart>
      <c:valAx>
        <c:axId val="4333925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Temperature (Deg F)</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433392192"/>
        <c:crosses val="autoZero"/>
        <c:crossBetween val="midCat"/>
      </c:valAx>
      <c:valAx>
        <c:axId val="433392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kWh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433392584"/>
        <c:crosses val="autoZero"/>
        <c:crossBetween val="midCat"/>
      </c:valAx>
      <c:spPr>
        <a:noFill/>
        <a:ln>
          <a:noFill/>
        </a:ln>
        <a:effectLst/>
      </c:spPr>
    </c:plotArea>
    <c:legend>
      <c:legendPos val="r"/>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7D4E-C66A-47EE-82CA-09989B76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16</Pages>
  <Words>4515</Words>
  <Characters>25736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30191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Rosillo Sr., Adan</cp:lastModifiedBy>
  <cp:revision>2</cp:revision>
  <cp:lastPrinted>2017-06-29T20:58:00Z</cp:lastPrinted>
  <dcterms:created xsi:type="dcterms:W3CDTF">2021-07-06T20:51:00Z</dcterms:created>
  <dcterms:modified xsi:type="dcterms:W3CDTF">2021-07-06T20:51:00Z</dcterms:modified>
  <cp:category/>
</cp:coreProperties>
</file>