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2E883"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B5E174B" w14:textId="77777777" w:rsidTr="00B93F3D">
        <w:trPr>
          <w:cantSplit/>
          <w:trHeight w:hRule="exact" w:val="1890"/>
          <w:jc w:val="right"/>
        </w:trPr>
        <w:tc>
          <w:tcPr>
            <w:tcW w:w="9000" w:type="dxa"/>
            <w:shd w:val="clear" w:color="auto" w:fill="8DC63F"/>
            <w:vAlign w:val="center"/>
          </w:tcPr>
          <w:p w14:paraId="3A4E96D9" w14:textId="77777777" w:rsidR="00BD221D" w:rsidRPr="00301521" w:rsidRDefault="00AF1297" w:rsidP="00BD221D">
            <w:pPr>
              <w:pStyle w:val="eTRMHeading1"/>
              <w:jc w:val="center"/>
              <w:rPr>
                <w:sz w:val="28"/>
              </w:rPr>
            </w:pPr>
            <w:r w:rsidRPr="00301521">
              <w:rPr>
                <w:sz w:val="28"/>
              </w:rPr>
              <w:t>LIGHTING</w:t>
            </w:r>
          </w:p>
          <w:p w14:paraId="33E47496" w14:textId="19B236E1" w:rsidR="00BD221D" w:rsidRPr="00B93F3D" w:rsidRDefault="00C64487" w:rsidP="00B93F3D">
            <w:pPr>
              <w:pStyle w:val="eTRMHeading2"/>
              <w:rPr>
                <w:spacing w:val="60"/>
                <w:sz w:val="28"/>
              </w:rPr>
            </w:pPr>
            <w:r w:rsidRPr="00B93F3D">
              <w:t>LED Ambient Fixtures and Retrofit Kits</w:t>
            </w:r>
            <w:r w:rsidR="00B93F3D" w:rsidRPr="00B93F3D">
              <w:t>, Commercial</w:t>
            </w:r>
          </w:p>
          <w:p w14:paraId="73FDD194" w14:textId="4B8D9F40" w:rsidR="00301521" w:rsidRPr="00B93F3D" w:rsidRDefault="00301521" w:rsidP="00B93F3D">
            <w:pPr>
              <w:pStyle w:val="eTRMHeading2"/>
              <w:rPr>
                <w:spacing w:val="0"/>
              </w:rPr>
            </w:pPr>
            <w:r w:rsidRPr="00B93F3D">
              <w:rPr>
                <w:spacing w:val="0"/>
                <w:sz w:val="28"/>
                <w:szCs w:val="22"/>
              </w:rPr>
              <w:t>SWLG012-0</w:t>
            </w:r>
            <w:r w:rsidR="001C358D">
              <w:rPr>
                <w:spacing w:val="0"/>
                <w:sz w:val="28"/>
                <w:szCs w:val="22"/>
              </w:rPr>
              <w:t>1</w:t>
            </w:r>
          </w:p>
        </w:tc>
      </w:tr>
    </w:tbl>
    <w:p w14:paraId="13B09441" w14:textId="77777777" w:rsidR="00BD221D" w:rsidRDefault="00BD221D" w:rsidP="00BD221D"/>
    <w:p w14:paraId="78344CC3" w14:textId="77777777" w:rsidR="00D12B8C" w:rsidRPr="00E14349" w:rsidRDefault="007E1F66" w:rsidP="0053748E">
      <w:pPr>
        <w:jc w:val="center"/>
        <w:rPr>
          <w:spacing w:val="80"/>
          <w:sz w:val="28"/>
        </w:rPr>
      </w:pPr>
      <w:r w:rsidRPr="00E14349">
        <w:rPr>
          <w:spacing w:val="80"/>
          <w:sz w:val="28"/>
        </w:rPr>
        <w:t>CONTENTS</w:t>
      </w:r>
    </w:p>
    <w:p w14:paraId="472EDA5A" w14:textId="6A5ABF84" w:rsidR="00D84FBF" w:rsidRDefault="006B5C51">
      <w:pPr>
        <w:pStyle w:val="TOC3"/>
        <w:rPr>
          <w:rFonts w:asciiTheme="minorHAnsi" w:hAnsiTheme="minorHAnsi"/>
          <w:noProof/>
          <w:szCs w:val="22"/>
        </w:rPr>
      </w:pPr>
      <w:r>
        <w:fldChar w:fldCharType="begin"/>
      </w:r>
      <w:r w:rsidR="001C6C9B">
        <w:instrText xml:space="preserve"> TOC \t "eTRM Heading 3,3" </w:instrText>
      </w:r>
      <w:r>
        <w:fldChar w:fldCharType="separate"/>
      </w:r>
      <w:r w:rsidR="00D84FBF">
        <w:rPr>
          <w:noProof/>
        </w:rPr>
        <w:t>Measure Name</w:t>
      </w:r>
      <w:r w:rsidR="00D84FBF">
        <w:rPr>
          <w:noProof/>
        </w:rPr>
        <w:tab/>
      </w:r>
      <w:r w:rsidR="00D84FBF">
        <w:rPr>
          <w:noProof/>
        </w:rPr>
        <w:fldChar w:fldCharType="begin"/>
      </w:r>
      <w:r w:rsidR="00D84FBF">
        <w:rPr>
          <w:noProof/>
        </w:rPr>
        <w:instrText xml:space="preserve"> PAGEREF _Toc12626354 \h </w:instrText>
      </w:r>
      <w:r w:rsidR="00D84FBF">
        <w:rPr>
          <w:noProof/>
        </w:rPr>
      </w:r>
      <w:r w:rsidR="00D84FBF">
        <w:rPr>
          <w:noProof/>
        </w:rPr>
        <w:fldChar w:fldCharType="separate"/>
      </w:r>
      <w:r w:rsidR="00A870D2">
        <w:rPr>
          <w:noProof/>
        </w:rPr>
        <w:t>2</w:t>
      </w:r>
      <w:r w:rsidR="00D84FBF">
        <w:rPr>
          <w:noProof/>
        </w:rPr>
        <w:fldChar w:fldCharType="end"/>
      </w:r>
    </w:p>
    <w:p w14:paraId="6B7B8B61" w14:textId="51DDB282" w:rsidR="00D84FBF" w:rsidRDefault="00D84FB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_Toc12626355 \h </w:instrText>
      </w:r>
      <w:r>
        <w:rPr>
          <w:noProof/>
        </w:rPr>
      </w:r>
      <w:r>
        <w:rPr>
          <w:noProof/>
        </w:rPr>
        <w:fldChar w:fldCharType="separate"/>
      </w:r>
      <w:r w:rsidR="00A870D2">
        <w:rPr>
          <w:noProof/>
        </w:rPr>
        <w:t>2</w:t>
      </w:r>
      <w:r>
        <w:rPr>
          <w:noProof/>
        </w:rPr>
        <w:fldChar w:fldCharType="end"/>
      </w:r>
    </w:p>
    <w:p w14:paraId="7D9EFC86" w14:textId="05B5CC08" w:rsidR="00D84FBF" w:rsidRDefault="00D84FB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_Toc12626356 \h </w:instrText>
      </w:r>
      <w:r>
        <w:rPr>
          <w:noProof/>
        </w:rPr>
      </w:r>
      <w:r>
        <w:rPr>
          <w:noProof/>
        </w:rPr>
        <w:fldChar w:fldCharType="separate"/>
      </w:r>
      <w:r w:rsidR="00A870D2">
        <w:rPr>
          <w:noProof/>
        </w:rPr>
        <w:t>2</w:t>
      </w:r>
      <w:r>
        <w:rPr>
          <w:noProof/>
        </w:rPr>
        <w:fldChar w:fldCharType="end"/>
      </w:r>
    </w:p>
    <w:p w14:paraId="574A9D49" w14:textId="64E1EF93" w:rsidR="00D84FBF" w:rsidRDefault="00D84FB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_Toc12626357 \h </w:instrText>
      </w:r>
      <w:r>
        <w:rPr>
          <w:noProof/>
        </w:rPr>
      </w:r>
      <w:r>
        <w:rPr>
          <w:noProof/>
        </w:rPr>
        <w:fldChar w:fldCharType="separate"/>
      </w:r>
      <w:r w:rsidR="00A870D2">
        <w:rPr>
          <w:noProof/>
        </w:rPr>
        <w:t>8</w:t>
      </w:r>
      <w:r>
        <w:rPr>
          <w:noProof/>
        </w:rPr>
        <w:fldChar w:fldCharType="end"/>
      </w:r>
    </w:p>
    <w:p w14:paraId="6480D60E" w14:textId="7CE7A7AD" w:rsidR="00D84FBF" w:rsidRDefault="00D84FB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_Toc12626358 \h </w:instrText>
      </w:r>
      <w:r>
        <w:rPr>
          <w:noProof/>
        </w:rPr>
      </w:r>
      <w:r>
        <w:rPr>
          <w:noProof/>
        </w:rPr>
        <w:fldChar w:fldCharType="separate"/>
      </w:r>
      <w:r w:rsidR="00A870D2">
        <w:rPr>
          <w:noProof/>
        </w:rPr>
        <w:t>9</w:t>
      </w:r>
      <w:r>
        <w:rPr>
          <w:noProof/>
        </w:rPr>
        <w:fldChar w:fldCharType="end"/>
      </w:r>
    </w:p>
    <w:p w14:paraId="3DA0BD70" w14:textId="70D01991" w:rsidR="00D84FBF" w:rsidRDefault="00D84FB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_Toc12626359 \h </w:instrText>
      </w:r>
      <w:r>
        <w:rPr>
          <w:noProof/>
        </w:rPr>
      </w:r>
      <w:r>
        <w:rPr>
          <w:noProof/>
        </w:rPr>
        <w:fldChar w:fldCharType="separate"/>
      </w:r>
      <w:r w:rsidR="00A870D2">
        <w:rPr>
          <w:noProof/>
        </w:rPr>
        <w:t>10</w:t>
      </w:r>
      <w:r>
        <w:rPr>
          <w:noProof/>
        </w:rPr>
        <w:fldChar w:fldCharType="end"/>
      </w:r>
    </w:p>
    <w:p w14:paraId="5A90502C" w14:textId="7A916472" w:rsidR="00D84FBF" w:rsidRDefault="00D84FB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_Toc12626360 \h </w:instrText>
      </w:r>
      <w:r>
        <w:rPr>
          <w:noProof/>
        </w:rPr>
      </w:r>
      <w:r>
        <w:rPr>
          <w:noProof/>
        </w:rPr>
        <w:fldChar w:fldCharType="separate"/>
      </w:r>
      <w:r w:rsidR="00A870D2">
        <w:rPr>
          <w:noProof/>
        </w:rPr>
        <w:t>10</w:t>
      </w:r>
      <w:r>
        <w:rPr>
          <w:noProof/>
        </w:rPr>
        <w:fldChar w:fldCharType="end"/>
      </w:r>
    </w:p>
    <w:p w14:paraId="6D6083B2" w14:textId="1AA1AA5B" w:rsidR="00D84FBF" w:rsidRDefault="00D84FB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_Toc12626361 \h </w:instrText>
      </w:r>
      <w:r>
        <w:rPr>
          <w:noProof/>
        </w:rPr>
      </w:r>
      <w:r>
        <w:rPr>
          <w:noProof/>
        </w:rPr>
        <w:fldChar w:fldCharType="separate"/>
      </w:r>
      <w:r w:rsidR="00A870D2">
        <w:rPr>
          <w:noProof/>
        </w:rPr>
        <w:t>11</w:t>
      </w:r>
      <w:r>
        <w:rPr>
          <w:noProof/>
        </w:rPr>
        <w:fldChar w:fldCharType="end"/>
      </w:r>
    </w:p>
    <w:p w14:paraId="2AA92A18" w14:textId="77C71BD7" w:rsidR="00D84FBF" w:rsidRDefault="00D84FB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_Toc12626362 \h </w:instrText>
      </w:r>
      <w:r>
        <w:rPr>
          <w:noProof/>
        </w:rPr>
      </w:r>
      <w:r>
        <w:rPr>
          <w:noProof/>
        </w:rPr>
        <w:fldChar w:fldCharType="separate"/>
      </w:r>
      <w:r w:rsidR="00A870D2">
        <w:rPr>
          <w:noProof/>
        </w:rPr>
        <w:t>12</w:t>
      </w:r>
      <w:r>
        <w:rPr>
          <w:noProof/>
        </w:rPr>
        <w:fldChar w:fldCharType="end"/>
      </w:r>
    </w:p>
    <w:p w14:paraId="36C099E2" w14:textId="60611023" w:rsidR="00D84FBF" w:rsidRDefault="00D84FB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_Toc12626363 \h </w:instrText>
      </w:r>
      <w:r>
        <w:rPr>
          <w:noProof/>
        </w:rPr>
      </w:r>
      <w:r>
        <w:rPr>
          <w:noProof/>
        </w:rPr>
        <w:fldChar w:fldCharType="separate"/>
      </w:r>
      <w:r w:rsidR="00A870D2">
        <w:rPr>
          <w:noProof/>
        </w:rPr>
        <w:t>12</w:t>
      </w:r>
      <w:r>
        <w:rPr>
          <w:noProof/>
        </w:rPr>
        <w:fldChar w:fldCharType="end"/>
      </w:r>
    </w:p>
    <w:p w14:paraId="15DC51AA" w14:textId="6707ED36" w:rsidR="00D84FBF" w:rsidRDefault="00D84FB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_Toc12626364 \h </w:instrText>
      </w:r>
      <w:r>
        <w:rPr>
          <w:noProof/>
        </w:rPr>
      </w:r>
      <w:r>
        <w:rPr>
          <w:noProof/>
        </w:rPr>
        <w:fldChar w:fldCharType="separate"/>
      </w:r>
      <w:r w:rsidR="00A870D2">
        <w:rPr>
          <w:noProof/>
        </w:rPr>
        <w:t>12</w:t>
      </w:r>
      <w:r>
        <w:rPr>
          <w:noProof/>
        </w:rPr>
        <w:fldChar w:fldCharType="end"/>
      </w:r>
    </w:p>
    <w:p w14:paraId="4035A313" w14:textId="21A345CE" w:rsidR="00D84FBF" w:rsidRDefault="00D84FBF">
      <w:pPr>
        <w:pStyle w:val="TOC3"/>
        <w:rPr>
          <w:rFonts w:asciiTheme="minorHAnsi" w:hAnsiTheme="minorHAnsi"/>
          <w:noProof/>
          <w:szCs w:val="22"/>
        </w:rPr>
      </w:pPr>
      <w:r>
        <w:rPr>
          <w:noProof/>
        </w:rPr>
        <w:t>Electric Savings (</w:t>
      </w:r>
      <w:r w:rsidRPr="004E16E5">
        <w:rPr>
          <w:noProof/>
        </w:rPr>
        <w:t>k</w:t>
      </w:r>
      <w:r>
        <w:rPr>
          <w:noProof/>
        </w:rPr>
        <w:t>W</w:t>
      </w:r>
      <w:r w:rsidRPr="004E16E5">
        <w:rPr>
          <w:noProof/>
        </w:rPr>
        <w:t>h</w:t>
      </w:r>
      <w:r>
        <w:rPr>
          <w:noProof/>
        </w:rPr>
        <w:t>)</w:t>
      </w:r>
      <w:r>
        <w:rPr>
          <w:noProof/>
        </w:rPr>
        <w:tab/>
      </w:r>
      <w:r>
        <w:rPr>
          <w:noProof/>
        </w:rPr>
        <w:fldChar w:fldCharType="begin"/>
      </w:r>
      <w:r>
        <w:rPr>
          <w:noProof/>
        </w:rPr>
        <w:instrText xml:space="preserve"> PAGEREF _Toc12626365 \h </w:instrText>
      </w:r>
      <w:r>
        <w:rPr>
          <w:noProof/>
        </w:rPr>
      </w:r>
      <w:r>
        <w:rPr>
          <w:noProof/>
        </w:rPr>
        <w:fldChar w:fldCharType="separate"/>
      </w:r>
      <w:r w:rsidR="00A870D2">
        <w:rPr>
          <w:noProof/>
        </w:rPr>
        <w:t>13</w:t>
      </w:r>
      <w:r>
        <w:rPr>
          <w:noProof/>
        </w:rPr>
        <w:fldChar w:fldCharType="end"/>
      </w:r>
    </w:p>
    <w:p w14:paraId="64BDF235" w14:textId="620E0AF6" w:rsidR="00D84FBF" w:rsidRDefault="00D84FB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_Toc12626366 \h </w:instrText>
      </w:r>
      <w:r>
        <w:rPr>
          <w:noProof/>
        </w:rPr>
      </w:r>
      <w:r>
        <w:rPr>
          <w:noProof/>
        </w:rPr>
        <w:fldChar w:fldCharType="separate"/>
      </w:r>
      <w:r w:rsidR="00A870D2">
        <w:rPr>
          <w:noProof/>
        </w:rPr>
        <w:t>16</w:t>
      </w:r>
      <w:r>
        <w:rPr>
          <w:noProof/>
        </w:rPr>
        <w:fldChar w:fldCharType="end"/>
      </w:r>
    </w:p>
    <w:p w14:paraId="6601C114" w14:textId="3208C623" w:rsidR="00D84FBF" w:rsidRDefault="00D84FB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_Toc12626367 \h </w:instrText>
      </w:r>
      <w:r>
        <w:rPr>
          <w:noProof/>
        </w:rPr>
      </w:r>
      <w:r>
        <w:rPr>
          <w:noProof/>
        </w:rPr>
        <w:fldChar w:fldCharType="separate"/>
      </w:r>
      <w:r w:rsidR="00A870D2">
        <w:rPr>
          <w:noProof/>
        </w:rPr>
        <w:t>17</w:t>
      </w:r>
      <w:r>
        <w:rPr>
          <w:noProof/>
        </w:rPr>
        <w:fldChar w:fldCharType="end"/>
      </w:r>
    </w:p>
    <w:p w14:paraId="6C5916B2" w14:textId="1B36FFB4" w:rsidR="00D84FBF" w:rsidRDefault="00D84FB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_Toc12626368 \h </w:instrText>
      </w:r>
      <w:r>
        <w:rPr>
          <w:noProof/>
        </w:rPr>
      </w:r>
      <w:r>
        <w:rPr>
          <w:noProof/>
        </w:rPr>
        <w:fldChar w:fldCharType="separate"/>
      </w:r>
      <w:r w:rsidR="00A870D2">
        <w:rPr>
          <w:noProof/>
        </w:rPr>
        <w:t>18</w:t>
      </w:r>
      <w:r>
        <w:rPr>
          <w:noProof/>
        </w:rPr>
        <w:fldChar w:fldCharType="end"/>
      </w:r>
    </w:p>
    <w:p w14:paraId="30C8A33A" w14:textId="173D160E" w:rsidR="00D84FBF" w:rsidRDefault="00D84FB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_Toc12626369 \h </w:instrText>
      </w:r>
      <w:r>
        <w:rPr>
          <w:noProof/>
        </w:rPr>
      </w:r>
      <w:r>
        <w:rPr>
          <w:noProof/>
        </w:rPr>
        <w:fldChar w:fldCharType="separate"/>
      </w:r>
      <w:r w:rsidR="00A870D2">
        <w:rPr>
          <w:noProof/>
        </w:rPr>
        <w:t>19</w:t>
      </w:r>
      <w:r>
        <w:rPr>
          <w:noProof/>
        </w:rPr>
        <w:fldChar w:fldCharType="end"/>
      </w:r>
    </w:p>
    <w:p w14:paraId="1C2AA597" w14:textId="63E4E925" w:rsidR="00D84FBF" w:rsidRDefault="00D84FB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_Toc12626370 \h </w:instrText>
      </w:r>
      <w:r>
        <w:rPr>
          <w:noProof/>
        </w:rPr>
      </w:r>
      <w:r>
        <w:rPr>
          <w:noProof/>
        </w:rPr>
        <w:fldChar w:fldCharType="separate"/>
      </w:r>
      <w:r w:rsidR="00A870D2">
        <w:rPr>
          <w:noProof/>
        </w:rPr>
        <w:t>19</w:t>
      </w:r>
      <w:r>
        <w:rPr>
          <w:noProof/>
        </w:rPr>
        <w:fldChar w:fldCharType="end"/>
      </w:r>
    </w:p>
    <w:p w14:paraId="2B1F4A34" w14:textId="7701DE96" w:rsidR="00D84FBF" w:rsidRDefault="00D84FB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_Toc12626371 \h </w:instrText>
      </w:r>
      <w:r>
        <w:rPr>
          <w:noProof/>
        </w:rPr>
      </w:r>
      <w:r>
        <w:rPr>
          <w:noProof/>
        </w:rPr>
        <w:fldChar w:fldCharType="separate"/>
      </w:r>
      <w:r w:rsidR="00A870D2">
        <w:rPr>
          <w:noProof/>
        </w:rPr>
        <w:t>19</w:t>
      </w:r>
      <w:r>
        <w:rPr>
          <w:noProof/>
        </w:rPr>
        <w:fldChar w:fldCharType="end"/>
      </w:r>
    </w:p>
    <w:p w14:paraId="6A6E7724" w14:textId="2B67E250" w:rsidR="00D84FBF" w:rsidRDefault="00D84FB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_Toc12626372 \h </w:instrText>
      </w:r>
      <w:r>
        <w:rPr>
          <w:noProof/>
        </w:rPr>
      </w:r>
      <w:r>
        <w:rPr>
          <w:noProof/>
        </w:rPr>
        <w:fldChar w:fldCharType="separate"/>
      </w:r>
      <w:r w:rsidR="00A870D2">
        <w:rPr>
          <w:noProof/>
        </w:rPr>
        <w:t>19</w:t>
      </w:r>
      <w:r>
        <w:rPr>
          <w:noProof/>
        </w:rPr>
        <w:fldChar w:fldCharType="end"/>
      </w:r>
    </w:p>
    <w:p w14:paraId="2ADDA082" w14:textId="0241FAB2" w:rsidR="00D84FBF" w:rsidRDefault="00D84FB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_Toc12626373 \h </w:instrText>
      </w:r>
      <w:r>
        <w:rPr>
          <w:noProof/>
        </w:rPr>
      </w:r>
      <w:r>
        <w:rPr>
          <w:noProof/>
        </w:rPr>
        <w:fldChar w:fldCharType="separate"/>
      </w:r>
      <w:r w:rsidR="00A870D2">
        <w:rPr>
          <w:noProof/>
        </w:rPr>
        <w:t>19</w:t>
      </w:r>
      <w:r>
        <w:rPr>
          <w:noProof/>
        </w:rPr>
        <w:fldChar w:fldCharType="end"/>
      </w:r>
    </w:p>
    <w:p w14:paraId="13635B71" w14:textId="52753B73" w:rsidR="00D84FBF" w:rsidRDefault="00D84FB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_Toc12626374 \h </w:instrText>
      </w:r>
      <w:r>
        <w:rPr>
          <w:noProof/>
        </w:rPr>
      </w:r>
      <w:r>
        <w:rPr>
          <w:noProof/>
        </w:rPr>
        <w:fldChar w:fldCharType="separate"/>
      </w:r>
      <w:r w:rsidR="00A870D2">
        <w:rPr>
          <w:noProof/>
        </w:rPr>
        <w:t>20</w:t>
      </w:r>
      <w:r>
        <w:rPr>
          <w:noProof/>
        </w:rPr>
        <w:fldChar w:fldCharType="end"/>
      </w:r>
    </w:p>
    <w:p w14:paraId="65B7CB13" w14:textId="3CD8A6EA" w:rsidR="00D84FBF" w:rsidRDefault="00D84FBF">
      <w:pPr>
        <w:pStyle w:val="TOC3"/>
        <w:rPr>
          <w:rFonts w:asciiTheme="minorHAnsi" w:hAnsiTheme="minorHAnsi"/>
          <w:noProof/>
          <w:szCs w:val="22"/>
        </w:rPr>
      </w:pPr>
      <w:r>
        <w:rPr>
          <w:noProof/>
        </w:rPr>
        <w:t>Non-Energy Benefits</w:t>
      </w:r>
      <w:r>
        <w:rPr>
          <w:noProof/>
        </w:rPr>
        <w:tab/>
      </w:r>
      <w:r>
        <w:rPr>
          <w:noProof/>
        </w:rPr>
        <w:fldChar w:fldCharType="begin"/>
      </w:r>
      <w:r>
        <w:rPr>
          <w:noProof/>
        </w:rPr>
        <w:instrText xml:space="preserve"> PAGEREF _Toc12626375 \h </w:instrText>
      </w:r>
      <w:r>
        <w:rPr>
          <w:noProof/>
        </w:rPr>
      </w:r>
      <w:r>
        <w:rPr>
          <w:noProof/>
        </w:rPr>
        <w:fldChar w:fldCharType="separate"/>
      </w:r>
      <w:r w:rsidR="00A870D2">
        <w:rPr>
          <w:noProof/>
        </w:rPr>
        <w:t>20</w:t>
      </w:r>
      <w:r>
        <w:rPr>
          <w:noProof/>
        </w:rPr>
        <w:fldChar w:fldCharType="end"/>
      </w:r>
    </w:p>
    <w:p w14:paraId="56F68D9D" w14:textId="2A58B5BF" w:rsidR="00D84FBF" w:rsidRDefault="00D84FB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_Toc12626376 \h </w:instrText>
      </w:r>
      <w:r>
        <w:rPr>
          <w:noProof/>
        </w:rPr>
      </w:r>
      <w:r>
        <w:rPr>
          <w:noProof/>
        </w:rPr>
        <w:fldChar w:fldCharType="separate"/>
      </w:r>
      <w:r w:rsidR="00A870D2">
        <w:rPr>
          <w:noProof/>
        </w:rPr>
        <w:t>20</w:t>
      </w:r>
      <w:r>
        <w:rPr>
          <w:noProof/>
        </w:rPr>
        <w:fldChar w:fldCharType="end"/>
      </w:r>
    </w:p>
    <w:p w14:paraId="4BA3A796" w14:textId="6969547B" w:rsidR="00D84FBF" w:rsidRDefault="00D84FB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_Toc12626377 \h </w:instrText>
      </w:r>
      <w:r>
        <w:rPr>
          <w:noProof/>
        </w:rPr>
      </w:r>
      <w:r>
        <w:rPr>
          <w:noProof/>
        </w:rPr>
        <w:fldChar w:fldCharType="separate"/>
      </w:r>
      <w:r w:rsidR="00A870D2">
        <w:rPr>
          <w:noProof/>
        </w:rPr>
        <w:t>21</w:t>
      </w:r>
      <w:r>
        <w:rPr>
          <w:noProof/>
        </w:rPr>
        <w:fldChar w:fldCharType="end"/>
      </w:r>
    </w:p>
    <w:p w14:paraId="40E5C78D" w14:textId="3433ED99" w:rsidR="001C6C9B" w:rsidRPr="00D12B8C" w:rsidRDefault="006B5C51" w:rsidP="00D12B8C">
      <w:r>
        <w:fldChar w:fldCharType="end"/>
      </w:r>
    </w:p>
    <w:p w14:paraId="4A2531C1"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63EEB66C" w14:textId="77777777" w:rsidR="008524F6" w:rsidRPr="007E1F66" w:rsidRDefault="008524F6" w:rsidP="00462BB6">
      <w:pPr>
        <w:pStyle w:val="eTRMHeading3"/>
        <w:spacing w:before="20" w:after="20"/>
      </w:pPr>
      <w:bookmarkStart w:id="0" w:name="_Toc486490839"/>
      <w:bookmarkStart w:id="1" w:name="_Toc486580912"/>
      <w:bookmarkStart w:id="2" w:name="_Toc12626354"/>
      <w:r w:rsidRPr="007E1F66">
        <w:lastRenderedPageBreak/>
        <w:t>Measure Name</w:t>
      </w:r>
      <w:bookmarkEnd w:id="0"/>
      <w:bookmarkEnd w:id="1"/>
      <w:bookmarkEnd w:id="2"/>
    </w:p>
    <w:p w14:paraId="57D9304A" w14:textId="4596B9B9" w:rsidR="008524F6" w:rsidRPr="00733598" w:rsidRDefault="008524F6" w:rsidP="008524F6">
      <w:r w:rsidRPr="00733598">
        <w:t>LED</w:t>
      </w:r>
      <w:r w:rsidR="00384777" w:rsidRPr="00733598">
        <w:t xml:space="preserve"> Ambient Fixtures and Retrofit Kits</w:t>
      </w:r>
      <w:r w:rsidR="004E0DB7" w:rsidRPr="00733598">
        <w:t>, Commercial</w:t>
      </w:r>
      <w:r w:rsidRPr="00733598">
        <w:t xml:space="preserve"> </w:t>
      </w:r>
    </w:p>
    <w:p w14:paraId="1A7D5499" w14:textId="77777777" w:rsidR="008524F6" w:rsidRPr="00401C43" w:rsidRDefault="008524F6" w:rsidP="00AF1297">
      <w:pPr>
        <w:spacing w:before="20" w:after="20" w:line="280" w:lineRule="exact"/>
      </w:pPr>
    </w:p>
    <w:p w14:paraId="421E65AB" w14:textId="77777777" w:rsidR="008524F6" w:rsidRPr="00074E3E" w:rsidRDefault="008524F6" w:rsidP="00462BB6">
      <w:pPr>
        <w:pStyle w:val="eTRMHeading3"/>
        <w:spacing w:before="20" w:after="20"/>
      </w:pPr>
      <w:bookmarkStart w:id="3" w:name="_Toc486490840"/>
      <w:bookmarkStart w:id="4" w:name="_Toc486580913"/>
      <w:bookmarkStart w:id="5" w:name="_Toc12626355"/>
      <w:r>
        <w:t>Statewide Measure ID</w:t>
      </w:r>
      <w:bookmarkEnd w:id="3"/>
      <w:bookmarkEnd w:id="4"/>
      <w:bookmarkEnd w:id="5"/>
    </w:p>
    <w:p w14:paraId="232F2258" w14:textId="4969BE54" w:rsidR="008524F6" w:rsidRPr="00462BB6" w:rsidRDefault="008524F6" w:rsidP="008524F6">
      <w:r>
        <w:t>SWLG012-0</w:t>
      </w:r>
      <w:r w:rsidR="001C358D">
        <w:t>1</w:t>
      </w:r>
    </w:p>
    <w:p w14:paraId="6E3296CC" w14:textId="77777777" w:rsidR="00E14349" w:rsidRDefault="00E14349" w:rsidP="008524F6"/>
    <w:p w14:paraId="25D006CC" w14:textId="77777777" w:rsidR="00E70CBD" w:rsidRPr="00154391" w:rsidRDefault="00E70CBD" w:rsidP="00462BB6">
      <w:pPr>
        <w:pStyle w:val="eTRMHeading3"/>
      </w:pPr>
      <w:bookmarkStart w:id="6" w:name="_Toc486490847"/>
      <w:bookmarkStart w:id="7" w:name="_Toc486580918"/>
      <w:bookmarkStart w:id="8" w:name="_Toc12626356"/>
      <w:r w:rsidRPr="00154391">
        <w:t>Technology Summary</w:t>
      </w:r>
      <w:bookmarkEnd w:id="6"/>
      <w:bookmarkEnd w:id="7"/>
      <w:bookmarkEnd w:id="8"/>
      <w:r w:rsidRPr="00154391">
        <w:t xml:space="preserve"> </w:t>
      </w:r>
    </w:p>
    <w:p w14:paraId="19D50DA2" w14:textId="7DB9805B" w:rsidR="00D14CEA" w:rsidRPr="009F66B2" w:rsidRDefault="00D14CEA" w:rsidP="002F4EB3">
      <w:r w:rsidRPr="009F66B2">
        <w:t>Recessed rectangular light fixtures, sometimes known as troffers, have traditionally used linear fluorescent light sources: Predominately T8 lamps with small T5 market share, and a diminishing T12 presence in non-residential building stock.</w:t>
      </w:r>
      <w:r w:rsidR="009F66B2" w:rsidRPr="009F66B2">
        <w:rPr>
          <w:rFonts w:ascii="Arial" w:hAnsi="Arial" w:cs="Arial"/>
          <w:color w:val="191919" w:themeColor="text1"/>
          <w:sz w:val="20"/>
        </w:rPr>
        <w:t xml:space="preserve"> </w:t>
      </w:r>
      <w:r w:rsidR="009F66B2" w:rsidRPr="002F4EB3">
        <w:t xml:space="preserve">Similar fixture shapes are in use for much less common surface mountings in non-residential buildings, for spaces where recessed ceiling space is </w:t>
      </w:r>
      <w:r w:rsidR="000C534D" w:rsidRPr="002F4EB3">
        <w:t>unavailable,</w:t>
      </w:r>
      <w:r w:rsidR="009F66B2" w:rsidRPr="002F4EB3">
        <w:t xml:space="preserve"> but ease of maintenance dictates a common lamp type</w:t>
      </w:r>
      <w:r w:rsidR="000C534D">
        <w:t>:</w:t>
      </w:r>
      <w:r w:rsidR="009F66B2" w:rsidRPr="002F4EB3">
        <w:t xml:space="preserve"> 4</w:t>
      </w:r>
      <w:r w:rsidR="002F4EB3" w:rsidRPr="002F4EB3">
        <w:t>-</w:t>
      </w:r>
      <w:r w:rsidR="009F66B2" w:rsidRPr="002F4EB3">
        <w:t>foot lamps predominate, with 2</w:t>
      </w:r>
      <w:r w:rsidR="002F4EB3">
        <w:t>-</w:t>
      </w:r>
      <w:r w:rsidR="009F66B2" w:rsidRPr="002F4EB3">
        <w:t>foot or U-bent lamps common in 2x2 fixtures.</w:t>
      </w:r>
    </w:p>
    <w:p w14:paraId="1D78B6A0" w14:textId="638C2582" w:rsidR="00D14CEA" w:rsidRPr="009F66B2" w:rsidRDefault="00D14CEA" w:rsidP="009F66B2">
      <w:r w:rsidRPr="009F66B2">
        <w:t xml:space="preserve">Linear ambient fixtures have a wide array of uses in non-residential applications. These fixtures are used for direct and indirect lighting in office and retail environments, industrial and warehouse linear lighting, ingress-protected linear lighting, and other uses. Lighting for these applications has been traditionally provided by various forms of linear fluorescent fixtures that span a wide range of aesthetic quality from Class A office space to industrial </w:t>
      </w:r>
      <w:r w:rsidR="004E0DB7" w:rsidRPr="009F66B2">
        <w:t>workspace</w:t>
      </w:r>
      <w:r w:rsidRPr="009F66B2">
        <w:t xml:space="preserve"> to retail stockroom: fluorescent strips, fluorescent wraps, fluorescent suspended fixtures, and fluorescent vapor-tight fixtures.</w:t>
      </w:r>
    </w:p>
    <w:p w14:paraId="3B02E97F" w14:textId="393C59F3" w:rsidR="00D14CEA" w:rsidRPr="009F66B2" w:rsidRDefault="00D14CEA" w:rsidP="009F66B2">
      <w:r w:rsidRPr="009F66B2">
        <w:t xml:space="preserve">LED products offer advantages over linear fluorescent products for the general commercial fixture market. LED chip efficacies now routinely surpass the best fluorescent lamp-and-ballast system efficacies, and the superior directional light control of LEDs allows </w:t>
      </w:r>
      <w:r w:rsidR="000C534D">
        <w:t xml:space="preserve">even </w:t>
      </w:r>
      <w:r w:rsidRPr="009F66B2">
        <w:t>greater fixture efficacy improvements. LED products reduce maintenance costs relative to linear fluorescent products that require re-lamping.</w:t>
      </w:r>
    </w:p>
    <w:p w14:paraId="79C49103" w14:textId="132505FC" w:rsidR="00D14CEA" w:rsidRPr="009F66B2" w:rsidRDefault="00D14CEA" w:rsidP="009F66B2">
      <w:r w:rsidRPr="009F66B2">
        <w:t xml:space="preserve">LED </w:t>
      </w:r>
      <w:r w:rsidR="000C534D">
        <w:t>a</w:t>
      </w:r>
      <w:r w:rsidRPr="009F66B2">
        <w:t xml:space="preserve">mbient </w:t>
      </w:r>
      <w:r w:rsidR="000C534D">
        <w:t>c</w:t>
      </w:r>
      <w:r w:rsidRPr="009F66B2">
        <w:t>ommercial products</w:t>
      </w:r>
      <w:r w:rsidR="000C534D">
        <w:t xml:space="preserve"> (</w:t>
      </w:r>
      <w:r w:rsidRPr="009F66B2">
        <w:t>most commonly offered as recessed, surface-mounted, or suspended fixtures</w:t>
      </w:r>
      <w:r w:rsidR="000C534D">
        <w:t>)</w:t>
      </w:r>
      <w:r w:rsidRPr="009F66B2">
        <w:t xml:space="preserve"> are available both as new fixtures (</w:t>
      </w:r>
      <w:r w:rsidR="000C534D">
        <w:t>e.g.,</w:t>
      </w:r>
      <w:r w:rsidRPr="009F66B2">
        <w:t xml:space="preserve"> luminaires) and as integrated retrofit kits. Both options include new LED chips, an LED driver or power supply, and optical control or lenses. Retrofit kits allow these components to be fit into existing linear fluorescent metal housing, whereas new LED luminaires are sold complete with a new metal housing.</w:t>
      </w:r>
    </w:p>
    <w:p w14:paraId="04FC252B" w14:textId="6B22BBD0" w:rsidR="00D14CEA" w:rsidRDefault="00D14CEA" w:rsidP="009F66B2">
      <w:r w:rsidRPr="009F66B2">
        <w:t xml:space="preserve">Improvements in LED technology, particularly improving efficacies able to compete with and exceed the best T8 lamp-and-ballast systems producing over 95 lumens per watt (LPW), have made high-performance LED fixtures </w:t>
      </w:r>
      <w:r w:rsidR="000C534D">
        <w:t>available</w:t>
      </w:r>
      <w:r w:rsidRPr="009F66B2">
        <w:t xml:space="preserve"> for troffer and linear ambient applications.</w:t>
      </w:r>
    </w:p>
    <w:p w14:paraId="2E8C13DF" w14:textId="77777777" w:rsidR="000C534D" w:rsidRPr="009F66B2" w:rsidRDefault="000C534D" w:rsidP="009F66B2"/>
    <w:p w14:paraId="7B5830CB" w14:textId="3E5262FA" w:rsidR="002F4EB3" w:rsidRPr="002F4EB3" w:rsidRDefault="002F4EB3" w:rsidP="000C534D">
      <w:pPr>
        <w:pStyle w:val="eTRMHeading4"/>
      </w:pPr>
      <w:r>
        <w:lastRenderedPageBreak/>
        <w:t xml:space="preserve">Summaries of </w:t>
      </w:r>
      <w:r w:rsidR="008B55A8">
        <w:t>Market and Evaluation</w:t>
      </w:r>
      <w:r>
        <w:t xml:space="preserve"> Studies</w:t>
      </w:r>
    </w:p>
    <w:p w14:paraId="14AA4C72" w14:textId="6D4DB5AD" w:rsidR="00613381" w:rsidRDefault="00301521" w:rsidP="000C534D">
      <w:pPr>
        <w:keepNext/>
        <w:keepLines/>
      </w:pPr>
      <w:r w:rsidRPr="00D22C12">
        <w:rPr>
          <w:b/>
          <w:i/>
        </w:rPr>
        <w:t>A Comprehensive Store Retrofit to LED lighting in Common Lighting Applications (</w:t>
      </w:r>
      <w:r w:rsidR="00D22C12" w:rsidRPr="00D22C12">
        <w:rPr>
          <w:b/>
          <w:i/>
        </w:rPr>
        <w:t xml:space="preserve">Energy Solutions, </w:t>
      </w:r>
      <w:r w:rsidRPr="00D22C12">
        <w:rPr>
          <w:b/>
          <w:i/>
        </w:rPr>
        <w:t>2014).</w:t>
      </w:r>
      <w:r w:rsidR="00E44227">
        <w:rPr>
          <w:rStyle w:val="FootnoteReference"/>
        </w:rPr>
        <w:footnoteReference w:id="1"/>
      </w:r>
      <w:r w:rsidR="00CE11B7" w:rsidRPr="00CE11B7">
        <w:t xml:space="preserve"> </w:t>
      </w:r>
      <w:r w:rsidR="00D22C12">
        <w:t xml:space="preserve">This study </w:t>
      </w:r>
      <w:r w:rsidR="00CE11B7" w:rsidRPr="00CE11B7">
        <w:t xml:space="preserve">conducted a comprehensive LED retrofit in a retail store environment with multiple fixture and lamp types. </w:t>
      </w:r>
      <w:r w:rsidR="00D22C12">
        <w:t>The research</w:t>
      </w:r>
      <w:r w:rsidR="00CE11B7" w:rsidRPr="00CE11B7">
        <w:t xml:space="preserve"> confirmed that completing a storewide, comprehensive LED retrofit is feasible</w:t>
      </w:r>
      <w:r w:rsidR="00C062B7">
        <w:t xml:space="preserve"> and </w:t>
      </w:r>
      <w:r w:rsidR="00CE11B7" w:rsidRPr="00CE11B7">
        <w:t>cost-effective. Overall, the project achieved a 58% reduction in energy use for LED Accelerator (LEDA) Program eligible products, and 47% on a storewide basis. The study participant was satisfied with the energy savings, projected maintenance savings, and lighting quality provided by the LED products that were installed.</w:t>
      </w:r>
    </w:p>
    <w:p w14:paraId="64436ABB" w14:textId="6ABBB69B" w:rsidR="00CE11B7" w:rsidRDefault="00D22C12" w:rsidP="002F4EB3">
      <w:r w:rsidRPr="00D22C12">
        <w:rPr>
          <w:b/>
          <w:i/>
        </w:rPr>
        <w:t>LED Office Lighting and Advanced Lighting Control System (ALCS) (EMCOR Energy Services, 2012).</w:t>
      </w:r>
      <w:r w:rsidR="00F644D8">
        <w:rPr>
          <w:rStyle w:val="FootnoteReference"/>
        </w:rPr>
        <w:footnoteReference w:id="2"/>
      </w:r>
      <w:r w:rsidR="00CE11B7" w:rsidRPr="00CE11B7">
        <w:t xml:space="preserve"> </w:t>
      </w:r>
      <w:r>
        <w:t xml:space="preserve">This study </w:t>
      </w:r>
      <w:r w:rsidR="00CE11B7" w:rsidRPr="00CE11B7">
        <w:t xml:space="preserve">demonstrated LED panel fixtures in an office lighting application with an Advanced Lighting Control System (ALCS). It demonstrated that it is easier to integrate controls with the latest LED products in the market </w:t>
      </w:r>
      <w:r w:rsidR="001E55C0">
        <w:t xml:space="preserve">to </w:t>
      </w:r>
      <w:r w:rsidR="00CE11B7" w:rsidRPr="00CE11B7">
        <w:t xml:space="preserve">achieve even deeper savings. An initial energy savings of 21% resulted from replacing fluorescent lighting with LED lighting in an office. </w:t>
      </w:r>
      <w:r w:rsidR="001E55C0">
        <w:t>Additional</w:t>
      </w:r>
      <w:r w:rsidR="00CE11B7" w:rsidRPr="00CE11B7">
        <w:t xml:space="preserve"> energy savings of 41% resulted from adding the ALCS.</w:t>
      </w:r>
    </w:p>
    <w:p w14:paraId="5F23AB49" w14:textId="1C5C91A9" w:rsidR="00417C82" w:rsidRPr="00392C00" w:rsidRDefault="00417C82" w:rsidP="002F4EB3">
      <w:r w:rsidRPr="002F4EB3">
        <w:rPr>
          <w:b/>
          <w:i/>
        </w:rPr>
        <w:t>California LED Pricing Analysis</w:t>
      </w:r>
      <w:r w:rsidR="002F4EB3" w:rsidRPr="002F4EB3">
        <w:rPr>
          <w:b/>
          <w:i/>
        </w:rPr>
        <w:t xml:space="preserve"> (</w:t>
      </w:r>
      <w:r w:rsidRPr="002F4EB3">
        <w:rPr>
          <w:b/>
          <w:i/>
        </w:rPr>
        <w:t>Navigant</w:t>
      </w:r>
      <w:r w:rsidR="002F4EB3" w:rsidRPr="002F4EB3">
        <w:rPr>
          <w:b/>
          <w:i/>
        </w:rPr>
        <w:t>,</w:t>
      </w:r>
      <w:r w:rsidRPr="002F4EB3">
        <w:rPr>
          <w:b/>
          <w:i/>
        </w:rPr>
        <w:t xml:space="preserve"> 2018</w:t>
      </w:r>
      <w:r w:rsidR="002F4EB3" w:rsidRPr="002F4EB3">
        <w:rPr>
          <w:b/>
          <w:i/>
        </w:rPr>
        <w:t>).</w:t>
      </w:r>
      <w:r w:rsidR="000C534D" w:rsidRPr="000C534D">
        <w:rPr>
          <w:rStyle w:val="FootnoteReference"/>
        </w:rPr>
        <w:footnoteReference w:id="3"/>
      </w:r>
      <w:r w:rsidR="000C534D" w:rsidRPr="000C534D">
        <w:t xml:space="preserve"> </w:t>
      </w:r>
      <w:r w:rsidRPr="00392C00">
        <w:t xml:space="preserve">This market study to evaluate LED product pricing was completed by Navigant Consulting, Inc. in January 2018. This study objectives </w:t>
      </w:r>
      <w:r w:rsidR="002F4EB3">
        <w:t xml:space="preserve">were to: </w:t>
      </w:r>
      <w:r w:rsidRPr="00392C00">
        <w:t>1) identify the range of current prices for DLC and ENERGYSTAR</w:t>
      </w:r>
      <w:r w:rsidR="002F4EB3">
        <w:t>-</w:t>
      </w:r>
      <w:r w:rsidRPr="00392C00">
        <w:t xml:space="preserve">qualified LED products in the California nonresidential lighting market for </w:t>
      </w:r>
      <w:r w:rsidR="002F4EB3">
        <w:t>specific</w:t>
      </w:r>
      <w:r w:rsidRPr="00392C00">
        <w:t xml:space="preserve"> priority product categories</w:t>
      </w:r>
      <w:r w:rsidR="002F4EB3">
        <w:t xml:space="preserve"> (</w:t>
      </w:r>
      <w:r w:rsidRPr="00392C00">
        <w:t xml:space="preserve">including the LED </w:t>
      </w:r>
      <w:r>
        <w:t>troffer</w:t>
      </w:r>
      <w:r w:rsidRPr="00392C00">
        <w:t xml:space="preserve"> lighting product category</w:t>
      </w:r>
      <w:r w:rsidR="002F4EB3">
        <w:t>)</w:t>
      </w:r>
      <w:r w:rsidRPr="00392C00">
        <w:t>, 2) determin</w:t>
      </w:r>
      <w:r w:rsidR="002F4EB3">
        <w:t>e</w:t>
      </w:r>
      <w:r w:rsidRPr="00392C00">
        <w:t xml:space="preserve"> </w:t>
      </w:r>
      <w:r w:rsidR="002F4EB3">
        <w:t xml:space="preserve">the </w:t>
      </w:r>
      <w:r w:rsidRPr="00392C00">
        <w:t xml:space="preserve">factors </w:t>
      </w:r>
      <w:r w:rsidR="002F4EB3">
        <w:t xml:space="preserve">that </w:t>
      </w:r>
      <w:r w:rsidRPr="00392C00">
        <w:t xml:space="preserve">significantly influence LED price, 3) develop an incremental cost estimate relative to identified baseline technologies, and 4) determine how and at what rate LED price ranges are anticipated to change as the market matures </w:t>
      </w:r>
      <w:r w:rsidR="002054D4">
        <w:t>three</w:t>
      </w:r>
      <w:r w:rsidRPr="00392C00">
        <w:t xml:space="preserve"> and </w:t>
      </w:r>
      <w:r w:rsidR="002054D4">
        <w:t>five</w:t>
      </w:r>
      <w:r w:rsidRPr="00392C00">
        <w:t xml:space="preserve"> years out from 2017. </w:t>
      </w:r>
    </w:p>
    <w:p w14:paraId="1C288FFD" w14:textId="0D74A9EB" w:rsidR="00417C82" w:rsidRPr="00392C00" w:rsidRDefault="00417C82" w:rsidP="00D57FCA">
      <w:r w:rsidRPr="00392C00">
        <w:t xml:space="preserve">Price data from 2016 Q4 and 2017 Q2 was collected from California IOU Program data and from </w:t>
      </w:r>
      <w:r w:rsidR="002054D4">
        <w:t xml:space="preserve">the </w:t>
      </w:r>
      <w:r w:rsidRPr="00392C00">
        <w:t xml:space="preserve">Navigant LED Price Tracker, </w:t>
      </w:r>
      <w:r w:rsidR="002054D4">
        <w:t>a tool that utilizes</w:t>
      </w:r>
      <w:r w:rsidRPr="00392C00">
        <w:t xml:space="preserve"> web-scraping software to collect data on product pricing and specifications online. Of the LED products, only those that met DLC technical requirements were included in the study analysis. </w:t>
      </w:r>
      <w:r w:rsidR="002054D4">
        <w:t>Navigant</w:t>
      </w:r>
      <w:r w:rsidRPr="00392C00">
        <w:t xml:space="preserve"> </w:t>
      </w:r>
      <w:r w:rsidR="002054D4">
        <w:t xml:space="preserve">identified key drivers of </w:t>
      </w:r>
      <w:r w:rsidRPr="00392C00">
        <w:t>LED prices</w:t>
      </w:r>
      <w:r w:rsidR="002054D4">
        <w:t xml:space="preserve"> through a</w:t>
      </w:r>
      <w:r w:rsidRPr="00392C00">
        <w:t xml:space="preserve"> </w:t>
      </w:r>
      <w:r w:rsidR="002054D4">
        <w:t>multivariate</w:t>
      </w:r>
      <w:r w:rsidRPr="00392C00">
        <w:t xml:space="preserve"> regression </w:t>
      </w:r>
      <w:r w:rsidR="002054D4">
        <w:t>model that estimated</w:t>
      </w:r>
      <w:r w:rsidRPr="00392C00">
        <w:t xml:space="preserve"> the correlation between </w:t>
      </w:r>
      <w:r w:rsidR="002054D4">
        <w:t xml:space="preserve">price and other </w:t>
      </w:r>
      <w:r w:rsidRPr="00392C00">
        <w:t xml:space="preserve">product specifications. </w:t>
      </w:r>
    </w:p>
    <w:p w14:paraId="5F505948" w14:textId="01FF1B3A" w:rsidR="002054D4" w:rsidRDefault="00417C82" w:rsidP="00D57FCA">
      <w:r w:rsidRPr="00392C00">
        <w:t>The results of the study initially showed that the biggest driver influencing LED price is lumen output, followed by manufacturer, DLC qualification, and CRI. Efficacy was not one of the significant price</w:t>
      </w:r>
      <w:r w:rsidR="004E0DB7">
        <w:t>-</w:t>
      </w:r>
      <w:r w:rsidRPr="00392C00">
        <w:t>determining characteristics. Furthermore, even as DLC efficacy requirements have increased over time, prices have continued to decline. According to the study, price does not appear to scale with efficacy for any of the L</w:t>
      </w:r>
      <w:r>
        <w:t>ED product categories evaluated</w:t>
      </w:r>
      <w:r w:rsidRPr="00392C00">
        <w:t>.</w:t>
      </w:r>
    </w:p>
    <w:p w14:paraId="319A7774" w14:textId="5F742928" w:rsidR="00417C82" w:rsidRPr="00BF592C" w:rsidRDefault="00417C82" w:rsidP="00D57FCA">
      <w:r w:rsidRPr="00392C00">
        <w:t xml:space="preserve">The study determined that prices will continue to decrease over the next </w:t>
      </w:r>
      <w:r w:rsidR="002054D4">
        <w:t>five</w:t>
      </w:r>
      <w:r w:rsidRPr="00392C00">
        <w:t xml:space="preserve"> years; however, the rate of decline is slowing across all product categories. </w:t>
      </w:r>
    </w:p>
    <w:p w14:paraId="34520C8B" w14:textId="0388DF2D" w:rsidR="00417C82" w:rsidRPr="00392C00" w:rsidRDefault="00417C82" w:rsidP="00D57FCA">
      <w:r w:rsidRPr="00392C00">
        <w:lastRenderedPageBreak/>
        <w:t xml:space="preserve">The study also noted that the cost to manufacture a product is separate from the consumer purchase price of that product. </w:t>
      </w:r>
      <w:r w:rsidR="001E55C0">
        <w:t>A</w:t>
      </w:r>
      <w:r w:rsidRPr="00392C00">
        <w:t xml:space="preserve">lthough it may cost more to increase the efficacy of a product, that additional cost is not reflected in the purchase price the way lumen output/wattage and manufacturer affect product price. </w:t>
      </w:r>
    </w:p>
    <w:p w14:paraId="0D74E4D4" w14:textId="7690176D" w:rsidR="00417C82" w:rsidRDefault="001E55C0" w:rsidP="00D57FCA">
      <w:r>
        <w:t>This study also revealed</w:t>
      </w:r>
      <w:r w:rsidR="00417C82" w:rsidRPr="00392C00">
        <w:t xml:space="preserve"> that a larger portion of retrofit installations include replacing lamps and ballasts only and not entire</w:t>
      </w:r>
      <w:r>
        <w:t>ly</w:t>
      </w:r>
      <w:r w:rsidR="00417C82" w:rsidRPr="00392C00">
        <w:t xml:space="preserve"> fixtures. This is due to the extremely long life of commercial baseline linear fluorescent fixtures. This </w:t>
      </w:r>
      <w:r>
        <w:t xml:space="preserve">finding </w:t>
      </w:r>
      <w:r w:rsidR="00417C82">
        <w:t>has</w:t>
      </w:r>
      <w:r w:rsidR="00417C82" w:rsidRPr="00392C00">
        <w:t xml:space="preserve"> implications for this </w:t>
      </w:r>
      <w:r w:rsidR="002054D4">
        <w:t>measure</w:t>
      </w:r>
      <w:r w:rsidR="00417C82" w:rsidRPr="00392C00">
        <w:t xml:space="preserve"> since it assumes a fixture-to-fixture comparison between base case and measure case. The incremental measure cost </w:t>
      </w:r>
      <w:r>
        <w:t>of</w:t>
      </w:r>
      <w:r w:rsidR="00417C82" w:rsidRPr="00392C00">
        <w:t xml:space="preserve"> the two scenarios is very different. Since a common consumer purchasing scenario includes replacement lamps and ballasts only, </w:t>
      </w:r>
      <w:r w:rsidR="00417C82">
        <w:t xml:space="preserve">this </w:t>
      </w:r>
      <w:r w:rsidR="002054D4">
        <w:t>measure analysis in</w:t>
      </w:r>
      <w:r w:rsidR="00417C82">
        <w:t xml:space="preserve">cludes </w:t>
      </w:r>
      <w:r w:rsidR="00417C82" w:rsidRPr="00392C00">
        <w:t xml:space="preserve">that scenario in the baseline. </w:t>
      </w:r>
    </w:p>
    <w:p w14:paraId="0DE7674D" w14:textId="6E4F9415" w:rsidR="00417C82" w:rsidRPr="0071784F" w:rsidRDefault="00417C82" w:rsidP="00D57FCA">
      <w:pPr>
        <w:rPr>
          <w:b/>
          <w:i/>
          <w:szCs w:val="22"/>
        </w:rPr>
      </w:pPr>
      <w:r w:rsidRPr="0071784F">
        <w:rPr>
          <w:szCs w:val="22"/>
        </w:rPr>
        <w:t>The California LED Pricing Analysis distinguishes the lighting luminaire market from the replacement market</w:t>
      </w:r>
      <w:r w:rsidR="002054D4">
        <w:rPr>
          <w:szCs w:val="22"/>
        </w:rPr>
        <w:t xml:space="preserve"> (page 8)</w:t>
      </w:r>
      <w:r w:rsidRPr="0071784F">
        <w:rPr>
          <w:szCs w:val="22"/>
        </w:rPr>
        <w:t>:</w:t>
      </w:r>
    </w:p>
    <w:p w14:paraId="0172B0EB" w14:textId="77777777" w:rsidR="00417C82" w:rsidRPr="002054D4" w:rsidRDefault="00417C82" w:rsidP="002054D4">
      <w:pPr>
        <w:spacing w:before="0" w:after="0"/>
        <w:ind w:left="360"/>
        <w:rPr>
          <w:i/>
          <w:iCs/>
          <w:sz w:val="18"/>
          <w:szCs w:val="22"/>
        </w:rPr>
      </w:pPr>
      <w:r w:rsidRPr="002054D4">
        <w:rPr>
          <w:i/>
          <w:iCs/>
          <w:sz w:val="18"/>
          <w:szCs w:val="22"/>
        </w:rPr>
        <w:t xml:space="preserve">Navigant evaluated incremental cost both with and without baseline fixture costs, in order to represent two distinct scenarios: </w:t>
      </w:r>
    </w:p>
    <w:p w14:paraId="27F9E6D6" w14:textId="77777777" w:rsidR="00417C82" w:rsidRPr="002054D4" w:rsidRDefault="00417C82" w:rsidP="002054D4">
      <w:pPr>
        <w:pStyle w:val="ListParagraph"/>
        <w:numPr>
          <w:ilvl w:val="0"/>
          <w:numId w:val="35"/>
        </w:numPr>
        <w:spacing w:before="0" w:after="0" w:line="276" w:lineRule="auto"/>
        <w:ind w:left="1080"/>
        <w:rPr>
          <w:i/>
          <w:iCs/>
          <w:sz w:val="18"/>
          <w:szCs w:val="22"/>
        </w:rPr>
      </w:pPr>
      <w:r w:rsidRPr="002054D4">
        <w:rPr>
          <w:b/>
          <w:bCs/>
          <w:i/>
          <w:iCs/>
          <w:sz w:val="18"/>
          <w:szCs w:val="22"/>
        </w:rPr>
        <w:t xml:space="preserve">Luminaire Market: </w:t>
      </w:r>
      <w:r w:rsidRPr="002054D4">
        <w:rPr>
          <w:i/>
          <w:iCs/>
          <w:sz w:val="18"/>
          <w:szCs w:val="22"/>
        </w:rPr>
        <w:t>For the luminaire market incremental cost, the baseline system was assumed to comprise a lamp(s), ballast, reflector/diffusor, and the housing. Pricing for each of these system components was included in the baseline system cost. The incremental cost was then calculated relative to a complete LED luminaire. This scenario represented the new construction market where owners and facility managers are comparing technology options equally. It is important to note that this represents a small proportion of total installations.</w:t>
      </w:r>
      <w:r w:rsidRPr="002054D4">
        <w:rPr>
          <w:i/>
          <w:iCs/>
          <w:sz w:val="18"/>
          <w:szCs w:val="22"/>
          <w:vertAlign w:val="superscript"/>
        </w:rPr>
        <w:t>2</w:t>
      </w:r>
      <w:r w:rsidRPr="002054D4">
        <w:rPr>
          <w:i/>
          <w:iCs/>
          <w:sz w:val="18"/>
          <w:szCs w:val="22"/>
        </w:rPr>
        <w:t xml:space="preserve"> </w:t>
      </w:r>
    </w:p>
    <w:p w14:paraId="391973D0" w14:textId="1C4A9918" w:rsidR="00417C82" w:rsidRPr="002054D4" w:rsidRDefault="00417C82" w:rsidP="002054D4">
      <w:pPr>
        <w:pStyle w:val="ListParagraph"/>
        <w:numPr>
          <w:ilvl w:val="0"/>
          <w:numId w:val="35"/>
        </w:numPr>
        <w:spacing w:before="0" w:after="0" w:line="276" w:lineRule="auto"/>
        <w:ind w:left="1080"/>
        <w:rPr>
          <w:i/>
          <w:iCs/>
          <w:sz w:val="18"/>
          <w:szCs w:val="22"/>
        </w:rPr>
      </w:pPr>
      <w:r w:rsidRPr="002054D4">
        <w:rPr>
          <w:b/>
          <w:bCs/>
          <w:i/>
          <w:iCs/>
          <w:sz w:val="18"/>
          <w:szCs w:val="22"/>
        </w:rPr>
        <w:t xml:space="preserve">Replacement Market: </w:t>
      </w:r>
      <w:r w:rsidRPr="002054D4">
        <w:rPr>
          <w:i/>
          <w:iCs/>
          <w:sz w:val="18"/>
          <w:szCs w:val="22"/>
        </w:rPr>
        <w:t>For the replacement market, the baseline system comprised of just a lamp(s) and ballast. The replacement market baseline system does not include reflector/diffusors or housing. This scenario represented the replacement on lamp or ballast burn-out where owners and facility managers are not comparing technology options equally due to the long lifetime of commercial baseline fixtures (above 100,000 hours). This represents a relatively larger proportion of total installations</w:t>
      </w:r>
      <w:r w:rsidR="001E55C0">
        <w:rPr>
          <w:i/>
          <w:iCs/>
          <w:sz w:val="18"/>
          <w:szCs w:val="22"/>
        </w:rPr>
        <w:t>.</w:t>
      </w:r>
      <w:r w:rsidRPr="002054D4">
        <w:rPr>
          <w:i/>
          <w:iCs/>
          <w:sz w:val="18"/>
          <w:szCs w:val="22"/>
          <w:vertAlign w:val="superscript"/>
        </w:rPr>
        <w:t xml:space="preserve"> </w:t>
      </w:r>
    </w:p>
    <w:p w14:paraId="257A4F50" w14:textId="77777777" w:rsidR="00A13DC0" w:rsidRDefault="00A13DC0" w:rsidP="002054D4">
      <w:pPr>
        <w:spacing w:before="0" w:after="0"/>
        <w:ind w:left="360"/>
        <w:rPr>
          <w:i/>
          <w:iCs/>
          <w:sz w:val="18"/>
          <w:szCs w:val="22"/>
        </w:rPr>
      </w:pPr>
    </w:p>
    <w:p w14:paraId="207CD043" w14:textId="0482B585" w:rsidR="00417C82" w:rsidRPr="002054D4" w:rsidRDefault="00417C82" w:rsidP="002054D4">
      <w:pPr>
        <w:spacing w:before="0" w:after="0"/>
        <w:ind w:left="360"/>
        <w:rPr>
          <w:i/>
          <w:iCs/>
          <w:sz w:val="18"/>
          <w:szCs w:val="22"/>
        </w:rPr>
      </w:pPr>
      <w:r w:rsidRPr="002054D4">
        <w:rPr>
          <w:i/>
          <w:iCs/>
          <w:sz w:val="18"/>
          <w:szCs w:val="22"/>
        </w:rPr>
        <w:t xml:space="preserve">Key findings included: </w:t>
      </w:r>
    </w:p>
    <w:p w14:paraId="6F4E6677" w14:textId="77777777" w:rsidR="00417C82" w:rsidRPr="002054D4" w:rsidRDefault="00417C82" w:rsidP="002054D4">
      <w:pPr>
        <w:pStyle w:val="ListParagraph"/>
        <w:numPr>
          <w:ilvl w:val="0"/>
          <w:numId w:val="36"/>
        </w:numPr>
        <w:spacing w:before="0" w:after="0" w:line="276" w:lineRule="auto"/>
        <w:ind w:left="1080"/>
        <w:rPr>
          <w:i/>
          <w:iCs/>
          <w:sz w:val="18"/>
          <w:szCs w:val="22"/>
        </w:rPr>
      </w:pPr>
      <w:r w:rsidRPr="002054D4">
        <w:rPr>
          <w:i/>
          <w:iCs/>
          <w:sz w:val="18"/>
          <w:szCs w:val="22"/>
        </w:rPr>
        <w:t xml:space="preserve">The incremental costs of DLC and ENERGY STAR qualified LED products to complete baseline luminaire systems (lamp(s), ballast, reflector/diffusor and fixture) for certain priority products, particularly in the outdoor groups, were negative. This indicates that LED products were sometimes less expensive than, or comparable to, baseline systems. </w:t>
      </w:r>
    </w:p>
    <w:p w14:paraId="2DBDD20D" w14:textId="77777777" w:rsidR="00417C82" w:rsidRPr="002054D4" w:rsidRDefault="00417C82" w:rsidP="002054D4">
      <w:pPr>
        <w:pStyle w:val="ListParagraph"/>
        <w:numPr>
          <w:ilvl w:val="0"/>
          <w:numId w:val="36"/>
        </w:numPr>
        <w:spacing w:before="0" w:after="0" w:line="276" w:lineRule="auto"/>
        <w:ind w:left="1080"/>
        <w:rPr>
          <w:i/>
          <w:iCs/>
          <w:sz w:val="18"/>
          <w:szCs w:val="22"/>
        </w:rPr>
      </w:pPr>
      <w:r w:rsidRPr="002054D4">
        <w:rPr>
          <w:i/>
          <w:iCs/>
          <w:sz w:val="18"/>
          <w:szCs w:val="22"/>
        </w:rPr>
        <w:t xml:space="preserve">However, comparing fixture-to-fixture represents a small proportion of the market, accounting primarily for new construction installations. The replacement market, in which a complete DLC and ENERGY STAR qualified LED product is compared to a baseline lamp(s) and ballast, yields high incremental costs in every product category and represents a more common consumer purchasing scenario. </w:t>
      </w:r>
    </w:p>
    <w:p w14:paraId="76B843B1" w14:textId="77777777" w:rsidR="000C534D" w:rsidRDefault="000C534D" w:rsidP="005D4C2E"/>
    <w:p w14:paraId="37CF488A" w14:textId="21969405" w:rsidR="005D4C2E" w:rsidRDefault="008B55A8" w:rsidP="005D4C2E">
      <w:r w:rsidRPr="008B55A8">
        <w:rPr>
          <w:b/>
          <w:i/>
        </w:rPr>
        <w:t>NEMA Shipments Data (NEMA, 2017).</w:t>
      </w:r>
      <w:r w:rsidRPr="00744555">
        <w:rPr>
          <w:rStyle w:val="FootnoteReference"/>
          <w:rFonts w:ascii="Arial" w:hAnsi="Arial" w:cs="Arial"/>
        </w:rPr>
        <w:footnoteReference w:id="4"/>
      </w:r>
      <w:r>
        <w:t xml:space="preserve"> </w:t>
      </w:r>
      <w:r w:rsidR="005D4C2E" w:rsidRPr="00744555">
        <w:t xml:space="preserve">NEMA shipment data </w:t>
      </w:r>
      <w:r w:rsidR="005D4C2E">
        <w:t xml:space="preserve">depicted in the figure below </w:t>
      </w:r>
      <w:r w:rsidR="005D4C2E" w:rsidRPr="00744555">
        <w:t>shows that TLED purchases have been increasing over the last several years compared to other linear lamp types.</w:t>
      </w:r>
      <w:r w:rsidR="000C534D" w:rsidRPr="00744555">
        <w:t xml:space="preserve"> </w:t>
      </w:r>
      <w:r w:rsidR="005D4C2E" w:rsidRPr="00744555">
        <w:t xml:space="preserve">Much of that </w:t>
      </w:r>
      <w:r w:rsidR="005D4C2E">
        <w:t>growth</w:t>
      </w:r>
      <w:r w:rsidR="005D4C2E" w:rsidRPr="00744555">
        <w:t xml:space="preserve"> is driven by low cost (for similar levels of energy savings), significantly lower costs than the costs of both baseline and measure case new LED luminaires and retrofit kits. </w:t>
      </w:r>
    </w:p>
    <w:p w14:paraId="466B8D3C" w14:textId="77777777" w:rsidR="00417C82" w:rsidRDefault="00417C82" w:rsidP="00417C82">
      <w:pPr>
        <w:rPr>
          <w:rFonts w:ascii="Arial" w:hAnsi="Arial" w:cs="Arial"/>
          <w:sz w:val="20"/>
          <w:szCs w:val="20"/>
        </w:rPr>
      </w:pPr>
    </w:p>
    <w:p w14:paraId="12194AF4" w14:textId="77777777" w:rsidR="00417C82" w:rsidRDefault="00417C82" w:rsidP="00417C82">
      <w:pPr>
        <w:keepNext/>
      </w:pPr>
      <w:r>
        <w:rPr>
          <w:noProof/>
        </w:rPr>
        <w:lastRenderedPageBreak/>
        <w:drawing>
          <wp:inline distT="0" distB="0" distL="0" distR="0" wp14:anchorId="1AF738F8" wp14:editId="389EB938">
            <wp:extent cx="4114800" cy="2358635"/>
            <wp:effectExtent l="0" t="0" r="0" b="3810"/>
            <wp:docPr id="32" name="Picture 32" descr="https://www.nema.org/Intelligence/Documents/Linear-Fluorescent-Lamp-Indexes-Continue-to-Decline-in-Second-Quarter-2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ema.org/Intelligence/Documents/Linear-Fluorescent-Lamp-Indexes-Continue-to-Decline-in-Second-Quarter-2017.gif"/>
                    <pic:cNvPicPr>
                      <a:picLocks noChangeAspect="1" noChangeArrowheads="1"/>
                    </pic:cNvPicPr>
                  </pic:nvPicPr>
                  <pic:blipFill rotWithShape="1">
                    <a:blip r:embed="rId17">
                      <a:extLst>
                        <a:ext uri="{28A0092B-C50C-407E-A947-70E740481C1C}">
                          <a14:useLocalDpi xmlns:a14="http://schemas.microsoft.com/office/drawing/2010/main" val="0"/>
                        </a:ext>
                      </a:extLst>
                    </a:blip>
                    <a:srcRect l="7153" t="51358" r="7612" b="932"/>
                    <a:stretch/>
                  </pic:blipFill>
                  <pic:spPr bwMode="auto">
                    <a:xfrm>
                      <a:off x="0" y="0"/>
                      <a:ext cx="4114800" cy="2358635"/>
                    </a:xfrm>
                    <a:prstGeom prst="rect">
                      <a:avLst/>
                    </a:prstGeom>
                    <a:noFill/>
                    <a:ln>
                      <a:noFill/>
                    </a:ln>
                    <a:extLst>
                      <a:ext uri="{53640926-AAD7-44D8-BBD7-CCE9431645EC}">
                        <a14:shadowObscured xmlns:a14="http://schemas.microsoft.com/office/drawing/2010/main"/>
                      </a:ext>
                    </a:extLst>
                  </pic:spPr>
                </pic:pic>
              </a:graphicData>
            </a:graphic>
          </wp:inline>
        </w:drawing>
      </w:r>
    </w:p>
    <w:p w14:paraId="6F5D3194" w14:textId="15FF8626" w:rsidR="00417C82" w:rsidRPr="0093290D" w:rsidRDefault="00417C82" w:rsidP="00674C51">
      <w:pPr>
        <w:pStyle w:val="Caption"/>
      </w:pPr>
      <w:bookmarkStart w:id="9" w:name="_Toc2791466"/>
      <w:r w:rsidRPr="0093290D">
        <w:t>NEMA Linear Lamp Penetration, Q2 2017</w:t>
      </w:r>
      <w:bookmarkEnd w:id="9"/>
    </w:p>
    <w:p w14:paraId="4ADDCE46" w14:textId="410A4646" w:rsidR="00C66ECF" w:rsidRDefault="00C66ECF" w:rsidP="00C66ECF"/>
    <w:p w14:paraId="495D63B2" w14:textId="4CE1758B" w:rsidR="008B55A8" w:rsidRPr="002F4EB3" w:rsidRDefault="008B55A8" w:rsidP="008B55A8">
      <w:pPr>
        <w:pStyle w:val="eTRMHeading4"/>
      </w:pPr>
      <w:r>
        <w:t>Market Trends</w:t>
      </w:r>
    </w:p>
    <w:p w14:paraId="0CDDA0B1" w14:textId="58320AD2" w:rsidR="00417C82" w:rsidRPr="00744555" w:rsidRDefault="00417C82" w:rsidP="00C66ECF">
      <w:r w:rsidRPr="005D4C2E">
        <w:rPr>
          <w:b/>
          <w:i/>
        </w:rPr>
        <w:t>TLEDs as a Viable Retrofit Alternative to Full Fixture Replacement</w:t>
      </w:r>
      <w:r w:rsidR="005D4C2E" w:rsidRPr="005D4C2E">
        <w:rPr>
          <w:b/>
          <w:i/>
        </w:rPr>
        <w:t>.</w:t>
      </w:r>
      <w:r w:rsidR="005D4C2E">
        <w:rPr>
          <w:b/>
        </w:rPr>
        <w:t xml:space="preserve"> </w:t>
      </w:r>
      <w:r w:rsidRPr="00744555">
        <w:t xml:space="preserve">The </w:t>
      </w:r>
      <w:r w:rsidRPr="008B55A8">
        <w:rPr>
          <w:i/>
        </w:rPr>
        <w:t>California LED Pricing Analysis</w:t>
      </w:r>
      <w:r w:rsidRPr="00744555">
        <w:t xml:space="preserve"> </w:t>
      </w:r>
      <w:r w:rsidR="008B55A8">
        <w:t xml:space="preserve">study </w:t>
      </w:r>
      <w:r w:rsidRPr="00744555">
        <w:t xml:space="preserve">distinguishes the lighting luminaire market from the replacement market and suggests that customer purchase decisions are not solely influenced by </w:t>
      </w:r>
      <w:r w:rsidRPr="00744555">
        <w:rPr>
          <w:i/>
        </w:rPr>
        <w:t>fixture</w:t>
      </w:r>
      <w:r w:rsidRPr="00744555">
        <w:t xml:space="preserve"> cost differentials but include other options such as lamps that also deliver energy savings.</w:t>
      </w:r>
    </w:p>
    <w:p w14:paraId="630EA3F5" w14:textId="1B8C6318" w:rsidR="00417C82" w:rsidRDefault="00417C82" w:rsidP="00C66ECF">
      <w:r w:rsidRPr="00744555">
        <w:t xml:space="preserve">As </w:t>
      </w:r>
      <w:r w:rsidR="005D4C2E">
        <w:t xml:space="preserve">the </w:t>
      </w:r>
      <w:r w:rsidRPr="00744555">
        <w:t xml:space="preserve">key findings </w:t>
      </w:r>
      <w:r w:rsidR="005D4C2E">
        <w:t xml:space="preserve">of the </w:t>
      </w:r>
      <w:r w:rsidR="005D4C2E" w:rsidRPr="00744555">
        <w:t xml:space="preserve">LED Pricing Analysis </w:t>
      </w:r>
      <w:r w:rsidRPr="00744555">
        <w:t>suggest</w:t>
      </w:r>
      <w:r w:rsidR="005D4C2E">
        <w:t xml:space="preserve"> (</w:t>
      </w:r>
      <w:r w:rsidRPr="00744555">
        <w:t xml:space="preserve">and as shown </w:t>
      </w:r>
      <w:r w:rsidR="005D4C2E">
        <w:t>in the figure</w:t>
      </w:r>
      <w:r w:rsidRPr="00744555">
        <w:t xml:space="preserve"> below</w:t>
      </w:r>
      <w:r w:rsidR="005D4C2E">
        <w:t>)</w:t>
      </w:r>
      <w:r w:rsidRPr="00744555">
        <w:t xml:space="preserve"> the inclusion of TLEDs has a significant effect on incremental costs for these measures. </w:t>
      </w:r>
      <w:r w:rsidR="005D4C2E">
        <w:t>The measure cost analysis</w:t>
      </w:r>
      <w:r w:rsidRPr="00744555">
        <w:t xml:space="preserve"> </w:t>
      </w:r>
      <w:r w:rsidR="005D4C2E">
        <w:t xml:space="preserve">for this measure indicate that </w:t>
      </w:r>
      <w:r w:rsidRPr="00744555">
        <w:t>TLEDs are less expensive than either base case (</w:t>
      </w:r>
      <w:r>
        <w:t>100</w:t>
      </w:r>
      <w:r w:rsidRPr="00744555">
        <w:t xml:space="preserve">+ </w:t>
      </w:r>
      <w:r w:rsidR="00CB25A2">
        <w:t>LPW</w:t>
      </w:r>
      <w:r w:rsidRPr="00744555">
        <w:t>) or measure case (1</w:t>
      </w:r>
      <w:r>
        <w:t>25+</w:t>
      </w:r>
      <w:r w:rsidRPr="00744555">
        <w:t xml:space="preserve"> </w:t>
      </w:r>
      <w:r w:rsidR="00CB25A2">
        <w:t>LPW</w:t>
      </w:r>
      <w:r w:rsidRPr="00744555">
        <w:t xml:space="preserve">) LED products. </w:t>
      </w:r>
    </w:p>
    <w:p w14:paraId="43B4CC6A" w14:textId="77777777" w:rsidR="00417C82" w:rsidRDefault="00417C82" w:rsidP="00417C82">
      <w:pPr>
        <w:pStyle w:val="ListParagraph"/>
        <w:keepNext/>
        <w:ind w:left="0"/>
      </w:pPr>
      <w:r w:rsidRPr="0074519B">
        <w:rPr>
          <w:noProof/>
        </w:rPr>
        <w:t xml:space="preserve"> </w:t>
      </w:r>
      <w:r>
        <w:rPr>
          <w:noProof/>
        </w:rPr>
        <w:drawing>
          <wp:inline distT="0" distB="0" distL="0" distR="0" wp14:anchorId="5E2FF4CD" wp14:editId="08A62217">
            <wp:extent cx="4572000" cy="2402217"/>
            <wp:effectExtent l="0" t="0" r="0" b="0"/>
            <wp:docPr id="6" name="Chart 6">
              <a:extLst xmlns:a="http://schemas.openxmlformats.org/drawingml/2006/main">
                <a:ext uri="{FF2B5EF4-FFF2-40B4-BE49-F238E27FC236}">
                  <a16:creationId xmlns:a16="http://schemas.microsoft.com/office/drawing/2014/main" id="{317B3A40-D907-4FD5-802D-E728E91355BB}"/>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CB5D395" w14:textId="77777777" w:rsidR="0042653B" w:rsidRPr="00674C51" w:rsidRDefault="0042653B" w:rsidP="0042653B">
      <w:pPr>
        <w:pStyle w:val="Caption"/>
      </w:pPr>
      <w:bookmarkStart w:id="10" w:name="_Toc2791467"/>
      <w:r w:rsidRPr="00674C51">
        <w:t>Impact of TLEDs on IMC for LED Troffer measures</w:t>
      </w:r>
      <w:bookmarkEnd w:id="10"/>
    </w:p>
    <w:p w14:paraId="29AA2E2D" w14:textId="77777777" w:rsidR="004E0DB7" w:rsidRDefault="004E0DB7" w:rsidP="005D4C2E"/>
    <w:p w14:paraId="050CFF31" w14:textId="32C4241D" w:rsidR="00417C82" w:rsidRPr="00744555" w:rsidRDefault="00417C82" w:rsidP="005D4C2E">
      <w:r w:rsidRPr="00744555">
        <w:lastRenderedPageBreak/>
        <w:t xml:space="preserve">With an increasing percentage of TLEDs in the base case, a positive </w:t>
      </w:r>
      <w:r w:rsidR="005D4C2E">
        <w:t>incremental measure cost</w:t>
      </w:r>
      <w:r w:rsidRPr="00744555">
        <w:t xml:space="preserve"> starts to emerge, which more accurately represents the proportion of the market that is the replacement market as explained </w:t>
      </w:r>
      <w:r w:rsidR="005D4C2E">
        <w:t>in the</w:t>
      </w:r>
      <w:r w:rsidRPr="00744555">
        <w:t xml:space="preserve"> </w:t>
      </w:r>
      <w:r w:rsidR="00575AD7" w:rsidRPr="008B55A8">
        <w:rPr>
          <w:i/>
        </w:rPr>
        <w:t>California LED Pricing Analysis</w:t>
      </w:r>
      <w:r w:rsidRPr="00744555">
        <w:t xml:space="preserve">. </w:t>
      </w:r>
    </w:p>
    <w:p w14:paraId="7B957502" w14:textId="11894131" w:rsidR="00417C82" w:rsidRPr="00C1309F" w:rsidRDefault="00417C82" w:rsidP="005D4C2E">
      <w:r w:rsidRPr="005D4C2E">
        <w:rPr>
          <w:b/>
          <w:i/>
        </w:rPr>
        <w:t>TLED market share: Costs Continue to be a Barrier to Customer Purchase Decisions</w:t>
      </w:r>
      <w:r w:rsidR="005D4C2E" w:rsidRPr="005D4C2E">
        <w:rPr>
          <w:b/>
          <w:i/>
        </w:rPr>
        <w:t>.</w:t>
      </w:r>
      <w:r w:rsidR="005D4C2E">
        <w:t xml:space="preserve"> </w:t>
      </w:r>
      <w:r w:rsidRPr="00C1309F">
        <w:t xml:space="preserve">Customers who intend to upgrade their existing non-LED technologies to LED technology are faced with the two scenarios Navigant highlights, a full LED luminaire fixture/retrofit kit replacement or upgrading to TLEDs. Cost-sensitive customers may choose the less expensive TLED option; coupled with the data that indicates steady increases in TLED market penetration, PG&amp;E believes this should reasonably be included as part of the NR baseline scenario. </w:t>
      </w:r>
    </w:p>
    <w:p w14:paraId="0F3B2E21" w14:textId="7C9E2403" w:rsidR="00417C82" w:rsidRPr="002E5406" w:rsidRDefault="00417C82" w:rsidP="008B55A8">
      <w:pPr>
        <w:rPr>
          <w:szCs w:val="22"/>
        </w:rPr>
      </w:pPr>
      <w:r w:rsidRPr="00C1309F">
        <w:t xml:space="preserve">Bonneville Power Administration (BPA) conducted </w:t>
      </w:r>
      <w:r w:rsidR="0042653B">
        <w:t>the</w:t>
      </w:r>
      <w:r w:rsidRPr="00C1309F">
        <w:t xml:space="preserve"> </w:t>
      </w:r>
      <w:r w:rsidRPr="0042653B">
        <w:rPr>
          <w:i/>
        </w:rPr>
        <w:t>Non-Residential Lighting Market Characterization Study</w:t>
      </w:r>
      <w:r w:rsidRPr="00C1309F">
        <w:t xml:space="preserve"> for the Pacific Northwest Region that indicated that LED sales continue to increase rapidly, accounting for 15% of all nonresidential sales, with LED lamps and tubes representing the majority of the growth at 10% of total sales.</w:t>
      </w:r>
      <w:r w:rsidR="000C534D" w:rsidRPr="00C1309F">
        <w:rPr>
          <w:rStyle w:val="FootnoteReference"/>
          <w:rFonts w:ascii="Arial" w:hAnsi="Arial" w:cs="Arial"/>
        </w:rPr>
        <w:footnoteReference w:id="5"/>
      </w:r>
      <w:r w:rsidR="000C534D" w:rsidRPr="00C1309F">
        <w:t xml:space="preserve"> </w:t>
      </w:r>
    </w:p>
    <w:p w14:paraId="24C24D1F" w14:textId="6927DFD2" w:rsidR="00417C82" w:rsidRDefault="00417C82" w:rsidP="00C66ECF">
      <w:r w:rsidRPr="00C66ECF">
        <w:rPr>
          <w:b/>
          <w:i/>
        </w:rPr>
        <w:t>CALiPER Snapshot</w:t>
      </w:r>
      <w:r w:rsidR="00C66ECF" w:rsidRPr="00C66ECF">
        <w:rPr>
          <w:b/>
          <w:i/>
        </w:rPr>
        <w:t xml:space="preserve">: Troffers (U.S. DOE, </w:t>
      </w:r>
      <w:r w:rsidRPr="00C66ECF">
        <w:rPr>
          <w:b/>
          <w:i/>
        </w:rPr>
        <w:t>2016</w:t>
      </w:r>
      <w:r w:rsidR="00C66ECF" w:rsidRPr="00C66ECF">
        <w:rPr>
          <w:b/>
          <w:i/>
        </w:rPr>
        <w:t>).</w:t>
      </w:r>
      <w:r w:rsidR="000C534D">
        <w:rPr>
          <w:rStyle w:val="FootnoteReference"/>
          <w:rFonts w:ascii="Arial" w:hAnsi="Arial" w:cs="Arial"/>
          <w:i/>
        </w:rPr>
        <w:footnoteReference w:id="6"/>
      </w:r>
      <w:r w:rsidR="000C534D">
        <w:t xml:space="preserve"> </w:t>
      </w:r>
      <w:r w:rsidRPr="00B00818">
        <w:t xml:space="preserve">A few of the conclusions that CALiPER reported </w:t>
      </w:r>
      <w:r>
        <w:t>in its most recent snapshot report on LED Troffers:</w:t>
      </w:r>
    </w:p>
    <w:p w14:paraId="4D157601" w14:textId="09F57C8F" w:rsidR="00417C82" w:rsidRDefault="00417C82" w:rsidP="00C66ECF">
      <w:pPr>
        <w:pStyle w:val="eTRMBulletedText"/>
      </w:pPr>
      <w:r w:rsidRPr="00EA2E68">
        <w:t>About 10% of the listed products had a luminous efficacy</w:t>
      </w:r>
      <w:r>
        <w:t xml:space="preserve"> greater than 125 </w:t>
      </w:r>
      <w:r w:rsidR="0042653B">
        <w:t>LPW</w:t>
      </w:r>
      <w:r>
        <w:t xml:space="preserve">, </w:t>
      </w:r>
      <w:r w:rsidR="0042653B">
        <w:t>therefore</w:t>
      </w:r>
      <w:r>
        <w:t xml:space="preserve"> DLC Premium-level products are less than </w:t>
      </w:r>
      <w:r w:rsidR="0042653B">
        <w:t>one-</w:t>
      </w:r>
      <w:r>
        <w:t xml:space="preserve"> tenth of the market by this dataset.</w:t>
      </w:r>
    </w:p>
    <w:p w14:paraId="4B5CD2BD" w14:textId="59986278" w:rsidR="00417C82" w:rsidRDefault="00417C82" w:rsidP="00C66ECF">
      <w:pPr>
        <w:pStyle w:val="eTRMBulletedText"/>
      </w:pPr>
      <w:r w:rsidRPr="00EA2E68">
        <w:t xml:space="preserve">The output of some of the </w:t>
      </w:r>
      <w:r w:rsidR="0042653B">
        <w:t>DLC “</w:t>
      </w:r>
      <w:r w:rsidRPr="00EA2E68">
        <w:t>listed</w:t>
      </w:r>
      <w:r w:rsidR="0042653B">
        <w:t>”</w:t>
      </w:r>
      <w:r w:rsidRPr="00EA2E68">
        <w:t xml:space="preserve"> LED products exceeds what is typical of a fluorescent troffer, supporting the continuation of an upper lumen output limit for this measure.</w:t>
      </w:r>
    </w:p>
    <w:p w14:paraId="76821E6D" w14:textId="6C41FAF5" w:rsidR="00417C82" w:rsidRPr="00C1309F" w:rsidRDefault="00417C82" w:rsidP="00C66ECF">
      <w:bookmarkStart w:id="11" w:name="_Hlk533695948"/>
      <w:r w:rsidRPr="00C66ECF">
        <w:rPr>
          <w:b/>
          <w:i/>
        </w:rPr>
        <w:t>CALiPER Snapshot</w:t>
      </w:r>
      <w:r w:rsidR="00C66ECF" w:rsidRPr="00C66ECF">
        <w:rPr>
          <w:b/>
          <w:i/>
        </w:rPr>
        <w:t xml:space="preserve">: T-LEDs (U.S. DOE, </w:t>
      </w:r>
      <w:r w:rsidRPr="00C66ECF">
        <w:rPr>
          <w:b/>
          <w:i/>
        </w:rPr>
        <w:t>2016</w:t>
      </w:r>
      <w:r w:rsidR="00C66ECF" w:rsidRPr="00C66ECF">
        <w:rPr>
          <w:b/>
          <w:i/>
        </w:rPr>
        <w:t>).</w:t>
      </w:r>
      <w:r w:rsidR="000C534D">
        <w:rPr>
          <w:rStyle w:val="FootnoteReference"/>
          <w:rFonts w:ascii="Arial" w:hAnsi="Arial" w:cs="Arial"/>
        </w:rPr>
        <w:footnoteReference w:id="7"/>
      </w:r>
      <w:r w:rsidR="000C534D">
        <w:t xml:space="preserve"> </w:t>
      </w:r>
      <w:r w:rsidRPr="00C1309F">
        <w:t xml:space="preserve">A few of the conclusions that CALiPER reported in its most recent snapshot report </w:t>
      </w:r>
      <w:r>
        <w:t>on TLEDs</w:t>
      </w:r>
      <w:r w:rsidRPr="00C1309F">
        <w:t>:</w:t>
      </w:r>
    </w:p>
    <w:p w14:paraId="78D64397" w14:textId="77777777" w:rsidR="00417C82" w:rsidRPr="000D14B0" w:rsidRDefault="00417C82" w:rsidP="00C66ECF">
      <w:pPr>
        <w:pStyle w:val="eTRMBulletedText"/>
      </w:pPr>
      <w:r>
        <w:t>O</w:t>
      </w:r>
      <w:r w:rsidRPr="000D14B0">
        <w:t xml:space="preserve">ver 90% of the currently listed TLEDs exceed 100 </w:t>
      </w:r>
      <w:r>
        <w:t>LP</w:t>
      </w:r>
      <w:r w:rsidRPr="000D14B0">
        <w:t xml:space="preserve">W, which is roughly the efficacy of a bare linear fluorescent lamp, and near to the qualification threshold for the </w:t>
      </w:r>
      <w:proofErr w:type="spellStart"/>
      <w:r w:rsidRPr="000D14B0">
        <w:t>DesignLights</w:t>
      </w:r>
      <w:proofErr w:type="spellEnd"/>
      <w:r w:rsidRPr="000D14B0">
        <w:t xml:space="preserve"> Consortium™ Products List of 110 </w:t>
      </w:r>
      <w:r>
        <w:t>LP</w:t>
      </w:r>
      <w:r w:rsidRPr="000D14B0">
        <w:t xml:space="preserve">W.  In the broad </w:t>
      </w:r>
      <w:proofErr w:type="spellStart"/>
      <w:r w:rsidRPr="000D14B0">
        <w:t>LightingFacts</w:t>
      </w:r>
      <w:proofErr w:type="spellEnd"/>
      <w:r w:rsidRPr="000D14B0">
        <w:t xml:space="preserve"> database, both LED troffer retrofit kits and LED troffer luminaires tend to have lower efficacies compared to bare TLEDs, but when luminaire efficiency is considered, the retrofit kits and troffers are comparable to the high end of TLED efficacy.</w:t>
      </w:r>
    </w:p>
    <w:p w14:paraId="4EEBEBC5" w14:textId="1577BB66" w:rsidR="00417C82" w:rsidRPr="000D14B0" w:rsidRDefault="00417C82" w:rsidP="00C66ECF">
      <w:pPr>
        <w:pStyle w:val="eTRMBulletedText"/>
      </w:pPr>
      <w:r w:rsidRPr="000D14B0">
        <w:t>When evaluating TLEDs, it</w:t>
      </w:r>
      <w:r w:rsidR="001F67AF">
        <w:t xml:space="preserve"> i</w:t>
      </w:r>
      <w:r w:rsidRPr="000D14B0">
        <w:t>s important to consider their efficacy when installed in a luminaire. As the number of lamps increases, the luminaire efficiency is slightly reduced.  In order to appropriately compare the efficacy of TLEDs to that of other LED luminaires, this workpaper uses a</w:t>
      </w:r>
      <w:r>
        <w:t xml:space="preserve"> fixture efficiency</w:t>
      </w:r>
      <w:r w:rsidRPr="000D14B0">
        <w:t xml:space="preserve"> multiplier of 0.8 to represent the luminous efficiency of the luminaire, per t</w:t>
      </w:r>
      <w:r>
        <w:t>his CALiPER report from the DOE.</w:t>
      </w:r>
    </w:p>
    <w:p w14:paraId="72B69402" w14:textId="77777777" w:rsidR="003369AE" w:rsidRDefault="003369AE" w:rsidP="00A332F2">
      <w:pPr>
        <w:spacing w:before="0" w:after="0" w:line="264" w:lineRule="auto"/>
        <w:rPr>
          <w:rFonts w:ascii="Arial" w:hAnsi="Arial" w:cs="Arial"/>
          <w:sz w:val="20"/>
          <w:szCs w:val="20"/>
        </w:rPr>
      </w:pPr>
    </w:p>
    <w:p w14:paraId="4BC0BE68" w14:textId="4EB84AA8" w:rsidR="00417C82" w:rsidRDefault="00417C82" w:rsidP="001F67AF">
      <w:r w:rsidRPr="00313394">
        <w:lastRenderedPageBreak/>
        <w:t>Based on the data collected</w:t>
      </w:r>
      <w:r w:rsidR="00A332F2">
        <w:t xml:space="preserve"> by PG&amp;E</w:t>
      </w:r>
      <w:r w:rsidRPr="00313394">
        <w:t xml:space="preserve"> in February 2019, the 25th percentile of the TLED efficacy is </w:t>
      </w:r>
      <w:r w:rsidRPr="00EF2C99">
        <w:t>determined to be 111 LPW.</w:t>
      </w:r>
      <w:r w:rsidR="00C514C3" w:rsidRPr="00EF2C99">
        <w:rPr>
          <w:rStyle w:val="FootnoteReference"/>
        </w:rPr>
        <w:footnoteReference w:id="8"/>
      </w:r>
      <w:r w:rsidRPr="00EF2C99">
        <w:t xml:space="preserve"> </w:t>
      </w:r>
    </w:p>
    <w:p w14:paraId="3C556D74" w14:textId="3CBF722F" w:rsidR="00417C82" w:rsidRPr="00C1309F" w:rsidRDefault="00417C82" w:rsidP="001F67AF">
      <w:r w:rsidRPr="00C1309F">
        <w:t>In addition, many TLEDs operate with existing fluorescent ballast</w:t>
      </w:r>
      <w:r>
        <w:t>s</w:t>
      </w:r>
      <w:r w:rsidRPr="00C1309F">
        <w:t xml:space="preserve"> which increase </w:t>
      </w:r>
      <w:r w:rsidR="009206BA">
        <w:t xml:space="preserve">the TLED </w:t>
      </w:r>
      <w:r w:rsidRPr="00C1309F">
        <w:t>wattage</w:t>
      </w:r>
      <w:r w:rsidR="009206BA">
        <w:t xml:space="preserve"> consumption</w:t>
      </w:r>
      <w:r w:rsidRPr="00C1309F">
        <w:t xml:space="preserve">. </w:t>
      </w:r>
      <w:r>
        <w:t xml:space="preserve">CALiPER does not address the percentage of TLEDs operating with a fluorescent ballast. </w:t>
      </w:r>
      <w:r w:rsidRPr="00C1309F">
        <w:t xml:space="preserve">Anecdotal market evidence suggests the plug-and-play, Type A, approach to TLEDs is the most popular, with no electrician requirement to plug in new lamps; this is also the most inefficient strategy because it leaves the fluorescent ballast powered. Without a thorough study available on TLED trends, </w:t>
      </w:r>
      <w:r w:rsidR="001F67AF">
        <w:t>this measure analysis</w:t>
      </w:r>
      <w:r w:rsidRPr="00C1309F">
        <w:t xml:space="preserve"> assumes a conservative 40.4% of TLEDs operate with fluorescent ballasts, based on the percentage of the DLC QPL listed TLEDs that are Type A. Fluorescent ballasts are assumed to consume 10% of system power, based on federal fluorescent ballast luminous efficiency standards</w:t>
      </w:r>
      <w:r>
        <w:t xml:space="preserve"> </w:t>
      </w:r>
      <w:r w:rsidR="007A64C7">
        <w:t>(see Code Requirements)</w:t>
      </w:r>
      <w:r w:rsidRPr="00C1309F">
        <w:t xml:space="preserve">. 59.6% of TLEDs are assumed to have no ballast losses. Incorporating ballast </w:t>
      </w:r>
      <w:r>
        <w:t>efficiency</w:t>
      </w:r>
      <w:r w:rsidRPr="00C1309F">
        <w:t xml:space="preserve"> and fixture losses yields </w:t>
      </w:r>
      <w:r>
        <w:t>an efficacy of 85.2 LPW for TLEDs in fixtures</w:t>
      </w:r>
      <w:r w:rsidR="00C514C3">
        <w:t>.</w:t>
      </w:r>
      <w:r w:rsidR="00C514C3">
        <w:rPr>
          <w:rStyle w:val="FootnoteReference"/>
        </w:rPr>
        <w:footnoteReference w:id="9"/>
      </w:r>
      <w:r>
        <w:t xml:space="preserve"> </w:t>
      </w:r>
    </w:p>
    <w:p w14:paraId="34851A4F" w14:textId="7C93A74E" w:rsidR="00807903" w:rsidRPr="00EF2C99" w:rsidRDefault="00F43309" w:rsidP="00EF2C99">
      <w:pPr>
        <w:autoSpaceDE w:val="0"/>
        <w:autoSpaceDN w:val="0"/>
        <w:adjustRightInd w:val="0"/>
      </w:pPr>
      <w:bookmarkStart w:id="12" w:name="_Toc486490848"/>
      <w:bookmarkStart w:id="13" w:name="_Toc486580919"/>
      <w:bookmarkEnd w:id="11"/>
      <w:r w:rsidRPr="00EF2C99">
        <w:rPr>
          <w:b/>
          <w:i/>
        </w:rPr>
        <w:t>California Statewide Non-Residential LED Quality and Market Characterization Study, Part 2 – LED Market Characterization and Final Non-Residential LED Quality Criteria</w:t>
      </w:r>
      <w:r w:rsidR="00EF2C99">
        <w:rPr>
          <w:b/>
          <w:i/>
        </w:rPr>
        <w:t xml:space="preserve"> (Navigant</w:t>
      </w:r>
      <w:r w:rsidRPr="00EF2C99">
        <w:rPr>
          <w:b/>
          <w:i/>
        </w:rPr>
        <w:t xml:space="preserve">, </w:t>
      </w:r>
      <w:r w:rsidR="00EF2C99">
        <w:rPr>
          <w:b/>
          <w:i/>
        </w:rPr>
        <w:t>2019)</w:t>
      </w:r>
      <w:r w:rsidRPr="00EF2C99">
        <w:rPr>
          <w:b/>
          <w:i/>
        </w:rPr>
        <w:t>.</w:t>
      </w:r>
      <w:r w:rsidR="00EF2C99" w:rsidRPr="00EF2C99">
        <w:rPr>
          <w:rStyle w:val="FootnoteReference"/>
          <w:b/>
          <w:i/>
        </w:rPr>
        <w:footnoteReference w:id="10"/>
      </w:r>
      <w:r w:rsidR="00EF2C99" w:rsidRPr="00EF2C99">
        <w:rPr>
          <w:b/>
          <w:i/>
        </w:rPr>
        <w:t xml:space="preserve">  </w:t>
      </w:r>
      <w:r w:rsidR="00EF2C99" w:rsidRPr="00EF2C99">
        <w:t>This</w:t>
      </w:r>
      <w:r w:rsidR="00807903" w:rsidRPr="00EF2C99">
        <w:t xml:space="preserve"> study revealed that a small percentage of the linear ambient fixture sales were DLC listed. The low penetration of DLC</w:t>
      </w:r>
      <w:r w:rsidR="00EF2C99" w:rsidRPr="00EF2C99">
        <w:t>-</w:t>
      </w:r>
      <w:r w:rsidR="00807903" w:rsidRPr="00EF2C99">
        <w:t>qualified products being purchased is a</w:t>
      </w:r>
      <w:r w:rsidR="00EF2C99" w:rsidRPr="00EF2C99">
        <w:t xml:space="preserve">n indication that </w:t>
      </w:r>
      <w:r w:rsidR="00807903" w:rsidRPr="00EF2C99">
        <w:t>no utility rebate</w:t>
      </w:r>
      <w:r w:rsidR="00EF2C99" w:rsidRPr="00EF2C99">
        <w:t>s are</w:t>
      </w:r>
      <w:r w:rsidR="00807903" w:rsidRPr="00EF2C99">
        <w:t xml:space="preserve"> </w:t>
      </w:r>
      <w:r w:rsidR="00EF2C99" w:rsidRPr="00EF2C99">
        <w:rPr>
          <w:i/>
          <w:iCs/>
        </w:rPr>
        <w:t>not</w:t>
      </w:r>
      <w:r w:rsidR="00EF2C99" w:rsidRPr="00EF2C99">
        <w:t xml:space="preserve"> </w:t>
      </w:r>
      <w:r w:rsidR="00807903" w:rsidRPr="00EF2C99">
        <w:t>offered for those products. The deemed offerings</w:t>
      </w:r>
      <w:r w:rsidR="005F15EA" w:rsidRPr="00EF2C99">
        <w:t xml:space="preserve"> for DLC qualified products</w:t>
      </w:r>
      <w:r w:rsidR="00807903" w:rsidRPr="00EF2C99">
        <w:t xml:space="preserve"> will </w:t>
      </w:r>
      <w:r w:rsidR="005F15EA" w:rsidRPr="00EF2C99">
        <w:t>likely encourage</w:t>
      </w:r>
      <w:r w:rsidR="00807903" w:rsidRPr="00EF2C99">
        <w:t xml:space="preserve"> customers toward </w:t>
      </w:r>
      <w:r w:rsidR="00271B0A" w:rsidRPr="00EF2C99">
        <w:t xml:space="preserve">purchasing </w:t>
      </w:r>
      <w:r w:rsidR="005F15EA" w:rsidRPr="00EF2C99">
        <w:t xml:space="preserve">the </w:t>
      </w:r>
      <w:r w:rsidR="00807903" w:rsidRPr="00EF2C99">
        <w:t xml:space="preserve">more efficient and </w:t>
      </w:r>
      <w:r w:rsidR="00EF2C99" w:rsidRPr="00EF2C99">
        <w:t>higher</w:t>
      </w:r>
      <w:r w:rsidR="00807903" w:rsidRPr="00EF2C99">
        <w:t xml:space="preserve"> quality lighting products.</w:t>
      </w:r>
    </w:p>
    <w:p w14:paraId="67B6A748" w14:textId="39DA2945" w:rsidR="00F43309" w:rsidRDefault="00F43309" w:rsidP="00807903">
      <w:pPr>
        <w:spacing w:before="0" w:after="0"/>
        <w:rPr>
          <w:sz w:val="20"/>
          <w:szCs w:val="20"/>
        </w:rPr>
      </w:pPr>
      <w:r>
        <w:rPr>
          <w:noProof/>
        </w:rPr>
        <w:drawing>
          <wp:inline distT="0" distB="0" distL="0" distR="0" wp14:anchorId="0E07A32E" wp14:editId="502C110B">
            <wp:extent cx="3657600" cy="2094047"/>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657600" cy="2094047"/>
                    </a:xfrm>
                    <a:prstGeom prst="rect">
                      <a:avLst/>
                    </a:prstGeom>
                  </pic:spPr>
                </pic:pic>
              </a:graphicData>
            </a:graphic>
          </wp:inline>
        </w:drawing>
      </w:r>
    </w:p>
    <w:p w14:paraId="54C1E152" w14:textId="77777777" w:rsidR="00490177" w:rsidRDefault="00490177" w:rsidP="00490177">
      <w:pPr>
        <w:pStyle w:val="FigureCaption"/>
      </w:pPr>
      <w:r w:rsidRPr="00F43309">
        <w:t>2017 DLC Market Penetration by Criteria Product Category</w:t>
      </w:r>
    </w:p>
    <w:p w14:paraId="362C18D8" w14:textId="77777777" w:rsidR="00490177" w:rsidRDefault="00490177" w:rsidP="00490177"/>
    <w:p w14:paraId="4B7CC3DE" w14:textId="7E199312" w:rsidR="00F219C3" w:rsidRPr="00F219C3" w:rsidRDefault="007D230B" w:rsidP="00754797">
      <w:pPr>
        <w:pStyle w:val="eTRMHeading3"/>
      </w:pPr>
      <w:bookmarkStart w:id="14" w:name="_Toc12626357"/>
      <w:r w:rsidRPr="004B06E3">
        <w:lastRenderedPageBreak/>
        <w:t>Measure Case Description</w:t>
      </w:r>
      <w:bookmarkEnd w:id="12"/>
      <w:bookmarkEnd w:id="13"/>
      <w:r w:rsidR="00F219C3">
        <w:t>.</w:t>
      </w:r>
      <w:bookmarkEnd w:id="14"/>
    </w:p>
    <w:p w14:paraId="0C7307A0" w14:textId="4DEB7486" w:rsidR="00F219C3" w:rsidRDefault="002217C6" w:rsidP="00754797">
      <w:pPr>
        <w:keepNext/>
        <w:keepLines/>
        <w:rPr>
          <w:szCs w:val="22"/>
        </w:rPr>
      </w:pPr>
      <w:r w:rsidRPr="002217C6">
        <w:rPr>
          <w:szCs w:val="22"/>
        </w:rPr>
        <w:t>Given the number of variations on linear fluorescent lamp and ballast configurations and resultant light outputs, and that groupings by wattage</w:t>
      </w:r>
      <w:r>
        <w:rPr>
          <w:szCs w:val="22"/>
        </w:rPr>
        <w:t xml:space="preserve"> </w:t>
      </w:r>
      <w:r w:rsidRPr="002217C6">
        <w:rPr>
          <w:szCs w:val="22"/>
        </w:rPr>
        <w:t>do not accurately reflect illumination between LED and linear fluorescent fixtures, the efficacy and wattages of both base case and measure case fixtures are not grouped by lamp and ballast configuration</w:t>
      </w:r>
      <w:r w:rsidR="00D67DD0">
        <w:rPr>
          <w:szCs w:val="22"/>
        </w:rPr>
        <w:t>. Rather, they are</w:t>
      </w:r>
      <w:r w:rsidRPr="002217C6">
        <w:rPr>
          <w:szCs w:val="22"/>
        </w:rPr>
        <w:t xml:space="preserve"> characterized in units of kilolumens</w:t>
      </w:r>
      <w:r w:rsidR="00D8282E">
        <w:rPr>
          <w:szCs w:val="22"/>
        </w:rPr>
        <w:t xml:space="preserve"> (</w:t>
      </w:r>
      <w:proofErr w:type="spellStart"/>
      <w:r w:rsidR="00D8282E">
        <w:rPr>
          <w:szCs w:val="22"/>
        </w:rPr>
        <w:t>kLm</w:t>
      </w:r>
      <w:proofErr w:type="spellEnd"/>
      <w:r w:rsidR="00D8282E">
        <w:rPr>
          <w:szCs w:val="22"/>
        </w:rPr>
        <w:t>)</w:t>
      </w:r>
      <w:r w:rsidRPr="002217C6">
        <w:rPr>
          <w:szCs w:val="22"/>
        </w:rPr>
        <w:t xml:space="preserve">. </w:t>
      </w:r>
    </w:p>
    <w:p w14:paraId="58514814" w14:textId="3E811957" w:rsidR="001F67AF" w:rsidRDefault="001F67AF" w:rsidP="001F67AF">
      <w:r>
        <w:t>The measure case is defined as an</w:t>
      </w:r>
      <w:r w:rsidRPr="003B2621">
        <w:t xml:space="preserve"> LED </w:t>
      </w:r>
      <w:r>
        <w:t xml:space="preserve">luminaire or LED retrofit kit in </w:t>
      </w:r>
      <w:r w:rsidR="001E55C0">
        <w:t xml:space="preserve">the </w:t>
      </w:r>
      <w:r w:rsidR="00480FE6">
        <w:t>t</w:t>
      </w:r>
      <w:r>
        <w:t xml:space="preserve">roffer or </w:t>
      </w:r>
      <w:r w:rsidR="00480FE6">
        <w:t>l</w:t>
      </w:r>
      <w:r>
        <w:t xml:space="preserve">inear </w:t>
      </w:r>
      <w:r w:rsidR="00480FE6">
        <w:t>a</w:t>
      </w:r>
      <w:r>
        <w:t xml:space="preserve">mbient </w:t>
      </w:r>
      <w:r w:rsidR="00480FE6">
        <w:t>product c</w:t>
      </w:r>
      <w:r>
        <w:t>ategories</w:t>
      </w:r>
      <w:r w:rsidRPr="00AD1352">
        <w:t xml:space="preserve"> </w:t>
      </w:r>
      <w:r>
        <w:t xml:space="preserve">with efficacy ranges shown in the table below. </w:t>
      </w:r>
      <w:r w:rsidR="00751A40">
        <w:t xml:space="preserve">Measure offerings vary by fixture type, size, and efficacy (LPW). </w:t>
      </w:r>
      <w:r>
        <w:t xml:space="preserve">Troffer eligibility is limited to products </w:t>
      </w:r>
      <w:r w:rsidRPr="003B2621">
        <w:t xml:space="preserve">with initial light output between </w:t>
      </w:r>
      <w:r w:rsidRPr="00ED77BD">
        <w:t>2</w:t>
      </w:r>
      <w:r w:rsidRPr="00D14120">
        <w:t>,</w:t>
      </w:r>
      <w:r w:rsidRPr="00ED77BD">
        <w:t>200 and 6</w:t>
      </w:r>
      <w:r w:rsidRPr="00D14120">
        <w:t>,</w:t>
      </w:r>
      <w:r w:rsidRPr="00ED77BD">
        <w:t>500</w:t>
      </w:r>
      <w:r w:rsidRPr="003B2621">
        <w:t xml:space="preserve"> lumens</w:t>
      </w:r>
      <w:r>
        <w:t xml:space="preserve">, and </w:t>
      </w:r>
      <w:r w:rsidR="00926EC3">
        <w:t>l</w:t>
      </w:r>
      <w:r>
        <w:t xml:space="preserve">inear </w:t>
      </w:r>
      <w:r w:rsidR="00926EC3">
        <w:t>a</w:t>
      </w:r>
      <w:r>
        <w:t>mbient eligibility is limited to products with initial light output below 6,500 lumens</w:t>
      </w:r>
      <w:r w:rsidRPr="003B2621">
        <w:t>.</w:t>
      </w:r>
    </w:p>
    <w:p w14:paraId="3CABA3A7" w14:textId="34ED9703" w:rsidR="00950E17" w:rsidRDefault="00950E17" w:rsidP="00674C51">
      <w:pPr>
        <w:pStyle w:val="Caption"/>
      </w:pPr>
      <w:r w:rsidRPr="00950E17">
        <w:t xml:space="preserve">Measure </w:t>
      </w:r>
      <w:r w:rsidR="005055A8">
        <w:t>Offerings</w:t>
      </w:r>
    </w:p>
    <w:tbl>
      <w:tblPr>
        <w:tblW w:w="963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00"/>
        <w:gridCol w:w="8130"/>
      </w:tblGrid>
      <w:tr w:rsidR="00751A40" w:rsidRPr="00751A40" w14:paraId="0EEE502A" w14:textId="56DC0668" w:rsidTr="00751A40">
        <w:trPr>
          <w:trHeight w:val="290"/>
          <w:tblHeader/>
        </w:trPr>
        <w:tc>
          <w:tcPr>
            <w:tcW w:w="1500" w:type="dxa"/>
            <w:shd w:val="clear" w:color="auto" w:fill="F2F2F2" w:themeFill="background1" w:themeFillShade="F2"/>
            <w:noWrap/>
            <w:vAlign w:val="bottom"/>
            <w:hideMark/>
          </w:tcPr>
          <w:p w14:paraId="4ECC4E8D" w14:textId="648B533F" w:rsidR="00EF2C99" w:rsidRPr="00EF2C99" w:rsidRDefault="00EF2C99" w:rsidP="00751A40">
            <w:pPr>
              <w:spacing w:before="0" w:after="0" w:line="240" w:lineRule="auto"/>
              <w:jc w:val="center"/>
              <w:rPr>
                <w:rFonts w:eastAsia="Times New Roman" w:cs="Calibri Light"/>
                <w:b/>
                <w:bCs/>
                <w:sz w:val="20"/>
                <w:szCs w:val="20"/>
              </w:rPr>
            </w:pPr>
            <w:r w:rsidRPr="00751A40">
              <w:rPr>
                <w:rFonts w:eastAsia="Times New Roman" w:cs="Calibri Light"/>
                <w:b/>
                <w:bCs/>
                <w:sz w:val="20"/>
                <w:szCs w:val="20"/>
              </w:rPr>
              <w:t xml:space="preserve">Statewide </w:t>
            </w:r>
            <w:r w:rsidRPr="00EF2C99">
              <w:rPr>
                <w:rFonts w:eastAsia="Times New Roman" w:cs="Calibri Light"/>
                <w:b/>
                <w:bCs/>
                <w:sz w:val="20"/>
                <w:szCs w:val="20"/>
              </w:rPr>
              <w:t>Measure</w:t>
            </w:r>
            <w:r w:rsidRPr="00751A40">
              <w:rPr>
                <w:rFonts w:eastAsia="Times New Roman" w:cs="Calibri Light"/>
                <w:b/>
                <w:bCs/>
                <w:sz w:val="20"/>
                <w:szCs w:val="20"/>
              </w:rPr>
              <w:t xml:space="preserve"> Offering </w:t>
            </w:r>
            <w:r w:rsidRPr="00EF2C99">
              <w:rPr>
                <w:rFonts w:eastAsia="Times New Roman" w:cs="Calibri Light"/>
                <w:b/>
                <w:bCs/>
                <w:sz w:val="20"/>
                <w:szCs w:val="20"/>
              </w:rPr>
              <w:t>ID</w:t>
            </w:r>
          </w:p>
        </w:tc>
        <w:tc>
          <w:tcPr>
            <w:tcW w:w="8130" w:type="dxa"/>
            <w:shd w:val="clear" w:color="auto" w:fill="F2F2F2" w:themeFill="background1" w:themeFillShade="F2"/>
            <w:vAlign w:val="bottom"/>
          </w:tcPr>
          <w:p w14:paraId="51EEA3C4" w14:textId="79E6869A" w:rsidR="00EF2C99" w:rsidRPr="00751A40" w:rsidRDefault="00EF2C99" w:rsidP="00751A40">
            <w:pPr>
              <w:spacing w:before="0" w:after="0" w:line="240" w:lineRule="auto"/>
              <w:jc w:val="center"/>
              <w:rPr>
                <w:rFonts w:eastAsia="Times New Roman" w:cs="Calibri Light"/>
                <w:b/>
                <w:bCs/>
                <w:sz w:val="20"/>
                <w:szCs w:val="20"/>
              </w:rPr>
            </w:pPr>
            <w:r w:rsidRPr="00751A40">
              <w:rPr>
                <w:rFonts w:cs="Calibri Light"/>
                <w:b/>
                <w:bCs/>
                <w:sz w:val="20"/>
                <w:szCs w:val="20"/>
              </w:rPr>
              <w:t>Measure Offering Description</w:t>
            </w:r>
          </w:p>
        </w:tc>
      </w:tr>
      <w:tr w:rsidR="00EF2C99" w:rsidRPr="00EF2C99" w14:paraId="206E0BC0" w14:textId="4B0D6F4B" w:rsidTr="00490177">
        <w:trPr>
          <w:trHeight w:val="290"/>
        </w:trPr>
        <w:tc>
          <w:tcPr>
            <w:tcW w:w="1500" w:type="dxa"/>
            <w:shd w:val="clear" w:color="auto" w:fill="auto"/>
            <w:noWrap/>
            <w:vAlign w:val="center"/>
            <w:hideMark/>
          </w:tcPr>
          <w:p w14:paraId="67862609"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SWLG012A</w:t>
            </w:r>
          </w:p>
        </w:tc>
        <w:tc>
          <w:tcPr>
            <w:tcW w:w="8130" w:type="dxa"/>
            <w:vAlign w:val="center"/>
          </w:tcPr>
          <w:p w14:paraId="5D7368F6" w14:textId="3D6E9740"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4 LED  New Luminaire rated greater than or equal to 125 LPW and &lt; 140 LPW</w:t>
            </w:r>
          </w:p>
        </w:tc>
      </w:tr>
      <w:tr w:rsidR="00EF2C99" w:rsidRPr="00EF2C99" w14:paraId="0DF7D456" w14:textId="2F8E819B" w:rsidTr="00490177">
        <w:trPr>
          <w:trHeight w:val="290"/>
        </w:trPr>
        <w:tc>
          <w:tcPr>
            <w:tcW w:w="1500" w:type="dxa"/>
            <w:shd w:val="clear" w:color="auto" w:fill="auto"/>
            <w:noWrap/>
            <w:vAlign w:val="center"/>
            <w:hideMark/>
          </w:tcPr>
          <w:p w14:paraId="38C58E7B"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SWLG012B</w:t>
            </w:r>
          </w:p>
        </w:tc>
        <w:tc>
          <w:tcPr>
            <w:tcW w:w="8130" w:type="dxa"/>
            <w:vAlign w:val="center"/>
          </w:tcPr>
          <w:p w14:paraId="090EE1CA" w14:textId="598C374A"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4 LED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5B4CF0F4" w14:textId="1AF8CAFE" w:rsidTr="00490177">
        <w:trPr>
          <w:trHeight w:val="290"/>
        </w:trPr>
        <w:tc>
          <w:tcPr>
            <w:tcW w:w="1500" w:type="dxa"/>
            <w:shd w:val="clear" w:color="auto" w:fill="auto"/>
            <w:noWrap/>
            <w:vAlign w:val="center"/>
            <w:hideMark/>
          </w:tcPr>
          <w:p w14:paraId="77999DF0"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SWLG012C</w:t>
            </w:r>
          </w:p>
        </w:tc>
        <w:tc>
          <w:tcPr>
            <w:tcW w:w="8130" w:type="dxa"/>
            <w:vAlign w:val="center"/>
          </w:tcPr>
          <w:p w14:paraId="5590261F" w14:textId="51E8190B"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2 LED  New Luminaire rated greater than or equal to 125 LPW and &lt; 140 LPW</w:t>
            </w:r>
          </w:p>
        </w:tc>
      </w:tr>
      <w:tr w:rsidR="00EF2C99" w:rsidRPr="00EF2C99" w14:paraId="608959C8" w14:textId="161367C7" w:rsidTr="00490177">
        <w:trPr>
          <w:trHeight w:val="290"/>
        </w:trPr>
        <w:tc>
          <w:tcPr>
            <w:tcW w:w="1500" w:type="dxa"/>
            <w:shd w:val="clear" w:color="auto" w:fill="auto"/>
            <w:noWrap/>
            <w:vAlign w:val="center"/>
            <w:hideMark/>
          </w:tcPr>
          <w:p w14:paraId="31C4A8B8"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SWLG012D</w:t>
            </w:r>
          </w:p>
        </w:tc>
        <w:tc>
          <w:tcPr>
            <w:tcW w:w="8130" w:type="dxa"/>
            <w:vAlign w:val="center"/>
          </w:tcPr>
          <w:p w14:paraId="01810215" w14:textId="5E749B22"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2 LED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71B8DE87" w14:textId="4D39895D" w:rsidTr="00490177">
        <w:trPr>
          <w:trHeight w:val="290"/>
        </w:trPr>
        <w:tc>
          <w:tcPr>
            <w:tcW w:w="1500" w:type="dxa"/>
            <w:shd w:val="clear" w:color="auto" w:fill="auto"/>
            <w:noWrap/>
            <w:vAlign w:val="center"/>
            <w:hideMark/>
          </w:tcPr>
          <w:p w14:paraId="10463DAD"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SWLG012E</w:t>
            </w:r>
          </w:p>
        </w:tc>
        <w:tc>
          <w:tcPr>
            <w:tcW w:w="8130" w:type="dxa"/>
            <w:vAlign w:val="center"/>
          </w:tcPr>
          <w:p w14:paraId="3357954C" w14:textId="680F9AFF"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1 x 4 LED  New Luminaire rated greater than or equal to 125 LPW and &lt; 140 LPW</w:t>
            </w:r>
          </w:p>
        </w:tc>
      </w:tr>
      <w:tr w:rsidR="00EF2C99" w:rsidRPr="00EF2C99" w14:paraId="4850F52D" w14:textId="420741C0" w:rsidTr="00490177">
        <w:trPr>
          <w:trHeight w:val="290"/>
        </w:trPr>
        <w:tc>
          <w:tcPr>
            <w:tcW w:w="1500" w:type="dxa"/>
            <w:shd w:val="clear" w:color="auto" w:fill="auto"/>
            <w:noWrap/>
            <w:vAlign w:val="center"/>
            <w:hideMark/>
          </w:tcPr>
          <w:p w14:paraId="5C3DC239"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SWLG012F</w:t>
            </w:r>
          </w:p>
        </w:tc>
        <w:tc>
          <w:tcPr>
            <w:tcW w:w="8130" w:type="dxa"/>
            <w:vAlign w:val="center"/>
          </w:tcPr>
          <w:p w14:paraId="2B7244FC" w14:textId="03C61555"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1 x 4 LED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2F258FC7" w14:textId="59CD300B" w:rsidTr="00490177">
        <w:trPr>
          <w:trHeight w:val="290"/>
        </w:trPr>
        <w:tc>
          <w:tcPr>
            <w:tcW w:w="1500" w:type="dxa"/>
            <w:shd w:val="clear" w:color="auto" w:fill="auto"/>
            <w:noWrap/>
            <w:vAlign w:val="center"/>
            <w:hideMark/>
          </w:tcPr>
          <w:p w14:paraId="64DA8B79"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SWLG012G</w:t>
            </w:r>
          </w:p>
        </w:tc>
        <w:tc>
          <w:tcPr>
            <w:tcW w:w="8130" w:type="dxa"/>
            <w:vAlign w:val="center"/>
          </w:tcPr>
          <w:p w14:paraId="2FB8EE30" w14:textId="33E0673F"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4 LED  Integrated retrofit kit rated greater than or equal to 125 LPW and &lt; 140 LPW</w:t>
            </w:r>
          </w:p>
        </w:tc>
      </w:tr>
      <w:tr w:rsidR="00EF2C99" w:rsidRPr="00EF2C99" w14:paraId="3D22646F" w14:textId="64967942" w:rsidTr="00490177">
        <w:trPr>
          <w:trHeight w:val="290"/>
        </w:trPr>
        <w:tc>
          <w:tcPr>
            <w:tcW w:w="1500" w:type="dxa"/>
            <w:shd w:val="clear" w:color="auto" w:fill="auto"/>
            <w:noWrap/>
            <w:vAlign w:val="center"/>
            <w:hideMark/>
          </w:tcPr>
          <w:p w14:paraId="4F099192"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SWLG012H</w:t>
            </w:r>
          </w:p>
        </w:tc>
        <w:tc>
          <w:tcPr>
            <w:tcW w:w="8130" w:type="dxa"/>
            <w:vAlign w:val="center"/>
          </w:tcPr>
          <w:p w14:paraId="7BB6C04D" w14:textId="19F6D69C"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4 LED  Integrated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51C13290" w14:textId="2CFC3652" w:rsidTr="00490177">
        <w:trPr>
          <w:trHeight w:val="290"/>
        </w:trPr>
        <w:tc>
          <w:tcPr>
            <w:tcW w:w="1500" w:type="dxa"/>
            <w:shd w:val="clear" w:color="auto" w:fill="auto"/>
            <w:noWrap/>
            <w:vAlign w:val="center"/>
            <w:hideMark/>
          </w:tcPr>
          <w:p w14:paraId="6B73BA5B"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SWLG012I</w:t>
            </w:r>
          </w:p>
        </w:tc>
        <w:tc>
          <w:tcPr>
            <w:tcW w:w="8130" w:type="dxa"/>
            <w:vAlign w:val="center"/>
          </w:tcPr>
          <w:p w14:paraId="62BCB470" w14:textId="0070FE25"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2 LED  Integrated retrofit kit rated greater than or equal to 125 LPW and &lt; 140 LPW</w:t>
            </w:r>
          </w:p>
        </w:tc>
      </w:tr>
      <w:tr w:rsidR="00EF2C99" w:rsidRPr="00EF2C99" w14:paraId="34F2D14A" w14:textId="7C6325EB" w:rsidTr="00490177">
        <w:trPr>
          <w:trHeight w:val="290"/>
        </w:trPr>
        <w:tc>
          <w:tcPr>
            <w:tcW w:w="1500" w:type="dxa"/>
            <w:shd w:val="clear" w:color="auto" w:fill="auto"/>
            <w:noWrap/>
            <w:vAlign w:val="center"/>
            <w:hideMark/>
          </w:tcPr>
          <w:p w14:paraId="7BBDA1BD"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SWLG012J</w:t>
            </w:r>
          </w:p>
        </w:tc>
        <w:tc>
          <w:tcPr>
            <w:tcW w:w="8130" w:type="dxa"/>
            <w:vAlign w:val="center"/>
          </w:tcPr>
          <w:p w14:paraId="02B2A488" w14:textId="1F419BD1"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2 x 2 LED  Integrated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4212860F" w14:textId="1A5EA823" w:rsidTr="00490177">
        <w:trPr>
          <w:trHeight w:val="290"/>
        </w:trPr>
        <w:tc>
          <w:tcPr>
            <w:tcW w:w="1500" w:type="dxa"/>
            <w:shd w:val="clear" w:color="auto" w:fill="auto"/>
            <w:noWrap/>
            <w:vAlign w:val="center"/>
            <w:hideMark/>
          </w:tcPr>
          <w:p w14:paraId="6253C0A6"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SWLG012K</w:t>
            </w:r>
          </w:p>
        </w:tc>
        <w:tc>
          <w:tcPr>
            <w:tcW w:w="8130" w:type="dxa"/>
            <w:vAlign w:val="center"/>
          </w:tcPr>
          <w:p w14:paraId="3C64F912" w14:textId="6B844594"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1 x 4 LED  Integrated retrofit kit rated greater than or equal to 125 LPW and &lt; 140 LPW</w:t>
            </w:r>
          </w:p>
        </w:tc>
      </w:tr>
      <w:tr w:rsidR="00EF2C99" w:rsidRPr="00EF2C99" w14:paraId="32DA898B" w14:textId="08B3F46B" w:rsidTr="00490177">
        <w:trPr>
          <w:trHeight w:val="290"/>
        </w:trPr>
        <w:tc>
          <w:tcPr>
            <w:tcW w:w="1500" w:type="dxa"/>
            <w:shd w:val="clear" w:color="auto" w:fill="auto"/>
            <w:noWrap/>
            <w:vAlign w:val="center"/>
            <w:hideMark/>
          </w:tcPr>
          <w:p w14:paraId="5BADBA8D"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SWLG012L</w:t>
            </w:r>
          </w:p>
        </w:tc>
        <w:tc>
          <w:tcPr>
            <w:tcW w:w="8130" w:type="dxa"/>
            <w:vAlign w:val="center"/>
          </w:tcPr>
          <w:p w14:paraId="7AB46E48" w14:textId="26085435"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1 x 4 LED  Integrated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6D94AD93" w14:textId="76F7AFF2" w:rsidTr="00490177">
        <w:trPr>
          <w:trHeight w:val="290"/>
        </w:trPr>
        <w:tc>
          <w:tcPr>
            <w:tcW w:w="1500" w:type="dxa"/>
            <w:shd w:val="clear" w:color="auto" w:fill="auto"/>
            <w:noWrap/>
            <w:vAlign w:val="center"/>
            <w:hideMark/>
          </w:tcPr>
          <w:p w14:paraId="04DB5691"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SWLG012M</w:t>
            </w:r>
          </w:p>
        </w:tc>
        <w:tc>
          <w:tcPr>
            <w:tcW w:w="8130" w:type="dxa"/>
            <w:vAlign w:val="center"/>
          </w:tcPr>
          <w:p w14:paraId="1725D76B" w14:textId="38DEFB12"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2 ft. New Luminaire rated greater than or equal to 125 LPW and &lt; 140 LPW</w:t>
            </w:r>
          </w:p>
        </w:tc>
      </w:tr>
      <w:tr w:rsidR="00EF2C99" w:rsidRPr="00EF2C99" w14:paraId="05FB5E7F" w14:textId="21C5EB21" w:rsidTr="00490177">
        <w:trPr>
          <w:trHeight w:val="290"/>
        </w:trPr>
        <w:tc>
          <w:tcPr>
            <w:tcW w:w="1500" w:type="dxa"/>
            <w:shd w:val="clear" w:color="auto" w:fill="auto"/>
            <w:noWrap/>
            <w:vAlign w:val="center"/>
            <w:hideMark/>
          </w:tcPr>
          <w:p w14:paraId="7BD3C361"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SWLG012N</w:t>
            </w:r>
          </w:p>
        </w:tc>
        <w:tc>
          <w:tcPr>
            <w:tcW w:w="8130" w:type="dxa"/>
            <w:vAlign w:val="center"/>
          </w:tcPr>
          <w:p w14:paraId="40DA20DD" w14:textId="32C1C642"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2 ft.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1491D150" w14:textId="0B2B89E4" w:rsidTr="00490177">
        <w:trPr>
          <w:trHeight w:val="290"/>
        </w:trPr>
        <w:tc>
          <w:tcPr>
            <w:tcW w:w="1500" w:type="dxa"/>
            <w:shd w:val="clear" w:color="auto" w:fill="auto"/>
            <w:noWrap/>
            <w:vAlign w:val="center"/>
            <w:hideMark/>
          </w:tcPr>
          <w:p w14:paraId="1764E42A"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SWLG012O</w:t>
            </w:r>
          </w:p>
        </w:tc>
        <w:tc>
          <w:tcPr>
            <w:tcW w:w="8130" w:type="dxa"/>
            <w:vAlign w:val="center"/>
          </w:tcPr>
          <w:p w14:paraId="2055ADDF" w14:textId="46E60CB3"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4 ft. New Luminaire rated greater than or equal to 125 LPW and &lt; 140 LPW</w:t>
            </w:r>
          </w:p>
        </w:tc>
      </w:tr>
      <w:tr w:rsidR="00EF2C99" w:rsidRPr="00EF2C99" w14:paraId="5BF1F28F" w14:textId="11FC06C7" w:rsidTr="00490177">
        <w:trPr>
          <w:trHeight w:val="290"/>
        </w:trPr>
        <w:tc>
          <w:tcPr>
            <w:tcW w:w="1500" w:type="dxa"/>
            <w:shd w:val="clear" w:color="auto" w:fill="auto"/>
            <w:noWrap/>
            <w:vAlign w:val="center"/>
            <w:hideMark/>
          </w:tcPr>
          <w:p w14:paraId="3917AA6D"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SWLG012P</w:t>
            </w:r>
          </w:p>
        </w:tc>
        <w:tc>
          <w:tcPr>
            <w:tcW w:w="8130" w:type="dxa"/>
            <w:vAlign w:val="center"/>
          </w:tcPr>
          <w:p w14:paraId="0C9CADB4" w14:textId="756D86FE"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4 ft.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6EBB022B" w14:textId="71C088B6" w:rsidTr="00490177">
        <w:trPr>
          <w:trHeight w:val="290"/>
        </w:trPr>
        <w:tc>
          <w:tcPr>
            <w:tcW w:w="1500" w:type="dxa"/>
            <w:shd w:val="clear" w:color="auto" w:fill="auto"/>
            <w:noWrap/>
            <w:vAlign w:val="center"/>
            <w:hideMark/>
          </w:tcPr>
          <w:p w14:paraId="6BF3456B"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SWLG012Q</w:t>
            </w:r>
          </w:p>
        </w:tc>
        <w:tc>
          <w:tcPr>
            <w:tcW w:w="8130" w:type="dxa"/>
            <w:vAlign w:val="center"/>
          </w:tcPr>
          <w:p w14:paraId="0249A269" w14:textId="50F165F3"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8 ft. New Luminaire rated greater than or equal to 125 LPW and &lt; 140 LPW</w:t>
            </w:r>
          </w:p>
        </w:tc>
      </w:tr>
      <w:tr w:rsidR="00EF2C99" w:rsidRPr="00EF2C99" w14:paraId="526B19BF" w14:textId="5DE84606" w:rsidTr="00490177">
        <w:trPr>
          <w:trHeight w:val="290"/>
        </w:trPr>
        <w:tc>
          <w:tcPr>
            <w:tcW w:w="1500" w:type="dxa"/>
            <w:shd w:val="clear" w:color="auto" w:fill="auto"/>
            <w:noWrap/>
            <w:vAlign w:val="center"/>
            <w:hideMark/>
          </w:tcPr>
          <w:p w14:paraId="174F25D5"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SWLG012R</w:t>
            </w:r>
          </w:p>
        </w:tc>
        <w:tc>
          <w:tcPr>
            <w:tcW w:w="8130" w:type="dxa"/>
            <w:vAlign w:val="center"/>
          </w:tcPr>
          <w:p w14:paraId="32D330A5" w14:textId="17E737DE"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Direct/Indirect Linear Ambient 8 ft. New Luminaire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0E4C4865" w14:textId="6AFDF9F6" w:rsidTr="00490177">
        <w:trPr>
          <w:trHeight w:val="290"/>
        </w:trPr>
        <w:tc>
          <w:tcPr>
            <w:tcW w:w="1500" w:type="dxa"/>
            <w:shd w:val="clear" w:color="auto" w:fill="auto"/>
            <w:noWrap/>
            <w:vAlign w:val="center"/>
            <w:hideMark/>
          </w:tcPr>
          <w:p w14:paraId="71C78528"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SWLG012S</w:t>
            </w:r>
          </w:p>
        </w:tc>
        <w:tc>
          <w:tcPr>
            <w:tcW w:w="8130" w:type="dxa"/>
            <w:vAlign w:val="center"/>
          </w:tcPr>
          <w:p w14:paraId="2C6B5245" w14:textId="6E0872F9"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2 ft. retrofit kit rated greater than or equal to 125 LPW and &lt; 140 LPW</w:t>
            </w:r>
          </w:p>
        </w:tc>
      </w:tr>
      <w:tr w:rsidR="00EF2C99" w:rsidRPr="00EF2C99" w14:paraId="58EF4A11" w14:textId="2C3FFD4E" w:rsidTr="00490177">
        <w:trPr>
          <w:trHeight w:val="290"/>
        </w:trPr>
        <w:tc>
          <w:tcPr>
            <w:tcW w:w="1500" w:type="dxa"/>
            <w:shd w:val="clear" w:color="auto" w:fill="auto"/>
            <w:noWrap/>
            <w:vAlign w:val="center"/>
            <w:hideMark/>
          </w:tcPr>
          <w:p w14:paraId="1F81FDB8"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SWLG012T</w:t>
            </w:r>
          </w:p>
        </w:tc>
        <w:tc>
          <w:tcPr>
            <w:tcW w:w="8130" w:type="dxa"/>
            <w:vAlign w:val="center"/>
          </w:tcPr>
          <w:p w14:paraId="2DE563D1" w14:textId="4E5B0890"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2 ft.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6FEFE939" w14:textId="54331188" w:rsidTr="00490177">
        <w:trPr>
          <w:trHeight w:val="290"/>
        </w:trPr>
        <w:tc>
          <w:tcPr>
            <w:tcW w:w="1500" w:type="dxa"/>
            <w:shd w:val="clear" w:color="auto" w:fill="auto"/>
            <w:noWrap/>
            <w:vAlign w:val="center"/>
            <w:hideMark/>
          </w:tcPr>
          <w:p w14:paraId="6EF9604A"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SWLG012U</w:t>
            </w:r>
          </w:p>
        </w:tc>
        <w:tc>
          <w:tcPr>
            <w:tcW w:w="8130" w:type="dxa"/>
            <w:vAlign w:val="center"/>
          </w:tcPr>
          <w:p w14:paraId="4634689F" w14:textId="2204C38F"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4 ft. retrofit kit rated greater than or equal to 125 LPW and &lt; 140 LPW</w:t>
            </w:r>
          </w:p>
        </w:tc>
      </w:tr>
      <w:tr w:rsidR="00EF2C99" w:rsidRPr="00EF2C99" w14:paraId="79360530" w14:textId="639E69E9" w:rsidTr="00490177">
        <w:trPr>
          <w:trHeight w:val="290"/>
        </w:trPr>
        <w:tc>
          <w:tcPr>
            <w:tcW w:w="1500" w:type="dxa"/>
            <w:shd w:val="clear" w:color="auto" w:fill="auto"/>
            <w:noWrap/>
            <w:vAlign w:val="center"/>
            <w:hideMark/>
          </w:tcPr>
          <w:p w14:paraId="61D310BD"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SWLG012V</w:t>
            </w:r>
          </w:p>
        </w:tc>
        <w:tc>
          <w:tcPr>
            <w:tcW w:w="8130" w:type="dxa"/>
            <w:vAlign w:val="center"/>
          </w:tcPr>
          <w:p w14:paraId="4F51FACB" w14:textId="485AA489"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4 ft.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r w:rsidR="00EF2C99" w:rsidRPr="00EF2C99" w14:paraId="380A48D7" w14:textId="170F0DD9" w:rsidTr="00490177">
        <w:trPr>
          <w:trHeight w:val="290"/>
        </w:trPr>
        <w:tc>
          <w:tcPr>
            <w:tcW w:w="1500" w:type="dxa"/>
            <w:shd w:val="clear" w:color="auto" w:fill="auto"/>
            <w:noWrap/>
            <w:vAlign w:val="center"/>
            <w:hideMark/>
          </w:tcPr>
          <w:p w14:paraId="2871FD2C"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SWLG012W</w:t>
            </w:r>
          </w:p>
        </w:tc>
        <w:tc>
          <w:tcPr>
            <w:tcW w:w="8130" w:type="dxa"/>
            <w:vAlign w:val="center"/>
          </w:tcPr>
          <w:p w14:paraId="3792F7FA" w14:textId="40E33F54"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8 ft. retrofit kit rated greater than or equal to 125 LPW and &lt; 140 LPW</w:t>
            </w:r>
          </w:p>
        </w:tc>
      </w:tr>
      <w:tr w:rsidR="00EF2C99" w:rsidRPr="00EF2C99" w14:paraId="7B6D5DC8" w14:textId="1C4009DD" w:rsidTr="00490177">
        <w:trPr>
          <w:trHeight w:val="290"/>
        </w:trPr>
        <w:tc>
          <w:tcPr>
            <w:tcW w:w="1500" w:type="dxa"/>
            <w:shd w:val="clear" w:color="auto" w:fill="auto"/>
            <w:noWrap/>
            <w:vAlign w:val="center"/>
            <w:hideMark/>
          </w:tcPr>
          <w:p w14:paraId="7D99415C" w14:textId="77777777" w:rsidR="00EF2C99" w:rsidRPr="00EF2C99" w:rsidRDefault="00EF2C99" w:rsidP="00490177">
            <w:pPr>
              <w:spacing w:before="0" w:after="0" w:line="240" w:lineRule="auto"/>
              <w:rPr>
                <w:rFonts w:eastAsia="Times New Roman" w:cs="Calibri Light"/>
                <w:color w:val="000000"/>
                <w:sz w:val="20"/>
                <w:szCs w:val="20"/>
              </w:rPr>
            </w:pPr>
            <w:r w:rsidRPr="00EF2C99">
              <w:rPr>
                <w:rFonts w:eastAsia="Times New Roman" w:cs="Calibri Light"/>
                <w:color w:val="000000"/>
                <w:sz w:val="20"/>
                <w:szCs w:val="20"/>
              </w:rPr>
              <w:t>SWLG012X</w:t>
            </w:r>
          </w:p>
        </w:tc>
        <w:tc>
          <w:tcPr>
            <w:tcW w:w="8130" w:type="dxa"/>
            <w:vAlign w:val="center"/>
          </w:tcPr>
          <w:p w14:paraId="5FC7272B" w14:textId="7EF7E9B7" w:rsidR="00EF2C99" w:rsidRPr="00EF2C99" w:rsidRDefault="00EF2C99" w:rsidP="00490177">
            <w:pPr>
              <w:spacing w:before="0" w:after="0" w:line="240" w:lineRule="auto"/>
              <w:rPr>
                <w:rFonts w:eastAsia="Times New Roman" w:cs="Calibri Light"/>
                <w:color w:val="000000"/>
                <w:sz w:val="20"/>
                <w:szCs w:val="20"/>
              </w:rPr>
            </w:pPr>
            <w:r w:rsidRPr="00EF2C99">
              <w:rPr>
                <w:rFonts w:cs="Calibri Light"/>
                <w:color w:val="000000"/>
                <w:sz w:val="20"/>
                <w:szCs w:val="20"/>
              </w:rPr>
              <w:t>LED Direct Linear Ambient 8 ft. retrofit kit rated greater than or equal to 14</w:t>
            </w:r>
            <w:r w:rsidR="004516C4">
              <w:rPr>
                <w:rFonts w:cs="Calibri Light"/>
                <w:color w:val="000000"/>
                <w:sz w:val="20"/>
                <w:szCs w:val="20"/>
              </w:rPr>
              <w:t>0</w:t>
            </w:r>
            <w:r w:rsidRPr="00EF2C99">
              <w:rPr>
                <w:rFonts w:cs="Calibri Light"/>
                <w:color w:val="000000"/>
                <w:sz w:val="20"/>
                <w:szCs w:val="20"/>
              </w:rPr>
              <w:t xml:space="preserve"> LPW</w:t>
            </w:r>
          </w:p>
        </w:tc>
      </w:tr>
    </w:tbl>
    <w:p w14:paraId="19C722E9" w14:textId="7960DC9F" w:rsidR="00EF2C99" w:rsidRDefault="00EF2C99" w:rsidP="00EF2C99"/>
    <w:p w14:paraId="603B110C" w14:textId="61ED6995" w:rsidR="00751A40" w:rsidRPr="00EF2C99" w:rsidRDefault="00751A40" w:rsidP="00751A40">
      <w:r w:rsidRPr="00EF2C99">
        <w:lastRenderedPageBreak/>
        <w:t xml:space="preserve">The fixture performance in the applicable categories of the </w:t>
      </w:r>
      <w:proofErr w:type="spellStart"/>
      <w:r w:rsidRPr="00EF2C99">
        <w:t>DesignLights</w:t>
      </w:r>
      <w:proofErr w:type="spellEnd"/>
      <w:r w:rsidRPr="00EF2C99">
        <w:t xml:space="preserve"> Consortium (DLC) qualified product list (QPL)—LED Luminaires for Ambient Lighting of Interior Commercial Spaces, and Integrated Retrofit Kits for 2x4, 2x2, and 1x4 luminaires – were analyzed to substantiate the light output equivalency assumptions. Qualified products in these categories listed in DLC were evaluated to create the 12 measure code tiers with the appropriate luminaire efficacy. </w:t>
      </w:r>
    </w:p>
    <w:p w14:paraId="5509E973" w14:textId="77777777" w:rsidR="00751A40" w:rsidRPr="00A332F2" w:rsidRDefault="00751A40" w:rsidP="00751A40">
      <w:r w:rsidRPr="00EF2C99">
        <w:t>The future DLC update, currently in the form of a draft DLC V5.0 has not proposed efficacy levels for DLC Premium at this time.</w:t>
      </w:r>
      <w:r>
        <w:t xml:space="preserve"> </w:t>
      </w:r>
    </w:p>
    <w:p w14:paraId="6ACFAE6B" w14:textId="77777777" w:rsidR="00751A40" w:rsidRDefault="00751A40"/>
    <w:p w14:paraId="5DB724FA" w14:textId="77777777" w:rsidR="00E70CBD" w:rsidRPr="00171BB8" w:rsidRDefault="00E70CBD" w:rsidP="00462BB6">
      <w:pPr>
        <w:pStyle w:val="eTRMHeading3"/>
      </w:pPr>
      <w:bookmarkStart w:id="15" w:name="_Toc486490849"/>
      <w:bookmarkStart w:id="16" w:name="_Toc486580920"/>
      <w:bookmarkStart w:id="17" w:name="_Toc12626358"/>
      <w:r w:rsidRPr="004B06E3">
        <w:t>Base Case Description</w:t>
      </w:r>
      <w:bookmarkEnd w:id="15"/>
      <w:bookmarkEnd w:id="16"/>
      <w:bookmarkEnd w:id="17"/>
      <w:r w:rsidRPr="00171BB8">
        <w:t xml:space="preserve"> </w:t>
      </w:r>
    </w:p>
    <w:p w14:paraId="56127D7F" w14:textId="3F070212" w:rsidR="008C7B7F" w:rsidRDefault="00A13DC0" w:rsidP="008C7B7F">
      <w:pPr>
        <w:rPr>
          <w:szCs w:val="22"/>
        </w:rPr>
      </w:pPr>
      <w:r>
        <w:rPr>
          <w:szCs w:val="22"/>
        </w:rPr>
        <w:t xml:space="preserve">The </w:t>
      </w:r>
      <w:r w:rsidR="00E31856" w:rsidRPr="002217C6">
        <w:rPr>
          <w:szCs w:val="22"/>
        </w:rPr>
        <w:t>base case fixture</w:t>
      </w:r>
      <w:r>
        <w:rPr>
          <w:szCs w:val="22"/>
        </w:rPr>
        <w:t xml:space="preserve"> is</w:t>
      </w:r>
      <w:r w:rsidR="00A7516C">
        <w:rPr>
          <w:szCs w:val="22"/>
        </w:rPr>
        <w:t xml:space="preserve"> defined as</w:t>
      </w:r>
      <w:r>
        <w:rPr>
          <w:szCs w:val="22"/>
        </w:rPr>
        <w:t xml:space="preserve"> a</w:t>
      </w:r>
      <w:r w:rsidR="00E31856" w:rsidRPr="002217C6">
        <w:rPr>
          <w:szCs w:val="22"/>
        </w:rPr>
        <w:t xml:space="preserve"> linear fluorescent fixture </w:t>
      </w:r>
      <w:r>
        <w:rPr>
          <w:szCs w:val="22"/>
        </w:rPr>
        <w:t>with the</w:t>
      </w:r>
      <w:r w:rsidR="00E31856" w:rsidRPr="002217C6">
        <w:rPr>
          <w:szCs w:val="22"/>
        </w:rPr>
        <w:t xml:space="preserve"> equivalent maintained illuminance to those LEDs at the end of effective useful life. </w:t>
      </w:r>
      <w:r w:rsidR="008C7B7F" w:rsidRPr="002217C6">
        <w:rPr>
          <w:szCs w:val="22"/>
        </w:rPr>
        <w:t>Given the great number of variations on linear fluorescent lamp and ballast configurations and resultant light outputs, and that groupings made by wattage</w:t>
      </w:r>
      <w:r w:rsidR="008C7B7F">
        <w:rPr>
          <w:szCs w:val="22"/>
        </w:rPr>
        <w:t xml:space="preserve"> </w:t>
      </w:r>
      <w:r w:rsidR="008C7B7F" w:rsidRPr="002217C6">
        <w:rPr>
          <w:szCs w:val="22"/>
        </w:rPr>
        <w:t>do not accurately reflect illumination between LED and linear fluorescent fixtures, the efficacy and wattages of both base case and measure case fixtures are not grouped by lamp and ballast configuration but characterized in units of kilolumens of initial LED light output with energy impacts scaling with these kilolumen units</w:t>
      </w:r>
      <w:r w:rsidR="008C7B7F">
        <w:rPr>
          <w:szCs w:val="22"/>
        </w:rPr>
        <w:t xml:space="preserve"> (see </w:t>
      </w:r>
      <w:r w:rsidR="00D67DD0">
        <w:rPr>
          <w:color w:val="191919" w:themeColor="text1"/>
          <w:szCs w:val="22"/>
        </w:rPr>
        <w:t>Measure Case Description</w:t>
      </w:r>
      <w:r w:rsidR="008C7B7F">
        <w:rPr>
          <w:szCs w:val="22"/>
        </w:rPr>
        <w:t>)</w:t>
      </w:r>
      <w:r w:rsidR="008C7B7F" w:rsidRPr="002217C6">
        <w:rPr>
          <w:szCs w:val="22"/>
        </w:rPr>
        <w:t>.</w:t>
      </w:r>
      <w:r w:rsidR="008C7B7F">
        <w:rPr>
          <w:szCs w:val="22"/>
        </w:rPr>
        <w:t xml:space="preserve"> </w:t>
      </w:r>
    </w:p>
    <w:p w14:paraId="12D832D8" w14:textId="46692D95" w:rsidR="00A13DC0" w:rsidRDefault="00A13DC0" w:rsidP="00A7516C">
      <w:r w:rsidRPr="002E1F82">
        <w:t xml:space="preserve">The base case wattages </w:t>
      </w:r>
      <w:r>
        <w:t>were</w:t>
      </w:r>
      <w:r w:rsidRPr="002E1F82">
        <w:t xml:space="preserve"> determined by simple division of kilolumen (1</w:t>
      </w:r>
      <w:r w:rsidR="001C6A2F">
        <w:t>,</w:t>
      </w:r>
      <w:r w:rsidRPr="002E1F82">
        <w:t xml:space="preserve">000 lumens) by the efficacy minimum requirement: 100 LPW for LED fixtures and retrofit kits, and 111 LPW for TLED. </w:t>
      </w:r>
    </w:p>
    <w:p w14:paraId="653A473C" w14:textId="77777777" w:rsidR="00A7516C" w:rsidRDefault="00A13DC0" w:rsidP="00A13DC0">
      <w:r w:rsidRPr="002E1F82">
        <w:t xml:space="preserve">The </w:t>
      </w:r>
      <w:r w:rsidR="00A7516C">
        <w:t>normal replacement</w:t>
      </w:r>
      <w:r w:rsidRPr="002E1F82">
        <w:t xml:space="preserve"> baseline is 100% LED technology</w:t>
      </w:r>
      <w:r w:rsidR="00A7516C">
        <w:t xml:space="preserve"> comprised of </w:t>
      </w:r>
      <w:r w:rsidRPr="002E1F82">
        <w:t xml:space="preserve">33% TLED and 67% LED new luminaire or retrofit kit. </w:t>
      </w:r>
      <w:r w:rsidR="00286832" w:rsidRPr="000C534D">
        <w:t xml:space="preserve">Per </w:t>
      </w:r>
      <w:r w:rsidR="00A7516C">
        <w:t>Resolution E-4952</w:t>
      </w:r>
      <w:r w:rsidR="00A7516C">
        <w:rPr>
          <w:rStyle w:val="FootnoteReference"/>
        </w:rPr>
        <w:footnoteReference w:id="11"/>
      </w:r>
      <w:r w:rsidR="00A7516C">
        <w:t xml:space="preserve"> issued by the Energy Division of the California Public Utilities Commission (CPUC) </w:t>
      </w:r>
      <w:r w:rsidR="00286832" w:rsidRPr="000C534D">
        <w:t>the appropriate base case fixtures and retrofit kits are LED technology of 100</w:t>
      </w:r>
      <w:r w:rsidR="00286832">
        <w:t xml:space="preserve"> lumens per watt</w:t>
      </w:r>
      <w:r w:rsidR="00286832" w:rsidRPr="00A40825">
        <w:t xml:space="preserve"> </w:t>
      </w:r>
      <w:r w:rsidR="00286832">
        <w:t>(LPW) efficacy, approximately</w:t>
      </w:r>
      <w:r w:rsidR="00286832" w:rsidRPr="00A40825">
        <w:t xml:space="preserve"> equal to the 25th</w:t>
      </w:r>
      <w:r w:rsidR="00286832">
        <w:t xml:space="preserve"> </w:t>
      </w:r>
      <w:r w:rsidR="00286832" w:rsidRPr="00A40825">
        <w:t>percentile</w:t>
      </w:r>
      <w:r w:rsidR="00286832">
        <w:t xml:space="preserve"> efficacy of the LED fixture performance range. New fixtures and luminaires compose 67% of the base case. This </w:t>
      </w:r>
      <w:r w:rsidR="0095696F">
        <w:t>measure analysis</w:t>
      </w:r>
      <w:r w:rsidR="00286832">
        <w:t xml:space="preserve"> introduces linear LED replacement lamps (TLEDs) as the remaining 33% of the base case, with the bare-lamp TLED efficacy set at the same benchmark as luminaire and retrofit kit performance, the 25</w:t>
      </w:r>
      <w:r w:rsidR="00286832" w:rsidRPr="00D14120">
        <w:rPr>
          <w:vertAlign w:val="superscript"/>
        </w:rPr>
        <w:t>th</w:t>
      </w:r>
      <w:r w:rsidR="00286832">
        <w:t xml:space="preserve"> percentile efficacy of the TLED performance range. </w:t>
      </w:r>
    </w:p>
    <w:p w14:paraId="07CA33E9" w14:textId="5C240502" w:rsidR="00A13DC0" w:rsidRDefault="00286832" w:rsidP="00A13DC0">
      <w:r w:rsidRPr="00A7516C">
        <w:t xml:space="preserve">Evidence from </w:t>
      </w:r>
      <w:r w:rsidR="00A7516C" w:rsidRPr="00A7516C">
        <w:t>Southern California Edison (SCE)</w:t>
      </w:r>
      <w:r w:rsidRPr="00A7516C">
        <w:t xml:space="preserve"> </w:t>
      </w:r>
      <w:r w:rsidR="00751A40">
        <w:t>and</w:t>
      </w:r>
      <w:r w:rsidRPr="00A7516C">
        <w:t xml:space="preserve"> </w:t>
      </w:r>
      <w:r w:rsidR="00A7516C" w:rsidRPr="00A7516C">
        <w:t>Pacific Gas and Electric Company (PG&amp;E)</w:t>
      </w:r>
      <w:r w:rsidRPr="00A7516C">
        <w:t xml:space="preserve"> </w:t>
      </w:r>
      <w:r w:rsidR="00A13DC0" w:rsidRPr="00A7516C">
        <w:t xml:space="preserve">program </w:t>
      </w:r>
      <w:r w:rsidRPr="00A7516C">
        <w:t xml:space="preserve">participation data, input from local distribution channels, and the </w:t>
      </w:r>
      <w:r w:rsidR="00A7516C" w:rsidRPr="00A7516C">
        <w:t xml:space="preserve">Navigant </w:t>
      </w:r>
      <w:r w:rsidRPr="00A7516C">
        <w:rPr>
          <w:i/>
        </w:rPr>
        <w:t>California LED Pricing Analysis Study</w:t>
      </w:r>
      <w:r w:rsidR="00A7516C">
        <w:rPr>
          <w:rStyle w:val="FootnoteReference"/>
          <w:i/>
        </w:rPr>
        <w:footnoteReference w:id="12"/>
      </w:r>
      <w:r w:rsidRPr="00A7516C">
        <w:t xml:space="preserve"> </w:t>
      </w:r>
      <w:r w:rsidR="00A7516C" w:rsidRPr="00A7516C">
        <w:t xml:space="preserve">(see Technology Summary) </w:t>
      </w:r>
      <w:r w:rsidRPr="00A7516C">
        <w:t>suggest</w:t>
      </w:r>
      <w:r w:rsidR="00A13DC0" w:rsidRPr="00A7516C">
        <w:t>s</w:t>
      </w:r>
      <w:r w:rsidRPr="00A7516C">
        <w:t xml:space="preserve"> that TLEDS are a viable and commonly-used retrofit alternative</w:t>
      </w:r>
      <w:r w:rsidRPr="002A173B">
        <w:t xml:space="preserve"> to</w:t>
      </w:r>
      <w:r w:rsidR="00A7516C">
        <w:t xml:space="preserve"> a</w:t>
      </w:r>
      <w:r w:rsidRPr="002A173B">
        <w:t xml:space="preserve"> full fixture replacement</w:t>
      </w:r>
      <w:r>
        <w:t xml:space="preserve">, while the </w:t>
      </w:r>
      <w:r w:rsidRPr="002A173B">
        <w:t>National Electrical Manufacturers Association</w:t>
      </w:r>
      <w:r>
        <w:t xml:space="preserve"> (NEMA</w:t>
      </w:r>
      <w:r w:rsidRPr="002A173B">
        <w:t xml:space="preserve">) national </w:t>
      </w:r>
      <w:r w:rsidR="00356315">
        <w:t>shipments</w:t>
      </w:r>
      <w:r w:rsidRPr="002A173B">
        <w:t xml:space="preserve"> data shows that TLED market penetration has been steadily increasing.</w:t>
      </w:r>
      <w:r w:rsidR="00A13DC0">
        <w:rPr>
          <w:rStyle w:val="FootnoteReference"/>
        </w:rPr>
        <w:footnoteReference w:id="13"/>
      </w:r>
      <w:r>
        <w:t xml:space="preserve"> Supporting data on TLED market share and purchase scenarios </w:t>
      </w:r>
      <w:r w:rsidR="00A13DC0">
        <w:t>can be found in the studies summarized in the Technology Summary.</w:t>
      </w:r>
    </w:p>
    <w:p w14:paraId="01BE4125" w14:textId="1040DC45" w:rsidR="00286832" w:rsidRPr="00814CC1" w:rsidRDefault="00286832" w:rsidP="00C91415">
      <w:bookmarkStart w:id="18" w:name="_Hlk533333041"/>
      <w:r w:rsidRPr="00814CC1">
        <w:lastRenderedPageBreak/>
        <w:t xml:space="preserve">Energy consumption is calculated based on a mix of 33% TLED and 67% LED new luminaire or full retrofit kit. The base case wattage per kilolumen is a blend of 85.2 </w:t>
      </w:r>
      <w:r w:rsidR="00A13DC0">
        <w:t>LPW</w:t>
      </w:r>
      <w:r w:rsidRPr="00814CC1">
        <w:t xml:space="preserve"> for TLEDs and 100 LPW for new luminaires and </w:t>
      </w:r>
      <w:r>
        <w:t xml:space="preserve">retrofit </w:t>
      </w:r>
      <w:r w:rsidRPr="00814CC1">
        <w:t xml:space="preserve">kits, or 95 LPW overall.  </w:t>
      </w:r>
      <w:bookmarkEnd w:id="18"/>
    </w:p>
    <w:p w14:paraId="76248124" w14:textId="6BF866E6" w:rsidR="00C107C0" w:rsidRPr="00751A40" w:rsidRDefault="00751A40" w:rsidP="00751A40">
      <w:bookmarkStart w:id="19" w:name="_Hlk11254231"/>
      <w:r>
        <w:t>The</w:t>
      </w:r>
      <w:r w:rsidR="00A332F2" w:rsidRPr="00751A40">
        <w:t xml:space="preserve"> 2019 draft </w:t>
      </w:r>
      <w:r>
        <w:t xml:space="preserve">of the </w:t>
      </w:r>
      <w:proofErr w:type="spellStart"/>
      <w:r>
        <w:t>DesignLights</w:t>
      </w:r>
      <w:proofErr w:type="spellEnd"/>
      <w:r>
        <w:t xml:space="preserve"> Consortium (DLC) Solid-State Lighting (SSL) Technical Requirements V5.0</w:t>
      </w:r>
      <w:r w:rsidRPr="00751A40">
        <w:rPr>
          <w:rStyle w:val="FootnoteReference"/>
        </w:rPr>
        <w:footnoteReference w:id="14"/>
      </w:r>
      <w:r w:rsidR="00A332F2" w:rsidRPr="00751A40">
        <w:t xml:space="preserve"> propose</w:t>
      </w:r>
      <w:r>
        <w:t>s</w:t>
      </w:r>
      <w:r w:rsidR="00A332F2" w:rsidRPr="00751A40">
        <w:t xml:space="preserve"> </w:t>
      </w:r>
      <w:bookmarkEnd w:id="19"/>
      <w:r w:rsidR="00A57D57" w:rsidRPr="00751A40">
        <w:t>DLC S</w:t>
      </w:r>
      <w:r w:rsidR="00F6493E" w:rsidRPr="00751A40">
        <w:t xml:space="preserve">tandard </w:t>
      </w:r>
      <w:r w:rsidR="00A332F2" w:rsidRPr="00751A40">
        <w:t xml:space="preserve">efficacies </w:t>
      </w:r>
      <w:r>
        <w:t>of</w:t>
      </w:r>
      <w:r w:rsidR="00A332F2" w:rsidRPr="00751A40">
        <w:t xml:space="preserve"> 105 </w:t>
      </w:r>
      <w:r w:rsidR="00F6493E" w:rsidRPr="00751A40">
        <w:t xml:space="preserve">LPW </w:t>
      </w:r>
      <w:r w:rsidR="00A332F2" w:rsidRPr="00751A40">
        <w:t xml:space="preserve">for </w:t>
      </w:r>
      <w:r w:rsidR="00F6493E" w:rsidRPr="00751A40">
        <w:t>T</w:t>
      </w:r>
      <w:r w:rsidR="00A332F2" w:rsidRPr="00751A40">
        <w:t>roffer</w:t>
      </w:r>
      <w:r w:rsidR="00F6493E" w:rsidRPr="00751A40">
        <w:t>s</w:t>
      </w:r>
      <w:r w:rsidR="00A332F2" w:rsidRPr="00751A40">
        <w:t xml:space="preserve"> a</w:t>
      </w:r>
      <w:r w:rsidR="00F6493E" w:rsidRPr="00751A40">
        <w:t>n</w:t>
      </w:r>
      <w:r w:rsidR="00A332F2" w:rsidRPr="00751A40">
        <w:t>d 110</w:t>
      </w:r>
      <w:r w:rsidR="00F6493E" w:rsidRPr="00751A40">
        <w:t xml:space="preserve"> LPW</w:t>
      </w:r>
      <w:r w:rsidR="00A332F2" w:rsidRPr="00751A40">
        <w:t xml:space="preserve"> for </w:t>
      </w:r>
      <w:r w:rsidR="00F6493E" w:rsidRPr="00751A40">
        <w:t>L</w:t>
      </w:r>
      <w:r w:rsidR="00A332F2" w:rsidRPr="00751A40">
        <w:t xml:space="preserve">inear </w:t>
      </w:r>
      <w:r w:rsidR="00F6493E" w:rsidRPr="00751A40">
        <w:t>Ambient fixtures.</w:t>
      </w:r>
      <w:r w:rsidR="0013678E" w:rsidRPr="00751A40">
        <w:t xml:space="preserve"> </w:t>
      </w:r>
      <w:r w:rsidR="00B914D8" w:rsidRPr="00733598">
        <w:t xml:space="preserve">The </w:t>
      </w:r>
      <w:r w:rsidR="005F15EA" w:rsidRPr="00733598">
        <w:t>base</w:t>
      </w:r>
      <w:r w:rsidR="00B914D8" w:rsidRPr="00733598">
        <w:t xml:space="preserve"> case</w:t>
      </w:r>
      <w:r w:rsidR="005F15EA" w:rsidRPr="00733598">
        <w:t xml:space="preserve"> efficac</w:t>
      </w:r>
      <w:r w:rsidR="00B914D8" w:rsidRPr="00733598">
        <w:t>y</w:t>
      </w:r>
      <w:r w:rsidR="005F15EA" w:rsidRPr="00733598">
        <w:t xml:space="preserve"> of 100</w:t>
      </w:r>
      <w:r w:rsidR="001B15F2" w:rsidRPr="00733598">
        <w:t xml:space="preserve"> LPW </w:t>
      </w:r>
      <w:r w:rsidR="00B914D8" w:rsidRPr="00733598">
        <w:t>for</w:t>
      </w:r>
      <w:r w:rsidR="001103B7" w:rsidRPr="00733598">
        <w:t xml:space="preserve"> </w:t>
      </w:r>
      <w:r w:rsidR="00B914D8" w:rsidRPr="00733598">
        <w:t>t</w:t>
      </w:r>
      <w:r w:rsidR="001103B7" w:rsidRPr="00733598">
        <w:t xml:space="preserve">roffers and </w:t>
      </w:r>
      <w:r w:rsidR="00B914D8" w:rsidRPr="00733598">
        <w:t>l</w:t>
      </w:r>
      <w:r w:rsidR="001103B7" w:rsidRPr="00733598">
        <w:t xml:space="preserve">inear </w:t>
      </w:r>
      <w:r w:rsidR="00B914D8" w:rsidRPr="00733598">
        <w:t>a</w:t>
      </w:r>
      <w:r w:rsidR="001103B7" w:rsidRPr="00733598">
        <w:t xml:space="preserve">mbient fixtures </w:t>
      </w:r>
      <w:r w:rsidR="00733598">
        <w:t>aligns</w:t>
      </w:r>
      <w:r w:rsidR="00B914D8" w:rsidRPr="00733598">
        <w:t xml:space="preserve"> with the DLC</w:t>
      </w:r>
      <w:r w:rsidR="00B914D8" w:rsidRPr="00751A40">
        <w:t xml:space="preserve"> proposed </w:t>
      </w:r>
      <w:r w:rsidR="001103B7" w:rsidRPr="00751A40">
        <w:t>efficacies</w:t>
      </w:r>
      <w:r>
        <w:t xml:space="preserve"> for Version 5</w:t>
      </w:r>
      <w:r w:rsidR="001103B7" w:rsidRPr="00751A40">
        <w:t>.</w:t>
      </w:r>
    </w:p>
    <w:p w14:paraId="56461E42" w14:textId="63582CCB" w:rsidR="008B55A8" w:rsidRPr="001B2C81" w:rsidRDefault="008B55A8" w:rsidP="00751A40"/>
    <w:p w14:paraId="02ED4B11" w14:textId="77777777" w:rsidR="007D230B" w:rsidRPr="00171BB8" w:rsidRDefault="007D230B" w:rsidP="004F705B">
      <w:pPr>
        <w:pStyle w:val="eTRMHeading3"/>
      </w:pPr>
      <w:bookmarkStart w:id="20" w:name="_Toc486490850"/>
      <w:bookmarkStart w:id="21" w:name="_Toc486580921"/>
      <w:bookmarkStart w:id="22" w:name="_Toc12626359"/>
      <w:r w:rsidRPr="004B06E3">
        <w:t>Code Requirements</w:t>
      </w:r>
      <w:bookmarkEnd w:id="20"/>
      <w:bookmarkEnd w:id="21"/>
      <w:bookmarkEnd w:id="22"/>
    </w:p>
    <w:p w14:paraId="0EA1B9EA" w14:textId="5F469CFE" w:rsidR="00D14CEA" w:rsidRDefault="00D14CEA" w:rsidP="00D14CEA">
      <w:r w:rsidRPr="00141F30">
        <w:t xml:space="preserve">There </w:t>
      </w:r>
      <w:r w:rsidR="0013678E">
        <w:t>is</w:t>
      </w:r>
      <w:r w:rsidRPr="00141F30">
        <w:t xml:space="preserve"> no applicable state or federal codes that </w:t>
      </w:r>
      <w:r w:rsidR="003D6B43">
        <w:t xml:space="preserve">explicitly </w:t>
      </w:r>
      <w:r w:rsidRPr="00141F30">
        <w:t>apply to this measure.</w:t>
      </w:r>
    </w:p>
    <w:p w14:paraId="25E950A3" w14:textId="5512A8BD" w:rsidR="00AB6271" w:rsidRDefault="003D6B43" w:rsidP="00D14CEA">
      <w:r>
        <w:t>Note, however, that g</w:t>
      </w:r>
      <w:r w:rsidR="008D6370">
        <w:t>eneral service</w:t>
      </w:r>
      <w:r w:rsidR="00AB6271">
        <w:t xml:space="preserve"> </w:t>
      </w:r>
      <w:r w:rsidR="008D6370">
        <w:t>f</w:t>
      </w:r>
      <w:r w:rsidR="00AB6271">
        <w:t xml:space="preserve">luorescent lamps and ballasts are energy-using components of linear fluorescent fixtures and are regulated by </w:t>
      </w:r>
      <w:r w:rsidR="008D6370">
        <w:t>f</w:t>
      </w:r>
      <w:r w:rsidR="00AB6271">
        <w:t xml:space="preserve">ederal </w:t>
      </w:r>
      <w:r w:rsidR="008D6370">
        <w:t>s</w:t>
      </w:r>
      <w:r w:rsidR="00AB6271">
        <w:t>tandards</w:t>
      </w:r>
      <w:r w:rsidR="008D6370">
        <w:t>, as follows:</w:t>
      </w:r>
    </w:p>
    <w:p w14:paraId="02C7386A" w14:textId="0244A1E8" w:rsidR="00AB6271" w:rsidRDefault="003D6B43" w:rsidP="003D6B43">
      <w:pPr>
        <w:pStyle w:val="eTRMBulletedText"/>
        <w:rPr>
          <w:sz w:val="13"/>
          <w:szCs w:val="13"/>
        </w:rPr>
      </w:pPr>
      <w:bookmarkStart w:id="23" w:name="_Hlk513471952"/>
      <w:r>
        <w:t xml:space="preserve">A </w:t>
      </w:r>
      <w:r w:rsidR="00AB6271">
        <w:t>4-foot medium bi-pin lamp ≤</w:t>
      </w:r>
      <w:r w:rsidR="008D6370">
        <w:t xml:space="preserve"> </w:t>
      </w:r>
      <w:r w:rsidR="00AB6271">
        <w:t>4</w:t>
      </w:r>
      <w:r w:rsidR="0090005A">
        <w:t>,</w:t>
      </w:r>
      <w:r w:rsidR="00AB6271">
        <w:t xml:space="preserve">500K </w:t>
      </w:r>
      <w:r>
        <w:t xml:space="preserve">is </w:t>
      </w:r>
      <w:r w:rsidR="00AB6271">
        <w:t>required to meet 89 LPW (2,848 l</w:t>
      </w:r>
      <w:r w:rsidR="008D6370">
        <w:t>umens</w:t>
      </w:r>
      <w:r w:rsidR="00AB6271">
        <w:t xml:space="preserve"> per 32</w:t>
      </w:r>
      <w:r w:rsidR="008D6370">
        <w:t>-</w:t>
      </w:r>
      <w:r w:rsidR="00AB6271">
        <w:t>W lamp)</w:t>
      </w:r>
      <w:r w:rsidR="008A4E9D">
        <w:rPr>
          <w:rStyle w:val="FootnoteReference"/>
          <w:sz w:val="20"/>
          <w:szCs w:val="20"/>
        </w:rPr>
        <w:footnoteReference w:id="15"/>
      </w:r>
      <w:r w:rsidR="00AB6271">
        <w:rPr>
          <w:sz w:val="13"/>
          <w:szCs w:val="13"/>
        </w:rPr>
        <w:t xml:space="preserve"> </w:t>
      </w:r>
    </w:p>
    <w:p w14:paraId="2FCBDAA7" w14:textId="02395B67" w:rsidR="00AB6271" w:rsidRDefault="00AB6271" w:rsidP="003D6B43">
      <w:pPr>
        <w:pStyle w:val="eTRMBulletedText"/>
        <w:rPr>
          <w:sz w:val="13"/>
          <w:szCs w:val="13"/>
        </w:rPr>
      </w:pPr>
      <w:r>
        <w:t>Ballasts for 4-foot medium bi-pin lamps are required by</w:t>
      </w:r>
      <w:r w:rsidR="007C3707">
        <w:t xml:space="preserve"> the</w:t>
      </w:r>
      <w:r>
        <w:t xml:space="preserve"> EPCA 2011 amendment to have a luminous efficacy no less than 0.993/(1 + 0.27 ͯ total lamp arc power - 0.25)</w:t>
      </w:r>
      <w:r w:rsidR="008A4E9D">
        <w:rPr>
          <w:rStyle w:val="FootnoteReference"/>
          <w:sz w:val="20"/>
          <w:szCs w:val="20"/>
        </w:rPr>
        <w:footnoteReference w:id="16"/>
      </w:r>
      <w:r>
        <w:rPr>
          <w:sz w:val="13"/>
          <w:szCs w:val="13"/>
        </w:rPr>
        <w:t xml:space="preserve"> </w:t>
      </w:r>
    </w:p>
    <w:p w14:paraId="33576202" w14:textId="7C37886D" w:rsidR="003D6B43" w:rsidRDefault="003D6B43" w:rsidP="003D6B43">
      <w:r w:rsidRPr="0039573E">
        <w:t xml:space="preserve">For </w:t>
      </w:r>
      <w:r w:rsidR="007C3707">
        <w:t xml:space="preserve">a </w:t>
      </w:r>
      <w:r w:rsidR="007C3707" w:rsidRPr="007C3707">
        <w:rPr>
          <w:i/>
        </w:rPr>
        <w:t>normal replacement</w:t>
      </w:r>
      <w:r w:rsidRPr="0039573E">
        <w:t xml:space="preserve"> scenario, only the ballast performance matters, and only for TLED Type A products. For these products serving 32-Watt 4-foot products, a 90% BLE is assumed, exceeding the 89.2% federal requirement.</w:t>
      </w:r>
    </w:p>
    <w:bookmarkEnd w:id="23"/>
    <w:p w14:paraId="3A900F96" w14:textId="210E873E" w:rsidR="00FD2C54" w:rsidRDefault="00FD2C54" w:rsidP="00674C51">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28"/>
        <w:gridCol w:w="3240"/>
        <w:gridCol w:w="1867"/>
      </w:tblGrid>
      <w:tr w:rsidR="00FC77BB" w:rsidRPr="00154391" w14:paraId="1AA917B1" w14:textId="77777777" w:rsidTr="008D6370">
        <w:trPr>
          <w:cantSplit/>
          <w:trHeight w:val="20"/>
        </w:trPr>
        <w:tc>
          <w:tcPr>
            <w:tcW w:w="4428" w:type="dxa"/>
            <w:shd w:val="clear" w:color="auto" w:fill="F2F2F2" w:themeFill="background1" w:themeFillShade="F2"/>
            <w:vAlign w:val="bottom"/>
          </w:tcPr>
          <w:p w14:paraId="43B2D2F2" w14:textId="77777777" w:rsidR="00FC77BB" w:rsidRPr="00154391" w:rsidRDefault="00FC77BB" w:rsidP="004F705B">
            <w:pPr>
              <w:keepNext/>
              <w:keepLines/>
              <w:spacing w:before="20" w:after="20"/>
              <w:rPr>
                <w:b/>
                <w:sz w:val="20"/>
                <w:szCs w:val="20"/>
              </w:rPr>
            </w:pPr>
            <w:r w:rsidRPr="0079498E">
              <w:rPr>
                <w:b/>
                <w:sz w:val="20"/>
              </w:rPr>
              <w:t>Code</w:t>
            </w:r>
          </w:p>
        </w:tc>
        <w:tc>
          <w:tcPr>
            <w:tcW w:w="3240" w:type="dxa"/>
            <w:shd w:val="clear" w:color="auto" w:fill="F2F2F2" w:themeFill="background1" w:themeFillShade="F2"/>
            <w:vAlign w:val="bottom"/>
          </w:tcPr>
          <w:p w14:paraId="3E536581"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1867" w:type="dxa"/>
            <w:shd w:val="clear" w:color="auto" w:fill="F2F2F2" w:themeFill="background1" w:themeFillShade="F2"/>
            <w:vAlign w:val="bottom"/>
          </w:tcPr>
          <w:p w14:paraId="2069ECAB"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8D6370" w:rsidRPr="00FB030E" w14:paraId="4D1B7576" w14:textId="77777777" w:rsidTr="008D6370">
        <w:trPr>
          <w:cantSplit/>
          <w:trHeight w:val="20"/>
        </w:trPr>
        <w:tc>
          <w:tcPr>
            <w:tcW w:w="4428" w:type="dxa"/>
            <w:shd w:val="clear" w:color="auto" w:fill="auto"/>
          </w:tcPr>
          <w:p w14:paraId="63FEA449" w14:textId="77777777" w:rsidR="008D6370" w:rsidRPr="00BD6838" w:rsidRDefault="008D6370" w:rsidP="008D6370">
            <w:pPr>
              <w:keepNext/>
              <w:keepLines/>
              <w:spacing w:before="20" w:after="20"/>
              <w:rPr>
                <w:sz w:val="20"/>
                <w:szCs w:val="20"/>
              </w:rPr>
            </w:pPr>
            <w:r w:rsidRPr="00BD6838">
              <w:rPr>
                <w:sz w:val="20"/>
              </w:rPr>
              <w:t>CA Appliance Efficiency Regulations – Title 20</w:t>
            </w:r>
          </w:p>
        </w:tc>
        <w:tc>
          <w:tcPr>
            <w:tcW w:w="3240" w:type="dxa"/>
            <w:shd w:val="clear" w:color="auto" w:fill="auto"/>
          </w:tcPr>
          <w:p w14:paraId="3AF16D32" w14:textId="77777777" w:rsidR="008D6370" w:rsidRPr="00FB030E" w:rsidRDefault="008D6370" w:rsidP="008D6370">
            <w:pPr>
              <w:keepNext/>
              <w:keepLines/>
              <w:spacing w:before="20" w:after="20"/>
              <w:rPr>
                <w:sz w:val="20"/>
                <w:szCs w:val="20"/>
              </w:rPr>
            </w:pPr>
            <w:r>
              <w:rPr>
                <w:sz w:val="20"/>
                <w:szCs w:val="20"/>
              </w:rPr>
              <w:t>None.</w:t>
            </w:r>
          </w:p>
        </w:tc>
        <w:tc>
          <w:tcPr>
            <w:tcW w:w="1867" w:type="dxa"/>
            <w:shd w:val="clear" w:color="auto" w:fill="auto"/>
          </w:tcPr>
          <w:p w14:paraId="5AF6E77C" w14:textId="77777777" w:rsidR="008D6370" w:rsidRPr="00FB030E" w:rsidRDefault="008D6370" w:rsidP="008D6370">
            <w:pPr>
              <w:keepNext/>
              <w:keepLines/>
              <w:spacing w:before="20" w:after="20"/>
              <w:rPr>
                <w:sz w:val="20"/>
                <w:szCs w:val="20"/>
              </w:rPr>
            </w:pPr>
            <w:r>
              <w:rPr>
                <w:sz w:val="20"/>
                <w:szCs w:val="20"/>
              </w:rPr>
              <w:t>n/a</w:t>
            </w:r>
          </w:p>
        </w:tc>
      </w:tr>
      <w:tr w:rsidR="008D6370" w:rsidRPr="00FB030E" w14:paraId="11E89DD1" w14:textId="77777777" w:rsidTr="008D6370">
        <w:trPr>
          <w:cantSplit/>
          <w:trHeight w:val="20"/>
        </w:trPr>
        <w:tc>
          <w:tcPr>
            <w:tcW w:w="4428" w:type="dxa"/>
            <w:shd w:val="clear" w:color="auto" w:fill="auto"/>
          </w:tcPr>
          <w:p w14:paraId="3175FB8C" w14:textId="77777777" w:rsidR="008D6370" w:rsidRPr="00BD6838" w:rsidRDefault="008D6370" w:rsidP="008D6370">
            <w:pPr>
              <w:keepNext/>
              <w:keepLines/>
              <w:spacing w:before="20" w:after="20"/>
              <w:rPr>
                <w:sz w:val="20"/>
                <w:szCs w:val="20"/>
              </w:rPr>
            </w:pPr>
            <w:r w:rsidRPr="00BD6838">
              <w:rPr>
                <w:sz w:val="20"/>
              </w:rPr>
              <w:t>CA Building Energy Efficiency Standards – Title 24</w:t>
            </w:r>
          </w:p>
        </w:tc>
        <w:tc>
          <w:tcPr>
            <w:tcW w:w="3240" w:type="dxa"/>
            <w:shd w:val="clear" w:color="auto" w:fill="auto"/>
          </w:tcPr>
          <w:p w14:paraId="163FEEDF" w14:textId="77777777" w:rsidR="008D6370" w:rsidRPr="00FB030E" w:rsidRDefault="008D6370" w:rsidP="008D6370">
            <w:pPr>
              <w:keepNext/>
              <w:keepLines/>
              <w:spacing w:before="20" w:after="20"/>
              <w:rPr>
                <w:sz w:val="20"/>
                <w:szCs w:val="20"/>
              </w:rPr>
            </w:pPr>
            <w:r>
              <w:rPr>
                <w:sz w:val="20"/>
                <w:szCs w:val="20"/>
              </w:rPr>
              <w:t>None.</w:t>
            </w:r>
          </w:p>
        </w:tc>
        <w:tc>
          <w:tcPr>
            <w:tcW w:w="1867" w:type="dxa"/>
            <w:shd w:val="clear" w:color="auto" w:fill="auto"/>
          </w:tcPr>
          <w:p w14:paraId="2DBB9FA7" w14:textId="77777777" w:rsidR="008D6370" w:rsidRPr="00FB030E" w:rsidRDefault="008D6370" w:rsidP="008D6370">
            <w:pPr>
              <w:keepNext/>
              <w:keepLines/>
              <w:spacing w:before="20" w:after="20"/>
              <w:rPr>
                <w:sz w:val="20"/>
                <w:szCs w:val="20"/>
              </w:rPr>
            </w:pPr>
            <w:r>
              <w:rPr>
                <w:sz w:val="20"/>
                <w:szCs w:val="20"/>
              </w:rPr>
              <w:t>n/a</w:t>
            </w:r>
          </w:p>
        </w:tc>
      </w:tr>
      <w:tr w:rsidR="00FC77BB" w:rsidRPr="00FB030E" w14:paraId="428B29CA" w14:textId="77777777" w:rsidTr="008D6370">
        <w:trPr>
          <w:cantSplit/>
          <w:trHeight w:val="20"/>
        </w:trPr>
        <w:tc>
          <w:tcPr>
            <w:tcW w:w="4428" w:type="dxa"/>
            <w:shd w:val="clear" w:color="auto" w:fill="auto"/>
          </w:tcPr>
          <w:p w14:paraId="23FB0DBB" w14:textId="77777777" w:rsidR="00FC77BB" w:rsidRPr="00BD6838" w:rsidRDefault="00FC77BB" w:rsidP="00752D76">
            <w:pPr>
              <w:keepNext/>
              <w:keepLines/>
              <w:spacing w:before="20" w:after="20"/>
              <w:rPr>
                <w:sz w:val="20"/>
                <w:szCs w:val="20"/>
              </w:rPr>
            </w:pPr>
            <w:r w:rsidRPr="00BD6838">
              <w:rPr>
                <w:sz w:val="20"/>
              </w:rPr>
              <w:t>Federal Standards</w:t>
            </w:r>
          </w:p>
        </w:tc>
        <w:tc>
          <w:tcPr>
            <w:tcW w:w="3240" w:type="dxa"/>
            <w:shd w:val="clear" w:color="auto" w:fill="auto"/>
          </w:tcPr>
          <w:p w14:paraId="714A7840" w14:textId="06801B94" w:rsidR="00FE0DCD" w:rsidRPr="00FE0DCD" w:rsidRDefault="00D14CEA" w:rsidP="008D6370">
            <w:pPr>
              <w:keepNext/>
              <w:keepLines/>
              <w:spacing w:before="20" w:after="20"/>
              <w:rPr>
                <w:sz w:val="20"/>
                <w:szCs w:val="20"/>
              </w:rPr>
            </w:pPr>
            <w:r>
              <w:rPr>
                <w:sz w:val="20"/>
                <w:szCs w:val="20"/>
              </w:rPr>
              <w:t>None.</w:t>
            </w:r>
          </w:p>
        </w:tc>
        <w:tc>
          <w:tcPr>
            <w:tcW w:w="1867" w:type="dxa"/>
            <w:shd w:val="clear" w:color="auto" w:fill="auto"/>
          </w:tcPr>
          <w:p w14:paraId="50F42DBA" w14:textId="7BAEA440" w:rsidR="00FC77BB" w:rsidRPr="00C73B30" w:rsidRDefault="00D14CEA" w:rsidP="00752D76">
            <w:pPr>
              <w:keepNext/>
              <w:keepLines/>
              <w:spacing w:before="20" w:after="20"/>
              <w:rPr>
                <w:sz w:val="20"/>
                <w:szCs w:val="20"/>
              </w:rPr>
            </w:pPr>
            <w:r>
              <w:rPr>
                <w:sz w:val="20"/>
                <w:szCs w:val="20"/>
              </w:rPr>
              <w:t>n/a</w:t>
            </w:r>
          </w:p>
        </w:tc>
      </w:tr>
    </w:tbl>
    <w:p w14:paraId="6FCEEF77" w14:textId="77777777" w:rsidR="00FD2C54" w:rsidRDefault="00FD2C54" w:rsidP="00FD2C54"/>
    <w:p w14:paraId="70C59433" w14:textId="77777777" w:rsidR="007D230B" w:rsidRPr="00171BB8" w:rsidRDefault="007D230B" w:rsidP="00462BB6">
      <w:pPr>
        <w:pStyle w:val="eTRMHeading3"/>
      </w:pPr>
      <w:bookmarkStart w:id="24" w:name="_Toc486490851"/>
      <w:bookmarkStart w:id="25" w:name="_Toc486580922"/>
      <w:bookmarkStart w:id="26" w:name="_Toc12626360"/>
      <w:r w:rsidRPr="00A83458">
        <w:t>Normalizing</w:t>
      </w:r>
      <w:r w:rsidRPr="00171BB8">
        <w:t xml:space="preserve"> Unit</w:t>
      </w:r>
      <w:bookmarkEnd w:id="24"/>
      <w:bookmarkEnd w:id="25"/>
      <w:bookmarkEnd w:id="26"/>
    </w:p>
    <w:p w14:paraId="66D35EFD" w14:textId="4FB30077" w:rsidR="007D230B" w:rsidRDefault="00AB6271" w:rsidP="00486585">
      <w:r>
        <w:t>Per kilolumen</w:t>
      </w:r>
      <w:r w:rsidR="008D6370">
        <w:t xml:space="preserve"> (</w:t>
      </w:r>
      <w:proofErr w:type="spellStart"/>
      <w:r w:rsidR="008D6370">
        <w:t>k</w:t>
      </w:r>
      <w:r w:rsidR="003175AB">
        <w:t>lm</w:t>
      </w:r>
      <w:proofErr w:type="spellEnd"/>
      <w:r w:rsidR="003175AB">
        <w:t>)</w:t>
      </w:r>
    </w:p>
    <w:p w14:paraId="55EFF07E" w14:textId="77777777" w:rsidR="009C31A4" w:rsidRPr="007D230B" w:rsidRDefault="009C31A4" w:rsidP="00486585"/>
    <w:p w14:paraId="70E9F0C8" w14:textId="77777777" w:rsidR="007D230B" w:rsidRPr="004B06E3" w:rsidRDefault="007D230B" w:rsidP="00462BB6">
      <w:pPr>
        <w:pStyle w:val="eTRMHeading3"/>
      </w:pPr>
      <w:bookmarkStart w:id="27" w:name="_Toc486490852"/>
      <w:bookmarkStart w:id="28" w:name="_Toc486580923"/>
      <w:bookmarkStart w:id="29" w:name="_Toc12626361"/>
      <w:r w:rsidRPr="004B06E3">
        <w:lastRenderedPageBreak/>
        <w:t>Program Requirements</w:t>
      </w:r>
      <w:bookmarkEnd w:id="27"/>
      <w:bookmarkEnd w:id="28"/>
      <w:bookmarkEnd w:id="29"/>
      <w:r w:rsidRPr="004B06E3">
        <w:t xml:space="preserve"> </w:t>
      </w:r>
    </w:p>
    <w:p w14:paraId="275EB3DD" w14:textId="77777777" w:rsidR="00965A45" w:rsidRDefault="00965A45" w:rsidP="00965A45">
      <w:pPr>
        <w:pStyle w:val="eTRMHeading5"/>
        <w:keepNext/>
        <w:keepLines/>
      </w:pPr>
      <w:bookmarkStart w:id="30" w:name="_Hlk516047641"/>
      <w:r>
        <w:t>Measure Implementation Eligibility</w:t>
      </w:r>
    </w:p>
    <w:p w14:paraId="7726FC46" w14:textId="77777777" w:rsidR="00965A45" w:rsidRDefault="00965A45" w:rsidP="00965A45">
      <w:bookmarkStart w:id="31" w:name="_Hlk527543844"/>
      <w:bookmarkStart w:id="32"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1"/>
    </w:p>
    <w:bookmarkEnd w:id="32"/>
    <w:p w14:paraId="2DA90536" w14:textId="77777777" w:rsidR="00965A45" w:rsidRPr="00CC4643" w:rsidRDefault="00965A45" w:rsidP="00965A45">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3CCCFB87" w14:textId="0FF07FCE" w:rsidR="00EF689B" w:rsidRDefault="00EF689B" w:rsidP="00674C51">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EF689B" w:rsidRPr="00A47168" w14:paraId="43F5D2E3" w14:textId="77777777" w:rsidTr="00965A45">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1EDA4B3A" w14:textId="77777777" w:rsidR="00EF689B" w:rsidRPr="00A47168" w:rsidRDefault="00EF689B" w:rsidP="00965A45">
            <w:pPr>
              <w:keepNext/>
              <w:spacing w:before="0" w:after="0" w:line="240" w:lineRule="auto"/>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3784BA1A" w14:textId="77777777" w:rsidR="00EF689B" w:rsidRPr="00A47168" w:rsidRDefault="00EF689B" w:rsidP="00965A45">
            <w:pPr>
              <w:keepNext/>
              <w:spacing w:before="0" w:after="0" w:line="240" w:lineRule="auto"/>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79E43C9A" w14:textId="77777777" w:rsidR="00EF689B" w:rsidRPr="00A47168" w:rsidRDefault="00EF689B" w:rsidP="00965A45">
            <w:pPr>
              <w:keepNext/>
              <w:spacing w:before="0" w:after="0" w:line="240" w:lineRule="auto"/>
              <w:rPr>
                <w:b/>
                <w:bCs/>
                <w:sz w:val="20"/>
              </w:rPr>
            </w:pPr>
            <w:r w:rsidRPr="00A47168">
              <w:rPr>
                <w:b/>
                <w:bCs/>
                <w:sz w:val="20"/>
              </w:rPr>
              <w:t>Sector</w:t>
            </w:r>
          </w:p>
        </w:tc>
      </w:tr>
      <w:tr w:rsidR="00EF689B" w:rsidRPr="00A47168" w14:paraId="22634FE4" w14:textId="77777777" w:rsidTr="00965A45">
        <w:trPr>
          <w:trHeight w:val="20"/>
        </w:trPr>
        <w:tc>
          <w:tcPr>
            <w:tcW w:w="3024" w:type="dxa"/>
            <w:noWrap/>
            <w:tcMar>
              <w:top w:w="0" w:type="dxa"/>
              <w:left w:w="108" w:type="dxa"/>
              <w:bottom w:w="0" w:type="dxa"/>
              <w:right w:w="108" w:type="dxa"/>
            </w:tcMar>
            <w:vAlign w:val="bottom"/>
          </w:tcPr>
          <w:p w14:paraId="48A81A84" w14:textId="74A596B0" w:rsidR="00EF689B" w:rsidRPr="00A47168" w:rsidRDefault="00295E04" w:rsidP="00965A45">
            <w:pPr>
              <w:keepNext/>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740E21CD" w14:textId="69AF29C9" w:rsidR="00EF689B" w:rsidRPr="00A47168" w:rsidRDefault="00295E04" w:rsidP="00965A45">
            <w:pPr>
              <w:keepNext/>
              <w:spacing w:before="0" w:after="0" w:line="240" w:lineRule="auto"/>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5D33AC3C" w14:textId="260FD731" w:rsidR="00EF689B" w:rsidRPr="00A47168" w:rsidRDefault="00295E04" w:rsidP="00965A45">
            <w:pPr>
              <w:keepNext/>
              <w:spacing w:before="0" w:after="0" w:line="240" w:lineRule="auto"/>
              <w:rPr>
                <w:color w:val="000000"/>
                <w:sz w:val="20"/>
              </w:rPr>
            </w:pPr>
            <w:r>
              <w:rPr>
                <w:color w:val="000000"/>
                <w:sz w:val="20"/>
              </w:rPr>
              <w:t>Com</w:t>
            </w:r>
          </w:p>
        </w:tc>
      </w:tr>
      <w:tr w:rsidR="00295E04" w:rsidRPr="00A47168" w14:paraId="6C881B52" w14:textId="77777777" w:rsidTr="00965A45">
        <w:trPr>
          <w:trHeight w:val="20"/>
        </w:trPr>
        <w:tc>
          <w:tcPr>
            <w:tcW w:w="3024" w:type="dxa"/>
            <w:noWrap/>
            <w:tcMar>
              <w:top w:w="0" w:type="dxa"/>
              <w:left w:w="108" w:type="dxa"/>
              <w:bottom w:w="0" w:type="dxa"/>
              <w:right w:w="108" w:type="dxa"/>
            </w:tcMar>
            <w:vAlign w:val="bottom"/>
          </w:tcPr>
          <w:p w14:paraId="56FCAC5A" w14:textId="1A15E147" w:rsidR="00295E04" w:rsidRPr="00A47168" w:rsidRDefault="00295E04" w:rsidP="00295E04">
            <w:pPr>
              <w:keepNext/>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366CE052" w14:textId="355A71D4" w:rsidR="00295E04" w:rsidRPr="00A47168" w:rsidRDefault="00295E04" w:rsidP="00295E04">
            <w:pPr>
              <w:keepNext/>
              <w:spacing w:before="0" w:after="0" w:line="240" w:lineRule="auto"/>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09E68BA6" w14:textId="420C754F" w:rsidR="00295E04" w:rsidRPr="00A47168" w:rsidRDefault="00295E04" w:rsidP="00295E04">
            <w:pPr>
              <w:keepNext/>
              <w:spacing w:before="0" w:after="0" w:line="240" w:lineRule="auto"/>
              <w:rPr>
                <w:color w:val="000000"/>
                <w:sz w:val="20"/>
              </w:rPr>
            </w:pPr>
            <w:r>
              <w:rPr>
                <w:color w:val="000000"/>
                <w:sz w:val="20"/>
              </w:rPr>
              <w:t>Com</w:t>
            </w:r>
          </w:p>
        </w:tc>
      </w:tr>
      <w:tr w:rsidR="008E3C8D" w:rsidRPr="00A47168" w14:paraId="7980763F" w14:textId="77777777" w:rsidTr="00965A45">
        <w:trPr>
          <w:trHeight w:val="20"/>
        </w:trPr>
        <w:tc>
          <w:tcPr>
            <w:tcW w:w="3024" w:type="dxa"/>
            <w:noWrap/>
            <w:tcMar>
              <w:top w:w="0" w:type="dxa"/>
              <w:left w:w="108" w:type="dxa"/>
              <w:bottom w:w="0" w:type="dxa"/>
              <w:right w:w="108" w:type="dxa"/>
            </w:tcMar>
            <w:vAlign w:val="bottom"/>
          </w:tcPr>
          <w:p w14:paraId="5204B63D" w14:textId="08D067D2" w:rsidR="008E3C8D" w:rsidRDefault="008E3C8D" w:rsidP="008E3C8D">
            <w:pPr>
              <w:keepNext/>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19D01DCD" w14:textId="4A631EFC" w:rsidR="008E3C8D" w:rsidRDefault="008E3C8D" w:rsidP="008E3C8D">
            <w:pPr>
              <w:keepNext/>
              <w:spacing w:before="0" w:after="0" w:line="240" w:lineRule="auto"/>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6013FA91" w14:textId="1DC6650F" w:rsidR="008E3C8D" w:rsidRDefault="008E3C8D" w:rsidP="008E3C8D">
            <w:pPr>
              <w:keepNext/>
              <w:spacing w:before="0" w:after="0" w:line="240" w:lineRule="auto"/>
              <w:rPr>
                <w:color w:val="000000"/>
                <w:sz w:val="20"/>
              </w:rPr>
            </w:pPr>
            <w:r>
              <w:rPr>
                <w:color w:val="000000"/>
                <w:sz w:val="20"/>
              </w:rPr>
              <w:t>Com</w:t>
            </w:r>
          </w:p>
        </w:tc>
      </w:tr>
      <w:tr w:rsidR="00754797" w:rsidRPr="00A47168" w14:paraId="0C46CE02"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C163E6C" w14:textId="77777777" w:rsidR="00754797" w:rsidRPr="00A47168"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C6591C5" w14:textId="77777777" w:rsidR="00754797" w:rsidRPr="00A47168" w:rsidRDefault="00754797" w:rsidP="00754797">
            <w:pPr>
              <w:keepNext/>
              <w:spacing w:before="0" w:after="0" w:line="240" w:lineRule="auto"/>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9618EC" w14:textId="4124EF6F" w:rsidR="00754797" w:rsidRPr="00A47168" w:rsidRDefault="00754797" w:rsidP="00754797">
            <w:pPr>
              <w:keepNext/>
              <w:spacing w:before="0" w:after="0" w:line="240" w:lineRule="auto"/>
              <w:rPr>
                <w:color w:val="000000"/>
                <w:sz w:val="20"/>
              </w:rPr>
            </w:pPr>
            <w:r>
              <w:rPr>
                <w:color w:val="000000"/>
                <w:sz w:val="20"/>
              </w:rPr>
              <w:t>Res</w:t>
            </w:r>
          </w:p>
        </w:tc>
      </w:tr>
      <w:tr w:rsidR="00754797" w:rsidRPr="00A47168" w14:paraId="1B092567"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59E604" w14:textId="77777777" w:rsidR="00754797" w:rsidRPr="00A47168"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D9DF45" w14:textId="77777777" w:rsidR="00754797" w:rsidRPr="00A47168" w:rsidRDefault="00754797" w:rsidP="00754797">
            <w:pPr>
              <w:keepNext/>
              <w:spacing w:before="0" w:after="0" w:line="240" w:lineRule="auto"/>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5766A3" w14:textId="0E734927" w:rsidR="00754797" w:rsidRPr="00A47168" w:rsidRDefault="00754797" w:rsidP="00754797">
            <w:pPr>
              <w:keepNext/>
              <w:spacing w:before="0" w:after="0" w:line="240" w:lineRule="auto"/>
              <w:rPr>
                <w:color w:val="000000"/>
                <w:sz w:val="20"/>
              </w:rPr>
            </w:pPr>
            <w:r>
              <w:rPr>
                <w:color w:val="000000"/>
                <w:sz w:val="20"/>
              </w:rPr>
              <w:t>Res</w:t>
            </w:r>
          </w:p>
        </w:tc>
      </w:tr>
      <w:tr w:rsidR="00754797" w:rsidRPr="00A47168" w14:paraId="75545271"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8EC9E02" w14:textId="77777777" w:rsidR="00754797"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8769868" w14:textId="77777777" w:rsidR="00754797" w:rsidRDefault="00754797" w:rsidP="00754797">
            <w:pPr>
              <w:keepNext/>
              <w:spacing w:before="0" w:after="0" w:line="240" w:lineRule="auto"/>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8C193EA" w14:textId="1D8E7FE2" w:rsidR="00754797" w:rsidRDefault="00754797" w:rsidP="00754797">
            <w:pPr>
              <w:keepNext/>
              <w:spacing w:before="0" w:after="0" w:line="240" w:lineRule="auto"/>
              <w:rPr>
                <w:color w:val="000000"/>
                <w:sz w:val="20"/>
              </w:rPr>
            </w:pPr>
            <w:r>
              <w:rPr>
                <w:color w:val="000000"/>
                <w:sz w:val="20"/>
              </w:rPr>
              <w:t>Res</w:t>
            </w:r>
          </w:p>
        </w:tc>
      </w:tr>
      <w:tr w:rsidR="00754797" w:rsidRPr="00A47168" w14:paraId="7102AFD8"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4A76C4" w14:textId="77777777" w:rsidR="00754797" w:rsidRPr="00A47168"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0BB0A87" w14:textId="77777777" w:rsidR="00754797" w:rsidRPr="00A47168" w:rsidRDefault="00754797" w:rsidP="00754797">
            <w:pPr>
              <w:keepNext/>
              <w:spacing w:before="0" w:after="0" w:line="240" w:lineRule="auto"/>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28FC844" w14:textId="39128348" w:rsidR="00754797" w:rsidRPr="00A47168" w:rsidRDefault="00754797" w:rsidP="00754797">
            <w:pPr>
              <w:keepNext/>
              <w:spacing w:before="0" w:after="0" w:line="240" w:lineRule="auto"/>
              <w:rPr>
                <w:color w:val="000000"/>
                <w:sz w:val="20"/>
              </w:rPr>
            </w:pPr>
            <w:r>
              <w:rPr>
                <w:color w:val="000000"/>
                <w:sz w:val="20"/>
              </w:rPr>
              <w:t>Ind</w:t>
            </w:r>
          </w:p>
        </w:tc>
      </w:tr>
      <w:tr w:rsidR="00754797" w:rsidRPr="00A47168" w14:paraId="062C89D4"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20D4D4" w14:textId="77777777" w:rsidR="00754797" w:rsidRPr="00A47168"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9917718" w14:textId="77777777" w:rsidR="00754797" w:rsidRPr="00A47168" w:rsidRDefault="00754797" w:rsidP="00754797">
            <w:pPr>
              <w:keepNext/>
              <w:spacing w:before="0" w:after="0" w:line="240" w:lineRule="auto"/>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C92C8C1" w14:textId="2BD39EF7" w:rsidR="00754797" w:rsidRPr="00A47168" w:rsidRDefault="00754797" w:rsidP="00754797">
            <w:pPr>
              <w:keepNext/>
              <w:spacing w:before="0" w:after="0" w:line="240" w:lineRule="auto"/>
              <w:rPr>
                <w:color w:val="000000"/>
                <w:sz w:val="20"/>
              </w:rPr>
            </w:pPr>
            <w:r>
              <w:rPr>
                <w:color w:val="000000"/>
                <w:sz w:val="20"/>
              </w:rPr>
              <w:t>Ind</w:t>
            </w:r>
          </w:p>
        </w:tc>
      </w:tr>
      <w:tr w:rsidR="00754797" w:rsidRPr="00A47168" w14:paraId="4513140A" w14:textId="77777777" w:rsidTr="00754797">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B04B33" w14:textId="77777777" w:rsidR="00754797" w:rsidRDefault="00754797" w:rsidP="00754797">
            <w:pPr>
              <w:keepNext/>
              <w:spacing w:before="0" w:after="0" w:line="240" w:lineRule="auto"/>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41E4C8" w14:textId="77777777" w:rsidR="00754797" w:rsidRDefault="00754797" w:rsidP="00754797">
            <w:pPr>
              <w:keepNext/>
              <w:spacing w:before="0" w:after="0" w:line="240" w:lineRule="auto"/>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F28CE0" w14:textId="69065347" w:rsidR="00754797" w:rsidRDefault="00754797" w:rsidP="00754797">
            <w:pPr>
              <w:keepNext/>
              <w:spacing w:before="0" w:after="0" w:line="240" w:lineRule="auto"/>
              <w:rPr>
                <w:color w:val="000000"/>
                <w:sz w:val="20"/>
              </w:rPr>
            </w:pPr>
            <w:r>
              <w:rPr>
                <w:color w:val="000000"/>
                <w:sz w:val="20"/>
              </w:rPr>
              <w:t>Ind</w:t>
            </w:r>
          </w:p>
        </w:tc>
      </w:tr>
    </w:tbl>
    <w:p w14:paraId="65AED49D" w14:textId="77777777" w:rsidR="00EF689B" w:rsidRDefault="00EF689B" w:rsidP="00EF689B"/>
    <w:bookmarkEnd w:id="30"/>
    <w:p w14:paraId="7F1F70B6" w14:textId="77777777" w:rsidR="00D358D1" w:rsidRDefault="00196649" w:rsidP="000818D0">
      <w:pPr>
        <w:pStyle w:val="eTRMHeading5"/>
      </w:pPr>
      <w:r>
        <w:t>Eligible Products</w:t>
      </w:r>
    </w:p>
    <w:p w14:paraId="0DCC5B34" w14:textId="677AF808" w:rsidR="00926EC3" w:rsidRDefault="00926EC3" w:rsidP="00D14CEA">
      <w:pPr>
        <w:spacing w:after="0"/>
      </w:pPr>
      <w:r>
        <w:t xml:space="preserve">The product must meet the minimum efficacy </w:t>
      </w:r>
      <w:r w:rsidR="00456C68">
        <w:t xml:space="preserve">range </w:t>
      </w:r>
      <w:r w:rsidR="0089580D">
        <w:t>specified</w:t>
      </w:r>
      <w:r>
        <w:t xml:space="preserve"> in the Measure Case Description.</w:t>
      </w:r>
    </w:p>
    <w:p w14:paraId="45690B8B" w14:textId="140A2AB1" w:rsidR="00D14CEA" w:rsidRPr="00994BBB" w:rsidRDefault="00D14CEA" w:rsidP="00D14CEA">
      <w:pPr>
        <w:spacing w:after="0"/>
      </w:pPr>
      <w:r w:rsidRPr="009206BA">
        <w:t xml:space="preserve">Product must meet </w:t>
      </w:r>
      <w:r w:rsidR="00926EC3" w:rsidRPr="009206BA">
        <w:t>the</w:t>
      </w:r>
      <w:r w:rsidRPr="009206BA">
        <w:t xml:space="preserve"> technical requirements listed on </w:t>
      </w:r>
      <w:r w:rsidR="000C6174" w:rsidRPr="009206BA">
        <w:t xml:space="preserve">the </w:t>
      </w:r>
      <w:r w:rsidR="009206BA" w:rsidRPr="009206BA">
        <w:t xml:space="preserve">current </w:t>
      </w:r>
      <w:r w:rsidR="000C6174" w:rsidRPr="009206BA">
        <w:t>Design Lights Consortium (</w:t>
      </w:r>
      <w:r w:rsidRPr="009206BA">
        <w:t>DLC</w:t>
      </w:r>
      <w:r w:rsidR="000C6174" w:rsidRPr="009206BA">
        <w:t xml:space="preserve">) </w:t>
      </w:r>
      <w:r w:rsidR="000C6174">
        <w:t>qualified product list</w:t>
      </w:r>
      <w:r w:rsidRPr="00994BBB">
        <w:t xml:space="preserve"> </w:t>
      </w:r>
      <w:r w:rsidR="00785E80">
        <w:t xml:space="preserve">(QPL) </w:t>
      </w:r>
      <w:r w:rsidRPr="00994BBB">
        <w:t xml:space="preserve">for </w:t>
      </w:r>
      <w:r w:rsidR="00926EC3">
        <w:t xml:space="preserve">its corresponding </w:t>
      </w:r>
      <w:r w:rsidRPr="00994BBB">
        <w:t>product categor</w:t>
      </w:r>
      <w:r w:rsidR="00926EC3">
        <w:t>y</w:t>
      </w:r>
      <w:r w:rsidR="000C6174">
        <w:t xml:space="preserve">. </w:t>
      </w:r>
    </w:p>
    <w:p w14:paraId="69ECBF17" w14:textId="2AD61B53" w:rsidR="00D14CEA" w:rsidRPr="00994BBB" w:rsidRDefault="000C6174" w:rsidP="00D14CEA">
      <w:pPr>
        <w:spacing w:after="0"/>
      </w:pPr>
      <w:r>
        <w:t>The product m</w:t>
      </w:r>
      <w:r w:rsidR="00D14CEA" w:rsidRPr="00994BBB">
        <w:t xml:space="preserve">ust be </w:t>
      </w:r>
      <w:r w:rsidR="00B14642">
        <w:t>listed in</w:t>
      </w:r>
      <w:r w:rsidR="00D14CEA" w:rsidRPr="00994BBB">
        <w:t xml:space="preserve"> one of </w:t>
      </w:r>
      <w:r w:rsidR="00B14642">
        <w:t xml:space="preserve">the following </w:t>
      </w:r>
      <w:r w:rsidR="00785E80">
        <w:t>“primary use designations” of the DLC QPL</w:t>
      </w:r>
      <w:r w:rsidR="00D14CEA" w:rsidRPr="00994BBB">
        <w:t>:</w:t>
      </w:r>
    </w:p>
    <w:p w14:paraId="3A6BCF44" w14:textId="581FA4AA" w:rsidR="00D14CEA" w:rsidRPr="000C534D" w:rsidRDefault="00D14CEA" w:rsidP="008E3C8D">
      <w:pPr>
        <w:pStyle w:val="eTRMBulletedText"/>
        <w:numPr>
          <w:ilvl w:val="0"/>
          <w:numId w:val="38"/>
        </w:numPr>
      </w:pPr>
      <w:r w:rsidRPr="000C534D">
        <w:t>2x4 Luminaires for Ambient Lighting of Interior Commercial Spaces</w:t>
      </w:r>
    </w:p>
    <w:p w14:paraId="54FB2B7C" w14:textId="50FD04E5" w:rsidR="00D14CEA" w:rsidRPr="000C534D" w:rsidRDefault="00D14CEA" w:rsidP="008E3C8D">
      <w:pPr>
        <w:pStyle w:val="eTRMBulletedText"/>
        <w:numPr>
          <w:ilvl w:val="0"/>
          <w:numId w:val="38"/>
        </w:numPr>
      </w:pPr>
      <w:r w:rsidRPr="000C534D">
        <w:t>Integrated Retrofit Kits for 2x4 Luminaires for Ambient Lighting of Interior Commercial Spaces</w:t>
      </w:r>
    </w:p>
    <w:p w14:paraId="42C00E56" w14:textId="7A20AE77" w:rsidR="00D14CEA" w:rsidRPr="000C534D" w:rsidRDefault="00D14CEA" w:rsidP="008E3C8D">
      <w:pPr>
        <w:pStyle w:val="eTRMBulletedText"/>
        <w:numPr>
          <w:ilvl w:val="0"/>
          <w:numId w:val="38"/>
        </w:numPr>
      </w:pPr>
      <w:r w:rsidRPr="000C534D">
        <w:t>2x2 Luminaires for Ambient Lighting of Interior Commercial Spaces</w:t>
      </w:r>
    </w:p>
    <w:p w14:paraId="5CF2CE5C" w14:textId="15B197B1" w:rsidR="00D14CEA" w:rsidRPr="000C534D" w:rsidRDefault="00D14CEA" w:rsidP="008E3C8D">
      <w:pPr>
        <w:pStyle w:val="eTRMBulletedText"/>
        <w:numPr>
          <w:ilvl w:val="0"/>
          <w:numId w:val="38"/>
        </w:numPr>
      </w:pPr>
      <w:r w:rsidRPr="000C534D">
        <w:t>Integrated Retrofit Kits for 2x2 Luminaires for Ambient Lighting of Interior Commercial Spaces</w:t>
      </w:r>
    </w:p>
    <w:p w14:paraId="69E38672" w14:textId="59151440" w:rsidR="00D14CEA" w:rsidRPr="000C534D" w:rsidRDefault="00D14CEA" w:rsidP="008E3C8D">
      <w:pPr>
        <w:pStyle w:val="eTRMBulletedText"/>
        <w:numPr>
          <w:ilvl w:val="0"/>
          <w:numId w:val="38"/>
        </w:numPr>
      </w:pPr>
      <w:r w:rsidRPr="000C534D">
        <w:t>1x4 Luminaires for Ambient Lighting of Interior Commercial Spaces</w:t>
      </w:r>
    </w:p>
    <w:p w14:paraId="58A9BA40" w14:textId="77777777" w:rsidR="00D14CEA" w:rsidRPr="000C534D" w:rsidRDefault="00D14CEA" w:rsidP="008E3C8D">
      <w:pPr>
        <w:pStyle w:val="eTRMBulletedText"/>
        <w:numPr>
          <w:ilvl w:val="0"/>
          <w:numId w:val="38"/>
        </w:numPr>
      </w:pPr>
      <w:r w:rsidRPr="000C534D">
        <w:t>Integrated Retrofit Kits for 1x4 Luminaires for Ambient Lighting of Interior Commercial Spaces</w:t>
      </w:r>
    </w:p>
    <w:p w14:paraId="025B063D" w14:textId="77777777" w:rsidR="00D14CEA" w:rsidRPr="000C534D" w:rsidRDefault="00D14CEA" w:rsidP="008E3C8D">
      <w:pPr>
        <w:pStyle w:val="eTRMBulletedText"/>
        <w:numPr>
          <w:ilvl w:val="0"/>
          <w:numId w:val="38"/>
        </w:numPr>
      </w:pPr>
      <w:r w:rsidRPr="000C534D">
        <w:t>Direct Linear Ambient Luminaires</w:t>
      </w:r>
    </w:p>
    <w:p w14:paraId="790B1598" w14:textId="77777777" w:rsidR="00D14CEA" w:rsidRPr="000C534D" w:rsidRDefault="00D14CEA" w:rsidP="008E3C8D">
      <w:pPr>
        <w:pStyle w:val="eTRMBulletedText"/>
        <w:numPr>
          <w:ilvl w:val="0"/>
          <w:numId w:val="38"/>
        </w:numPr>
      </w:pPr>
      <w:r w:rsidRPr="000C534D">
        <w:t>Linear Ambient Luminaires with Indirect Component</w:t>
      </w:r>
    </w:p>
    <w:p w14:paraId="39485458" w14:textId="77777777" w:rsidR="00D14CEA" w:rsidRPr="000C534D" w:rsidRDefault="00D14CEA" w:rsidP="000C534D">
      <w:pPr>
        <w:pStyle w:val="eTRMBulletedText"/>
      </w:pPr>
      <w:r w:rsidRPr="000C534D">
        <w:t>Retrofit Kits for Direct Linear Ambient Luminaires</w:t>
      </w:r>
    </w:p>
    <w:p w14:paraId="26D88292" w14:textId="1A9A40C3" w:rsidR="00D14CEA" w:rsidRDefault="00D14CEA" w:rsidP="00D14CEA">
      <w:pPr>
        <w:spacing w:before="0" w:after="0"/>
      </w:pPr>
    </w:p>
    <w:p w14:paraId="2AB33E3A" w14:textId="1C97CB18" w:rsidR="000C6174" w:rsidRDefault="000C6174" w:rsidP="000C6174">
      <w:pPr>
        <w:pStyle w:val="Caption"/>
      </w:pPr>
      <w:r>
        <w:lastRenderedPageBreak/>
        <w:t>Design Lights Consortium Requirements</w:t>
      </w:r>
    </w:p>
    <w:tbl>
      <w:tblPr>
        <w:tblStyle w:val="TableGrid"/>
        <w:tblW w:w="993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12"/>
        <w:gridCol w:w="3312"/>
        <w:gridCol w:w="3312"/>
      </w:tblGrid>
      <w:tr w:rsidR="000E44D0" w:rsidRPr="008E3C8D" w14:paraId="61846F7F" w14:textId="13245844" w:rsidTr="000C6174">
        <w:tc>
          <w:tcPr>
            <w:tcW w:w="3312" w:type="dxa"/>
            <w:shd w:val="clear" w:color="auto" w:fill="F2F2F2" w:themeFill="background1" w:themeFillShade="F2"/>
            <w:vAlign w:val="bottom"/>
          </w:tcPr>
          <w:p w14:paraId="3ADA3DDF" w14:textId="219A1CFE" w:rsidR="000E44D0" w:rsidRPr="008E3C8D" w:rsidRDefault="000E44D0" w:rsidP="000C6174">
            <w:pPr>
              <w:spacing w:before="0" w:after="0"/>
              <w:jc w:val="center"/>
              <w:rPr>
                <w:b/>
                <w:sz w:val="20"/>
                <w:szCs w:val="22"/>
              </w:rPr>
            </w:pPr>
            <w:r w:rsidRPr="008E3C8D">
              <w:rPr>
                <w:b/>
                <w:sz w:val="20"/>
                <w:szCs w:val="22"/>
              </w:rPr>
              <w:t xml:space="preserve">Integrated Retrofit Kits </w:t>
            </w:r>
            <w:r w:rsidR="000C6174" w:rsidRPr="008E3C8D">
              <w:rPr>
                <w:b/>
                <w:sz w:val="20"/>
                <w:szCs w:val="22"/>
              </w:rPr>
              <w:t>&amp;</w:t>
            </w:r>
            <w:r w:rsidRPr="008E3C8D">
              <w:rPr>
                <w:b/>
                <w:sz w:val="20"/>
                <w:szCs w:val="22"/>
              </w:rPr>
              <w:t xml:space="preserve"> Luminaires for Ambient Lighting of Interior Commercial Spaces (2x4, 2x2, 1x4)</w:t>
            </w:r>
          </w:p>
        </w:tc>
        <w:tc>
          <w:tcPr>
            <w:tcW w:w="3312" w:type="dxa"/>
            <w:shd w:val="clear" w:color="auto" w:fill="F2F2F2" w:themeFill="background1" w:themeFillShade="F2"/>
            <w:vAlign w:val="bottom"/>
          </w:tcPr>
          <w:p w14:paraId="1795BA71" w14:textId="0ADFD0D4" w:rsidR="000E44D0" w:rsidRPr="008E3C8D" w:rsidRDefault="000E44D0" w:rsidP="000C6174">
            <w:pPr>
              <w:spacing w:before="0" w:after="0"/>
              <w:jc w:val="center"/>
              <w:rPr>
                <w:b/>
                <w:sz w:val="20"/>
                <w:szCs w:val="22"/>
              </w:rPr>
            </w:pPr>
            <w:r w:rsidRPr="008E3C8D">
              <w:rPr>
                <w:b/>
                <w:sz w:val="20"/>
                <w:szCs w:val="22"/>
              </w:rPr>
              <w:t>Indoor Ambient Lighting Products</w:t>
            </w:r>
          </w:p>
        </w:tc>
        <w:tc>
          <w:tcPr>
            <w:tcW w:w="3312" w:type="dxa"/>
            <w:shd w:val="clear" w:color="auto" w:fill="F2F2F2" w:themeFill="background1" w:themeFillShade="F2"/>
            <w:vAlign w:val="bottom"/>
          </w:tcPr>
          <w:p w14:paraId="745ADF53" w14:textId="60C5F215" w:rsidR="000E44D0" w:rsidRPr="008E3C8D" w:rsidRDefault="000E44D0" w:rsidP="000C6174">
            <w:pPr>
              <w:spacing w:before="0" w:after="0"/>
              <w:jc w:val="center"/>
              <w:rPr>
                <w:b/>
                <w:sz w:val="20"/>
                <w:szCs w:val="22"/>
              </w:rPr>
            </w:pPr>
            <w:r w:rsidRPr="008E3C8D">
              <w:rPr>
                <w:b/>
                <w:sz w:val="20"/>
                <w:szCs w:val="22"/>
              </w:rPr>
              <w:t xml:space="preserve">Direct Linear Ambient </w:t>
            </w:r>
            <w:r w:rsidR="00926EC3" w:rsidRPr="008E3C8D">
              <w:rPr>
                <w:b/>
                <w:sz w:val="20"/>
                <w:szCs w:val="22"/>
              </w:rPr>
              <w:t>L</w:t>
            </w:r>
            <w:r w:rsidRPr="008E3C8D">
              <w:rPr>
                <w:b/>
                <w:sz w:val="20"/>
                <w:szCs w:val="22"/>
              </w:rPr>
              <w:t xml:space="preserve">uminaires and </w:t>
            </w:r>
            <w:r w:rsidR="00926EC3" w:rsidRPr="008E3C8D">
              <w:rPr>
                <w:b/>
                <w:sz w:val="20"/>
                <w:szCs w:val="22"/>
              </w:rPr>
              <w:t>R</w:t>
            </w:r>
            <w:r w:rsidRPr="008E3C8D">
              <w:rPr>
                <w:b/>
                <w:sz w:val="20"/>
                <w:szCs w:val="22"/>
              </w:rPr>
              <w:t xml:space="preserve">etrofit </w:t>
            </w:r>
            <w:r w:rsidR="00926EC3" w:rsidRPr="008E3C8D">
              <w:rPr>
                <w:b/>
                <w:sz w:val="20"/>
                <w:szCs w:val="22"/>
              </w:rPr>
              <w:t>K</w:t>
            </w:r>
            <w:r w:rsidRPr="008E3C8D">
              <w:rPr>
                <w:b/>
                <w:sz w:val="20"/>
                <w:szCs w:val="22"/>
              </w:rPr>
              <w:t>its</w:t>
            </w:r>
          </w:p>
        </w:tc>
      </w:tr>
      <w:tr w:rsidR="000E44D0" w:rsidRPr="008E3C8D" w14:paraId="5D9BD8A2" w14:textId="5D365CF3" w:rsidTr="000C6174">
        <w:tc>
          <w:tcPr>
            <w:tcW w:w="3312" w:type="dxa"/>
          </w:tcPr>
          <w:p w14:paraId="30B65306" w14:textId="59222AB4" w:rsidR="000E44D0" w:rsidRPr="008E3C8D" w:rsidRDefault="000E44D0" w:rsidP="000C6174">
            <w:pPr>
              <w:pStyle w:val="eTRMBulletedText"/>
              <w:numPr>
                <w:ilvl w:val="0"/>
                <w:numId w:val="0"/>
              </w:numPr>
              <w:rPr>
                <w:sz w:val="20"/>
                <w:szCs w:val="22"/>
              </w:rPr>
            </w:pPr>
            <w:r w:rsidRPr="008E3C8D">
              <w:rPr>
                <w:sz w:val="20"/>
                <w:szCs w:val="22"/>
              </w:rPr>
              <w:t>Spacing Criteria from 1.0 to 2.0 in both the 0</w:t>
            </w:r>
            <w:r w:rsidR="000C6174" w:rsidRPr="008E3C8D">
              <w:rPr>
                <w:sz w:val="20"/>
                <w:szCs w:val="22"/>
              </w:rPr>
              <w:t>°</w:t>
            </w:r>
            <w:r w:rsidRPr="008E3C8D">
              <w:rPr>
                <w:sz w:val="20"/>
                <w:szCs w:val="22"/>
              </w:rPr>
              <w:t>-180° and 90</w:t>
            </w:r>
            <w:r w:rsidR="000C6174" w:rsidRPr="008E3C8D">
              <w:rPr>
                <w:sz w:val="20"/>
                <w:szCs w:val="22"/>
              </w:rPr>
              <w:t>°</w:t>
            </w:r>
            <w:r w:rsidRPr="008E3C8D">
              <w:rPr>
                <w:sz w:val="20"/>
                <w:szCs w:val="22"/>
              </w:rPr>
              <w:t>-270° directions</w:t>
            </w:r>
          </w:p>
        </w:tc>
        <w:tc>
          <w:tcPr>
            <w:tcW w:w="3312" w:type="dxa"/>
          </w:tcPr>
          <w:p w14:paraId="32D44E0E" w14:textId="32F88FA2" w:rsidR="000E44D0" w:rsidRPr="008E3C8D" w:rsidRDefault="000E44D0" w:rsidP="000C6174">
            <w:pPr>
              <w:pStyle w:val="eTRMBulletedText"/>
              <w:numPr>
                <w:ilvl w:val="0"/>
                <w:numId w:val="0"/>
              </w:numPr>
              <w:rPr>
                <w:sz w:val="20"/>
                <w:szCs w:val="22"/>
              </w:rPr>
            </w:pPr>
            <w:r w:rsidRPr="008E3C8D">
              <w:rPr>
                <w:sz w:val="20"/>
                <w:szCs w:val="22"/>
              </w:rPr>
              <w:t>≥ 80 Color Rendering Index (CRI)</w:t>
            </w:r>
          </w:p>
        </w:tc>
        <w:tc>
          <w:tcPr>
            <w:tcW w:w="3312" w:type="dxa"/>
          </w:tcPr>
          <w:p w14:paraId="0998C267" w14:textId="6F57CBB6" w:rsidR="000E44D0" w:rsidRPr="008E3C8D" w:rsidRDefault="000E44D0" w:rsidP="000C6174">
            <w:pPr>
              <w:pStyle w:val="eTRMBulletedText"/>
              <w:numPr>
                <w:ilvl w:val="0"/>
                <w:numId w:val="0"/>
              </w:numPr>
              <w:rPr>
                <w:sz w:val="20"/>
                <w:szCs w:val="22"/>
              </w:rPr>
            </w:pPr>
            <w:r w:rsidRPr="008E3C8D">
              <w:rPr>
                <w:sz w:val="20"/>
                <w:szCs w:val="22"/>
              </w:rPr>
              <w:t xml:space="preserve">≥40% of Lumen Output in the </w:t>
            </w:r>
            <w:r w:rsidR="000C6174" w:rsidRPr="008E3C8D">
              <w:rPr>
                <w:sz w:val="20"/>
                <w:szCs w:val="22"/>
              </w:rPr>
              <w:br/>
            </w:r>
            <w:r w:rsidRPr="008E3C8D">
              <w:rPr>
                <w:sz w:val="20"/>
                <w:szCs w:val="22"/>
              </w:rPr>
              <w:t>0</w:t>
            </w:r>
            <w:r w:rsidR="000C6174" w:rsidRPr="008E3C8D">
              <w:rPr>
                <w:sz w:val="20"/>
                <w:szCs w:val="22"/>
              </w:rPr>
              <w:t>°</w:t>
            </w:r>
            <w:r w:rsidRPr="008E3C8D">
              <w:rPr>
                <w:sz w:val="20"/>
                <w:szCs w:val="22"/>
              </w:rPr>
              <w:t xml:space="preserve">-60° zone </w:t>
            </w:r>
          </w:p>
        </w:tc>
      </w:tr>
      <w:tr w:rsidR="000E44D0" w:rsidRPr="008E3C8D" w14:paraId="2FB735CB" w14:textId="4466A104" w:rsidTr="000C6174">
        <w:tc>
          <w:tcPr>
            <w:tcW w:w="3312" w:type="dxa"/>
          </w:tcPr>
          <w:p w14:paraId="3ED29552" w14:textId="0ECD26D7" w:rsidR="000E44D0" w:rsidRPr="008E3C8D" w:rsidRDefault="000E44D0" w:rsidP="000C6174">
            <w:pPr>
              <w:pStyle w:val="eTRMBulletedText"/>
              <w:numPr>
                <w:ilvl w:val="0"/>
                <w:numId w:val="0"/>
              </w:numPr>
              <w:rPr>
                <w:sz w:val="20"/>
                <w:szCs w:val="22"/>
              </w:rPr>
            </w:pPr>
            <w:r w:rsidRPr="008E3C8D">
              <w:rPr>
                <w:sz w:val="20"/>
                <w:szCs w:val="22"/>
              </w:rPr>
              <w:t xml:space="preserve">≥75% of Lumen Output in the </w:t>
            </w:r>
            <w:r w:rsidR="000C6174" w:rsidRPr="008E3C8D">
              <w:rPr>
                <w:sz w:val="20"/>
                <w:szCs w:val="22"/>
              </w:rPr>
              <w:br/>
            </w:r>
            <w:r w:rsidRPr="008E3C8D">
              <w:rPr>
                <w:sz w:val="20"/>
                <w:szCs w:val="22"/>
              </w:rPr>
              <w:t>0</w:t>
            </w:r>
            <w:r w:rsidR="000C6174" w:rsidRPr="008E3C8D">
              <w:rPr>
                <w:sz w:val="20"/>
                <w:szCs w:val="22"/>
              </w:rPr>
              <w:t>°</w:t>
            </w:r>
            <w:r w:rsidRPr="008E3C8D">
              <w:rPr>
                <w:sz w:val="20"/>
                <w:szCs w:val="22"/>
              </w:rPr>
              <w:t>-60° zone</w:t>
            </w:r>
          </w:p>
        </w:tc>
        <w:tc>
          <w:tcPr>
            <w:tcW w:w="3312" w:type="dxa"/>
          </w:tcPr>
          <w:p w14:paraId="00F6B095" w14:textId="04AB0682" w:rsidR="000E44D0" w:rsidRPr="008E3C8D" w:rsidRDefault="000E44D0" w:rsidP="000C6174">
            <w:pPr>
              <w:pStyle w:val="eTRMBulletedText"/>
              <w:numPr>
                <w:ilvl w:val="0"/>
                <w:numId w:val="0"/>
              </w:numPr>
              <w:rPr>
                <w:sz w:val="20"/>
                <w:szCs w:val="22"/>
              </w:rPr>
            </w:pPr>
            <w:r w:rsidRPr="008E3C8D">
              <w:rPr>
                <w:sz w:val="20"/>
                <w:szCs w:val="22"/>
              </w:rPr>
              <w:t>≤ 5000 Kelvin Correlated Color Temperature (CCT)</w:t>
            </w:r>
          </w:p>
        </w:tc>
        <w:tc>
          <w:tcPr>
            <w:tcW w:w="3312" w:type="dxa"/>
          </w:tcPr>
          <w:p w14:paraId="303BE7C0" w14:textId="162EFB82" w:rsidR="000E44D0" w:rsidRPr="008E3C8D" w:rsidRDefault="000E44D0" w:rsidP="000C6174">
            <w:pPr>
              <w:pStyle w:val="eTRMBulletedText"/>
              <w:numPr>
                <w:ilvl w:val="0"/>
                <w:numId w:val="0"/>
              </w:numPr>
              <w:rPr>
                <w:sz w:val="20"/>
                <w:szCs w:val="22"/>
              </w:rPr>
            </w:pPr>
            <w:r w:rsidRPr="008E3C8D">
              <w:rPr>
                <w:sz w:val="20"/>
                <w:szCs w:val="22"/>
              </w:rPr>
              <w:t xml:space="preserve">≥35% of Lumen Output in the </w:t>
            </w:r>
            <w:r w:rsidR="000C6174" w:rsidRPr="008E3C8D">
              <w:rPr>
                <w:sz w:val="20"/>
                <w:szCs w:val="22"/>
              </w:rPr>
              <w:br/>
            </w:r>
            <w:r w:rsidRPr="008E3C8D">
              <w:rPr>
                <w:sz w:val="20"/>
                <w:szCs w:val="22"/>
              </w:rPr>
              <w:t>90</w:t>
            </w:r>
            <w:r w:rsidR="000C6174" w:rsidRPr="008E3C8D">
              <w:rPr>
                <w:sz w:val="20"/>
                <w:szCs w:val="22"/>
              </w:rPr>
              <w:t>°</w:t>
            </w:r>
            <w:r w:rsidRPr="008E3C8D">
              <w:rPr>
                <w:sz w:val="20"/>
                <w:szCs w:val="22"/>
              </w:rPr>
              <w:t xml:space="preserve">-150° zone </w:t>
            </w:r>
          </w:p>
        </w:tc>
      </w:tr>
    </w:tbl>
    <w:p w14:paraId="199E5B24" w14:textId="77777777" w:rsidR="008E7370" w:rsidRPr="00D358D1" w:rsidRDefault="008E7370" w:rsidP="002942B0">
      <w:pPr>
        <w:rPr>
          <w:szCs w:val="22"/>
        </w:rPr>
      </w:pPr>
    </w:p>
    <w:p w14:paraId="6B1B4081" w14:textId="77777777" w:rsidR="007B6A74" w:rsidRPr="00401C43" w:rsidRDefault="007B6A74" w:rsidP="00401C43">
      <w:pPr>
        <w:pStyle w:val="eTRMHeading5"/>
      </w:pPr>
      <w:r w:rsidRPr="00401C43">
        <w:t>Eligible Building Types</w:t>
      </w:r>
      <w:r w:rsidR="00E57AAD">
        <w:t xml:space="preserve"> and Vintages</w:t>
      </w:r>
    </w:p>
    <w:p w14:paraId="34E42F08" w14:textId="237AD942" w:rsidR="00902CED" w:rsidRDefault="00532A7E" w:rsidP="00571D95">
      <w:r>
        <w:t>This measure is applicable for all existing and new commercial, retail, and industrial facilities.</w:t>
      </w:r>
    </w:p>
    <w:p w14:paraId="3AED7598" w14:textId="77777777" w:rsidR="007C3707" w:rsidRPr="00571D95" w:rsidRDefault="007C3707" w:rsidP="00571D95"/>
    <w:p w14:paraId="30ED24C4" w14:textId="77777777" w:rsidR="007B6A74" w:rsidRPr="004B06E3" w:rsidRDefault="00196649" w:rsidP="00456C68">
      <w:pPr>
        <w:pStyle w:val="eTRMHeading5"/>
        <w:keepNext/>
        <w:keepLines/>
      </w:pPr>
      <w:r>
        <w:t>Eligible Climate Zones</w:t>
      </w:r>
    </w:p>
    <w:p w14:paraId="14A84B66" w14:textId="77777777" w:rsidR="004B6780" w:rsidRDefault="004B6780" w:rsidP="00456C68">
      <w:pPr>
        <w:keepNext/>
        <w:keepLines/>
      </w:pPr>
      <w:r>
        <w:t xml:space="preserve">This measure is applicable to </w:t>
      </w:r>
      <w:r w:rsidR="00BE7DE8">
        <w:t>any</w:t>
      </w:r>
      <w:r>
        <w:t xml:space="preserve"> California climate zones.</w:t>
      </w:r>
    </w:p>
    <w:p w14:paraId="17613384" w14:textId="77777777" w:rsidR="000E3FD0" w:rsidRDefault="000E3FD0" w:rsidP="00752D76">
      <w:bookmarkStart w:id="33" w:name="_Toc486490853"/>
      <w:bookmarkStart w:id="34" w:name="_Toc486580924"/>
    </w:p>
    <w:p w14:paraId="07020FEB" w14:textId="77777777" w:rsidR="007D230B" w:rsidRDefault="007D230B" w:rsidP="000E3FD0">
      <w:pPr>
        <w:pStyle w:val="eTRMHeading3"/>
      </w:pPr>
      <w:bookmarkStart w:id="35" w:name="_Toc12626362"/>
      <w:r w:rsidRPr="004B06E3">
        <w:t>Program Exclusions</w:t>
      </w:r>
      <w:bookmarkEnd w:id="33"/>
      <w:bookmarkEnd w:id="34"/>
      <w:bookmarkEnd w:id="35"/>
      <w:r w:rsidRPr="004B06E3">
        <w:t xml:space="preserve"> </w:t>
      </w:r>
    </w:p>
    <w:p w14:paraId="4ADB0A65" w14:textId="20C6BF22" w:rsidR="00B14642" w:rsidRDefault="00B14642" w:rsidP="007C3707">
      <w:r>
        <w:t>Products that are classified as “de-listed” on the DLC QPL are not eligible.</w:t>
      </w:r>
    </w:p>
    <w:p w14:paraId="09E9CA2D" w14:textId="651353CF" w:rsidR="00532A7E" w:rsidRDefault="00532A7E" w:rsidP="007C3707">
      <w:r w:rsidRPr="00392EE8">
        <w:t xml:space="preserve">Fixtures </w:t>
      </w:r>
      <w:r w:rsidR="00456C68">
        <w:t>in a DLC QPL “primary use designations” category that begins with “</w:t>
      </w:r>
      <w:r w:rsidRPr="00392EE8">
        <w:t>specialty</w:t>
      </w:r>
      <w:r w:rsidR="00456C68">
        <w:t>” are not eligible.</w:t>
      </w:r>
      <w:r w:rsidR="00B14642">
        <w:t xml:space="preserve"> </w:t>
      </w:r>
    </w:p>
    <w:p w14:paraId="68FDE07C" w14:textId="3097431F" w:rsidR="00532A7E" w:rsidRPr="00392EE8" w:rsidRDefault="00532A7E" w:rsidP="007C3707">
      <w:r w:rsidRPr="00392EE8">
        <w:t>Other fixture configurations, including LED troffer linear retrofit kits or external driver lamp-style</w:t>
      </w:r>
      <w:r>
        <w:t xml:space="preserve"> </w:t>
      </w:r>
      <w:r w:rsidRPr="00392EE8">
        <w:t>retrofit kits (U</w:t>
      </w:r>
      <w:r>
        <w:t>L Listing</w:t>
      </w:r>
      <w:r w:rsidRPr="00392EE8">
        <w:t xml:space="preserve"> Type C) do not qualify. </w:t>
      </w:r>
    </w:p>
    <w:p w14:paraId="6E99E177" w14:textId="1B387A09" w:rsidR="00532A7E" w:rsidRPr="00392EE8" w:rsidRDefault="00532A7E" w:rsidP="007C3707">
      <w:r w:rsidRPr="00392EE8">
        <w:t xml:space="preserve">Exterior or high/low-bay installations of these products do not qualify. </w:t>
      </w:r>
    </w:p>
    <w:p w14:paraId="206B8C11" w14:textId="35F6C132" w:rsidR="00532A7E" w:rsidRPr="00392EE8" w:rsidRDefault="00532A7E" w:rsidP="007C3707">
      <w:r w:rsidRPr="00392EE8">
        <w:t xml:space="preserve">Products in the </w:t>
      </w:r>
      <w:r>
        <w:t xml:space="preserve">“Eligible Products” </w:t>
      </w:r>
      <w:r w:rsidRPr="00392EE8">
        <w:t>categories</w:t>
      </w:r>
      <w:r>
        <w:t xml:space="preserve"> above, but </w:t>
      </w:r>
      <w:r w:rsidRPr="00392EE8">
        <w:t>less than</w:t>
      </w:r>
      <w:r>
        <w:t xml:space="preserve"> </w:t>
      </w:r>
      <w:r w:rsidRPr="00392EE8">
        <w:t>2,200 l</w:t>
      </w:r>
      <w:r>
        <w:t>u</w:t>
      </w:r>
      <w:r w:rsidRPr="00392EE8">
        <w:t>m</w:t>
      </w:r>
      <w:r>
        <w:t>ens or greater than 6,500 lumens</w:t>
      </w:r>
      <w:r w:rsidRPr="00392EE8">
        <w:t xml:space="preserve"> do not qualify</w:t>
      </w:r>
      <w:r w:rsidR="00456C68">
        <w:t xml:space="preserve">. </w:t>
      </w:r>
    </w:p>
    <w:p w14:paraId="58E92923" w14:textId="77777777" w:rsidR="00532A7E" w:rsidRPr="00392EE8" w:rsidRDefault="00532A7E" w:rsidP="007C3707">
      <w:r w:rsidRPr="00392EE8">
        <w:t xml:space="preserve">Screw-based lamps and linear replacement lamps do not qualify. </w:t>
      </w:r>
    </w:p>
    <w:p w14:paraId="03DC1011" w14:textId="505463A4" w:rsidR="00532A7E" w:rsidRPr="00392EE8" w:rsidRDefault="00532A7E" w:rsidP="007C3707"/>
    <w:p w14:paraId="056F9C53" w14:textId="77777777" w:rsidR="007D230B" w:rsidRPr="004B06E3" w:rsidRDefault="007D230B" w:rsidP="00462BB6">
      <w:pPr>
        <w:pStyle w:val="eTRMHeading3"/>
      </w:pPr>
      <w:bookmarkStart w:id="36" w:name="_Toc486490854"/>
      <w:bookmarkStart w:id="37" w:name="_Toc486580925"/>
      <w:bookmarkStart w:id="38" w:name="_Toc12626363"/>
      <w:r w:rsidRPr="004B06E3">
        <w:t>Data Collection Requirements</w:t>
      </w:r>
      <w:bookmarkEnd w:id="36"/>
      <w:bookmarkEnd w:id="37"/>
      <w:bookmarkEnd w:id="38"/>
      <w:r w:rsidRPr="004B06E3">
        <w:t xml:space="preserve"> </w:t>
      </w:r>
    </w:p>
    <w:p w14:paraId="6C554896" w14:textId="43DD6060" w:rsidR="002054D4" w:rsidRPr="00392C00" w:rsidRDefault="007C3707" w:rsidP="007C3707">
      <w:r>
        <w:t xml:space="preserve">Historically, the cost analysis of </w:t>
      </w:r>
      <w:r w:rsidR="002054D4" w:rsidRPr="0064565E">
        <w:t>LED deemed lighting measures</w:t>
      </w:r>
      <w:r>
        <w:t xml:space="preserve"> </w:t>
      </w:r>
      <w:r w:rsidR="002054D4" w:rsidRPr="0064565E">
        <w:t xml:space="preserve">assumed that measure costs have scaled with efficacy, therefore </w:t>
      </w:r>
      <w:r>
        <w:t>the</w:t>
      </w:r>
      <w:r w:rsidR="002054D4" w:rsidRPr="0064565E">
        <w:t xml:space="preserve"> finding that efficacy may not be a key price driver implies that further analysis should be conducted to consider how to incorporate other price drivers in measure design to encourage the adoption of higher degrees of efficiency.  </w:t>
      </w:r>
    </w:p>
    <w:p w14:paraId="2CE85276" w14:textId="77777777" w:rsidR="007C3707" w:rsidRDefault="007C3707" w:rsidP="007C3707">
      <w:r>
        <w:t>Additional data collection requirements are to be determined.</w:t>
      </w:r>
    </w:p>
    <w:p w14:paraId="2CFC0D21" w14:textId="77777777" w:rsidR="002054D4" w:rsidRPr="004B06E3" w:rsidRDefault="002054D4" w:rsidP="00E57786"/>
    <w:p w14:paraId="760810FD" w14:textId="77777777" w:rsidR="007D230B" w:rsidRDefault="007D230B" w:rsidP="004408A9">
      <w:pPr>
        <w:pStyle w:val="eTRMHeading3"/>
      </w:pPr>
      <w:bookmarkStart w:id="39" w:name="_Toc486490855"/>
      <w:bookmarkStart w:id="40" w:name="_Toc486580926"/>
      <w:bookmarkStart w:id="41" w:name="_Toc12626364"/>
      <w:r w:rsidRPr="004B06E3">
        <w:t>Use Category</w:t>
      </w:r>
      <w:bookmarkEnd w:id="39"/>
      <w:bookmarkEnd w:id="40"/>
      <w:bookmarkEnd w:id="41"/>
    </w:p>
    <w:p w14:paraId="2E80BFF5" w14:textId="77777777" w:rsidR="004142EF" w:rsidRDefault="004408A9" w:rsidP="004B06E3">
      <w:r>
        <w:t>Lighting</w:t>
      </w:r>
    </w:p>
    <w:p w14:paraId="1C50F232" w14:textId="77777777" w:rsidR="00752D76" w:rsidRPr="004B06E3" w:rsidRDefault="00752D76" w:rsidP="004B06E3"/>
    <w:p w14:paraId="70D08100" w14:textId="78CC2A17" w:rsidR="000777FA" w:rsidRDefault="000777FA" w:rsidP="000777FA">
      <w:pPr>
        <w:pStyle w:val="eTRMHeading3"/>
      </w:pPr>
      <w:bookmarkStart w:id="42" w:name="_Toc506890113"/>
      <w:bookmarkStart w:id="43" w:name="_Toc517178421"/>
      <w:bookmarkStart w:id="44" w:name="_Toc12626365"/>
      <w:bookmarkStart w:id="45" w:name="_Toc486490857"/>
      <w:bookmarkStart w:id="46" w:name="_Toc486580928"/>
      <w:r>
        <w:lastRenderedPageBreak/>
        <w:t>Electric Savings (</w:t>
      </w:r>
      <w:r>
        <w:rPr>
          <w:caps w:val="0"/>
        </w:rPr>
        <w:t>k</w:t>
      </w:r>
      <w:r>
        <w:t>W</w:t>
      </w:r>
      <w:r>
        <w:rPr>
          <w:caps w:val="0"/>
        </w:rPr>
        <w:t>h</w:t>
      </w:r>
      <w:r>
        <w:t>)</w:t>
      </w:r>
      <w:bookmarkEnd w:id="42"/>
      <w:bookmarkEnd w:id="43"/>
      <w:bookmarkEnd w:id="44"/>
    </w:p>
    <w:p w14:paraId="6C1FA6C9" w14:textId="2F478875" w:rsidR="00B75725" w:rsidRDefault="00B75725" w:rsidP="00B75725">
      <w:pPr>
        <w:rPr>
          <w:rStyle w:val="apple-converted-space"/>
        </w:rPr>
      </w:pPr>
      <w:r>
        <w:t xml:space="preserve">The calculation of annual electric unit energy savings (UES) of the LED </w:t>
      </w:r>
      <w:r w:rsidR="00F37793">
        <w:t xml:space="preserve">ambient measure </w:t>
      </w:r>
      <w:r>
        <w:t xml:space="preserve">is a function of the difference between the baseline and measure case lamp wattage, hours of operation, and interactive effects. </w:t>
      </w:r>
    </w:p>
    <w:p w14:paraId="154E6F8C" w14:textId="487198F3" w:rsidR="00B75725" w:rsidRPr="00A6479A" w:rsidRDefault="007F66A5" w:rsidP="00B75725">
      <w:pPr>
        <w:ind w:left="720" w:hanging="720"/>
        <w:rPr>
          <w:sz w:val="18"/>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kWh</m:t>
              </m:r>
            </m:sub>
          </m:sSub>
          <m:r>
            <w:rPr>
              <w:rFonts w:ascii="Cambria Math" w:hAnsi="Cambria Math"/>
              <w:sz w:val="18"/>
            </w:rPr>
            <m:t>=</m:t>
          </m:r>
          <m:f>
            <m:fPr>
              <m:ctrlPr>
                <w:rPr>
                  <w:rFonts w:ascii="Cambria Math" w:hAnsi="Cambria Math"/>
                  <w:i/>
                  <w:sz w:val="18"/>
                </w:rPr>
              </m:ctrlPr>
            </m:fPr>
            <m:num>
              <m:r>
                <w:rPr>
                  <w:rFonts w:ascii="Cambria Math" w:hAnsi="Cambria Math"/>
                  <w:sz w:val="18"/>
                </w:rPr>
                <m:t>∆W×HOURS×IE</m:t>
              </m:r>
            </m:num>
            <m:den>
              <m:r>
                <w:rPr>
                  <w:rFonts w:ascii="Cambria Math" w:hAnsi="Cambria Math"/>
                  <w:sz w:val="18"/>
                </w:rPr>
                <m:t>1,000 Wh / kWh</m:t>
              </m:r>
            </m:den>
          </m:f>
        </m:oMath>
      </m:oMathPara>
    </w:p>
    <w:p w14:paraId="7D1A1184" w14:textId="77777777" w:rsidR="00B75725" w:rsidRDefault="00B75725" w:rsidP="00B75725">
      <w:pPr>
        <w:pStyle w:val="Reminders"/>
        <w:ind w:left="1440"/>
        <w:rPr>
          <w:rFonts w:asciiTheme="minorHAnsi" w:hAnsiTheme="minorHAnsi" w:cstheme="minorHAnsi"/>
          <w:color w:val="191919" w:themeColor="text1"/>
          <w:szCs w:val="22"/>
        </w:rPr>
      </w:pPr>
    </w:p>
    <w:p w14:paraId="6C1EF5FA" w14:textId="6649F919" w:rsidR="00B75725" w:rsidRPr="00A6479A" w:rsidRDefault="00B75725" w:rsidP="007C3707">
      <w:pPr>
        <w:tabs>
          <w:tab w:val="left" w:pos="2880"/>
        </w:tabs>
        <w:spacing w:before="20" w:after="20"/>
        <w:ind w:left="1526"/>
        <w:rPr>
          <w:rFonts w:ascii="Cambria Math" w:hAnsi="Cambria Math"/>
          <w:i/>
          <w:sz w:val="18"/>
          <w:szCs w:val="18"/>
        </w:rPr>
      </w:pPr>
      <w:r w:rsidRPr="00A6479A">
        <w:rPr>
          <w:rFonts w:ascii="Cambria Math" w:hAnsi="Cambria Math"/>
          <w:i/>
          <w:sz w:val="18"/>
          <w:szCs w:val="18"/>
        </w:rPr>
        <w:t xml:space="preserve">UES = </w:t>
      </w:r>
      <w:r>
        <w:rPr>
          <w:rFonts w:ascii="Cambria Math" w:hAnsi="Cambria Math"/>
          <w:i/>
          <w:sz w:val="18"/>
          <w:szCs w:val="18"/>
        </w:rPr>
        <w:tab/>
      </w:r>
      <w:r w:rsidR="00532A7E">
        <w:rPr>
          <w:rFonts w:ascii="Cambria Math" w:hAnsi="Cambria Math"/>
          <w:i/>
          <w:sz w:val="18"/>
          <w:szCs w:val="18"/>
        </w:rPr>
        <w:t>Electric u</w:t>
      </w:r>
      <w:r w:rsidRPr="00A6479A">
        <w:rPr>
          <w:rFonts w:ascii="Cambria Math" w:hAnsi="Cambria Math"/>
          <w:i/>
          <w:sz w:val="18"/>
          <w:szCs w:val="18"/>
        </w:rPr>
        <w:t>nit energy savings (kWh)</w:t>
      </w:r>
    </w:p>
    <w:p w14:paraId="7ACF6FED" w14:textId="4DF9E013" w:rsidR="00B75725" w:rsidRPr="00A6479A" w:rsidRDefault="00B75725" w:rsidP="007C3707">
      <w:pPr>
        <w:tabs>
          <w:tab w:val="left" w:pos="2880"/>
        </w:tabs>
        <w:spacing w:before="20" w:after="20"/>
        <w:ind w:left="1526"/>
        <w:rPr>
          <w:rFonts w:ascii="Cambria Math" w:hAnsi="Cambria Math"/>
          <w:i/>
          <w:sz w:val="18"/>
          <w:szCs w:val="18"/>
        </w:rPr>
      </w:pPr>
      <w:r w:rsidRPr="00A6479A">
        <w:rPr>
          <w:rFonts w:ascii="Cambria Math" w:hAnsi="Cambria Math"/>
          <w:i/>
          <w:sz w:val="18"/>
          <w:szCs w:val="18"/>
        </w:rPr>
        <w:t>∆Watts/</w:t>
      </w:r>
      <w:proofErr w:type="spellStart"/>
      <w:r w:rsidR="00532A7E">
        <w:rPr>
          <w:rFonts w:ascii="Cambria Math" w:hAnsi="Cambria Math"/>
          <w:i/>
          <w:sz w:val="18"/>
          <w:szCs w:val="18"/>
        </w:rPr>
        <w:t>kLm</w:t>
      </w:r>
      <w:proofErr w:type="spellEnd"/>
      <w:r w:rsidRPr="00A6479A">
        <w:rPr>
          <w:rFonts w:ascii="Cambria Math" w:hAnsi="Cambria Math"/>
          <w:i/>
          <w:sz w:val="18"/>
          <w:szCs w:val="18"/>
        </w:rPr>
        <w:t xml:space="preserve"> = </w:t>
      </w:r>
      <w:r>
        <w:rPr>
          <w:rFonts w:ascii="Cambria Math" w:hAnsi="Cambria Math"/>
          <w:i/>
          <w:sz w:val="18"/>
          <w:szCs w:val="18"/>
        </w:rPr>
        <w:tab/>
      </w:r>
      <w:r w:rsidRPr="00A6479A">
        <w:rPr>
          <w:rFonts w:ascii="Cambria Math" w:hAnsi="Cambria Math"/>
          <w:i/>
          <w:sz w:val="18"/>
          <w:szCs w:val="18"/>
        </w:rPr>
        <w:t>(</w:t>
      </w:r>
      <w:r w:rsidR="006310F4">
        <w:rPr>
          <w:rFonts w:ascii="Cambria Math" w:hAnsi="Cambria Math"/>
          <w:i/>
          <w:sz w:val="18"/>
          <w:szCs w:val="18"/>
        </w:rPr>
        <w:t>Baseline</w:t>
      </w:r>
      <w:r w:rsidRPr="00A6479A">
        <w:rPr>
          <w:rFonts w:ascii="Cambria Math" w:hAnsi="Cambria Math"/>
          <w:i/>
          <w:sz w:val="18"/>
          <w:szCs w:val="18"/>
        </w:rPr>
        <w:t xml:space="preserve"> Average Watts per lamp) – (Measure Case Average Watts per lamp)</w:t>
      </w:r>
    </w:p>
    <w:p w14:paraId="0305DDE6" w14:textId="30E08AE6" w:rsidR="00B75725" w:rsidRPr="00A6479A" w:rsidRDefault="00B75725" w:rsidP="007C3707">
      <w:pPr>
        <w:tabs>
          <w:tab w:val="left" w:pos="2880"/>
        </w:tabs>
        <w:spacing w:before="20" w:after="20"/>
        <w:ind w:left="1526"/>
        <w:rPr>
          <w:rFonts w:ascii="Cambria Math" w:hAnsi="Cambria Math"/>
          <w:i/>
          <w:sz w:val="18"/>
          <w:szCs w:val="18"/>
        </w:rPr>
      </w:pPr>
      <w:r w:rsidRPr="00A6479A">
        <w:rPr>
          <w:rFonts w:ascii="Cambria Math" w:hAnsi="Cambria Math"/>
          <w:i/>
          <w:sz w:val="18"/>
          <w:szCs w:val="18"/>
        </w:rPr>
        <w:t xml:space="preserve">HOURS = </w:t>
      </w:r>
      <w:r w:rsidR="007C3707">
        <w:rPr>
          <w:rFonts w:ascii="Cambria Math" w:hAnsi="Cambria Math"/>
          <w:i/>
          <w:sz w:val="18"/>
          <w:szCs w:val="18"/>
        </w:rPr>
        <w:tab/>
      </w:r>
      <w:r w:rsidRPr="00A6479A">
        <w:rPr>
          <w:rFonts w:ascii="Cambria Math" w:hAnsi="Cambria Math"/>
          <w:i/>
          <w:sz w:val="18"/>
          <w:szCs w:val="18"/>
        </w:rPr>
        <w:t xml:space="preserve">Annual hours of </w:t>
      </w:r>
      <w:r w:rsidR="00532A7E">
        <w:rPr>
          <w:rFonts w:ascii="Cambria Math" w:hAnsi="Cambria Math"/>
          <w:i/>
          <w:sz w:val="18"/>
          <w:szCs w:val="18"/>
        </w:rPr>
        <w:t>operation</w:t>
      </w:r>
      <w:r w:rsidRPr="00A6479A">
        <w:rPr>
          <w:rFonts w:ascii="Cambria Math" w:hAnsi="Cambria Math"/>
          <w:i/>
          <w:sz w:val="18"/>
          <w:szCs w:val="18"/>
        </w:rPr>
        <w:t>, by building type/space</w:t>
      </w:r>
    </w:p>
    <w:p w14:paraId="131E6B58" w14:textId="1D2F0BB3" w:rsidR="00B75725" w:rsidRPr="00A6479A" w:rsidRDefault="00B75725" w:rsidP="007C3707">
      <w:pPr>
        <w:tabs>
          <w:tab w:val="left" w:pos="2880"/>
        </w:tabs>
        <w:spacing w:before="20" w:after="20"/>
        <w:ind w:left="1526"/>
        <w:rPr>
          <w:rFonts w:ascii="Cambria Math" w:hAnsi="Cambria Math"/>
          <w:i/>
          <w:sz w:val="18"/>
          <w:szCs w:val="18"/>
        </w:rPr>
      </w:pPr>
      <w:r w:rsidRPr="00A6479A">
        <w:rPr>
          <w:rFonts w:ascii="Cambria Math" w:hAnsi="Cambria Math"/>
          <w:i/>
          <w:sz w:val="18"/>
          <w:szCs w:val="18"/>
        </w:rPr>
        <w:t xml:space="preserve">IE = </w:t>
      </w:r>
      <w:r>
        <w:rPr>
          <w:rFonts w:ascii="Cambria Math" w:hAnsi="Cambria Math"/>
          <w:i/>
          <w:sz w:val="18"/>
          <w:szCs w:val="18"/>
        </w:rPr>
        <w:tab/>
      </w:r>
      <w:r w:rsidRPr="00A6479A">
        <w:rPr>
          <w:rFonts w:ascii="Cambria Math" w:hAnsi="Cambria Math"/>
          <w:i/>
          <w:sz w:val="18"/>
          <w:szCs w:val="18"/>
        </w:rPr>
        <w:t>Interactive Effects, by building type/space</w:t>
      </w:r>
    </w:p>
    <w:p w14:paraId="1108B796" w14:textId="77777777" w:rsidR="00B75725" w:rsidRDefault="00B75725" w:rsidP="00B75725">
      <w:pPr>
        <w:pStyle w:val="Reminders"/>
        <w:rPr>
          <w:rFonts w:asciiTheme="minorHAnsi" w:hAnsiTheme="minorHAnsi" w:cstheme="minorHAnsi"/>
          <w:i w:val="0"/>
          <w:color w:val="auto"/>
          <w:szCs w:val="22"/>
        </w:rPr>
      </w:pPr>
    </w:p>
    <w:p w14:paraId="6D72C7E1" w14:textId="77777777" w:rsidR="006E061D" w:rsidRDefault="006E061D" w:rsidP="006E061D">
      <w:r>
        <w:t>The resultant e</w:t>
      </w:r>
      <w:r w:rsidRPr="00E64ED0">
        <w:t>nergy savings vary by market sector and building type</w:t>
      </w:r>
      <w:r>
        <w:t xml:space="preserve">, due to </w:t>
      </w:r>
      <w:r w:rsidRPr="00E64ED0">
        <w:t>operating hours and interactive effect</w:t>
      </w:r>
      <w:r>
        <w:t>s that vary by building type and sector</w:t>
      </w:r>
      <w:r w:rsidRPr="00E64ED0">
        <w:t xml:space="preserve">. </w:t>
      </w:r>
    </w:p>
    <w:p w14:paraId="74BBDA5B" w14:textId="664ACAA4" w:rsidR="00321D93" w:rsidRDefault="00B75725" w:rsidP="00312480">
      <w:r>
        <w:t>The inputs to the UES calculation</w:t>
      </w:r>
      <w:r w:rsidR="00F37793">
        <w:rPr>
          <w:rStyle w:val="FootnoteReference"/>
        </w:rPr>
        <w:footnoteReference w:id="17"/>
      </w:r>
      <w:r>
        <w:t xml:space="preserve"> are explained below.</w:t>
      </w:r>
      <w:r w:rsidR="00356315">
        <w:t xml:space="preserve"> </w:t>
      </w:r>
      <w:bookmarkEnd w:id="45"/>
      <w:bookmarkEnd w:id="46"/>
    </w:p>
    <w:p w14:paraId="63669FA5" w14:textId="77777777" w:rsidR="004A3154" w:rsidRDefault="004A3154" w:rsidP="004A3154">
      <w:pPr>
        <w:pStyle w:val="Default"/>
        <w:rPr>
          <w:rFonts w:ascii="Calibri Light" w:hAnsi="Calibri Light"/>
          <w:sz w:val="22"/>
          <w:szCs w:val="22"/>
        </w:rPr>
      </w:pPr>
    </w:p>
    <w:p w14:paraId="333DF010" w14:textId="4333408E" w:rsidR="005C55CA" w:rsidRDefault="004A3154" w:rsidP="005C55CA">
      <w:pPr>
        <w:rPr>
          <w:bCs/>
          <w:szCs w:val="20"/>
        </w:rPr>
      </w:pPr>
      <w:r w:rsidRPr="00752D76">
        <w:rPr>
          <w:rFonts w:cs="Times New Roman"/>
          <w:b/>
          <w:bCs/>
        </w:rPr>
        <w:t>Delta Watt</w:t>
      </w:r>
      <w:r w:rsidR="00F22B6D">
        <w:rPr>
          <w:rFonts w:cs="Times New Roman"/>
          <w:b/>
          <w:bCs/>
        </w:rPr>
        <w:t>s.</w:t>
      </w:r>
      <w:r w:rsidRPr="00752D76">
        <w:rPr>
          <w:rFonts w:cs="Times New Roman"/>
          <w:b/>
          <w:bCs/>
        </w:rPr>
        <w:t xml:space="preserve"> (ΔW)</w:t>
      </w:r>
      <w:r w:rsidR="00312480">
        <w:rPr>
          <w:rFonts w:cs="Times New Roman"/>
          <w:b/>
          <w:bCs/>
        </w:rPr>
        <w:t xml:space="preserve">. </w:t>
      </w:r>
      <w:r w:rsidR="00F22B6D" w:rsidRPr="00BD05BC">
        <w:t xml:space="preserve">The lighting wattage difference (Watts per </w:t>
      </w:r>
      <w:r w:rsidR="007105C1">
        <w:t>kilolumen</w:t>
      </w:r>
      <w:r w:rsidR="00F22B6D" w:rsidRPr="00BD05BC">
        <w:t xml:space="preserve">) </w:t>
      </w:r>
      <w:r w:rsidR="00F22B6D">
        <w:t>was calculated as</w:t>
      </w:r>
      <w:r w:rsidR="00F22B6D" w:rsidRPr="00BD05BC">
        <w:t xml:space="preserve"> the difference between the </w:t>
      </w:r>
      <w:r w:rsidR="00F22B6D">
        <w:t xml:space="preserve">baseline and measure case average watts per </w:t>
      </w:r>
      <w:r w:rsidR="007C3707">
        <w:t>kilolumen</w:t>
      </w:r>
      <w:r w:rsidR="00F22B6D">
        <w:t>, defined below</w:t>
      </w:r>
      <w:r w:rsidR="00F22B6D" w:rsidRPr="00BD05BC">
        <w:t>.</w:t>
      </w:r>
      <w:r w:rsidR="00020534" w:rsidRPr="00020534">
        <w:rPr>
          <w:bCs/>
          <w:szCs w:val="20"/>
        </w:rPr>
        <w:t xml:space="preserve"> </w:t>
      </w:r>
    </w:p>
    <w:p w14:paraId="5E52511B" w14:textId="5EB079CF" w:rsidR="00020534" w:rsidRPr="008C7B7F" w:rsidRDefault="00020534" w:rsidP="00674C51">
      <w:pPr>
        <w:pStyle w:val="Caption"/>
      </w:pPr>
      <w:r w:rsidRPr="008C7B7F">
        <w:t>Base</w:t>
      </w:r>
      <w:r>
        <w:t>line</w:t>
      </w:r>
      <w:r w:rsidRPr="008C7B7F">
        <w:t xml:space="preserve"> and Measure </w:t>
      </w:r>
      <w:r>
        <w:t xml:space="preserve">Case </w:t>
      </w:r>
      <w:r w:rsidRPr="008C7B7F">
        <w:t xml:space="preserve">Wattages </w:t>
      </w:r>
      <w:r>
        <w:t xml:space="preserve">for </w:t>
      </w:r>
      <w:r w:rsidRPr="008C7B7F">
        <w:t xml:space="preserve">LED Ambient Commercial Fixtures &amp; Retrofit Kits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5040"/>
        <w:gridCol w:w="1440"/>
        <w:gridCol w:w="1440"/>
        <w:gridCol w:w="1440"/>
      </w:tblGrid>
      <w:tr w:rsidR="00020534" w:rsidRPr="008C7B7F" w14:paraId="3C13CC4A" w14:textId="77777777" w:rsidTr="00D2022C">
        <w:trPr>
          <w:trHeight w:val="668"/>
          <w:tblHeader/>
        </w:trPr>
        <w:tc>
          <w:tcPr>
            <w:tcW w:w="5040" w:type="dxa"/>
            <w:shd w:val="clear" w:color="auto" w:fill="F2F2F2" w:themeFill="background1" w:themeFillShade="F2"/>
            <w:vAlign w:val="bottom"/>
          </w:tcPr>
          <w:p w14:paraId="16FE6934" w14:textId="77777777" w:rsidR="00020534" w:rsidRPr="008C7B7F" w:rsidRDefault="00020534" w:rsidP="00C66ECF">
            <w:pPr>
              <w:autoSpaceDE w:val="0"/>
              <w:autoSpaceDN w:val="0"/>
              <w:adjustRightInd w:val="0"/>
              <w:spacing w:before="0" w:after="0" w:line="240" w:lineRule="auto"/>
              <w:jc w:val="center"/>
              <w:rPr>
                <w:rFonts w:cs="Arial"/>
                <w:color w:val="000000"/>
                <w:sz w:val="20"/>
                <w:szCs w:val="20"/>
              </w:rPr>
            </w:pPr>
            <w:r w:rsidRPr="008C7B7F">
              <w:rPr>
                <w:rFonts w:cs="Arial"/>
                <w:b/>
                <w:bCs/>
                <w:color w:val="000000"/>
                <w:sz w:val="20"/>
                <w:szCs w:val="20"/>
              </w:rPr>
              <w:t xml:space="preserve">Measure </w:t>
            </w:r>
            <w:r>
              <w:rPr>
                <w:rFonts w:cs="Arial"/>
                <w:b/>
                <w:bCs/>
                <w:color w:val="000000"/>
                <w:sz w:val="20"/>
                <w:szCs w:val="20"/>
              </w:rPr>
              <w:t>Case Description</w:t>
            </w:r>
          </w:p>
        </w:tc>
        <w:tc>
          <w:tcPr>
            <w:tcW w:w="1440" w:type="dxa"/>
            <w:shd w:val="clear" w:color="auto" w:fill="F2F2F2" w:themeFill="background1" w:themeFillShade="F2"/>
            <w:vAlign w:val="bottom"/>
          </w:tcPr>
          <w:p w14:paraId="3916B50D" w14:textId="77777777" w:rsidR="00020534" w:rsidRPr="008C7B7F" w:rsidRDefault="00020534" w:rsidP="00C66ECF">
            <w:pPr>
              <w:autoSpaceDE w:val="0"/>
              <w:autoSpaceDN w:val="0"/>
              <w:adjustRightInd w:val="0"/>
              <w:spacing w:before="0" w:after="0" w:line="240" w:lineRule="auto"/>
              <w:jc w:val="center"/>
              <w:rPr>
                <w:rFonts w:cs="Times New Roman"/>
                <w:color w:val="000000"/>
                <w:sz w:val="20"/>
                <w:szCs w:val="20"/>
              </w:rPr>
            </w:pPr>
            <w:r>
              <w:rPr>
                <w:rFonts w:cs="Arial"/>
                <w:b/>
                <w:bCs/>
                <w:color w:val="000000"/>
                <w:sz w:val="20"/>
                <w:szCs w:val="20"/>
              </w:rPr>
              <w:t>Baseline</w:t>
            </w:r>
            <w:r w:rsidRPr="008C7B7F">
              <w:rPr>
                <w:rFonts w:cs="Arial"/>
                <w:b/>
                <w:bCs/>
                <w:color w:val="000000"/>
                <w:sz w:val="20"/>
                <w:szCs w:val="20"/>
              </w:rPr>
              <w:t xml:space="preserve"> </w:t>
            </w:r>
            <w:r>
              <w:rPr>
                <w:rFonts w:cs="Arial"/>
                <w:b/>
                <w:bCs/>
                <w:color w:val="000000"/>
                <w:sz w:val="20"/>
                <w:szCs w:val="20"/>
              </w:rPr>
              <w:br/>
              <w:t>W</w:t>
            </w:r>
            <w:r w:rsidRPr="008C7B7F">
              <w:rPr>
                <w:rFonts w:cs="Arial"/>
                <w:b/>
                <w:bCs/>
                <w:color w:val="000000"/>
                <w:sz w:val="20"/>
                <w:szCs w:val="20"/>
              </w:rPr>
              <w:t>attage</w:t>
            </w:r>
            <w:r>
              <w:rPr>
                <w:rFonts w:cs="Arial"/>
                <w:b/>
                <w:bCs/>
                <w:color w:val="000000"/>
                <w:sz w:val="20"/>
                <w:szCs w:val="20"/>
              </w:rPr>
              <w:t xml:space="preserve"> (W/</w:t>
            </w:r>
            <w:proofErr w:type="spellStart"/>
            <w:r>
              <w:rPr>
                <w:rFonts w:cs="Arial"/>
                <w:b/>
                <w:bCs/>
                <w:color w:val="000000"/>
                <w:sz w:val="20"/>
                <w:szCs w:val="20"/>
              </w:rPr>
              <w:t>kLm</w:t>
            </w:r>
            <w:proofErr w:type="spellEnd"/>
            <w:r>
              <w:rPr>
                <w:rFonts w:cs="Arial"/>
                <w:b/>
                <w:bCs/>
                <w:color w:val="000000"/>
                <w:sz w:val="20"/>
                <w:szCs w:val="20"/>
              </w:rPr>
              <w:t xml:space="preserve">) </w:t>
            </w:r>
          </w:p>
        </w:tc>
        <w:tc>
          <w:tcPr>
            <w:tcW w:w="1440" w:type="dxa"/>
            <w:shd w:val="clear" w:color="auto" w:fill="F2F2F2" w:themeFill="background1" w:themeFillShade="F2"/>
            <w:vAlign w:val="bottom"/>
          </w:tcPr>
          <w:p w14:paraId="372C804D" w14:textId="77777777" w:rsidR="00020534" w:rsidRPr="008C7B7F" w:rsidRDefault="00020534" w:rsidP="00C66ECF">
            <w:pPr>
              <w:autoSpaceDE w:val="0"/>
              <w:autoSpaceDN w:val="0"/>
              <w:adjustRightInd w:val="0"/>
              <w:spacing w:before="0" w:after="0" w:line="240" w:lineRule="auto"/>
              <w:jc w:val="center"/>
              <w:rPr>
                <w:rFonts w:cs="Times New Roman"/>
                <w:color w:val="000000"/>
                <w:sz w:val="20"/>
                <w:szCs w:val="20"/>
              </w:rPr>
            </w:pPr>
            <w:r w:rsidRPr="008C7B7F">
              <w:rPr>
                <w:rFonts w:cs="Arial"/>
                <w:b/>
                <w:bCs/>
                <w:color w:val="000000"/>
                <w:sz w:val="20"/>
                <w:szCs w:val="20"/>
              </w:rPr>
              <w:t xml:space="preserve">Measure Case </w:t>
            </w:r>
            <w:r>
              <w:rPr>
                <w:rFonts w:cs="Arial"/>
                <w:b/>
                <w:bCs/>
                <w:color w:val="000000"/>
                <w:sz w:val="20"/>
                <w:szCs w:val="20"/>
              </w:rPr>
              <w:br/>
            </w:r>
            <w:r w:rsidRPr="008C7B7F">
              <w:rPr>
                <w:rFonts w:cs="Arial"/>
                <w:b/>
                <w:bCs/>
                <w:color w:val="000000"/>
                <w:sz w:val="20"/>
                <w:szCs w:val="20"/>
              </w:rPr>
              <w:t xml:space="preserve">LED </w:t>
            </w:r>
            <w:r>
              <w:rPr>
                <w:rFonts w:cs="Arial"/>
                <w:b/>
                <w:bCs/>
                <w:color w:val="000000"/>
                <w:sz w:val="20"/>
                <w:szCs w:val="20"/>
              </w:rPr>
              <w:t>Wattage (W/</w:t>
            </w:r>
            <w:proofErr w:type="spellStart"/>
            <w:r>
              <w:rPr>
                <w:rFonts w:cs="Arial"/>
                <w:b/>
                <w:bCs/>
                <w:color w:val="000000"/>
                <w:sz w:val="20"/>
                <w:szCs w:val="20"/>
              </w:rPr>
              <w:t>kLm</w:t>
            </w:r>
            <w:proofErr w:type="spellEnd"/>
            <w:r>
              <w:rPr>
                <w:rFonts w:cs="Arial"/>
                <w:b/>
                <w:bCs/>
                <w:color w:val="000000"/>
                <w:sz w:val="20"/>
                <w:szCs w:val="20"/>
              </w:rPr>
              <w:t>)</w:t>
            </w:r>
          </w:p>
        </w:tc>
        <w:tc>
          <w:tcPr>
            <w:tcW w:w="1440" w:type="dxa"/>
            <w:shd w:val="clear" w:color="auto" w:fill="F2F2F2" w:themeFill="background1" w:themeFillShade="F2"/>
            <w:vAlign w:val="bottom"/>
          </w:tcPr>
          <w:p w14:paraId="4142D5E0" w14:textId="77777777" w:rsidR="00020534" w:rsidRPr="008C7B7F" w:rsidRDefault="00020534" w:rsidP="00C66ECF">
            <w:pPr>
              <w:autoSpaceDE w:val="0"/>
              <w:autoSpaceDN w:val="0"/>
              <w:adjustRightInd w:val="0"/>
              <w:spacing w:before="0" w:after="0" w:line="240" w:lineRule="auto"/>
              <w:jc w:val="center"/>
              <w:rPr>
                <w:rFonts w:cs="Arial"/>
                <w:color w:val="000000"/>
                <w:sz w:val="20"/>
                <w:szCs w:val="20"/>
              </w:rPr>
            </w:pPr>
            <w:r>
              <w:rPr>
                <w:rFonts w:cs="Arial"/>
                <w:b/>
                <w:bCs/>
                <w:color w:val="000000"/>
                <w:sz w:val="20"/>
                <w:szCs w:val="20"/>
              </w:rPr>
              <w:br/>
            </w:r>
            <w:r w:rsidRPr="008C7B7F">
              <w:rPr>
                <w:rFonts w:cs="Arial"/>
                <w:b/>
                <w:bCs/>
                <w:color w:val="000000"/>
                <w:sz w:val="20"/>
                <w:szCs w:val="20"/>
              </w:rPr>
              <w:t>Delta</w:t>
            </w:r>
            <w:r>
              <w:rPr>
                <w:rFonts w:cs="Arial"/>
                <w:b/>
                <w:bCs/>
                <w:color w:val="000000"/>
                <w:sz w:val="20"/>
                <w:szCs w:val="20"/>
              </w:rPr>
              <w:br/>
              <w:t>(W/</w:t>
            </w:r>
            <w:proofErr w:type="spellStart"/>
            <w:r>
              <w:rPr>
                <w:rFonts w:cs="Arial"/>
                <w:b/>
                <w:bCs/>
                <w:color w:val="000000"/>
                <w:sz w:val="20"/>
                <w:szCs w:val="20"/>
              </w:rPr>
              <w:t>kLm</w:t>
            </w:r>
            <w:proofErr w:type="spellEnd"/>
            <w:r>
              <w:rPr>
                <w:rFonts w:cs="Arial"/>
                <w:b/>
                <w:bCs/>
                <w:color w:val="000000"/>
                <w:sz w:val="20"/>
                <w:szCs w:val="20"/>
              </w:rPr>
              <w:t>)</w:t>
            </w:r>
          </w:p>
        </w:tc>
      </w:tr>
      <w:tr w:rsidR="00020534" w:rsidRPr="008E3C8D" w14:paraId="12738AB4" w14:textId="77777777" w:rsidTr="00C66ECF">
        <w:trPr>
          <w:trHeight w:val="323"/>
        </w:trPr>
        <w:tc>
          <w:tcPr>
            <w:tcW w:w="5040" w:type="dxa"/>
            <w:vAlign w:val="center"/>
          </w:tcPr>
          <w:p w14:paraId="5E910B85" w14:textId="77777777" w:rsidR="00020534" w:rsidRPr="008E3C8D" w:rsidRDefault="00020534" w:rsidP="00C66ECF">
            <w:pPr>
              <w:autoSpaceDE w:val="0"/>
              <w:autoSpaceDN w:val="0"/>
              <w:adjustRightInd w:val="0"/>
              <w:spacing w:before="0" w:after="0" w:line="240" w:lineRule="auto"/>
              <w:rPr>
                <w:rFonts w:cs="Times New Roman"/>
                <w:sz w:val="20"/>
                <w:szCs w:val="20"/>
              </w:rPr>
            </w:pPr>
            <w:r w:rsidRPr="008E3C8D">
              <w:rPr>
                <w:rFonts w:cs="Arial"/>
                <w:sz w:val="20"/>
                <w:szCs w:val="20"/>
              </w:rPr>
              <w:t>LED Luminaire/Retrofit Kit rated ≥125 and &lt;140 LPW</w:t>
            </w:r>
          </w:p>
        </w:tc>
        <w:tc>
          <w:tcPr>
            <w:tcW w:w="1440" w:type="dxa"/>
            <w:vAlign w:val="center"/>
          </w:tcPr>
          <w:p w14:paraId="7D73E8F2"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10.6</w:t>
            </w:r>
          </w:p>
        </w:tc>
        <w:tc>
          <w:tcPr>
            <w:tcW w:w="1440" w:type="dxa"/>
            <w:vAlign w:val="center"/>
          </w:tcPr>
          <w:p w14:paraId="62BC80E0"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8.0</w:t>
            </w:r>
          </w:p>
        </w:tc>
        <w:tc>
          <w:tcPr>
            <w:tcW w:w="1440" w:type="dxa"/>
            <w:vAlign w:val="center"/>
          </w:tcPr>
          <w:p w14:paraId="74A9000B"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2.6</w:t>
            </w:r>
          </w:p>
        </w:tc>
      </w:tr>
      <w:tr w:rsidR="00020534" w:rsidRPr="008E3C8D" w14:paraId="5C172F56" w14:textId="77777777" w:rsidTr="00C66ECF">
        <w:trPr>
          <w:trHeight w:val="322"/>
        </w:trPr>
        <w:tc>
          <w:tcPr>
            <w:tcW w:w="5040" w:type="dxa"/>
            <w:vAlign w:val="center"/>
          </w:tcPr>
          <w:p w14:paraId="759CD3A9" w14:textId="77777777" w:rsidR="00020534" w:rsidRPr="008E3C8D" w:rsidRDefault="00020534" w:rsidP="00C66ECF">
            <w:pPr>
              <w:autoSpaceDE w:val="0"/>
              <w:autoSpaceDN w:val="0"/>
              <w:adjustRightInd w:val="0"/>
              <w:spacing w:before="0" w:after="0" w:line="240" w:lineRule="auto"/>
              <w:rPr>
                <w:rFonts w:cs="Times New Roman"/>
                <w:sz w:val="20"/>
                <w:szCs w:val="20"/>
              </w:rPr>
            </w:pPr>
            <w:r w:rsidRPr="008E3C8D">
              <w:rPr>
                <w:rFonts w:cs="Arial"/>
                <w:sz w:val="20"/>
                <w:szCs w:val="20"/>
              </w:rPr>
              <w:t>LED Luminaire/Retrofit Kit rated ≥140 LPW</w:t>
            </w:r>
          </w:p>
        </w:tc>
        <w:tc>
          <w:tcPr>
            <w:tcW w:w="1440" w:type="dxa"/>
            <w:vAlign w:val="center"/>
          </w:tcPr>
          <w:p w14:paraId="1C70E40C"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10.6</w:t>
            </w:r>
          </w:p>
        </w:tc>
        <w:tc>
          <w:tcPr>
            <w:tcW w:w="1440" w:type="dxa"/>
            <w:vAlign w:val="center"/>
          </w:tcPr>
          <w:p w14:paraId="31E95855"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7.1</w:t>
            </w:r>
          </w:p>
        </w:tc>
        <w:tc>
          <w:tcPr>
            <w:tcW w:w="1440" w:type="dxa"/>
            <w:vAlign w:val="center"/>
          </w:tcPr>
          <w:p w14:paraId="5FEE82A7"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3.4</w:t>
            </w:r>
          </w:p>
        </w:tc>
      </w:tr>
      <w:tr w:rsidR="00020534" w:rsidRPr="008E3C8D" w14:paraId="3D576B8F" w14:textId="77777777" w:rsidTr="00C66ECF">
        <w:trPr>
          <w:trHeight w:val="322"/>
        </w:trPr>
        <w:tc>
          <w:tcPr>
            <w:tcW w:w="5040" w:type="dxa"/>
            <w:vAlign w:val="center"/>
          </w:tcPr>
          <w:p w14:paraId="007FDAF3" w14:textId="77777777" w:rsidR="00020534" w:rsidRPr="008E3C8D" w:rsidRDefault="00020534" w:rsidP="00C66ECF">
            <w:pPr>
              <w:autoSpaceDE w:val="0"/>
              <w:autoSpaceDN w:val="0"/>
              <w:adjustRightInd w:val="0"/>
              <w:spacing w:before="0" w:after="0" w:line="240" w:lineRule="auto"/>
              <w:rPr>
                <w:rFonts w:cs="Arial"/>
                <w:sz w:val="20"/>
                <w:szCs w:val="20"/>
              </w:rPr>
            </w:pPr>
            <w:r w:rsidRPr="008E3C8D">
              <w:rPr>
                <w:rFonts w:cs="Arial"/>
                <w:sz w:val="20"/>
                <w:szCs w:val="20"/>
              </w:rPr>
              <w:t>LED Linear Ambient Luminaire/Retrofit Kit rated ≥125 and &lt;140 LPW</w:t>
            </w:r>
          </w:p>
        </w:tc>
        <w:tc>
          <w:tcPr>
            <w:tcW w:w="1440" w:type="dxa"/>
            <w:vAlign w:val="center"/>
          </w:tcPr>
          <w:p w14:paraId="43FF548C" w14:textId="77777777" w:rsidR="00020534" w:rsidRPr="008E3C8D" w:rsidDel="00544779"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10.6</w:t>
            </w:r>
          </w:p>
        </w:tc>
        <w:tc>
          <w:tcPr>
            <w:tcW w:w="1440" w:type="dxa"/>
            <w:vAlign w:val="center"/>
          </w:tcPr>
          <w:p w14:paraId="355B6883"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8.0</w:t>
            </w:r>
          </w:p>
        </w:tc>
        <w:tc>
          <w:tcPr>
            <w:tcW w:w="1440" w:type="dxa"/>
            <w:vAlign w:val="center"/>
          </w:tcPr>
          <w:p w14:paraId="0EC52CE1" w14:textId="77777777" w:rsidR="00020534" w:rsidRPr="008E3C8D" w:rsidDel="00544779"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2.6</w:t>
            </w:r>
          </w:p>
        </w:tc>
      </w:tr>
      <w:tr w:rsidR="00020534" w:rsidRPr="008E3C8D" w14:paraId="5CA00F7F" w14:textId="77777777" w:rsidTr="00C66ECF">
        <w:trPr>
          <w:trHeight w:val="322"/>
        </w:trPr>
        <w:tc>
          <w:tcPr>
            <w:tcW w:w="5040" w:type="dxa"/>
            <w:vAlign w:val="center"/>
          </w:tcPr>
          <w:p w14:paraId="5DC63326" w14:textId="77777777" w:rsidR="00020534" w:rsidRPr="008E3C8D" w:rsidRDefault="00020534" w:rsidP="00C66ECF">
            <w:pPr>
              <w:autoSpaceDE w:val="0"/>
              <w:autoSpaceDN w:val="0"/>
              <w:adjustRightInd w:val="0"/>
              <w:spacing w:before="0" w:after="0" w:line="240" w:lineRule="auto"/>
              <w:rPr>
                <w:rFonts w:cs="Arial"/>
                <w:sz w:val="20"/>
                <w:szCs w:val="20"/>
              </w:rPr>
            </w:pPr>
            <w:r w:rsidRPr="008E3C8D">
              <w:rPr>
                <w:rFonts w:cs="Arial"/>
                <w:sz w:val="20"/>
                <w:szCs w:val="20"/>
              </w:rPr>
              <w:t>LED Linear Ambient Luminaire/Retrofit Kit rated ≥140 LPW</w:t>
            </w:r>
          </w:p>
        </w:tc>
        <w:tc>
          <w:tcPr>
            <w:tcW w:w="1440" w:type="dxa"/>
            <w:vAlign w:val="center"/>
          </w:tcPr>
          <w:p w14:paraId="17A52FB8" w14:textId="77777777" w:rsidR="00020534" w:rsidRPr="008E3C8D" w:rsidDel="00544779"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10.6</w:t>
            </w:r>
          </w:p>
        </w:tc>
        <w:tc>
          <w:tcPr>
            <w:tcW w:w="1440" w:type="dxa"/>
            <w:vAlign w:val="center"/>
          </w:tcPr>
          <w:p w14:paraId="37246370" w14:textId="77777777" w:rsidR="00020534" w:rsidRPr="008E3C8D"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7.1</w:t>
            </w:r>
          </w:p>
        </w:tc>
        <w:tc>
          <w:tcPr>
            <w:tcW w:w="1440" w:type="dxa"/>
            <w:vAlign w:val="center"/>
          </w:tcPr>
          <w:p w14:paraId="0A077F01" w14:textId="77777777" w:rsidR="00020534" w:rsidRPr="008E3C8D" w:rsidDel="00544779" w:rsidRDefault="00020534" w:rsidP="00C66ECF">
            <w:pPr>
              <w:autoSpaceDE w:val="0"/>
              <w:autoSpaceDN w:val="0"/>
              <w:adjustRightInd w:val="0"/>
              <w:spacing w:before="0" w:after="0" w:line="240" w:lineRule="auto"/>
              <w:jc w:val="center"/>
              <w:rPr>
                <w:rFonts w:cs="Arial"/>
                <w:sz w:val="20"/>
                <w:szCs w:val="20"/>
              </w:rPr>
            </w:pPr>
            <w:r w:rsidRPr="008E3C8D">
              <w:rPr>
                <w:rFonts w:cs="Arial"/>
                <w:sz w:val="20"/>
                <w:szCs w:val="20"/>
              </w:rPr>
              <w:t>3.4</w:t>
            </w:r>
          </w:p>
        </w:tc>
      </w:tr>
    </w:tbl>
    <w:p w14:paraId="0960B6D2" w14:textId="38C3D292" w:rsidR="00020534" w:rsidRDefault="00020534" w:rsidP="00312480">
      <w:pPr>
        <w:rPr>
          <w:rFonts w:cs="Times New Roman"/>
          <w:b/>
          <w:bCs/>
          <w:szCs w:val="22"/>
        </w:rPr>
      </w:pPr>
    </w:p>
    <w:p w14:paraId="6F408845" w14:textId="15420952" w:rsidR="00615BE1" w:rsidRPr="00CD0C06" w:rsidRDefault="00615BE1" w:rsidP="00615BE1">
      <w:r w:rsidRPr="00CD0C06">
        <w:t xml:space="preserve">The </w:t>
      </w:r>
      <w:r w:rsidRPr="0024226C">
        <w:rPr>
          <w:i/>
        </w:rPr>
        <w:t>normal replacement</w:t>
      </w:r>
      <w:r w:rsidRPr="00CD0C06">
        <w:t xml:space="preserve"> scenario baseline is 100% LED: 33% TLED and 67% LED new luminaire or retrofit kit. </w:t>
      </w:r>
      <w:r w:rsidR="007105C1">
        <w:t>Therefore, t</w:t>
      </w:r>
      <w:r w:rsidRPr="00CD0C06">
        <w:t xml:space="preserve">he </w:t>
      </w:r>
      <w:r w:rsidR="007105C1">
        <w:t xml:space="preserve">lighting wattage difference is calculated </w:t>
      </w:r>
      <w:r w:rsidRPr="00CD0C06">
        <w:t>as follows:</w:t>
      </w:r>
    </w:p>
    <w:p w14:paraId="79F60F12" w14:textId="5A32DE2C" w:rsidR="00615BE1" w:rsidRPr="00615BE1" w:rsidRDefault="00615BE1" w:rsidP="00615BE1">
      <w:pPr>
        <w:ind w:left="720"/>
        <w:rPr>
          <w:sz w:val="18"/>
          <w:szCs w:val="18"/>
        </w:rPr>
      </w:pPr>
      <m:oMathPara>
        <m:oMathParaPr>
          <m:jc m:val="left"/>
        </m:oMathParaPr>
        <m:oMath>
          <m:r>
            <w:rPr>
              <w:rFonts w:ascii="Cambria Math" w:hAnsi="Cambria Math" w:cs="Arial"/>
              <w:sz w:val="18"/>
              <w:szCs w:val="18"/>
            </w:rPr>
            <m:t>Delta Watts=</m:t>
          </m:r>
          <m:r>
            <w:rPr>
              <w:rFonts w:ascii="Cambria Math" w:hAnsi="Cambria Math"/>
              <w:sz w:val="18"/>
              <w:szCs w:val="18"/>
            </w:rPr>
            <m:t>(Baseline Average Watts per lamp) – (Measure Case Average Watts per lamp)</m:t>
          </m:r>
          <m:r>
            <w:rPr>
              <w:rFonts w:ascii="Cambria Math" w:hAnsi="Cambria Math" w:cs="Arial"/>
              <w:sz w:val="18"/>
              <w:szCs w:val="18"/>
            </w:rPr>
            <m:t xml:space="preserve"> </m:t>
          </m:r>
        </m:oMath>
      </m:oMathPara>
    </w:p>
    <w:p w14:paraId="19B8BFB9" w14:textId="02796AA3" w:rsidR="00615BE1" w:rsidRPr="00615BE1" w:rsidRDefault="00615BE1" w:rsidP="00615BE1">
      <w:pPr>
        <w:ind w:left="1800"/>
        <w:rPr>
          <w:sz w:val="18"/>
          <w:szCs w:val="20"/>
        </w:rPr>
      </w:pPr>
      <m:oMathPara>
        <m:oMathParaPr>
          <m:jc m:val="left"/>
        </m:oMathParaPr>
        <m:oMath>
          <m:r>
            <w:rPr>
              <w:rFonts w:ascii="Cambria Math" w:hAnsi="Cambria Math" w:cs="Arial"/>
              <w:sz w:val="18"/>
              <w:szCs w:val="20"/>
            </w:rPr>
            <m:t xml:space="preserve">= </m:t>
          </m:r>
          <m:d>
            <m:dPr>
              <m:ctrlPr>
                <w:rPr>
                  <w:rFonts w:ascii="Cambria Math" w:hAnsi="Cambria Math" w:cs="Arial"/>
                  <w:i/>
                  <w:sz w:val="18"/>
                  <w:szCs w:val="20"/>
                </w:rPr>
              </m:ctrlPr>
            </m:dPr>
            <m:e>
              <m:f>
                <m:fPr>
                  <m:ctrlPr>
                    <w:rPr>
                      <w:rFonts w:ascii="Cambria Math" w:hAnsi="Cambria Math" w:cs="Arial"/>
                      <w:i/>
                      <w:sz w:val="18"/>
                      <w:szCs w:val="20"/>
                    </w:rPr>
                  </m:ctrlPr>
                </m:fPr>
                <m:num>
                  <m:r>
                    <w:rPr>
                      <w:rFonts w:ascii="Cambria Math" w:hAnsi="Cambria Math" w:cs="Arial"/>
                      <w:sz w:val="18"/>
                      <w:szCs w:val="20"/>
                    </w:rPr>
                    <m:t>1000 lm</m:t>
                  </m:r>
                </m:num>
                <m:den>
                  <m:d>
                    <m:dPr>
                      <m:ctrlPr>
                        <w:rPr>
                          <w:rFonts w:ascii="Cambria Math" w:hAnsi="Cambria Math" w:cs="Arial"/>
                          <w:i/>
                          <w:sz w:val="18"/>
                          <w:szCs w:val="20"/>
                        </w:rPr>
                      </m:ctrlPr>
                    </m:dPr>
                    <m:e>
                      <m:r>
                        <w:rPr>
                          <w:rFonts w:ascii="Cambria Math" w:hAnsi="Cambria Math" w:cs="Arial"/>
                          <w:sz w:val="18"/>
                          <w:szCs w:val="20"/>
                        </w:rPr>
                        <m:t>33%×85.2 LPW+67%×100 LPW</m:t>
                      </m:r>
                    </m:e>
                  </m:d>
                </m:den>
              </m:f>
            </m:e>
          </m:d>
          <m:r>
            <w:rPr>
              <w:rFonts w:ascii="Cambria Math" w:hAnsi="Cambria Math" w:cs="Arial"/>
              <w:sz w:val="18"/>
              <w:szCs w:val="20"/>
            </w:rPr>
            <m:t>-</m:t>
          </m:r>
          <m:d>
            <m:dPr>
              <m:ctrlPr>
                <w:rPr>
                  <w:rFonts w:ascii="Cambria Math" w:hAnsi="Cambria Math" w:cs="Arial"/>
                  <w:i/>
                  <w:sz w:val="18"/>
                  <w:szCs w:val="20"/>
                </w:rPr>
              </m:ctrlPr>
            </m:dPr>
            <m:e>
              <m:f>
                <m:fPr>
                  <m:ctrlPr>
                    <w:rPr>
                      <w:rFonts w:ascii="Cambria Math" w:hAnsi="Cambria Math" w:cs="Arial"/>
                      <w:i/>
                      <w:sz w:val="18"/>
                      <w:szCs w:val="20"/>
                    </w:rPr>
                  </m:ctrlPr>
                </m:fPr>
                <m:num>
                  <m:r>
                    <w:rPr>
                      <w:rFonts w:ascii="Cambria Math" w:hAnsi="Cambria Math" w:cs="Arial"/>
                      <w:sz w:val="18"/>
                      <w:szCs w:val="20"/>
                    </w:rPr>
                    <m:t>1000 lm</m:t>
                  </m:r>
                </m:num>
                <m:den>
                  <m:r>
                    <w:rPr>
                      <w:rFonts w:ascii="Cambria Math" w:hAnsi="Cambria Math" w:cs="Arial"/>
                      <w:sz w:val="18"/>
                      <w:szCs w:val="20"/>
                    </w:rPr>
                    <m:t>125 or 140 LPW</m:t>
                  </m:r>
                </m:den>
              </m:f>
            </m:e>
          </m:d>
        </m:oMath>
      </m:oMathPara>
    </w:p>
    <w:p w14:paraId="4222FE92" w14:textId="6C38C9EC" w:rsidR="0067266B" w:rsidRPr="0067266B" w:rsidRDefault="00615BE1" w:rsidP="00615BE1">
      <w:pPr>
        <w:ind w:left="1800"/>
        <w:rPr>
          <w:sz w:val="18"/>
          <w:szCs w:val="20"/>
        </w:rPr>
      </w:pPr>
      <m:oMathPara>
        <m:oMathParaPr>
          <m:jc m:val="left"/>
        </m:oMathParaPr>
        <m:oMath>
          <m:r>
            <w:rPr>
              <w:rFonts w:ascii="Cambria Math" w:hAnsi="Cambria Math" w:cs="Arial"/>
              <w:sz w:val="18"/>
              <w:szCs w:val="20"/>
            </w:rPr>
            <m:t xml:space="preserve">=10.5 LPW-8.0 LPW=2.6 LPW </m:t>
          </m:r>
        </m:oMath>
      </m:oMathPara>
    </w:p>
    <w:p w14:paraId="1DEDF569" w14:textId="63F06AB7" w:rsidR="00615BE1" w:rsidRPr="00615BE1" w:rsidRDefault="0067266B" w:rsidP="00615BE1">
      <w:pPr>
        <w:ind w:left="1800"/>
        <w:rPr>
          <w:sz w:val="20"/>
          <w:szCs w:val="20"/>
        </w:rPr>
      </w:pPr>
      <m:oMathPara>
        <m:oMathParaPr>
          <m:jc m:val="left"/>
        </m:oMathParaPr>
        <m:oMath>
          <m:r>
            <w:rPr>
              <w:rFonts w:ascii="Cambria Math" w:hAnsi="Cambria Math" w:cs="Arial"/>
              <w:sz w:val="18"/>
              <w:szCs w:val="20"/>
            </w:rPr>
            <m:t>=10.5 LPW-7.1 LPW=3.4 LPW</m:t>
          </m:r>
        </m:oMath>
      </m:oMathPara>
    </w:p>
    <w:p w14:paraId="4B71FE95" w14:textId="77777777" w:rsidR="00615BE1" w:rsidRDefault="00615BE1" w:rsidP="00312480">
      <w:pPr>
        <w:rPr>
          <w:rFonts w:cs="Times New Roman"/>
          <w:b/>
          <w:bCs/>
          <w:szCs w:val="22"/>
        </w:rPr>
      </w:pPr>
    </w:p>
    <w:p w14:paraId="730760E5" w14:textId="6A21466C" w:rsidR="004A3154" w:rsidRDefault="006310F4" w:rsidP="00312480">
      <w:r>
        <w:rPr>
          <w:b/>
        </w:rPr>
        <w:lastRenderedPageBreak/>
        <w:t>Baseline</w:t>
      </w:r>
      <w:r w:rsidRPr="003641A2">
        <w:rPr>
          <w:b/>
        </w:rPr>
        <w:t xml:space="preserve"> Average Watts</w:t>
      </w:r>
      <w:r>
        <w:rPr>
          <w:b/>
        </w:rPr>
        <w:t xml:space="preserve"> per Lamp. </w:t>
      </w:r>
      <w:r w:rsidR="004A3154" w:rsidRPr="004A3154">
        <w:t xml:space="preserve">The base case linear fluorescent fixtures were modeled across the DLC light output range according to the most common fixture type </w:t>
      </w:r>
      <w:r w:rsidR="00F62D4C">
        <w:t>with</w:t>
      </w:r>
      <w:r w:rsidR="004A3154" w:rsidRPr="004A3154">
        <w:t xml:space="preserve"> a configuration </w:t>
      </w:r>
      <w:r w:rsidR="00F62D4C">
        <w:t xml:space="preserve">that meets </w:t>
      </w:r>
      <w:r w:rsidR="004A3154" w:rsidRPr="004A3154">
        <w:t xml:space="preserve">appropriate </w:t>
      </w:r>
      <w:r w:rsidR="00965A45">
        <w:t>f</w:t>
      </w:r>
      <w:r w:rsidR="004A3154" w:rsidRPr="004A3154">
        <w:t xml:space="preserve">ederal lamp standards, </w:t>
      </w:r>
      <w:r w:rsidR="00965A45">
        <w:t>f</w:t>
      </w:r>
      <w:r w:rsidR="004A3154" w:rsidRPr="004A3154">
        <w:t xml:space="preserve">ederal ballast standards, and California Title 24 interior commercial lumen power density (LPD) requirements. Rather than assume a single base case lamp-and-ballast-and-fixture combination as a base case, the efficacy of a standards-compliant base case fixture in terms of lumens per Watt </w:t>
      </w:r>
      <w:r w:rsidR="00B75725">
        <w:t>was</w:t>
      </w:r>
      <w:r w:rsidR="00B75725" w:rsidRPr="004A3154">
        <w:t xml:space="preserve"> </w:t>
      </w:r>
      <w:r w:rsidR="004A3154" w:rsidRPr="004A3154">
        <w:t xml:space="preserve">used to calculate savings. </w:t>
      </w:r>
    </w:p>
    <w:p w14:paraId="7D1D16DE" w14:textId="6968A667" w:rsidR="00401FA3" w:rsidRDefault="004A3154" w:rsidP="00752D76">
      <w:r w:rsidRPr="004A3154">
        <w:t xml:space="preserve">The code-compliant base case fixture model </w:t>
      </w:r>
      <w:r w:rsidR="00965A45">
        <w:t>is specified in</w:t>
      </w:r>
      <w:r w:rsidRPr="004A3154">
        <w:t xml:space="preserve"> the 2011 Codes and Standards Enhancement (CASE) Report for Indoor Lighting Controls</w:t>
      </w:r>
      <w:r w:rsidR="00F62D4C">
        <w:t>.</w:t>
      </w:r>
      <w:r w:rsidR="00401FA3">
        <w:rPr>
          <w:rStyle w:val="FootnoteReference"/>
          <w:szCs w:val="22"/>
        </w:rPr>
        <w:footnoteReference w:id="18"/>
      </w:r>
      <w:r w:rsidR="00401FA3">
        <w:t xml:space="preserve"> </w:t>
      </w:r>
      <w:r w:rsidRPr="004A3154">
        <w:t>This report developed the most thorough commercial interior lighting model available in California standards proceedings. The model offers a</w:t>
      </w:r>
      <w:r w:rsidR="00401FA3">
        <w:t xml:space="preserve"> </w:t>
      </w:r>
      <w:r w:rsidRPr="004A3154">
        <w:t>combination of interior spaces: large open-plan areas as found in many offices, as well as small spaces typical of private offices or meeting rooms.</w:t>
      </w:r>
      <w:r w:rsidR="00DB0B95">
        <w:rPr>
          <w:rStyle w:val="FootnoteReference"/>
        </w:rPr>
        <w:footnoteReference w:id="19"/>
      </w:r>
      <w:r w:rsidRPr="004A3154">
        <w:t xml:space="preserve"> The panel fixtures modeled are 2x4 3-lamp T8 parabolic fixtures, matching a typical parabolic luminaire with 74.7% fixture efficacy</w:t>
      </w:r>
      <w:r w:rsidR="00401FA3">
        <w:rPr>
          <w:rStyle w:val="FootnoteReference"/>
          <w:szCs w:val="22"/>
        </w:rPr>
        <w:footnoteReference w:id="20"/>
      </w:r>
      <w:r w:rsidRPr="004A3154">
        <w:t>.</w:t>
      </w:r>
    </w:p>
    <w:p w14:paraId="0C972B14" w14:textId="20129EE3" w:rsidR="00295E04" w:rsidRDefault="004A3154" w:rsidP="00752D76">
      <w:r w:rsidRPr="004A3154">
        <w:t xml:space="preserve">The model was updated </w:t>
      </w:r>
      <w:r w:rsidR="00295E04">
        <w:t>with the</w:t>
      </w:r>
      <w:r w:rsidRPr="004A3154">
        <w:t xml:space="preserve"> LPD specifications</w:t>
      </w:r>
      <w:r w:rsidR="00295E04">
        <w:t xml:space="preserve"> of the 2013 California Building Energy Efficiency Standards (Title 24)</w:t>
      </w:r>
      <w:r w:rsidRPr="004A3154">
        <w:t>, which reduce</w:t>
      </w:r>
      <w:r w:rsidR="00295E04">
        <w:t>d</w:t>
      </w:r>
      <w:r w:rsidRPr="004A3154">
        <w:t xml:space="preserve"> LPDs for Office Buildings via the Complete Building Method from 0.9 W/</w:t>
      </w:r>
      <w:r w:rsidR="00965A45">
        <w:t>ft</w:t>
      </w:r>
      <w:r w:rsidR="00965A45" w:rsidRPr="00965A45">
        <w:rPr>
          <w:vertAlign w:val="superscript"/>
        </w:rPr>
        <w:t>2</w:t>
      </w:r>
      <w:r w:rsidRPr="004A3154">
        <w:t xml:space="preserve"> to 0.8 W/</w:t>
      </w:r>
      <w:r w:rsidR="00965A45">
        <w:t>ft</w:t>
      </w:r>
      <w:r w:rsidR="00965A45" w:rsidRPr="00965A45">
        <w:rPr>
          <w:vertAlign w:val="superscript"/>
        </w:rPr>
        <w:t>2</w:t>
      </w:r>
      <w:r w:rsidR="00F62D4C">
        <w:t>.</w:t>
      </w:r>
      <w:r w:rsidRPr="004A3154">
        <w:t xml:space="preserve"> The 0.8 W/</w:t>
      </w:r>
      <w:r w:rsidR="00965A45" w:rsidRPr="00965A45">
        <w:t>ft</w:t>
      </w:r>
      <w:r w:rsidR="00965A45" w:rsidRPr="00965A45">
        <w:rPr>
          <w:vertAlign w:val="superscript"/>
        </w:rPr>
        <w:t>2</w:t>
      </w:r>
      <w:r w:rsidR="00965A45">
        <w:t xml:space="preserve"> </w:t>
      </w:r>
      <w:r w:rsidRPr="00965A45">
        <w:t>value</w:t>
      </w:r>
      <w:r w:rsidRPr="004A3154">
        <w:t xml:space="preserve"> is lower than other applicable building types in Table 140.6-B of </w:t>
      </w:r>
      <w:r w:rsidR="00295E04">
        <w:t xml:space="preserve">the </w:t>
      </w:r>
      <w:r w:rsidRPr="004A3154">
        <w:t>2013</w:t>
      </w:r>
      <w:r w:rsidR="00295E04" w:rsidRPr="004A3154" w:rsidDel="00295E04">
        <w:t xml:space="preserve"> </w:t>
      </w:r>
      <w:r w:rsidR="00295E04">
        <w:t>Title 24 specifies the following</w:t>
      </w:r>
      <w:r w:rsidRPr="004A3154">
        <w:t>: 1.0 W/</w:t>
      </w:r>
      <w:r w:rsidR="00965A45">
        <w:t>ft</w:t>
      </w:r>
      <w:r w:rsidR="00965A45" w:rsidRPr="00965A45">
        <w:rPr>
          <w:vertAlign w:val="superscript"/>
        </w:rPr>
        <w:t>2</w:t>
      </w:r>
      <w:r w:rsidRPr="004A3154">
        <w:t xml:space="preserve"> for General Commercial/Industrial Work Buildings, 1.2 W/</w:t>
      </w:r>
      <w:r w:rsidR="00965A45" w:rsidRPr="00965A45">
        <w:t xml:space="preserve"> </w:t>
      </w:r>
      <w:r w:rsidR="00965A45">
        <w:t>ft</w:t>
      </w:r>
      <w:r w:rsidR="00965A45" w:rsidRPr="00965A45">
        <w:rPr>
          <w:vertAlign w:val="superscript"/>
        </w:rPr>
        <w:t>2</w:t>
      </w:r>
      <w:r w:rsidR="00965A45" w:rsidRPr="00965A45">
        <w:t xml:space="preserve"> </w:t>
      </w:r>
      <w:r w:rsidRPr="004A3154">
        <w:t>for Restaurant Buildings, and 1.0 W/</w:t>
      </w:r>
      <w:r w:rsidR="00965A45">
        <w:t>ft</w:t>
      </w:r>
      <w:r w:rsidR="00965A45" w:rsidRPr="00965A45">
        <w:rPr>
          <w:vertAlign w:val="superscript"/>
        </w:rPr>
        <w:t>2</w:t>
      </w:r>
      <w:r w:rsidRPr="004A3154">
        <w:t xml:space="preserve"> for School Buildings.</w:t>
      </w:r>
      <w:r w:rsidR="006B3A8B">
        <w:rPr>
          <w:rStyle w:val="FootnoteReference"/>
          <w:szCs w:val="22"/>
        </w:rPr>
        <w:footnoteReference w:id="21"/>
      </w:r>
      <w:r w:rsidR="006B3A8B" w:rsidRPr="004A3154">
        <w:t xml:space="preserve"> </w:t>
      </w:r>
    </w:p>
    <w:p w14:paraId="60032F38" w14:textId="3B29E61E" w:rsidR="004A3154" w:rsidRDefault="00295E04" w:rsidP="00752D76">
      <w:r>
        <w:t>Additionally, t</w:t>
      </w:r>
      <w:r w:rsidR="004A3154" w:rsidRPr="004A3154">
        <w:t xml:space="preserve">he model was changed to reflect </w:t>
      </w:r>
      <w:r w:rsidR="00965A45">
        <w:t>f</w:t>
      </w:r>
      <w:r w:rsidR="004A3154" w:rsidRPr="004A3154">
        <w:t>ederal fluorescent lamp minimum standards with a 2</w:t>
      </w:r>
      <w:r w:rsidR="006310F4">
        <w:t>,</w:t>
      </w:r>
      <w:r w:rsidR="004A3154" w:rsidRPr="004A3154">
        <w:t>950-lumen lamp, but the ballast was unchanged as it reflected a premium electronic ballast listed by the Consortium for Energy Efficiency</w:t>
      </w:r>
      <w:r w:rsidR="00965A45">
        <w:t xml:space="preserve"> (CEE)</w:t>
      </w:r>
      <w:r w:rsidR="004A3154" w:rsidRPr="004A3154">
        <w:t xml:space="preserve"> HPT8 standard and the National Electrical Manufacturers Association</w:t>
      </w:r>
      <w:r w:rsidR="00814D52">
        <w:t xml:space="preserve"> (</w:t>
      </w:r>
      <w:r w:rsidR="004A3154" w:rsidRPr="004A3154">
        <w:t>NEMA</w:t>
      </w:r>
      <w:r w:rsidR="00814D52">
        <w:t>)</w:t>
      </w:r>
      <w:r w:rsidR="004A3154" w:rsidRPr="004A3154">
        <w:t xml:space="preserve"> Premium listing. The CASE Report model assumption for </w:t>
      </w:r>
      <w:r w:rsidR="00814D52">
        <w:t>l</w:t>
      </w:r>
      <w:r w:rsidR="004A3154" w:rsidRPr="004A3154">
        <w:t xml:space="preserve">ight </w:t>
      </w:r>
      <w:r w:rsidR="00814D52">
        <w:t>l</w:t>
      </w:r>
      <w:r w:rsidR="004A3154" w:rsidRPr="004A3154">
        <w:t>oss of 9.7% was used.</w:t>
      </w:r>
      <w:r w:rsidR="006B3A8B">
        <w:rPr>
          <w:rStyle w:val="FootnoteReference"/>
        </w:rPr>
        <w:footnoteReference w:id="22"/>
      </w:r>
      <w:r w:rsidR="004A3154" w:rsidRPr="004A3154">
        <w:t xml:space="preserve"> The model suggests that illumination from recessed fluorescent fixtures compliant with current code can be obtained at maintained fixture efficacy of 58.8 LPW.</w:t>
      </w:r>
      <w:r w:rsidR="006B3A8B">
        <w:rPr>
          <w:rStyle w:val="FootnoteReference"/>
        </w:rPr>
        <w:footnoteReference w:id="23"/>
      </w:r>
      <w:r w:rsidR="004A3154" w:rsidRPr="004A3154">
        <w:t xml:space="preserve"> This figure is higher, accounting for 9.7% lumen depreciation, than the 5 fluorescent benchmark troffer fixtures tested in CALiPER Rounds 9 and 13 (all of which were 2x2 fixtures)</w:t>
      </w:r>
      <w:r w:rsidR="00F62D4C">
        <w:t>.</w:t>
      </w:r>
      <w:r w:rsidR="00CF40A8">
        <w:rPr>
          <w:rStyle w:val="FootnoteReference"/>
          <w:szCs w:val="22"/>
        </w:rPr>
        <w:footnoteReference w:id="24"/>
      </w:r>
      <w:r w:rsidR="004A3154" w:rsidRPr="004A3154">
        <w:t xml:space="preserve"> </w:t>
      </w:r>
    </w:p>
    <w:p w14:paraId="7F4CDFC1" w14:textId="7D9D4017" w:rsidR="00295E04" w:rsidRDefault="006310F4" w:rsidP="00752D76">
      <w:r w:rsidRPr="00EF513A">
        <w:rPr>
          <w:b/>
        </w:rPr>
        <w:t>Measure Case Average Watts.</w:t>
      </w:r>
      <w:r>
        <w:rPr>
          <w:b/>
        </w:rPr>
        <w:t xml:space="preserve"> </w:t>
      </w:r>
      <w:r w:rsidR="004A3154" w:rsidRPr="004A3154">
        <w:t xml:space="preserve">Initial LED lumen efficacy assumptions </w:t>
      </w:r>
      <w:r w:rsidR="00295E04">
        <w:t>were</w:t>
      </w:r>
      <w:r w:rsidR="00295E04" w:rsidRPr="004A3154">
        <w:t xml:space="preserve"> </w:t>
      </w:r>
      <w:r w:rsidR="004A3154" w:rsidRPr="004A3154">
        <w:t xml:space="preserve">set by the measure code minimum requirements, starting with 125 LPW for the lowest-efficacy measure code corresponding with </w:t>
      </w:r>
      <w:r w:rsidR="00814D52">
        <w:t xml:space="preserve">the </w:t>
      </w:r>
      <w:r w:rsidR="004A3154" w:rsidRPr="004A3154">
        <w:t xml:space="preserve">DLC Premium tier minimum efficacy. Calculating the wattage corresponding to this efficacy for a unit </w:t>
      </w:r>
      <w:r w:rsidR="004A3154" w:rsidRPr="004A3154">
        <w:lastRenderedPageBreak/>
        <w:t xml:space="preserve">of one kilolumen </w:t>
      </w:r>
      <w:r w:rsidR="00295E04">
        <w:t>was</w:t>
      </w:r>
      <w:r w:rsidR="004A3154" w:rsidRPr="004A3154">
        <w:t xml:space="preserve"> accomplished by dividing 1</w:t>
      </w:r>
      <w:r>
        <w:t>,</w:t>
      </w:r>
      <w:r w:rsidR="004A3154" w:rsidRPr="004A3154">
        <w:t xml:space="preserve">000 lumens by 125 </w:t>
      </w:r>
      <w:r w:rsidR="00F62D4C">
        <w:t>LPW</w:t>
      </w:r>
      <w:r w:rsidR="004A3154" w:rsidRPr="004A3154">
        <w:t xml:space="preserve">, resulting in 8.0 </w:t>
      </w:r>
      <w:r w:rsidR="00A7112C" w:rsidRPr="00D607A4">
        <w:rPr>
          <w:rFonts w:cs="Calibri Light"/>
        </w:rPr>
        <w:t>W/</w:t>
      </w:r>
      <w:proofErr w:type="spellStart"/>
      <w:r w:rsidR="00A7112C" w:rsidRPr="00D607A4">
        <w:rPr>
          <w:rFonts w:cs="Calibri Light"/>
        </w:rPr>
        <w:t>kLm</w:t>
      </w:r>
      <w:proofErr w:type="spellEnd"/>
      <w:r w:rsidR="004A3154" w:rsidRPr="004A3154">
        <w:t xml:space="preserve"> for the measure case. </w:t>
      </w:r>
    </w:p>
    <w:p w14:paraId="67577C8E" w14:textId="5AC9DB52" w:rsidR="004A3154" w:rsidRDefault="004A3154" w:rsidP="00752D76">
      <w:r w:rsidRPr="004A3154">
        <w:t>The LED fixture performance calculation relies on the fact that test lamp performance for LED fixtures is measured via absolute photometry, compared to the relative photometry</w:t>
      </w:r>
      <w:r w:rsidR="005055A8">
        <w:t>,</w:t>
      </w:r>
      <w:r w:rsidRPr="004A3154">
        <w:t xml:space="preserve"> which is the standard for linear fluorescent fixtures. The practical implication of this is that the LED product efficacies found in the DLC Premium listing </w:t>
      </w:r>
      <w:r w:rsidR="005055A8">
        <w:t>(</w:t>
      </w:r>
      <w:r w:rsidRPr="004A3154">
        <w:t>125 LPW and higher</w:t>
      </w:r>
      <w:r w:rsidR="005055A8">
        <w:t>)</w:t>
      </w:r>
      <w:r w:rsidRPr="004A3154">
        <w:t xml:space="preserve"> already reflect the light losses inside the fixture, giving a 125</w:t>
      </w:r>
      <w:r w:rsidR="009206BA">
        <w:t xml:space="preserve"> </w:t>
      </w:r>
      <w:r w:rsidRPr="004A3154">
        <w:t xml:space="preserve">LPW LED fixture a significant advantage in supplying illumination over a fluorescent fixture with a 125 LPW lamp-and-ballast system. </w:t>
      </w:r>
    </w:p>
    <w:p w14:paraId="7C5485F8" w14:textId="2A9A48B7" w:rsidR="005055A8" w:rsidRDefault="004A3154" w:rsidP="00752D76">
      <w:r w:rsidRPr="004A3154">
        <w:t xml:space="preserve">Maintained lumen output equivalency was based on the full list of DLC products and on LED lumen maintenance data from the Lighting Facts database. All 156 Lighting Facts fixtures with lumen maintenance information were considered as a full dataset, as well as the subset of 20 fixtures that were both DLC-listed and available with lumen maintenance values for the 25,000-hour mark, the mid-point of the 50,000 DLC specification minimum. </w:t>
      </w:r>
    </w:p>
    <w:p w14:paraId="22522EA0" w14:textId="4CE4EB20" w:rsidR="004A3154" w:rsidRDefault="00D4597A" w:rsidP="00752D76">
      <w:r w:rsidRPr="00D4597A">
        <w:rPr>
          <w:b/>
        </w:rPr>
        <w:t>Lumen Maintenance.</w:t>
      </w:r>
      <w:r>
        <w:t xml:space="preserve"> </w:t>
      </w:r>
      <w:r w:rsidR="004A3154" w:rsidRPr="004A3154">
        <w:t>Analysis of the full set and subset, in accordance with the LED lumen output extrapolation formula published in Federal rulemaking</w:t>
      </w:r>
      <w:r w:rsidR="006310F4">
        <w:t>,</w:t>
      </w:r>
      <w:r w:rsidR="004A3154" w:rsidRPr="004A3154">
        <w:t xml:space="preserve"> suggests LED fixture lumen maintenance of </w:t>
      </w:r>
      <w:r w:rsidR="004A3154" w:rsidRPr="004D4201">
        <w:t>89.6% for the blended Commercial building type with 2</w:t>
      </w:r>
      <w:r w:rsidRPr="004D4201">
        <w:t>,</w:t>
      </w:r>
      <w:r w:rsidR="004A3154" w:rsidRPr="004D4201">
        <w:t xml:space="preserve">420 </w:t>
      </w:r>
      <w:r w:rsidR="00DD5039" w:rsidRPr="004D4201">
        <w:t>operating</w:t>
      </w:r>
      <w:r w:rsidR="004A3154" w:rsidRPr="004D4201">
        <w:t xml:space="preserve"> hours per year:</w:t>
      </w:r>
      <w:r w:rsidR="004A3154" w:rsidRPr="004A3154">
        <w:t xml:space="preserve"> </w:t>
      </w:r>
    </w:p>
    <w:p w14:paraId="45D37E33" w14:textId="77777777" w:rsidR="00401FA3" w:rsidRDefault="00401FA3" w:rsidP="00752D76"/>
    <w:p w14:paraId="76E149F8" w14:textId="77777777" w:rsidR="004A3154" w:rsidRPr="004D4201" w:rsidRDefault="004A3154" w:rsidP="00562D3B">
      <w:pPr>
        <w:ind w:left="720"/>
        <w:rPr>
          <w:rFonts w:ascii="Cambria Math" w:hAnsi="Cambria Math"/>
          <w:i/>
          <w:sz w:val="18"/>
          <w:szCs w:val="18"/>
        </w:rPr>
      </w:pPr>
      <w:r w:rsidRPr="004D4201">
        <w:rPr>
          <w:rFonts w:ascii="Cambria Math" w:hAnsi="Cambria Math"/>
          <w:i/>
          <w:sz w:val="18"/>
          <w:szCs w:val="18"/>
        </w:rPr>
        <w:t xml:space="preserve">Com EUL hours per DEER = DEER Annual Measure </w:t>
      </w:r>
      <w:proofErr w:type="spellStart"/>
      <w:r w:rsidRPr="004D4201">
        <w:rPr>
          <w:rFonts w:ascii="Cambria Math" w:hAnsi="Cambria Math"/>
          <w:i/>
          <w:sz w:val="18"/>
          <w:szCs w:val="18"/>
        </w:rPr>
        <w:t>HOUstd</w:t>
      </w:r>
      <w:proofErr w:type="spellEnd"/>
      <w:r w:rsidRPr="004D4201">
        <w:rPr>
          <w:rFonts w:ascii="Cambria Math" w:hAnsi="Cambria Math"/>
          <w:i/>
          <w:sz w:val="18"/>
          <w:szCs w:val="18"/>
        </w:rPr>
        <w:t xml:space="preserve"> ͯ </w:t>
      </w:r>
      <w:r w:rsidR="00CF40A8" w:rsidRPr="004D4201">
        <w:rPr>
          <w:rFonts w:ascii="Cambria Math" w:hAnsi="Cambria Math"/>
          <w:i/>
          <w:sz w:val="18"/>
          <w:szCs w:val="18"/>
        </w:rPr>
        <w:t xml:space="preserve">x </w:t>
      </w:r>
      <w:r w:rsidRPr="004D4201">
        <w:rPr>
          <w:rFonts w:ascii="Cambria Math" w:hAnsi="Cambria Math"/>
          <w:i/>
          <w:sz w:val="18"/>
          <w:szCs w:val="18"/>
        </w:rPr>
        <w:t xml:space="preserve">EUL fixture maximum </w:t>
      </w:r>
    </w:p>
    <w:p w14:paraId="3BDFB597" w14:textId="2861AA7E" w:rsidR="004A3154" w:rsidRPr="004D4201" w:rsidRDefault="004A3154" w:rsidP="00562D3B">
      <w:pPr>
        <w:ind w:left="720"/>
        <w:rPr>
          <w:rFonts w:ascii="Cambria Math" w:hAnsi="Cambria Math"/>
          <w:sz w:val="18"/>
          <w:szCs w:val="18"/>
        </w:rPr>
      </w:pPr>
      <w:r w:rsidRPr="004D4201">
        <w:rPr>
          <w:rFonts w:ascii="Cambria Math" w:hAnsi="Cambria Math"/>
          <w:sz w:val="18"/>
          <w:szCs w:val="18"/>
        </w:rPr>
        <w:t>= 2</w:t>
      </w:r>
      <w:r w:rsidR="00D4597A" w:rsidRPr="004D4201">
        <w:rPr>
          <w:rFonts w:ascii="Cambria Math" w:hAnsi="Cambria Math"/>
          <w:sz w:val="18"/>
          <w:szCs w:val="18"/>
        </w:rPr>
        <w:t>,</w:t>
      </w:r>
      <w:r w:rsidRPr="004D4201">
        <w:rPr>
          <w:rFonts w:ascii="Cambria Math" w:hAnsi="Cambria Math"/>
          <w:sz w:val="18"/>
          <w:szCs w:val="18"/>
        </w:rPr>
        <w:t>420 hours/year</w:t>
      </w:r>
      <w:r w:rsidR="00CF40A8" w:rsidRPr="004D4201">
        <w:rPr>
          <w:rFonts w:ascii="Cambria Math" w:hAnsi="Cambria Math"/>
          <w:sz w:val="18"/>
          <w:szCs w:val="18"/>
        </w:rPr>
        <w:t xml:space="preserve"> x</w:t>
      </w:r>
      <w:r w:rsidRPr="004D4201">
        <w:rPr>
          <w:rFonts w:ascii="Cambria Math" w:hAnsi="Cambria Math"/>
          <w:sz w:val="18"/>
          <w:szCs w:val="18"/>
        </w:rPr>
        <w:t xml:space="preserve"> ͯ</w:t>
      </w:r>
      <w:r w:rsidR="002D76A0" w:rsidRPr="004D4201">
        <w:rPr>
          <w:rFonts w:ascii="Cambria Math" w:hAnsi="Cambria Math"/>
          <w:sz w:val="18"/>
          <w:szCs w:val="18"/>
        </w:rPr>
        <w:t>12</w:t>
      </w:r>
      <w:r w:rsidR="004D4201" w:rsidRPr="004D4201">
        <w:rPr>
          <w:rFonts w:ascii="Cambria Math" w:hAnsi="Cambria Math"/>
          <w:sz w:val="18"/>
          <w:szCs w:val="18"/>
        </w:rPr>
        <w:t>-</w:t>
      </w:r>
      <w:r w:rsidRPr="004D4201">
        <w:rPr>
          <w:rFonts w:ascii="Cambria Math" w:hAnsi="Cambria Math"/>
          <w:sz w:val="18"/>
          <w:szCs w:val="18"/>
        </w:rPr>
        <w:t xml:space="preserve">year maximum EUL </w:t>
      </w:r>
    </w:p>
    <w:p w14:paraId="7AC114E6" w14:textId="23A52897" w:rsidR="00340710" w:rsidRPr="004D4201" w:rsidRDefault="004A3154" w:rsidP="00562D3B">
      <w:pPr>
        <w:ind w:left="720"/>
        <w:rPr>
          <w:rFonts w:ascii="Cambria Math" w:hAnsi="Cambria Math"/>
          <w:sz w:val="18"/>
          <w:szCs w:val="18"/>
        </w:rPr>
      </w:pPr>
      <w:r w:rsidRPr="004D4201">
        <w:rPr>
          <w:rFonts w:ascii="Cambria Math" w:hAnsi="Cambria Math"/>
          <w:sz w:val="18"/>
          <w:szCs w:val="18"/>
        </w:rPr>
        <w:t xml:space="preserve">= </w:t>
      </w:r>
      <w:r w:rsidR="002D76A0" w:rsidRPr="004D4201">
        <w:rPr>
          <w:rFonts w:ascii="Cambria Math" w:hAnsi="Cambria Math"/>
          <w:sz w:val="18"/>
          <w:szCs w:val="18"/>
        </w:rPr>
        <w:t>29</w:t>
      </w:r>
      <w:r w:rsidR="004D4201" w:rsidRPr="004D4201">
        <w:rPr>
          <w:rFonts w:ascii="Cambria Math" w:hAnsi="Cambria Math"/>
          <w:sz w:val="18"/>
          <w:szCs w:val="18"/>
        </w:rPr>
        <w:t>,</w:t>
      </w:r>
      <w:r w:rsidR="002D76A0" w:rsidRPr="004D4201">
        <w:rPr>
          <w:rFonts w:ascii="Cambria Math" w:hAnsi="Cambria Math"/>
          <w:sz w:val="18"/>
          <w:szCs w:val="18"/>
        </w:rPr>
        <w:t>040</w:t>
      </w:r>
      <w:r w:rsidRPr="004D4201">
        <w:rPr>
          <w:rFonts w:ascii="Cambria Math" w:hAnsi="Cambria Math"/>
          <w:sz w:val="18"/>
          <w:szCs w:val="18"/>
        </w:rPr>
        <w:t xml:space="preserve"> hours</w:t>
      </w:r>
    </w:p>
    <w:p w14:paraId="39A1DB4E" w14:textId="77777777" w:rsidR="002D76A0" w:rsidRPr="004D4201" w:rsidRDefault="002D76A0" w:rsidP="00562D3B">
      <w:pPr>
        <w:ind w:left="720"/>
        <w:rPr>
          <w:rFonts w:ascii="Cambria Math" w:hAnsi="Cambria Math"/>
          <w:sz w:val="18"/>
          <w:szCs w:val="18"/>
        </w:rPr>
      </w:pPr>
    </w:p>
    <w:p w14:paraId="71B1EA3B" w14:textId="20C92057" w:rsidR="004A3154" w:rsidRPr="00562D3B" w:rsidRDefault="004A3154" w:rsidP="00562D3B">
      <w:pPr>
        <w:ind w:left="720"/>
        <w:rPr>
          <w:rFonts w:ascii="Cambria Math" w:hAnsi="Cambria Math"/>
          <w:i/>
          <w:sz w:val="18"/>
          <w:szCs w:val="18"/>
        </w:rPr>
      </w:pPr>
      <w:r w:rsidRPr="004D4201">
        <w:rPr>
          <w:rFonts w:ascii="Cambria Math" w:hAnsi="Cambria Math"/>
          <w:i/>
          <w:sz w:val="18"/>
          <w:szCs w:val="18"/>
        </w:rPr>
        <w:t xml:space="preserve">This is less than 50,000, so </w:t>
      </w:r>
      <w:r w:rsidR="00936CCC" w:rsidRPr="004D4201">
        <w:rPr>
          <w:rFonts w:ascii="Cambria Math" w:hAnsi="Cambria Math"/>
          <w:i/>
          <w:sz w:val="18"/>
          <w:szCs w:val="18"/>
        </w:rPr>
        <w:t xml:space="preserve">29,040 </w:t>
      </w:r>
      <w:r w:rsidRPr="004D4201">
        <w:rPr>
          <w:rFonts w:ascii="Cambria Math" w:hAnsi="Cambria Math"/>
          <w:i/>
          <w:sz w:val="18"/>
          <w:szCs w:val="18"/>
        </w:rPr>
        <w:t>hour</w:t>
      </w:r>
      <w:r w:rsidR="004D4201">
        <w:rPr>
          <w:rFonts w:ascii="Cambria Math" w:hAnsi="Cambria Math"/>
          <w:i/>
          <w:sz w:val="18"/>
          <w:szCs w:val="18"/>
        </w:rPr>
        <w:t>s</w:t>
      </w:r>
      <w:r w:rsidRPr="004D4201">
        <w:rPr>
          <w:rFonts w:ascii="Cambria Math" w:hAnsi="Cambria Math"/>
          <w:i/>
          <w:sz w:val="18"/>
          <w:szCs w:val="18"/>
        </w:rPr>
        <w:t xml:space="preserve"> EUL is used for Com building type</w:t>
      </w:r>
      <w:r w:rsidRPr="00562D3B">
        <w:rPr>
          <w:rFonts w:ascii="Cambria Math" w:hAnsi="Cambria Math"/>
          <w:i/>
          <w:sz w:val="18"/>
          <w:szCs w:val="18"/>
        </w:rPr>
        <w:t xml:space="preserve"> </w:t>
      </w:r>
    </w:p>
    <w:p w14:paraId="5173C302" w14:textId="77777777" w:rsidR="00401FA3" w:rsidRPr="004A3154" w:rsidRDefault="00401FA3" w:rsidP="00752D76"/>
    <w:p w14:paraId="610CFB04" w14:textId="1AE59DD9" w:rsidR="00321D93" w:rsidRPr="004A3154" w:rsidRDefault="004A3154" w:rsidP="00752D76">
      <w:r w:rsidRPr="004A3154">
        <w:t xml:space="preserve">LED lumen maintenance varies by building type due to </w:t>
      </w:r>
      <w:r w:rsidR="00DD5039">
        <w:t>varying hours of operation by building type.</w:t>
      </w:r>
      <w:r w:rsidRPr="004A3154">
        <w:t xml:space="preserve"> Motel annual run hours of 1</w:t>
      </w:r>
      <w:r w:rsidR="005055A8">
        <w:t>,</w:t>
      </w:r>
      <w:r w:rsidRPr="004A3154">
        <w:t xml:space="preserve">000 result in </w:t>
      </w:r>
      <w:r w:rsidR="002D76A0" w:rsidRPr="004A3154">
        <w:t>1</w:t>
      </w:r>
      <w:r w:rsidR="002D76A0">
        <w:t>2</w:t>
      </w:r>
      <w:r w:rsidRPr="004A3154">
        <w:t xml:space="preserve">,000 run hours over </w:t>
      </w:r>
      <w:r w:rsidR="002D76A0">
        <w:t>12</w:t>
      </w:r>
      <w:r w:rsidR="00F62D4C">
        <w:t>-</w:t>
      </w:r>
      <w:r w:rsidRPr="004A3154">
        <w:t xml:space="preserve">year EUL and thus 95.5% lumen maintenance. </w:t>
      </w:r>
      <w:r w:rsidR="00DD5039">
        <w:t xml:space="preserve">The annual operating </w:t>
      </w:r>
      <w:r w:rsidRPr="004A3154">
        <w:t xml:space="preserve">hours </w:t>
      </w:r>
      <w:r w:rsidR="00535DDC">
        <w:t>for some</w:t>
      </w:r>
      <w:r w:rsidRPr="004A3154">
        <w:t xml:space="preserve"> of the DEER building types, </w:t>
      </w:r>
      <w:r w:rsidR="00535DDC">
        <w:t>such as</w:t>
      </w:r>
      <w:r w:rsidRPr="004A3154">
        <w:t xml:space="preserve"> Large Retail, </w:t>
      </w:r>
      <w:r w:rsidR="00535DDC">
        <w:t>Hospital, Warehouse,</w:t>
      </w:r>
      <w:r w:rsidR="00535DDC" w:rsidRPr="004A3154">
        <w:t xml:space="preserve"> </w:t>
      </w:r>
      <w:r w:rsidRPr="004A3154">
        <w:t xml:space="preserve">and Grocery, over </w:t>
      </w:r>
      <w:r w:rsidR="00535DDC" w:rsidRPr="004A3154">
        <w:t>1</w:t>
      </w:r>
      <w:r w:rsidR="00535DDC">
        <w:t>2</w:t>
      </w:r>
      <w:r w:rsidR="00535DDC" w:rsidRPr="004A3154">
        <w:t xml:space="preserve"> </w:t>
      </w:r>
      <w:r w:rsidRPr="004A3154">
        <w:t>years will exceed 50,000 hours</w:t>
      </w:r>
      <w:r w:rsidR="006E061D">
        <w:t>.</w:t>
      </w:r>
      <w:r w:rsidRPr="004A3154">
        <w:t xml:space="preserve"> </w:t>
      </w:r>
      <w:r w:rsidR="006E061D">
        <w:t>Thus,</w:t>
      </w:r>
      <w:r w:rsidRPr="004A3154">
        <w:t xml:space="preserve"> the 50,000 DLC-minimum rated </w:t>
      </w:r>
      <w:r w:rsidR="00DD5039">
        <w:t xml:space="preserve">fixture </w:t>
      </w:r>
      <w:r w:rsidRPr="004A3154">
        <w:t xml:space="preserve">life is </w:t>
      </w:r>
      <w:r w:rsidR="00DD5039">
        <w:t>assumed</w:t>
      </w:r>
      <w:r w:rsidRPr="004A3154">
        <w:t>, along with an 89.6% lumen maintenance. The calculation, based on the Federal extrapolation formula, is taken across all 20 DLC-listed fixtures with 25,000-hour Lighting Facts data available, as follows:</w:t>
      </w:r>
    </w:p>
    <w:p w14:paraId="7F10A06F" w14:textId="77777777" w:rsidR="004A3154" w:rsidRPr="00562D3B" w:rsidRDefault="004A3154" w:rsidP="00562D3B">
      <w:pPr>
        <w:ind w:left="720"/>
        <w:rPr>
          <w:rFonts w:ascii="Cambria Math" w:hAnsi="Cambria Math" w:cs="Cambria Math"/>
          <w:i/>
          <w:sz w:val="18"/>
          <w:szCs w:val="18"/>
        </w:rPr>
      </w:pPr>
      <w:r w:rsidRPr="00562D3B">
        <w:rPr>
          <w:rFonts w:ascii="Cambria Math" w:hAnsi="Cambria Math"/>
          <w:i/>
          <w:sz w:val="18"/>
          <w:szCs w:val="18"/>
        </w:rPr>
        <w:t xml:space="preserve">Lumen Maintenance at Com EUL = </w:t>
      </w:r>
      <w:r w:rsidR="006168C2" w:rsidRPr="00562D3B">
        <w:rPr>
          <w:rFonts w:ascii="Cambria Math" w:hAnsi="Cambria Math"/>
          <w:i/>
          <w:sz w:val="18"/>
          <w:szCs w:val="18"/>
        </w:rPr>
        <w:t xml:space="preserve"> </w:t>
      </w:r>
      <w:r w:rsidRPr="00562D3B">
        <w:rPr>
          <w:rFonts w:ascii="Cambria Math" w:hAnsi="Cambria Math" w:cs="Cambria Math"/>
          <w:i/>
          <w:sz w:val="18"/>
          <w:szCs w:val="18"/>
        </w:rPr>
        <w:t>ℎ𝑜𝑢𝑟𝑠</w:t>
      </w:r>
      <w:r w:rsidR="00CF40A8" w:rsidRPr="00562D3B">
        <w:rPr>
          <w:rFonts w:ascii="Cambria Math" w:hAnsi="Cambria Math" w:cs="Cambria Math"/>
          <w:i/>
          <w:sz w:val="18"/>
          <w:szCs w:val="18"/>
        </w:rPr>
        <w:t xml:space="preserve"> </w:t>
      </w:r>
      <w:r w:rsidRPr="00562D3B">
        <w:rPr>
          <w:rFonts w:ascii="Cambria Math" w:hAnsi="Cambria Math" w:cs="Cambria Math"/>
          <w:i/>
          <w:sz w:val="18"/>
          <w:szCs w:val="18"/>
        </w:rPr>
        <w:t>×</w:t>
      </w:r>
      <w:r w:rsidR="00CF40A8" w:rsidRPr="00562D3B">
        <w:rPr>
          <w:rFonts w:ascii="Cambria Math" w:hAnsi="Cambria Math" w:cs="Cambria Math"/>
          <w:i/>
          <w:sz w:val="18"/>
          <w:szCs w:val="18"/>
        </w:rPr>
        <w:t xml:space="preserve"> </w:t>
      </w:r>
      <w:r w:rsidRPr="00562D3B">
        <w:rPr>
          <w:rFonts w:ascii="Cambria Math" w:hAnsi="Cambria Math" w:cs="Cambria Math"/>
          <w:i/>
          <w:sz w:val="18"/>
          <w:szCs w:val="18"/>
        </w:rPr>
        <w:t xml:space="preserve">ln𝐿𝑢𝑚𝑒𝑛 𝑀𝑎𝑖𝑛𝑡𝑒𝑛𝑎𝑛𝑐𝑒 % @ 25,000 ℎ𝑜𝑢𝑟𝑠÷25,000 ℎ𝑜𝑢𝑟𝑠 </w:t>
      </w:r>
    </w:p>
    <w:p w14:paraId="3BE7D08A" w14:textId="77777777" w:rsidR="004A3154" w:rsidRPr="00562D3B" w:rsidRDefault="004A3154" w:rsidP="00562D3B">
      <w:pPr>
        <w:ind w:left="720"/>
        <w:rPr>
          <w:rFonts w:ascii="Cambria Math" w:hAnsi="Cambria Math" w:cs="Cambria Math"/>
          <w:i/>
          <w:sz w:val="18"/>
          <w:szCs w:val="18"/>
        </w:rPr>
      </w:pPr>
      <w:r w:rsidRPr="00562D3B">
        <w:rPr>
          <w:rFonts w:ascii="Cambria Math" w:hAnsi="Cambria Math"/>
          <w:i/>
          <w:sz w:val="18"/>
          <w:szCs w:val="18"/>
        </w:rPr>
        <w:t>=</w:t>
      </w:r>
      <w:r w:rsidRPr="00562D3B">
        <w:rPr>
          <w:rFonts w:ascii="Cambria Math" w:hAnsi="Cambria Math" w:cs="Cambria Math"/>
          <w:i/>
          <w:sz w:val="18"/>
          <w:szCs w:val="18"/>
        </w:rPr>
        <w:t>𝑒38,720</w:t>
      </w:r>
      <w:r w:rsidR="00CF40A8" w:rsidRPr="00562D3B">
        <w:rPr>
          <w:rFonts w:ascii="Cambria Math" w:hAnsi="Cambria Math" w:cs="Cambria Math"/>
          <w:i/>
          <w:sz w:val="18"/>
          <w:szCs w:val="18"/>
        </w:rPr>
        <w:t xml:space="preserve"> </w:t>
      </w:r>
      <w:r w:rsidRPr="00562D3B">
        <w:rPr>
          <w:rFonts w:ascii="Cambria Math" w:hAnsi="Cambria Math" w:cs="Cambria Math"/>
          <w:i/>
          <w:sz w:val="18"/>
          <w:szCs w:val="18"/>
        </w:rPr>
        <w:t>×</w:t>
      </w:r>
      <w:r w:rsidR="00CF40A8" w:rsidRPr="00562D3B">
        <w:rPr>
          <w:rFonts w:ascii="Cambria Math" w:hAnsi="Cambria Math" w:cs="Cambria Math"/>
          <w:i/>
          <w:sz w:val="18"/>
          <w:szCs w:val="18"/>
        </w:rPr>
        <w:t xml:space="preserve"> </w:t>
      </w:r>
      <w:r w:rsidRPr="00562D3B">
        <w:rPr>
          <w:rFonts w:ascii="Cambria Math" w:hAnsi="Cambria Math" w:cs="Cambria Math"/>
          <w:i/>
          <w:sz w:val="18"/>
          <w:szCs w:val="18"/>
        </w:rPr>
        <w:t xml:space="preserve">ln93.12 ÷25,000 </w:t>
      </w:r>
    </w:p>
    <w:p w14:paraId="47380EAE" w14:textId="77777777" w:rsidR="004A3154" w:rsidRPr="00562D3B" w:rsidRDefault="004A3154" w:rsidP="00562D3B">
      <w:pPr>
        <w:ind w:left="720"/>
        <w:rPr>
          <w:rFonts w:ascii="Cambria Math" w:hAnsi="Cambria Math"/>
          <w:i/>
          <w:sz w:val="18"/>
          <w:szCs w:val="18"/>
        </w:rPr>
      </w:pPr>
      <w:r w:rsidRPr="00562D3B">
        <w:rPr>
          <w:rFonts w:ascii="Cambria Math" w:hAnsi="Cambria Math"/>
          <w:i/>
          <w:sz w:val="18"/>
          <w:szCs w:val="18"/>
        </w:rPr>
        <w:t>=89.6% lumen maintenance</w:t>
      </w:r>
    </w:p>
    <w:p w14:paraId="4C980D2A" w14:textId="61B04AFC" w:rsidR="006168C2" w:rsidRDefault="006168C2" w:rsidP="004A3154">
      <w:pPr>
        <w:pStyle w:val="Default"/>
        <w:rPr>
          <w:rFonts w:ascii="Calibri Light" w:hAnsi="Calibri Light"/>
          <w:sz w:val="22"/>
          <w:szCs w:val="22"/>
        </w:rPr>
      </w:pPr>
    </w:p>
    <w:p w14:paraId="14A1538C" w14:textId="708CB4D0" w:rsidR="00356315" w:rsidRPr="00F22B6D" w:rsidRDefault="00356315" w:rsidP="00356315">
      <w:pPr>
        <w:pStyle w:val="Default"/>
        <w:rPr>
          <w:rFonts w:ascii="Calibri Light" w:hAnsi="Calibri Light"/>
          <w:b/>
          <w:sz w:val="22"/>
          <w:szCs w:val="22"/>
        </w:rPr>
      </w:pPr>
      <w:r>
        <w:rPr>
          <w:rFonts w:ascii="Calibri Light" w:hAnsi="Calibri Light"/>
          <w:b/>
          <w:sz w:val="22"/>
          <w:szCs w:val="22"/>
        </w:rPr>
        <w:t xml:space="preserve">Annual </w:t>
      </w:r>
      <w:r w:rsidRPr="00F22B6D">
        <w:rPr>
          <w:rFonts w:ascii="Calibri Light" w:hAnsi="Calibri Light"/>
          <w:b/>
          <w:sz w:val="22"/>
          <w:szCs w:val="22"/>
        </w:rPr>
        <w:t xml:space="preserve">Hours of Operation. </w:t>
      </w:r>
      <w:r>
        <w:rPr>
          <w:rFonts w:ascii="Calibri Light" w:hAnsi="Calibri Light"/>
          <w:sz w:val="22"/>
          <w:szCs w:val="22"/>
        </w:rPr>
        <w:t>Annual hours of operation, which varies by building type, was drawn directly from the DEER 20</w:t>
      </w:r>
      <w:r w:rsidR="00702F9F">
        <w:rPr>
          <w:rFonts w:ascii="Calibri Light" w:hAnsi="Calibri Light"/>
          <w:sz w:val="22"/>
          <w:szCs w:val="22"/>
        </w:rPr>
        <w:t>20</w:t>
      </w:r>
      <w:r>
        <w:rPr>
          <w:rFonts w:ascii="Calibri Light" w:hAnsi="Calibri Light"/>
          <w:sz w:val="22"/>
          <w:szCs w:val="22"/>
        </w:rPr>
        <w:t xml:space="preserve"> update.</w:t>
      </w:r>
      <w:r w:rsidR="004D4201">
        <w:rPr>
          <w:rStyle w:val="FootnoteReference"/>
          <w:rFonts w:ascii="Calibri Light" w:hAnsi="Calibri Light"/>
          <w:sz w:val="22"/>
          <w:szCs w:val="22"/>
        </w:rPr>
        <w:footnoteReference w:id="25"/>
      </w:r>
      <w:r>
        <w:rPr>
          <w:rFonts w:ascii="Calibri Light" w:hAnsi="Calibri Light"/>
          <w:sz w:val="22"/>
          <w:szCs w:val="22"/>
        </w:rPr>
        <w:t xml:space="preserve"> </w:t>
      </w:r>
    </w:p>
    <w:p w14:paraId="43399F4E" w14:textId="77777777" w:rsidR="00356315" w:rsidRDefault="00356315" w:rsidP="004A3154">
      <w:pPr>
        <w:pStyle w:val="Default"/>
        <w:rPr>
          <w:rFonts w:ascii="Calibri Light" w:hAnsi="Calibri Light"/>
          <w:sz w:val="22"/>
          <w:szCs w:val="22"/>
        </w:rPr>
      </w:pPr>
    </w:p>
    <w:p w14:paraId="67980A72" w14:textId="77777777" w:rsidR="00F22B6D" w:rsidRDefault="00F22B6D" w:rsidP="00F22B6D">
      <w:r w:rsidRPr="009D5912">
        <w:rPr>
          <w:b/>
        </w:rPr>
        <w:lastRenderedPageBreak/>
        <w:t>Interactive Effects</w:t>
      </w:r>
      <w:r>
        <w:rPr>
          <w:b/>
        </w:rPr>
        <w:t xml:space="preserve"> Multiplier</w:t>
      </w:r>
      <w:r w:rsidRPr="009D5912">
        <w:rPr>
          <w:b/>
        </w:rPr>
        <w:t xml:space="preserve">. </w:t>
      </w:r>
      <w:r>
        <w:t xml:space="preserve">Heating, ventilating and air conditioning (HVAC) interactive effects refers to the change in HVAC energy </w:t>
      </w:r>
      <w:r w:rsidRPr="00E43858">
        <w:t>usage due to the installation of energy-savings measures that directly change electric energy use within the conditioned space of a building. Interactive effective multipliers are developed and maintained by the CPUC Energy Division and its team of consultants via building simulation techniques that incorporate results from building site surveys, field measurements, laboratory tests</w:t>
      </w:r>
      <w:r>
        <w:t>,</w:t>
      </w:r>
      <w:r w:rsidRPr="00E43858">
        <w:t xml:space="preserve"> and facility billing data analysis. Interactive effects multipliers for lighting measures vary by </w:t>
      </w:r>
      <w:r>
        <w:t xml:space="preserve">building type, vintage, climate zone, </w:t>
      </w:r>
      <w:r w:rsidRPr="00E43858">
        <w:t>lighting type</w:t>
      </w:r>
      <w:r>
        <w:t>,</w:t>
      </w:r>
      <w:r w:rsidRPr="00E43858">
        <w:t xml:space="preserve"> and occupancy sensor </w:t>
      </w:r>
      <w:r>
        <w:t>scenario.</w:t>
      </w:r>
    </w:p>
    <w:p w14:paraId="58668CCB" w14:textId="4D657B58" w:rsidR="00F22B6D" w:rsidRDefault="00F22B6D" w:rsidP="00F22B6D">
      <w:pPr>
        <w:rPr>
          <w:szCs w:val="22"/>
        </w:rPr>
      </w:pPr>
      <w:r w:rsidRPr="004D4201">
        <w:rPr>
          <w:szCs w:val="22"/>
        </w:rPr>
        <w:t>The interactive effects multipliers for commercial buildings were adopted from the DEER 20</w:t>
      </w:r>
      <w:r w:rsidR="00702F9F" w:rsidRPr="004D4201">
        <w:rPr>
          <w:szCs w:val="22"/>
        </w:rPr>
        <w:t>20</w:t>
      </w:r>
      <w:r w:rsidRPr="004D4201">
        <w:rPr>
          <w:szCs w:val="22"/>
        </w:rPr>
        <w:t xml:space="preserve"> </w:t>
      </w:r>
      <w:r w:rsidR="00702F9F" w:rsidRPr="004D4201">
        <w:rPr>
          <w:szCs w:val="22"/>
        </w:rPr>
        <w:t>update</w:t>
      </w:r>
      <w:r w:rsidRPr="004D4201">
        <w:rPr>
          <w:szCs w:val="22"/>
        </w:rPr>
        <w:t>.</w:t>
      </w:r>
      <w:r w:rsidR="004D4201" w:rsidRPr="004D4201">
        <w:rPr>
          <w:rStyle w:val="FootnoteReference"/>
          <w:szCs w:val="22"/>
        </w:rPr>
        <w:footnoteReference w:id="26"/>
      </w:r>
      <w:r w:rsidRPr="004D4201">
        <w:rPr>
          <w:szCs w:val="22"/>
        </w:rPr>
        <w:t xml:space="preserve"> </w:t>
      </w:r>
    </w:p>
    <w:p w14:paraId="7A15DA2A" w14:textId="77777777" w:rsidR="00F22B6D" w:rsidRDefault="00F22B6D" w:rsidP="00F22B6D">
      <w:r>
        <w:t>The table below maps each California climate zone to an IOU service area to identify the appropriate saving value for each California climate zone.</w:t>
      </w:r>
    </w:p>
    <w:p w14:paraId="335F7991" w14:textId="77777777" w:rsidR="00F22B6D" w:rsidRDefault="00F22B6D" w:rsidP="00674C51">
      <w:pPr>
        <w:pStyle w:val="Caption"/>
        <w:rPr>
          <w:sz w:val="22"/>
        </w:rPr>
      </w:pPr>
      <w:r>
        <w:t xml:space="preserve">Climate Zone-IOU Service Area Mapping </w:t>
      </w:r>
    </w:p>
    <w:tbl>
      <w:tblPr>
        <w:tblW w:w="59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40"/>
        <w:gridCol w:w="4500"/>
      </w:tblGrid>
      <w:tr w:rsidR="00F22B6D" w:rsidRPr="00330DB0" w14:paraId="2416FE67" w14:textId="77777777" w:rsidTr="00D14CEA">
        <w:trPr>
          <w:cantSplit/>
          <w:trHeight w:val="20"/>
        </w:trPr>
        <w:tc>
          <w:tcPr>
            <w:tcW w:w="1440" w:type="dxa"/>
            <w:shd w:val="clear" w:color="auto" w:fill="F2F2F2" w:themeFill="background1" w:themeFillShade="F2"/>
            <w:noWrap/>
            <w:vAlign w:val="bottom"/>
            <w:hideMark/>
          </w:tcPr>
          <w:p w14:paraId="70C77056" w14:textId="77777777" w:rsidR="00F22B6D" w:rsidRPr="00380EAA" w:rsidRDefault="00F22B6D" w:rsidP="00D14CEA">
            <w:pPr>
              <w:spacing w:before="0" w:after="0" w:line="240" w:lineRule="auto"/>
              <w:jc w:val="center"/>
              <w:rPr>
                <w:rFonts w:cs="Calibri Light"/>
                <w:b/>
                <w:bCs/>
                <w:sz w:val="20"/>
                <w:szCs w:val="20"/>
              </w:rPr>
            </w:pPr>
            <w:r w:rsidRPr="00380EAA">
              <w:rPr>
                <w:rFonts w:cs="Calibri Light"/>
                <w:b/>
                <w:bCs/>
                <w:sz w:val="20"/>
                <w:szCs w:val="20"/>
              </w:rPr>
              <w:t>Program Administrator</w:t>
            </w:r>
          </w:p>
        </w:tc>
        <w:tc>
          <w:tcPr>
            <w:tcW w:w="4500" w:type="dxa"/>
            <w:shd w:val="clear" w:color="auto" w:fill="F2F2F2" w:themeFill="background1" w:themeFillShade="F2"/>
            <w:noWrap/>
            <w:vAlign w:val="bottom"/>
            <w:hideMark/>
          </w:tcPr>
          <w:p w14:paraId="2E2D8A14" w14:textId="77777777" w:rsidR="00F22B6D" w:rsidRPr="00380EAA" w:rsidRDefault="00F22B6D" w:rsidP="00D14CEA">
            <w:pPr>
              <w:spacing w:before="0" w:after="0" w:line="240" w:lineRule="auto"/>
              <w:jc w:val="center"/>
              <w:rPr>
                <w:rFonts w:cs="Calibri Light"/>
                <w:b/>
                <w:bCs/>
                <w:sz w:val="20"/>
                <w:szCs w:val="20"/>
              </w:rPr>
            </w:pPr>
            <w:r w:rsidRPr="00380EAA">
              <w:rPr>
                <w:rFonts w:cs="Calibri Light"/>
                <w:b/>
                <w:bCs/>
                <w:sz w:val="20"/>
                <w:szCs w:val="20"/>
              </w:rPr>
              <w:t>Climate Zone</w:t>
            </w:r>
          </w:p>
        </w:tc>
      </w:tr>
      <w:tr w:rsidR="00F22B6D" w:rsidRPr="00330DB0" w14:paraId="4B2C040D" w14:textId="77777777" w:rsidTr="00D14CEA">
        <w:trPr>
          <w:cantSplit/>
          <w:trHeight w:val="20"/>
        </w:trPr>
        <w:tc>
          <w:tcPr>
            <w:tcW w:w="1440" w:type="dxa"/>
            <w:shd w:val="clear" w:color="000000" w:fill="FFFFFF"/>
            <w:noWrap/>
            <w:vAlign w:val="center"/>
            <w:hideMark/>
          </w:tcPr>
          <w:p w14:paraId="212A86CB" w14:textId="77777777" w:rsidR="00F22B6D" w:rsidRPr="00380EAA" w:rsidRDefault="00F22B6D" w:rsidP="00D14CEA">
            <w:pPr>
              <w:spacing w:before="0" w:after="0" w:line="240" w:lineRule="auto"/>
              <w:rPr>
                <w:rFonts w:cs="Calibri Light"/>
                <w:color w:val="000000"/>
                <w:sz w:val="20"/>
                <w:szCs w:val="20"/>
              </w:rPr>
            </w:pPr>
            <w:r w:rsidRPr="00380EAA">
              <w:rPr>
                <w:rFonts w:cs="Calibri Light"/>
                <w:color w:val="000000"/>
                <w:sz w:val="20"/>
                <w:szCs w:val="20"/>
              </w:rPr>
              <w:t>SCE</w:t>
            </w:r>
          </w:p>
        </w:tc>
        <w:tc>
          <w:tcPr>
            <w:tcW w:w="4500" w:type="dxa"/>
            <w:shd w:val="clear" w:color="000000" w:fill="FFFFFF"/>
            <w:vAlign w:val="center"/>
            <w:hideMark/>
          </w:tcPr>
          <w:p w14:paraId="7781D742" w14:textId="43D8CA50" w:rsidR="00F22B6D" w:rsidRPr="00380EAA" w:rsidRDefault="00F22B6D" w:rsidP="00996690">
            <w:pPr>
              <w:spacing w:before="0" w:after="0" w:line="240" w:lineRule="auto"/>
              <w:rPr>
                <w:rFonts w:cs="Calibri Light"/>
                <w:color w:val="000000"/>
                <w:sz w:val="20"/>
                <w:szCs w:val="20"/>
              </w:rPr>
            </w:pPr>
            <w:r w:rsidRPr="00380EAA">
              <w:rPr>
                <w:rFonts w:cs="Calibri Light"/>
                <w:color w:val="000000"/>
                <w:sz w:val="20"/>
                <w:szCs w:val="20"/>
              </w:rPr>
              <w:t>CZ06, CZ08, CZ09, CZ10, CZ14, CZ15, CZ16</w:t>
            </w:r>
          </w:p>
        </w:tc>
      </w:tr>
      <w:tr w:rsidR="00F22B6D" w:rsidRPr="00330DB0" w14:paraId="7EAF84D3" w14:textId="77777777" w:rsidTr="00D14CEA">
        <w:trPr>
          <w:cantSplit/>
          <w:trHeight w:val="20"/>
        </w:trPr>
        <w:tc>
          <w:tcPr>
            <w:tcW w:w="1440" w:type="dxa"/>
            <w:shd w:val="clear" w:color="000000" w:fill="FFFFFF"/>
            <w:noWrap/>
            <w:vAlign w:val="center"/>
            <w:hideMark/>
          </w:tcPr>
          <w:p w14:paraId="72A430F9" w14:textId="77777777" w:rsidR="00F22B6D" w:rsidRPr="00380EAA" w:rsidRDefault="00F22B6D" w:rsidP="00D14CEA">
            <w:pPr>
              <w:spacing w:before="0" w:after="0" w:line="240" w:lineRule="auto"/>
              <w:rPr>
                <w:rFonts w:cs="Calibri Light"/>
                <w:color w:val="000000"/>
                <w:sz w:val="20"/>
                <w:szCs w:val="20"/>
              </w:rPr>
            </w:pPr>
            <w:r w:rsidRPr="00380EAA">
              <w:rPr>
                <w:rFonts w:cs="Calibri Light"/>
                <w:color w:val="000000"/>
                <w:sz w:val="20"/>
                <w:szCs w:val="20"/>
              </w:rPr>
              <w:t>PG</w:t>
            </w:r>
            <w:r>
              <w:rPr>
                <w:rFonts w:cs="Calibri Light"/>
                <w:color w:val="000000"/>
                <w:sz w:val="20"/>
                <w:szCs w:val="20"/>
              </w:rPr>
              <w:t>&amp;E</w:t>
            </w:r>
          </w:p>
        </w:tc>
        <w:tc>
          <w:tcPr>
            <w:tcW w:w="4500" w:type="dxa"/>
            <w:shd w:val="clear" w:color="000000" w:fill="FFFFFF"/>
            <w:vAlign w:val="center"/>
            <w:hideMark/>
          </w:tcPr>
          <w:p w14:paraId="1FF7C0E3" w14:textId="6CAA47A4" w:rsidR="00F22B6D" w:rsidRPr="00380EAA" w:rsidRDefault="00F22B6D" w:rsidP="00D14CEA">
            <w:pPr>
              <w:spacing w:before="0" w:after="0" w:line="240" w:lineRule="auto"/>
              <w:rPr>
                <w:rFonts w:cs="Calibri Light"/>
                <w:color w:val="000000"/>
                <w:sz w:val="20"/>
                <w:szCs w:val="20"/>
              </w:rPr>
            </w:pPr>
            <w:r w:rsidRPr="00380EAA">
              <w:rPr>
                <w:rFonts w:cs="Calibri Light"/>
                <w:color w:val="000000"/>
                <w:sz w:val="20"/>
                <w:szCs w:val="20"/>
              </w:rPr>
              <w:t>CZ01, CZ02, CZ03, CZ04, CZ05, CZ11, CZ12</w:t>
            </w:r>
            <w:r w:rsidR="00996690">
              <w:rPr>
                <w:rFonts w:cs="Calibri Light"/>
                <w:color w:val="000000"/>
                <w:sz w:val="20"/>
                <w:szCs w:val="20"/>
              </w:rPr>
              <w:t>, CZ13</w:t>
            </w:r>
          </w:p>
        </w:tc>
      </w:tr>
      <w:tr w:rsidR="00F22B6D" w:rsidRPr="00330DB0" w14:paraId="443D7DED" w14:textId="77777777" w:rsidTr="00D14CEA">
        <w:trPr>
          <w:cantSplit/>
          <w:trHeight w:val="20"/>
        </w:trPr>
        <w:tc>
          <w:tcPr>
            <w:tcW w:w="1440" w:type="dxa"/>
            <w:shd w:val="clear" w:color="000000" w:fill="FFFFFF"/>
            <w:noWrap/>
            <w:vAlign w:val="center"/>
            <w:hideMark/>
          </w:tcPr>
          <w:p w14:paraId="2E8793FB" w14:textId="77777777" w:rsidR="00F22B6D" w:rsidRPr="00380EAA" w:rsidRDefault="00F22B6D" w:rsidP="00D14CEA">
            <w:pPr>
              <w:spacing w:before="0" w:after="0" w:line="240" w:lineRule="auto"/>
              <w:rPr>
                <w:rFonts w:cs="Calibri Light"/>
                <w:color w:val="000000"/>
                <w:sz w:val="20"/>
                <w:szCs w:val="20"/>
              </w:rPr>
            </w:pPr>
            <w:r w:rsidRPr="00380EAA">
              <w:rPr>
                <w:rFonts w:cs="Calibri Light"/>
                <w:color w:val="000000"/>
                <w:sz w:val="20"/>
                <w:szCs w:val="20"/>
              </w:rPr>
              <w:t>SDG</w:t>
            </w:r>
            <w:r>
              <w:rPr>
                <w:rFonts w:cs="Calibri Light"/>
                <w:color w:val="000000"/>
                <w:sz w:val="20"/>
                <w:szCs w:val="20"/>
              </w:rPr>
              <w:t>&amp;E</w:t>
            </w:r>
          </w:p>
        </w:tc>
        <w:tc>
          <w:tcPr>
            <w:tcW w:w="4500" w:type="dxa"/>
            <w:shd w:val="clear" w:color="000000" w:fill="FFFFFF"/>
            <w:vAlign w:val="center"/>
            <w:hideMark/>
          </w:tcPr>
          <w:p w14:paraId="2244CB71" w14:textId="77777777" w:rsidR="00F22B6D" w:rsidRPr="00380EAA" w:rsidRDefault="00F22B6D" w:rsidP="00D14CEA">
            <w:pPr>
              <w:spacing w:before="0" w:after="0" w:line="240" w:lineRule="auto"/>
              <w:rPr>
                <w:rFonts w:cs="Calibri Light"/>
                <w:color w:val="000000"/>
                <w:sz w:val="20"/>
                <w:szCs w:val="20"/>
              </w:rPr>
            </w:pPr>
            <w:r w:rsidRPr="00380EAA">
              <w:rPr>
                <w:rFonts w:cs="Calibri Light"/>
                <w:color w:val="000000"/>
                <w:sz w:val="20"/>
                <w:szCs w:val="20"/>
              </w:rPr>
              <w:t>CZ07</w:t>
            </w:r>
          </w:p>
        </w:tc>
      </w:tr>
    </w:tbl>
    <w:p w14:paraId="0614B8B4" w14:textId="77777777" w:rsidR="00F22B6D" w:rsidRDefault="00F22B6D" w:rsidP="00F22B6D">
      <w:pPr>
        <w:rPr>
          <w:rFonts w:asciiTheme="minorHAnsi" w:hAnsiTheme="minorHAnsi" w:cstheme="minorHAnsi"/>
          <w:i/>
          <w:szCs w:val="22"/>
        </w:rPr>
      </w:pPr>
    </w:p>
    <w:p w14:paraId="34D9B82F" w14:textId="77777777" w:rsidR="00BB4F22" w:rsidRPr="004B06E3" w:rsidRDefault="00BB4F22" w:rsidP="00BB4F22">
      <w:pPr>
        <w:pStyle w:val="eTRMHeading3"/>
      </w:pPr>
      <w:bookmarkStart w:id="48" w:name="_Toc486490856"/>
      <w:bookmarkStart w:id="49" w:name="_Toc486580927"/>
      <w:bookmarkStart w:id="50" w:name="_Toc12626366"/>
      <w:r w:rsidRPr="004B06E3">
        <w:t>Peak Electric Demand Reduction (kW)</w:t>
      </w:r>
      <w:bookmarkEnd w:id="48"/>
      <w:bookmarkEnd w:id="49"/>
      <w:bookmarkEnd w:id="50"/>
    </w:p>
    <w:p w14:paraId="0F1C2886" w14:textId="6ED36694" w:rsidR="00F22B6D" w:rsidRDefault="00F22B6D" w:rsidP="00F22B6D">
      <w:r>
        <w:t>The calculation of demand reduction is a function of the difference between the baseline and measure case lamp wattage</w:t>
      </w:r>
      <w:r w:rsidR="009879B9">
        <w:t xml:space="preserve"> (</w:t>
      </w:r>
      <w:r w:rsidR="009879B9">
        <w:rPr>
          <w:rFonts w:cs="Calibri Light"/>
        </w:rPr>
        <w:t>Δ</w:t>
      </w:r>
      <w:r w:rsidR="009879B9">
        <w:t>W)</w:t>
      </w:r>
      <w:r>
        <w:t xml:space="preserve">, a coincident demand factor (CDF) and interactive effects. </w:t>
      </w:r>
    </w:p>
    <w:p w14:paraId="464B54BA" w14:textId="77777777" w:rsidR="00F22B6D" w:rsidRDefault="00F22B6D" w:rsidP="00F22B6D"/>
    <w:p w14:paraId="52FE3850" w14:textId="77777777" w:rsidR="00F22B6D" w:rsidRPr="00A6479A" w:rsidRDefault="00F22B6D" w:rsidP="00F22B6D">
      <w:pPr>
        <w:ind w:left="720" w:hanging="720"/>
        <w:rPr>
          <w:sz w:val="18"/>
        </w:rPr>
      </w:pPr>
      <m:oMathPara>
        <m:oMathParaPr>
          <m:jc m:val="left"/>
        </m:oMathParaPr>
        <m:oMath>
          <m:r>
            <w:rPr>
              <w:rFonts w:ascii="Cambria Math" w:hAnsi="Cambria Math"/>
              <w:sz w:val="18"/>
            </w:rPr>
            <m:t>Peak Demand Reduction=</m:t>
          </m:r>
          <m:f>
            <m:fPr>
              <m:ctrlPr>
                <w:rPr>
                  <w:rFonts w:ascii="Cambria Math" w:hAnsi="Cambria Math"/>
                  <w:i/>
                  <w:sz w:val="18"/>
                </w:rPr>
              </m:ctrlPr>
            </m:fPr>
            <m:num>
              <m:r>
                <w:rPr>
                  <w:rFonts w:ascii="Cambria Math" w:hAnsi="Cambria Math"/>
                  <w:sz w:val="18"/>
                </w:rPr>
                <m:t>∆W×CDF×</m:t>
              </m:r>
              <m:sSub>
                <m:sSubPr>
                  <m:ctrlPr>
                    <w:rPr>
                      <w:rFonts w:ascii="Cambria Math" w:hAnsi="Cambria Math"/>
                      <w:i/>
                      <w:sz w:val="18"/>
                    </w:rPr>
                  </m:ctrlPr>
                </m:sSubPr>
                <m:e>
                  <m:r>
                    <w:rPr>
                      <w:rFonts w:ascii="Cambria Math" w:hAnsi="Cambria Math"/>
                      <w:sz w:val="18"/>
                    </w:rPr>
                    <m:t>IE</m:t>
                  </m:r>
                </m:e>
                <m:sub>
                  <m:r>
                    <w:rPr>
                      <w:rFonts w:ascii="Cambria Math" w:hAnsi="Cambria Math"/>
                      <w:sz w:val="18"/>
                    </w:rPr>
                    <m:t>elec</m:t>
                  </m:r>
                </m:sub>
              </m:sSub>
            </m:num>
            <m:den>
              <m:r>
                <w:rPr>
                  <w:rFonts w:ascii="Cambria Math" w:hAnsi="Cambria Math"/>
                  <w:sz w:val="18"/>
                </w:rPr>
                <m:t>1,000 W/kW</m:t>
              </m:r>
            </m:den>
          </m:f>
        </m:oMath>
      </m:oMathPara>
    </w:p>
    <w:p w14:paraId="7DC33F9B" w14:textId="77777777" w:rsidR="00F22B6D" w:rsidRDefault="00F22B6D" w:rsidP="00F22B6D">
      <w:pPr>
        <w:pStyle w:val="Reminders"/>
        <w:ind w:left="1440"/>
        <w:rPr>
          <w:rFonts w:asciiTheme="minorHAnsi" w:hAnsiTheme="minorHAnsi" w:cstheme="minorHAnsi"/>
          <w:color w:val="191919" w:themeColor="text1"/>
          <w:szCs w:val="22"/>
        </w:rPr>
      </w:pPr>
    </w:p>
    <w:p w14:paraId="466C28C0" w14:textId="77777777" w:rsidR="00F22B6D" w:rsidRPr="00A6479A" w:rsidRDefault="00F22B6D" w:rsidP="00F22B6D">
      <w:pPr>
        <w:ind w:left="1530"/>
        <w:rPr>
          <w:rFonts w:ascii="Cambria Math" w:hAnsi="Cambria Math"/>
          <w:i/>
          <w:sz w:val="18"/>
          <w:szCs w:val="18"/>
        </w:rPr>
      </w:pPr>
      <w:r w:rsidRPr="00A6479A">
        <w:rPr>
          <w:rFonts w:ascii="Cambria Math" w:hAnsi="Cambria Math"/>
          <w:i/>
          <w:sz w:val="18"/>
          <w:szCs w:val="18"/>
        </w:rPr>
        <w:t xml:space="preserve">∆Watts/unit = </w:t>
      </w:r>
      <w:r>
        <w:rPr>
          <w:rFonts w:ascii="Cambria Math" w:hAnsi="Cambria Math"/>
          <w:i/>
          <w:sz w:val="18"/>
          <w:szCs w:val="18"/>
        </w:rPr>
        <w:tab/>
      </w:r>
      <w:r w:rsidRPr="00A6479A">
        <w:rPr>
          <w:rFonts w:ascii="Cambria Math" w:hAnsi="Cambria Math"/>
          <w:i/>
          <w:sz w:val="18"/>
          <w:szCs w:val="18"/>
        </w:rPr>
        <w:t>(Base Case Average Watts per lamp) – (Measure Case Average Watts per lamp)</w:t>
      </w:r>
    </w:p>
    <w:p w14:paraId="3E6428F0" w14:textId="77777777" w:rsidR="00F22B6D" w:rsidRPr="00A6479A" w:rsidRDefault="00F22B6D" w:rsidP="00F22B6D">
      <w:pPr>
        <w:ind w:left="1530"/>
        <w:rPr>
          <w:rFonts w:ascii="Cambria Math" w:hAnsi="Cambria Math"/>
          <w:i/>
          <w:sz w:val="18"/>
          <w:szCs w:val="18"/>
        </w:rPr>
      </w:pPr>
      <w:r>
        <w:rPr>
          <w:rFonts w:ascii="Cambria Math" w:hAnsi="Cambria Math"/>
          <w:i/>
          <w:sz w:val="18"/>
          <w:szCs w:val="18"/>
        </w:rPr>
        <w:t>CDF</w:t>
      </w:r>
      <w:r w:rsidRPr="00A6479A">
        <w:rPr>
          <w:rFonts w:ascii="Cambria Math" w:hAnsi="Cambria Math"/>
          <w:i/>
          <w:sz w:val="18"/>
          <w:szCs w:val="18"/>
        </w:rPr>
        <w:t xml:space="preserve"> = </w:t>
      </w:r>
      <w:r>
        <w:rPr>
          <w:rFonts w:ascii="Cambria Math" w:hAnsi="Cambria Math"/>
          <w:i/>
          <w:sz w:val="18"/>
          <w:szCs w:val="18"/>
        </w:rPr>
        <w:tab/>
      </w:r>
      <w:r>
        <w:rPr>
          <w:rFonts w:ascii="Cambria Math" w:hAnsi="Cambria Math"/>
          <w:i/>
          <w:sz w:val="18"/>
          <w:szCs w:val="18"/>
        </w:rPr>
        <w:tab/>
        <w:t>Coincident demand factor</w:t>
      </w:r>
    </w:p>
    <w:p w14:paraId="23835B34" w14:textId="77777777" w:rsidR="00F22B6D" w:rsidRPr="00A6479A" w:rsidRDefault="00F22B6D" w:rsidP="00F22B6D">
      <w:pPr>
        <w:ind w:left="1530"/>
        <w:rPr>
          <w:rFonts w:ascii="Cambria Math" w:hAnsi="Cambria Math"/>
          <w:i/>
          <w:sz w:val="18"/>
          <w:szCs w:val="18"/>
        </w:rPr>
      </w:pPr>
      <w:proofErr w:type="spellStart"/>
      <w:r w:rsidRPr="00A6479A">
        <w:rPr>
          <w:rFonts w:ascii="Cambria Math" w:hAnsi="Cambria Math"/>
          <w:i/>
          <w:sz w:val="18"/>
          <w:szCs w:val="18"/>
        </w:rPr>
        <w:t>IE</w:t>
      </w:r>
      <w:r w:rsidRPr="00243F7F">
        <w:rPr>
          <w:rFonts w:ascii="Cambria Math" w:hAnsi="Cambria Math"/>
          <w:i/>
          <w:sz w:val="18"/>
          <w:szCs w:val="18"/>
          <w:vertAlign w:val="subscript"/>
        </w:rPr>
        <w:t>elec</w:t>
      </w:r>
      <w:proofErr w:type="spellEnd"/>
      <w:r w:rsidRPr="00A6479A">
        <w:rPr>
          <w:rFonts w:ascii="Cambria Math" w:hAnsi="Cambria Math"/>
          <w:i/>
          <w:sz w:val="18"/>
          <w:szCs w:val="18"/>
        </w:rPr>
        <w:t xml:space="preserve"> = </w:t>
      </w:r>
      <w:r>
        <w:rPr>
          <w:rFonts w:ascii="Cambria Math" w:hAnsi="Cambria Math"/>
          <w:i/>
          <w:sz w:val="18"/>
          <w:szCs w:val="18"/>
        </w:rPr>
        <w:tab/>
      </w:r>
      <w:r>
        <w:rPr>
          <w:rFonts w:ascii="Cambria Math" w:hAnsi="Cambria Math"/>
          <w:i/>
          <w:sz w:val="18"/>
          <w:szCs w:val="18"/>
        </w:rPr>
        <w:tab/>
      </w:r>
      <w:r w:rsidRPr="00A6479A">
        <w:rPr>
          <w:rFonts w:ascii="Cambria Math" w:hAnsi="Cambria Math"/>
          <w:i/>
          <w:sz w:val="18"/>
          <w:szCs w:val="18"/>
        </w:rPr>
        <w:t>Interactive Effects, by building type/space</w:t>
      </w:r>
    </w:p>
    <w:p w14:paraId="014E8F78" w14:textId="77777777" w:rsidR="00F22B6D" w:rsidRDefault="00F22B6D" w:rsidP="00F22B6D"/>
    <w:p w14:paraId="7C1921A3" w14:textId="77777777" w:rsidR="0024226C" w:rsidRDefault="0024226C" w:rsidP="0024226C">
      <w:r>
        <w:t>The resultant demand reduction varies</w:t>
      </w:r>
      <w:r w:rsidRPr="00E64ED0">
        <w:t xml:space="preserve"> by market sector and building type</w:t>
      </w:r>
      <w:r>
        <w:t xml:space="preserve">, due to </w:t>
      </w:r>
      <w:r w:rsidRPr="00E64ED0">
        <w:t>differences in interactive effect</w:t>
      </w:r>
      <w:r>
        <w:t>s</w:t>
      </w:r>
      <w:r w:rsidRPr="00E64ED0">
        <w:t>.</w:t>
      </w:r>
    </w:p>
    <w:p w14:paraId="3DE29D33" w14:textId="65FADDB7" w:rsidR="00F22B6D" w:rsidRDefault="00F22B6D" w:rsidP="00F22B6D">
      <w:r>
        <w:t xml:space="preserve">See the Electric Savings for </w:t>
      </w:r>
      <w:r w:rsidR="00356315">
        <w:t>an explanation</w:t>
      </w:r>
      <w:r>
        <w:t xml:space="preserve"> of the base case and measure case average watts per lamp </w:t>
      </w:r>
      <w:r w:rsidR="009879B9">
        <w:t xml:space="preserve">used to derive the </w:t>
      </w:r>
      <w:r w:rsidR="009879B9">
        <w:rPr>
          <w:rFonts w:cs="Calibri Light"/>
        </w:rPr>
        <w:t>Δ</w:t>
      </w:r>
      <w:r w:rsidR="009879B9">
        <w:t xml:space="preserve">W </w:t>
      </w:r>
      <w:r>
        <w:t xml:space="preserve">and the interactive effects multiplier. </w:t>
      </w:r>
    </w:p>
    <w:p w14:paraId="20A4F38C" w14:textId="70AA25D6" w:rsidR="002D26EB" w:rsidRDefault="009E0430" w:rsidP="00BD05BC">
      <w:r w:rsidRPr="005C0ADE">
        <w:rPr>
          <w:b/>
        </w:rPr>
        <w:t>Coincident Demand Factor (CDF).</w:t>
      </w:r>
      <w:r w:rsidRPr="0087005A">
        <w:t xml:space="preserve"> </w:t>
      </w:r>
      <w:r w:rsidRPr="00844CB5">
        <w:t xml:space="preserve">The coincident demand factor (CDF) represents the percentage of the time that all the lights in the building are on at the same time, during the CPUC-defined peak hours. This </w:t>
      </w:r>
      <w:r w:rsidRPr="00844CB5">
        <w:lastRenderedPageBreak/>
        <w:t xml:space="preserve">factor is applied to the demand savings to align the savings with this peak period. </w:t>
      </w:r>
      <w:r>
        <w:t>The CDF</w:t>
      </w:r>
      <w:r w:rsidRPr="00844CB5">
        <w:t xml:space="preserve"> varies by building type and climate zone.</w:t>
      </w:r>
    </w:p>
    <w:p w14:paraId="567A6CA1" w14:textId="72269242" w:rsidR="003D3CA3" w:rsidRDefault="003D3CA3" w:rsidP="003D3CA3">
      <w:r>
        <w:t xml:space="preserve">The sources for all input for this calculation are specified below.  </w:t>
      </w:r>
    </w:p>
    <w:p w14:paraId="4A7A7229" w14:textId="77777777" w:rsidR="003D3CA3" w:rsidRDefault="003D3CA3" w:rsidP="00BD05BC"/>
    <w:p w14:paraId="62C35206" w14:textId="7A8281E9" w:rsidR="00F22354" w:rsidRDefault="00F22354" w:rsidP="00674C51">
      <w:pPr>
        <w:pStyle w:val="Caption"/>
      </w:pPr>
      <w:r>
        <w:t>Demand Reduction Inputs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57"/>
        <w:gridCol w:w="3003"/>
        <w:gridCol w:w="3590"/>
      </w:tblGrid>
      <w:tr w:rsidR="00F22354" w:rsidRPr="008E3C8D" w14:paraId="1F2BF412" w14:textId="77777777" w:rsidTr="00D14CEA">
        <w:trPr>
          <w:cantSplit/>
          <w:trHeight w:val="20"/>
        </w:trPr>
        <w:tc>
          <w:tcPr>
            <w:tcW w:w="2757" w:type="dxa"/>
            <w:shd w:val="clear" w:color="auto" w:fill="F2F2F2" w:themeFill="background1" w:themeFillShade="F2"/>
            <w:vAlign w:val="bottom"/>
          </w:tcPr>
          <w:p w14:paraId="1A7CD330" w14:textId="77777777" w:rsidR="00F22354" w:rsidRPr="008E3C8D" w:rsidRDefault="00F22354" w:rsidP="00D14CEA">
            <w:pPr>
              <w:keepNext/>
              <w:keepLines/>
              <w:spacing w:before="20" w:after="20"/>
              <w:jc w:val="center"/>
              <w:rPr>
                <w:rFonts w:cstheme="minorHAnsi"/>
                <w:b/>
                <w:sz w:val="20"/>
                <w:szCs w:val="20"/>
              </w:rPr>
            </w:pPr>
            <w:r w:rsidRPr="008E3C8D">
              <w:rPr>
                <w:rFonts w:cstheme="minorHAnsi"/>
                <w:b/>
                <w:sz w:val="20"/>
                <w:szCs w:val="20"/>
              </w:rPr>
              <w:t>Parameter</w:t>
            </w:r>
          </w:p>
        </w:tc>
        <w:tc>
          <w:tcPr>
            <w:tcW w:w="3003" w:type="dxa"/>
            <w:shd w:val="clear" w:color="auto" w:fill="F2F2F2" w:themeFill="background1" w:themeFillShade="F2"/>
          </w:tcPr>
          <w:p w14:paraId="41BE8CF6" w14:textId="77777777" w:rsidR="00F22354" w:rsidRPr="008E3C8D" w:rsidRDefault="00F22354" w:rsidP="00D14CEA">
            <w:pPr>
              <w:keepNext/>
              <w:keepLines/>
              <w:spacing w:before="20" w:after="20"/>
              <w:jc w:val="center"/>
              <w:rPr>
                <w:rFonts w:cstheme="minorHAnsi"/>
                <w:b/>
                <w:sz w:val="20"/>
                <w:szCs w:val="20"/>
              </w:rPr>
            </w:pPr>
            <w:r w:rsidRPr="008E3C8D">
              <w:rPr>
                <w:rFonts w:cstheme="minorHAnsi"/>
                <w:b/>
                <w:sz w:val="20"/>
                <w:szCs w:val="20"/>
              </w:rPr>
              <w:t>Value</w:t>
            </w:r>
          </w:p>
        </w:tc>
        <w:tc>
          <w:tcPr>
            <w:tcW w:w="3590" w:type="dxa"/>
            <w:shd w:val="clear" w:color="auto" w:fill="F2F2F2" w:themeFill="background1" w:themeFillShade="F2"/>
          </w:tcPr>
          <w:p w14:paraId="46329FDE" w14:textId="77777777" w:rsidR="00F22354" w:rsidRPr="008E3C8D" w:rsidRDefault="00F22354" w:rsidP="00D14CEA">
            <w:pPr>
              <w:keepNext/>
              <w:keepLines/>
              <w:spacing w:before="20" w:after="20"/>
              <w:jc w:val="center"/>
              <w:rPr>
                <w:rFonts w:cstheme="minorHAnsi"/>
                <w:b/>
                <w:sz w:val="20"/>
                <w:szCs w:val="20"/>
              </w:rPr>
            </w:pPr>
            <w:r w:rsidRPr="008E3C8D">
              <w:rPr>
                <w:rFonts w:cstheme="minorHAnsi"/>
                <w:b/>
                <w:sz w:val="20"/>
                <w:szCs w:val="20"/>
              </w:rPr>
              <w:t>Source</w:t>
            </w:r>
          </w:p>
        </w:tc>
      </w:tr>
      <w:tr w:rsidR="00F22354" w:rsidRPr="008E3C8D" w14:paraId="4CD43421" w14:textId="77777777" w:rsidTr="00D14CEA">
        <w:trPr>
          <w:cantSplit/>
          <w:trHeight w:val="20"/>
        </w:trPr>
        <w:tc>
          <w:tcPr>
            <w:tcW w:w="2757" w:type="dxa"/>
            <w:vAlign w:val="center"/>
          </w:tcPr>
          <w:p w14:paraId="743F2A02" w14:textId="77777777" w:rsidR="00F22354" w:rsidRPr="008E3C8D" w:rsidRDefault="00F22354" w:rsidP="00D14CEA">
            <w:pPr>
              <w:keepNext/>
              <w:keepLines/>
              <w:spacing w:before="20" w:after="20"/>
              <w:rPr>
                <w:sz w:val="20"/>
                <w:szCs w:val="20"/>
              </w:rPr>
            </w:pPr>
            <w:r w:rsidRPr="008E3C8D">
              <w:rPr>
                <w:sz w:val="20"/>
                <w:szCs w:val="20"/>
              </w:rPr>
              <w:t>Base case average lamp wattage (W)</w:t>
            </w:r>
          </w:p>
        </w:tc>
        <w:tc>
          <w:tcPr>
            <w:tcW w:w="3003" w:type="dxa"/>
            <w:vAlign w:val="center"/>
          </w:tcPr>
          <w:p w14:paraId="363B75E7" w14:textId="55181064" w:rsidR="00F22354" w:rsidRPr="008E3C8D" w:rsidRDefault="00F22354" w:rsidP="00D14CEA">
            <w:pPr>
              <w:keepNext/>
              <w:keepLines/>
              <w:spacing w:before="20" w:after="20"/>
              <w:jc w:val="center"/>
              <w:rPr>
                <w:sz w:val="18"/>
                <w:szCs w:val="18"/>
              </w:rPr>
            </w:pPr>
            <w:r w:rsidRPr="008E3C8D">
              <w:rPr>
                <w:rFonts w:cs="Arial"/>
                <w:sz w:val="18"/>
                <w:szCs w:val="20"/>
              </w:rPr>
              <w:t xml:space="preserve">Varies by building type </w:t>
            </w:r>
          </w:p>
        </w:tc>
        <w:tc>
          <w:tcPr>
            <w:tcW w:w="3590" w:type="dxa"/>
            <w:vAlign w:val="center"/>
          </w:tcPr>
          <w:p w14:paraId="2226FD68" w14:textId="278F942D" w:rsidR="00F22354" w:rsidRPr="00490177" w:rsidRDefault="00490177" w:rsidP="00D14CEA">
            <w:pPr>
              <w:pStyle w:val="FootnoteText"/>
              <w:keepNext/>
              <w:keepLines/>
              <w:rPr>
                <w:szCs w:val="18"/>
              </w:rPr>
            </w:pPr>
            <w:r w:rsidRPr="00490177">
              <w:rPr>
                <w:szCs w:val="18"/>
              </w:rPr>
              <w:t>Calculated.</w:t>
            </w:r>
          </w:p>
        </w:tc>
      </w:tr>
      <w:tr w:rsidR="00F22354" w:rsidRPr="008E3C8D" w14:paraId="78BEECCD" w14:textId="77777777" w:rsidTr="00D14CEA">
        <w:trPr>
          <w:cantSplit/>
          <w:trHeight w:val="20"/>
        </w:trPr>
        <w:tc>
          <w:tcPr>
            <w:tcW w:w="2757" w:type="dxa"/>
            <w:vAlign w:val="center"/>
          </w:tcPr>
          <w:p w14:paraId="03E0BC6B" w14:textId="77777777" w:rsidR="00F22354" w:rsidRPr="008E3C8D" w:rsidRDefault="00F22354" w:rsidP="00D14CEA">
            <w:pPr>
              <w:keepNext/>
              <w:keepLines/>
              <w:spacing w:before="20" w:after="20"/>
              <w:rPr>
                <w:sz w:val="20"/>
                <w:szCs w:val="20"/>
              </w:rPr>
            </w:pPr>
            <w:r w:rsidRPr="008E3C8D">
              <w:rPr>
                <w:sz w:val="20"/>
                <w:szCs w:val="20"/>
              </w:rPr>
              <w:t>Measure case average lamp wattage (W)</w:t>
            </w:r>
          </w:p>
        </w:tc>
        <w:tc>
          <w:tcPr>
            <w:tcW w:w="3003" w:type="dxa"/>
            <w:vAlign w:val="center"/>
          </w:tcPr>
          <w:p w14:paraId="38CFA3D6" w14:textId="77777777" w:rsidR="00F22354" w:rsidRPr="008E3C8D" w:rsidRDefault="00F22354" w:rsidP="00D14CEA">
            <w:pPr>
              <w:keepNext/>
              <w:keepLines/>
              <w:spacing w:before="20" w:after="20"/>
              <w:jc w:val="center"/>
              <w:rPr>
                <w:sz w:val="18"/>
                <w:szCs w:val="18"/>
              </w:rPr>
            </w:pPr>
            <w:r w:rsidRPr="008E3C8D">
              <w:rPr>
                <w:sz w:val="18"/>
                <w:szCs w:val="18"/>
              </w:rPr>
              <w:t>8.0</w:t>
            </w:r>
          </w:p>
          <w:p w14:paraId="5FA913F6" w14:textId="5123FD04" w:rsidR="00F22354" w:rsidRPr="008E3C8D" w:rsidRDefault="00F22354" w:rsidP="00D14CEA">
            <w:pPr>
              <w:keepNext/>
              <w:keepLines/>
              <w:spacing w:before="20" w:after="20"/>
              <w:jc w:val="center"/>
              <w:rPr>
                <w:sz w:val="18"/>
                <w:szCs w:val="18"/>
              </w:rPr>
            </w:pPr>
            <w:r w:rsidRPr="008E3C8D">
              <w:rPr>
                <w:sz w:val="18"/>
                <w:szCs w:val="18"/>
              </w:rPr>
              <w:t>7.1</w:t>
            </w:r>
          </w:p>
        </w:tc>
        <w:tc>
          <w:tcPr>
            <w:tcW w:w="3590" w:type="dxa"/>
            <w:vAlign w:val="center"/>
          </w:tcPr>
          <w:p w14:paraId="746F9BF5" w14:textId="382B1C28" w:rsidR="00F22354" w:rsidRPr="008E3C8D" w:rsidRDefault="004D4201" w:rsidP="00D14CEA">
            <w:pPr>
              <w:pStyle w:val="FootnoteText"/>
              <w:keepNext/>
              <w:keepLines/>
              <w:rPr>
                <w:szCs w:val="18"/>
              </w:rPr>
            </w:pPr>
            <w:r w:rsidRPr="008E3C8D">
              <w:rPr>
                <w:szCs w:val="18"/>
              </w:rPr>
              <w:t xml:space="preserve">See </w:t>
            </w:r>
            <w:r w:rsidR="008E3C8D">
              <w:rPr>
                <w:szCs w:val="18"/>
              </w:rPr>
              <w:t>Electric</w:t>
            </w:r>
            <w:r w:rsidRPr="008E3C8D">
              <w:rPr>
                <w:szCs w:val="18"/>
              </w:rPr>
              <w:t xml:space="preserve"> Savings.</w:t>
            </w:r>
          </w:p>
        </w:tc>
      </w:tr>
      <w:tr w:rsidR="00F22354" w:rsidRPr="008E3C8D" w14:paraId="1030EAC6" w14:textId="77777777" w:rsidTr="00D14CEA">
        <w:trPr>
          <w:cantSplit/>
          <w:trHeight w:val="20"/>
        </w:trPr>
        <w:tc>
          <w:tcPr>
            <w:tcW w:w="27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8F7CC4" w14:textId="77777777" w:rsidR="00F22354" w:rsidRPr="008E3C8D" w:rsidRDefault="00F22354" w:rsidP="00D14CEA">
            <w:pPr>
              <w:keepNext/>
              <w:keepLines/>
              <w:spacing w:before="20" w:after="20"/>
              <w:rPr>
                <w:sz w:val="20"/>
                <w:szCs w:val="20"/>
              </w:rPr>
            </w:pPr>
            <w:r w:rsidRPr="008E3C8D">
              <w:rPr>
                <w:sz w:val="20"/>
                <w:szCs w:val="20"/>
              </w:rPr>
              <w:t xml:space="preserve">Lighting coincident demand factor (CDF) – commercial </w:t>
            </w:r>
          </w:p>
        </w:tc>
        <w:tc>
          <w:tcPr>
            <w:tcW w:w="30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B254A0" w14:textId="77777777" w:rsidR="00F22354" w:rsidRPr="008E3C8D" w:rsidRDefault="00F22354" w:rsidP="00D14CEA">
            <w:pPr>
              <w:keepNext/>
              <w:keepLines/>
              <w:spacing w:before="20" w:after="20"/>
              <w:rPr>
                <w:sz w:val="18"/>
                <w:szCs w:val="18"/>
              </w:rPr>
            </w:pPr>
            <w:r w:rsidRPr="008E3C8D">
              <w:rPr>
                <w:sz w:val="18"/>
                <w:szCs w:val="18"/>
              </w:rPr>
              <w:t>Varies by building type, vintage, lighting type and occupancy sensor scenario</w:t>
            </w:r>
          </w:p>
        </w:tc>
        <w:tc>
          <w:tcPr>
            <w:tcW w:w="3590" w:type="dxa"/>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2A656DC5" w14:textId="79DB9260" w:rsidR="00F22354" w:rsidRPr="008E3C8D" w:rsidRDefault="004D4201" w:rsidP="00D14CEA">
            <w:pPr>
              <w:pStyle w:val="FootnoteText"/>
              <w:rPr>
                <w:szCs w:val="18"/>
                <w:highlight w:val="yellow"/>
              </w:rPr>
            </w:pPr>
            <w:r w:rsidRPr="008E3C8D">
              <w:t>California Public Utilities Commission (CPUC), Energy Division, Ex Ante Review Team. 2018. “DEER2020-Lighting-HVAC-IE-values.xlsx” September 7.</w:t>
            </w:r>
          </w:p>
        </w:tc>
      </w:tr>
      <w:tr w:rsidR="00F22354" w:rsidRPr="008E3C8D" w14:paraId="56E7D672" w14:textId="77777777" w:rsidTr="00D14CEA">
        <w:trPr>
          <w:cantSplit/>
          <w:trHeight w:val="20"/>
        </w:trPr>
        <w:tc>
          <w:tcPr>
            <w:tcW w:w="27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FAB56FE" w14:textId="77777777" w:rsidR="00F22354" w:rsidRPr="008E3C8D" w:rsidRDefault="00F22354" w:rsidP="00D14CEA">
            <w:pPr>
              <w:keepNext/>
              <w:keepLines/>
              <w:spacing w:before="20" w:after="20"/>
              <w:rPr>
                <w:sz w:val="20"/>
                <w:szCs w:val="20"/>
              </w:rPr>
            </w:pPr>
            <w:r w:rsidRPr="008E3C8D">
              <w:rPr>
                <w:sz w:val="20"/>
                <w:szCs w:val="20"/>
              </w:rPr>
              <w:t>Interactive effects - commercial</w:t>
            </w:r>
          </w:p>
        </w:tc>
        <w:tc>
          <w:tcPr>
            <w:tcW w:w="30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B35166E" w14:textId="77777777" w:rsidR="00F22354" w:rsidRPr="008E3C8D" w:rsidRDefault="00F22354" w:rsidP="00D14CEA">
            <w:pPr>
              <w:keepNext/>
              <w:keepLines/>
              <w:spacing w:before="20" w:after="20"/>
              <w:rPr>
                <w:sz w:val="18"/>
                <w:szCs w:val="18"/>
              </w:rPr>
            </w:pPr>
            <w:r w:rsidRPr="008E3C8D">
              <w:rPr>
                <w:sz w:val="18"/>
                <w:szCs w:val="18"/>
              </w:rPr>
              <w:t>Varies by climate zone, building type, vintage, lighting type and occupancy sensor scenario</w:t>
            </w:r>
          </w:p>
        </w:tc>
        <w:tc>
          <w:tcPr>
            <w:tcW w:w="3590" w:type="dxa"/>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AA50BB" w14:textId="0E0DA209" w:rsidR="00F22354" w:rsidRPr="008E3C8D" w:rsidRDefault="004D4201" w:rsidP="00D14CEA">
            <w:pPr>
              <w:pStyle w:val="FootnoteText"/>
              <w:rPr>
                <w:szCs w:val="18"/>
                <w:highlight w:val="yellow"/>
              </w:rPr>
            </w:pPr>
            <w:r w:rsidRPr="008E3C8D">
              <w:t>California Public Utilities Commission (CPUC), Energy Division, Ex Ante Review Team. 2018. “DEER2020-Lighting-HVAC-IE-values.xlsx” September 7.</w:t>
            </w:r>
          </w:p>
        </w:tc>
      </w:tr>
    </w:tbl>
    <w:p w14:paraId="731FF9D4" w14:textId="1B887885" w:rsidR="00752D76" w:rsidRDefault="00752D76" w:rsidP="00BD05BC">
      <w:pPr>
        <w:rPr>
          <w:szCs w:val="22"/>
        </w:rPr>
      </w:pPr>
    </w:p>
    <w:p w14:paraId="52295772" w14:textId="77777777" w:rsidR="00F22B6D" w:rsidRDefault="00F22B6D" w:rsidP="00F22B6D">
      <w:r>
        <w:t>The table below maps each California climate zone to an IOU service area to identify the appropriate saving value for each California climate zone.</w:t>
      </w:r>
    </w:p>
    <w:p w14:paraId="5C06BDB0" w14:textId="77777777" w:rsidR="00490177" w:rsidRDefault="00490177" w:rsidP="00490177">
      <w:pPr>
        <w:pStyle w:val="Caption"/>
        <w:rPr>
          <w:sz w:val="22"/>
        </w:rPr>
      </w:pPr>
      <w:r>
        <w:t xml:space="preserve">Climate Zone-IOU Service Area Mapping </w:t>
      </w:r>
    </w:p>
    <w:tbl>
      <w:tblPr>
        <w:tblW w:w="59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40"/>
        <w:gridCol w:w="4500"/>
      </w:tblGrid>
      <w:tr w:rsidR="00490177" w:rsidRPr="00330DB0" w14:paraId="48C81C2D" w14:textId="77777777" w:rsidTr="004701BF">
        <w:trPr>
          <w:cantSplit/>
          <w:trHeight w:val="20"/>
        </w:trPr>
        <w:tc>
          <w:tcPr>
            <w:tcW w:w="1440" w:type="dxa"/>
            <w:shd w:val="clear" w:color="auto" w:fill="F2F2F2" w:themeFill="background1" w:themeFillShade="F2"/>
            <w:noWrap/>
            <w:vAlign w:val="bottom"/>
            <w:hideMark/>
          </w:tcPr>
          <w:p w14:paraId="09A7F331" w14:textId="77777777" w:rsidR="00490177" w:rsidRPr="00380EAA" w:rsidRDefault="00490177" w:rsidP="004701BF">
            <w:pPr>
              <w:spacing w:before="0" w:after="0" w:line="240" w:lineRule="auto"/>
              <w:jc w:val="center"/>
              <w:rPr>
                <w:rFonts w:cs="Calibri Light"/>
                <w:b/>
                <w:bCs/>
                <w:sz w:val="20"/>
                <w:szCs w:val="20"/>
              </w:rPr>
            </w:pPr>
            <w:r w:rsidRPr="00380EAA">
              <w:rPr>
                <w:rFonts w:cs="Calibri Light"/>
                <w:b/>
                <w:bCs/>
                <w:sz w:val="20"/>
                <w:szCs w:val="20"/>
              </w:rPr>
              <w:t>Program Administrator</w:t>
            </w:r>
          </w:p>
        </w:tc>
        <w:tc>
          <w:tcPr>
            <w:tcW w:w="4500" w:type="dxa"/>
            <w:shd w:val="clear" w:color="auto" w:fill="F2F2F2" w:themeFill="background1" w:themeFillShade="F2"/>
            <w:noWrap/>
            <w:vAlign w:val="bottom"/>
            <w:hideMark/>
          </w:tcPr>
          <w:p w14:paraId="0B2941A5" w14:textId="77777777" w:rsidR="00490177" w:rsidRPr="00380EAA" w:rsidRDefault="00490177" w:rsidP="004701BF">
            <w:pPr>
              <w:spacing w:before="0" w:after="0" w:line="240" w:lineRule="auto"/>
              <w:jc w:val="center"/>
              <w:rPr>
                <w:rFonts w:cs="Calibri Light"/>
                <w:b/>
                <w:bCs/>
                <w:sz w:val="20"/>
                <w:szCs w:val="20"/>
              </w:rPr>
            </w:pPr>
            <w:r w:rsidRPr="00380EAA">
              <w:rPr>
                <w:rFonts w:cs="Calibri Light"/>
                <w:b/>
                <w:bCs/>
                <w:sz w:val="20"/>
                <w:szCs w:val="20"/>
              </w:rPr>
              <w:t>Climate Zone</w:t>
            </w:r>
          </w:p>
        </w:tc>
      </w:tr>
      <w:tr w:rsidR="00490177" w:rsidRPr="00330DB0" w14:paraId="321047BF" w14:textId="77777777" w:rsidTr="004701BF">
        <w:trPr>
          <w:cantSplit/>
          <w:trHeight w:val="20"/>
        </w:trPr>
        <w:tc>
          <w:tcPr>
            <w:tcW w:w="1440" w:type="dxa"/>
            <w:shd w:val="clear" w:color="000000" w:fill="FFFFFF"/>
            <w:noWrap/>
            <w:vAlign w:val="center"/>
            <w:hideMark/>
          </w:tcPr>
          <w:p w14:paraId="3FEDBDE5"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SCE</w:t>
            </w:r>
          </w:p>
        </w:tc>
        <w:tc>
          <w:tcPr>
            <w:tcW w:w="4500" w:type="dxa"/>
            <w:shd w:val="clear" w:color="000000" w:fill="FFFFFF"/>
            <w:vAlign w:val="center"/>
            <w:hideMark/>
          </w:tcPr>
          <w:p w14:paraId="1E9AC1FA"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CZ06, CZ08, CZ09, CZ10, CZ14, CZ15, CZ16</w:t>
            </w:r>
          </w:p>
        </w:tc>
      </w:tr>
      <w:tr w:rsidR="00490177" w:rsidRPr="00330DB0" w14:paraId="6F9FE14C" w14:textId="77777777" w:rsidTr="004701BF">
        <w:trPr>
          <w:cantSplit/>
          <w:trHeight w:val="20"/>
        </w:trPr>
        <w:tc>
          <w:tcPr>
            <w:tcW w:w="1440" w:type="dxa"/>
            <w:shd w:val="clear" w:color="000000" w:fill="FFFFFF"/>
            <w:noWrap/>
            <w:vAlign w:val="center"/>
            <w:hideMark/>
          </w:tcPr>
          <w:p w14:paraId="359D3F82"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PG</w:t>
            </w:r>
            <w:r>
              <w:rPr>
                <w:rFonts w:cs="Calibri Light"/>
                <w:color w:val="000000"/>
                <w:sz w:val="20"/>
                <w:szCs w:val="20"/>
              </w:rPr>
              <w:t>&amp;E</w:t>
            </w:r>
          </w:p>
        </w:tc>
        <w:tc>
          <w:tcPr>
            <w:tcW w:w="4500" w:type="dxa"/>
            <w:shd w:val="clear" w:color="000000" w:fill="FFFFFF"/>
            <w:vAlign w:val="center"/>
            <w:hideMark/>
          </w:tcPr>
          <w:p w14:paraId="6C9A1EE3"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CZ01, CZ02, CZ03, CZ04, CZ05, CZ11, CZ12</w:t>
            </w:r>
            <w:r>
              <w:rPr>
                <w:rFonts w:cs="Calibri Light"/>
                <w:color w:val="000000"/>
                <w:sz w:val="20"/>
                <w:szCs w:val="20"/>
              </w:rPr>
              <w:t>, CZ13</w:t>
            </w:r>
          </w:p>
        </w:tc>
      </w:tr>
      <w:tr w:rsidR="00490177" w:rsidRPr="00330DB0" w14:paraId="22DFF340" w14:textId="77777777" w:rsidTr="004701BF">
        <w:trPr>
          <w:cantSplit/>
          <w:trHeight w:val="20"/>
        </w:trPr>
        <w:tc>
          <w:tcPr>
            <w:tcW w:w="1440" w:type="dxa"/>
            <w:shd w:val="clear" w:color="000000" w:fill="FFFFFF"/>
            <w:noWrap/>
            <w:vAlign w:val="center"/>
            <w:hideMark/>
          </w:tcPr>
          <w:p w14:paraId="6393241B"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SDG</w:t>
            </w:r>
            <w:r>
              <w:rPr>
                <w:rFonts w:cs="Calibri Light"/>
                <w:color w:val="000000"/>
                <w:sz w:val="20"/>
                <w:szCs w:val="20"/>
              </w:rPr>
              <w:t>&amp;E</w:t>
            </w:r>
          </w:p>
        </w:tc>
        <w:tc>
          <w:tcPr>
            <w:tcW w:w="4500" w:type="dxa"/>
            <w:shd w:val="clear" w:color="000000" w:fill="FFFFFF"/>
            <w:vAlign w:val="center"/>
            <w:hideMark/>
          </w:tcPr>
          <w:p w14:paraId="1EDD179F" w14:textId="77777777" w:rsidR="00490177" w:rsidRPr="00380EAA" w:rsidRDefault="00490177" w:rsidP="004701BF">
            <w:pPr>
              <w:spacing w:before="0" w:after="0" w:line="240" w:lineRule="auto"/>
              <w:rPr>
                <w:rFonts w:cs="Calibri Light"/>
                <w:color w:val="000000"/>
                <w:sz w:val="20"/>
                <w:szCs w:val="20"/>
              </w:rPr>
            </w:pPr>
            <w:r w:rsidRPr="00380EAA">
              <w:rPr>
                <w:rFonts w:cs="Calibri Light"/>
                <w:color w:val="000000"/>
                <w:sz w:val="20"/>
                <w:szCs w:val="20"/>
              </w:rPr>
              <w:t>CZ07</w:t>
            </w:r>
          </w:p>
        </w:tc>
      </w:tr>
    </w:tbl>
    <w:p w14:paraId="1BE1A255" w14:textId="79952DB1" w:rsidR="00F22B6D" w:rsidRDefault="00F22B6D" w:rsidP="00BD05BC">
      <w:pPr>
        <w:rPr>
          <w:szCs w:val="22"/>
        </w:rPr>
      </w:pPr>
    </w:p>
    <w:p w14:paraId="2CC02E28" w14:textId="77777777" w:rsidR="00177EB6" w:rsidRPr="004B06E3" w:rsidRDefault="00177EB6" w:rsidP="00177EB6">
      <w:pPr>
        <w:pStyle w:val="eTRMHeading3"/>
      </w:pPr>
      <w:bookmarkStart w:id="51" w:name="_Toc486490858"/>
      <w:bookmarkStart w:id="52" w:name="_Toc486580929"/>
      <w:bookmarkStart w:id="53" w:name="_Toc12626367"/>
      <w:r w:rsidRPr="004B06E3">
        <w:t>Gas Savings (Therms)</w:t>
      </w:r>
      <w:bookmarkEnd w:id="51"/>
      <w:bookmarkEnd w:id="52"/>
      <w:bookmarkEnd w:id="53"/>
    </w:p>
    <w:p w14:paraId="63B77CFC" w14:textId="61218C1F" w:rsidR="002D26EB" w:rsidRPr="007806A3" w:rsidRDefault="002D26EB" w:rsidP="00752D76">
      <w:r w:rsidRPr="007806A3">
        <w:t xml:space="preserve">Gas estimates are entirely based on the estimated increased gas use through calculated interactive effects. </w:t>
      </w:r>
    </w:p>
    <w:p w14:paraId="1142C231" w14:textId="77777777" w:rsidR="002D26EB" w:rsidRDefault="002D26EB" w:rsidP="002D26EB">
      <w:pPr>
        <w:pStyle w:val="Default"/>
        <w:rPr>
          <w:rFonts w:ascii="Calibri Light" w:hAnsi="Calibri Light"/>
          <w:sz w:val="22"/>
          <w:szCs w:val="22"/>
        </w:rPr>
      </w:pPr>
      <w:r w:rsidRPr="007806A3">
        <w:rPr>
          <w:rFonts w:ascii="Calibri Light" w:hAnsi="Calibri Light"/>
          <w:sz w:val="22"/>
          <w:szCs w:val="22"/>
        </w:rPr>
        <w:t xml:space="preserve">The demand difference (watts per kilolumen) is simply the difference between the electric demand of a kilolumen unit of the base fixture and the electric demand of a kilolumen unit of the energy efficient fixture. </w:t>
      </w:r>
    </w:p>
    <w:p w14:paraId="492081D4" w14:textId="77777777" w:rsidR="00752D76" w:rsidRDefault="00752D76" w:rsidP="002D26EB">
      <w:pPr>
        <w:pStyle w:val="Default"/>
        <w:rPr>
          <w:rFonts w:ascii="Calibri Light" w:hAnsi="Calibri Light"/>
          <w:sz w:val="22"/>
          <w:szCs w:val="22"/>
        </w:rPr>
      </w:pPr>
    </w:p>
    <w:p w14:paraId="1C63F3A9" w14:textId="3A1F8770" w:rsidR="00532A7E" w:rsidRPr="00A6479A" w:rsidRDefault="007F66A5" w:rsidP="00532A7E">
      <w:pPr>
        <w:ind w:left="720" w:hanging="720"/>
        <w:rPr>
          <w:sz w:val="18"/>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therms</m:t>
              </m:r>
            </m:sub>
          </m:sSub>
          <m:r>
            <w:rPr>
              <w:rFonts w:ascii="Cambria Math" w:hAnsi="Cambria Math"/>
              <w:sz w:val="18"/>
            </w:rPr>
            <m:t>=</m:t>
          </m:r>
          <m:f>
            <m:fPr>
              <m:ctrlPr>
                <w:rPr>
                  <w:rFonts w:ascii="Cambria Math" w:hAnsi="Cambria Math"/>
                  <w:i/>
                  <w:sz w:val="18"/>
                </w:rPr>
              </m:ctrlPr>
            </m:fPr>
            <m:num>
              <m:r>
                <w:rPr>
                  <w:rFonts w:ascii="Cambria Math" w:hAnsi="Cambria Math"/>
                  <w:sz w:val="18"/>
                </w:rPr>
                <m:t>∆W×HOURS×IE</m:t>
              </m:r>
            </m:num>
            <m:den>
              <m:r>
                <w:rPr>
                  <w:rFonts w:ascii="Cambria Math" w:hAnsi="Cambria Math"/>
                  <w:sz w:val="18"/>
                </w:rPr>
                <m:t>1,000 Wh / kWh</m:t>
              </m:r>
            </m:den>
          </m:f>
        </m:oMath>
      </m:oMathPara>
    </w:p>
    <w:p w14:paraId="41876626" w14:textId="77777777" w:rsidR="00532A7E" w:rsidRDefault="00532A7E" w:rsidP="00532A7E">
      <w:pPr>
        <w:pStyle w:val="Reminders"/>
        <w:ind w:left="1440"/>
        <w:rPr>
          <w:rFonts w:asciiTheme="minorHAnsi" w:hAnsiTheme="minorHAnsi" w:cstheme="minorHAnsi"/>
          <w:color w:val="191919" w:themeColor="text1"/>
          <w:szCs w:val="22"/>
        </w:rPr>
      </w:pPr>
    </w:p>
    <w:p w14:paraId="02668BC9" w14:textId="665CD0D5" w:rsidR="00532A7E" w:rsidRPr="00A6479A" w:rsidRDefault="00532A7E" w:rsidP="00891B1F">
      <w:pPr>
        <w:tabs>
          <w:tab w:val="left" w:pos="2790"/>
        </w:tabs>
        <w:ind w:left="1530"/>
        <w:rPr>
          <w:rFonts w:ascii="Cambria Math" w:hAnsi="Cambria Math"/>
          <w:i/>
          <w:sz w:val="18"/>
          <w:szCs w:val="18"/>
        </w:rPr>
      </w:pPr>
      <w:r w:rsidRPr="00A6479A">
        <w:rPr>
          <w:rFonts w:ascii="Cambria Math" w:hAnsi="Cambria Math"/>
          <w:i/>
          <w:sz w:val="18"/>
          <w:szCs w:val="18"/>
        </w:rPr>
        <w:t xml:space="preserve">UES = </w:t>
      </w:r>
      <w:r>
        <w:rPr>
          <w:rFonts w:ascii="Cambria Math" w:hAnsi="Cambria Math"/>
          <w:i/>
          <w:sz w:val="18"/>
          <w:szCs w:val="18"/>
        </w:rPr>
        <w:tab/>
        <w:t>Gas u</w:t>
      </w:r>
      <w:r w:rsidRPr="00A6479A">
        <w:rPr>
          <w:rFonts w:ascii="Cambria Math" w:hAnsi="Cambria Math"/>
          <w:i/>
          <w:sz w:val="18"/>
          <w:szCs w:val="18"/>
        </w:rPr>
        <w:t>nit energy savings (</w:t>
      </w:r>
      <w:r>
        <w:rPr>
          <w:rFonts w:ascii="Cambria Math" w:hAnsi="Cambria Math"/>
          <w:i/>
          <w:sz w:val="18"/>
          <w:szCs w:val="18"/>
        </w:rPr>
        <w:t>therms</w:t>
      </w:r>
      <w:r w:rsidRPr="00A6479A">
        <w:rPr>
          <w:rFonts w:ascii="Cambria Math" w:hAnsi="Cambria Math"/>
          <w:i/>
          <w:sz w:val="18"/>
          <w:szCs w:val="18"/>
        </w:rPr>
        <w:t>)</w:t>
      </w:r>
    </w:p>
    <w:p w14:paraId="330D588A" w14:textId="77777777" w:rsidR="00532A7E" w:rsidRPr="00A6479A" w:rsidRDefault="00532A7E" w:rsidP="00891B1F">
      <w:pPr>
        <w:tabs>
          <w:tab w:val="left" w:pos="2790"/>
        </w:tabs>
        <w:ind w:left="1530"/>
        <w:rPr>
          <w:rFonts w:ascii="Cambria Math" w:hAnsi="Cambria Math"/>
          <w:i/>
          <w:sz w:val="18"/>
          <w:szCs w:val="18"/>
        </w:rPr>
      </w:pPr>
      <w:r w:rsidRPr="00A6479A">
        <w:rPr>
          <w:rFonts w:ascii="Cambria Math" w:hAnsi="Cambria Math"/>
          <w:i/>
          <w:sz w:val="18"/>
          <w:szCs w:val="18"/>
        </w:rPr>
        <w:t>∆Watts/</w:t>
      </w:r>
      <w:proofErr w:type="spellStart"/>
      <w:r>
        <w:rPr>
          <w:rFonts w:ascii="Cambria Math" w:hAnsi="Cambria Math"/>
          <w:i/>
          <w:sz w:val="18"/>
          <w:szCs w:val="18"/>
        </w:rPr>
        <w:t>kLm</w:t>
      </w:r>
      <w:proofErr w:type="spellEnd"/>
      <w:r w:rsidRPr="00A6479A">
        <w:rPr>
          <w:rFonts w:ascii="Cambria Math" w:hAnsi="Cambria Math"/>
          <w:i/>
          <w:sz w:val="18"/>
          <w:szCs w:val="18"/>
        </w:rPr>
        <w:t xml:space="preserve"> = </w:t>
      </w:r>
      <w:r>
        <w:rPr>
          <w:rFonts w:ascii="Cambria Math" w:hAnsi="Cambria Math"/>
          <w:i/>
          <w:sz w:val="18"/>
          <w:szCs w:val="18"/>
        </w:rPr>
        <w:tab/>
      </w:r>
      <w:r w:rsidRPr="00A6479A">
        <w:rPr>
          <w:rFonts w:ascii="Cambria Math" w:hAnsi="Cambria Math"/>
          <w:i/>
          <w:sz w:val="18"/>
          <w:szCs w:val="18"/>
        </w:rPr>
        <w:t>(</w:t>
      </w:r>
      <w:r>
        <w:rPr>
          <w:rFonts w:ascii="Cambria Math" w:hAnsi="Cambria Math"/>
          <w:i/>
          <w:sz w:val="18"/>
          <w:szCs w:val="18"/>
        </w:rPr>
        <w:t>Baseline</w:t>
      </w:r>
      <w:r w:rsidRPr="00A6479A">
        <w:rPr>
          <w:rFonts w:ascii="Cambria Math" w:hAnsi="Cambria Math"/>
          <w:i/>
          <w:sz w:val="18"/>
          <w:szCs w:val="18"/>
        </w:rPr>
        <w:t xml:space="preserve"> Average Watts per lamp) – (Measure Case Average Watts per lamp)</w:t>
      </w:r>
      <w:r>
        <w:rPr>
          <w:rFonts w:ascii="Cambria Math" w:hAnsi="Cambria Math"/>
          <w:i/>
          <w:sz w:val="18"/>
          <w:szCs w:val="18"/>
        </w:rPr>
        <w:t xml:space="preserve">, </w:t>
      </w:r>
    </w:p>
    <w:p w14:paraId="220A7AA8" w14:textId="77777777" w:rsidR="00532A7E" w:rsidRPr="00A6479A" w:rsidRDefault="00532A7E" w:rsidP="00891B1F">
      <w:pPr>
        <w:tabs>
          <w:tab w:val="left" w:pos="2790"/>
        </w:tabs>
        <w:ind w:left="1530"/>
        <w:rPr>
          <w:rFonts w:ascii="Cambria Math" w:hAnsi="Cambria Math"/>
          <w:i/>
          <w:sz w:val="18"/>
          <w:szCs w:val="18"/>
        </w:rPr>
      </w:pPr>
      <w:r w:rsidRPr="00A6479A">
        <w:rPr>
          <w:rFonts w:ascii="Cambria Math" w:hAnsi="Cambria Math"/>
          <w:i/>
          <w:sz w:val="18"/>
          <w:szCs w:val="18"/>
        </w:rPr>
        <w:lastRenderedPageBreak/>
        <w:t xml:space="preserve">HOURS = </w:t>
      </w:r>
      <w:r>
        <w:rPr>
          <w:rFonts w:ascii="Cambria Math" w:hAnsi="Cambria Math"/>
          <w:i/>
          <w:sz w:val="18"/>
          <w:szCs w:val="18"/>
        </w:rPr>
        <w:tab/>
      </w:r>
      <w:r w:rsidRPr="00A6479A">
        <w:rPr>
          <w:rFonts w:ascii="Cambria Math" w:hAnsi="Cambria Math"/>
          <w:i/>
          <w:sz w:val="18"/>
          <w:szCs w:val="18"/>
        </w:rPr>
        <w:t xml:space="preserve">Annual hours of </w:t>
      </w:r>
      <w:r>
        <w:rPr>
          <w:rFonts w:ascii="Cambria Math" w:hAnsi="Cambria Math"/>
          <w:i/>
          <w:sz w:val="18"/>
          <w:szCs w:val="18"/>
        </w:rPr>
        <w:t>operation</w:t>
      </w:r>
      <w:r w:rsidRPr="00A6479A">
        <w:rPr>
          <w:rFonts w:ascii="Cambria Math" w:hAnsi="Cambria Math"/>
          <w:i/>
          <w:sz w:val="18"/>
          <w:szCs w:val="18"/>
        </w:rPr>
        <w:t>, by building type/space</w:t>
      </w:r>
    </w:p>
    <w:p w14:paraId="07104551" w14:textId="11C45B24" w:rsidR="00532A7E" w:rsidRPr="00A6479A" w:rsidRDefault="00532A7E" w:rsidP="00891B1F">
      <w:pPr>
        <w:tabs>
          <w:tab w:val="left" w:pos="2790"/>
        </w:tabs>
        <w:ind w:left="1530"/>
        <w:rPr>
          <w:rFonts w:ascii="Cambria Math" w:hAnsi="Cambria Math"/>
          <w:i/>
          <w:sz w:val="18"/>
          <w:szCs w:val="18"/>
        </w:rPr>
      </w:pPr>
      <w:r w:rsidRPr="00A6479A">
        <w:rPr>
          <w:rFonts w:ascii="Cambria Math" w:hAnsi="Cambria Math"/>
          <w:i/>
          <w:sz w:val="18"/>
          <w:szCs w:val="18"/>
        </w:rPr>
        <w:t xml:space="preserve">IE = </w:t>
      </w:r>
      <w:r>
        <w:rPr>
          <w:rFonts w:ascii="Cambria Math" w:hAnsi="Cambria Math"/>
          <w:i/>
          <w:sz w:val="18"/>
          <w:szCs w:val="18"/>
        </w:rPr>
        <w:tab/>
      </w:r>
      <w:r w:rsidRPr="00A6479A">
        <w:rPr>
          <w:rFonts w:ascii="Cambria Math" w:hAnsi="Cambria Math"/>
          <w:i/>
          <w:sz w:val="18"/>
          <w:szCs w:val="18"/>
        </w:rPr>
        <w:t>Interactive Effects, by building type/space</w:t>
      </w:r>
    </w:p>
    <w:p w14:paraId="3256765C" w14:textId="6C6B9203" w:rsidR="00177EB6" w:rsidRDefault="00177EB6" w:rsidP="00177EB6"/>
    <w:p w14:paraId="75CD610B" w14:textId="0E5B70C2" w:rsidR="00D2022C" w:rsidRDefault="00D2022C" w:rsidP="00177EB6">
      <w:r>
        <w:t>See Electric Savings for an explanation of inputs for this calculation.</w:t>
      </w:r>
    </w:p>
    <w:p w14:paraId="65017AD2" w14:textId="77777777" w:rsidR="00D2022C" w:rsidRDefault="00D2022C" w:rsidP="00177EB6"/>
    <w:p w14:paraId="3A077293" w14:textId="77777777" w:rsidR="007D230B" w:rsidRPr="004B06E3" w:rsidRDefault="00245AFF" w:rsidP="00462BB6">
      <w:pPr>
        <w:pStyle w:val="eTRMHeading3"/>
      </w:pPr>
      <w:bookmarkStart w:id="54" w:name="_Toc12626368"/>
      <w:bookmarkStart w:id="55" w:name="_Toc486490859"/>
      <w:bookmarkStart w:id="56" w:name="_Toc486580930"/>
      <w:r w:rsidRPr="004B06E3">
        <w:t>Life Cycle</w:t>
      </w:r>
      <w:bookmarkEnd w:id="54"/>
      <w:r w:rsidR="007D230B" w:rsidRPr="004B06E3">
        <w:t xml:space="preserve"> </w:t>
      </w:r>
      <w:bookmarkEnd w:id="55"/>
      <w:bookmarkEnd w:id="56"/>
    </w:p>
    <w:p w14:paraId="4AC3525C" w14:textId="1CC4C4E9" w:rsidR="00177EB6" w:rsidRDefault="007F669E" w:rsidP="00752D76">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26FD7EAA" w14:textId="0E329F0E" w:rsidR="00286832" w:rsidRDefault="00286832" w:rsidP="00286832">
      <w:r w:rsidRPr="00AA0F07">
        <w:t xml:space="preserve">The EUL is </w:t>
      </w:r>
      <w:r>
        <w:t xml:space="preserve">calculated as the fixture </w:t>
      </w:r>
      <w:r w:rsidR="0047744E">
        <w:t>rated</w:t>
      </w:r>
      <w:r>
        <w:t xml:space="preserve"> hours divided by the </w:t>
      </w:r>
      <w:r w:rsidR="0047744E">
        <w:t>DEER building</w:t>
      </w:r>
      <w:r>
        <w:t xml:space="preserve"> hours per year</w:t>
      </w:r>
      <w:r w:rsidR="0047744E">
        <w:t xml:space="preserve"> or DEER non-res lighting EUL cap of 12-year</w:t>
      </w:r>
      <w:r w:rsidR="004D4201">
        <w:t>s</w:t>
      </w:r>
      <w:r w:rsidR="0047744E">
        <w:t>, whichever is less.</w:t>
      </w:r>
    </w:p>
    <w:p w14:paraId="65F1073D" w14:textId="338F4A43" w:rsidR="00286832" w:rsidRPr="0047744E" w:rsidRDefault="00286832" w:rsidP="00286832">
      <w:pPr>
        <w:ind w:left="720"/>
        <w:rPr>
          <w:sz w:val="18"/>
          <w:szCs w:val="18"/>
        </w:rPr>
      </w:pPr>
      <m:oMathPara>
        <m:oMathParaPr>
          <m:jc m:val="left"/>
        </m:oMathParaPr>
        <m:oMath>
          <m:r>
            <w:rPr>
              <w:rFonts w:ascii="Cambria Math" w:hAnsi="Cambria Math"/>
              <w:sz w:val="18"/>
              <w:szCs w:val="18"/>
            </w:rPr>
            <m:t>EUL (Grocery Bldg Type)=</m:t>
          </m:r>
          <m:f>
            <m:fPr>
              <m:ctrlPr>
                <w:rPr>
                  <w:rFonts w:ascii="Cambria Math" w:hAnsi="Cambria Math"/>
                  <w:i/>
                  <w:sz w:val="18"/>
                  <w:szCs w:val="18"/>
                </w:rPr>
              </m:ctrlPr>
            </m:fPr>
            <m:num>
              <m:r>
                <w:rPr>
                  <w:rFonts w:ascii="Cambria Math" w:hAnsi="Cambria Math"/>
                  <w:sz w:val="18"/>
                  <w:szCs w:val="18"/>
                </w:rPr>
                <m:t>(Fixture Rated Hours)</m:t>
              </m:r>
            </m:num>
            <m:den>
              <m:r>
                <w:rPr>
                  <w:rFonts w:ascii="Cambria Math" w:hAnsi="Cambria Math"/>
                  <w:sz w:val="18"/>
                  <w:szCs w:val="18"/>
                </w:rPr>
                <m:t>(DEER Hours of Operation)</m:t>
              </m:r>
            </m:den>
          </m:f>
        </m:oMath>
      </m:oMathPara>
    </w:p>
    <w:p w14:paraId="3DBEBBBF" w14:textId="77777777" w:rsidR="0047744E" w:rsidRPr="0047744E" w:rsidRDefault="0047744E" w:rsidP="0047744E">
      <w:pPr>
        <w:spacing w:line="120" w:lineRule="auto"/>
        <w:ind w:left="720"/>
        <w:rPr>
          <w:sz w:val="18"/>
          <w:szCs w:val="18"/>
        </w:rPr>
      </w:pPr>
    </w:p>
    <w:p w14:paraId="62E03AE0" w14:textId="77777777" w:rsidR="00490177" w:rsidRDefault="00490177" w:rsidP="00286832">
      <w:pPr>
        <w:ind w:left="720"/>
        <w:rPr>
          <w:rFonts w:ascii="Cambria Math" w:hAnsi="Cambria Math"/>
          <w:i/>
          <w:sz w:val="18"/>
          <w:szCs w:val="18"/>
        </w:rPr>
      </w:pPr>
      <m:oMath>
        <m:r>
          <w:rPr>
            <w:rFonts w:ascii="Cambria Math" w:hAnsi="Cambria Math"/>
            <w:szCs w:val="22"/>
          </w:rPr>
          <m:t>=</m:t>
        </m:r>
        <m:f>
          <m:fPr>
            <m:ctrlPr>
              <w:rPr>
                <w:rFonts w:ascii="Cambria Math" w:hAnsi="Cambria Math"/>
                <w:i/>
                <w:szCs w:val="22"/>
              </w:rPr>
            </m:ctrlPr>
          </m:fPr>
          <m:num>
            <m:r>
              <w:rPr>
                <w:rFonts w:ascii="Cambria Math" w:hAnsi="Cambria Math"/>
                <w:szCs w:val="22"/>
              </w:rPr>
              <m:t>50,000 Hr</m:t>
            </m:r>
          </m:num>
          <m:den>
            <m:r>
              <w:rPr>
                <w:rFonts w:ascii="Cambria Math" w:hAnsi="Cambria Math"/>
                <w:szCs w:val="22"/>
              </w:rPr>
              <m:t>4,710 Hr/Yr</m:t>
            </m:r>
          </m:den>
        </m:f>
      </m:oMath>
      <w:r w:rsidRPr="00490177">
        <w:rPr>
          <w:rFonts w:ascii="Cambria Math" w:hAnsi="Cambria Math"/>
          <w:i/>
          <w:sz w:val="18"/>
          <w:szCs w:val="18"/>
        </w:rPr>
        <w:t xml:space="preserve"> </w:t>
      </w:r>
    </w:p>
    <w:p w14:paraId="7707FF93" w14:textId="0BF8CD14" w:rsidR="0047744E" w:rsidRPr="00490177" w:rsidRDefault="00490177" w:rsidP="00286832">
      <w:pPr>
        <w:ind w:left="720"/>
        <w:rPr>
          <w:rFonts w:ascii="Cambria Math" w:hAnsi="Cambria Math"/>
          <w:i/>
          <w:sz w:val="18"/>
          <w:szCs w:val="18"/>
        </w:rPr>
      </w:pPr>
      <w:r w:rsidRPr="00490177">
        <w:rPr>
          <w:rFonts w:ascii="Cambria Math" w:hAnsi="Cambria Math"/>
          <w:iCs/>
          <w:sz w:val="18"/>
          <w:szCs w:val="18"/>
        </w:rPr>
        <w:t>=</w:t>
      </w:r>
      <w:r w:rsidRPr="00490177">
        <w:rPr>
          <w:rFonts w:ascii="Cambria Math" w:hAnsi="Cambria Math"/>
          <w:i/>
          <w:sz w:val="18"/>
          <w:szCs w:val="18"/>
        </w:rPr>
        <w:t xml:space="preserve"> 10.6 years</w:t>
      </w:r>
    </w:p>
    <w:p w14:paraId="43C2E5FA" w14:textId="434978F5" w:rsidR="00286832" w:rsidRDefault="00286832" w:rsidP="00752D76"/>
    <w:p w14:paraId="4D23CFCB" w14:textId="759705E9" w:rsidR="00286832" w:rsidRPr="005906A6" w:rsidRDefault="00286832" w:rsidP="00674C51">
      <w:pPr>
        <w:pStyle w:val="Caption"/>
        <w:rPr>
          <w:szCs w:val="20"/>
        </w:rPr>
      </w:pPr>
      <w:r>
        <w:t>Effective Useful Life Inputs</w:t>
      </w:r>
    </w:p>
    <w:tbl>
      <w:tblPr>
        <w:tblW w:w="9648"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880"/>
        <w:gridCol w:w="2160"/>
        <w:gridCol w:w="4608"/>
      </w:tblGrid>
      <w:tr w:rsidR="00286832" w:rsidRPr="005906A6" w14:paraId="34AC2505" w14:textId="77777777" w:rsidTr="00C66ECF">
        <w:trPr>
          <w:trHeight w:val="323"/>
          <w:tblHeader/>
        </w:trPr>
        <w:tc>
          <w:tcPr>
            <w:tcW w:w="2880" w:type="dxa"/>
            <w:shd w:val="clear" w:color="auto" w:fill="F2F2F2" w:themeFill="background1" w:themeFillShade="F2"/>
            <w:vAlign w:val="bottom"/>
          </w:tcPr>
          <w:p w14:paraId="71E76C4B" w14:textId="77777777" w:rsidR="00286832" w:rsidRPr="005906A6" w:rsidRDefault="00286832" w:rsidP="00C66ECF">
            <w:pPr>
              <w:pStyle w:val="Default"/>
              <w:jc w:val="center"/>
              <w:rPr>
                <w:rFonts w:ascii="Calibri Light" w:hAnsi="Calibri Light"/>
                <w:sz w:val="20"/>
                <w:szCs w:val="20"/>
              </w:rPr>
            </w:pPr>
            <w:r>
              <w:rPr>
                <w:rFonts w:ascii="Calibri Light" w:hAnsi="Calibri Light"/>
                <w:b/>
                <w:bCs/>
                <w:sz w:val="20"/>
                <w:szCs w:val="20"/>
              </w:rPr>
              <w:t>Parameter</w:t>
            </w:r>
          </w:p>
        </w:tc>
        <w:tc>
          <w:tcPr>
            <w:tcW w:w="2160" w:type="dxa"/>
            <w:shd w:val="clear" w:color="auto" w:fill="F2F2F2" w:themeFill="background1" w:themeFillShade="F2"/>
            <w:vAlign w:val="bottom"/>
          </w:tcPr>
          <w:p w14:paraId="5632795F" w14:textId="77777777" w:rsidR="00286832" w:rsidRPr="005906A6" w:rsidRDefault="00286832" w:rsidP="00C66ECF">
            <w:pPr>
              <w:pStyle w:val="Default"/>
              <w:jc w:val="center"/>
              <w:rPr>
                <w:rFonts w:ascii="Calibri Light" w:hAnsi="Calibri Light"/>
                <w:sz w:val="20"/>
                <w:szCs w:val="20"/>
              </w:rPr>
            </w:pPr>
            <w:r>
              <w:rPr>
                <w:rFonts w:ascii="Calibri Light" w:hAnsi="Calibri Light"/>
                <w:b/>
                <w:bCs/>
                <w:sz w:val="20"/>
                <w:szCs w:val="20"/>
              </w:rPr>
              <w:t xml:space="preserve">Value </w:t>
            </w:r>
          </w:p>
        </w:tc>
        <w:tc>
          <w:tcPr>
            <w:tcW w:w="4608" w:type="dxa"/>
            <w:shd w:val="clear" w:color="auto" w:fill="F2F2F2" w:themeFill="background1" w:themeFillShade="F2"/>
          </w:tcPr>
          <w:p w14:paraId="696722BA" w14:textId="77777777" w:rsidR="00286832" w:rsidRDefault="00286832" w:rsidP="00C66ECF">
            <w:pPr>
              <w:pStyle w:val="Default"/>
              <w:jc w:val="center"/>
              <w:rPr>
                <w:rFonts w:ascii="Calibri Light" w:hAnsi="Calibri Light"/>
                <w:b/>
                <w:bCs/>
                <w:sz w:val="20"/>
                <w:szCs w:val="20"/>
              </w:rPr>
            </w:pPr>
            <w:r>
              <w:rPr>
                <w:rFonts w:ascii="Calibri Light" w:hAnsi="Calibri Light"/>
                <w:b/>
                <w:bCs/>
                <w:sz w:val="20"/>
                <w:szCs w:val="20"/>
              </w:rPr>
              <w:t>Source</w:t>
            </w:r>
          </w:p>
        </w:tc>
      </w:tr>
      <w:tr w:rsidR="00286832" w:rsidRPr="005906A6" w14:paraId="6BE51A35" w14:textId="77777777" w:rsidTr="00C66ECF">
        <w:trPr>
          <w:trHeight w:val="187"/>
        </w:trPr>
        <w:tc>
          <w:tcPr>
            <w:tcW w:w="2880" w:type="dxa"/>
            <w:vAlign w:val="center"/>
          </w:tcPr>
          <w:p w14:paraId="4B14F66D" w14:textId="5FEFF4C4" w:rsidR="00286832" w:rsidRPr="005906A6" w:rsidRDefault="00286832" w:rsidP="00C66ECF">
            <w:pPr>
              <w:pStyle w:val="Default"/>
              <w:rPr>
                <w:rFonts w:ascii="Calibri Light" w:hAnsi="Calibri Light"/>
                <w:sz w:val="20"/>
                <w:szCs w:val="20"/>
              </w:rPr>
            </w:pPr>
            <w:r>
              <w:rPr>
                <w:rFonts w:ascii="Calibri Light" w:hAnsi="Calibri Light"/>
                <w:sz w:val="20"/>
                <w:szCs w:val="20"/>
              </w:rPr>
              <w:t>Fixture Lifetime Operating Hours</w:t>
            </w:r>
          </w:p>
        </w:tc>
        <w:tc>
          <w:tcPr>
            <w:tcW w:w="2160" w:type="dxa"/>
            <w:vAlign w:val="center"/>
          </w:tcPr>
          <w:p w14:paraId="7E3E839E" w14:textId="4CD23BBB" w:rsidR="00286832" w:rsidRPr="005906A6" w:rsidRDefault="00286832" w:rsidP="00286832">
            <w:pPr>
              <w:pStyle w:val="Default"/>
              <w:jc w:val="center"/>
              <w:rPr>
                <w:rFonts w:ascii="Calibri Light" w:hAnsi="Calibri Light"/>
                <w:sz w:val="20"/>
                <w:szCs w:val="20"/>
              </w:rPr>
            </w:pPr>
            <w:r>
              <w:rPr>
                <w:rFonts w:ascii="Calibri Light" w:hAnsi="Calibri Light"/>
                <w:bCs/>
                <w:sz w:val="20"/>
                <w:szCs w:val="20"/>
              </w:rPr>
              <w:t>50,000</w:t>
            </w:r>
          </w:p>
        </w:tc>
        <w:tc>
          <w:tcPr>
            <w:tcW w:w="4608" w:type="dxa"/>
          </w:tcPr>
          <w:p w14:paraId="3F4C444D" w14:textId="2A20F28A" w:rsidR="00286832" w:rsidRPr="00490177" w:rsidRDefault="00286832" w:rsidP="00C66ECF">
            <w:pPr>
              <w:pStyle w:val="Default"/>
              <w:tabs>
                <w:tab w:val="left" w:pos="2926"/>
              </w:tabs>
              <w:ind w:right="523"/>
              <w:rPr>
                <w:rFonts w:ascii="Calibri Light" w:hAnsi="Calibri Light" w:cs="Calibri Light"/>
                <w:bCs/>
                <w:sz w:val="18"/>
                <w:szCs w:val="20"/>
              </w:rPr>
            </w:pPr>
            <w:r w:rsidRPr="00490177">
              <w:rPr>
                <w:rFonts w:ascii="Calibri Light" w:hAnsi="Calibri Light" w:cs="Calibri Light"/>
                <w:bCs/>
                <w:sz w:val="18"/>
                <w:szCs w:val="20"/>
              </w:rPr>
              <w:t>Minimum lifetime of DLC-listed products</w:t>
            </w:r>
          </w:p>
        </w:tc>
      </w:tr>
      <w:tr w:rsidR="00286832" w:rsidRPr="005906A6" w14:paraId="75992F19" w14:textId="77777777" w:rsidTr="00C66ECF">
        <w:trPr>
          <w:trHeight w:val="187"/>
        </w:trPr>
        <w:tc>
          <w:tcPr>
            <w:tcW w:w="2880" w:type="dxa"/>
            <w:vAlign w:val="center"/>
          </w:tcPr>
          <w:p w14:paraId="4F2B5418" w14:textId="5A7B3DE4" w:rsidR="00286832" w:rsidRDefault="00286832" w:rsidP="00C66ECF">
            <w:pPr>
              <w:pStyle w:val="Default"/>
              <w:rPr>
                <w:rFonts w:ascii="Calibri Light" w:hAnsi="Calibri Light"/>
                <w:sz w:val="20"/>
                <w:szCs w:val="20"/>
              </w:rPr>
            </w:pPr>
            <w:r>
              <w:rPr>
                <w:rFonts w:ascii="Calibri Light" w:hAnsi="Calibri Light"/>
                <w:sz w:val="20"/>
                <w:szCs w:val="20"/>
              </w:rPr>
              <w:t>Average Hours of Operation</w:t>
            </w:r>
          </w:p>
        </w:tc>
        <w:tc>
          <w:tcPr>
            <w:tcW w:w="2160" w:type="dxa"/>
            <w:vAlign w:val="center"/>
          </w:tcPr>
          <w:p w14:paraId="4C460BD6" w14:textId="3F704AEA" w:rsidR="00286832" w:rsidRDefault="00286832" w:rsidP="00286832">
            <w:pPr>
              <w:pStyle w:val="Default"/>
              <w:ind w:right="4"/>
              <w:jc w:val="right"/>
              <w:rPr>
                <w:rFonts w:ascii="Calibri Light" w:hAnsi="Calibri Light"/>
                <w:bCs/>
                <w:sz w:val="20"/>
                <w:szCs w:val="20"/>
              </w:rPr>
            </w:pPr>
            <w:r>
              <w:rPr>
                <w:rFonts w:ascii="Calibri Light" w:hAnsi="Calibri Light"/>
                <w:bCs/>
                <w:sz w:val="20"/>
                <w:szCs w:val="20"/>
              </w:rPr>
              <w:t>Varies by building type</w:t>
            </w:r>
          </w:p>
        </w:tc>
        <w:tc>
          <w:tcPr>
            <w:tcW w:w="4608" w:type="dxa"/>
          </w:tcPr>
          <w:p w14:paraId="3640F8E5" w14:textId="4847E7BF" w:rsidR="00286832" w:rsidRPr="004D4201" w:rsidRDefault="004D4201" w:rsidP="004D4201">
            <w:pPr>
              <w:pStyle w:val="CommentText"/>
              <w:rPr>
                <w:rFonts w:cs="Calibri Light"/>
                <w:sz w:val="18"/>
                <w:szCs w:val="18"/>
                <w:highlight w:val="yellow"/>
              </w:rPr>
            </w:pPr>
            <w:r w:rsidRPr="004D4201">
              <w:rPr>
                <w:sz w:val="18"/>
                <w:szCs w:val="18"/>
              </w:rPr>
              <w:t>California Public Utilities Commission (CPUC), Energy Division, Ex Ante Review Team. 2018. “DEER2020-Lighting-HVAC-IE-values.xlsx” September 7.</w:t>
            </w:r>
          </w:p>
        </w:tc>
      </w:tr>
    </w:tbl>
    <w:p w14:paraId="631882E9" w14:textId="77777777" w:rsidR="00286832" w:rsidRDefault="00286832" w:rsidP="00752D76"/>
    <w:p w14:paraId="3E63C9B2" w14:textId="42C02488" w:rsidR="00286832" w:rsidRDefault="00286832" w:rsidP="00752D76">
      <w:pPr>
        <w:rPr>
          <w:szCs w:val="22"/>
        </w:rPr>
      </w:pPr>
      <w:r w:rsidRPr="00286832">
        <w:rPr>
          <w:b/>
          <w:szCs w:val="22"/>
        </w:rPr>
        <w:t>Fixture Lifetime Operating Hours.</w:t>
      </w:r>
      <w:r>
        <w:rPr>
          <w:szCs w:val="22"/>
        </w:rPr>
        <w:t xml:space="preserve"> </w:t>
      </w:r>
      <w:r w:rsidR="00AA0F07" w:rsidRPr="00AA0F07">
        <w:rPr>
          <w:szCs w:val="22"/>
        </w:rPr>
        <w:t xml:space="preserve">The rated life for these </w:t>
      </w:r>
      <w:r w:rsidR="00543120">
        <w:rPr>
          <w:szCs w:val="22"/>
        </w:rPr>
        <w:t xml:space="preserve">lighting </w:t>
      </w:r>
      <w:r w:rsidR="00AA0F07" w:rsidRPr="00AA0F07">
        <w:rPr>
          <w:szCs w:val="22"/>
        </w:rPr>
        <w:t xml:space="preserve">products is assumed to </w:t>
      </w:r>
      <w:r>
        <w:rPr>
          <w:szCs w:val="22"/>
        </w:rPr>
        <w:t>equal the</w:t>
      </w:r>
      <w:r w:rsidR="00AA0F07" w:rsidRPr="00AA0F07">
        <w:rPr>
          <w:szCs w:val="22"/>
        </w:rPr>
        <w:t xml:space="preserve"> minimum</w:t>
      </w:r>
      <w:r>
        <w:rPr>
          <w:szCs w:val="22"/>
        </w:rPr>
        <w:t xml:space="preserve"> lifetime hours of</w:t>
      </w:r>
      <w:r w:rsidR="00AA0F07" w:rsidRPr="00AA0F07">
        <w:rPr>
          <w:szCs w:val="22"/>
        </w:rPr>
        <w:t xml:space="preserve"> DLC</w:t>
      </w:r>
      <w:r>
        <w:rPr>
          <w:szCs w:val="22"/>
        </w:rPr>
        <w:t>-listed products (though DLC products average more than 56,000 hours)</w:t>
      </w:r>
      <w:r w:rsidR="00AA0F07" w:rsidRPr="00AA0F07">
        <w:rPr>
          <w:szCs w:val="22"/>
        </w:rPr>
        <w:t>.</w:t>
      </w:r>
      <w:r w:rsidR="00606F6B">
        <w:rPr>
          <w:szCs w:val="22"/>
        </w:rPr>
        <w:t xml:space="preserve"> </w:t>
      </w:r>
      <w:r>
        <w:rPr>
          <w:szCs w:val="22"/>
        </w:rPr>
        <w:t xml:space="preserve">The minimum of the rated life for DLC-listed products 50,000 hours is adopted for this measure. </w:t>
      </w:r>
    </w:p>
    <w:p w14:paraId="7D1AB22A" w14:textId="77777777" w:rsidR="00AA0F07" w:rsidRPr="00AA0F07" w:rsidRDefault="00AA0F07" w:rsidP="00AA0F07">
      <w:pPr>
        <w:pStyle w:val="Default"/>
        <w:rPr>
          <w:rFonts w:ascii="Calibri Light" w:hAnsi="Calibri Light"/>
          <w:sz w:val="22"/>
          <w:szCs w:val="22"/>
        </w:rPr>
      </w:pPr>
    </w:p>
    <w:p w14:paraId="76018494" w14:textId="4946BB8D" w:rsidR="007D230B" w:rsidRDefault="007F669E" w:rsidP="004142EF">
      <w:r>
        <w:t xml:space="preserve">The EUL and RUL </w:t>
      </w:r>
      <w:r w:rsidR="003D6B43">
        <w:t>adopted</w:t>
      </w:r>
      <w:r>
        <w:t xml:space="preserve"> for </w:t>
      </w:r>
      <w:r w:rsidR="003D6B43">
        <w:t>this measure</w:t>
      </w:r>
      <w:r w:rsidR="009E0430">
        <w:t xml:space="preserve"> </w:t>
      </w:r>
      <w:r>
        <w:t xml:space="preserve">are </w:t>
      </w:r>
      <w:r w:rsidR="002B57DA">
        <w:t>specified below</w:t>
      </w:r>
      <w:r>
        <w:t xml:space="preserve">. </w:t>
      </w:r>
      <w:r w:rsidR="00532A7E">
        <w:t>RUL is only applicable for add-on equipment and accelerated replacement installations and is not applicable for this measure.</w:t>
      </w:r>
    </w:p>
    <w:p w14:paraId="33480605" w14:textId="2B4D5E59" w:rsidR="00FD2C54" w:rsidRPr="00920905" w:rsidRDefault="00FD2C54" w:rsidP="00674C51">
      <w:pPr>
        <w:pStyle w:val="Caption"/>
      </w:pPr>
      <w:r>
        <w:t>Effective Useful Life</w:t>
      </w:r>
      <w:r w:rsidR="00BB4F22">
        <w:t xml:space="preserve"> and Remaining Useful Life</w:t>
      </w:r>
    </w:p>
    <w:tbl>
      <w:tblPr>
        <w:tblW w:w="95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18"/>
        <w:gridCol w:w="2497"/>
        <w:gridCol w:w="5243"/>
      </w:tblGrid>
      <w:tr w:rsidR="00606F6B" w:rsidRPr="00500C4E" w14:paraId="5D2765AD" w14:textId="77777777" w:rsidTr="00752D76">
        <w:trPr>
          <w:cantSplit/>
          <w:trHeight w:val="20"/>
        </w:trPr>
        <w:tc>
          <w:tcPr>
            <w:tcW w:w="1818" w:type="dxa"/>
            <w:shd w:val="clear" w:color="auto" w:fill="F2F2F2" w:themeFill="background1" w:themeFillShade="F2"/>
            <w:vAlign w:val="bottom"/>
          </w:tcPr>
          <w:p w14:paraId="6D1BC927" w14:textId="77777777" w:rsidR="00606F6B" w:rsidRPr="00694410" w:rsidRDefault="00606F6B" w:rsidP="009C31A4">
            <w:pPr>
              <w:keepNext/>
              <w:keepLines/>
              <w:spacing w:before="20" w:after="20"/>
              <w:jc w:val="center"/>
              <w:rPr>
                <w:rFonts w:cstheme="minorHAnsi"/>
                <w:b/>
                <w:sz w:val="20"/>
                <w:szCs w:val="20"/>
              </w:rPr>
            </w:pPr>
            <w:r>
              <w:rPr>
                <w:rFonts w:cstheme="minorHAnsi"/>
                <w:b/>
                <w:sz w:val="20"/>
                <w:szCs w:val="20"/>
              </w:rPr>
              <w:t>Parameter</w:t>
            </w:r>
          </w:p>
        </w:tc>
        <w:tc>
          <w:tcPr>
            <w:tcW w:w="2497" w:type="dxa"/>
            <w:shd w:val="clear" w:color="auto" w:fill="F2F2F2" w:themeFill="background1" w:themeFillShade="F2"/>
          </w:tcPr>
          <w:p w14:paraId="5E00C71D" w14:textId="77777777" w:rsidR="00606F6B" w:rsidRPr="00694410" w:rsidRDefault="00606F6B" w:rsidP="009C31A4">
            <w:pPr>
              <w:keepNext/>
              <w:keepLines/>
              <w:spacing w:before="20" w:after="20"/>
              <w:jc w:val="center"/>
              <w:rPr>
                <w:rFonts w:cstheme="minorHAnsi"/>
                <w:b/>
                <w:sz w:val="20"/>
                <w:szCs w:val="20"/>
              </w:rPr>
            </w:pPr>
            <w:r>
              <w:rPr>
                <w:rFonts w:cstheme="minorHAnsi"/>
                <w:b/>
                <w:sz w:val="20"/>
                <w:szCs w:val="20"/>
              </w:rPr>
              <w:t>Value</w:t>
            </w:r>
          </w:p>
        </w:tc>
        <w:tc>
          <w:tcPr>
            <w:tcW w:w="5243" w:type="dxa"/>
            <w:shd w:val="clear" w:color="auto" w:fill="F2F2F2" w:themeFill="background1" w:themeFillShade="F2"/>
          </w:tcPr>
          <w:p w14:paraId="5EE39DBE" w14:textId="77777777" w:rsidR="00606F6B" w:rsidRPr="00694410" w:rsidRDefault="00606F6B" w:rsidP="009C31A4">
            <w:pPr>
              <w:keepNext/>
              <w:keepLines/>
              <w:spacing w:before="20" w:after="20"/>
              <w:jc w:val="center"/>
              <w:rPr>
                <w:rFonts w:cstheme="minorHAnsi"/>
                <w:b/>
                <w:sz w:val="20"/>
                <w:szCs w:val="20"/>
              </w:rPr>
            </w:pPr>
            <w:r>
              <w:rPr>
                <w:rFonts w:cstheme="minorHAnsi"/>
                <w:b/>
                <w:sz w:val="20"/>
                <w:szCs w:val="20"/>
              </w:rPr>
              <w:t>Source</w:t>
            </w:r>
          </w:p>
        </w:tc>
      </w:tr>
      <w:tr w:rsidR="00606F6B" w:rsidRPr="00500C4E" w14:paraId="09DA6E77" w14:textId="77777777" w:rsidTr="00752D76">
        <w:trPr>
          <w:cantSplit/>
          <w:trHeight w:val="20"/>
        </w:trPr>
        <w:tc>
          <w:tcPr>
            <w:tcW w:w="1818" w:type="dxa"/>
          </w:tcPr>
          <w:p w14:paraId="4B748E04" w14:textId="77777777" w:rsidR="00606F6B" w:rsidRPr="00177EB6" w:rsidRDefault="00606F6B" w:rsidP="00177EB6">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p>
        </w:tc>
        <w:tc>
          <w:tcPr>
            <w:tcW w:w="2497" w:type="dxa"/>
          </w:tcPr>
          <w:p w14:paraId="51790612" w14:textId="4ADE0DC1" w:rsidR="00606F6B" w:rsidRPr="009E0430" w:rsidRDefault="00532A7E" w:rsidP="00606F6B">
            <w:pPr>
              <w:keepNext/>
              <w:keepLines/>
              <w:spacing w:before="20" w:after="20"/>
              <w:jc w:val="center"/>
              <w:rPr>
                <w:sz w:val="20"/>
                <w:szCs w:val="20"/>
              </w:rPr>
            </w:pPr>
            <w:r>
              <w:rPr>
                <w:sz w:val="20"/>
                <w:szCs w:val="20"/>
              </w:rPr>
              <w:t>12.0</w:t>
            </w:r>
            <w:r w:rsidR="0012309B">
              <w:rPr>
                <w:sz w:val="20"/>
                <w:szCs w:val="20"/>
              </w:rPr>
              <w:t xml:space="preserve"> (Max)</w:t>
            </w:r>
          </w:p>
        </w:tc>
        <w:tc>
          <w:tcPr>
            <w:tcW w:w="5243" w:type="dxa"/>
          </w:tcPr>
          <w:p w14:paraId="2AEAB97B" w14:textId="425FC92C" w:rsidR="00606F6B" w:rsidRPr="00733598" w:rsidRDefault="008240A6" w:rsidP="0012309B">
            <w:pPr>
              <w:keepNext/>
              <w:keepLines/>
              <w:spacing w:before="20" w:after="20"/>
              <w:jc w:val="center"/>
              <w:rPr>
                <w:sz w:val="18"/>
                <w:szCs w:val="18"/>
              </w:rPr>
            </w:pPr>
            <w:r w:rsidRPr="00733598">
              <w:rPr>
                <w:sz w:val="18"/>
                <w:szCs w:val="18"/>
              </w:rPr>
              <w:t>DEER</w:t>
            </w:r>
            <w:r w:rsidR="0012309B" w:rsidRPr="00733598">
              <w:rPr>
                <w:sz w:val="18"/>
                <w:szCs w:val="18"/>
              </w:rPr>
              <w:t xml:space="preserve">2020 </w:t>
            </w:r>
          </w:p>
        </w:tc>
      </w:tr>
      <w:tr w:rsidR="00606F6B" w:rsidRPr="00500C4E" w14:paraId="63AC99ED" w14:textId="77777777" w:rsidTr="00752D76">
        <w:trPr>
          <w:cantSplit/>
          <w:trHeight w:val="20"/>
        </w:trPr>
        <w:tc>
          <w:tcPr>
            <w:tcW w:w="1818" w:type="dxa"/>
          </w:tcPr>
          <w:p w14:paraId="1BCC8959" w14:textId="77777777" w:rsidR="00606F6B" w:rsidRPr="00177EB6" w:rsidRDefault="00606F6B" w:rsidP="00177EB6">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2497" w:type="dxa"/>
          </w:tcPr>
          <w:p w14:paraId="10BDE511" w14:textId="77777777" w:rsidR="00606F6B" w:rsidRPr="00694410" w:rsidRDefault="00606F6B" w:rsidP="00177EB6">
            <w:pPr>
              <w:keepNext/>
              <w:keepLines/>
              <w:spacing w:before="20" w:after="20"/>
              <w:jc w:val="center"/>
              <w:rPr>
                <w:sz w:val="20"/>
                <w:szCs w:val="20"/>
              </w:rPr>
            </w:pPr>
            <w:r>
              <w:rPr>
                <w:sz w:val="20"/>
                <w:szCs w:val="20"/>
              </w:rPr>
              <w:t>n/a</w:t>
            </w:r>
          </w:p>
        </w:tc>
        <w:tc>
          <w:tcPr>
            <w:tcW w:w="5243" w:type="dxa"/>
          </w:tcPr>
          <w:p w14:paraId="60096676" w14:textId="77777777" w:rsidR="00606F6B" w:rsidRPr="00733598" w:rsidRDefault="00606F6B" w:rsidP="00177EB6">
            <w:pPr>
              <w:keepNext/>
              <w:keepLines/>
              <w:spacing w:before="20" w:after="20"/>
              <w:jc w:val="center"/>
              <w:rPr>
                <w:sz w:val="18"/>
                <w:szCs w:val="18"/>
              </w:rPr>
            </w:pPr>
            <w:r w:rsidRPr="00733598">
              <w:rPr>
                <w:sz w:val="18"/>
                <w:szCs w:val="18"/>
              </w:rPr>
              <w:t>n/a</w:t>
            </w:r>
          </w:p>
        </w:tc>
      </w:tr>
    </w:tbl>
    <w:p w14:paraId="6F9A09DD" w14:textId="77777777" w:rsidR="007D230B" w:rsidRPr="004B06E3" w:rsidRDefault="007D230B" w:rsidP="004142EF"/>
    <w:p w14:paraId="03794B4A" w14:textId="77777777" w:rsidR="007D230B" w:rsidRPr="004B06E3" w:rsidRDefault="007D230B" w:rsidP="00462BB6">
      <w:pPr>
        <w:pStyle w:val="eTRMHeading3"/>
      </w:pPr>
      <w:bookmarkStart w:id="57" w:name="_Toc486490860"/>
      <w:bookmarkStart w:id="58" w:name="_Toc486580931"/>
      <w:bookmarkStart w:id="59" w:name="_Toc12626369"/>
      <w:r w:rsidRPr="004B06E3">
        <w:lastRenderedPageBreak/>
        <w:t>Base Case Material Cost ($/unit)</w:t>
      </w:r>
      <w:bookmarkEnd w:id="57"/>
      <w:bookmarkEnd w:id="58"/>
      <w:bookmarkEnd w:id="59"/>
    </w:p>
    <w:p w14:paraId="6A584977" w14:textId="36D784F6" w:rsidR="005C55CA" w:rsidRDefault="002A221D" w:rsidP="000C6C04">
      <w:r>
        <w:rPr>
          <w:color w:val="000000"/>
          <w:szCs w:val="22"/>
        </w:rPr>
        <w:t>The base case material c</w:t>
      </w:r>
      <w:r w:rsidR="005C55CA" w:rsidRPr="00D131F0">
        <w:t xml:space="preserve">osts </w:t>
      </w:r>
      <w:r>
        <w:t>were derived</w:t>
      </w:r>
      <w:r w:rsidR="005C55CA" w:rsidRPr="00D131F0">
        <w:t xml:space="preserve"> from online pricing </w:t>
      </w:r>
      <w:r>
        <w:t xml:space="preserve">obtained </w:t>
      </w:r>
      <w:r w:rsidR="005C55CA" w:rsidRPr="00D131F0">
        <w:t>via web-scraping</w:t>
      </w:r>
      <w:r>
        <w:t xml:space="preserve"> conducted in February 2019</w:t>
      </w:r>
      <w:r w:rsidR="005C55CA" w:rsidRPr="00D131F0">
        <w:t>.</w:t>
      </w:r>
      <w:r>
        <w:rPr>
          <w:rStyle w:val="FootnoteReference"/>
          <w:rFonts w:ascii="Arial" w:hAnsi="Arial" w:cs="Arial"/>
          <w:sz w:val="20"/>
          <w:szCs w:val="20"/>
        </w:rPr>
        <w:footnoteReference w:id="27"/>
      </w:r>
      <w:r w:rsidR="005C55CA" w:rsidRPr="00D131F0">
        <w:t xml:space="preserve"> Because TLEDs vary</w:t>
      </w:r>
      <w:r w:rsidR="005C55CA">
        <w:t xml:space="preserve"> </w:t>
      </w:r>
      <w:r w:rsidR="005C55CA" w:rsidRPr="00D131F0">
        <w:t>widely in wattage, price, and light output, the prices were normalized by light output at the midpoint of the lumen bin.</w:t>
      </w:r>
      <w:r w:rsidR="00503632">
        <w:rPr>
          <w:rStyle w:val="FootnoteReference"/>
        </w:rPr>
        <w:footnoteReference w:id="28"/>
      </w:r>
      <w:r w:rsidR="005C55CA" w:rsidRPr="00D131F0">
        <w:t xml:space="preserve"> </w:t>
      </w:r>
      <w:bookmarkStart w:id="60" w:name="_Toc486490861"/>
      <w:bookmarkStart w:id="61" w:name="_Toc486580932"/>
    </w:p>
    <w:p w14:paraId="46971CF3" w14:textId="77777777" w:rsidR="00490177" w:rsidRDefault="00490177" w:rsidP="000C6C04"/>
    <w:p w14:paraId="7003A38C" w14:textId="5AA796FD" w:rsidR="007D230B" w:rsidRPr="004B06E3" w:rsidRDefault="007D230B" w:rsidP="00462BB6">
      <w:pPr>
        <w:pStyle w:val="eTRMHeading3"/>
      </w:pPr>
      <w:bookmarkStart w:id="62" w:name="_Toc12626370"/>
      <w:r w:rsidRPr="004B06E3">
        <w:t>Measure Case Material Cost ($/unit)</w:t>
      </w:r>
      <w:bookmarkEnd w:id="60"/>
      <w:bookmarkEnd w:id="61"/>
      <w:bookmarkEnd w:id="62"/>
    </w:p>
    <w:p w14:paraId="56A61690" w14:textId="5BAAEC21" w:rsidR="007D230B" w:rsidRDefault="005906A6" w:rsidP="004142EF">
      <w:pPr>
        <w:rPr>
          <w:szCs w:val="22"/>
        </w:rPr>
      </w:pPr>
      <w:r w:rsidRPr="005906A6">
        <w:rPr>
          <w:szCs w:val="22"/>
        </w:rPr>
        <w:t>The measure equipment costs were developed from California distributor catalogs and websites</w:t>
      </w:r>
      <w:r w:rsidR="00503632">
        <w:rPr>
          <w:szCs w:val="22"/>
        </w:rPr>
        <w:t xml:space="preserve"> in October and November of 2018</w:t>
      </w:r>
      <w:r w:rsidRPr="005906A6">
        <w:rPr>
          <w:szCs w:val="22"/>
        </w:rPr>
        <w:t xml:space="preserve"> and confirmed with manufacturer representatives </w:t>
      </w:r>
      <w:r w:rsidR="00E86E08">
        <w:rPr>
          <w:szCs w:val="22"/>
        </w:rPr>
        <w:t>if</w:t>
      </w:r>
      <w:r w:rsidRPr="005906A6">
        <w:rPr>
          <w:szCs w:val="22"/>
        </w:rPr>
        <w:t xml:space="preserve"> possible.</w:t>
      </w:r>
      <w:r w:rsidR="00503632">
        <w:rPr>
          <w:rStyle w:val="FootnoteReference"/>
          <w:szCs w:val="22"/>
        </w:rPr>
        <w:footnoteReference w:id="29"/>
      </w:r>
    </w:p>
    <w:p w14:paraId="3CBC70F3" w14:textId="2B082C04" w:rsidR="00752D76" w:rsidRDefault="00752D76" w:rsidP="004142EF">
      <w:pPr>
        <w:rPr>
          <w:szCs w:val="22"/>
        </w:rPr>
      </w:pPr>
    </w:p>
    <w:p w14:paraId="0FB4D2CE" w14:textId="3865FC0E" w:rsidR="00532A7E" w:rsidRPr="004B06E3" w:rsidRDefault="00532A7E" w:rsidP="00532A7E">
      <w:pPr>
        <w:pStyle w:val="eTRMHeading3"/>
      </w:pPr>
      <w:bookmarkStart w:id="63" w:name="_Toc12626371"/>
      <w:r>
        <w:t xml:space="preserve">Base Case </w:t>
      </w:r>
      <w:r w:rsidRPr="004B06E3">
        <w:t>Labor Cost ($/unit)</w:t>
      </w:r>
      <w:bookmarkEnd w:id="63"/>
    </w:p>
    <w:p w14:paraId="04A1777D" w14:textId="42AEDB07" w:rsidR="002A221D" w:rsidRPr="00CD0C06" w:rsidRDefault="002A221D" w:rsidP="002A221D">
      <w:pPr>
        <w:spacing w:before="0" w:after="0"/>
      </w:pPr>
      <w:r w:rsidRPr="00CD0C06">
        <w:t xml:space="preserve">It is assumed the labor cost of replacing the measure case fixture </w:t>
      </w:r>
      <w:r>
        <w:t>will</w:t>
      </w:r>
      <w:r w:rsidRPr="00CD0C06">
        <w:t xml:space="preserve"> be the same as the base case fixture.</w:t>
      </w:r>
      <w:r>
        <w:t xml:space="preserve"> See Measure Case Labor Cost.</w:t>
      </w:r>
    </w:p>
    <w:p w14:paraId="2D3A4961" w14:textId="77777777" w:rsidR="00532A7E" w:rsidRDefault="00532A7E" w:rsidP="004142EF">
      <w:pPr>
        <w:rPr>
          <w:szCs w:val="22"/>
        </w:rPr>
      </w:pPr>
    </w:p>
    <w:p w14:paraId="0000DA2F" w14:textId="430B2E05" w:rsidR="007D230B" w:rsidRPr="004B06E3" w:rsidRDefault="00532A7E" w:rsidP="00462BB6">
      <w:pPr>
        <w:pStyle w:val="eTRMHeading3"/>
      </w:pPr>
      <w:bookmarkStart w:id="64" w:name="_Toc486490862"/>
      <w:bookmarkStart w:id="65" w:name="_Toc486580933"/>
      <w:bookmarkStart w:id="66" w:name="_Toc12626372"/>
      <w:r>
        <w:t xml:space="preserve">Measure Case </w:t>
      </w:r>
      <w:r w:rsidR="007D230B" w:rsidRPr="004B06E3">
        <w:t>Labor Cost ($/unit)</w:t>
      </w:r>
      <w:bookmarkEnd w:id="64"/>
      <w:bookmarkEnd w:id="65"/>
      <w:bookmarkEnd w:id="66"/>
    </w:p>
    <w:p w14:paraId="273341FE" w14:textId="28140134" w:rsidR="001A7B24" w:rsidRDefault="001A7B24" w:rsidP="001A7B24">
      <w:r>
        <w:t>The labor installation cost is equal to the product of installation time and labor rate that were derived from RSMeans data</w:t>
      </w:r>
      <w:r w:rsidR="002A221D">
        <w:t>.</w:t>
      </w:r>
      <w:r w:rsidR="00503632">
        <w:rPr>
          <w:rStyle w:val="FootnoteReference"/>
          <w:szCs w:val="22"/>
        </w:rPr>
        <w:footnoteReference w:id="30"/>
      </w:r>
      <w:r>
        <w:t xml:space="preserve"> </w:t>
      </w:r>
    </w:p>
    <w:p w14:paraId="74777799" w14:textId="638BF95A" w:rsidR="001A7B24" w:rsidRPr="005906A6" w:rsidRDefault="001A7B24" w:rsidP="00674C51">
      <w:pPr>
        <w:pStyle w:val="Caption"/>
        <w:rPr>
          <w:szCs w:val="20"/>
        </w:rPr>
      </w:pPr>
      <w:r>
        <w:t xml:space="preserve">Labor Cost </w:t>
      </w:r>
      <w:r w:rsidR="00286832">
        <w:t>Inputs</w:t>
      </w:r>
    </w:p>
    <w:tbl>
      <w:tblPr>
        <w:tblW w:w="9648"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880"/>
        <w:gridCol w:w="2160"/>
        <w:gridCol w:w="4608"/>
      </w:tblGrid>
      <w:tr w:rsidR="001A7B24" w:rsidRPr="005906A6" w14:paraId="099E8CE3" w14:textId="77777777" w:rsidTr="001A7B24">
        <w:trPr>
          <w:trHeight w:val="323"/>
          <w:tblHeader/>
        </w:trPr>
        <w:tc>
          <w:tcPr>
            <w:tcW w:w="2880" w:type="dxa"/>
            <w:shd w:val="clear" w:color="auto" w:fill="F2F2F2" w:themeFill="background1" w:themeFillShade="F2"/>
            <w:vAlign w:val="bottom"/>
          </w:tcPr>
          <w:p w14:paraId="26342FFB" w14:textId="77777777" w:rsidR="001A7B24" w:rsidRPr="005906A6" w:rsidRDefault="001A7B24" w:rsidP="002A221D">
            <w:pPr>
              <w:pStyle w:val="Default"/>
              <w:jc w:val="center"/>
              <w:rPr>
                <w:rFonts w:ascii="Calibri Light" w:hAnsi="Calibri Light"/>
                <w:sz w:val="20"/>
                <w:szCs w:val="20"/>
              </w:rPr>
            </w:pPr>
            <w:r>
              <w:rPr>
                <w:rFonts w:ascii="Calibri Light" w:hAnsi="Calibri Light"/>
                <w:b/>
                <w:bCs/>
                <w:sz w:val="20"/>
                <w:szCs w:val="20"/>
              </w:rPr>
              <w:t>Parameter</w:t>
            </w:r>
          </w:p>
        </w:tc>
        <w:tc>
          <w:tcPr>
            <w:tcW w:w="2160" w:type="dxa"/>
            <w:shd w:val="clear" w:color="auto" w:fill="F2F2F2" w:themeFill="background1" w:themeFillShade="F2"/>
            <w:vAlign w:val="bottom"/>
          </w:tcPr>
          <w:p w14:paraId="3B216C5A" w14:textId="77777777" w:rsidR="001A7B24" w:rsidRPr="005906A6" w:rsidRDefault="001A7B24" w:rsidP="002A221D">
            <w:pPr>
              <w:pStyle w:val="Default"/>
              <w:jc w:val="center"/>
              <w:rPr>
                <w:rFonts w:ascii="Calibri Light" w:hAnsi="Calibri Light"/>
                <w:sz w:val="20"/>
                <w:szCs w:val="20"/>
              </w:rPr>
            </w:pPr>
            <w:r>
              <w:rPr>
                <w:rFonts w:ascii="Calibri Light" w:hAnsi="Calibri Light"/>
                <w:b/>
                <w:bCs/>
                <w:sz w:val="20"/>
                <w:szCs w:val="20"/>
              </w:rPr>
              <w:t xml:space="preserve">Value </w:t>
            </w:r>
          </w:p>
        </w:tc>
        <w:tc>
          <w:tcPr>
            <w:tcW w:w="4608" w:type="dxa"/>
            <w:shd w:val="clear" w:color="auto" w:fill="F2F2F2" w:themeFill="background1" w:themeFillShade="F2"/>
          </w:tcPr>
          <w:p w14:paraId="0C468D11" w14:textId="77777777" w:rsidR="001A7B24" w:rsidRDefault="001A7B24" w:rsidP="002A221D">
            <w:pPr>
              <w:pStyle w:val="Default"/>
              <w:jc w:val="center"/>
              <w:rPr>
                <w:rFonts w:ascii="Calibri Light" w:hAnsi="Calibri Light"/>
                <w:b/>
                <w:bCs/>
                <w:sz w:val="20"/>
                <w:szCs w:val="20"/>
              </w:rPr>
            </w:pPr>
            <w:r>
              <w:rPr>
                <w:rFonts w:ascii="Calibri Light" w:hAnsi="Calibri Light"/>
                <w:b/>
                <w:bCs/>
                <w:sz w:val="20"/>
                <w:szCs w:val="20"/>
              </w:rPr>
              <w:t>Source</w:t>
            </w:r>
          </w:p>
        </w:tc>
      </w:tr>
      <w:tr w:rsidR="00C64FFF" w:rsidRPr="005906A6" w14:paraId="4B4325D1" w14:textId="77777777" w:rsidTr="00D84FBF">
        <w:trPr>
          <w:trHeight w:val="360"/>
        </w:trPr>
        <w:tc>
          <w:tcPr>
            <w:tcW w:w="2880" w:type="dxa"/>
            <w:vAlign w:val="center"/>
          </w:tcPr>
          <w:p w14:paraId="228F8D6D" w14:textId="77777777" w:rsidR="00C64FFF" w:rsidRPr="005906A6" w:rsidRDefault="00C64FFF" w:rsidP="002A221D">
            <w:pPr>
              <w:pStyle w:val="Default"/>
              <w:rPr>
                <w:rFonts w:ascii="Calibri Light" w:hAnsi="Calibri Light"/>
                <w:sz w:val="20"/>
                <w:szCs w:val="20"/>
              </w:rPr>
            </w:pPr>
            <w:r>
              <w:rPr>
                <w:rFonts w:ascii="Calibri Light" w:hAnsi="Calibri Light"/>
                <w:sz w:val="20"/>
                <w:szCs w:val="20"/>
              </w:rPr>
              <w:t>Labor Time (hours/fixture)</w:t>
            </w:r>
          </w:p>
        </w:tc>
        <w:tc>
          <w:tcPr>
            <w:tcW w:w="2160" w:type="dxa"/>
            <w:vAlign w:val="center"/>
          </w:tcPr>
          <w:p w14:paraId="78314179" w14:textId="77777777" w:rsidR="00C64FFF" w:rsidRPr="005906A6" w:rsidRDefault="00C64FFF" w:rsidP="002A221D">
            <w:pPr>
              <w:pStyle w:val="Default"/>
              <w:ind w:right="523"/>
              <w:jc w:val="right"/>
              <w:rPr>
                <w:rFonts w:ascii="Calibri Light" w:hAnsi="Calibri Light"/>
                <w:sz w:val="20"/>
                <w:szCs w:val="20"/>
              </w:rPr>
            </w:pPr>
            <w:r>
              <w:rPr>
                <w:rFonts w:ascii="Calibri Light" w:hAnsi="Calibri Light"/>
                <w:bCs/>
                <w:sz w:val="20"/>
                <w:szCs w:val="20"/>
              </w:rPr>
              <w:t>1.509</w:t>
            </w:r>
          </w:p>
        </w:tc>
        <w:tc>
          <w:tcPr>
            <w:tcW w:w="4608" w:type="dxa"/>
            <w:vMerge w:val="restart"/>
          </w:tcPr>
          <w:p w14:paraId="411E5505" w14:textId="1463B324" w:rsidR="00C64FFF" w:rsidRPr="00C64FFF" w:rsidRDefault="00C64FFF" w:rsidP="00E86E08">
            <w:pPr>
              <w:spacing w:before="0" w:after="0"/>
              <w:rPr>
                <w:bCs/>
                <w:sz w:val="18"/>
                <w:szCs w:val="18"/>
              </w:rPr>
            </w:pPr>
            <w:r w:rsidRPr="00D84FBF">
              <w:rPr>
                <w:sz w:val="18"/>
                <w:szCs w:val="18"/>
              </w:rPr>
              <w:t>Pacific Gas &amp; Electric Company (PG&amp;E). 2019. “SWLG012-01 LED Ambient Savings Calc_2020 - Final.xlsx.” See “Cost” tab.</w:t>
            </w:r>
          </w:p>
          <w:p w14:paraId="14A9A59D" w14:textId="2BD203B3" w:rsidR="00C64FFF" w:rsidRPr="00D84FBF" w:rsidRDefault="00C64FFF" w:rsidP="00292E2D">
            <w:pPr>
              <w:spacing w:before="0" w:after="0"/>
              <w:rPr>
                <w:bCs/>
                <w:sz w:val="18"/>
                <w:szCs w:val="18"/>
              </w:rPr>
            </w:pPr>
          </w:p>
        </w:tc>
      </w:tr>
      <w:tr w:rsidR="00C64FFF" w:rsidRPr="005906A6" w14:paraId="1ACC999B" w14:textId="77777777" w:rsidTr="00D84FBF">
        <w:trPr>
          <w:trHeight w:val="360"/>
        </w:trPr>
        <w:tc>
          <w:tcPr>
            <w:tcW w:w="2880" w:type="dxa"/>
            <w:vAlign w:val="center"/>
          </w:tcPr>
          <w:p w14:paraId="6A0E9C17" w14:textId="77777777" w:rsidR="00C64FFF" w:rsidRDefault="00C64FFF" w:rsidP="002A221D">
            <w:pPr>
              <w:pStyle w:val="Default"/>
              <w:rPr>
                <w:rFonts w:ascii="Calibri Light" w:hAnsi="Calibri Light"/>
                <w:sz w:val="20"/>
                <w:szCs w:val="20"/>
              </w:rPr>
            </w:pPr>
            <w:r>
              <w:rPr>
                <w:rFonts w:ascii="Calibri Light" w:hAnsi="Calibri Light"/>
                <w:sz w:val="20"/>
                <w:szCs w:val="20"/>
              </w:rPr>
              <w:t>Labor Time (hours/kilolumen)</w:t>
            </w:r>
          </w:p>
        </w:tc>
        <w:tc>
          <w:tcPr>
            <w:tcW w:w="2160" w:type="dxa"/>
            <w:vAlign w:val="center"/>
          </w:tcPr>
          <w:p w14:paraId="4D86FE0A" w14:textId="153DBA48" w:rsidR="00C64FFF" w:rsidRDefault="00C64FFF" w:rsidP="002A221D">
            <w:pPr>
              <w:pStyle w:val="Default"/>
              <w:ind w:right="523"/>
              <w:jc w:val="right"/>
              <w:rPr>
                <w:rFonts w:ascii="Calibri Light" w:hAnsi="Calibri Light"/>
                <w:bCs/>
                <w:sz w:val="20"/>
                <w:szCs w:val="20"/>
              </w:rPr>
            </w:pPr>
            <w:r>
              <w:rPr>
                <w:rFonts w:ascii="Calibri Light" w:hAnsi="Calibri Light"/>
                <w:bCs/>
                <w:sz w:val="20"/>
                <w:szCs w:val="20"/>
              </w:rPr>
              <w:t>0.3320</w:t>
            </w:r>
          </w:p>
        </w:tc>
        <w:tc>
          <w:tcPr>
            <w:tcW w:w="4608" w:type="dxa"/>
            <w:vMerge/>
          </w:tcPr>
          <w:p w14:paraId="4ECC9DBF" w14:textId="53C4D4A3" w:rsidR="00C64FFF" w:rsidRPr="002A221D" w:rsidRDefault="00C64FFF" w:rsidP="00292E2D">
            <w:pPr>
              <w:spacing w:before="0" w:after="0"/>
              <w:rPr>
                <w:sz w:val="18"/>
                <w:szCs w:val="18"/>
                <w:highlight w:val="yellow"/>
              </w:rPr>
            </w:pPr>
          </w:p>
        </w:tc>
      </w:tr>
      <w:tr w:rsidR="00C64FFF" w:rsidRPr="005906A6" w14:paraId="31F6712D" w14:textId="77777777" w:rsidTr="00D84FBF">
        <w:trPr>
          <w:trHeight w:val="360"/>
        </w:trPr>
        <w:tc>
          <w:tcPr>
            <w:tcW w:w="2880" w:type="dxa"/>
            <w:vAlign w:val="center"/>
          </w:tcPr>
          <w:p w14:paraId="362D9465" w14:textId="77777777" w:rsidR="00C64FFF" w:rsidRPr="005906A6" w:rsidRDefault="00C64FFF" w:rsidP="002A221D">
            <w:pPr>
              <w:pStyle w:val="Default"/>
              <w:rPr>
                <w:rFonts w:ascii="Calibri Light" w:hAnsi="Calibri Light"/>
                <w:sz w:val="20"/>
                <w:szCs w:val="20"/>
              </w:rPr>
            </w:pPr>
            <w:r>
              <w:rPr>
                <w:rFonts w:ascii="Calibri Light" w:hAnsi="Calibri Light"/>
                <w:sz w:val="20"/>
                <w:szCs w:val="20"/>
              </w:rPr>
              <w:t>Labor Rate ($/</w:t>
            </w:r>
            <w:proofErr w:type="spellStart"/>
            <w:r>
              <w:rPr>
                <w:rFonts w:ascii="Calibri Light" w:hAnsi="Calibri Light"/>
                <w:sz w:val="20"/>
                <w:szCs w:val="20"/>
              </w:rPr>
              <w:t>hr</w:t>
            </w:r>
            <w:proofErr w:type="spellEnd"/>
            <w:r>
              <w:rPr>
                <w:rFonts w:ascii="Calibri Light" w:hAnsi="Calibri Light"/>
                <w:sz w:val="20"/>
                <w:szCs w:val="20"/>
              </w:rPr>
              <w:t>)</w:t>
            </w:r>
          </w:p>
        </w:tc>
        <w:tc>
          <w:tcPr>
            <w:tcW w:w="2160" w:type="dxa"/>
            <w:vAlign w:val="center"/>
          </w:tcPr>
          <w:p w14:paraId="0DA2AC4E" w14:textId="77777777" w:rsidR="00C64FFF" w:rsidRPr="005906A6" w:rsidRDefault="00C64FFF" w:rsidP="002A221D">
            <w:pPr>
              <w:pStyle w:val="Default"/>
              <w:ind w:right="523"/>
              <w:jc w:val="right"/>
              <w:rPr>
                <w:rFonts w:ascii="Calibri Light" w:hAnsi="Calibri Light"/>
                <w:sz w:val="20"/>
                <w:szCs w:val="20"/>
              </w:rPr>
            </w:pPr>
            <w:r w:rsidRPr="005906A6">
              <w:rPr>
                <w:rFonts w:ascii="Calibri Light" w:hAnsi="Calibri Light"/>
                <w:bCs/>
                <w:sz w:val="20"/>
                <w:szCs w:val="20"/>
              </w:rPr>
              <w:t>$</w:t>
            </w:r>
            <w:r>
              <w:rPr>
                <w:rFonts w:ascii="Calibri Light" w:hAnsi="Calibri Light"/>
                <w:bCs/>
                <w:sz w:val="20"/>
                <w:szCs w:val="20"/>
              </w:rPr>
              <w:t>70.11</w:t>
            </w:r>
          </w:p>
        </w:tc>
        <w:tc>
          <w:tcPr>
            <w:tcW w:w="4608" w:type="dxa"/>
            <w:vMerge/>
          </w:tcPr>
          <w:p w14:paraId="34B8D5FF" w14:textId="3C5BA25D" w:rsidR="00C64FFF" w:rsidRPr="002A221D" w:rsidRDefault="00C64FFF" w:rsidP="00292E2D">
            <w:pPr>
              <w:spacing w:before="0" w:after="0"/>
              <w:rPr>
                <w:bCs/>
                <w:sz w:val="18"/>
                <w:szCs w:val="18"/>
              </w:rPr>
            </w:pPr>
          </w:p>
        </w:tc>
      </w:tr>
    </w:tbl>
    <w:p w14:paraId="5660A782" w14:textId="77777777" w:rsidR="001A7B24" w:rsidRPr="004B06E3" w:rsidRDefault="001A7B24" w:rsidP="004142EF"/>
    <w:p w14:paraId="55071019" w14:textId="77777777" w:rsidR="007D230B" w:rsidRPr="004B06E3" w:rsidRDefault="004B06E3" w:rsidP="00462BB6">
      <w:pPr>
        <w:pStyle w:val="eTRMHeading3"/>
      </w:pPr>
      <w:bookmarkStart w:id="67" w:name="_Toc486490863"/>
      <w:bookmarkStart w:id="68" w:name="_Toc486580934"/>
      <w:bookmarkStart w:id="69" w:name="_Toc12626373"/>
      <w:r>
        <w:t>Net-to-Gross</w:t>
      </w:r>
      <w:bookmarkEnd w:id="67"/>
      <w:bookmarkEnd w:id="68"/>
      <w:r w:rsidR="008D4652">
        <w:t xml:space="preserve"> (NTG)</w:t>
      </w:r>
      <w:bookmarkEnd w:id="69"/>
    </w:p>
    <w:p w14:paraId="0B01822D" w14:textId="3846144F" w:rsidR="007D230B" w:rsidRDefault="00AA3E2A" w:rsidP="004142EF">
      <w:r w:rsidRPr="00860FEC">
        <w:t xml:space="preserve">The net-to-gross (NTG) ratio represents the portion of gross impacts that are determined to be directly attributed to a specific program intervention. </w:t>
      </w:r>
      <w:r w:rsidR="00E94270">
        <w:t>This NTG is stipulated in Resolution E-4952</w:t>
      </w:r>
      <w:r w:rsidR="00710E34">
        <w:t xml:space="preserve"> and only applies to normal replacement and new construction installations.</w:t>
      </w:r>
    </w:p>
    <w:p w14:paraId="53EBABD3" w14:textId="5E14D2D5" w:rsidR="00DE1A0F" w:rsidRPr="0059426D" w:rsidRDefault="00DE1A0F" w:rsidP="00674C51">
      <w:pPr>
        <w:pStyle w:val="Caption"/>
      </w:pPr>
      <w:r>
        <w:lastRenderedPageBreak/>
        <w:t>Net-to-Gross Ratios</w:t>
      </w:r>
    </w:p>
    <w:tbl>
      <w:tblPr>
        <w:tblW w:w="9540" w:type="dxa"/>
        <w:tblInd w:w="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66"/>
        <w:gridCol w:w="1594"/>
        <w:gridCol w:w="4680"/>
      </w:tblGrid>
      <w:tr w:rsidR="00AA3E2A" w:rsidRPr="0059426D" w14:paraId="21BD7AF6" w14:textId="77777777" w:rsidTr="00864AF3">
        <w:trPr>
          <w:cantSplit/>
          <w:trHeight w:val="20"/>
        </w:trPr>
        <w:tc>
          <w:tcPr>
            <w:tcW w:w="3266" w:type="dxa"/>
            <w:shd w:val="clear" w:color="000000" w:fill="F2F2F2" w:themeFill="background1" w:themeFillShade="F2"/>
            <w:vAlign w:val="bottom"/>
          </w:tcPr>
          <w:p w14:paraId="132B8F54" w14:textId="777777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94" w:type="dxa"/>
            <w:shd w:val="clear" w:color="000000" w:fill="F2F2F2" w:themeFill="background1" w:themeFillShade="F2"/>
            <w:vAlign w:val="bottom"/>
          </w:tcPr>
          <w:p w14:paraId="09263C8C" w14:textId="777777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4680" w:type="dxa"/>
            <w:shd w:val="clear" w:color="000000" w:fill="F2F2F2" w:themeFill="background1" w:themeFillShade="F2"/>
          </w:tcPr>
          <w:p w14:paraId="1AED6EB9" w14:textId="77777777"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6168C2" w:rsidRPr="0059426D" w14:paraId="5799BBFE" w14:textId="77777777" w:rsidTr="00864AF3">
        <w:trPr>
          <w:cantSplit/>
          <w:trHeight w:val="296"/>
        </w:trPr>
        <w:tc>
          <w:tcPr>
            <w:tcW w:w="3266" w:type="dxa"/>
            <w:vAlign w:val="center"/>
          </w:tcPr>
          <w:p w14:paraId="7D22FB57" w14:textId="7DC0718E" w:rsidR="006168C2" w:rsidRPr="00177EB6" w:rsidRDefault="006168C2" w:rsidP="006168C2">
            <w:pPr>
              <w:keepNext/>
              <w:keepLines/>
              <w:spacing w:before="0" w:after="0" w:line="200" w:lineRule="atLeast"/>
              <w:rPr>
                <w:rFonts w:cstheme="minorHAnsi"/>
                <w:sz w:val="20"/>
                <w:szCs w:val="20"/>
              </w:rPr>
            </w:pPr>
            <w:r w:rsidRPr="00177EB6">
              <w:rPr>
                <w:rFonts w:cs="Arial"/>
                <w:color w:val="000000"/>
                <w:sz w:val="20"/>
                <w:szCs w:val="20"/>
              </w:rPr>
              <w:t>NTG</w:t>
            </w:r>
            <w:r w:rsidR="00B3105B">
              <w:rPr>
                <w:rFonts w:cs="Arial"/>
                <w:color w:val="000000"/>
                <w:sz w:val="20"/>
                <w:szCs w:val="20"/>
              </w:rPr>
              <w:t xml:space="preserve"> </w:t>
            </w:r>
          </w:p>
        </w:tc>
        <w:tc>
          <w:tcPr>
            <w:tcW w:w="1594" w:type="dxa"/>
            <w:shd w:val="clear" w:color="auto" w:fill="auto"/>
            <w:noWrap/>
            <w:vAlign w:val="center"/>
          </w:tcPr>
          <w:p w14:paraId="42113FDA" w14:textId="5AD157C9" w:rsidR="006168C2" w:rsidRPr="0059426D" w:rsidRDefault="00532A7E" w:rsidP="006168C2">
            <w:pPr>
              <w:keepNext/>
              <w:keepLines/>
              <w:spacing w:before="0" w:after="0" w:line="200" w:lineRule="atLeast"/>
              <w:jc w:val="center"/>
              <w:rPr>
                <w:color w:val="000000"/>
                <w:sz w:val="20"/>
                <w:szCs w:val="20"/>
              </w:rPr>
            </w:pPr>
            <w:r>
              <w:rPr>
                <w:color w:val="000000"/>
                <w:sz w:val="20"/>
                <w:szCs w:val="20"/>
              </w:rPr>
              <w:t>0.91</w:t>
            </w:r>
          </w:p>
        </w:tc>
        <w:tc>
          <w:tcPr>
            <w:tcW w:w="4680" w:type="dxa"/>
            <w:vAlign w:val="center"/>
          </w:tcPr>
          <w:p w14:paraId="2ACB62CA" w14:textId="058366DB" w:rsidR="00532A7E" w:rsidRPr="002A221D" w:rsidRDefault="002A221D" w:rsidP="006168C2">
            <w:pPr>
              <w:keepNext/>
              <w:keepLines/>
              <w:spacing w:before="0" w:after="0" w:line="200" w:lineRule="atLeast"/>
              <w:rPr>
                <w:sz w:val="18"/>
                <w:szCs w:val="18"/>
              </w:rPr>
            </w:pPr>
            <w:r w:rsidRPr="002A221D">
              <w:rPr>
                <w:sz w:val="18"/>
                <w:szCs w:val="18"/>
              </w:rPr>
              <w:t xml:space="preserve">California Public Utilities Commission (CPUC). 2018. </w:t>
            </w:r>
            <w:r w:rsidRPr="002A221D">
              <w:rPr>
                <w:rStyle w:val="Emphasis"/>
                <w:sz w:val="18"/>
                <w:szCs w:val="18"/>
              </w:rPr>
              <w:t>Resolution E-4952.</w:t>
            </w:r>
            <w:r w:rsidRPr="002A221D">
              <w:rPr>
                <w:sz w:val="18"/>
                <w:szCs w:val="18"/>
              </w:rPr>
              <w:t xml:space="preserve"> October 11.</w:t>
            </w:r>
            <w:r w:rsidR="00532A7E" w:rsidRPr="002A221D">
              <w:rPr>
                <w:sz w:val="18"/>
                <w:szCs w:val="18"/>
              </w:rPr>
              <w:t xml:space="preserve"> </w:t>
            </w:r>
            <w:r w:rsidR="00E94270">
              <w:rPr>
                <w:sz w:val="18"/>
                <w:szCs w:val="18"/>
              </w:rPr>
              <w:t xml:space="preserve">Page A-34 – A-35. </w:t>
            </w:r>
          </w:p>
        </w:tc>
      </w:tr>
    </w:tbl>
    <w:p w14:paraId="2F37F650" w14:textId="77777777" w:rsidR="007D230B" w:rsidRPr="004B06E3" w:rsidRDefault="007D230B" w:rsidP="004142EF"/>
    <w:p w14:paraId="10F13488" w14:textId="77777777" w:rsidR="007D230B" w:rsidRPr="004B06E3" w:rsidRDefault="00D02C36" w:rsidP="00462BB6">
      <w:pPr>
        <w:pStyle w:val="eTRMHeading3"/>
      </w:pPr>
      <w:bookmarkStart w:id="70" w:name="_Toc486490864"/>
      <w:bookmarkStart w:id="71" w:name="_Toc486580935"/>
      <w:bookmarkStart w:id="72" w:name="_Toc12626374"/>
      <w:r>
        <w:t>Gross Savings Installation Adjustment (</w:t>
      </w:r>
      <w:r w:rsidR="007D230B" w:rsidRPr="004B06E3">
        <w:t>GSIA</w:t>
      </w:r>
      <w:bookmarkEnd w:id="70"/>
      <w:bookmarkEnd w:id="71"/>
      <w:r>
        <w:t>)</w:t>
      </w:r>
      <w:bookmarkEnd w:id="72"/>
    </w:p>
    <w:p w14:paraId="1078F43D" w14:textId="10B2E813" w:rsidR="007D230B" w:rsidRDefault="00AA3E2A" w:rsidP="004142E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6168C2">
        <w:t>This GSIA rate is the current “default” rate specified for measures for which an alternative GSIA has not been estimated and approved.</w:t>
      </w:r>
    </w:p>
    <w:p w14:paraId="0B3E8FCC" w14:textId="74EB0216" w:rsidR="00DE1A0F" w:rsidRPr="0059426D" w:rsidRDefault="00685862" w:rsidP="00674C51">
      <w:pPr>
        <w:pStyle w:val="Caption"/>
      </w:pPr>
      <w:r>
        <w:t xml:space="preserve">Gross Savings </w:t>
      </w:r>
      <w:r w:rsidR="00DE1A0F">
        <w:t xml:space="preserve">Installation </w:t>
      </w:r>
      <w:r>
        <w:t>Adjustments</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820"/>
      </w:tblGrid>
      <w:tr w:rsidR="006168C2" w:rsidRPr="00052C24" w14:paraId="76FDE1C5" w14:textId="77777777" w:rsidTr="00C062B7">
        <w:tc>
          <w:tcPr>
            <w:tcW w:w="2070" w:type="dxa"/>
            <w:shd w:val="clear" w:color="auto" w:fill="F2F2F2" w:themeFill="background1" w:themeFillShade="F2"/>
            <w:vAlign w:val="bottom"/>
          </w:tcPr>
          <w:p w14:paraId="7A1F2B18" w14:textId="77777777" w:rsidR="006168C2" w:rsidRPr="00052C24" w:rsidRDefault="006168C2" w:rsidP="00C062B7">
            <w:pPr>
              <w:keepNext/>
              <w:keepLines/>
              <w:spacing w:before="0" w:after="0" w:line="200" w:lineRule="atLeast"/>
              <w:jc w:val="center"/>
              <w:rPr>
                <w:b/>
                <w:sz w:val="20"/>
              </w:rPr>
            </w:pPr>
            <w:bookmarkStart w:id="73" w:name="_Toc486490865"/>
            <w:bookmarkStart w:id="74" w:name="_Toc486580936"/>
            <w:r>
              <w:rPr>
                <w:b/>
                <w:sz w:val="20"/>
              </w:rPr>
              <w:t>Parameter</w:t>
            </w:r>
          </w:p>
        </w:tc>
        <w:tc>
          <w:tcPr>
            <w:tcW w:w="1620" w:type="dxa"/>
            <w:shd w:val="clear" w:color="auto" w:fill="F2F2F2" w:themeFill="background1" w:themeFillShade="F2"/>
            <w:vAlign w:val="bottom"/>
          </w:tcPr>
          <w:p w14:paraId="18C53B72" w14:textId="77777777" w:rsidR="006168C2" w:rsidRPr="00052C24" w:rsidRDefault="006168C2" w:rsidP="00C062B7">
            <w:pPr>
              <w:keepNext/>
              <w:keepLines/>
              <w:spacing w:before="0" w:after="0" w:line="200" w:lineRule="atLeast"/>
              <w:jc w:val="center"/>
              <w:rPr>
                <w:b/>
                <w:sz w:val="20"/>
              </w:rPr>
            </w:pPr>
            <w:r>
              <w:rPr>
                <w:b/>
                <w:sz w:val="20"/>
              </w:rPr>
              <w:t xml:space="preserve">Value  </w:t>
            </w:r>
          </w:p>
        </w:tc>
        <w:tc>
          <w:tcPr>
            <w:tcW w:w="5820" w:type="dxa"/>
            <w:shd w:val="clear" w:color="auto" w:fill="F2F2F2" w:themeFill="background1" w:themeFillShade="F2"/>
            <w:vAlign w:val="bottom"/>
          </w:tcPr>
          <w:p w14:paraId="6186447A" w14:textId="77777777" w:rsidR="006168C2" w:rsidRDefault="006168C2" w:rsidP="00C062B7">
            <w:pPr>
              <w:keepNext/>
              <w:keepLines/>
              <w:spacing w:before="0" w:after="0" w:line="200" w:lineRule="atLeast"/>
              <w:jc w:val="center"/>
              <w:rPr>
                <w:b/>
                <w:sz w:val="20"/>
              </w:rPr>
            </w:pPr>
            <w:r>
              <w:rPr>
                <w:b/>
                <w:sz w:val="20"/>
              </w:rPr>
              <w:t>Source</w:t>
            </w:r>
          </w:p>
        </w:tc>
      </w:tr>
      <w:tr w:rsidR="006168C2" w:rsidRPr="009062D0" w14:paraId="0A037542" w14:textId="77777777" w:rsidTr="00C062B7">
        <w:trPr>
          <w:trHeight w:val="260"/>
        </w:trPr>
        <w:tc>
          <w:tcPr>
            <w:tcW w:w="2070" w:type="dxa"/>
            <w:vAlign w:val="center"/>
          </w:tcPr>
          <w:p w14:paraId="04CB4086" w14:textId="77777777" w:rsidR="006168C2" w:rsidRPr="009062D0" w:rsidRDefault="006168C2" w:rsidP="00C062B7">
            <w:pPr>
              <w:keepNext/>
              <w:keepLines/>
              <w:spacing w:before="0" w:after="0" w:line="200" w:lineRule="atLeast"/>
              <w:rPr>
                <w:sz w:val="20"/>
              </w:rPr>
            </w:pPr>
            <w:r>
              <w:rPr>
                <w:sz w:val="20"/>
              </w:rPr>
              <w:t>GSIA</w:t>
            </w:r>
          </w:p>
        </w:tc>
        <w:tc>
          <w:tcPr>
            <w:tcW w:w="1620" w:type="dxa"/>
            <w:shd w:val="clear" w:color="auto" w:fill="auto"/>
            <w:vAlign w:val="center"/>
          </w:tcPr>
          <w:p w14:paraId="04771532" w14:textId="77777777" w:rsidR="006168C2" w:rsidRPr="00685862" w:rsidRDefault="006168C2" w:rsidP="00C062B7">
            <w:pPr>
              <w:keepNext/>
              <w:keepLines/>
              <w:spacing w:before="0" w:after="0" w:line="200" w:lineRule="atLeast"/>
              <w:jc w:val="center"/>
              <w:rPr>
                <w:sz w:val="20"/>
              </w:rPr>
            </w:pPr>
            <w:r w:rsidRPr="00685862">
              <w:rPr>
                <w:sz w:val="20"/>
                <w:szCs w:val="20"/>
              </w:rPr>
              <w:t>1.0</w:t>
            </w:r>
          </w:p>
        </w:tc>
        <w:tc>
          <w:tcPr>
            <w:tcW w:w="5820" w:type="dxa"/>
            <w:vAlign w:val="center"/>
          </w:tcPr>
          <w:p w14:paraId="6774E1B3" w14:textId="77777777" w:rsidR="006168C2" w:rsidRPr="009062D0" w:rsidRDefault="006168C2" w:rsidP="00C062B7">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41B627AA" w14:textId="77777777" w:rsidR="006168C2" w:rsidRDefault="006168C2" w:rsidP="006168C2"/>
    <w:p w14:paraId="041C7190" w14:textId="77777777" w:rsidR="002C67DF" w:rsidRPr="004B06E3" w:rsidRDefault="002C67DF" w:rsidP="00462BB6">
      <w:pPr>
        <w:pStyle w:val="eTRMHeading3"/>
      </w:pPr>
      <w:bookmarkStart w:id="75" w:name="_Toc12626375"/>
      <w:r w:rsidRPr="004B06E3">
        <w:t>Non-Energy Benefits</w:t>
      </w:r>
      <w:bookmarkEnd w:id="73"/>
      <w:bookmarkEnd w:id="74"/>
      <w:bookmarkEnd w:id="75"/>
    </w:p>
    <w:p w14:paraId="523D5BC1" w14:textId="77777777" w:rsidR="00697A88" w:rsidRDefault="00697A88" w:rsidP="004142EF">
      <w:pPr>
        <w:rPr>
          <w:rFonts w:cs="Arial"/>
          <w:szCs w:val="22"/>
        </w:rPr>
      </w:pPr>
      <w:r w:rsidRPr="00F01325">
        <w:rPr>
          <w:rFonts w:cs="Arial"/>
          <w:szCs w:val="22"/>
        </w:rPr>
        <w:t xml:space="preserve">Non-energy benefits for this measure have not been </w:t>
      </w:r>
      <w:r w:rsidR="009D7F4D" w:rsidRPr="00F01325">
        <w:rPr>
          <w:rFonts w:cs="Arial"/>
          <w:szCs w:val="22"/>
        </w:rPr>
        <w:t>quantified</w:t>
      </w:r>
      <w:r w:rsidRPr="00F01325">
        <w:rPr>
          <w:rFonts w:cs="Arial"/>
          <w:szCs w:val="22"/>
        </w:rPr>
        <w:t>.</w:t>
      </w:r>
    </w:p>
    <w:p w14:paraId="16F5EF08" w14:textId="77777777" w:rsidR="000E46ED" w:rsidRPr="00F01325" w:rsidRDefault="000E46ED" w:rsidP="004142EF">
      <w:pPr>
        <w:rPr>
          <w:szCs w:val="22"/>
        </w:rPr>
      </w:pPr>
    </w:p>
    <w:p w14:paraId="73DFB94E" w14:textId="77777777" w:rsidR="009C31A4" w:rsidRPr="004B06E3" w:rsidRDefault="009C31A4" w:rsidP="00462BB6">
      <w:pPr>
        <w:pStyle w:val="eTRMHeading3"/>
      </w:pPr>
      <w:bookmarkStart w:id="76" w:name="_Toc12626376"/>
      <w:r>
        <w:t>DEER Differences Analysis</w:t>
      </w:r>
      <w:bookmarkEnd w:id="76"/>
    </w:p>
    <w:p w14:paraId="68D4D667" w14:textId="77777777" w:rsidR="002C67DF" w:rsidRDefault="003F21D2" w:rsidP="004142EF">
      <w:r>
        <w:t>This section provides a summary of DEER-based inputs and methods, and the rationale for inputs and methods that are not DEER-based.</w:t>
      </w:r>
    </w:p>
    <w:p w14:paraId="48320B01" w14:textId="107E4078" w:rsidR="00EA057C" w:rsidRPr="00920905" w:rsidRDefault="00EA057C" w:rsidP="00674C51">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0D209A08" w14:textId="77777777" w:rsidTr="00814D52">
        <w:trPr>
          <w:trHeight w:val="20"/>
          <w:tblHeader/>
        </w:trPr>
        <w:tc>
          <w:tcPr>
            <w:tcW w:w="1730" w:type="pct"/>
            <w:shd w:val="clear" w:color="auto" w:fill="F2F2F2" w:themeFill="background1" w:themeFillShade="F2"/>
          </w:tcPr>
          <w:p w14:paraId="42DCFA2F" w14:textId="77777777" w:rsidR="00EA057C" w:rsidRPr="00EA057C" w:rsidRDefault="00EA057C" w:rsidP="00814D52">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3276A83A" w14:textId="77777777" w:rsidR="00EA057C" w:rsidRPr="00EA057C" w:rsidRDefault="00EA057C" w:rsidP="00814D52">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D54119" w:rsidRPr="00500C4E" w14:paraId="45F2E56A" w14:textId="77777777" w:rsidTr="00EA057C">
        <w:trPr>
          <w:trHeight w:val="20"/>
        </w:trPr>
        <w:tc>
          <w:tcPr>
            <w:tcW w:w="1730" w:type="pct"/>
          </w:tcPr>
          <w:p w14:paraId="36C1DA08" w14:textId="77777777" w:rsidR="00D54119" w:rsidRPr="00685862" w:rsidRDefault="00D54119" w:rsidP="00D54119">
            <w:pPr>
              <w:spacing w:before="20" w:after="20"/>
              <w:rPr>
                <w:rFonts w:cs="Arial"/>
                <w:sz w:val="20"/>
                <w:szCs w:val="20"/>
              </w:rPr>
            </w:pPr>
            <w:r w:rsidRPr="00685862">
              <w:rPr>
                <w:rFonts w:cs="Arial"/>
                <w:sz w:val="20"/>
                <w:szCs w:val="20"/>
              </w:rPr>
              <w:t>Modified DEER methodology</w:t>
            </w:r>
          </w:p>
        </w:tc>
        <w:tc>
          <w:tcPr>
            <w:tcW w:w="3270" w:type="pct"/>
          </w:tcPr>
          <w:p w14:paraId="45D6366E" w14:textId="1AB86536" w:rsidR="00D54119" w:rsidRPr="00685862" w:rsidRDefault="00D54119" w:rsidP="00D54119">
            <w:pPr>
              <w:spacing w:before="20" w:after="20"/>
              <w:rPr>
                <w:rFonts w:cs="Arial"/>
                <w:b/>
                <w:sz w:val="20"/>
                <w:szCs w:val="20"/>
              </w:rPr>
            </w:pPr>
            <w:r>
              <w:rPr>
                <w:rFonts w:cs="Arial"/>
                <w:sz w:val="20"/>
                <w:szCs w:val="20"/>
              </w:rPr>
              <w:t>Yes</w:t>
            </w:r>
          </w:p>
        </w:tc>
      </w:tr>
      <w:tr w:rsidR="00D54119" w:rsidRPr="00500C4E" w14:paraId="171EFFAD" w14:textId="77777777" w:rsidTr="00EA057C">
        <w:trPr>
          <w:trHeight w:val="20"/>
        </w:trPr>
        <w:tc>
          <w:tcPr>
            <w:tcW w:w="1730" w:type="pct"/>
          </w:tcPr>
          <w:p w14:paraId="1257E9FA" w14:textId="77777777" w:rsidR="00D54119" w:rsidRPr="00685862" w:rsidRDefault="00D54119" w:rsidP="00D54119">
            <w:pPr>
              <w:spacing w:before="20" w:after="20"/>
              <w:rPr>
                <w:rFonts w:cs="Arial"/>
                <w:sz w:val="20"/>
                <w:szCs w:val="20"/>
              </w:rPr>
            </w:pPr>
            <w:r w:rsidRPr="00685862">
              <w:rPr>
                <w:rFonts w:cs="Arial"/>
                <w:sz w:val="20"/>
                <w:szCs w:val="20"/>
              </w:rPr>
              <w:t>Scaled DEER measure</w:t>
            </w:r>
          </w:p>
        </w:tc>
        <w:tc>
          <w:tcPr>
            <w:tcW w:w="3270" w:type="pct"/>
          </w:tcPr>
          <w:p w14:paraId="51B7E6D3" w14:textId="2F0F8D2E" w:rsidR="00D54119" w:rsidRPr="00685862" w:rsidRDefault="00D54119" w:rsidP="00D54119">
            <w:pPr>
              <w:spacing w:before="20" w:after="20"/>
              <w:rPr>
                <w:rFonts w:cs="Arial"/>
                <w:sz w:val="20"/>
                <w:szCs w:val="20"/>
              </w:rPr>
            </w:pPr>
            <w:r>
              <w:rPr>
                <w:rFonts w:cs="Arial"/>
                <w:sz w:val="20"/>
                <w:szCs w:val="20"/>
              </w:rPr>
              <w:t>No</w:t>
            </w:r>
          </w:p>
        </w:tc>
      </w:tr>
      <w:tr w:rsidR="00D54119" w:rsidRPr="00500C4E" w14:paraId="1C94499D" w14:textId="77777777" w:rsidTr="00EA057C">
        <w:trPr>
          <w:trHeight w:val="20"/>
        </w:trPr>
        <w:tc>
          <w:tcPr>
            <w:tcW w:w="1730" w:type="pct"/>
          </w:tcPr>
          <w:p w14:paraId="1B434D37" w14:textId="77777777" w:rsidR="00D54119" w:rsidRPr="00685862" w:rsidRDefault="00D54119" w:rsidP="00D54119">
            <w:pPr>
              <w:spacing w:before="20" w:after="20"/>
              <w:rPr>
                <w:rFonts w:cs="Arial"/>
                <w:sz w:val="20"/>
                <w:szCs w:val="20"/>
              </w:rPr>
            </w:pPr>
            <w:r w:rsidRPr="00685862">
              <w:rPr>
                <w:rFonts w:cs="Arial"/>
                <w:sz w:val="20"/>
                <w:szCs w:val="20"/>
              </w:rPr>
              <w:t>DEER Base Case</w:t>
            </w:r>
          </w:p>
        </w:tc>
        <w:tc>
          <w:tcPr>
            <w:tcW w:w="3270" w:type="pct"/>
          </w:tcPr>
          <w:p w14:paraId="7FF607C0" w14:textId="02A7D8E9" w:rsidR="00D54119" w:rsidRPr="00685862" w:rsidRDefault="00D54119" w:rsidP="00D54119">
            <w:pPr>
              <w:spacing w:before="20" w:after="20"/>
              <w:rPr>
                <w:rFonts w:cs="Arial"/>
                <w:sz w:val="20"/>
                <w:szCs w:val="20"/>
              </w:rPr>
            </w:pPr>
            <w:r>
              <w:rPr>
                <w:rFonts w:cs="Arial"/>
                <w:sz w:val="20"/>
                <w:szCs w:val="20"/>
              </w:rPr>
              <w:t>No</w:t>
            </w:r>
          </w:p>
        </w:tc>
      </w:tr>
      <w:tr w:rsidR="00D54119" w:rsidRPr="00500C4E" w14:paraId="187D2663" w14:textId="77777777" w:rsidTr="00EA057C">
        <w:trPr>
          <w:trHeight w:val="20"/>
        </w:trPr>
        <w:tc>
          <w:tcPr>
            <w:tcW w:w="1730" w:type="pct"/>
          </w:tcPr>
          <w:p w14:paraId="7FD8BF0F" w14:textId="77777777" w:rsidR="00D54119" w:rsidRPr="00685862" w:rsidRDefault="00D54119" w:rsidP="00D54119">
            <w:pPr>
              <w:spacing w:before="20" w:after="20"/>
              <w:rPr>
                <w:rFonts w:cs="Arial"/>
                <w:sz w:val="20"/>
                <w:szCs w:val="20"/>
              </w:rPr>
            </w:pPr>
            <w:r w:rsidRPr="00685862">
              <w:rPr>
                <w:rFonts w:cs="Arial"/>
                <w:sz w:val="20"/>
                <w:szCs w:val="20"/>
              </w:rPr>
              <w:t>DEER Measure Case</w:t>
            </w:r>
          </w:p>
        </w:tc>
        <w:tc>
          <w:tcPr>
            <w:tcW w:w="3270" w:type="pct"/>
          </w:tcPr>
          <w:p w14:paraId="3926970A" w14:textId="7C3902C9" w:rsidR="00D54119" w:rsidRPr="00685862" w:rsidRDefault="00D54119" w:rsidP="00D54119">
            <w:pPr>
              <w:spacing w:before="20" w:after="20"/>
              <w:rPr>
                <w:rFonts w:cs="Arial"/>
                <w:sz w:val="20"/>
                <w:szCs w:val="20"/>
              </w:rPr>
            </w:pPr>
            <w:r>
              <w:rPr>
                <w:rFonts w:cs="Arial"/>
                <w:sz w:val="20"/>
                <w:szCs w:val="20"/>
              </w:rPr>
              <w:t>No</w:t>
            </w:r>
          </w:p>
        </w:tc>
      </w:tr>
      <w:tr w:rsidR="00D54119" w:rsidRPr="00500C4E" w14:paraId="214DE3D8" w14:textId="77777777" w:rsidTr="00EA057C">
        <w:trPr>
          <w:trHeight w:val="20"/>
        </w:trPr>
        <w:tc>
          <w:tcPr>
            <w:tcW w:w="1730" w:type="pct"/>
          </w:tcPr>
          <w:p w14:paraId="14366FF2" w14:textId="77777777" w:rsidR="00D54119" w:rsidRPr="00685862" w:rsidRDefault="00D54119" w:rsidP="00D54119">
            <w:pPr>
              <w:spacing w:before="20" w:after="20"/>
              <w:rPr>
                <w:rFonts w:cs="Arial"/>
                <w:sz w:val="20"/>
                <w:szCs w:val="20"/>
              </w:rPr>
            </w:pPr>
            <w:r w:rsidRPr="00685862">
              <w:rPr>
                <w:rFonts w:cs="Arial"/>
                <w:sz w:val="20"/>
                <w:szCs w:val="20"/>
              </w:rPr>
              <w:t>DEER Building Types</w:t>
            </w:r>
          </w:p>
        </w:tc>
        <w:tc>
          <w:tcPr>
            <w:tcW w:w="3270" w:type="pct"/>
          </w:tcPr>
          <w:p w14:paraId="07715170" w14:textId="322CD64E" w:rsidR="00D54119" w:rsidRPr="00685862" w:rsidRDefault="00D54119" w:rsidP="00D54119">
            <w:pPr>
              <w:spacing w:before="20" w:after="20"/>
              <w:rPr>
                <w:rFonts w:cs="Arial"/>
                <w:sz w:val="20"/>
                <w:szCs w:val="20"/>
              </w:rPr>
            </w:pPr>
            <w:r>
              <w:rPr>
                <w:rFonts w:cs="Arial"/>
                <w:sz w:val="20"/>
                <w:szCs w:val="20"/>
              </w:rPr>
              <w:t>Yes</w:t>
            </w:r>
          </w:p>
        </w:tc>
      </w:tr>
      <w:tr w:rsidR="00D54119" w:rsidRPr="00500C4E" w14:paraId="164F5B07" w14:textId="77777777" w:rsidTr="00EA057C">
        <w:trPr>
          <w:trHeight w:val="20"/>
        </w:trPr>
        <w:tc>
          <w:tcPr>
            <w:tcW w:w="1730" w:type="pct"/>
          </w:tcPr>
          <w:p w14:paraId="442AAB1D" w14:textId="77777777" w:rsidR="00D54119" w:rsidRPr="00685862" w:rsidRDefault="00D54119" w:rsidP="00D54119">
            <w:pPr>
              <w:spacing w:before="20" w:after="20"/>
              <w:rPr>
                <w:rFonts w:cs="Arial"/>
                <w:sz w:val="20"/>
                <w:szCs w:val="20"/>
              </w:rPr>
            </w:pPr>
            <w:r w:rsidRPr="00685862">
              <w:rPr>
                <w:rFonts w:cs="Arial"/>
                <w:sz w:val="20"/>
                <w:szCs w:val="20"/>
              </w:rPr>
              <w:t>DEER Operating Hours</w:t>
            </w:r>
          </w:p>
        </w:tc>
        <w:tc>
          <w:tcPr>
            <w:tcW w:w="3270" w:type="pct"/>
          </w:tcPr>
          <w:p w14:paraId="33F3429D" w14:textId="7D262D7F" w:rsidR="00D54119" w:rsidRPr="00685862" w:rsidRDefault="00D54119" w:rsidP="00D54119">
            <w:pPr>
              <w:spacing w:before="20" w:after="20"/>
              <w:rPr>
                <w:rFonts w:cs="Arial"/>
                <w:sz w:val="20"/>
                <w:szCs w:val="20"/>
              </w:rPr>
            </w:pPr>
            <w:r>
              <w:rPr>
                <w:rFonts w:cs="Arial"/>
                <w:sz w:val="20"/>
                <w:szCs w:val="20"/>
              </w:rPr>
              <w:t>Yes</w:t>
            </w:r>
          </w:p>
        </w:tc>
      </w:tr>
      <w:tr w:rsidR="00D54119" w:rsidRPr="00500C4E" w14:paraId="31F1A275" w14:textId="77777777" w:rsidTr="00EA057C">
        <w:trPr>
          <w:trHeight w:val="20"/>
        </w:trPr>
        <w:tc>
          <w:tcPr>
            <w:tcW w:w="1730" w:type="pct"/>
          </w:tcPr>
          <w:p w14:paraId="7D63D4C9" w14:textId="77777777" w:rsidR="00D54119" w:rsidRPr="00685862" w:rsidRDefault="00D54119" w:rsidP="00D54119">
            <w:pPr>
              <w:spacing w:before="20" w:after="20"/>
              <w:rPr>
                <w:rFonts w:cs="Arial"/>
                <w:sz w:val="20"/>
                <w:szCs w:val="20"/>
              </w:rPr>
            </w:pPr>
            <w:r w:rsidRPr="00685862">
              <w:rPr>
                <w:rFonts w:cs="Arial"/>
                <w:sz w:val="20"/>
                <w:szCs w:val="20"/>
              </w:rPr>
              <w:t>DEER eQUEST Prototypes</w:t>
            </w:r>
          </w:p>
        </w:tc>
        <w:tc>
          <w:tcPr>
            <w:tcW w:w="3270" w:type="pct"/>
          </w:tcPr>
          <w:p w14:paraId="79E71A87" w14:textId="3CAC660F" w:rsidR="00D54119" w:rsidRPr="00685862" w:rsidDel="00505CEC" w:rsidRDefault="00D54119" w:rsidP="00D54119">
            <w:pPr>
              <w:spacing w:before="20" w:after="20"/>
              <w:rPr>
                <w:rFonts w:cs="Arial"/>
                <w:sz w:val="20"/>
                <w:szCs w:val="20"/>
              </w:rPr>
            </w:pPr>
            <w:r>
              <w:rPr>
                <w:rFonts w:cs="Arial"/>
                <w:sz w:val="20"/>
                <w:szCs w:val="20"/>
              </w:rPr>
              <w:t>No</w:t>
            </w:r>
          </w:p>
        </w:tc>
      </w:tr>
      <w:tr w:rsidR="00D54119" w:rsidRPr="00500C4E" w14:paraId="71852285" w14:textId="77777777" w:rsidTr="00EA057C">
        <w:trPr>
          <w:trHeight w:val="180"/>
        </w:trPr>
        <w:tc>
          <w:tcPr>
            <w:tcW w:w="1730" w:type="pct"/>
          </w:tcPr>
          <w:p w14:paraId="1DF22E42" w14:textId="77777777" w:rsidR="00D54119" w:rsidRPr="00685862" w:rsidRDefault="00D54119" w:rsidP="00D54119">
            <w:pPr>
              <w:spacing w:before="20" w:after="20"/>
              <w:rPr>
                <w:rFonts w:cs="Arial"/>
                <w:sz w:val="20"/>
                <w:szCs w:val="20"/>
              </w:rPr>
            </w:pPr>
            <w:r w:rsidRPr="00685862">
              <w:rPr>
                <w:rFonts w:cs="Arial"/>
                <w:sz w:val="20"/>
                <w:szCs w:val="20"/>
              </w:rPr>
              <w:t>DEER Version</w:t>
            </w:r>
          </w:p>
        </w:tc>
        <w:tc>
          <w:tcPr>
            <w:tcW w:w="3270" w:type="pct"/>
          </w:tcPr>
          <w:p w14:paraId="6EE565F4" w14:textId="3CD43048" w:rsidR="00D54119" w:rsidRPr="00685862" w:rsidRDefault="00D54119" w:rsidP="00D54119">
            <w:pPr>
              <w:spacing w:before="20" w:after="20"/>
              <w:rPr>
                <w:rFonts w:cs="Arial"/>
                <w:sz w:val="20"/>
                <w:szCs w:val="20"/>
              </w:rPr>
            </w:pPr>
            <w:r>
              <w:rPr>
                <w:rFonts w:cs="Arial"/>
                <w:sz w:val="20"/>
                <w:szCs w:val="20"/>
              </w:rPr>
              <w:t>2019</w:t>
            </w:r>
          </w:p>
        </w:tc>
      </w:tr>
      <w:tr w:rsidR="00D54119" w:rsidRPr="00500C4E" w14:paraId="19EE99D4" w14:textId="77777777" w:rsidTr="00EA057C">
        <w:trPr>
          <w:trHeight w:val="20"/>
        </w:trPr>
        <w:tc>
          <w:tcPr>
            <w:tcW w:w="1730" w:type="pct"/>
          </w:tcPr>
          <w:p w14:paraId="1B8A4347" w14:textId="77777777" w:rsidR="00D54119" w:rsidRPr="00685862" w:rsidRDefault="00D54119" w:rsidP="00D54119">
            <w:pPr>
              <w:spacing w:before="20" w:after="20"/>
              <w:rPr>
                <w:rFonts w:cs="Arial"/>
                <w:sz w:val="20"/>
                <w:szCs w:val="20"/>
              </w:rPr>
            </w:pPr>
            <w:r w:rsidRPr="00685862">
              <w:rPr>
                <w:rFonts w:cs="Arial"/>
                <w:sz w:val="20"/>
                <w:szCs w:val="20"/>
              </w:rPr>
              <w:t>Reason for Deviation from DEER</w:t>
            </w:r>
          </w:p>
        </w:tc>
        <w:tc>
          <w:tcPr>
            <w:tcW w:w="3270" w:type="pct"/>
          </w:tcPr>
          <w:p w14:paraId="2243B11E" w14:textId="334D0409" w:rsidR="00D54119" w:rsidRPr="00685862" w:rsidRDefault="00D54119" w:rsidP="00D54119">
            <w:pPr>
              <w:spacing w:before="20" w:after="20"/>
              <w:rPr>
                <w:rFonts w:cs="Arial"/>
                <w:sz w:val="20"/>
                <w:szCs w:val="20"/>
              </w:rPr>
            </w:pPr>
            <w:r w:rsidRPr="008A77CD">
              <w:rPr>
                <w:rFonts w:cs="Arial"/>
                <w:sz w:val="20"/>
                <w:szCs w:val="20"/>
              </w:rPr>
              <w:t>DEER does not address LED savings for panel fixtures and retrofit kits</w:t>
            </w:r>
          </w:p>
        </w:tc>
      </w:tr>
      <w:tr w:rsidR="00D54119" w:rsidRPr="00500C4E" w14:paraId="33B35034" w14:textId="77777777" w:rsidTr="00EA057C">
        <w:trPr>
          <w:trHeight w:val="20"/>
        </w:trPr>
        <w:tc>
          <w:tcPr>
            <w:tcW w:w="1730" w:type="pct"/>
          </w:tcPr>
          <w:p w14:paraId="719009E4" w14:textId="77777777" w:rsidR="00D54119" w:rsidRPr="00685862" w:rsidRDefault="00D54119" w:rsidP="00D54119">
            <w:pPr>
              <w:spacing w:before="20" w:after="20"/>
              <w:rPr>
                <w:rFonts w:cs="Arial"/>
                <w:sz w:val="20"/>
                <w:szCs w:val="20"/>
              </w:rPr>
            </w:pPr>
            <w:r w:rsidRPr="00685862">
              <w:rPr>
                <w:rFonts w:cs="Arial"/>
                <w:sz w:val="20"/>
                <w:szCs w:val="20"/>
              </w:rPr>
              <w:t>DEER Measure IDs Used</w:t>
            </w:r>
          </w:p>
        </w:tc>
        <w:tc>
          <w:tcPr>
            <w:tcW w:w="3270" w:type="pct"/>
          </w:tcPr>
          <w:p w14:paraId="3DD872A7" w14:textId="2CA0AADB" w:rsidR="00D54119" w:rsidRPr="00685862" w:rsidRDefault="00D54119" w:rsidP="00D54119">
            <w:pPr>
              <w:spacing w:before="20" w:after="20"/>
              <w:rPr>
                <w:rFonts w:cs="Arial"/>
                <w:sz w:val="20"/>
                <w:szCs w:val="20"/>
              </w:rPr>
            </w:pPr>
            <w:r>
              <w:rPr>
                <w:rFonts w:cs="Arial"/>
                <w:sz w:val="20"/>
                <w:szCs w:val="20"/>
              </w:rPr>
              <w:t>Propose new</w:t>
            </w:r>
          </w:p>
        </w:tc>
      </w:tr>
      <w:tr w:rsidR="00EA057C" w:rsidRPr="00500C4E" w14:paraId="66B10F8C" w14:textId="77777777" w:rsidTr="00EA057C">
        <w:trPr>
          <w:trHeight w:val="20"/>
        </w:trPr>
        <w:tc>
          <w:tcPr>
            <w:tcW w:w="1730" w:type="pct"/>
          </w:tcPr>
          <w:p w14:paraId="0118A513" w14:textId="77777777" w:rsidR="00EA057C" w:rsidRPr="00685862" w:rsidRDefault="00EA057C" w:rsidP="00814D52">
            <w:pPr>
              <w:spacing w:before="20" w:after="20"/>
              <w:rPr>
                <w:rFonts w:cs="Arial"/>
                <w:sz w:val="20"/>
                <w:szCs w:val="20"/>
              </w:rPr>
            </w:pPr>
            <w:r w:rsidRPr="00685862">
              <w:rPr>
                <w:rFonts w:cs="Arial"/>
                <w:sz w:val="20"/>
                <w:szCs w:val="20"/>
              </w:rPr>
              <w:t>NTG</w:t>
            </w:r>
          </w:p>
        </w:tc>
        <w:tc>
          <w:tcPr>
            <w:tcW w:w="3270" w:type="pct"/>
          </w:tcPr>
          <w:p w14:paraId="298176A3" w14:textId="26A50865" w:rsidR="00EA057C" w:rsidRPr="00685862" w:rsidRDefault="005A74DC" w:rsidP="00814D52">
            <w:pPr>
              <w:spacing w:before="20" w:after="20"/>
              <w:rPr>
                <w:rFonts w:cs="Arial"/>
                <w:sz w:val="20"/>
                <w:szCs w:val="20"/>
              </w:rPr>
            </w:pPr>
            <w:r w:rsidRPr="00685862">
              <w:rPr>
                <w:rFonts w:cs="Arial"/>
                <w:sz w:val="20"/>
                <w:szCs w:val="20"/>
              </w:rPr>
              <w:t xml:space="preserve">Source: </w:t>
            </w:r>
            <w:r w:rsidR="00902CED" w:rsidRPr="00685862">
              <w:rPr>
                <w:rFonts w:cs="Arial"/>
                <w:sz w:val="20"/>
                <w:szCs w:val="20"/>
              </w:rPr>
              <w:t>DEER</w:t>
            </w:r>
            <w:r w:rsidR="00D54119">
              <w:rPr>
                <w:rFonts w:cs="Arial"/>
                <w:sz w:val="20"/>
                <w:szCs w:val="20"/>
              </w:rPr>
              <w:t xml:space="preserve"> 2019</w:t>
            </w:r>
            <w:r w:rsidR="00902CED" w:rsidRPr="00685862">
              <w:rPr>
                <w:rFonts w:cs="Arial"/>
                <w:sz w:val="20"/>
                <w:szCs w:val="20"/>
              </w:rPr>
              <w:t xml:space="preserve">. </w:t>
            </w:r>
            <w:r w:rsidR="00D54119">
              <w:rPr>
                <w:rFonts w:cs="Arial"/>
                <w:sz w:val="20"/>
                <w:szCs w:val="20"/>
              </w:rPr>
              <w:t xml:space="preserve">The NTG of 0.91 is associated with NTG ID: </w:t>
            </w:r>
            <w:proofErr w:type="spellStart"/>
            <w:r w:rsidR="00DF1621" w:rsidRPr="00DF1621">
              <w:rPr>
                <w:rFonts w:cstheme="minorHAnsi"/>
                <w:i/>
                <w:sz w:val="20"/>
                <w:szCs w:val="20"/>
              </w:rPr>
              <w:t>NonRes</w:t>
            </w:r>
            <w:proofErr w:type="spellEnd"/>
            <w:r w:rsidR="00DF1621" w:rsidRPr="00DF1621">
              <w:rPr>
                <w:rFonts w:cstheme="minorHAnsi"/>
                <w:i/>
                <w:sz w:val="20"/>
                <w:szCs w:val="20"/>
              </w:rPr>
              <w:t>-In-</w:t>
            </w:r>
            <w:proofErr w:type="spellStart"/>
            <w:r w:rsidR="00DF1621" w:rsidRPr="00DF1621">
              <w:rPr>
                <w:rFonts w:cstheme="minorHAnsi"/>
                <w:i/>
                <w:sz w:val="20"/>
                <w:szCs w:val="20"/>
              </w:rPr>
              <w:t>Ltg</w:t>
            </w:r>
            <w:proofErr w:type="spellEnd"/>
            <w:r w:rsidR="00DF1621" w:rsidRPr="00DF1621">
              <w:rPr>
                <w:rFonts w:cstheme="minorHAnsi"/>
                <w:i/>
                <w:sz w:val="20"/>
                <w:szCs w:val="20"/>
              </w:rPr>
              <w:t>-</w:t>
            </w:r>
            <w:proofErr w:type="spellStart"/>
            <w:r w:rsidR="00DF1621" w:rsidRPr="00DF1621">
              <w:rPr>
                <w:rFonts w:cstheme="minorHAnsi"/>
                <w:i/>
                <w:sz w:val="20"/>
                <w:szCs w:val="20"/>
              </w:rPr>
              <w:t>LEDFixt</w:t>
            </w:r>
            <w:proofErr w:type="spellEnd"/>
            <w:r w:rsidR="00DF1621">
              <w:rPr>
                <w:rFonts w:cstheme="minorHAnsi"/>
                <w:i/>
                <w:sz w:val="20"/>
                <w:szCs w:val="20"/>
              </w:rPr>
              <w:t xml:space="preserve"> </w:t>
            </w:r>
            <w:r w:rsidR="00DF1621" w:rsidRPr="00DF1621">
              <w:rPr>
                <w:rFonts w:cstheme="minorHAnsi"/>
                <w:sz w:val="20"/>
                <w:szCs w:val="20"/>
              </w:rPr>
              <w:t>and</w:t>
            </w:r>
            <w:r w:rsidR="00DF1621" w:rsidRPr="00DF1621">
              <w:rPr>
                <w:rFonts w:cstheme="minorHAnsi"/>
                <w:i/>
                <w:sz w:val="20"/>
                <w:szCs w:val="20"/>
              </w:rPr>
              <w:t xml:space="preserve"> Res-</w:t>
            </w:r>
            <w:proofErr w:type="spellStart"/>
            <w:r w:rsidR="00DF1621" w:rsidRPr="00DF1621">
              <w:rPr>
                <w:rFonts w:cstheme="minorHAnsi"/>
                <w:i/>
                <w:sz w:val="20"/>
                <w:szCs w:val="20"/>
              </w:rPr>
              <w:t>InCmn</w:t>
            </w:r>
            <w:proofErr w:type="spellEnd"/>
            <w:r w:rsidR="00DF1621" w:rsidRPr="00DF1621">
              <w:rPr>
                <w:rFonts w:cstheme="minorHAnsi"/>
                <w:i/>
                <w:sz w:val="20"/>
                <w:szCs w:val="20"/>
              </w:rPr>
              <w:t>-</w:t>
            </w:r>
            <w:proofErr w:type="spellStart"/>
            <w:r w:rsidR="00DF1621" w:rsidRPr="00DF1621">
              <w:rPr>
                <w:rFonts w:cstheme="minorHAnsi"/>
                <w:i/>
                <w:sz w:val="20"/>
                <w:szCs w:val="20"/>
              </w:rPr>
              <w:t>Ltg-LEDFixt</w:t>
            </w:r>
            <w:proofErr w:type="spellEnd"/>
          </w:p>
        </w:tc>
      </w:tr>
      <w:tr w:rsidR="00EA057C" w:rsidRPr="00500C4E" w14:paraId="5BCBE8D5" w14:textId="77777777" w:rsidTr="00EA057C">
        <w:trPr>
          <w:trHeight w:val="20"/>
        </w:trPr>
        <w:tc>
          <w:tcPr>
            <w:tcW w:w="1730" w:type="pct"/>
          </w:tcPr>
          <w:p w14:paraId="31AE6C61" w14:textId="77777777" w:rsidR="00EA057C" w:rsidRPr="00685862" w:rsidRDefault="00EA057C" w:rsidP="00814D52">
            <w:pPr>
              <w:spacing w:before="20" w:after="20"/>
              <w:rPr>
                <w:rFonts w:cs="Arial"/>
                <w:sz w:val="20"/>
                <w:szCs w:val="20"/>
              </w:rPr>
            </w:pPr>
            <w:r w:rsidRPr="00685862">
              <w:rPr>
                <w:rFonts w:cs="Arial"/>
                <w:sz w:val="20"/>
                <w:szCs w:val="20"/>
              </w:rPr>
              <w:t>GSIA</w:t>
            </w:r>
          </w:p>
        </w:tc>
        <w:tc>
          <w:tcPr>
            <w:tcW w:w="3270" w:type="pct"/>
          </w:tcPr>
          <w:p w14:paraId="0B80806F" w14:textId="78B5FB5E" w:rsidR="00EA057C" w:rsidRPr="00685862" w:rsidRDefault="005A74DC" w:rsidP="00814D52">
            <w:pPr>
              <w:spacing w:before="20" w:after="20"/>
              <w:rPr>
                <w:rFonts w:cs="Arial"/>
                <w:sz w:val="20"/>
                <w:szCs w:val="20"/>
              </w:rPr>
            </w:pPr>
            <w:r w:rsidRPr="00685862">
              <w:rPr>
                <w:rFonts w:cs="Arial"/>
                <w:sz w:val="20"/>
                <w:szCs w:val="20"/>
              </w:rPr>
              <w:t xml:space="preserve">Source: </w:t>
            </w:r>
            <w:r w:rsidR="00902CED" w:rsidRPr="00685862">
              <w:rPr>
                <w:rFonts w:cs="Arial"/>
                <w:sz w:val="20"/>
                <w:szCs w:val="20"/>
              </w:rPr>
              <w:t>DEER</w:t>
            </w:r>
            <w:r w:rsidRPr="00685862">
              <w:rPr>
                <w:rFonts w:cs="Arial"/>
                <w:sz w:val="20"/>
                <w:szCs w:val="20"/>
              </w:rPr>
              <w:t xml:space="preserve">. The GSIA of </w:t>
            </w:r>
            <w:r w:rsidR="00D54119">
              <w:rPr>
                <w:rFonts w:cs="Arial"/>
                <w:sz w:val="20"/>
                <w:szCs w:val="20"/>
              </w:rPr>
              <w:t>1.0</w:t>
            </w:r>
            <w:r w:rsidR="00D54119" w:rsidRPr="00685862">
              <w:rPr>
                <w:rFonts w:cs="Arial"/>
                <w:sz w:val="20"/>
                <w:szCs w:val="20"/>
              </w:rPr>
              <w:t xml:space="preserve"> </w:t>
            </w:r>
            <w:r w:rsidRPr="00685862">
              <w:rPr>
                <w:rFonts w:cs="Arial"/>
                <w:sz w:val="20"/>
                <w:szCs w:val="20"/>
              </w:rPr>
              <w:t xml:space="preserve">is associated with GSIA ID: </w:t>
            </w:r>
            <w:r w:rsidR="00D54119">
              <w:rPr>
                <w:rFonts w:cs="Arial"/>
                <w:i/>
                <w:sz w:val="20"/>
                <w:szCs w:val="20"/>
              </w:rPr>
              <w:t>Def-GSIA</w:t>
            </w:r>
          </w:p>
        </w:tc>
      </w:tr>
      <w:tr w:rsidR="00EA057C" w:rsidRPr="00500C4E" w14:paraId="79DF241A" w14:textId="77777777" w:rsidTr="00EA057C">
        <w:trPr>
          <w:trHeight w:val="20"/>
        </w:trPr>
        <w:tc>
          <w:tcPr>
            <w:tcW w:w="1730" w:type="pct"/>
          </w:tcPr>
          <w:p w14:paraId="38B00A4C" w14:textId="77777777" w:rsidR="00EA057C" w:rsidRPr="00685862" w:rsidRDefault="00EA057C" w:rsidP="00814D52">
            <w:pPr>
              <w:spacing w:before="20" w:after="20"/>
              <w:rPr>
                <w:rFonts w:cs="Arial"/>
                <w:sz w:val="20"/>
                <w:szCs w:val="20"/>
              </w:rPr>
            </w:pPr>
            <w:r w:rsidRPr="00685862">
              <w:rPr>
                <w:rFonts w:cs="Arial"/>
                <w:sz w:val="20"/>
                <w:szCs w:val="20"/>
              </w:rPr>
              <w:t>EUL/RUL</w:t>
            </w:r>
          </w:p>
        </w:tc>
        <w:tc>
          <w:tcPr>
            <w:tcW w:w="3270" w:type="pct"/>
          </w:tcPr>
          <w:p w14:paraId="5487D40F" w14:textId="3A403D4A" w:rsidR="00EA057C" w:rsidRPr="00685862" w:rsidRDefault="005A74DC" w:rsidP="00814D52">
            <w:pPr>
              <w:spacing w:before="20" w:after="20"/>
              <w:rPr>
                <w:rFonts w:cs="Arial"/>
                <w:sz w:val="20"/>
                <w:szCs w:val="20"/>
              </w:rPr>
            </w:pPr>
            <w:r w:rsidRPr="00685862">
              <w:rPr>
                <w:rFonts w:cs="Arial"/>
                <w:sz w:val="20"/>
                <w:szCs w:val="20"/>
              </w:rPr>
              <w:t xml:space="preserve">Source: </w:t>
            </w:r>
            <w:r w:rsidR="00902CED" w:rsidRPr="00685862">
              <w:rPr>
                <w:rFonts w:cs="Arial"/>
                <w:sz w:val="20"/>
                <w:szCs w:val="20"/>
              </w:rPr>
              <w:t>DEER</w:t>
            </w:r>
            <w:r w:rsidRPr="00685862">
              <w:rPr>
                <w:rFonts w:cs="Arial"/>
                <w:sz w:val="20"/>
                <w:szCs w:val="20"/>
              </w:rPr>
              <w:t xml:space="preserve">. The value of </w:t>
            </w:r>
            <w:r w:rsidR="00D54119">
              <w:rPr>
                <w:rFonts w:cs="Arial"/>
                <w:sz w:val="20"/>
                <w:szCs w:val="20"/>
              </w:rPr>
              <w:t>12</w:t>
            </w:r>
            <w:r w:rsidR="00D54119" w:rsidRPr="00685862">
              <w:rPr>
                <w:rFonts w:cs="Arial"/>
                <w:sz w:val="20"/>
                <w:szCs w:val="20"/>
              </w:rPr>
              <w:t xml:space="preserve"> </w:t>
            </w:r>
            <w:r w:rsidRPr="00685862">
              <w:rPr>
                <w:rFonts w:cs="Arial"/>
                <w:sz w:val="20"/>
                <w:szCs w:val="20"/>
              </w:rPr>
              <w:t xml:space="preserve">years is associated with EUL ID: </w:t>
            </w:r>
            <w:r w:rsidR="00D54119" w:rsidRPr="00733598">
              <w:rPr>
                <w:rFonts w:cstheme="minorHAnsi"/>
                <w:i/>
                <w:iCs/>
                <w:sz w:val="20"/>
                <w:szCs w:val="20"/>
              </w:rPr>
              <w:t>ILtg-Com-LED-50000hr</w:t>
            </w:r>
            <w:r w:rsidR="00D54119" w:rsidRPr="00685862" w:rsidDel="00D54119">
              <w:rPr>
                <w:rFonts w:cs="Arial"/>
                <w:i/>
                <w:sz w:val="20"/>
                <w:szCs w:val="20"/>
              </w:rPr>
              <w:t xml:space="preserve"> </w:t>
            </w:r>
            <w:r w:rsidR="0095396E" w:rsidRPr="00685862">
              <w:rPr>
                <w:rFonts w:cs="Arial"/>
                <w:sz w:val="20"/>
                <w:szCs w:val="20"/>
              </w:rPr>
              <w:t xml:space="preserve"> </w:t>
            </w:r>
          </w:p>
        </w:tc>
      </w:tr>
    </w:tbl>
    <w:p w14:paraId="007905CA" w14:textId="77777777" w:rsidR="00EA057C" w:rsidRDefault="00EA057C" w:rsidP="004142EF"/>
    <w:p w14:paraId="3DDFD21A" w14:textId="77777777" w:rsidR="007D230B" w:rsidRDefault="007D230B" w:rsidP="00462BB6">
      <w:pPr>
        <w:pStyle w:val="eTRMHeading3"/>
      </w:pPr>
      <w:bookmarkStart w:id="77" w:name="_Toc486490866"/>
      <w:bookmarkStart w:id="78" w:name="_Toc486580937"/>
      <w:bookmarkStart w:id="79" w:name="_Toc12626377"/>
      <w:r w:rsidRPr="004B06E3">
        <w:lastRenderedPageBreak/>
        <w:t>Revision History</w:t>
      </w:r>
      <w:bookmarkEnd w:id="77"/>
      <w:bookmarkEnd w:id="78"/>
      <w:bookmarkEnd w:id="79"/>
    </w:p>
    <w:p w14:paraId="6BF7020B" w14:textId="0C81CE2E" w:rsidR="00CA1CB3" w:rsidRDefault="00742F88" w:rsidP="00674C51">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844"/>
        <w:gridCol w:w="2251"/>
        <w:gridCol w:w="4314"/>
      </w:tblGrid>
      <w:tr w:rsidR="00CA1CB3" w:rsidRPr="00500C4E" w14:paraId="0CD514C1" w14:textId="77777777" w:rsidTr="009F66B2">
        <w:trPr>
          <w:trHeight w:val="20"/>
        </w:trPr>
        <w:tc>
          <w:tcPr>
            <w:tcW w:w="503" w:type="pct"/>
            <w:shd w:val="clear" w:color="auto" w:fill="F2F2F2" w:themeFill="background1" w:themeFillShade="F2"/>
            <w:vAlign w:val="bottom"/>
          </w:tcPr>
          <w:p w14:paraId="7E164F69" w14:textId="77777777" w:rsidR="00CA1CB3" w:rsidRPr="00EA057C" w:rsidRDefault="00CA1CB3" w:rsidP="00950E17">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38F1733E" w14:textId="52F426B8" w:rsidR="00CA1CB3" w:rsidRPr="00EA057C" w:rsidRDefault="009F66B2" w:rsidP="00950E17">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1204" w:type="pct"/>
            <w:shd w:val="clear" w:color="auto" w:fill="F2F2F2" w:themeFill="background1" w:themeFillShade="F2"/>
            <w:vAlign w:val="bottom"/>
          </w:tcPr>
          <w:p w14:paraId="21DEF45B" w14:textId="77777777" w:rsidR="00CA1CB3" w:rsidRDefault="00CA1CB3" w:rsidP="00950E17">
            <w:pPr>
              <w:keepNext/>
              <w:keepLines/>
              <w:spacing w:before="20" w:after="20"/>
              <w:rPr>
                <w:rFonts w:cs="Arial"/>
                <w:b/>
                <w:sz w:val="20"/>
                <w:szCs w:val="20"/>
              </w:rPr>
            </w:pPr>
            <w:r>
              <w:rPr>
                <w:rFonts w:cs="Arial"/>
                <w:b/>
                <w:sz w:val="20"/>
                <w:szCs w:val="20"/>
              </w:rPr>
              <w:t>Primary Author, Title, Organization</w:t>
            </w:r>
          </w:p>
        </w:tc>
        <w:tc>
          <w:tcPr>
            <w:tcW w:w="2307" w:type="pct"/>
            <w:shd w:val="clear" w:color="auto" w:fill="F2F2F2" w:themeFill="background1" w:themeFillShade="F2"/>
            <w:vAlign w:val="bottom"/>
          </w:tcPr>
          <w:p w14:paraId="015110F1" w14:textId="77777777" w:rsidR="00CA1CB3" w:rsidRDefault="00CA1CB3" w:rsidP="00950E17">
            <w:pPr>
              <w:keepNext/>
              <w:keepLines/>
              <w:spacing w:before="20" w:after="20"/>
              <w:rPr>
                <w:rFonts w:cs="Arial"/>
                <w:b/>
                <w:sz w:val="20"/>
                <w:szCs w:val="20"/>
              </w:rPr>
            </w:pPr>
            <w:r>
              <w:rPr>
                <w:rFonts w:cs="Arial"/>
                <w:b/>
                <w:sz w:val="20"/>
                <w:szCs w:val="20"/>
              </w:rPr>
              <w:t>Revision Summary and Rationale for Revision</w:t>
            </w:r>
          </w:p>
          <w:p w14:paraId="1E03A4C6" w14:textId="4E27670D" w:rsidR="00CA1CB3" w:rsidRDefault="00CA1CB3" w:rsidP="00950E17">
            <w:pPr>
              <w:keepNext/>
              <w:keepLines/>
              <w:spacing w:before="20" w:after="20"/>
              <w:rPr>
                <w:rFonts w:cs="Arial"/>
                <w:b/>
                <w:sz w:val="20"/>
                <w:szCs w:val="20"/>
              </w:rPr>
            </w:pPr>
          </w:p>
        </w:tc>
      </w:tr>
      <w:tr w:rsidR="00CA1CB3" w:rsidRPr="00CA1CB3" w14:paraId="7FCC98F4" w14:textId="77777777" w:rsidTr="009F66B2">
        <w:trPr>
          <w:trHeight w:val="20"/>
        </w:trPr>
        <w:tc>
          <w:tcPr>
            <w:tcW w:w="503" w:type="pct"/>
          </w:tcPr>
          <w:p w14:paraId="6589E067" w14:textId="77777777" w:rsidR="00CA1CB3" w:rsidRPr="00CA1CB3" w:rsidRDefault="00CA1CB3" w:rsidP="00950E17">
            <w:pPr>
              <w:keepNext/>
              <w:keepLines/>
              <w:spacing w:before="20" w:after="20"/>
              <w:rPr>
                <w:rFonts w:cs="Arial"/>
                <w:sz w:val="20"/>
                <w:szCs w:val="20"/>
              </w:rPr>
            </w:pPr>
            <w:r w:rsidRPr="00CA1CB3">
              <w:rPr>
                <w:rFonts w:cs="Arial"/>
                <w:sz w:val="20"/>
                <w:szCs w:val="20"/>
              </w:rPr>
              <w:t>0</w:t>
            </w:r>
            <w:r w:rsidR="00742F88">
              <w:rPr>
                <w:rFonts w:cs="Arial"/>
                <w:sz w:val="20"/>
                <w:szCs w:val="20"/>
              </w:rPr>
              <w:t>1</w:t>
            </w:r>
          </w:p>
        </w:tc>
        <w:tc>
          <w:tcPr>
            <w:tcW w:w="986" w:type="pct"/>
          </w:tcPr>
          <w:p w14:paraId="7572BF05" w14:textId="77777777" w:rsidR="00CA1CB3" w:rsidRPr="00CA1CB3" w:rsidRDefault="00752D76" w:rsidP="00950E17">
            <w:pPr>
              <w:keepNext/>
              <w:keepLines/>
              <w:spacing w:before="20" w:after="20"/>
              <w:rPr>
                <w:rFonts w:cs="Arial"/>
                <w:sz w:val="20"/>
                <w:szCs w:val="20"/>
              </w:rPr>
            </w:pPr>
            <w:r>
              <w:rPr>
                <w:rFonts w:cs="Arial"/>
                <w:sz w:val="20"/>
                <w:szCs w:val="20"/>
              </w:rPr>
              <w:t>03/31</w:t>
            </w:r>
            <w:r w:rsidR="00670A7E">
              <w:rPr>
                <w:rFonts w:cs="Arial"/>
                <w:sz w:val="20"/>
                <w:szCs w:val="20"/>
              </w:rPr>
              <w:t>/2018</w:t>
            </w:r>
          </w:p>
        </w:tc>
        <w:tc>
          <w:tcPr>
            <w:tcW w:w="1204" w:type="pct"/>
          </w:tcPr>
          <w:p w14:paraId="4E17250B" w14:textId="54EBB100" w:rsidR="00670A7E" w:rsidRDefault="006168C2" w:rsidP="00950E17">
            <w:pPr>
              <w:keepNext/>
              <w:keepLines/>
              <w:spacing w:before="20" w:after="20"/>
              <w:rPr>
                <w:rFonts w:cs="Arial"/>
                <w:sz w:val="20"/>
                <w:szCs w:val="20"/>
              </w:rPr>
            </w:pPr>
            <w:r>
              <w:rPr>
                <w:rFonts w:cs="Arial"/>
                <w:sz w:val="20"/>
                <w:szCs w:val="20"/>
              </w:rPr>
              <w:t>Tim Melloch,</w:t>
            </w:r>
          </w:p>
          <w:p w14:paraId="68F4E525" w14:textId="77777777" w:rsidR="00CA1CB3" w:rsidRPr="00CA1CB3" w:rsidRDefault="00670A7E" w:rsidP="00950E17">
            <w:pPr>
              <w:keepNext/>
              <w:keepLines/>
              <w:spacing w:before="20" w:after="20"/>
              <w:rPr>
                <w:rFonts w:cs="Arial"/>
                <w:sz w:val="20"/>
                <w:szCs w:val="20"/>
              </w:rPr>
            </w:pPr>
            <w:r>
              <w:rPr>
                <w:rFonts w:cs="Arial"/>
                <w:sz w:val="20"/>
                <w:szCs w:val="20"/>
              </w:rPr>
              <w:t>Cal TF Staff</w:t>
            </w:r>
          </w:p>
        </w:tc>
        <w:tc>
          <w:tcPr>
            <w:tcW w:w="2307" w:type="pct"/>
          </w:tcPr>
          <w:p w14:paraId="1607A797" w14:textId="77777777" w:rsidR="006168C2" w:rsidRPr="00814D52" w:rsidRDefault="00670A7E" w:rsidP="00814D52">
            <w:pPr>
              <w:spacing w:before="0" w:after="0"/>
            </w:pPr>
            <w:r w:rsidRPr="00814D52">
              <w:t xml:space="preserve">Draft of consolidated text </w:t>
            </w:r>
            <w:r w:rsidR="007F4F97" w:rsidRPr="00814D52">
              <w:t xml:space="preserve">for this statewide measure is </w:t>
            </w:r>
            <w:r w:rsidRPr="00814D52">
              <w:t>based upon</w:t>
            </w:r>
            <w:r w:rsidR="006168C2" w:rsidRPr="00814D52">
              <w:t>:</w:t>
            </w:r>
          </w:p>
          <w:p w14:paraId="00293611" w14:textId="77777777" w:rsidR="005F26A8" w:rsidRDefault="005F26A8" w:rsidP="00814D52">
            <w:pPr>
              <w:spacing w:before="0" w:after="0"/>
            </w:pPr>
            <w:r>
              <w:rPr>
                <w:rFonts w:cs="Arial"/>
                <w:sz w:val="20"/>
                <w:szCs w:val="20"/>
              </w:rPr>
              <w:t>PGECOLTG179, Revision 5 (July 12, 2017)</w:t>
            </w:r>
          </w:p>
          <w:p w14:paraId="15F5550D" w14:textId="2170D1B1" w:rsidR="007F4F97" w:rsidRPr="00814D52" w:rsidRDefault="006168C2" w:rsidP="00814D52">
            <w:pPr>
              <w:spacing w:before="0" w:after="0"/>
            </w:pPr>
            <w:r w:rsidRPr="00814D52">
              <w:t>C</w:t>
            </w:r>
            <w:r w:rsidR="007F4F97" w:rsidRPr="00814D52">
              <w:t>onsensus reached among Cal TF members.</w:t>
            </w:r>
          </w:p>
        </w:tc>
      </w:tr>
      <w:tr w:rsidR="005F26A8" w:rsidRPr="00CA1CB3" w14:paraId="42A0D453" w14:textId="77777777" w:rsidTr="009F66B2">
        <w:trPr>
          <w:trHeight w:val="20"/>
        </w:trPr>
        <w:tc>
          <w:tcPr>
            <w:tcW w:w="503" w:type="pct"/>
          </w:tcPr>
          <w:p w14:paraId="6714C28C" w14:textId="53595B12" w:rsidR="005F26A8" w:rsidRPr="00CA1CB3" w:rsidRDefault="005F26A8" w:rsidP="005F26A8">
            <w:pPr>
              <w:keepNext/>
              <w:keepLines/>
              <w:spacing w:before="20" w:after="20"/>
              <w:rPr>
                <w:rFonts w:cs="Arial"/>
                <w:sz w:val="20"/>
                <w:szCs w:val="20"/>
              </w:rPr>
            </w:pPr>
          </w:p>
        </w:tc>
        <w:tc>
          <w:tcPr>
            <w:tcW w:w="986" w:type="pct"/>
          </w:tcPr>
          <w:p w14:paraId="22786315" w14:textId="2B514298" w:rsidR="005F26A8" w:rsidRPr="00CA1CB3" w:rsidRDefault="005F26A8" w:rsidP="005F26A8">
            <w:pPr>
              <w:keepNext/>
              <w:keepLines/>
              <w:spacing w:before="20" w:after="20"/>
              <w:rPr>
                <w:rFonts w:cs="Arial"/>
                <w:sz w:val="20"/>
                <w:szCs w:val="20"/>
              </w:rPr>
            </w:pPr>
            <w:r>
              <w:rPr>
                <w:rFonts w:cs="Arial"/>
                <w:sz w:val="20"/>
                <w:szCs w:val="20"/>
              </w:rPr>
              <w:t>04/15/2019</w:t>
            </w:r>
          </w:p>
        </w:tc>
        <w:tc>
          <w:tcPr>
            <w:tcW w:w="1204" w:type="pct"/>
          </w:tcPr>
          <w:p w14:paraId="1C2E2BA2" w14:textId="77777777" w:rsidR="009F66B2" w:rsidRDefault="00A4282C" w:rsidP="005F26A8">
            <w:pPr>
              <w:keepNext/>
              <w:keepLines/>
              <w:spacing w:before="20" w:after="20"/>
              <w:rPr>
                <w:rFonts w:cs="Arial"/>
                <w:sz w:val="20"/>
                <w:szCs w:val="20"/>
              </w:rPr>
            </w:pPr>
            <w:r>
              <w:rPr>
                <w:rFonts w:cs="Arial"/>
                <w:sz w:val="20"/>
                <w:szCs w:val="20"/>
              </w:rPr>
              <w:t>Randy Kwok</w:t>
            </w:r>
          </w:p>
          <w:p w14:paraId="7F7DD785" w14:textId="2EFF88C1" w:rsidR="005F26A8" w:rsidRPr="00CA1CB3" w:rsidRDefault="00A4282C" w:rsidP="005F26A8">
            <w:pPr>
              <w:keepNext/>
              <w:keepLines/>
              <w:spacing w:before="20" w:after="20"/>
              <w:rPr>
                <w:rFonts w:cs="Arial"/>
                <w:sz w:val="20"/>
                <w:szCs w:val="20"/>
              </w:rPr>
            </w:pPr>
            <w:r>
              <w:rPr>
                <w:rFonts w:cs="Arial"/>
                <w:sz w:val="20"/>
                <w:szCs w:val="20"/>
              </w:rPr>
              <w:t>PG&amp;E</w:t>
            </w:r>
          </w:p>
        </w:tc>
        <w:tc>
          <w:tcPr>
            <w:tcW w:w="2307" w:type="pct"/>
          </w:tcPr>
          <w:p w14:paraId="1A0D843F" w14:textId="77777777" w:rsidR="005F26A8" w:rsidRDefault="005F26A8" w:rsidP="005F26A8">
            <w:pPr>
              <w:keepNext/>
              <w:keepLines/>
              <w:spacing w:before="20" w:after="20"/>
              <w:rPr>
                <w:rFonts w:cs="Arial"/>
                <w:sz w:val="20"/>
                <w:szCs w:val="20"/>
              </w:rPr>
            </w:pPr>
            <w:r>
              <w:rPr>
                <w:rFonts w:cs="Arial"/>
                <w:sz w:val="20"/>
                <w:szCs w:val="20"/>
              </w:rPr>
              <w:t>Updated based upon:</w:t>
            </w:r>
          </w:p>
          <w:p w14:paraId="19C200AE" w14:textId="19F130D9" w:rsidR="005F26A8" w:rsidRPr="00CA1CB3" w:rsidRDefault="005F26A8" w:rsidP="005F26A8">
            <w:pPr>
              <w:keepNext/>
              <w:keepLines/>
              <w:spacing w:before="20" w:after="20"/>
              <w:rPr>
                <w:rFonts w:cs="Arial"/>
                <w:sz w:val="20"/>
                <w:szCs w:val="20"/>
              </w:rPr>
            </w:pPr>
            <w:r>
              <w:rPr>
                <w:rFonts w:cs="Arial"/>
                <w:sz w:val="20"/>
                <w:szCs w:val="20"/>
              </w:rPr>
              <w:t>PGECOLTG179, Revision 6 (March 1, 2019)</w:t>
            </w:r>
          </w:p>
        </w:tc>
      </w:tr>
      <w:tr w:rsidR="005F26A8" w:rsidRPr="00CA1CB3" w14:paraId="527676A8" w14:textId="77777777" w:rsidTr="009F66B2">
        <w:trPr>
          <w:trHeight w:val="20"/>
        </w:trPr>
        <w:tc>
          <w:tcPr>
            <w:tcW w:w="503" w:type="pct"/>
          </w:tcPr>
          <w:p w14:paraId="2EFE4813" w14:textId="260798E8" w:rsidR="005F26A8" w:rsidRPr="00CA1CB3" w:rsidRDefault="005F26A8" w:rsidP="005F26A8">
            <w:pPr>
              <w:keepNext/>
              <w:keepLines/>
              <w:spacing w:before="20" w:after="20"/>
              <w:rPr>
                <w:rFonts w:cs="Arial"/>
                <w:sz w:val="20"/>
                <w:szCs w:val="20"/>
              </w:rPr>
            </w:pPr>
          </w:p>
        </w:tc>
        <w:tc>
          <w:tcPr>
            <w:tcW w:w="986" w:type="pct"/>
          </w:tcPr>
          <w:p w14:paraId="6C1FC529" w14:textId="77777777" w:rsidR="005F26A8" w:rsidRPr="00CA1CB3" w:rsidRDefault="005F26A8" w:rsidP="005F26A8">
            <w:pPr>
              <w:keepNext/>
              <w:keepLines/>
              <w:spacing w:before="20" w:after="20"/>
              <w:rPr>
                <w:rFonts w:cs="Arial"/>
                <w:sz w:val="20"/>
                <w:szCs w:val="20"/>
              </w:rPr>
            </w:pPr>
          </w:p>
        </w:tc>
        <w:tc>
          <w:tcPr>
            <w:tcW w:w="1204" w:type="pct"/>
          </w:tcPr>
          <w:p w14:paraId="67D5D69C" w14:textId="77777777" w:rsidR="009F66B2" w:rsidRDefault="009F66B2" w:rsidP="005F26A8">
            <w:pPr>
              <w:keepNext/>
              <w:keepLines/>
              <w:spacing w:before="20" w:after="20"/>
              <w:rPr>
                <w:rFonts w:cs="Arial"/>
                <w:sz w:val="20"/>
                <w:szCs w:val="20"/>
              </w:rPr>
            </w:pPr>
            <w:r>
              <w:rPr>
                <w:rFonts w:cs="Arial"/>
                <w:sz w:val="20"/>
                <w:szCs w:val="20"/>
              </w:rPr>
              <w:t>Jennifer Holmes</w:t>
            </w:r>
          </w:p>
          <w:p w14:paraId="19DBA1F2" w14:textId="316AC35F" w:rsidR="005F26A8" w:rsidRPr="00CA1CB3" w:rsidRDefault="009F66B2" w:rsidP="005F26A8">
            <w:pPr>
              <w:keepNext/>
              <w:keepLines/>
              <w:spacing w:before="20" w:after="20"/>
              <w:rPr>
                <w:rFonts w:cs="Arial"/>
                <w:sz w:val="20"/>
                <w:szCs w:val="20"/>
              </w:rPr>
            </w:pPr>
            <w:r>
              <w:rPr>
                <w:rFonts w:cs="Arial"/>
                <w:sz w:val="20"/>
                <w:szCs w:val="20"/>
              </w:rPr>
              <w:t>Cal TF Staff</w:t>
            </w:r>
          </w:p>
        </w:tc>
        <w:tc>
          <w:tcPr>
            <w:tcW w:w="2307" w:type="pct"/>
          </w:tcPr>
          <w:p w14:paraId="19E071B2" w14:textId="77777777" w:rsidR="005F26A8" w:rsidRPr="00CA1CB3" w:rsidRDefault="005F26A8" w:rsidP="005F26A8">
            <w:pPr>
              <w:keepNext/>
              <w:keepLines/>
              <w:spacing w:before="20" w:after="20"/>
              <w:rPr>
                <w:rFonts w:cs="Arial"/>
                <w:sz w:val="20"/>
                <w:szCs w:val="20"/>
              </w:rPr>
            </w:pPr>
          </w:p>
        </w:tc>
      </w:tr>
      <w:tr w:rsidR="001239B2" w:rsidRPr="00CA1CB3" w14:paraId="01A3E8FF" w14:textId="77777777" w:rsidTr="009F66B2">
        <w:trPr>
          <w:trHeight w:val="20"/>
        </w:trPr>
        <w:tc>
          <w:tcPr>
            <w:tcW w:w="503" w:type="pct"/>
          </w:tcPr>
          <w:p w14:paraId="6D5D43FE" w14:textId="77777777" w:rsidR="001239B2" w:rsidRPr="00CA1CB3" w:rsidRDefault="001239B2" w:rsidP="005F26A8">
            <w:pPr>
              <w:keepNext/>
              <w:keepLines/>
              <w:spacing w:before="20" w:after="20"/>
              <w:rPr>
                <w:rFonts w:cs="Arial"/>
                <w:sz w:val="20"/>
                <w:szCs w:val="20"/>
              </w:rPr>
            </w:pPr>
          </w:p>
        </w:tc>
        <w:tc>
          <w:tcPr>
            <w:tcW w:w="986" w:type="pct"/>
          </w:tcPr>
          <w:p w14:paraId="2E06550B" w14:textId="679A6F48" w:rsidR="001239B2" w:rsidRPr="00CA1CB3" w:rsidRDefault="001239B2" w:rsidP="005F26A8">
            <w:pPr>
              <w:keepNext/>
              <w:keepLines/>
              <w:spacing w:before="20" w:after="20"/>
              <w:rPr>
                <w:rFonts w:cs="Arial"/>
                <w:sz w:val="20"/>
                <w:szCs w:val="20"/>
              </w:rPr>
            </w:pPr>
            <w:r>
              <w:rPr>
                <w:rFonts w:cs="Arial"/>
                <w:sz w:val="20"/>
                <w:szCs w:val="20"/>
              </w:rPr>
              <w:t>01/27/2020</w:t>
            </w:r>
          </w:p>
        </w:tc>
        <w:tc>
          <w:tcPr>
            <w:tcW w:w="1204" w:type="pct"/>
          </w:tcPr>
          <w:p w14:paraId="43F964E2" w14:textId="19AA974B" w:rsidR="001239B2" w:rsidRDefault="004C368E" w:rsidP="005F26A8">
            <w:pPr>
              <w:keepNext/>
              <w:keepLines/>
              <w:spacing w:before="20" w:after="20"/>
              <w:rPr>
                <w:rFonts w:cs="Arial"/>
                <w:sz w:val="20"/>
                <w:szCs w:val="20"/>
              </w:rPr>
            </w:pPr>
            <w:r>
              <w:rPr>
                <w:rFonts w:cs="Arial"/>
                <w:sz w:val="20"/>
                <w:szCs w:val="20"/>
              </w:rPr>
              <w:t>Bryan Boyce, Energy Solutions</w:t>
            </w:r>
          </w:p>
        </w:tc>
        <w:tc>
          <w:tcPr>
            <w:tcW w:w="2307" w:type="pct"/>
          </w:tcPr>
          <w:p w14:paraId="519FFC6E" w14:textId="6200B9F0" w:rsidR="001239B2" w:rsidRPr="00CA1CB3" w:rsidRDefault="004C081E" w:rsidP="005F26A8">
            <w:pPr>
              <w:keepNext/>
              <w:keepLines/>
              <w:spacing w:before="20" w:after="20"/>
              <w:rPr>
                <w:rFonts w:cs="Arial"/>
                <w:sz w:val="20"/>
                <w:szCs w:val="20"/>
              </w:rPr>
            </w:pPr>
            <w:r>
              <w:rPr>
                <w:rFonts w:cs="Arial"/>
                <w:sz w:val="20"/>
                <w:szCs w:val="20"/>
              </w:rPr>
              <w:t xml:space="preserve">Updated EAD tables with new </w:t>
            </w:r>
            <w:r w:rsidR="004B66BB">
              <w:rPr>
                <w:rFonts w:cs="Arial"/>
                <w:sz w:val="20"/>
                <w:szCs w:val="20"/>
              </w:rPr>
              <w:t>multifamily common area building type code (</w:t>
            </w:r>
            <w:proofErr w:type="spellStart"/>
            <w:r w:rsidR="002F0056">
              <w:rPr>
                <w:rFonts w:cs="Arial"/>
                <w:sz w:val="20"/>
                <w:szCs w:val="20"/>
              </w:rPr>
              <w:t>MFmCmn</w:t>
            </w:r>
            <w:proofErr w:type="spellEnd"/>
            <w:r w:rsidR="004B66BB">
              <w:rPr>
                <w:rFonts w:cs="Arial"/>
                <w:sz w:val="20"/>
                <w:szCs w:val="20"/>
              </w:rPr>
              <w:t xml:space="preserve">), updated NTG ID, QC of all documents. </w:t>
            </w:r>
          </w:p>
        </w:tc>
      </w:tr>
      <w:tr w:rsidR="00EF5FB8" w:rsidRPr="00CA1CB3" w14:paraId="345D6DFE" w14:textId="77777777" w:rsidTr="009F66B2">
        <w:trPr>
          <w:trHeight w:val="20"/>
        </w:trPr>
        <w:tc>
          <w:tcPr>
            <w:tcW w:w="503" w:type="pct"/>
          </w:tcPr>
          <w:p w14:paraId="72B1DE0F" w14:textId="77777777" w:rsidR="00EF5FB8" w:rsidRPr="00CA1CB3" w:rsidRDefault="00EF5FB8" w:rsidP="005F26A8">
            <w:pPr>
              <w:keepNext/>
              <w:keepLines/>
              <w:spacing w:before="20" w:after="20"/>
              <w:rPr>
                <w:rFonts w:cs="Arial"/>
                <w:sz w:val="20"/>
                <w:szCs w:val="20"/>
              </w:rPr>
            </w:pPr>
          </w:p>
        </w:tc>
        <w:tc>
          <w:tcPr>
            <w:tcW w:w="986" w:type="pct"/>
          </w:tcPr>
          <w:p w14:paraId="2CA0E14F" w14:textId="10524AC8" w:rsidR="00EF5FB8" w:rsidRDefault="00EF5FB8" w:rsidP="005F26A8">
            <w:pPr>
              <w:keepNext/>
              <w:keepLines/>
              <w:spacing w:before="20" w:after="20"/>
              <w:rPr>
                <w:rFonts w:cs="Arial"/>
                <w:sz w:val="20"/>
                <w:szCs w:val="20"/>
              </w:rPr>
            </w:pPr>
            <w:r>
              <w:rPr>
                <w:rFonts w:cs="Arial"/>
                <w:sz w:val="20"/>
                <w:szCs w:val="20"/>
              </w:rPr>
              <w:t>10/01/2021</w:t>
            </w:r>
          </w:p>
        </w:tc>
        <w:tc>
          <w:tcPr>
            <w:tcW w:w="1204" w:type="pct"/>
          </w:tcPr>
          <w:p w14:paraId="29B297B3" w14:textId="77777777" w:rsidR="00EF5FB8" w:rsidRDefault="00EF5FB8" w:rsidP="005F26A8">
            <w:pPr>
              <w:keepNext/>
              <w:keepLines/>
              <w:spacing w:before="20" w:after="20"/>
              <w:rPr>
                <w:rFonts w:cs="Arial"/>
                <w:sz w:val="20"/>
                <w:szCs w:val="20"/>
              </w:rPr>
            </w:pPr>
            <w:r>
              <w:rPr>
                <w:rFonts w:cs="Arial"/>
                <w:sz w:val="20"/>
                <w:szCs w:val="20"/>
              </w:rPr>
              <w:t>Soe Hla</w:t>
            </w:r>
          </w:p>
          <w:p w14:paraId="32F050EB" w14:textId="29D0C52B" w:rsidR="00EF5FB8" w:rsidRDefault="00EF5FB8" w:rsidP="005F26A8">
            <w:pPr>
              <w:keepNext/>
              <w:keepLines/>
              <w:spacing w:before="20" w:after="20"/>
              <w:rPr>
                <w:rFonts w:cs="Arial"/>
                <w:sz w:val="20"/>
                <w:szCs w:val="20"/>
              </w:rPr>
            </w:pPr>
            <w:r>
              <w:rPr>
                <w:rFonts w:cs="Arial"/>
                <w:sz w:val="20"/>
                <w:szCs w:val="20"/>
              </w:rPr>
              <w:t>PG&amp;E</w:t>
            </w:r>
          </w:p>
        </w:tc>
        <w:tc>
          <w:tcPr>
            <w:tcW w:w="2307" w:type="pct"/>
          </w:tcPr>
          <w:p w14:paraId="485D0A35" w14:textId="0DA1CC6A" w:rsidR="00EF5FB8" w:rsidRDefault="00EF5FB8" w:rsidP="005F26A8">
            <w:pPr>
              <w:keepNext/>
              <w:keepLines/>
              <w:spacing w:before="20" w:after="20"/>
              <w:rPr>
                <w:rFonts w:cs="Arial"/>
                <w:sz w:val="20"/>
                <w:szCs w:val="20"/>
              </w:rPr>
            </w:pPr>
            <w:r>
              <w:rPr>
                <w:rFonts w:cs="Arial"/>
                <w:sz w:val="20"/>
                <w:szCs w:val="20"/>
              </w:rPr>
              <w:t xml:space="preserve">Corrected </w:t>
            </w:r>
            <w:proofErr w:type="spellStart"/>
            <w:r>
              <w:rPr>
                <w:rFonts w:cs="Arial"/>
                <w:sz w:val="20"/>
                <w:szCs w:val="20"/>
              </w:rPr>
              <w:t>ElecImpactProfile</w:t>
            </w:r>
            <w:proofErr w:type="spellEnd"/>
            <w:r>
              <w:rPr>
                <w:rFonts w:cs="Arial"/>
                <w:sz w:val="20"/>
                <w:szCs w:val="20"/>
              </w:rPr>
              <w:t xml:space="preserve"> IDs in EAD.</w:t>
            </w:r>
          </w:p>
        </w:tc>
      </w:tr>
    </w:tbl>
    <w:p w14:paraId="25B2DF54" w14:textId="77777777" w:rsidR="00085726" w:rsidRDefault="00085726" w:rsidP="00387072"/>
    <w:sectPr w:rsidR="00085726"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E6BF1" w14:textId="77777777" w:rsidR="007F66A5" w:rsidRDefault="007F66A5" w:rsidP="00A2690C">
      <w:r>
        <w:separator/>
      </w:r>
    </w:p>
    <w:p w14:paraId="480FD15F" w14:textId="77777777" w:rsidR="007F66A5" w:rsidRDefault="007F66A5"/>
  </w:endnote>
  <w:endnote w:type="continuationSeparator" w:id="0">
    <w:p w14:paraId="27B9FEB8" w14:textId="77777777" w:rsidR="007F66A5" w:rsidRDefault="007F66A5" w:rsidP="00A2690C">
      <w:r>
        <w:continuationSeparator/>
      </w:r>
    </w:p>
    <w:p w14:paraId="256D8DF8" w14:textId="77777777" w:rsidR="007F66A5" w:rsidRDefault="007F6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5304D" w14:textId="77777777" w:rsidR="004161B7" w:rsidRDefault="004161B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55D24E0" wp14:editId="215C7494">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3CAAE51F" w14:textId="77777777" w:rsidR="004161B7" w:rsidRPr="00B837C1" w:rsidRDefault="004161B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4B7AC" w14:textId="77777777" w:rsidR="004161B7" w:rsidRDefault="004161B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7216" behindDoc="0" locked="0" layoutInCell="1" allowOverlap="1" wp14:anchorId="72F10504" wp14:editId="235A4D96">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25D7114A" w14:textId="77777777" w:rsidR="004161B7" w:rsidRPr="00B837C1" w:rsidRDefault="004161B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13</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675AB" w14:textId="77777777" w:rsidR="004161B7" w:rsidRDefault="004161B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61596C19" wp14:editId="3E94DEE3">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5FECCAEE" w14:textId="77777777" w:rsidR="004161B7" w:rsidRPr="005F505E" w:rsidRDefault="004161B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4EE1B" w14:textId="77777777" w:rsidR="007F66A5" w:rsidRDefault="007F66A5" w:rsidP="00A2690C">
      <w:r>
        <w:separator/>
      </w:r>
    </w:p>
    <w:p w14:paraId="05AF2840" w14:textId="77777777" w:rsidR="007F66A5" w:rsidRDefault="007F66A5"/>
  </w:footnote>
  <w:footnote w:type="continuationSeparator" w:id="0">
    <w:p w14:paraId="61574F37" w14:textId="77777777" w:rsidR="007F66A5" w:rsidRDefault="007F66A5" w:rsidP="00A2690C">
      <w:r>
        <w:continuationSeparator/>
      </w:r>
    </w:p>
    <w:p w14:paraId="6D86CABE" w14:textId="77777777" w:rsidR="007F66A5" w:rsidRDefault="007F66A5"/>
  </w:footnote>
  <w:footnote w:id="1">
    <w:p w14:paraId="1C8AF9A2" w14:textId="77777777" w:rsidR="004161B7" w:rsidRDefault="004161B7">
      <w:pPr>
        <w:pStyle w:val="FootnoteText"/>
      </w:pPr>
      <w:r>
        <w:rPr>
          <w:rStyle w:val="FootnoteReference"/>
        </w:rPr>
        <w:footnoteRef/>
      </w:r>
      <w:r>
        <w:t xml:space="preserve"> </w:t>
      </w:r>
      <w:r w:rsidRPr="00E44227">
        <w:t>Kisch, T., Steuben, J., van Tijen, M., and Pang, T. (Energy Solutions). 2014</w:t>
      </w:r>
      <w:r w:rsidRPr="00E44227">
        <w:rPr>
          <w:i/>
        </w:rPr>
        <w:t>. A Comprehensive Store Retrofit to LED lighting in Common Lighting Applications.</w:t>
      </w:r>
      <w:r w:rsidRPr="00E44227">
        <w:t xml:space="preserve"> Emerging Technologies Project Number: ET12PGE1481.</w:t>
      </w:r>
    </w:p>
  </w:footnote>
  <w:footnote w:id="2">
    <w:p w14:paraId="1A976F54" w14:textId="77777777" w:rsidR="004161B7" w:rsidRDefault="004161B7">
      <w:pPr>
        <w:pStyle w:val="FootnoteText"/>
      </w:pPr>
      <w:r>
        <w:rPr>
          <w:rStyle w:val="FootnoteReference"/>
        </w:rPr>
        <w:footnoteRef/>
      </w:r>
      <w:r>
        <w:t xml:space="preserve"> </w:t>
      </w:r>
      <w:r w:rsidRPr="00F644D8">
        <w:t xml:space="preserve">EMCOR Energy Services. 2012. </w:t>
      </w:r>
      <w:r w:rsidRPr="00F644D8">
        <w:rPr>
          <w:i/>
        </w:rPr>
        <w:t xml:space="preserve">LED Office Lighting and Advanced Lighting Control System (ALCS). </w:t>
      </w:r>
      <w:r w:rsidRPr="00F644D8">
        <w:t>Emerging Technologies Project Number: ET11PGE3251.</w:t>
      </w:r>
    </w:p>
  </w:footnote>
  <w:footnote w:id="3">
    <w:p w14:paraId="3F106135" w14:textId="29F6D528" w:rsidR="004161B7" w:rsidRDefault="004161B7" w:rsidP="008B55A8">
      <w:pPr>
        <w:pStyle w:val="FootnoteText"/>
      </w:pPr>
      <w:r>
        <w:rPr>
          <w:rStyle w:val="FootnoteReference"/>
          <w:rFonts w:eastAsiaTheme="majorEastAsia"/>
        </w:rPr>
        <w:footnoteRef/>
      </w:r>
      <w:r>
        <w:t xml:space="preserve"> </w:t>
      </w:r>
      <w:r w:rsidRPr="008B55A8">
        <w:t xml:space="preserve">Navigant Consulting, Inc. 2018. </w:t>
      </w:r>
      <w:r w:rsidRPr="008B55A8">
        <w:rPr>
          <w:i/>
        </w:rPr>
        <w:t>California LED Pricing Analysis.</w:t>
      </w:r>
      <w:r w:rsidRPr="008B55A8">
        <w:t xml:space="preserve"> Prepared for Southern California Edison, Pacific Gas and Electric Company, and Sempra Energy. January 18.</w:t>
      </w:r>
    </w:p>
  </w:footnote>
  <w:footnote w:id="4">
    <w:p w14:paraId="1B3076BA" w14:textId="77777777" w:rsidR="004161B7" w:rsidRDefault="004161B7" w:rsidP="008B55A8">
      <w:pPr>
        <w:pStyle w:val="FootnoteText"/>
      </w:pPr>
      <w:r>
        <w:rPr>
          <w:rStyle w:val="FootnoteReference"/>
          <w:rFonts w:eastAsiaTheme="majorEastAsia"/>
        </w:rPr>
        <w:footnoteRef/>
      </w:r>
      <w:r>
        <w:t xml:space="preserve"> </w:t>
      </w:r>
      <w:r w:rsidRPr="008B55A8">
        <w:t>National Electrical Manufacturers Association (NEMA). 2017. "Linear Fluorescent Lamp Indexes Continue to Decline in Second Quarter 2017 while T-LED Market Penetration Increases."</w:t>
      </w:r>
    </w:p>
  </w:footnote>
  <w:footnote w:id="5">
    <w:p w14:paraId="01F45580" w14:textId="7BC7676E" w:rsidR="004161B7" w:rsidRDefault="004161B7" w:rsidP="00417C82">
      <w:pPr>
        <w:pStyle w:val="FootnoteText"/>
      </w:pPr>
      <w:r>
        <w:rPr>
          <w:rStyle w:val="FootnoteReference"/>
          <w:rFonts w:eastAsiaTheme="majorEastAsia"/>
        </w:rPr>
        <w:footnoteRef/>
      </w:r>
      <w:r>
        <w:t xml:space="preserve"> </w:t>
      </w:r>
      <w:r w:rsidRPr="0042653B">
        <w:t xml:space="preserve">Bonneville Power Administration (BPA). 2017. </w:t>
      </w:r>
      <w:r w:rsidRPr="0042653B">
        <w:rPr>
          <w:i/>
        </w:rPr>
        <w:t>2016 Non-Residential Lighting Market Characterization.</w:t>
      </w:r>
      <w:r w:rsidRPr="0042653B">
        <w:t xml:space="preserve"> July.</w:t>
      </w:r>
    </w:p>
  </w:footnote>
  <w:footnote w:id="6">
    <w:p w14:paraId="5DE34C38" w14:textId="2D67B6EB" w:rsidR="004161B7" w:rsidRPr="00CA1504" w:rsidRDefault="004161B7" w:rsidP="00417C82">
      <w:pPr>
        <w:pStyle w:val="FootnoteText"/>
      </w:pPr>
      <w:r w:rsidRPr="00CA1504">
        <w:rPr>
          <w:rStyle w:val="FootnoteReference"/>
          <w:rFonts w:eastAsiaTheme="majorEastAsia"/>
        </w:rPr>
        <w:footnoteRef/>
      </w:r>
      <w:r w:rsidRPr="00CA1504">
        <w:t xml:space="preserve"> </w:t>
      </w:r>
      <w:r w:rsidRPr="0042653B">
        <w:t>U.S. Department of Energy, Energy Efficiency &amp; Renewable Energy, Building Technologies Office. 2016. “CALiPER Snapshot Troffers.” December.</w:t>
      </w:r>
      <w:r>
        <w:t xml:space="preserve"> </w:t>
      </w:r>
    </w:p>
  </w:footnote>
  <w:footnote w:id="7">
    <w:p w14:paraId="73EFE62B" w14:textId="02B9AE7C" w:rsidR="004161B7" w:rsidRDefault="004161B7" w:rsidP="00417C82">
      <w:pPr>
        <w:pStyle w:val="FootnoteText"/>
      </w:pPr>
      <w:r>
        <w:rPr>
          <w:rStyle w:val="FootnoteReference"/>
          <w:rFonts w:eastAsiaTheme="majorEastAsia"/>
        </w:rPr>
        <w:footnoteRef/>
      </w:r>
      <w:r>
        <w:t xml:space="preserve"> </w:t>
      </w:r>
      <w:r w:rsidRPr="00EB3548">
        <w:t>U.S. Department of Energy, Energy Efficiency &amp; Renewable Energy, Building Technologies Office. 2016. “CALiPER Snapshot Linear Lamps (TLEDs).” July.</w:t>
      </w:r>
      <w:r>
        <w:t xml:space="preserve"> </w:t>
      </w:r>
    </w:p>
  </w:footnote>
  <w:footnote w:id="8">
    <w:p w14:paraId="35F130B6" w14:textId="54967C02" w:rsidR="004161B7" w:rsidRPr="004E0DB7" w:rsidRDefault="004161B7">
      <w:pPr>
        <w:pStyle w:val="FootnoteText"/>
      </w:pPr>
      <w:r w:rsidRPr="004E0DB7">
        <w:rPr>
          <w:rStyle w:val="FootnoteReference"/>
        </w:rPr>
        <w:footnoteRef/>
      </w:r>
      <w:r w:rsidRPr="004E0DB7">
        <w:t xml:space="preserve"> Pacific Gas &amp; Electric Company (PG&amp;E). 2019. “TLED Cost Data_FEB2019.xlsx” </w:t>
      </w:r>
    </w:p>
  </w:footnote>
  <w:footnote w:id="9">
    <w:p w14:paraId="0163D3DA" w14:textId="29D296B6" w:rsidR="004161B7" w:rsidRDefault="004161B7">
      <w:pPr>
        <w:pStyle w:val="FootnoteText"/>
      </w:pPr>
      <w:r w:rsidRPr="004E0DB7">
        <w:rPr>
          <w:rStyle w:val="FootnoteReference"/>
        </w:rPr>
        <w:footnoteRef/>
      </w:r>
      <w:r w:rsidRPr="004E0DB7">
        <w:t xml:space="preserve"> Pacific Gas &amp; Electric Company (PG&amp;E). 2019. “Ambient Ltg Calc_Mar2019.xlsx” See “TLED info” tab.</w:t>
      </w:r>
    </w:p>
  </w:footnote>
  <w:footnote w:id="10">
    <w:p w14:paraId="301AFAFE" w14:textId="492C2231" w:rsidR="004161B7" w:rsidRDefault="004161B7">
      <w:pPr>
        <w:pStyle w:val="FootnoteText"/>
      </w:pPr>
      <w:r>
        <w:rPr>
          <w:rStyle w:val="FootnoteReference"/>
        </w:rPr>
        <w:footnoteRef/>
      </w:r>
      <w:r>
        <w:t xml:space="preserve"> Navigant Consulting, Inc. 2019. </w:t>
      </w:r>
      <w:r w:rsidRPr="00EF2C99">
        <w:rPr>
          <w:i/>
          <w:iCs/>
        </w:rPr>
        <w:t xml:space="preserve">California Statewide Non-Residential LED Quality and Market Characterization Study. Part 2 – LED Market Characterization and Final Non-Residential LED Quality Criteria. </w:t>
      </w:r>
      <w:r>
        <w:t>Final Report. Prepared for Pacific Gas and Electric Company (PG&amp;E), Southern California Edison (SCE), and San Diego Gas &amp; Electric (SDG&amp;E). April.</w:t>
      </w:r>
    </w:p>
  </w:footnote>
  <w:footnote w:id="11">
    <w:p w14:paraId="6A426F4B" w14:textId="77777777" w:rsidR="004161B7" w:rsidRDefault="004161B7" w:rsidP="00A7516C">
      <w:pPr>
        <w:pStyle w:val="FootnoteText"/>
      </w:pPr>
      <w:r>
        <w:rPr>
          <w:rStyle w:val="FootnoteReference"/>
        </w:rPr>
        <w:footnoteRef/>
      </w:r>
      <w:r>
        <w:t xml:space="preserve"> California Public Utilities Commission (CPUC). 2018. </w:t>
      </w:r>
      <w:r>
        <w:rPr>
          <w:rStyle w:val="Emphasis"/>
        </w:rPr>
        <w:t>Resolution E-4952.</w:t>
      </w:r>
      <w:r>
        <w:t xml:space="preserve"> October 11.</w:t>
      </w:r>
    </w:p>
  </w:footnote>
  <w:footnote w:id="12">
    <w:p w14:paraId="377D8EE4" w14:textId="06533048" w:rsidR="004161B7" w:rsidRDefault="004161B7">
      <w:pPr>
        <w:pStyle w:val="FootnoteText"/>
      </w:pPr>
      <w:r>
        <w:rPr>
          <w:rStyle w:val="FootnoteReference"/>
        </w:rPr>
        <w:footnoteRef/>
      </w:r>
      <w:r>
        <w:t xml:space="preserve"> </w:t>
      </w:r>
      <w:r w:rsidRPr="00A7516C">
        <w:t xml:space="preserve">Navigant Consulting, Inc. 2018. </w:t>
      </w:r>
      <w:r w:rsidRPr="00A7516C">
        <w:rPr>
          <w:i/>
        </w:rPr>
        <w:t>California LED Pricing Analysis.</w:t>
      </w:r>
      <w:r w:rsidRPr="00A7516C">
        <w:t xml:space="preserve"> Prepared for Southern California Edison, Pacific Gas and Electric Company, and Sempra Energy. January 18.</w:t>
      </w:r>
    </w:p>
  </w:footnote>
  <w:footnote w:id="13">
    <w:p w14:paraId="10354349" w14:textId="65457976" w:rsidR="004161B7" w:rsidRDefault="004161B7">
      <w:pPr>
        <w:pStyle w:val="FootnoteText"/>
      </w:pPr>
      <w:r>
        <w:rPr>
          <w:rStyle w:val="FootnoteReference"/>
        </w:rPr>
        <w:footnoteRef/>
      </w:r>
      <w:r>
        <w:t xml:space="preserve"> </w:t>
      </w:r>
      <w:r w:rsidRPr="00A7516C">
        <w:t>National Electrical Manufacturers Association (NEMA). 2017. "Linear Fluorescent Lamp Indexes Continue to Decline in Second Quarter 2017 while T-LED Market Penetration Increases."</w:t>
      </w:r>
    </w:p>
  </w:footnote>
  <w:footnote w:id="14">
    <w:p w14:paraId="53822125" w14:textId="129FF017" w:rsidR="004161B7" w:rsidRDefault="004161B7">
      <w:pPr>
        <w:pStyle w:val="FootnoteText"/>
      </w:pPr>
      <w:r>
        <w:rPr>
          <w:rStyle w:val="FootnoteReference"/>
        </w:rPr>
        <w:footnoteRef/>
      </w:r>
      <w:r>
        <w:t xml:space="preserve"> Design Lights Consortium (DLC). 2019. </w:t>
      </w:r>
      <w:r w:rsidRPr="00751A40">
        <w:rPr>
          <w:i/>
          <w:iCs/>
        </w:rPr>
        <w:t xml:space="preserve">Solid-State Lighting (SSL) Technical Requirements Version 5.0. Draft 1: Conceptual Specification. </w:t>
      </w:r>
      <w:r>
        <w:t>January 29. Page 10.</w:t>
      </w:r>
    </w:p>
  </w:footnote>
  <w:footnote w:id="15">
    <w:p w14:paraId="3E96BB30" w14:textId="77777777" w:rsidR="004161B7" w:rsidRDefault="004161B7">
      <w:pPr>
        <w:pStyle w:val="FootnoteText"/>
      </w:pPr>
      <w:r>
        <w:rPr>
          <w:rStyle w:val="FootnoteReference"/>
        </w:rPr>
        <w:footnoteRef/>
      </w:r>
      <w:r>
        <w:t xml:space="preserve"> </w:t>
      </w:r>
      <w:r w:rsidRPr="003D6B43">
        <w:rPr>
          <w:rStyle w:val="eTRMFootnoteTextChar"/>
        </w:rPr>
        <w:t xml:space="preserve">Code of Federal Regulations 10 CFR 430.32(n) </w:t>
      </w:r>
    </w:p>
  </w:footnote>
  <w:footnote w:id="16">
    <w:p w14:paraId="3797F9D4" w14:textId="6A097C23" w:rsidR="004161B7" w:rsidRDefault="004161B7">
      <w:pPr>
        <w:pStyle w:val="FootnoteText"/>
      </w:pPr>
      <w:r>
        <w:rPr>
          <w:rStyle w:val="FootnoteReference"/>
        </w:rPr>
        <w:footnoteRef/>
      </w:r>
      <w:r>
        <w:t xml:space="preserve"> </w:t>
      </w:r>
      <w:r w:rsidRPr="0090005A">
        <w:t>Code of Federal Regulations 10 CFR 430.32(n)</w:t>
      </w:r>
    </w:p>
  </w:footnote>
  <w:footnote w:id="17">
    <w:p w14:paraId="5E4CE31F" w14:textId="32E4A54C" w:rsidR="004161B7" w:rsidRDefault="004161B7">
      <w:pPr>
        <w:pStyle w:val="FootnoteText"/>
      </w:pPr>
      <w:r>
        <w:rPr>
          <w:rStyle w:val="FootnoteReference"/>
        </w:rPr>
        <w:footnoteRef/>
      </w:r>
      <w:r>
        <w:t xml:space="preserve"> </w:t>
      </w:r>
      <w:r w:rsidRPr="00F37793">
        <w:t xml:space="preserve">Pacific Gas &amp; Electric Company (PG&amp;E). 2019. “SWLG012-01 </w:t>
      </w:r>
      <w:r w:rsidR="00503632">
        <w:t xml:space="preserve">LED Ambient </w:t>
      </w:r>
      <w:r w:rsidRPr="00F37793">
        <w:t>Savings Calc</w:t>
      </w:r>
      <w:r w:rsidR="00503632">
        <w:t>_2020 - Final</w:t>
      </w:r>
      <w:r w:rsidRPr="00F37793">
        <w:t>.xlsx.”</w:t>
      </w:r>
    </w:p>
  </w:footnote>
  <w:footnote w:id="18">
    <w:p w14:paraId="3840FE47" w14:textId="6C892BBF" w:rsidR="004161B7" w:rsidRPr="00024F77" w:rsidRDefault="004161B7">
      <w:pPr>
        <w:pStyle w:val="FootnoteText"/>
      </w:pPr>
      <w:r>
        <w:rPr>
          <w:rStyle w:val="FootnoteReference"/>
        </w:rPr>
        <w:footnoteRef/>
      </w:r>
      <w:r>
        <w:t xml:space="preserve"> </w:t>
      </w:r>
      <w:bookmarkStart w:id="47" w:name="_Hlk516583740"/>
      <w:r w:rsidRPr="00024F77">
        <w:t xml:space="preserve">California Utilities Statewide Codes and Standards Team.  2011. </w:t>
      </w:r>
      <w:r w:rsidRPr="00024F77">
        <w:rPr>
          <w:i/>
          <w:iCs/>
        </w:rPr>
        <w:t>Draft Measure Information Template – Indoor Lighting Control</w:t>
      </w:r>
      <w:r w:rsidRPr="00024F77">
        <w:t xml:space="preserve"> </w:t>
      </w:r>
      <w:r>
        <w:rPr>
          <w:i/>
        </w:rPr>
        <w:t xml:space="preserve">2013 California Building Energy Efficiency Standards. </w:t>
      </w:r>
      <w:bookmarkEnd w:id="47"/>
    </w:p>
  </w:footnote>
  <w:footnote w:id="19">
    <w:p w14:paraId="3067B5C6" w14:textId="77777777" w:rsidR="004161B7" w:rsidRPr="00E57786" w:rsidRDefault="004161B7">
      <w:pPr>
        <w:pStyle w:val="FootnoteText"/>
        <w:rPr>
          <w:i/>
        </w:rPr>
      </w:pPr>
      <w:r>
        <w:rPr>
          <w:rStyle w:val="FootnoteReference"/>
        </w:rPr>
        <w:footnoteRef/>
      </w:r>
      <w:r>
        <w:t xml:space="preserve"> </w:t>
      </w:r>
      <w:r w:rsidRPr="00024F77">
        <w:t xml:space="preserve">California Utilities Statewide Codes and Standards Team.  2011. </w:t>
      </w:r>
      <w:r w:rsidRPr="00024F77">
        <w:rPr>
          <w:i/>
          <w:iCs/>
        </w:rPr>
        <w:t>Draft Measure Information Template – Indoor Lighting Control</w:t>
      </w:r>
      <w:r w:rsidRPr="00024F77">
        <w:t xml:space="preserve"> </w:t>
      </w:r>
      <w:r>
        <w:rPr>
          <w:i/>
        </w:rPr>
        <w:t xml:space="preserve">2013 California Building Energy Efficiency Standards. </w:t>
      </w:r>
    </w:p>
  </w:footnote>
  <w:footnote w:id="20">
    <w:p w14:paraId="15B52774" w14:textId="30F3AAD8" w:rsidR="004161B7" w:rsidRDefault="004161B7">
      <w:pPr>
        <w:pStyle w:val="FootnoteText"/>
      </w:pPr>
      <w:r w:rsidRPr="00E57786">
        <w:rPr>
          <w:rStyle w:val="FootnoteReference"/>
        </w:rPr>
        <w:footnoteRef/>
      </w:r>
      <w:r w:rsidRPr="00E57786">
        <w:t xml:space="preserve"> </w:t>
      </w:r>
      <w:r w:rsidRPr="00490177">
        <w:t>Eaton. 2015. “Metalux 2P2GAX 328T8 332.”</w:t>
      </w:r>
      <w:r w:rsidRPr="00E57786">
        <w:t xml:space="preserve"> </w:t>
      </w:r>
      <w:r>
        <w:rPr>
          <w:sz w:val="20"/>
          <w:szCs w:val="20"/>
        </w:rPr>
        <w:t xml:space="preserve"> </w:t>
      </w:r>
      <w:r>
        <w:t xml:space="preserve"> </w:t>
      </w:r>
    </w:p>
  </w:footnote>
  <w:footnote w:id="21">
    <w:p w14:paraId="4D6AA840" w14:textId="77777777" w:rsidR="004161B7" w:rsidRPr="00401FA3" w:rsidRDefault="004161B7" w:rsidP="006B3A8B">
      <w:pPr>
        <w:pStyle w:val="Default"/>
        <w:rPr>
          <w:rFonts w:ascii="Calibri Light" w:hAnsi="Calibri Light"/>
          <w:sz w:val="18"/>
          <w:szCs w:val="18"/>
        </w:rPr>
      </w:pPr>
      <w:r w:rsidRPr="00401FA3">
        <w:rPr>
          <w:rStyle w:val="FootnoteReference"/>
          <w:rFonts w:ascii="Calibri Light" w:hAnsi="Calibri Light"/>
          <w:sz w:val="18"/>
          <w:szCs w:val="18"/>
        </w:rPr>
        <w:footnoteRef/>
      </w:r>
      <w:r w:rsidRPr="00401FA3">
        <w:rPr>
          <w:rFonts w:ascii="Calibri Light" w:hAnsi="Calibri Light"/>
          <w:sz w:val="18"/>
          <w:szCs w:val="18"/>
        </w:rPr>
        <w:t xml:space="preserve"> </w:t>
      </w:r>
      <w:r w:rsidRPr="00ED18A1">
        <w:rPr>
          <w:rFonts w:ascii="Calibri Light" w:hAnsi="Calibri Light"/>
          <w:sz w:val="18"/>
          <w:szCs w:val="18"/>
        </w:rPr>
        <w:t xml:space="preserve">California Energy Commission (CEC). 2012. </w:t>
      </w:r>
      <w:r w:rsidRPr="00ED18A1">
        <w:rPr>
          <w:rFonts w:ascii="Calibri Light" w:hAnsi="Calibri Light"/>
          <w:i/>
          <w:sz w:val="18"/>
          <w:szCs w:val="18"/>
        </w:rPr>
        <w:t>2013 Building Energy Efficiency Standards for Residential and Nonresidential Buildings (Title 24)</w:t>
      </w:r>
      <w:r w:rsidRPr="00ED18A1">
        <w:rPr>
          <w:rFonts w:ascii="Calibri Light" w:hAnsi="Calibri Light"/>
          <w:sz w:val="18"/>
          <w:szCs w:val="18"/>
        </w:rPr>
        <w:t>. CEC‐400‐2012‐004-CMF-REV2.</w:t>
      </w:r>
      <w:r>
        <w:rPr>
          <w:rFonts w:ascii="Calibri Light" w:hAnsi="Calibri Light"/>
          <w:sz w:val="18"/>
          <w:szCs w:val="18"/>
        </w:rPr>
        <w:t xml:space="preserve"> </w:t>
      </w:r>
      <w:r w:rsidRPr="00401FA3">
        <w:rPr>
          <w:rFonts w:ascii="Calibri Light" w:hAnsi="Calibri Light" w:cs="Times New Roman"/>
          <w:sz w:val="18"/>
          <w:szCs w:val="18"/>
        </w:rPr>
        <w:t xml:space="preserve">Table 140.6-B  </w:t>
      </w:r>
    </w:p>
  </w:footnote>
  <w:footnote w:id="22">
    <w:p w14:paraId="0FC590B2" w14:textId="77777777" w:rsidR="004161B7" w:rsidRPr="00C66C4A" w:rsidRDefault="004161B7">
      <w:pPr>
        <w:pStyle w:val="FootnoteText"/>
        <w:rPr>
          <w:i/>
        </w:rPr>
      </w:pPr>
      <w:r>
        <w:rPr>
          <w:rStyle w:val="FootnoteReference"/>
        </w:rPr>
        <w:footnoteRef/>
      </w:r>
      <w:r>
        <w:t xml:space="preserve"> </w:t>
      </w:r>
      <w:r w:rsidRPr="00024F77">
        <w:t xml:space="preserve">California Utilities Statewide Codes and Standards Team.  2011. </w:t>
      </w:r>
      <w:r w:rsidRPr="00024F77">
        <w:rPr>
          <w:i/>
          <w:iCs/>
        </w:rPr>
        <w:t>Draft Measure Information Template – Indoor Lighting Control</w:t>
      </w:r>
      <w:r w:rsidRPr="00024F77">
        <w:t xml:space="preserve"> </w:t>
      </w:r>
      <w:r>
        <w:rPr>
          <w:i/>
        </w:rPr>
        <w:t xml:space="preserve">2013 California Building Energy Efficiency Standards. </w:t>
      </w:r>
    </w:p>
  </w:footnote>
  <w:footnote w:id="23">
    <w:p w14:paraId="294CB04B" w14:textId="19978384" w:rsidR="004161B7" w:rsidRPr="00C66C4A" w:rsidRDefault="004161B7">
      <w:pPr>
        <w:pStyle w:val="FootnoteText"/>
        <w:rPr>
          <w:i/>
        </w:rPr>
      </w:pPr>
      <w:r>
        <w:rPr>
          <w:rStyle w:val="FootnoteReference"/>
        </w:rPr>
        <w:footnoteRef/>
      </w:r>
      <w:r>
        <w:t xml:space="preserve">  </w:t>
      </w:r>
      <w:r w:rsidRPr="00024F77">
        <w:t xml:space="preserve">California Utilities Statewide Codes and Standards Team.  2011. </w:t>
      </w:r>
      <w:r w:rsidRPr="00024F77">
        <w:rPr>
          <w:i/>
          <w:iCs/>
        </w:rPr>
        <w:t>Draft Measure Information Template – Indoor Lighting Control</w:t>
      </w:r>
      <w:r w:rsidRPr="00024F77">
        <w:t xml:space="preserve"> </w:t>
      </w:r>
      <w:r>
        <w:rPr>
          <w:i/>
        </w:rPr>
        <w:t xml:space="preserve">2013 California Building Energy Efficiency Standards. </w:t>
      </w:r>
    </w:p>
  </w:footnote>
  <w:footnote w:id="24">
    <w:p w14:paraId="7E13E67D" w14:textId="693D86AB" w:rsidR="004161B7" w:rsidRDefault="004161B7">
      <w:pPr>
        <w:pStyle w:val="FootnoteText"/>
      </w:pPr>
      <w:r>
        <w:rPr>
          <w:rStyle w:val="FootnoteReference"/>
        </w:rPr>
        <w:footnoteRef/>
      </w:r>
      <w:r>
        <w:t xml:space="preserve"> </w:t>
      </w:r>
      <w:r w:rsidRPr="00250B52">
        <w:t xml:space="preserve">U.S. Department of Energy. 2011. </w:t>
      </w:r>
      <w:r w:rsidRPr="00250B52">
        <w:rPr>
          <w:i/>
        </w:rPr>
        <w:t>DOE Solid-State Lighting CALiPER Program Summary of Results: Round 13 of Product Testing.</w:t>
      </w:r>
      <w:r w:rsidRPr="00250B52">
        <w:t xml:space="preserve">  Prepared by Pacific Northwest National Laboratory.  </w:t>
      </w:r>
      <w:r>
        <w:t xml:space="preserve">Page 21.  </w:t>
      </w:r>
    </w:p>
  </w:footnote>
  <w:footnote w:id="25">
    <w:p w14:paraId="6101832D" w14:textId="6643F241" w:rsidR="004161B7" w:rsidRDefault="004161B7">
      <w:pPr>
        <w:pStyle w:val="FootnoteText"/>
      </w:pPr>
      <w:r>
        <w:rPr>
          <w:rStyle w:val="FootnoteReference"/>
        </w:rPr>
        <w:footnoteRef/>
      </w:r>
      <w:r>
        <w:t xml:space="preserve"> California Public Utilities Commission (CPUC), Energy Division, Ex Ante Review Team. 2018. “DEER2020-Lighting-HVAC-IE-values.xlsx” September 7.</w:t>
      </w:r>
    </w:p>
  </w:footnote>
  <w:footnote w:id="26">
    <w:p w14:paraId="4939B98F" w14:textId="0447B1AD" w:rsidR="004161B7" w:rsidRDefault="004161B7">
      <w:pPr>
        <w:pStyle w:val="FootnoteText"/>
      </w:pPr>
      <w:r>
        <w:rPr>
          <w:rStyle w:val="FootnoteReference"/>
        </w:rPr>
        <w:footnoteRef/>
      </w:r>
      <w:r>
        <w:t xml:space="preserve"> California Public Utilities Commission (CPUC), Energy Division, Ex Ante Review Team. 2018. “DEER2020-Lighting-HVAC-IE-values.xlsx” September 7.</w:t>
      </w:r>
    </w:p>
  </w:footnote>
  <w:footnote w:id="27">
    <w:p w14:paraId="7398A4BF" w14:textId="0533B1E7" w:rsidR="004161B7" w:rsidRDefault="004161B7">
      <w:pPr>
        <w:pStyle w:val="FootnoteText"/>
      </w:pPr>
      <w:r>
        <w:rPr>
          <w:rStyle w:val="FootnoteReference"/>
        </w:rPr>
        <w:footnoteRef/>
      </w:r>
      <w:r>
        <w:t xml:space="preserve"> </w:t>
      </w:r>
      <w:r w:rsidRPr="004E0DB7">
        <w:t>Pacific Gas &amp; Electric Company (PG&amp;E). 2019. “TLED Cost Data_FEB2019.xlsx”</w:t>
      </w:r>
    </w:p>
  </w:footnote>
  <w:footnote w:id="28">
    <w:p w14:paraId="0514A2E5" w14:textId="67849E66" w:rsidR="00503632" w:rsidRDefault="00503632">
      <w:pPr>
        <w:pStyle w:val="FootnoteText"/>
      </w:pPr>
      <w:r>
        <w:rPr>
          <w:rStyle w:val="FootnoteReference"/>
        </w:rPr>
        <w:footnoteRef/>
      </w:r>
      <w:r>
        <w:t xml:space="preserve"> </w:t>
      </w:r>
      <w:r w:rsidRPr="00F37793">
        <w:t xml:space="preserve">Pacific Gas &amp; Electric Company (PG&amp;E). 2019. “SWLG012-01 </w:t>
      </w:r>
      <w:r>
        <w:t xml:space="preserve">LED Ambient </w:t>
      </w:r>
      <w:r w:rsidRPr="00F37793">
        <w:t>Savings Calc</w:t>
      </w:r>
      <w:r>
        <w:t>_2020 - Final</w:t>
      </w:r>
      <w:r w:rsidRPr="00F37793">
        <w:t>.xlsx.”</w:t>
      </w:r>
      <w:r>
        <w:t xml:space="preserve"> See “Cost” tab.</w:t>
      </w:r>
    </w:p>
  </w:footnote>
  <w:footnote w:id="29">
    <w:p w14:paraId="47319D08" w14:textId="755B2C1F" w:rsidR="00503632" w:rsidRDefault="00503632">
      <w:pPr>
        <w:pStyle w:val="FootnoteText"/>
      </w:pPr>
      <w:r>
        <w:rPr>
          <w:rStyle w:val="FootnoteReference"/>
        </w:rPr>
        <w:footnoteRef/>
      </w:r>
      <w:r>
        <w:t xml:space="preserve"> </w:t>
      </w:r>
      <w:r w:rsidRPr="00F37793">
        <w:t xml:space="preserve">Pacific Gas &amp; Electric Company (PG&amp;E). 2019. “SWLG012-01 </w:t>
      </w:r>
      <w:r>
        <w:t xml:space="preserve">LED Ambient </w:t>
      </w:r>
      <w:r w:rsidRPr="00F37793">
        <w:t>Savings Calc</w:t>
      </w:r>
      <w:r>
        <w:t>_2020 - Final</w:t>
      </w:r>
      <w:r w:rsidRPr="00F37793">
        <w:t>.xlsx.”</w:t>
      </w:r>
      <w:r>
        <w:t xml:space="preserve"> See “Cost” tab.</w:t>
      </w:r>
    </w:p>
  </w:footnote>
  <w:footnote w:id="30">
    <w:p w14:paraId="6C6F7C25" w14:textId="77777777" w:rsidR="00503632" w:rsidRDefault="00503632" w:rsidP="00503632">
      <w:pPr>
        <w:pStyle w:val="FootnoteText"/>
      </w:pPr>
      <w:r>
        <w:rPr>
          <w:rStyle w:val="FootnoteReference"/>
        </w:rPr>
        <w:footnoteRef/>
      </w:r>
      <w:r>
        <w:t xml:space="preserve"> </w:t>
      </w:r>
      <w:r w:rsidRPr="00F37793">
        <w:t xml:space="preserve">Pacific Gas &amp; Electric Company (PG&amp;E). 2019. “SWLG012-01 </w:t>
      </w:r>
      <w:r>
        <w:t xml:space="preserve">LED Ambient </w:t>
      </w:r>
      <w:r w:rsidRPr="00F37793">
        <w:t>Savings Calc</w:t>
      </w:r>
      <w:r>
        <w:t>_2020 - Final</w:t>
      </w:r>
      <w:r w:rsidRPr="00F37793">
        <w:t>.xlsx.”</w:t>
      </w:r>
      <w:r>
        <w:t xml:space="preserve"> See “Cost” tab.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EC9BA" w14:textId="77777777" w:rsidR="004161B7" w:rsidRPr="000220A0" w:rsidRDefault="004161B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AD1E4" w14:textId="77777777" w:rsidR="004161B7" w:rsidRDefault="004161B7">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272306CC" w14:textId="77777777" w:rsidR="004161B7" w:rsidRDefault="004161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952FE" w14:textId="77777777" w:rsidR="004161B7" w:rsidRDefault="004161B7" w:rsidP="00BD221D">
    <w:pPr>
      <w:jc w:val="center"/>
    </w:pPr>
  </w:p>
  <w:p w14:paraId="0EA19D7D" w14:textId="77777777" w:rsidR="004161B7" w:rsidRDefault="004161B7" w:rsidP="00BD221D">
    <w:pPr>
      <w:jc w:val="center"/>
    </w:pPr>
    <w:r>
      <w:rPr>
        <w:noProof/>
      </w:rPr>
      <w:drawing>
        <wp:inline distT="0" distB="0" distL="0" distR="0" wp14:anchorId="5A5F32F5" wp14:editId="1132B514">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8121C" w14:textId="1CCDAEA8" w:rsidR="004161B7" w:rsidRPr="004343F5" w:rsidRDefault="004161B7" w:rsidP="001D7A57">
    <w:pPr>
      <w:pStyle w:val="Header"/>
      <w:rPr>
        <w:b/>
      </w:rPr>
    </w:pPr>
    <w:r>
      <w:rPr>
        <w:rFonts w:ascii="Calibri Light" w:hAnsi="Calibri Light"/>
      </w:rPr>
      <w:t xml:space="preserve">LIGHTING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4343F5">
      <w:rPr>
        <w:rFonts w:ascii="Calibri Light" w:hAnsi="Calibri Light"/>
        <w:b/>
      </w:rPr>
      <w:t>LED</w:t>
    </w:r>
    <w:r>
      <w:rPr>
        <w:rFonts w:ascii="Calibri Light" w:hAnsi="Calibri Light"/>
        <w:b/>
      </w:rPr>
      <w:t xml:space="preserve"> Ambient Fixture and Retrofit Kit, Commercial</w:t>
    </w:r>
  </w:p>
  <w:p w14:paraId="788B806E" w14:textId="77777777" w:rsidR="004161B7" w:rsidRDefault="004161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36BDE" w14:textId="77777777" w:rsidR="004161B7" w:rsidRDefault="00416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14CFF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5003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F8CAA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A1AD0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D4C8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405F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9AE1B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3C5C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4EEC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B8BB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774F1"/>
    <w:multiLevelType w:val="hybridMultilevel"/>
    <w:tmpl w:val="25EE96B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2533EF6"/>
    <w:multiLevelType w:val="hybridMultilevel"/>
    <w:tmpl w:val="65D6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853F8"/>
    <w:multiLevelType w:val="hybridMultilevel"/>
    <w:tmpl w:val="4356A994"/>
    <w:lvl w:ilvl="0" w:tplc="0409000B">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423BC9"/>
    <w:multiLevelType w:val="hybridMultilevel"/>
    <w:tmpl w:val="BB2E4A3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E24718"/>
    <w:multiLevelType w:val="hybridMultilevel"/>
    <w:tmpl w:val="D144AE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AD61F3"/>
    <w:multiLevelType w:val="hybridMultilevel"/>
    <w:tmpl w:val="CF906D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34EC0463"/>
    <w:multiLevelType w:val="hybridMultilevel"/>
    <w:tmpl w:val="EEB8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41A63DEB"/>
    <w:multiLevelType w:val="hybridMultilevel"/>
    <w:tmpl w:val="42449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97F8A"/>
    <w:multiLevelType w:val="hybridMultilevel"/>
    <w:tmpl w:val="40D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F620D6"/>
    <w:multiLevelType w:val="hybridMultilevel"/>
    <w:tmpl w:val="DA2EB028"/>
    <w:lvl w:ilvl="0" w:tplc="CA9E9B30">
      <w:start w:val="1"/>
      <w:numFmt w:val="bullet"/>
      <w:lvlText w:val=""/>
      <w:lvlJc w:val="left"/>
      <w:pPr>
        <w:ind w:left="720" w:hanging="360"/>
      </w:pPr>
      <w:rPr>
        <w:rFonts w:ascii="Symbol" w:hAnsi="Symbol" w:hint="default"/>
        <w:color w:val="6B6B6B"/>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909BC"/>
    <w:multiLevelType w:val="hybridMultilevel"/>
    <w:tmpl w:val="5166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6D4AF0"/>
    <w:multiLevelType w:val="hybridMultilevel"/>
    <w:tmpl w:val="2C9E38D0"/>
    <w:lvl w:ilvl="0" w:tplc="D5BAC996">
      <w:start w:val="1"/>
      <w:numFmt w:val="bullet"/>
      <w:lvlText w:val=""/>
      <w:lvlJc w:val="left"/>
      <w:pPr>
        <w:ind w:left="72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2"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C07B80"/>
    <w:multiLevelType w:val="hybridMultilevel"/>
    <w:tmpl w:val="F51488BC"/>
    <w:lvl w:ilvl="0" w:tplc="1B6C6DA6">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5" w15:restartNumberingAfterBreak="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8" w15:restartNumberingAfterBreak="0">
    <w:nsid w:val="7BE42DCE"/>
    <w:multiLevelType w:val="hybridMultilevel"/>
    <w:tmpl w:val="44E2E8A6"/>
    <w:lvl w:ilvl="0" w:tplc="AF583AEE">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4"/>
  </w:num>
  <w:num w:numId="3">
    <w:abstractNumId w:val="37"/>
  </w:num>
  <w:num w:numId="4">
    <w:abstractNumId w:val="37"/>
  </w:num>
  <w:num w:numId="5">
    <w:abstractNumId w:val="3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0"/>
  </w:num>
  <w:num w:numId="7">
    <w:abstractNumId w:val="15"/>
  </w:num>
  <w:num w:numId="8">
    <w:abstractNumId w:val="33"/>
  </w:num>
  <w:num w:numId="9">
    <w:abstractNumId w:val="9"/>
  </w:num>
  <w:num w:numId="10">
    <w:abstractNumId w:val="36"/>
  </w:num>
  <w:num w:numId="11">
    <w:abstractNumId w:val="18"/>
  </w:num>
  <w:num w:numId="12">
    <w:abstractNumId w:val="13"/>
  </w:num>
  <w:num w:numId="13">
    <w:abstractNumId w:val="32"/>
  </w:num>
  <w:num w:numId="14">
    <w:abstractNumId w:val="27"/>
  </w:num>
  <w:num w:numId="15">
    <w:abstractNumId w:val="14"/>
  </w:num>
  <w:num w:numId="16">
    <w:abstractNumId w:val="21"/>
  </w:num>
  <w:num w:numId="17">
    <w:abstractNumId w:val="24"/>
  </w:num>
  <w:num w:numId="18">
    <w:abstractNumId w:val="29"/>
  </w:num>
  <w:num w:numId="19">
    <w:abstractNumId w:val="25"/>
  </w:num>
  <w:num w:numId="20">
    <w:abstractNumId w:val="11"/>
  </w:num>
  <w:num w:numId="21">
    <w:abstractNumId w:val="30"/>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9"/>
  </w:num>
  <w:num w:numId="32">
    <w:abstractNumId w:val="16"/>
  </w:num>
  <w:num w:numId="33">
    <w:abstractNumId w:val="17"/>
  </w:num>
  <w:num w:numId="34">
    <w:abstractNumId w:val="35"/>
  </w:num>
  <w:num w:numId="35">
    <w:abstractNumId w:val="38"/>
  </w:num>
  <w:num w:numId="36">
    <w:abstractNumId w:val="12"/>
  </w:num>
  <w:num w:numId="37">
    <w:abstractNumId w:val="20"/>
  </w:num>
  <w:num w:numId="38">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5B06"/>
    <w:rsid w:val="000063B0"/>
    <w:rsid w:val="000110D9"/>
    <w:rsid w:val="000111AF"/>
    <w:rsid w:val="00016928"/>
    <w:rsid w:val="00020534"/>
    <w:rsid w:val="000220A0"/>
    <w:rsid w:val="0002389A"/>
    <w:rsid w:val="00024F77"/>
    <w:rsid w:val="00026D58"/>
    <w:rsid w:val="000302DF"/>
    <w:rsid w:val="00031184"/>
    <w:rsid w:val="000348D9"/>
    <w:rsid w:val="000361E4"/>
    <w:rsid w:val="00037A06"/>
    <w:rsid w:val="00046BB0"/>
    <w:rsid w:val="00051DBB"/>
    <w:rsid w:val="00052C95"/>
    <w:rsid w:val="000530E4"/>
    <w:rsid w:val="0005587A"/>
    <w:rsid w:val="00061D34"/>
    <w:rsid w:val="000621A8"/>
    <w:rsid w:val="00065E54"/>
    <w:rsid w:val="000672E5"/>
    <w:rsid w:val="00074E3E"/>
    <w:rsid w:val="000767E9"/>
    <w:rsid w:val="000777FA"/>
    <w:rsid w:val="00077DA7"/>
    <w:rsid w:val="0008057D"/>
    <w:rsid w:val="0008108C"/>
    <w:rsid w:val="000818D0"/>
    <w:rsid w:val="000841AA"/>
    <w:rsid w:val="00085726"/>
    <w:rsid w:val="00087FD4"/>
    <w:rsid w:val="00090BBF"/>
    <w:rsid w:val="000910B7"/>
    <w:rsid w:val="00091581"/>
    <w:rsid w:val="00094517"/>
    <w:rsid w:val="00096485"/>
    <w:rsid w:val="000978C8"/>
    <w:rsid w:val="000A270E"/>
    <w:rsid w:val="000A4D3A"/>
    <w:rsid w:val="000A62EF"/>
    <w:rsid w:val="000A66B7"/>
    <w:rsid w:val="000A7058"/>
    <w:rsid w:val="000B139B"/>
    <w:rsid w:val="000B6004"/>
    <w:rsid w:val="000C36B4"/>
    <w:rsid w:val="000C42B8"/>
    <w:rsid w:val="000C534D"/>
    <w:rsid w:val="000C6174"/>
    <w:rsid w:val="000C6C04"/>
    <w:rsid w:val="000C72C1"/>
    <w:rsid w:val="000D227C"/>
    <w:rsid w:val="000E2403"/>
    <w:rsid w:val="000E3FD0"/>
    <w:rsid w:val="000E44D0"/>
    <w:rsid w:val="000E46ED"/>
    <w:rsid w:val="000E7B89"/>
    <w:rsid w:val="000F1833"/>
    <w:rsid w:val="00103399"/>
    <w:rsid w:val="00104933"/>
    <w:rsid w:val="001103B7"/>
    <w:rsid w:val="00111A53"/>
    <w:rsid w:val="0011498C"/>
    <w:rsid w:val="00120592"/>
    <w:rsid w:val="001217DF"/>
    <w:rsid w:val="0012187D"/>
    <w:rsid w:val="001225AC"/>
    <w:rsid w:val="0012309B"/>
    <w:rsid w:val="001239B2"/>
    <w:rsid w:val="00124BFE"/>
    <w:rsid w:val="00125406"/>
    <w:rsid w:val="00126809"/>
    <w:rsid w:val="00126B25"/>
    <w:rsid w:val="00131C5A"/>
    <w:rsid w:val="0013678E"/>
    <w:rsid w:val="00142D1F"/>
    <w:rsid w:val="00142D3C"/>
    <w:rsid w:val="001451AB"/>
    <w:rsid w:val="00150BF1"/>
    <w:rsid w:val="00151B9F"/>
    <w:rsid w:val="00154073"/>
    <w:rsid w:val="00154391"/>
    <w:rsid w:val="00155CBA"/>
    <w:rsid w:val="001564FC"/>
    <w:rsid w:val="00157985"/>
    <w:rsid w:val="00161DF1"/>
    <w:rsid w:val="00162559"/>
    <w:rsid w:val="00162ACF"/>
    <w:rsid w:val="001648F6"/>
    <w:rsid w:val="0016521E"/>
    <w:rsid w:val="00171BB8"/>
    <w:rsid w:val="00171BBD"/>
    <w:rsid w:val="00174707"/>
    <w:rsid w:val="00177EB6"/>
    <w:rsid w:val="00180DAD"/>
    <w:rsid w:val="00181672"/>
    <w:rsid w:val="00181E01"/>
    <w:rsid w:val="00181F11"/>
    <w:rsid w:val="001944A0"/>
    <w:rsid w:val="00195B03"/>
    <w:rsid w:val="00196649"/>
    <w:rsid w:val="001A11C7"/>
    <w:rsid w:val="001A236C"/>
    <w:rsid w:val="001A4BE1"/>
    <w:rsid w:val="001A7A21"/>
    <w:rsid w:val="001A7B24"/>
    <w:rsid w:val="001B15F2"/>
    <w:rsid w:val="001B1D23"/>
    <w:rsid w:val="001B2AD5"/>
    <w:rsid w:val="001B2C81"/>
    <w:rsid w:val="001B3F80"/>
    <w:rsid w:val="001C2ACE"/>
    <w:rsid w:val="001C358D"/>
    <w:rsid w:val="001C6A2F"/>
    <w:rsid w:val="001C6C9B"/>
    <w:rsid w:val="001C7134"/>
    <w:rsid w:val="001D65A6"/>
    <w:rsid w:val="001D7A57"/>
    <w:rsid w:val="001E19A3"/>
    <w:rsid w:val="001E4C3F"/>
    <w:rsid w:val="001E55C0"/>
    <w:rsid w:val="001E6273"/>
    <w:rsid w:val="001F00E9"/>
    <w:rsid w:val="001F67AF"/>
    <w:rsid w:val="001F735E"/>
    <w:rsid w:val="002005A8"/>
    <w:rsid w:val="002006B6"/>
    <w:rsid w:val="00204285"/>
    <w:rsid w:val="002054D4"/>
    <w:rsid w:val="00205BAF"/>
    <w:rsid w:val="00207F85"/>
    <w:rsid w:val="00210119"/>
    <w:rsid w:val="0021226A"/>
    <w:rsid w:val="00213540"/>
    <w:rsid w:val="002217C6"/>
    <w:rsid w:val="00225142"/>
    <w:rsid w:val="00226694"/>
    <w:rsid w:val="00227BDD"/>
    <w:rsid w:val="002318A4"/>
    <w:rsid w:val="002335FF"/>
    <w:rsid w:val="00233D87"/>
    <w:rsid w:val="0023666C"/>
    <w:rsid w:val="00236692"/>
    <w:rsid w:val="00236E0A"/>
    <w:rsid w:val="00237964"/>
    <w:rsid w:val="0024226C"/>
    <w:rsid w:val="002424DF"/>
    <w:rsid w:val="002434DE"/>
    <w:rsid w:val="00245AFF"/>
    <w:rsid w:val="0024628D"/>
    <w:rsid w:val="0024690E"/>
    <w:rsid w:val="00250238"/>
    <w:rsid w:val="00250B52"/>
    <w:rsid w:val="00251ABC"/>
    <w:rsid w:val="002524CF"/>
    <w:rsid w:val="00256400"/>
    <w:rsid w:val="002652D2"/>
    <w:rsid w:val="00265779"/>
    <w:rsid w:val="00265FDB"/>
    <w:rsid w:val="00271B0A"/>
    <w:rsid w:val="00271B18"/>
    <w:rsid w:val="00276F9B"/>
    <w:rsid w:val="00281723"/>
    <w:rsid w:val="00286832"/>
    <w:rsid w:val="00292E2D"/>
    <w:rsid w:val="002942B0"/>
    <w:rsid w:val="0029555D"/>
    <w:rsid w:val="00295E04"/>
    <w:rsid w:val="0029781E"/>
    <w:rsid w:val="002A1953"/>
    <w:rsid w:val="002A221D"/>
    <w:rsid w:val="002A2471"/>
    <w:rsid w:val="002A2A94"/>
    <w:rsid w:val="002B0464"/>
    <w:rsid w:val="002B107C"/>
    <w:rsid w:val="002B2C97"/>
    <w:rsid w:val="002B3BF4"/>
    <w:rsid w:val="002B57DA"/>
    <w:rsid w:val="002B6DED"/>
    <w:rsid w:val="002B6F2A"/>
    <w:rsid w:val="002C06FC"/>
    <w:rsid w:val="002C1117"/>
    <w:rsid w:val="002C67DF"/>
    <w:rsid w:val="002C7E8E"/>
    <w:rsid w:val="002D0036"/>
    <w:rsid w:val="002D17CE"/>
    <w:rsid w:val="002D26EB"/>
    <w:rsid w:val="002D29F8"/>
    <w:rsid w:val="002D40EE"/>
    <w:rsid w:val="002D4993"/>
    <w:rsid w:val="002D50E9"/>
    <w:rsid w:val="002D5CFA"/>
    <w:rsid w:val="002D76A0"/>
    <w:rsid w:val="002E3D8E"/>
    <w:rsid w:val="002E5406"/>
    <w:rsid w:val="002E76C5"/>
    <w:rsid w:val="002F0056"/>
    <w:rsid w:val="002F036B"/>
    <w:rsid w:val="002F4EB3"/>
    <w:rsid w:val="002F6C67"/>
    <w:rsid w:val="002F7285"/>
    <w:rsid w:val="00301521"/>
    <w:rsid w:val="00302A82"/>
    <w:rsid w:val="00304892"/>
    <w:rsid w:val="003049B4"/>
    <w:rsid w:val="003103FB"/>
    <w:rsid w:val="00312480"/>
    <w:rsid w:val="00312A4F"/>
    <w:rsid w:val="00313E1D"/>
    <w:rsid w:val="00314E11"/>
    <w:rsid w:val="003175AB"/>
    <w:rsid w:val="00320071"/>
    <w:rsid w:val="00321D00"/>
    <w:rsid w:val="00321D93"/>
    <w:rsid w:val="003247FA"/>
    <w:rsid w:val="003309DA"/>
    <w:rsid w:val="00333809"/>
    <w:rsid w:val="00336313"/>
    <w:rsid w:val="003369AE"/>
    <w:rsid w:val="00337D1D"/>
    <w:rsid w:val="00340710"/>
    <w:rsid w:val="0035060F"/>
    <w:rsid w:val="00352864"/>
    <w:rsid w:val="00355176"/>
    <w:rsid w:val="00356315"/>
    <w:rsid w:val="00362F9E"/>
    <w:rsid w:val="00363BE8"/>
    <w:rsid w:val="00370B5D"/>
    <w:rsid w:val="00371275"/>
    <w:rsid w:val="00372F61"/>
    <w:rsid w:val="003806B1"/>
    <w:rsid w:val="00384777"/>
    <w:rsid w:val="00385069"/>
    <w:rsid w:val="00386677"/>
    <w:rsid w:val="00387072"/>
    <w:rsid w:val="00392097"/>
    <w:rsid w:val="00392684"/>
    <w:rsid w:val="003A743E"/>
    <w:rsid w:val="003B031C"/>
    <w:rsid w:val="003B7610"/>
    <w:rsid w:val="003C2CC3"/>
    <w:rsid w:val="003C7721"/>
    <w:rsid w:val="003D1FB8"/>
    <w:rsid w:val="003D3CA3"/>
    <w:rsid w:val="003D5417"/>
    <w:rsid w:val="003D541D"/>
    <w:rsid w:val="003D6B43"/>
    <w:rsid w:val="003D7104"/>
    <w:rsid w:val="003E2013"/>
    <w:rsid w:val="003E2A4E"/>
    <w:rsid w:val="003E5605"/>
    <w:rsid w:val="003E5948"/>
    <w:rsid w:val="003F21D2"/>
    <w:rsid w:val="003F269E"/>
    <w:rsid w:val="003F4964"/>
    <w:rsid w:val="003F65F3"/>
    <w:rsid w:val="00401C43"/>
    <w:rsid w:val="00401FA3"/>
    <w:rsid w:val="004046FF"/>
    <w:rsid w:val="0040538F"/>
    <w:rsid w:val="00410790"/>
    <w:rsid w:val="00411EF4"/>
    <w:rsid w:val="004133BB"/>
    <w:rsid w:val="004142EF"/>
    <w:rsid w:val="00415589"/>
    <w:rsid w:val="004161B7"/>
    <w:rsid w:val="00417C82"/>
    <w:rsid w:val="00420958"/>
    <w:rsid w:val="00420EF1"/>
    <w:rsid w:val="00421920"/>
    <w:rsid w:val="00423463"/>
    <w:rsid w:val="00423D33"/>
    <w:rsid w:val="004249A0"/>
    <w:rsid w:val="0042653B"/>
    <w:rsid w:val="0043155E"/>
    <w:rsid w:val="00432D49"/>
    <w:rsid w:val="004339EA"/>
    <w:rsid w:val="00433E8F"/>
    <w:rsid w:val="00434145"/>
    <w:rsid w:val="004343F5"/>
    <w:rsid w:val="004408A9"/>
    <w:rsid w:val="00443285"/>
    <w:rsid w:val="0044577B"/>
    <w:rsid w:val="00451588"/>
    <w:rsid w:val="004516C4"/>
    <w:rsid w:val="004517F1"/>
    <w:rsid w:val="004556DF"/>
    <w:rsid w:val="00456C68"/>
    <w:rsid w:val="00461AE3"/>
    <w:rsid w:val="00462BB6"/>
    <w:rsid w:val="00464A63"/>
    <w:rsid w:val="00466DD6"/>
    <w:rsid w:val="004701BF"/>
    <w:rsid w:val="00470670"/>
    <w:rsid w:val="00472286"/>
    <w:rsid w:val="00472CCF"/>
    <w:rsid w:val="00472D02"/>
    <w:rsid w:val="00475A47"/>
    <w:rsid w:val="00475D57"/>
    <w:rsid w:val="0047744E"/>
    <w:rsid w:val="00480FE6"/>
    <w:rsid w:val="00484536"/>
    <w:rsid w:val="00486585"/>
    <w:rsid w:val="00490177"/>
    <w:rsid w:val="00496532"/>
    <w:rsid w:val="00497289"/>
    <w:rsid w:val="004A06AE"/>
    <w:rsid w:val="004A3154"/>
    <w:rsid w:val="004A4A04"/>
    <w:rsid w:val="004A510D"/>
    <w:rsid w:val="004B06E3"/>
    <w:rsid w:val="004B35DC"/>
    <w:rsid w:val="004B5888"/>
    <w:rsid w:val="004B66BB"/>
    <w:rsid w:val="004B6780"/>
    <w:rsid w:val="004C081E"/>
    <w:rsid w:val="004C2A36"/>
    <w:rsid w:val="004C3663"/>
    <w:rsid w:val="004C368E"/>
    <w:rsid w:val="004C4DBD"/>
    <w:rsid w:val="004C57EC"/>
    <w:rsid w:val="004C69F2"/>
    <w:rsid w:val="004D0C20"/>
    <w:rsid w:val="004D1461"/>
    <w:rsid w:val="004D3A71"/>
    <w:rsid w:val="004D3CE4"/>
    <w:rsid w:val="004D4201"/>
    <w:rsid w:val="004D7E51"/>
    <w:rsid w:val="004E04EE"/>
    <w:rsid w:val="004E0DB7"/>
    <w:rsid w:val="004E1B37"/>
    <w:rsid w:val="004E2704"/>
    <w:rsid w:val="004E3F72"/>
    <w:rsid w:val="004E4D01"/>
    <w:rsid w:val="004F705B"/>
    <w:rsid w:val="00500964"/>
    <w:rsid w:val="00500C66"/>
    <w:rsid w:val="00503632"/>
    <w:rsid w:val="005055A8"/>
    <w:rsid w:val="00505B94"/>
    <w:rsid w:val="005101A6"/>
    <w:rsid w:val="005130EC"/>
    <w:rsid w:val="005146E6"/>
    <w:rsid w:val="005200A6"/>
    <w:rsid w:val="00524AE5"/>
    <w:rsid w:val="00532A7E"/>
    <w:rsid w:val="00535A42"/>
    <w:rsid w:val="00535DDC"/>
    <w:rsid w:val="0053748E"/>
    <w:rsid w:val="00543120"/>
    <w:rsid w:val="00544779"/>
    <w:rsid w:val="005449C6"/>
    <w:rsid w:val="0056177B"/>
    <w:rsid w:val="00562D3B"/>
    <w:rsid w:val="00566B42"/>
    <w:rsid w:val="0057165C"/>
    <w:rsid w:val="00571D95"/>
    <w:rsid w:val="005722C6"/>
    <w:rsid w:val="00573147"/>
    <w:rsid w:val="00575AD7"/>
    <w:rsid w:val="00580FF8"/>
    <w:rsid w:val="00585C8D"/>
    <w:rsid w:val="005862CC"/>
    <w:rsid w:val="005906A6"/>
    <w:rsid w:val="005911FE"/>
    <w:rsid w:val="0059312F"/>
    <w:rsid w:val="00593220"/>
    <w:rsid w:val="00593EFB"/>
    <w:rsid w:val="00595758"/>
    <w:rsid w:val="00596081"/>
    <w:rsid w:val="005A23F0"/>
    <w:rsid w:val="005A3943"/>
    <w:rsid w:val="005A51E6"/>
    <w:rsid w:val="005A632E"/>
    <w:rsid w:val="005A74DC"/>
    <w:rsid w:val="005B7418"/>
    <w:rsid w:val="005B7892"/>
    <w:rsid w:val="005C03A9"/>
    <w:rsid w:val="005C2BFC"/>
    <w:rsid w:val="005C324B"/>
    <w:rsid w:val="005C43E2"/>
    <w:rsid w:val="005C454A"/>
    <w:rsid w:val="005C55CA"/>
    <w:rsid w:val="005C74C9"/>
    <w:rsid w:val="005D1B14"/>
    <w:rsid w:val="005D257B"/>
    <w:rsid w:val="005D4569"/>
    <w:rsid w:val="005D4C2E"/>
    <w:rsid w:val="005D6133"/>
    <w:rsid w:val="005E1D5C"/>
    <w:rsid w:val="005E25DC"/>
    <w:rsid w:val="005E52AE"/>
    <w:rsid w:val="005E5607"/>
    <w:rsid w:val="005E567C"/>
    <w:rsid w:val="005F15EA"/>
    <w:rsid w:val="005F26A8"/>
    <w:rsid w:val="005F505E"/>
    <w:rsid w:val="005F62A9"/>
    <w:rsid w:val="00602976"/>
    <w:rsid w:val="0060388D"/>
    <w:rsid w:val="00604231"/>
    <w:rsid w:val="00604608"/>
    <w:rsid w:val="0060478F"/>
    <w:rsid w:val="006068F3"/>
    <w:rsid w:val="00606F6B"/>
    <w:rsid w:val="0061048E"/>
    <w:rsid w:val="00610C2F"/>
    <w:rsid w:val="006112C8"/>
    <w:rsid w:val="00612B00"/>
    <w:rsid w:val="00613381"/>
    <w:rsid w:val="006145F8"/>
    <w:rsid w:val="00615BE1"/>
    <w:rsid w:val="006168C2"/>
    <w:rsid w:val="0062187C"/>
    <w:rsid w:val="00621DC5"/>
    <w:rsid w:val="006239BC"/>
    <w:rsid w:val="0062433C"/>
    <w:rsid w:val="006254F1"/>
    <w:rsid w:val="00625805"/>
    <w:rsid w:val="00627AC4"/>
    <w:rsid w:val="006310F4"/>
    <w:rsid w:val="0063253B"/>
    <w:rsid w:val="006363C8"/>
    <w:rsid w:val="00637AB8"/>
    <w:rsid w:val="0064370D"/>
    <w:rsid w:val="00643771"/>
    <w:rsid w:val="00644946"/>
    <w:rsid w:val="00646AB8"/>
    <w:rsid w:val="00647BD9"/>
    <w:rsid w:val="00654A3E"/>
    <w:rsid w:val="006624A7"/>
    <w:rsid w:val="0066515F"/>
    <w:rsid w:val="006663E9"/>
    <w:rsid w:val="006668AF"/>
    <w:rsid w:val="00670044"/>
    <w:rsid w:val="00670A7E"/>
    <w:rsid w:val="0067266B"/>
    <w:rsid w:val="0067278C"/>
    <w:rsid w:val="00672A63"/>
    <w:rsid w:val="00674C51"/>
    <w:rsid w:val="00676DAA"/>
    <w:rsid w:val="00685862"/>
    <w:rsid w:val="00686439"/>
    <w:rsid w:val="00697A88"/>
    <w:rsid w:val="00697CF1"/>
    <w:rsid w:val="006A6051"/>
    <w:rsid w:val="006B31D9"/>
    <w:rsid w:val="006B3A8B"/>
    <w:rsid w:val="006B4885"/>
    <w:rsid w:val="006B5C51"/>
    <w:rsid w:val="006C0102"/>
    <w:rsid w:val="006C07D4"/>
    <w:rsid w:val="006C41AD"/>
    <w:rsid w:val="006C7143"/>
    <w:rsid w:val="006D04BD"/>
    <w:rsid w:val="006D07D1"/>
    <w:rsid w:val="006D47EF"/>
    <w:rsid w:val="006D621C"/>
    <w:rsid w:val="006D6644"/>
    <w:rsid w:val="006D6BC7"/>
    <w:rsid w:val="006D7180"/>
    <w:rsid w:val="006E061D"/>
    <w:rsid w:val="006E23B2"/>
    <w:rsid w:val="006E433B"/>
    <w:rsid w:val="006E7899"/>
    <w:rsid w:val="006E7C78"/>
    <w:rsid w:val="006F27F4"/>
    <w:rsid w:val="006F2E23"/>
    <w:rsid w:val="006F4C30"/>
    <w:rsid w:val="006F7024"/>
    <w:rsid w:val="00702F9F"/>
    <w:rsid w:val="00703627"/>
    <w:rsid w:val="00703A7C"/>
    <w:rsid w:val="007076DA"/>
    <w:rsid w:val="00707860"/>
    <w:rsid w:val="007101E1"/>
    <w:rsid w:val="007105C1"/>
    <w:rsid w:val="00710E34"/>
    <w:rsid w:val="007207BF"/>
    <w:rsid w:val="00725CB0"/>
    <w:rsid w:val="00727106"/>
    <w:rsid w:val="00733598"/>
    <w:rsid w:val="0073517D"/>
    <w:rsid w:val="0073685C"/>
    <w:rsid w:val="00737EA5"/>
    <w:rsid w:val="007400AE"/>
    <w:rsid w:val="00741F3E"/>
    <w:rsid w:val="00742F88"/>
    <w:rsid w:val="00743AA8"/>
    <w:rsid w:val="00750840"/>
    <w:rsid w:val="00751A40"/>
    <w:rsid w:val="00752D76"/>
    <w:rsid w:val="00753B8A"/>
    <w:rsid w:val="00754797"/>
    <w:rsid w:val="00757094"/>
    <w:rsid w:val="00757617"/>
    <w:rsid w:val="00762425"/>
    <w:rsid w:val="00763AD8"/>
    <w:rsid w:val="0076439D"/>
    <w:rsid w:val="00765016"/>
    <w:rsid w:val="007675BF"/>
    <w:rsid w:val="00767EDE"/>
    <w:rsid w:val="0077100C"/>
    <w:rsid w:val="00774CE5"/>
    <w:rsid w:val="00776C39"/>
    <w:rsid w:val="007806A3"/>
    <w:rsid w:val="00781D00"/>
    <w:rsid w:val="00785E80"/>
    <w:rsid w:val="007900F3"/>
    <w:rsid w:val="00791B69"/>
    <w:rsid w:val="0079498E"/>
    <w:rsid w:val="00796F10"/>
    <w:rsid w:val="00797651"/>
    <w:rsid w:val="007A0F81"/>
    <w:rsid w:val="007A64C7"/>
    <w:rsid w:val="007A6AB5"/>
    <w:rsid w:val="007A6C67"/>
    <w:rsid w:val="007B14D9"/>
    <w:rsid w:val="007B2B46"/>
    <w:rsid w:val="007B30F2"/>
    <w:rsid w:val="007B377F"/>
    <w:rsid w:val="007B4274"/>
    <w:rsid w:val="007B5117"/>
    <w:rsid w:val="007B599D"/>
    <w:rsid w:val="007B6650"/>
    <w:rsid w:val="007B6A74"/>
    <w:rsid w:val="007C2DC8"/>
    <w:rsid w:val="007C2DCE"/>
    <w:rsid w:val="007C3707"/>
    <w:rsid w:val="007C3EA7"/>
    <w:rsid w:val="007C7FF6"/>
    <w:rsid w:val="007D097E"/>
    <w:rsid w:val="007D230B"/>
    <w:rsid w:val="007D2D80"/>
    <w:rsid w:val="007D3681"/>
    <w:rsid w:val="007D3824"/>
    <w:rsid w:val="007D4072"/>
    <w:rsid w:val="007D49A1"/>
    <w:rsid w:val="007D59DD"/>
    <w:rsid w:val="007E10A8"/>
    <w:rsid w:val="007E1F66"/>
    <w:rsid w:val="007E2CB5"/>
    <w:rsid w:val="007E4C10"/>
    <w:rsid w:val="007E6501"/>
    <w:rsid w:val="007E6C25"/>
    <w:rsid w:val="007F32D7"/>
    <w:rsid w:val="007F4F97"/>
    <w:rsid w:val="007F669E"/>
    <w:rsid w:val="007F66A5"/>
    <w:rsid w:val="00801632"/>
    <w:rsid w:val="0080520B"/>
    <w:rsid w:val="00805360"/>
    <w:rsid w:val="00807903"/>
    <w:rsid w:val="00807B3E"/>
    <w:rsid w:val="00810B13"/>
    <w:rsid w:val="00810D4A"/>
    <w:rsid w:val="00812F82"/>
    <w:rsid w:val="008146FD"/>
    <w:rsid w:val="00814D52"/>
    <w:rsid w:val="00815D44"/>
    <w:rsid w:val="00816AAB"/>
    <w:rsid w:val="0081756E"/>
    <w:rsid w:val="00820402"/>
    <w:rsid w:val="008229E8"/>
    <w:rsid w:val="008240A6"/>
    <w:rsid w:val="008243B2"/>
    <w:rsid w:val="00824835"/>
    <w:rsid w:val="00824F08"/>
    <w:rsid w:val="00825CF8"/>
    <w:rsid w:val="008310DF"/>
    <w:rsid w:val="00831105"/>
    <w:rsid w:val="00835487"/>
    <w:rsid w:val="00844A4B"/>
    <w:rsid w:val="008524F6"/>
    <w:rsid w:val="00854676"/>
    <w:rsid w:val="00857502"/>
    <w:rsid w:val="008577CC"/>
    <w:rsid w:val="00860CC0"/>
    <w:rsid w:val="00861A07"/>
    <w:rsid w:val="00864AF3"/>
    <w:rsid w:val="00865296"/>
    <w:rsid w:val="00867086"/>
    <w:rsid w:val="00874663"/>
    <w:rsid w:val="0088105E"/>
    <w:rsid w:val="00881B95"/>
    <w:rsid w:val="008831CA"/>
    <w:rsid w:val="00885A75"/>
    <w:rsid w:val="00891B1F"/>
    <w:rsid w:val="0089272A"/>
    <w:rsid w:val="00894890"/>
    <w:rsid w:val="0089580D"/>
    <w:rsid w:val="00897247"/>
    <w:rsid w:val="008A4E9D"/>
    <w:rsid w:val="008B08F0"/>
    <w:rsid w:val="008B25DA"/>
    <w:rsid w:val="008B262C"/>
    <w:rsid w:val="008B2DAD"/>
    <w:rsid w:val="008B520F"/>
    <w:rsid w:val="008B55A8"/>
    <w:rsid w:val="008B6395"/>
    <w:rsid w:val="008B6FC8"/>
    <w:rsid w:val="008C19E9"/>
    <w:rsid w:val="008C26E9"/>
    <w:rsid w:val="008C774E"/>
    <w:rsid w:val="008C7B7F"/>
    <w:rsid w:val="008D0CF5"/>
    <w:rsid w:val="008D4652"/>
    <w:rsid w:val="008D6370"/>
    <w:rsid w:val="008D6D9D"/>
    <w:rsid w:val="008E2A81"/>
    <w:rsid w:val="008E3C8D"/>
    <w:rsid w:val="008E7370"/>
    <w:rsid w:val="008F1691"/>
    <w:rsid w:val="008F22E2"/>
    <w:rsid w:val="008F43BF"/>
    <w:rsid w:val="008F5698"/>
    <w:rsid w:val="008F639E"/>
    <w:rsid w:val="0090005A"/>
    <w:rsid w:val="00900D01"/>
    <w:rsid w:val="00901EF2"/>
    <w:rsid w:val="00902CED"/>
    <w:rsid w:val="00903725"/>
    <w:rsid w:val="00903EB6"/>
    <w:rsid w:val="00904906"/>
    <w:rsid w:val="0090702F"/>
    <w:rsid w:val="009079D0"/>
    <w:rsid w:val="00913D0A"/>
    <w:rsid w:val="009148A1"/>
    <w:rsid w:val="009206BA"/>
    <w:rsid w:val="00924972"/>
    <w:rsid w:val="00926EC3"/>
    <w:rsid w:val="00932E1E"/>
    <w:rsid w:val="00934068"/>
    <w:rsid w:val="00936CCC"/>
    <w:rsid w:val="00937854"/>
    <w:rsid w:val="00940289"/>
    <w:rsid w:val="009469E0"/>
    <w:rsid w:val="00950E17"/>
    <w:rsid w:val="00951C4D"/>
    <w:rsid w:val="00952E03"/>
    <w:rsid w:val="0095396E"/>
    <w:rsid w:val="009547E2"/>
    <w:rsid w:val="00956488"/>
    <w:rsid w:val="0095696F"/>
    <w:rsid w:val="00956F5F"/>
    <w:rsid w:val="009610DC"/>
    <w:rsid w:val="00963C5D"/>
    <w:rsid w:val="00965A45"/>
    <w:rsid w:val="0097154F"/>
    <w:rsid w:val="0098147E"/>
    <w:rsid w:val="00985996"/>
    <w:rsid w:val="00986978"/>
    <w:rsid w:val="009879B9"/>
    <w:rsid w:val="00994F74"/>
    <w:rsid w:val="0099563A"/>
    <w:rsid w:val="00996690"/>
    <w:rsid w:val="009978F7"/>
    <w:rsid w:val="009A13F4"/>
    <w:rsid w:val="009A44BE"/>
    <w:rsid w:val="009B029F"/>
    <w:rsid w:val="009B27EF"/>
    <w:rsid w:val="009B27F8"/>
    <w:rsid w:val="009B4A8B"/>
    <w:rsid w:val="009B74FB"/>
    <w:rsid w:val="009C0660"/>
    <w:rsid w:val="009C31A4"/>
    <w:rsid w:val="009C4845"/>
    <w:rsid w:val="009C7314"/>
    <w:rsid w:val="009D2442"/>
    <w:rsid w:val="009D5324"/>
    <w:rsid w:val="009D5D9F"/>
    <w:rsid w:val="009D7F4D"/>
    <w:rsid w:val="009E0430"/>
    <w:rsid w:val="009E0FA2"/>
    <w:rsid w:val="009E2244"/>
    <w:rsid w:val="009E6950"/>
    <w:rsid w:val="009F165D"/>
    <w:rsid w:val="009F4913"/>
    <w:rsid w:val="009F57FD"/>
    <w:rsid w:val="009F66B2"/>
    <w:rsid w:val="009F7F72"/>
    <w:rsid w:val="009F7F9F"/>
    <w:rsid w:val="00A01E02"/>
    <w:rsid w:val="00A02E26"/>
    <w:rsid w:val="00A05BA0"/>
    <w:rsid w:val="00A13DC0"/>
    <w:rsid w:val="00A159C9"/>
    <w:rsid w:val="00A167FB"/>
    <w:rsid w:val="00A21B70"/>
    <w:rsid w:val="00A21D02"/>
    <w:rsid w:val="00A21DDB"/>
    <w:rsid w:val="00A2256C"/>
    <w:rsid w:val="00A23CF6"/>
    <w:rsid w:val="00A2690C"/>
    <w:rsid w:val="00A2792F"/>
    <w:rsid w:val="00A30970"/>
    <w:rsid w:val="00A315E4"/>
    <w:rsid w:val="00A31D96"/>
    <w:rsid w:val="00A31FEE"/>
    <w:rsid w:val="00A332F2"/>
    <w:rsid w:val="00A33722"/>
    <w:rsid w:val="00A33C55"/>
    <w:rsid w:val="00A36849"/>
    <w:rsid w:val="00A406C3"/>
    <w:rsid w:val="00A41F08"/>
    <w:rsid w:val="00A4282C"/>
    <w:rsid w:val="00A42875"/>
    <w:rsid w:val="00A44DC1"/>
    <w:rsid w:val="00A47A98"/>
    <w:rsid w:val="00A47EE7"/>
    <w:rsid w:val="00A50B43"/>
    <w:rsid w:val="00A51C87"/>
    <w:rsid w:val="00A54197"/>
    <w:rsid w:val="00A5631A"/>
    <w:rsid w:val="00A57D57"/>
    <w:rsid w:val="00A61821"/>
    <w:rsid w:val="00A61E3A"/>
    <w:rsid w:val="00A631BA"/>
    <w:rsid w:val="00A635DC"/>
    <w:rsid w:val="00A67CA5"/>
    <w:rsid w:val="00A7112C"/>
    <w:rsid w:val="00A74086"/>
    <w:rsid w:val="00A7516C"/>
    <w:rsid w:val="00A75CCD"/>
    <w:rsid w:val="00A80506"/>
    <w:rsid w:val="00A806AE"/>
    <w:rsid w:val="00A8118F"/>
    <w:rsid w:val="00A83458"/>
    <w:rsid w:val="00A86C41"/>
    <w:rsid w:val="00A870D2"/>
    <w:rsid w:val="00A90148"/>
    <w:rsid w:val="00A917F8"/>
    <w:rsid w:val="00AA0D8C"/>
    <w:rsid w:val="00AA0F07"/>
    <w:rsid w:val="00AA25BC"/>
    <w:rsid w:val="00AA3077"/>
    <w:rsid w:val="00AA3E2A"/>
    <w:rsid w:val="00AA46AF"/>
    <w:rsid w:val="00AA5AE7"/>
    <w:rsid w:val="00AB4E9E"/>
    <w:rsid w:val="00AB6271"/>
    <w:rsid w:val="00AB6C99"/>
    <w:rsid w:val="00AC11D5"/>
    <w:rsid w:val="00AC15E5"/>
    <w:rsid w:val="00AC22BB"/>
    <w:rsid w:val="00AC4080"/>
    <w:rsid w:val="00AC5A6D"/>
    <w:rsid w:val="00AC5D73"/>
    <w:rsid w:val="00AC73AD"/>
    <w:rsid w:val="00AC7BED"/>
    <w:rsid w:val="00AD04EB"/>
    <w:rsid w:val="00AD067D"/>
    <w:rsid w:val="00AD705A"/>
    <w:rsid w:val="00AD78F9"/>
    <w:rsid w:val="00AD7E08"/>
    <w:rsid w:val="00AE008D"/>
    <w:rsid w:val="00AE30E0"/>
    <w:rsid w:val="00AE346F"/>
    <w:rsid w:val="00AE3A15"/>
    <w:rsid w:val="00AE3AD5"/>
    <w:rsid w:val="00AE7C8A"/>
    <w:rsid w:val="00AF1297"/>
    <w:rsid w:val="00AF2329"/>
    <w:rsid w:val="00AF3660"/>
    <w:rsid w:val="00AF7A20"/>
    <w:rsid w:val="00B01312"/>
    <w:rsid w:val="00B02D98"/>
    <w:rsid w:val="00B10DEC"/>
    <w:rsid w:val="00B14642"/>
    <w:rsid w:val="00B15D2F"/>
    <w:rsid w:val="00B16399"/>
    <w:rsid w:val="00B1760F"/>
    <w:rsid w:val="00B249FF"/>
    <w:rsid w:val="00B2586D"/>
    <w:rsid w:val="00B25AE4"/>
    <w:rsid w:val="00B265C9"/>
    <w:rsid w:val="00B26909"/>
    <w:rsid w:val="00B2738E"/>
    <w:rsid w:val="00B27664"/>
    <w:rsid w:val="00B3105B"/>
    <w:rsid w:val="00B31169"/>
    <w:rsid w:val="00B31828"/>
    <w:rsid w:val="00B420E6"/>
    <w:rsid w:val="00B42BEE"/>
    <w:rsid w:val="00B4356F"/>
    <w:rsid w:val="00B4452E"/>
    <w:rsid w:val="00B452B7"/>
    <w:rsid w:val="00B458E3"/>
    <w:rsid w:val="00B518FF"/>
    <w:rsid w:val="00B54F17"/>
    <w:rsid w:val="00B561EE"/>
    <w:rsid w:val="00B57D47"/>
    <w:rsid w:val="00B6210E"/>
    <w:rsid w:val="00B632E3"/>
    <w:rsid w:val="00B64DC8"/>
    <w:rsid w:val="00B70688"/>
    <w:rsid w:val="00B735E5"/>
    <w:rsid w:val="00B75725"/>
    <w:rsid w:val="00B75FD9"/>
    <w:rsid w:val="00B77091"/>
    <w:rsid w:val="00B837C1"/>
    <w:rsid w:val="00B841E0"/>
    <w:rsid w:val="00B860BA"/>
    <w:rsid w:val="00B865F5"/>
    <w:rsid w:val="00B870A0"/>
    <w:rsid w:val="00B914D8"/>
    <w:rsid w:val="00B91DFE"/>
    <w:rsid w:val="00B93F3D"/>
    <w:rsid w:val="00B966E9"/>
    <w:rsid w:val="00B96BC7"/>
    <w:rsid w:val="00B97229"/>
    <w:rsid w:val="00B97448"/>
    <w:rsid w:val="00BA08A3"/>
    <w:rsid w:val="00BA3D7D"/>
    <w:rsid w:val="00BA5AB3"/>
    <w:rsid w:val="00BB227E"/>
    <w:rsid w:val="00BB4F22"/>
    <w:rsid w:val="00BB7E3D"/>
    <w:rsid w:val="00BC3CD1"/>
    <w:rsid w:val="00BC5EC6"/>
    <w:rsid w:val="00BC5F0E"/>
    <w:rsid w:val="00BD05BC"/>
    <w:rsid w:val="00BD2211"/>
    <w:rsid w:val="00BD221D"/>
    <w:rsid w:val="00BD3E65"/>
    <w:rsid w:val="00BD5934"/>
    <w:rsid w:val="00BD7785"/>
    <w:rsid w:val="00BE0B8B"/>
    <w:rsid w:val="00BE2F47"/>
    <w:rsid w:val="00BE3B2E"/>
    <w:rsid w:val="00BE4EF1"/>
    <w:rsid w:val="00BE7DE8"/>
    <w:rsid w:val="00BF1CBD"/>
    <w:rsid w:val="00BF52C4"/>
    <w:rsid w:val="00C006BE"/>
    <w:rsid w:val="00C05B8E"/>
    <w:rsid w:val="00C062B7"/>
    <w:rsid w:val="00C07A95"/>
    <w:rsid w:val="00C1063D"/>
    <w:rsid w:val="00C107C0"/>
    <w:rsid w:val="00C15E0E"/>
    <w:rsid w:val="00C23FB5"/>
    <w:rsid w:val="00C24A1A"/>
    <w:rsid w:val="00C254FA"/>
    <w:rsid w:val="00C331BB"/>
    <w:rsid w:val="00C41A08"/>
    <w:rsid w:val="00C422B9"/>
    <w:rsid w:val="00C4240A"/>
    <w:rsid w:val="00C4241E"/>
    <w:rsid w:val="00C50EFE"/>
    <w:rsid w:val="00C514C3"/>
    <w:rsid w:val="00C615A3"/>
    <w:rsid w:val="00C6198D"/>
    <w:rsid w:val="00C627F3"/>
    <w:rsid w:val="00C635DA"/>
    <w:rsid w:val="00C639E7"/>
    <w:rsid w:val="00C64487"/>
    <w:rsid w:val="00C64FFF"/>
    <w:rsid w:val="00C659BE"/>
    <w:rsid w:val="00C66C4A"/>
    <w:rsid w:val="00C66ECF"/>
    <w:rsid w:val="00C73B30"/>
    <w:rsid w:val="00C80300"/>
    <w:rsid w:val="00C82307"/>
    <w:rsid w:val="00C8613B"/>
    <w:rsid w:val="00C900DE"/>
    <w:rsid w:val="00C90692"/>
    <w:rsid w:val="00C91415"/>
    <w:rsid w:val="00C92622"/>
    <w:rsid w:val="00C97228"/>
    <w:rsid w:val="00C9780D"/>
    <w:rsid w:val="00CA02DA"/>
    <w:rsid w:val="00CA1A54"/>
    <w:rsid w:val="00CA1CB3"/>
    <w:rsid w:val="00CB25A2"/>
    <w:rsid w:val="00CC20C3"/>
    <w:rsid w:val="00CC46B2"/>
    <w:rsid w:val="00CC5718"/>
    <w:rsid w:val="00CD1352"/>
    <w:rsid w:val="00CD1CBE"/>
    <w:rsid w:val="00CD1E3E"/>
    <w:rsid w:val="00CD32E2"/>
    <w:rsid w:val="00CD4B0B"/>
    <w:rsid w:val="00CD6698"/>
    <w:rsid w:val="00CE0725"/>
    <w:rsid w:val="00CE11B7"/>
    <w:rsid w:val="00CE1E5B"/>
    <w:rsid w:val="00CE36F1"/>
    <w:rsid w:val="00CE722E"/>
    <w:rsid w:val="00CF1D92"/>
    <w:rsid w:val="00CF2D92"/>
    <w:rsid w:val="00CF40A8"/>
    <w:rsid w:val="00CF5D91"/>
    <w:rsid w:val="00D0025C"/>
    <w:rsid w:val="00D004FB"/>
    <w:rsid w:val="00D02BBC"/>
    <w:rsid w:val="00D02C36"/>
    <w:rsid w:val="00D12172"/>
    <w:rsid w:val="00D12B8C"/>
    <w:rsid w:val="00D14CEA"/>
    <w:rsid w:val="00D16A0D"/>
    <w:rsid w:val="00D200F6"/>
    <w:rsid w:val="00D2022C"/>
    <w:rsid w:val="00D21646"/>
    <w:rsid w:val="00D22C12"/>
    <w:rsid w:val="00D358D1"/>
    <w:rsid w:val="00D36A3A"/>
    <w:rsid w:val="00D454F2"/>
    <w:rsid w:val="00D4597A"/>
    <w:rsid w:val="00D47CE9"/>
    <w:rsid w:val="00D524DC"/>
    <w:rsid w:val="00D52995"/>
    <w:rsid w:val="00D54119"/>
    <w:rsid w:val="00D5541B"/>
    <w:rsid w:val="00D57FCA"/>
    <w:rsid w:val="00D607A4"/>
    <w:rsid w:val="00D62B3B"/>
    <w:rsid w:val="00D67DD0"/>
    <w:rsid w:val="00D724E6"/>
    <w:rsid w:val="00D72ADE"/>
    <w:rsid w:val="00D75233"/>
    <w:rsid w:val="00D7728F"/>
    <w:rsid w:val="00D77696"/>
    <w:rsid w:val="00D8042A"/>
    <w:rsid w:val="00D81CC4"/>
    <w:rsid w:val="00D8282E"/>
    <w:rsid w:val="00D84FBF"/>
    <w:rsid w:val="00D9765E"/>
    <w:rsid w:val="00DA272E"/>
    <w:rsid w:val="00DA4591"/>
    <w:rsid w:val="00DA5AF6"/>
    <w:rsid w:val="00DA6430"/>
    <w:rsid w:val="00DA681A"/>
    <w:rsid w:val="00DB0B95"/>
    <w:rsid w:val="00DB31A2"/>
    <w:rsid w:val="00DB63BE"/>
    <w:rsid w:val="00DB63DB"/>
    <w:rsid w:val="00DB7824"/>
    <w:rsid w:val="00DC308E"/>
    <w:rsid w:val="00DC6C76"/>
    <w:rsid w:val="00DC7F73"/>
    <w:rsid w:val="00DD5039"/>
    <w:rsid w:val="00DE191A"/>
    <w:rsid w:val="00DE1A0F"/>
    <w:rsid w:val="00DE3123"/>
    <w:rsid w:val="00DE339F"/>
    <w:rsid w:val="00DE5539"/>
    <w:rsid w:val="00DE6350"/>
    <w:rsid w:val="00DF100C"/>
    <w:rsid w:val="00DF1535"/>
    <w:rsid w:val="00DF1621"/>
    <w:rsid w:val="00DF53F5"/>
    <w:rsid w:val="00DF61FD"/>
    <w:rsid w:val="00DF6D25"/>
    <w:rsid w:val="00E00FE3"/>
    <w:rsid w:val="00E03C6D"/>
    <w:rsid w:val="00E04288"/>
    <w:rsid w:val="00E11EE3"/>
    <w:rsid w:val="00E135F9"/>
    <w:rsid w:val="00E13757"/>
    <w:rsid w:val="00E14349"/>
    <w:rsid w:val="00E20C28"/>
    <w:rsid w:val="00E22A77"/>
    <w:rsid w:val="00E22E84"/>
    <w:rsid w:val="00E24B18"/>
    <w:rsid w:val="00E3016C"/>
    <w:rsid w:val="00E3044A"/>
    <w:rsid w:val="00E31856"/>
    <w:rsid w:val="00E348BC"/>
    <w:rsid w:val="00E4307D"/>
    <w:rsid w:val="00E4318F"/>
    <w:rsid w:val="00E4392E"/>
    <w:rsid w:val="00E44227"/>
    <w:rsid w:val="00E53CC6"/>
    <w:rsid w:val="00E54395"/>
    <w:rsid w:val="00E54741"/>
    <w:rsid w:val="00E568E5"/>
    <w:rsid w:val="00E57786"/>
    <w:rsid w:val="00E57AAD"/>
    <w:rsid w:val="00E6453F"/>
    <w:rsid w:val="00E659EF"/>
    <w:rsid w:val="00E70CBD"/>
    <w:rsid w:val="00E71349"/>
    <w:rsid w:val="00E717E8"/>
    <w:rsid w:val="00E72BAF"/>
    <w:rsid w:val="00E73D81"/>
    <w:rsid w:val="00E754F4"/>
    <w:rsid w:val="00E83FEF"/>
    <w:rsid w:val="00E865D1"/>
    <w:rsid w:val="00E86E08"/>
    <w:rsid w:val="00E94270"/>
    <w:rsid w:val="00EA057C"/>
    <w:rsid w:val="00EA2D3D"/>
    <w:rsid w:val="00EA5B84"/>
    <w:rsid w:val="00EB1EA9"/>
    <w:rsid w:val="00EB20F9"/>
    <w:rsid w:val="00EB24EB"/>
    <w:rsid w:val="00EB34AF"/>
    <w:rsid w:val="00EB3548"/>
    <w:rsid w:val="00EC6249"/>
    <w:rsid w:val="00ED06CC"/>
    <w:rsid w:val="00ED18A1"/>
    <w:rsid w:val="00ED2C8E"/>
    <w:rsid w:val="00ED379E"/>
    <w:rsid w:val="00ED7680"/>
    <w:rsid w:val="00EE0424"/>
    <w:rsid w:val="00EE0D47"/>
    <w:rsid w:val="00EE5358"/>
    <w:rsid w:val="00EF17E3"/>
    <w:rsid w:val="00EF2C99"/>
    <w:rsid w:val="00EF54D8"/>
    <w:rsid w:val="00EF59D0"/>
    <w:rsid w:val="00EF5FB8"/>
    <w:rsid w:val="00EF689B"/>
    <w:rsid w:val="00EF71E9"/>
    <w:rsid w:val="00F006D2"/>
    <w:rsid w:val="00F00BD1"/>
    <w:rsid w:val="00F01325"/>
    <w:rsid w:val="00F01FD9"/>
    <w:rsid w:val="00F04B07"/>
    <w:rsid w:val="00F05BA8"/>
    <w:rsid w:val="00F16F13"/>
    <w:rsid w:val="00F219C3"/>
    <w:rsid w:val="00F22354"/>
    <w:rsid w:val="00F22B6D"/>
    <w:rsid w:val="00F23E9A"/>
    <w:rsid w:val="00F242D9"/>
    <w:rsid w:val="00F278A3"/>
    <w:rsid w:val="00F27CCA"/>
    <w:rsid w:val="00F329E3"/>
    <w:rsid w:val="00F359F5"/>
    <w:rsid w:val="00F35F51"/>
    <w:rsid w:val="00F365CB"/>
    <w:rsid w:val="00F3715D"/>
    <w:rsid w:val="00F37793"/>
    <w:rsid w:val="00F43309"/>
    <w:rsid w:val="00F44B62"/>
    <w:rsid w:val="00F5072C"/>
    <w:rsid w:val="00F51CBF"/>
    <w:rsid w:val="00F526D5"/>
    <w:rsid w:val="00F5411D"/>
    <w:rsid w:val="00F56D2B"/>
    <w:rsid w:val="00F57D2D"/>
    <w:rsid w:val="00F606D8"/>
    <w:rsid w:val="00F62A49"/>
    <w:rsid w:val="00F62D4C"/>
    <w:rsid w:val="00F644D8"/>
    <w:rsid w:val="00F6493E"/>
    <w:rsid w:val="00F64F0D"/>
    <w:rsid w:val="00F64F5B"/>
    <w:rsid w:val="00F66D77"/>
    <w:rsid w:val="00F7026A"/>
    <w:rsid w:val="00F71826"/>
    <w:rsid w:val="00F72B45"/>
    <w:rsid w:val="00F73B00"/>
    <w:rsid w:val="00F74F60"/>
    <w:rsid w:val="00F84737"/>
    <w:rsid w:val="00F87B69"/>
    <w:rsid w:val="00F90C95"/>
    <w:rsid w:val="00F9103E"/>
    <w:rsid w:val="00F95923"/>
    <w:rsid w:val="00F96A39"/>
    <w:rsid w:val="00F96DB3"/>
    <w:rsid w:val="00F97463"/>
    <w:rsid w:val="00FA4DC6"/>
    <w:rsid w:val="00FA5D99"/>
    <w:rsid w:val="00FB030E"/>
    <w:rsid w:val="00FB0D10"/>
    <w:rsid w:val="00FB571F"/>
    <w:rsid w:val="00FC061D"/>
    <w:rsid w:val="00FC42BA"/>
    <w:rsid w:val="00FC6166"/>
    <w:rsid w:val="00FC77BB"/>
    <w:rsid w:val="00FD08C1"/>
    <w:rsid w:val="00FD2C54"/>
    <w:rsid w:val="00FD3168"/>
    <w:rsid w:val="00FD462F"/>
    <w:rsid w:val="00FD7A7A"/>
    <w:rsid w:val="00FE0DCD"/>
    <w:rsid w:val="00FE10C1"/>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E2C15B"/>
  <w15:docId w15:val="{82C14DE0-82EA-4A91-94D8-CF2483F72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iPriority w:val="35"/>
    <w:unhideWhenUsed/>
    <w:qFormat/>
    <w:rsid w:val="00674C51"/>
    <w:pPr>
      <w:keepNext/>
      <w:keepLines/>
      <w:spacing w:before="280" w:after="80"/>
    </w:pPr>
    <w:rPr>
      <w:rFonts w:cs="Calibri Light"/>
      <w:b/>
      <w:color w:val="000000"/>
      <w:sz w:val="20"/>
      <w:szCs w:val="22"/>
    </w:rPr>
  </w:style>
  <w:style w:type="character" w:customStyle="1" w:styleId="CaptionChar">
    <w:name w:val="Caption Char"/>
    <w:aliases w:val="eTRM Caption Char"/>
    <w:link w:val="Caption"/>
    <w:uiPriority w:val="35"/>
    <w:locked/>
    <w:rsid w:val="00674C51"/>
    <w:rPr>
      <w:rFonts w:ascii="Calibri Light" w:hAnsi="Calibri Light" w:cs="Calibri Light"/>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490177"/>
  </w:style>
  <w:style w:type="character" w:customStyle="1" w:styleId="FigureCaptionChar">
    <w:name w:val="Figure Caption Char"/>
    <w:basedOn w:val="CaptionChar"/>
    <w:link w:val="FigureCaption"/>
    <w:rsid w:val="00490177"/>
    <w:rPr>
      <w:rFonts w:ascii="Calibri Light" w:hAnsi="Calibri Light" w:cs="Calibri Light"/>
      <w:b/>
      <w:color w:val="000000"/>
      <w:sz w:val="20"/>
      <w:szCs w:val="22"/>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AE7C8A"/>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B93F3D"/>
    <w:pPr>
      <w:keepNext/>
      <w:keepLines/>
      <w:spacing w:line="360" w:lineRule="exact"/>
      <w:jc w:val="center"/>
      <w:outlineLvl w:val="1"/>
    </w:pPr>
    <w:rPr>
      <w:rFonts w:eastAsiaTheme="majorEastAsia" w:cstheme="majorBidi"/>
      <w:caps/>
      <w:color w:val="FFFFFF" w:themeColor="background1"/>
      <w:spacing w:val="80"/>
      <w:sz w:val="32"/>
    </w:rPr>
  </w:style>
  <w:style w:type="character" w:customStyle="1" w:styleId="eTRMHeading2Char">
    <w:name w:val="eTRM Heading 2 Char"/>
    <w:basedOn w:val="DefaultParagraphFont"/>
    <w:link w:val="eTRMHeading2"/>
    <w:rsid w:val="00B93F3D"/>
    <w:rPr>
      <w:rFonts w:ascii="Calibri Light" w:eastAsiaTheme="majorEastAsia" w:hAnsi="Calibri Light" w:cstheme="majorBidi"/>
      <w:caps/>
      <w:color w:val="FFFFFF" w:themeColor="background1"/>
      <w:spacing w:val="80"/>
      <w:sz w:val="32"/>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613381"/>
    <w:pPr>
      <w:autoSpaceDE w:val="0"/>
      <w:autoSpaceDN w:val="0"/>
      <w:adjustRightInd w:val="0"/>
    </w:pPr>
    <w:rPr>
      <w:rFonts w:ascii="Arial" w:hAnsi="Arial" w:cs="Arial"/>
      <w:color w:val="000000"/>
    </w:rPr>
  </w:style>
  <w:style w:type="paragraph" w:customStyle="1" w:styleId="Reminders">
    <w:name w:val="Reminders"/>
    <w:basedOn w:val="Normal"/>
    <w:link w:val="RemindersChar"/>
    <w:rsid w:val="00B75725"/>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B75725"/>
    <w:rPr>
      <w:rFonts w:ascii="Trebuchet MS" w:eastAsia="Times New Roman" w:hAnsi="Trebuchet MS" w:cs="Times New Roman"/>
      <w:i/>
      <w:color w:val="FF0000"/>
      <w:sz w:val="22"/>
    </w:rPr>
  </w:style>
  <w:style w:type="character" w:customStyle="1" w:styleId="apple-converted-space">
    <w:name w:val="apple-converted-space"/>
    <w:basedOn w:val="DefaultParagraphFont"/>
    <w:rsid w:val="00B75725"/>
  </w:style>
  <w:style w:type="character" w:styleId="Emphasis">
    <w:name w:val="Emphasis"/>
    <w:basedOn w:val="DefaultParagraphFont"/>
    <w:uiPriority w:val="20"/>
    <w:qFormat/>
    <w:rsid w:val="008B55A8"/>
    <w:rPr>
      <w:i/>
      <w:iCs/>
    </w:rPr>
  </w:style>
  <w:style w:type="character" w:customStyle="1" w:styleId="UnresolvedMention1">
    <w:name w:val="Unresolved Mention1"/>
    <w:basedOn w:val="DefaultParagraphFont"/>
    <w:uiPriority w:val="99"/>
    <w:semiHidden/>
    <w:unhideWhenUsed/>
    <w:rsid w:val="002A2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60351">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10395686">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ox%20Sync\WP%20File%20Transfer\High%20Bay\HB%20Fall%202018\HighLowBay_Savings_201811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742234187443663E-2"/>
          <c:y val="6.9755316094125483E-2"/>
          <c:w val="0.866045940809123"/>
          <c:h val="0.62255784579828544"/>
        </c:manualLayout>
      </c:layout>
      <c:barChart>
        <c:barDir val="col"/>
        <c:grouping val="clustered"/>
        <c:varyColors val="0"/>
        <c:ser>
          <c:idx val="0"/>
          <c:order val="0"/>
          <c:tx>
            <c:v>Without TLEDs</c:v>
          </c:tx>
          <c:spPr>
            <a:solidFill>
              <a:schemeClr val="accent1"/>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'NR+AR'!$AA$37:$AF$37</c:f>
              <c:numCache>
                <c:formatCode>"$"#,##0</c:formatCode>
                <c:ptCount val="6"/>
                <c:pt idx="0">
                  <c:v>126.10187643239104</c:v>
                </c:pt>
                <c:pt idx="1">
                  <c:v>30.509999999999998</c:v>
                </c:pt>
                <c:pt idx="2">
                  <c:v>25.05106523411855</c:v>
                </c:pt>
                <c:pt idx="3">
                  <c:v>128.23722222222219</c:v>
                </c:pt>
                <c:pt idx="4">
                  <c:v>106.41350114591283</c:v>
                </c:pt>
                <c:pt idx="5">
                  <c:v>21.823721076309354</c:v>
                </c:pt>
              </c:numCache>
            </c:numRef>
          </c:val>
          <c:extLst>
            <c:ext xmlns:c16="http://schemas.microsoft.com/office/drawing/2014/chart" uri="{C3380CC4-5D6E-409C-BE32-E72D297353CC}">
              <c16:uniqueId val="{00000000-C624-4805-AF06-570BD96CDF96}"/>
            </c:ext>
          </c:extLst>
        </c:ser>
        <c:ser>
          <c:idx val="1"/>
          <c:order val="1"/>
          <c:tx>
            <c:v>With 60% TLED Base Case</c:v>
          </c:tx>
          <c:spPr>
            <a:solidFill>
              <a:schemeClr val="accent2"/>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'NR+AR'!$AA$36:$AF$36</c:f>
              <c:strCache>
                <c:ptCount val="6"/>
                <c:pt idx="0">
                  <c:v>LED Fixture Base Cost</c:v>
                </c:pt>
                <c:pt idx="1">
                  <c:v>Fluorescent Fixture Base Cost (20%)</c:v>
                </c:pt>
                <c:pt idx="2">
                  <c:v>TLED Base Cost </c:v>
                </c:pt>
                <c:pt idx="3">
                  <c:v>LED Fixture Measure Cost</c:v>
                </c:pt>
                <c:pt idx="4">
                  <c:v>Blended Base Cost</c:v>
                </c:pt>
                <c:pt idx="5">
                  <c:v>Incremental Measure Cost</c:v>
                </c:pt>
              </c:strCache>
            </c:strRef>
          </c:cat>
          <c:val>
            <c:numRef>
              <c:f>'NR+AR'!$AA$38:$AF$38</c:f>
              <c:numCache>
                <c:formatCode>General</c:formatCode>
                <c:ptCount val="6"/>
                <c:pt idx="4" formatCode="&quot;$&quot;#,##0">
                  <c:v>45.783014426949336</c:v>
                </c:pt>
                <c:pt idx="5" formatCode="&quot;$&quot;#,##0">
                  <c:v>82.45420779527285</c:v>
                </c:pt>
              </c:numCache>
            </c:numRef>
          </c:val>
          <c:extLst>
            <c:ext xmlns:c16="http://schemas.microsoft.com/office/drawing/2014/chart" uri="{C3380CC4-5D6E-409C-BE32-E72D297353CC}">
              <c16:uniqueId val="{00000001-C624-4805-AF06-570BD96CDF96}"/>
            </c:ext>
          </c:extLst>
        </c:ser>
        <c:dLbls>
          <c:showLegendKey val="0"/>
          <c:showVal val="0"/>
          <c:showCatName val="0"/>
          <c:showSerName val="0"/>
          <c:showPercent val="0"/>
          <c:showBubbleSize val="0"/>
        </c:dLbls>
        <c:gapWidth val="219"/>
        <c:overlap val="-27"/>
        <c:axId val="221421568"/>
        <c:axId val="221423104"/>
      </c:barChart>
      <c:catAx>
        <c:axId val="221421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221423104"/>
        <c:crosses val="autoZero"/>
        <c:auto val="1"/>
        <c:lblAlgn val="ctr"/>
        <c:lblOffset val="100"/>
        <c:noMultiLvlLbl val="0"/>
      </c:catAx>
      <c:valAx>
        <c:axId val="221423104"/>
        <c:scaling>
          <c:orientation val="minMax"/>
        </c:scaling>
        <c:delete val="0"/>
        <c:axPos val="l"/>
        <c:numFmt formatCode="&quot;$&quot;#,##0" sourceLinked="1"/>
        <c:majorTickMark val="none"/>
        <c:minorTickMark val="none"/>
        <c:tickLblPos val="nextTo"/>
        <c:spPr>
          <a:noFill/>
          <a:ln>
            <a:noFill/>
          </a:ln>
          <a:effectLst/>
        </c:spPr>
        <c:txPr>
          <a:bodyPr rot="-60000000" vert="horz"/>
          <a:lstStyle/>
          <a:p>
            <a:pPr>
              <a:defRPr/>
            </a:pPr>
            <a:endParaRPr lang="en-US"/>
          </a:p>
        </c:txPr>
        <c:crossAx val="221421568"/>
        <c:crosses val="autoZero"/>
        <c:crossBetween val="between"/>
      </c:valAx>
      <c:spPr>
        <a:noFill/>
        <a:ln>
          <a:noFill/>
        </a:ln>
        <a:effectLst/>
      </c:spPr>
    </c:plotArea>
    <c:legend>
      <c:legendPos val="b"/>
      <c:layout>
        <c:manualLayout>
          <c:xMode val="edge"/>
          <c:yMode val="edge"/>
          <c:x val="0.10257833288080369"/>
          <c:y val="0.87794758787207261"/>
          <c:w val="0.75474848514664405"/>
          <c:h val="7.051659430421664E-2"/>
        </c:manualLayout>
      </c:layout>
      <c:overlay val="0"/>
      <c:spPr>
        <a:noFill/>
        <a:ln>
          <a:noFill/>
        </a:ln>
        <a:effectLst/>
      </c:spPr>
      <c:txPr>
        <a:bodyPr rot="0" vert="horz"/>
        <a:lstStyle/>
        <a:p>
          <a:pPr>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7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851F3B-888E-4061-B43A-3F008124A27E}">
  <ds:schemaRefs>
    <ds:schemaRef ds:uri="http://schemas.openxmlformats.org/officeDocument/2006/bibliography"/>
  </ds:schemaRefs>
</ds:datastoreItem>
</file>

<file path=customXml/itemProps2.xml><?xml version="1.0" encoding="utf-8"?>
<ds:datastoreItem xmlns:ds="http://schemas.openxmlformats.org/officeDocument/2006/customXml" ds:itemID="{C3EB37D9-5ACE-47E6-A62A-2F5DE7E3EF8C}">
  <ds:schemaRefs>
    <ds:schemaRef ds:uri="http://schemas.microsoft.com/sharepoint/v3/contenttype/forms"/>
  </ds:schemaRefs>
</ds:datastoreItem>
</file>

<file path=customXml/itemProps3.xml><?xml version="1.0" encoding="utf-8"?>
<ds:datastoreItem xmlns:ds="http://schemas.openxmlformats.org/officeDocument/2006/customXml" ds:itemID="{2C7E42C4-2063-4136-9C95-475F25704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B437C8-7AD0-4D5D-AAE9-AA47570D8E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13</TotalTime>
  <Pages>21</Pages>
  <Words>6571</Words>
  <Characters>37460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43944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Hla, Soe</cp:lastModifiedBy>
  <cp:revision>3</cp:revision>
  <cp:lastPrinted>2021-10-01T15:53:00Z</cp:lastPrinted>
  <dcterms:created xsi:type="dcterms:W3CDTF">2021-10-01T15:53:00Z</dcterms:created>
  <dcterms:modified xsi:type="dcterms:W3CDTF">2021-10-01T15:54:00Z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