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989D" w14:textId="38960994" w:rsidR="00BB2954" w:rsidRDefault="00411B1C">
      <w:r>
        <w:t xml:space="preserve">CPUC Comments on </w:t>
      </w:r>
      <w:r w:rsidR="00741D34">
        <w:t>SWHC050: Ductless Heat Pump</w:t>
      </w:r>
      <w:r w:rsidR="001C16F8">
        <w:t>, Residential</w:t>
      </w:r>
    </w:p>
    <w:p w14:paraId="2BA7A164" w14:textId="529E71CD" w:rsidR="004266C0" w:rsidRDefault="004266C0">
      <w:r>
        <w:t xml:space="preserve">Lead PA: </w:t>
      </w:r>
      <w:r w:rsidR="00741D34">
        <w:t>SCE</w:t>
      </w:r>
    </w:p>
    <w:p w14:paraId="4BB68C7D" w14:textId="24D5E3EE" w:rsidR="009E1581" w:rsidRDefault="004266C0">
      <w:r>
        <w:t xml:space="preserve">Workpaper </w:t>
      </w:r>
      <w:r w:rsidR="008F1FF0">
        <w:t xml:space="preserve">Submittal Date: </w:t>
      </w:r>
      <w:r w:rsidR="00741D34">
        <w:t>09/04/2020</w:t>
      </w:r>
      <w:r w:rsidR="00AB26AE">
        <w:t xml:space="preserve"> </w:t>
      </w:r>
    </w:p>
    <w:p w14:paraId="23E73D29" w14:textId="60FF92B0" w:rsidR="004B082B" w:rsidRDefault="004266C0">
      <w:r>
        <w:t xml:space="preserve">CPUC Review Date: </w:t>
      </w:r>
      <w:r w:rsidR="00741D34">
        <w:t>09/1</w:t>
      </w:r>
      <w:r w:rsidR="004B082B">
        <w:t>8</w:t>
      </w:r>
      <w:r w:rsidR="00741D34">
        <w:t>/2020</w:t>
      </w:r>
    </w:p>
    <w:p w14:paraId="34C58858" w14:textId="563D69BD" w:rsidR="00AB26AE" w:rsidRDefault="004B082B">
      <w:r>
        <w:t>CPUC will reach out to set up a call to discuss below</w:t>
      </w:r>
      <w:r w:rsidR="001C16F8">
        <w:t>.</w:t>
      </w:r>
    </w:p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025"/>
        <w:gridCol w:w="3325"/>
      </w:tblGrid>
      <w:tr w:rsidR="004266C0" w14:paraId="75EEBFCB" w14:textId="77777777" w:rsidTr="004B082B">
        <w:tc>
          <w:tcPr>
            <w:tcW w:w="60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33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4B082B">
        <w:tc>
          <w:tcPr>
            <w:tcW w:w="6025" w:type="dxa"/>
          </w:tcPr>
          <w:p w14:paraId="28B76F0D" w14:textId="77777777" w:rsidR="00C71A56" w:rsidRDefault="00C71A56" w:rsidP="00C71A56">
            <w:r>
              <w:t>Page 3, first paragraph, third bullet: “ Ductless air-conditioner providing cooling only OR combined with electric wall furnace for heating (Ductless AC). “</w:t>
            </w:r>
          </w:p>
          <w:p w14:paraId="1681CBD1" w14:textId="77777777" w:rsidR="00C71A56" w:rsidRDefault="00C71A56" w:rsidP="00C71A56"/>
          <w:p w14:paraId="65895ACD" w14:textId="62573108" w:rsidR="00C71A56" w:rsidRDefault="00C71A56" w:rsidP="00C71A56">
            <w:r>
              <w:t xml:space="preserve">It should be made clear that the AC only measure would have no gas heating. If there are any gas heating sources, then the measure would be a fuel-sub measure. </w:t>
            </w:r>
          </w:p>
        </w:tc>
        <w:tc>
          <w:tcPr>
            <w:tcW w:w="3325" w:type="dxa"/>
          </w:tcPr>
          <w:p w14:paraId="201FE10F" w14:textId="1C31B5D0" w:rsidR="00A9584B" w:rsidRDefault="00C121E4" w:rsidP="004266C0">
            <w:r>
              <w:t xml:space="preserve">Yes, gas heating measures are not allowed in this workpaper. </w:t>
            </w:r>
            <w:r w:rsidR="008E0E50">
              <w:t xml:space="preserve">Deleted </w:t>
            </w:r>
            <w:r w:rsidR="008E0E50">
              <w:t>“only OR”</w:t>
            </w:r>
            <w:r w:rsidR="008E0E50">
              <w:t xml:space="preserve"> to avoid confusion. </w:t>
            </w:r>
          </w:p>
          <w:p w14:paraId="3CDCB764" w14:textId="77777777" w:rsidR="005439A0" w:rsidRDefault="005439A0" w:rsidP="004266C0"/>
          <w:p w14:paraId="616D4609" w14:textId="71AFFA96" w:rsidR="00A9584B" w:rsidRDefault="006A4DAE" w:rsidP="004266C0">
            <w:r>
              <w:t xml:space="preserve">The last paragraph in that section </w:t>
            </w:r>
            <w:r w:rsidR="002D17AB">
              <w:t xml:space="preserve">clarifies that fuel </w:t>
            </w:r>
            <w:r w:rsidR="000F71E1">
              <w:t>substitution measures</w:t>
            </w:r>
            <w:r w:rsidR="000F71E1">
              <w:t xml:space="preserve"> </w:t>
            </w:r>
            <w:r w:rsidR="000F71E1">
              <w:t>are</w:t>
            </w:r>
            <w:r w:rsidR="002D17AB">
              <w:t xml:space="preserve"> not </w:t>
            </w:r>
            <w:r w:rsidR="00A46BCD">
              <w:t xml:space="preserve">eligible in this workpaper. </w:t>
            </w:r>
            <w:r w:rsidR="005439A0">
              <w:t xml:space="preserve"> </w:t>
            </w:r>
            <w:r w:rsidR="00A9584B">
              <w:t xml:space="preserve"> </w:t>
            </w:r>
          </w:p>
        </w:tc>
      </w:tr>
      <w:tr w:rsidR="004266C0" w14:paraId="05E35CA3" w14:textId="77777777" w:rsidTr="004B082B">
        <w:tc>
          <w:tcPr>
            <w:tcW w:w="6025" w:type="dxa"/>
          </w:tcPr>
          <w:p w14:paraId="3013780B" w14:textId="7B1AA80A" w:rsidR="004266C0" w:rsidRDefault="00945B82" w:rsidP="004266C0">
            <w:r>
              <w:t xml:space="preserve">CEE have different Tiers and different HSPF values compared to CEC (see link below). How do DEER2020 definitions compare with CEE Tiers? Also, please provide a link to the CEC tiers. </w:t>
            </w:r>
          </w:p>
          <w:p w14:paraId="3D1DDF10" w14:textId="77777777" w:rsidR="00945B82" w:rsidRDefault="00945B82" w:rsidP="004266C0"/>
          <w:p w14:paraId="609E5EFF" w14:textId="77777777" w:rsidR="00945B82" w:rsidRDefault="001173AF" w:rsidP="004266C0">
            <w:hyperlink r:id="rId5" w:history="1">
              <w:r w:rsidR="00945B82" w:rsidRPr="00945B82">
                <w:rPr>
                  <w:rStyle w:val="Hyperlink"/>
                </w:rPr>
                <w:t>https://library.cee1.org/system/files/library/9570/CEE_ResHVAC_CAC_ASHP_Specifications_1January2015.pdf</w:t>
              </w:r>
            </w:hyperlink>
          </w:p>
          <w:p w14:paraId="7E225173" w14:textId="77777777" w:rsidR="00945B82" w:rsidRDefault="00945B82" w:rsidP="004266C0"/>
          <w:p w14:paraId="2948B0D6" w14:textId="36AF4CCE" w:rsidR="00945B82" w:rsidRDefault="00945B82" w:rsidP="004266C0"/>
        </w:tc>
        <w:tc>
          <w:tcPr>
            <w:tcW w:w="3325" w:type="dxa"/>
          </w:tcPr>
          <w:p w14:paraId="64B4C480" w14:textId="41D21F6C" w:rsidR="004266C0" w:rsidRDefault="00242AB6" w:rsidP="004266C0">
            <w:r>
              <w:t>SEER15, 16, 17 and 18 tiers were used to be consistent wi</w:t>
            </w:r>
            <w:r w:rsidR="00CD4AF0">
              <w:t>t</w:t>
            </w:r>
            <w:r>
              <w:t xml:space="preserve">h the </w:t>
            </w:r>
            <w:r w:rsidR="006A39E8">
              <w:t>approved fuel</w:t>
            </w:r>
            <w:r w:rsidR="00CD4AF0">
              <w:t xml:space="preserve"> substitution workpaper</w:t>
            </w:r>
            <w:r w:rsidR="00CD4AF0" w:rsidRPr="00FC74BD">
              <w:t xml:space="preserve"> </w:t>
            </w:r>
            <w:r w:rsidR="00CD4AF0">
              <w:t>SWHC044-01-Ductless HVAC - Fuel Substitution, Residential.</w:t>
            </w:r>
          </w:p>
        </w:tc>
      </w:tr>
      <w:tr w:rsidR="003118FF" w14:paraId="4B0A44FA" w14:textId="77777777" w:rsidTr="004B082B">
        <w:tc>
          <w:tcPr>
            <w:tcW w:w="6025" w:type="dxa"/>
          </w:tcPr>
          <w:p w14:paraId="33FADB85" w14:textId="39C454AF" w:rsidR="003118FF" w:rsidRDefault="003118FF" w:rsidP="004266C0">
            <w:pPr>
              <w:rPr>
                <w:noProof/>
              </w:rPr>
            </w:pPr>
            <w:r>
              <w:rPr>
                <w:noProof/>
              </w:rPr>
              <w:t>NR – How do you plan to implement the conversion from RAC and electric resistance to DHP?</w:t>
            </w:r>
          </w:p>
          <w:p w14:paraId="3BF18F79" w14:textId="117D5943" w:rsidR="003118FF" w:rsidRDefault="003118FF" w:rsidP="003118FF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>Baseboard electric resistance will also need to be decomissioned – see comment</w:t>
            </w:r>
          </w:p>
          <w:p w14:paraId="10D62494" w14:textId="0B09ED3C" w:rsidR="003118FF" w:rsidRDefault="003118FF" w:rsidP="003118FF">
            <w:pPr>
              <w:pStyle w:val="ListParagraph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 xml:space="preserve">One-off projects? </w:t>
            </w:r>
          </w:p>
          <w:p w14:paraId="6F4D64D6" w14:textId="279C5879" w:rsidR="003118FF" w:rsidRDefault="003118FF" w:rsidP="004266C0">
            <w:pPr>
              <w:rPr>
                <w:noProof/>
              </w:rPr>
            </w:pPr>
          </w:p>
        </w:tc>
        <w:tc>
          <w:tcPr>
            <w:tcW w:w="3325" w:type="dxa"/>
          </w:tcPr>
          <w:p w14:paraId="329D8E48" w14:textId="56C1B0CA" w:rsidR="00CD4AF0" w:rsidRDefault="009E0283" w:rsidP="004266C0">
            <w:r>
              <w:t xml:space="preserve">The workpaper requires the </w:t>
            </w:r>
            <w:r w:rsidR="009E6B1E">
              <w:t xml:space="preserve">implementer to collect the </w:t>
            </w:r>
            <w:r w:rsidR="002C1BAB">
              <w:t>existing HVAC</w:t>
            </w:r>
            <w:r w:rsidR="002C1BAB">
              <w:t xml:space="preserve"> type (room unit or ductless unit)</w:t>
            </w:r>
            <w:r w:rsidR="002C1BAB">
              <w:t xml:space="preserve">. Because Title-24 restricts use of electric resistance space heater, the </w:t>
            </w:r>
            <w:r w:rsidR="001E2818">
              <w:t>savings for room</w:t>
            </w:r>
            <w:r w:rsidR="00450CD2">
              <w:t xml:space="preserve"> units (room</w:t>
            </w:r>
            <w:r w:rsidR="001E2818">
              <w:t xml:space="preserve"> AC and room HP</w:t>
            </w:r>
            <w:r w:rsidR="00450CD2">
              <w:t>)</w:t>
            </w:r>
            <w:r w:rsidR="001E2818">
              <w:t xml:space="preserve"> </w:t>
            </w:r>
            <w:r w:rsidR="007B5702">
              <w:t xml:space="preserve">would be the savings over a code complaint room HP. </w:t>
            </w:r>
          </w:p>
          <w:p w14:paraId="3FCAE01D" w14:textId="77777777" w:rsidR="007B5702" w:rsidRDefault="007B5702" w:rsidP="004266C0"/>
          <w:p w14:paraId="07225457" w14:textId="120BA84E" w:rsidR="00450CD2" w:rsidRDefault="001173AF" w:rsidP="00450CD2">
            <w:r>
              <w:t xml:space="preserve">We understand it is not conventional to track equipment type for NR measures. </w:t>
            </w:r>
            <w:r w:rsidR="007B5702">
              <w:t xml:space="preserve">If implementer cannot track the </w:t>
            </w:r>
            <w:r w:rsidR="001B170C">
              <w:t xml:space="preserve">existing HVAC type, the savings </w:t>
            </w:r>
            <w:r w:rsidR="000A231C">
              <w:t xml:space="preserve">shall be defaulted to replacing less </w:t>
            </w:r>
            <w:r w:rsidR="006A39E8">
              <w:t>efficient</w:t>
            </w:r>
            <w:r w:rsidR="000A231C">
              <w:t xml:space="preserve"> ductless</w:t>
            </w:r>
            <w:r w:rsidR="006A39E8">
              <w:t xml:space="preserve">. </w:t>
            </w:r>
          </w:p>
        </w:tc>
      </w:tr>
      <w:tr w:rsidR="003118FF" w14:paraId="33881B11" w14:textId="77777777" w:rsidTr="00201536">
        <w:trPr>
          <w:trHeight w:val="3131"/>
        </w:trPr>
        <w:tc>
          <w:tcPr>
            <w:tcW w:w="6025" w:type="dxa"/>
          </w:tcPr>
          <w:p w14:paraId="053D92B0" w14:textId="46B83684" w:rsidR="003118FF" w:rsidRDefault="00201536" w:rsidP="004266C0">
            <w:pPr>
              <w:rPr>
                <w:noProof/>
              </w:rPr>
            </w:pPr>
            <w:r>
              <w:rPr>
                <w:noProof/>
              </w:rPr>
              <w:lastRenderedPageBreak/>
              <w:t xml:space="preserve">The current workpaper does not offer SEER 19, 20, 21 – is this planned for future versions of the workpaper? </w:t>
            </w:r>
            <w:r>
              <w:t xml:space="preserve"> </w:t>
            </w:r>
            <w:r w:rsidRPr="00201536">
              <w:rPr>
                <w:noProof/>
              </w:rPr>
              <w:t>Although the measure case description says meet or exceed the SEER values shown below, there’s no clear mentioning of above 18 to 21 SEER.</w:t>
            </w:r>
            <w:r>
              <w:rPr>
                <w:noProof/>
              </w:rPr>
              <w:t xml:space="preserve"> There is also no reference to the higher SEER in the EAD tables or the eQuest models provided.</w:t>
            </w:r>
          </w:p>
          <w:p w14:paraId="6E6D6D87" w14:textId="06590A31" w:rsidR="00201536" w:rsidRDefault="00201536" w:rsidP="004266C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3CD722" wp14:editId="4AA0653F">
                  <wp:extent cx="3688715" cy="2082800"/>
                  <wp:effectExtent l="0" t="0" r="6985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8715" cy="208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</w:tcPr>
          <w:p w14:paraId="770FC867" w14:textId="1EB80305" w:rsidR="003118FF" w:rsidRDefault="00635800" w:rsidP="004266C0">
            <w:r>
              <w:t>It is correct that this workpaper does not cover higher SEER values. SCE is working on another workpaper to cover these higher SEER values, because of distinct data and modeling needs.</w:t>
            </w:r>
            <w:r w:rsidR="000C45CA">
              <w:t xml:space="preserve"> </w:t>
            </w:r>
            <w:r w:rsidR="00450CD2">
              <w:t xml:space="preserve">SCE is expecting to submit this new workpaper in November 2020. </w:t>
            </w:r>
          </w:p>
        </w:tc>
      </w:tr>
      <w:tr w:rsidR="00FA7A94" w14:paraId="2FBB07FD" w14:textId="77777777" w:rsidTr="00FA7A94">
        <w:trPr>
          <w:trHeight w:val="800"/>
        </w:trPr>
        <w:tc>
          <w:tcPr>
            <w:tcW w:w="6025" w:type="dxa"/>
          </w:tcPr>
          <w:p w14:paraId="6A2859BF" w14:textId="59911962" w:rsidR="00FA7A94" w:rsidRDefault="00FA7A94" w:rsidP="00FA7A94">
            <w:pPr>
              <w:rPr>
                <w:noProof/>
              </w:rPr>
            </w:pPr>
            <w:r w:rsidRPr="00D220D0">
              <w:rPr>
                <w:highlight w:val="yellow"/>
              </w:rPr>
              <w:t>There are model discrepancies we would like to discuss over a phone call.</w:t>
            </w:r>
            <w:r>
              <w:t xml:space="preserve"> </w:t>
            </w:r>
          </w:p>
        </w:tc>
        <w:tc>
          <w:tcPr>
            <w:tcW w:w="3325" w:type="dxa"/>
          </w:tcPr>
          <w:p w14:paraId="2907EA7A" w14:textId="5368CEFA" w:rsidR="008D0105" w:rsidRDefault="008D0105" w:rsidP="00B363F7">
            <w:r>
              <w:t>DEER residential prototypes ha</w:t>
            </w:r>
            <w:r w:rsidR="00A72515">
              <w:t xml:space="preserve">ve various </w:t>
            </w:r>
            <w:r w:rsidR="00791174">
              <w:t xml:space="preserve">configurations of building types (example SFm prototypes have houses </w:t>
            </w:r>
            <w:r w:rsidR="001173AF">
              <w:t>for (2)</w:t>
            </w:r>
            <w:r w:rsidR="00791174">
              <w:t xml:space="preserve"> different orientations and </w:t>
            </w:r>
            <w:r w:rsidR="001173AF">
              <w:t xml:space="preserve">(2) </w:t>
            </w:r>
            <w:r w:rsidR="00791174">
              <w:t>levels)</w:t>
            </w:r>
            <w:r w:rsidR="00A72515">
              <w:t xml:space="preserve">, </w:t>
            </w:r>
            <w:r w:rsidR="0019207D">
              <w:t xml:space="preserve">(5) </w:t>
            </w:r>
            <w:r w:rsidR="00A72515">
              <w:t>thermostat setting</w:t>
            </w:r>
            <w:r w:rsidR="001173AF">
              <w:t>s</w:t>
            </w:r>
            <w:r w:rsidR="00307442">
              <w:t xml:space="preserve">, </w:t>
            </w:r>
            <w:r w:rsidR="0019207D">
              <w:t xml:space="preserve">several </w:t>
            </w:r>
            <w:r w:rsidR="00A72515">
              <w:t>vintages</w:t>
            </w:r>
            <w:r w:rsidR="0019207D">
              <w:t xml:space="preserve"> and </w:t>
            </w:r>
            <w:r w:rsidR="007C282B">
              <w:t>HVAC capacity varying by climate zone</w:t>
            </w:r>
            <w:r w:rsidR="00A72515">
              <w:t xml:space="preserve">. Post processing steps must </w:t>
            </w:r>
            <w:r w:rsidR="007C282B">
              <w:t>be applied</w:t>
            </w:r>
            <w:r w:rsidR="00A72515">
              <w:t xml:space="preserve"> to </w:t>
            </w:r>
            <w:r w:rsidR="007C282B">
              <w:t>normalize the savings</w:t>
            </w:r>
            <w:r w:rsidR="001173AF">
              <w:t xml:space="preserve"> from these effects</w:t>
            </w:r>
            <w:bookmarkStart w:id="0" w:name="_GoBack"/>
            <w:bookmarkEnd w:id="0"/>
            <w:r w:rsidR="007C282B">
              <w:t xml:space="preserve">. </w:t>
            </w:r>
            <w:r>
              <w:t>Please refer to the calculation methodology in the workpaper for post processing steps of MASControl3 outpu</w:t>
            </w:r>
            <w:r w:rsidR="007C282B">
              <w:t>t</w:t>
            </w:r>
            <w:r w:rsidR="00B363F7">
              <w:t xml:space="preserve">. Please reach out to us for any questions. </w:t>
            </w:r>
          </w:p>
        </w:tc>
      </w:tr>
      <w:tr w:rsidR="00FA7A94" w14:paraId="15B15632" w14:textId="77777777" w:rsidTr="00FA7A94">
        <w:trPr>
          <w:trHeight w:val="800"/>
        </w:trPr>
        <w:tc>
          <w:tcPr>
            <w:tcW w:w="6025" w:type="dxa"/>
          </w:tcPr>
          <w:p w14:paraId="5EB8CDB8" w14:textId="77777777" w:rsidR="00FA7A94" w:rsidRDefault="00FA7A94" w:rsidP="00FA7A94">
            <w:pPr>
              <w:rPr>
                <w:noProof/>
              </w:rPr>
            </w:pPr>
            <w:r>
              <w:rPr>
                <w:noProof/>
              </w:rPr>
              <w:t xml:space="preserve">Two speed stages used for Tier 1. The capacity are virtually the same though, which shouldn’t make a difference. However, for clarity it makes sense to use a single speed/stage. </w:t>
            </w:r>
          </w:p>
          <w:p w14:paraId="72B9060D" w14:textId="77777777" w:rsidR="00FA7A94" w:rsidRDefault="00FA7A94" w:rsidP="00FA7A94">
            <w:pPr>
              <w:rPr>
                <w:noProof/>
              </w:rPr>
            </w:pPr>
          </w:p>
          <w:p w14:paraId="16D11F25" w14:textId="3F2A0461" w:rsidR="00FA7A94" w:rsidRDefault="00FA7A94" w:rsidP="00FA7A94">
            <w:r>
              <w:rPr>
                <w:noProof/>
              </w:rPr>
              <w:lastRenderedPageBreak/>
              <w:drawing>
                <wp:inline distT="0" distB="0" distL="0" distR="0" wp14:anchorId="49F6C731" wp14:editId="1B44875B">
                  <wp:extent cx="4260215" cy="1743075"/>
                  <wp:effectExtent l="0" t="0" r="6985" b="9525"/>
                  <wp:docPr id="2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A5C47E-F19C-4EAE-82C7-3D5E83A4158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87A5C47E-F19C-4EAE-82C7-3D5E83A415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021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</w:tcPr>
          <w:p w14:paraId="6FA485E3" w14:textId="0D4FE5AF" w:rsidR="00FA7A94" w:rsidRDefault="006056EE" w:rsidP="00FA7A94">
            <w:r>
              <w:lastRenderedPageBreak/>
              <w:t>The DEER convention for modeling single speed/stage is to use this combination of capacity fractions, which makes the coding in the prototype simpler and applicable to all tech runs.</w:t>
            </w:r>
          </w:p>
        </w:tc>
      </w:tr>
    </w:tbl>
    <w:p w14:paraId="72C6D87B" w14:textId="06E006F0" w:rsidR="00047FC1" w:rsidRDefault="00047FC1" w:rsidP="00047FC1"/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9243B"/>
    <w:multiLevelType w:val="hybridMultilevel"/>
    <w:tmpl w:val="4DE8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D4A9A"/>
    <w:multiLevelType w:val="hybridMultilevel"/>
    <w:tmpl w:val="5D68D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2E01"/>
    <w:rsid w:val="00016F16"/>
    <w:rsid w:val="00047FC1"/>
    <w:rsid w:val="00096A19"/>
    <w:rsid w:val="000A231C"/>
    <w:rsid w:val="000C45CA"/>
    <w:rsid w:val="000F71E1"/>
    <w:rsid w:val="001173AF"/>
    <w:rsid w:val="00131866"/>
    <w:rsid w:val="0019207D"/>
    <w:rsid w:val="001B170C"/>
    <w:rsid w:val="001C16F8"/>
    <w:rsid w:val="001E2818"/>
    <w:rsid w:val="00201536"/>
    <w:rsid w:val="00242AB6"/>
    <w:rsid w:val="002A755F"/>
    <w:rsid w:val="002C1BAB"/>
    <w:rsid w:val="002C2798"/>
    <w:rsid w:val="002D17AB"/>
    <w:rsid w:val="002E05AF"/>
    <w:rsid w:val="00307442"/>
    <w:rsid w:val="003118FF"/>
    <w:rsid w:val="003E79B7"/>
    <w:rsid w:val="00411B1C"/>
    <w:rsid w:val="004266C0"/>
    <w:rsid w:val="00450CD2"/>
    <w:rsid w:val="004B082B"/>
    <w:rsid w:val="004E7F9C"/>
    <w:rsid w:val="00527B8E"/>
    <w:rsid w:val="005439A0"/>
    <w:rsid w:val="006056EE"/>
    <w:rsid w:val="00635800"/>
    <w:rsid w:val="006A39E8"/>
    <w:rsid w:val="006A4DAE"/>
    <w:rsid w:val="006D585D"/>
    <w:rsid w:val="006F56C1"/>
    <w:rsid w:val="00741D34"/>
    <w:rsid w:val="0075382B"/>
    <w:rsid w:val="00791174"/>
    <w:rsid w:val="00791A22"/>
    <w:rsid w:val="007B5702"/>
    <w:rsid w:val="007C282B"/>
    <w:rsid w:val="008963E4"/>
    <w:rsid w:val="008D0105"/>
    <w:rsid w:val="008E0E50"/>
    <w:rsid w:val="008F1FF0"/>
    <w:rsid w:val="00905B03"/>
    <w:rsid w:val="00945B82"/>
    <w:rsid w:val="009E0283"/>
    <w:rsid w:val="009E1581"/>
    <w:rsid w:val="009E6B1E"/>
    <w:rsid w:val="00A46BCD"/>
    <w:rsid w:val="00A72515"/>
    <w:rsid w:val="00A9584B"/>
    <w:rsid w:val="00AB26AE"/>
    <w:rsid w:val="00AC21BB"/>
    <w:rsid w:val="00AD3DAD"/>
    <w:rsid w:val="00B10048"/>
    <w:rsid w:val="00B363F7"/>
    <w:rsid w:val="00B8145B"/>
    <w:rsid w:val="00BA4AC4"/>
    <w:rsid w:val="00BB2954"/>
    <w:rsid w:val="00C121E4"/>
    <w:rsid w:val="00C71A56"/>
    <w:rsid w:val="00CD4AF0"/>
    <w:rsid w:val="00CE69EE"/>
    <w:rsid w:val="00D220D0"/>
    <w:rsid w:val="00E94869"/>
    <w:rsid w:val="00EC4C2D"/>
    <w:rsid w:val="00ED385D"/>
    <w:rsid w:val="00F64270"/>
    <w:rsid w:val="00FA7A94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45B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B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45B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cid:image001.jpg@01D6957E.F6059FF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library.cee1.org/system/files/library/9570/CEE_ResHVAC_CAC_ASHP_Specifications_1January2015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Akhilesh Endurthy</cp:lastModifiedBy>
  <cp:revision>35</cp:revision>
  <dcterms:created xsi:type="dcterms:W3CDTF">2020-09-30T19:44:00Z</dcterms:created>
  <dcterms:modified xsi:type="dcterms:W3CDTF">2020-10-13T20:52:00Z</dcterms:modified>
</cp:coreProperties>
</file>